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232" w:rsidRDefault="000D6232" w14:paraId="6F439840" w14:textId="77777777">
      <w:pPr>
        <w:widowControl w:val="0"/>
        <w:autoSpaceDE w:val="0"/>
        <w:autoSpaceDN w:val="0"/>
        <w:adjustRightInd w:val="0"/>
        <w:spacing w:after="0" w:line="240" w:lineRule="auto"/>
        <w:jc w:val="both"/>
        <w:rPr>
          <w:rFonts w:ascii="Times New Roman" w:hAnsi="Times New Roman"/>
          <w:color w:val="000000"/>
          <w:sz w:val="20"/>
          <w:szCs w:val="20"/>
        </w:rPr>
      </w:pPr>
    </w:p>
    <w:p w:rsidR="000D6232" w:rsidRDefault="000D6232" w14:paraId="0F34C0D8" w14:textId="77777777">
      <w:pPr>
        <w:widowControl w:val="0"/>
        <w:autoSpaceDE w:val="0"/>
        <w:autoSpaceDN w:val="0"/>
        <w:adjustRightInd w:val="0"/>
        <w:spacing w:after="0" w:line="240" w:lineRule="auto"/>
        <w:rPr>
          <w:rFonts w:ascii="Arial" w:hAnsi="Arial" w:cs="Arial"/>
          <w:sz w:val="24"/>
          <w:szCs w:val="24"/>
        </w:rPr>
        <w:sectPr w:rsidR="000D6232">
          <w:headerReference w:type="default" r:id="rId6"/>
          <w:footerReference w:type="default" r:id="rId7"/>
          <w:pgSz w:w="12240" w:h="15840"/>
          <w:pgMar w:top="1080" w:right="1080" w:bottom="1080" w:left="1080" w:header="720" w:footer="720" w:gutter="0"/>
          <w:cols w:space="720"/>
          <w:noEndnote/>
        </w:sectPr>
      </w:pPr>
    </w:p>
    <w:p w:rsidR="000D6232" w:rsidRDefault="000D6232" w14:paraId="75D6E007" w14:textId="77777777">
      <w:pPr>
        <w:widowControl w:val="0"/>
        <w:autoSpaceDE w:val="0"/>
        <w:autoSpaceDN w:val="0"/>
        <w:adjustRightInd w:val="0"/>
        <w:spacing w:after="0" w:line="240" w:lineRule="auto"/>
        <w:rPr>
          <w:rFonts w:ascii="Times New Roman" w:hAnsi="Times New Roman"/>
          <w:color w:val="000000"/>
          <w:sz w:val="20"/>
          <w:szCs w:val="20"/>
        </w:rPr>
      </w:pPr>
      <w:bookmarkStart w:name="co_document_1" w:id="0"/>
      <w:bookmarkStart w:name="NCA97ACD08BF011D98CF4E0B65F42E6DA_Target" w:id="1"/>
      <w:bookmarkEnd w:id="0"/>
      <w:bookmarkEnd w:id="1"/>
    </w:p>
    <w:p w:rsidR="000D6232" w:rsidRDefault="000D6232" w14:paraId="4F5D6A46" w14:textId="77777777">
      <w:pPr>
        <w:widowControl w:val="0"/>
        <w:pBdr>
          <w:top w:val="single" w:color="000000" w:sz="8" w:space="0"/>
          <w:left w:val="single" w:color="000000" w:sz="8" w:space="0"/>
          <w:bottom w:val="single" w:color="000000" w:sz="8" w:space="0"/>
          <w:right w:val="single" w:color="000000" w:sz="8" w:space="0"/>
        </w:pBdr>
        <w:shd w:val="solid" w:color="F7F7F7" w:fill="auto"/>
        <w:autoSpaceDE w:val="0"/>
        <w:autoSpaceDN w:val="0"/>
        <w:adjustRightInd w:val="0"/>
        <w:spacing w:after="0" w:line="240" w:lineRule="auto"/>
        <w:ind w:left="180" w:right="180"/>
        <w:jc w:val="both"/>
        <w:rPr>
          <w:rFonts w:ascii="Georgia" w:hAnsi="Georgia" w:cs="Georgia"/>
          <w:color w:val="000000"/>
          <w:sz w:val="20"/>
          <w:szCs w:val="20"/>
        </w:rPr>
      </w:pPr>
      <w:hyperlink w:history="1" r:id="rId8">
        <w:r>
          <w:rPr>
            <w:rFonts w:ascii="Georgia" w:hAnsi="Georgia" w:cs="Georgia"/>
            <w:color w:val="0000FF"/>
            <w:sz w:val="20"/>
            <w:szCs w:val="20"/>
          </w:rPr>
          <w:t xml:space="preserve">Code of Federal Regulations </w:t>
        </w:r>
      </w:hyperlink>
    </w:p>
    <w:p w:rsidR="000D6232" w:rsidRDefault="000D6232" w14:paraId="4DC2D17A" w14:textId="77777777">
      <w:pPr>
        <w:widowControl w:val="0"/>
        <w:pBdr>
          <w:top w:val="single" w:color="000000" w:sz="8" w:space="0"/>
          <w:left w:val="single" w:color="000000" w:sz="8" w:space="0"/>
          <w:bottom w:val="single" w:color="000000" w:sz="8" w:space="0"/>
          <w:right w:val="single" w:color="000000" w:sz="8" w:space="0"/>
        </w:pBdr>
        <w:shd w:val="solid" w:color="F7F7F7" w:fill="auto"/>
        <w:autoSpaceDE w:val="0"/>
        <w:autoSpaceDN w:val="0"/>
        <w:adjustRightInd w:val="0"/>
        <w:spacing w:after="0" w:line="240" w:lineRule="auto"/>
        <w:ind w:left="380" w:right="180"/>
        <w:jc w:val="both"/>
        <w:rPr>
          <w:rFonts w:ascii="Georgia" w:hAnsi="Georgia" w:cs="Georgia"/>
          <w:color w:val="000000"/>
          <w:sz w:val="20"/>
          <w:szCs w:val="20"/>
        </w:rPr>
      </w:pPr>
      <w:hyperlink w:history="1" r:id="rId9">
        <w:r>
          <w:rPr>
            <w:rFonts w:ascii="Georgia" w:hAnsi="Georgia" w:cs="Georgia"/>
            <w:color w:val="0000FF"/>
            <w:sz w:val="20"/>
            <w:szCs w:val="20"/>
          </w:rPr>
          <w:t>Title 29. Labor</w:t>
        </w:r>
      </w:hyperlink>
    </w:p>
    <w:p w:rsidR="000D6232" w:rsidRDefault="000D6232" w14:paraId="45EB0B30" w14:textId="77777777">
      <w:pPr>
        <w:widowControl w:val="0"/>
        <w:pBdr>
          <w:top w:val="single" w:color="000000" w:sz="8" w:space="0"/>
          <w:left w:val="single" w:color="000000" w:sz="8" w:space="0"/>
          <w:bottom w:val="single" w:color="000000" w:sz="8" w:space="0"/>
          <w:right w:val="single" w:color="000000" w:sz="8" w:space="0"/>
        </w:pBdr>
        <w:shd w:val="solid" w:color="F7F7F7" w:fill="auto"/>
        <w:autoSpaceDE w:val="0"/>
        <w:autoSpaceDN w:val="0"/>
        <w:adjustRightInd w:val="0"/>
        <w:spacing w:after="0" w:line="240" w:lineRule="auto"/>
        <w:ind w:left="580" w:right="180"/>
        <w:jc w:val="both"/>
        <w:rPr>
          <w:rFonts w:ascii="Georgia" w:hAnsi="Georgia" w:cs="Georgia"/>
          <w:color w:val="000000"/>
          <w:sz w:val="20"/>
          <w:szCs w:val="20"/>
        </w:rPr>
      </w:pPr>
      <w:hyperlink w:history="1" r:id="rId10">
        <w:r>
          <w:rPr>
            <w:rFonts w:ascii="Georgia" w:hAnsi="Georgia" w:cs="Georgia"/>
            <w:color w:val="0000FF"/>
            <w:sz w:val="20"/>
            <w:szCs w:val="20"/>
          </w:rPr>
          <w:t>Subtitle A. Office of the Secretary of Labor</w:t>
        </w:r>
      </w:hyperlink>
    </w:p>
    <w:p w:rsidR="000D6232" w:rsidRDefault="000D6232" w14:paraId="6519106B" w14:textId="77777777">
      <w:pPr>
        <w:widowControl w:val="0"/>
        <w:pBdr>
          <w:top w:val="single" w:color="000000" w:sz="8" w:space="0"/>
          <w:left w:val="single" w:color="000000" w:sz="8" w:space="0"/>
          <w:bottom w:val="single" w:color="000000" w:sz="8" w:space="0"/>
          <w:right w:val="single" w:color="000000" w:sz="8" w:space="0"/>
        </w:pBdr>
        <w:shd w:val="solid" w:color="F7F7F7" w:fill="auto"/>
        <w:autoSpaceDE w:val="0"/>
        <w:autoSpaceDN w:val="0"/>
        <w:adjustRightInd w:val="0"/>
        <w:spacing w:after="0" w:line="240" w:lineRule="auto"/>
        <w:ind w:left="780" w:right="180"/>
        <w:jc w:val="both"/>
        <w:rPr>
          <w:rFonts w:ascii="Georgia" w:hAnsi="Georgia" w:cs="Georgia"/>
          <w:color w:val="000000"/>
          <w:sz w:val="20"/>
          <w:szCs w:val="20"/>
        </w:rPr>
      </w:pPr>
      <w:hyperlink w:history="1" r:id="rId11">
        <w:r>
          <w:rPr>
            <w:rFonts w:ascii="Georgia" w:hAnsi="Georgia" w:cs="Georgia"/>
            <w:color w:val="0000FF"/>
            <w:sz w:val="20"/>
            <w:szCs w:val="20"/>
          </w:rPr>
          <w:t xml:space="preserve">Part 5. Labor Standards Provisions Applicable to Contracts Covering Federally Financed and Assisted Construction (Also Labor Standards Provisions Applicable to Nonconstruction Contracts Subject to the Contract Work Hours and Safety Standards Act) </w:t>
        </w:r>
      </w:hyperlink>
      <w:hyperlink w:history="1" r:id="rId12">
        <w:r>
          <w:rPr>
            <w:rFonts w:ascii="Georgia" w:hAnsi="Georgia" w:cs="Georgia"/>
            <w:color w:val="0000FF"/>
            <w:sz w:val="20"/>
            <w:szCs w:val="20"/>
          </w:rPr>
          <w:t>(Refs &amp; Annos)</w:t>
        </w:r>
      </w:hyperlink>
    </w:p>
    <w:bookmarkStart w:name="co_prelimGoldenLeaf_1" w:id="2"/>
    <w:bookmarkEnd w:id="2"/>
    <w:p w:rsidR="000D6232" w:rsidRDefault="000D6232" w14:paraId="0D97CCDD" w14:textId="77777777">
      <w:pPr>
        <w:widowControl w:val="0"/>
        <w:pBdr>
          <w:top w:val="single" w:color="000000" w:sz="8" w:space="0"/>
          <w:left w:val="single" w:color="000000" w:sz="8" w:space="0"/>
          <w:bottom w:val="single" w:color="000000" w:sz="8" w:space="0"/>
          <w:right w:val="single" w:color="000000" w:sz="8" w:space="0"/>
        </w:pBdr>
        <w:shd w:val="solid" w:color="F7F7F7" w:fill="auto"/>
        <w:autoSpaceDE w:val="0"/>
        <w:autoSpaceDN w:val="0"/>
        <w:adjustRightInd w:val="0"/>
        <w:spacing w:after="0" w:line="240" w:lineRule="auto"/>
        <w:ind w:left="980" w:right="180"/>
        <w:jc w:val="both"/>
        <w:rPr>
          <w:rFonts w:ascii="Georgia" w:hAnsi="Georgia" w:cs="Georgia"/>
          <w:color w:val="000000"/>
          <w:sz w:val="20"/>
          <w:szCs w:val="20"/>
        </w:rPr>
      </w:pPr>
      <w:r>
        <w:rPr>
          <w:rFonts w:ascii="Georgia" w:hAnsi="Georgia" w:cs="Georgia"/>
          <w:color w:val="000000"/>
          <w:sz w:val="20"/>
          <w:szCs w:val="20"/>
        </w:rPr>
        <w:fldChar w:fldCharType="begin"/>
      </w:r>
      <w:r>
        <w:rPr>
          <w:rFonts w:ascii="Georgia" w:hAnsi="Georgia" w:cs="Georgia"/>
          <w:color w:val="000000"/>
          <w:sz w:val="20"/>
          <w:szCs w:val="20"/>
        </w:rPr>
        <w:instrText xml:space="preserve">HYPERLINK "http://www.westlaw.com/Browse/Home/Regulations/CodeofFederalRegulationsCFR?guid=ND226C250868811D983FAE1FB4EC4EA60&amp;transitionType=DocumentItem&amp;contextData=(sc.Document)&amp;rs=clbt1.0&amp;vr=3.0" </w:instrText>
      </w:r>
      <w:r w:rsidR="00E51D62">
        <w:rPr>
          <w:rFonts w:ascii="Georgia" w:hAnsi="Georgia" w:cs="Georgia"/>
          <w:color w:val="000000"/>
          <w:sz w:val="20"/>
          <w:szCs w:val="20"/>
        </w:rPr>
      </w:r>
      <w:r>
        <w:rPr>
          <w:rFonts w:ascii="Georgia" w:hAnsi="Georgia" w:cs="Georgia"/>
          <w:color w:val="000000"/>
          <w:sz w:val="20"/>
          <w:szCs w:val="20"/>
        </w:rPr>
        <w:fldChar w:fldCharType="separate"/>
      </w:r>
      <w:r>
        <w:rPr>
          <w:rFonts w:ascii="Georgia" w:hAnsi="Georgia" w:cs="Georgia"/>
          <w:color w:val="0000FF"/>
          <w:sz w:val="20"/>
          <w:szCs w:val="20"/>
        </w:rPr>
        <w:t xml:space="preserve">Subpart A. Davis–Bacon and Related Acts Provisions and Procedures </w:t>
      </w:r>
      <w:r>
        <w:rPr>
          <w:rFonts w:ascii="Georgia" w:hAnsi="Georgia" w:cs="Georgia"/>
          <w:color w:val="000000"/>
          <w:sz w:val="20"/>
          <w:szCs w:val="20"/>
        </w:rPr>
        <w:fldChar w:fldCharType="end"/>
      </w:r>
      <w:hyperlink w:history="1" r:id="rId13">
        <w:r>
          <w:rPr>
            <w:rFonts w:ascii="Georgia" w:hAnsi="Georgia" w:cs="Georgia"/>
            <w:color w:val="0000FF"/>
            <w:sz w:val="20"/>
            <w:szCs w:val="20"/>
          </w:rPr>
          <w:t>(Refs &amp; Annos)</w:t>
        </w:r>
      </w:hyperlink>
    </w:p>
    <w:p w:rsidR="000D6232" w:rsidRDefault="000D6232" w14:paraId="139AF4A8" w14:textId="77777777">
      <w:pPr>
        <w:widowControl w:val="0"/>
        <w:autoSpaceDE w:val="0"/>
        <w:autoSpaceDN w:val="0"/>
        <w:adjustRightInd w:val="0"/>
        <w:spacing w:before="400" w:after="0" w:line="240" w:lineRule="auto"/>
        <w:jc w:val="center"/>
        <w:rPr>
          <w:rFonts w:ascii="Georgia" w:hAnsi="Georgia" w:cs="Georgia"/>
          <w:color w:val="000000"/>
          <w:sz w:val="20"/>
          <w:szCs w:val="20"/>
        </w:rPr>
      </w:pPr>
      <w:r>
        <w:rPr>
          <w:rFonts w:ascii="Georgia" w:hAnsi="Georgia" w:cs="Georgia"/>
          <w:color w:val="000000"/>
          <w:sz w:val="20"/>
          <w:szCs w:val="20"/>
        </w:rPr>
        <w:t>29 C.F.R. § 5.7</w:t>
      </w:r>
    </w:p>
    <w:p w:rsidR="000D6232" w:rsidRDefault="000D6232" w14:paraId="3AA8979D" w14:textId="77777777">
      <w:pPr>
        <w:widowControl w:val="0"/>
        <w:autoSpaceDE w:val="0"/>
        <w:autoSpaceDN w:val="0"/>
        <w:adjustRightInd w:val="0"/>
        <w:spacing w:before="200" w:after="400" w:line="240" w:lineRule="auto"/>
        <w:ind w:left="100" w:right="100"/>
        <w:jc w:val="center"/>
        <w:rPr>
          <w:rFonts w:ascii="Georgia" w:hAnsi="Georgia" w:cs="Georgia"/>
          <w:color w:val="252525"/>
          <w:sz w:val="20"/>
          <w:szCs w:val="20"/>
        </w:rPr>
      </w:pPr>
      <w:bookmarkStart w:name="co_anchor_I6BE211D042B011E08E1CD20EB0A88" w:id="3"/>
      <w:bookmarkEnd w:id="3"/>
      <w:r>
        <w:rPr>
          <w:rFonts w:ascii="Georgia" w:hAnsi="Georgia" w:cs="Georgia"/>
          <w:color w:val="252525"/>
          <w:sz w:val="20"/>
          <w:szCs w:val="20"/>
        </w:rPr>
        <w:t>§ 5.7 Reports to the Secretary of Labor.</w:t>
      </w:r>
    </w:p>
    <w:p w:rsidR="000D6232" w:rsidRDefault="000D6232" w14:paraId="70CD3FEB" w14:textId="77777777">
      <w:pPr>
        <w:widowControl w:val="0"/>
        <w:autoSpaceDE w:val="0"/>
        <w:autoSpaceDN w:val="0"/>
        <w:adjustRightInd w:val="0"/>
        <w:spacing w:after="0" w:line="240" w:lineRule="auto"/>
        <w:jc w:val="center"/>
        <w:rPr>
          <w:rFonts w:ascii="Georgia" w:hAnsi="Georgia" w:cs="Georgia"/>
          <w:color w:val="000000"/>
          <w:sz w:val="20"/>
          <w:szCs w:val="20"/>
        </w:rPr>
      </w:pPr>
      <w:hyperlink w:history="1" r:id="rId14">
        <w:r>
          <w:rPr>
            <w:rFonts w:ascii="Georgia" w:hAnsi="Georgia" w:cs="Georgia"/>
            <w:color w:val="0000FF"/>
            <w:sz w:val="20"/>
            <w:szCs w:val="20"/>
            <w:vertAlign w:val="superscript"/>
          </w:rPr>
          <w:t>Currentness</w:t>
        </w:r>
      </w:hyperlink>
    </w:p>
    <w:p w:rsidR="000D6232" w:rsidRDefault="000D6232" w14:paraId="0D1A0B11"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1EAC042B011E08E1CD20EB0A88" w:id="4"/>
      <w:bookmarkEnd w:id="4"/>
    </w:p>
    <w:p w:rsidR="000D6232" w:rsidRDefault="000D6232" w14:paraId="3B2745D8"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11D142B011E08E1CD20EB0A88" w:id="5"/>
      <w:bookmarkEnd w:id="5"/>
    </w:p>
    <w:p w:rsidR="000D6232" w:rsidRDefault="000D6232" w14:paraId="6CAF51EC" w14:textId="77777777">
      <w:pPr>
        <w:widowControl w:val="0"/>
        <w:autoSpaceDE w:val="0"/>
        <w:autoSpaceDN w:val="0"/>
        <w:adjustRightInd w:val="0"/>
        <w:spacing w:before="400" w:after="0" w:line="240" w:lineRule="auto"/>
        <w:jc w:val="both"/>
        <w:rPr>
          <w:rFonts w:ascii="Times New Roman" w:hAnsi="Times New Roman"/>
          <w:color w:val="000000"/>
          <w:sz w:val="20"/>
          <w:szCs w:val="20"/>
        </w:rPr>
      </w:pPr>
      <w:bookmarkStart w:name="co_pp_8b3b0000958a4_1" w:id="6"/>
      <w:bookmarkEnd w:id="6"/>
      <w:r>
        <w:rPr>
          <w:rFonts w:ascii="Times New Roman" w:hAnsi="Times New Roman"/>
          <w:color w:val="000000"/>
          <w:sz w:val="20"/>
          <w:szCs w:val="20"/>
        </w:rPr>
        <w:t>(a) Enforcement reports.</w:t>
      </w:r>
    </w:p>
    <w:p w:rsidR="000D6232" w:rsidRDefault="000D6232" w14:paraId="1CE6BE80"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5B270067"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11D242B011E08E1CD20EB0A88" w:id="7"/>
      <w:bookmarkEnd w:id="7"/>
    </w:p>
    <w:p w:rsidR="000D6232" w:rsidRDefault="000D6232" w14:paraId="02474956" w14:textId="77777777">
      <w:pPr>
        <w:widowControl w:val="0"/>
        <w:autoSpaceDE w:val="0"/>
        <w:autoSpaceDN w:val="0"/>
        <w:adjustRightInd w:val="0"/>
        <w:spacing w:before="200" w:after="0" w:line="240" w:lineRule="auto"/>
        <w:ind w:left="400"/>
        <w:jc w:val="both"/>
        <w:rPr>
          <w:rFonts w:ascii="Times New Roman" w:hAnsi="Times New Roman"/>
          <w:color w:val="000000"/>
          <w:sz w:val="20"/>
          <w:szCs w:val="20"/>
        </w:rPr>
      </w:pPr>
      <w:bookmarkStart w:name="co_pp_7b9b000044381_1" w:id="8"/>
      <w:bookmarkEnd w:id="8"/>
      <w:r>
        <w:rPr>
          <w:rFonts w:ascii="Times New Roman" w:hAnsi="Times New Roman"/>
          <w:color w:val="000000"/>
          <w:sz w:val="20"/>
          <w:szCs w:val="20"/>
        </w:rPr>
        <w:t xml:space="preserve">(1) Where underpayments by a contractor or subcontractor total less than $1,000, and where there is no reason to believe that the violations are aggravated or willful (or, in the case of the Davis–Bacon Act that the contractor has disregarded its obligations to employees and subcontractors), and where restitution has been effected and future compliance assured, the Federal agency need not submit its investigative findings and recommendations to the Administrator, unless the investigation was made at the request of the Department of Labor. In the latter case, the Federal agency shall submit a factual summary report detailing any violations including any data on the amount of restitution paid, the number of workers who received restitution, liquidated damages assessed under the Contract Work Hours and Safety Standards Act, corrective measures taken (such as “letters of notice”), and any information that may be necessary to review any recommendations for an appropriate adjustment in liquidated damages under </w:t>
      </w:r>
      <w:hyperlink w:history="1" r:id="rId15">
        <w:r>
          <w:rPr>
            <w:rFonts w:ascii="Times New Roman" w:hAnsi="Times New Roman"/>
            <w:color w:val="0000FF"/>
            <w:sz w:val="20"/>
            <w:szCs w:val="20"/>
          </w:rPr>
          <w:t>§ 5.8</w:t>
        </w:r>
      </w:hyperlink>
      <w:r>
        <w:rPr>
          <w:rFonts w:ascii="Times New Roman" w:hAnsi="Times New Roman"/>
          <w:color w:val="000000"/>
          <w:sz w:val="20"/>
          <w:szCs w:val="20"/>
        </w:rPr>
        <w:t>.</w:t>
      </w:r>
    </w:p>
    <w:p w:rsidR="000D6232" w:rsidRDefault="000D6232" w14:paraId="03D51A86"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21673597"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11D342B011E08E1CD20EB0A88" w:id="9"/>
      <w:bookmarkEnd w:id="9"/>
    </w:p>
    <w:p w:rsidR="000D6232" w:rsidRDefault="000D6232" w14:paraId="0F7FA117" w14:textId="77777777">
      <w:pPr>
        <w:widowControl w:val="0"/>
        <w:autoSpaceDE w:val="0"/>
        <w:autoSpaceDN w:val="0"/>
        <w:adjustRightInd w:val="0"/>
        <w:spacing w:before="200" w:after="0" w:line="240" w:lineRule="auto"/>
        <w:ind w:left="400"/>
        <w:jc w:val="both"/>
        <w:rPr>
          <w:rFonts w:ascii="Times New Roman" w:hAnsi="Times New Roman"/>
          <w:color w:val="000000"/>
          <w:sz w:val="20"/>
          <w:szCs w:val="20"/>
        </w:rPr>
      </w:pPr>
      <w:bookmarkStart w:name="co_pp_d86d0000be040_1" w:id="10"/>
      <w:bookmarkEnd w:id="10"/>
      <w:r>
        <w:rPr>
          <w:rFonts w:ascii="Times New Roman" w:hAnsi="Times New Roman"/>
          <w:color w:val="000000"/>
          <w:sz w:val="20"/>
          <w:szCs w:val="20"/>
        </w:rPr>
        <w:t>(2) Where underpayments by a contractor or subcontractor total $1,000 or more, or where there is reason to believe that the violations are aggravated or willful (or, in the case of the Davis–Bacon Act, that the contractor has disregarded its obligations to employees and subcontractors), the Federal agency shall furnish within 60 days after completion of its investigation, a detailed enforcement report to the Administrator.</w:t>
      </w:r>
    </w:p>
    <w:p w:rsidR="000D6232" w:rsidRDefault="000D6232" w14:paraId="2E539F46"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59120D31"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11D442B011E08E1CD20EB0A88" w:id="11"/>
      <w:bookmarkEnd w:id="11"/>
    </w:p>
    <w:p w:rsidR="000D6232" w:rsidRDefault="000D6232" w14:paraId="2491014F" w14:textId="77777777">
      <w:pPr>
        <w:widowControl w:val="0"/>
        <w:autoSpaceDE w:val="0"/>
        <w:autoSpaceDN w:val="0"/>
        <w:adjustRightInd w:val="0"/>
        <w:spacing w:before="200" w:after="0" w:line="240" w:lineRule="auto"/>
        <w:jc w:val="both"/>
        <w:rPr>
          <w:rFonts w:ascii="Times New Roman" w:hAnsi="Times New Roman"/>
          <w:color w:val="000000"/>
          <w:sz w:val="20"/>
          <w:szCs w:val="20"/>
        </w:rPr>
      </w:pPr>
      <w:bookmarkStart w:name="co_pp_a83b000018c76_1" w:id="12"/>
      <w:bookmarkEnd w:id="12"/>
      <w:r w:rsidRPr="00E51D62">
        <w:rPr>
          <w:rFonts w:ascii="Times New Roman" w:hAnsi="Times New Roman"/>
          <w:color w:val="000000"/>
          <w:sz w:val="20"/>
          <w:szCs w:val="20"/>
          <w:highlight w:val="yellow"/>
        </w:rPr>
        <w:t>(b) Semi-annual enforcement reports. To assist the Secretary in fulfilling the responsibilities under Reorganization Plan No. 14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This report has been cleared in accordance with FPMR 101–11.11 and assigned interagency report control number 1482–DOL–SA.</w:t>
      </w:r>
    </w:p>
    <w:p w:rsidR="000D6232" w:rsidRDefault="000D6232" w14:paraId="69EBF017"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1B668BA2"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11D542B011E08E1CD20EB0A88" w:id="13"/>
      <w:bookmarkEnd w:id="13"/>
    </w:p>
    <w:p w:rsidR="000D6232" w:rsidRDefault="000D6232" w14:paraId="48078132" w14:textId="77777777">
      <w:pPr>
        <w:widowControl w:val="0"/>
        <w:autoSpaceDE w:val="0"/>
        <w:autoSpaceDN w:val="0"/>
        <w:adjustRightInd w:val="0"/>
        <w:spacing w:before="200" w:after="0" w:line="240" w:lineRule="auto"/>
        <w:jc w:val="both"/>
        <w:rPr>
          <w:rFonts w:ascii="Times New Roman" w:hAnsi="Times New Roman"/>
          <w:color w:val="000000"/>
          <w:sz w:val="20"/>
          <w:szCs w:val="20"/>
        </w:rPr>
      </w:pPr>
      <w:bookmarkStart w:name="co_pp_4b24000003ba5_1" w:id="14"/>
      <w:bookmarkEnd w:id="14"/>
      <w:r>
        <w:rPr>
          <w:rFonts w:ascii="Times New Roman" w:hAnsi="Times New Roman"/>
          <w:color w:val="000000"/>
          <w:sz w:val="20"/>
          <w:szCs w:val="20"/>
        </w:rPr>
        <w:t xml:space="preserve">(c) Additional information. Upon request, the Agency Head shall transmit to the Administrator such information available to the Agency with respect to contractors and subcontractors, their contracts, and the nature of the contract work as the </w:t>
      </w:r>
      <w:r>
        <w:rPr>
          <w:rFonts w:ascii="Times New Roman" w:hAnsi="Times New Roman"/>
          <w:color w:val="000000"/>
          <w:sz w:val="20"/>
          <w:szCs w:val="20"/>
        </w:rPr>
        <w:lastRenderedPageBreak/>
        <w:t>Administrator may find necessary for the performance of his or her duties with respect to the labor standards provisions referred to in this part.</w:t>
      </w:r>
    </w:p>
    <w:p w:rsidR="000D6232" w:rsidRDefault="000D6232" w14:paraId="62F42F9B"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4CD34259"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38E042B011E08E1CD20EB0A88" w:id="15"/>
      <w:bookmarkEnd w:id="15"/>
    </w:p>
    <w:p w:rsidR="000D6232" w:rsidRDefault="000D6232" w14:paraId="5FA51F88" w14:textId="77777777">
      <w:pPr>
        <w:widowControl w:val="0"/>
        <w:autoSpaceDE w:val="0"/>
        <w:autoSpaceDN w:val="0"/>
        <w:adjustRightInd w:val="0"/>
        <w:spacing w:before="200" w:after="0" w:line="240" w:lineRule="auto"/>
        <w:jc w:val="both"/>
        <w:rPr>
          <w:rFonts w:ascii="Times New Roman" w:hAnsi="Times New Roman"/>
          <w:color w:val="000000"/>
          <w:sz w:val="20"/>
          <w:szCs w:val="20"/>
        </w:rPr>
      </w:pPr>
      <w:bookmarkStart w:name="co_pp_5ba1000067d06_1" w:id="16"/>
      <w:bookmarkEnd w:id="16"/>
      <w:r>
        <w:rPr>
          <w:rFonts w:ascii="Times New Roman" w:hAnsi="Times New Roman"/>
          <w:color w:val="000000"/>
          <w:sz w:val="20"/>
          <w:szCs w:val="20"/>
        </w:rPr>
        <w:t xml:space="preserve">(d) Contract termination. Where a contract is terminated by reason of violations of the labor standards provisions of the statutes listed in </w:t>
      </w:r>
      <w:hyperlink w:history="1" r:id="rId16">
        <w:r>
          <w:rPr>
            <w:rFonts w:ascii="Times New Roman" w:hAnsi="Times New Roman"/>
            <w:color w:val="0000FF"/>
            <w:sz w:val="20"/>
            <w:szCs w:val="20"/>
          </w:rPr>
          <w:t>§ 5.1</w:t>
        </w:r>
      </w:hyperlink>
      <w:r>
        <w:rPr>
          <w:rFonts w:ascii="Times New Roman" w:hAnsi="Times New Roman"/>
          <w:color w:val="000000"/>
          <w:sz w:val="20"/>
          <w:szCs w:val="20"/>
        </w:rPr>
        <w:t>, a report shall be submitted promptly to the Administrator and to the Comptroller General (if the contract is subject to the Davis–Bacon Act), giving the name and address of the contractor or subcontractor whose right to proceed has been terminated, and the name and address of the contractor or subcontractor, if any, who is to complete the work, the amount and number of the contract, and the description of the work to be performed.</w:t>
      </w:r>
    </w:p>
    <w:p w:rsidR="000D6232" w:rsidRDefault="000D6232" w14:paraId="5CB77E05"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066A68F3"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Credits_1" w:id="17"/>
      <w:bookmarkEnd w:id="17"/>
    </w:p>
    <w:p w:rsidR="000D6232" w:rsidRDefault="000D6232" w14:paraId="3B48F1AB" w14:textId="77777777">
      <w:pPr>
        <w:widowControl w:val="0"/>
        <w:autoSpaceDE w:val="0"/>
        <w:autoSpaceDN w:val="0"/>
        <w:adjustRightInd w:val="0"/>
        <w:spacing w:before="200" w:after="0" w:line="240" w:lineRule="auto"/>
        <w:jc w:val="both"/>
        <w:rPr>
          <w:rFonts w:ascii="Times New Roman" w:hAnsi="Times New Roman"/>
          <w:b/>
          <w:bCs/>
          <w:color w:val="212121"/>
          <w:sz w:val="20"/>
          <w:szCs w:val="20"/>
        </w:rPr>
      </w:pPr>
      <w:r>
        <w:rPr>
          <w:rFonts w:ascii="Times New Roman" w:hAnsi="Times New Roman"/>
          <w:b/>
          <w:bCs/>
          <w:color w:val="212121"/>
          <w:sz w:val="20"/>
          <w:szCs w:val="20"/>
        </w:rPr>
        <w:t>Credits</w:t>
      </w:r>
    </w:p>
    <w:p w:rsidR="000D6232" w:rsidRDefault="000D6232" w14:paraId="786BFA38"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6BE238E142B011E08E1CD20EB0A88" w:id="18"/>
      <w:bookmarkEnd w:id="18"/>
    </w:p>
    <w:p w:rsidR="000D6232" w:rsidRDefault="000D6232" w14:paraId="616B3306"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[29 FR 102, Jan. 4, 1964, as amended at </w:t>
      </w:r>
      <w:hyperlink w:history="1" r:id="rId17">
        <w:r>
          <w:rPr>
            <w:rFonts w:ascii="Times New Roman" w:hAnsi="Times New Roman"/>
            <w:color w:val="0000FF"/>
            <w:sz w:val="20"/>
            <w:szCs w:val="20"/>
          </w:rPr>
          <w:t>30 FR 13136</w:t>
        </w:r>
      </w:hyperlink>
      <w:r>
        <w:rPr>
          <w:rFonts w:ascii="Times New Roman" w:hAnsi="Times New Roman"/>
          <w:color w:val="000000"/>
          <w:sz w:val="20"/>
          <w:szCs w:val="20"/>
        </w:rPr>
        <w:t xml:space="preserve">, Oct. 15, 1965; </w:t>
      </w:r>
      <w:hyperlink w:history="1" r:id="rId18">
        <w:r>
          <w:rPr>
            <w:rFonts w:ascii="Times New Roman" w:hAnsi="Times New Roman"/>
            <w:color w:val="0000FF"/>
            <w:sz w:val="20"/>
            <w:szCs w:val="20"/>
          </w:rPr>
          <w:t>42 FR 54803</w:t>
        </w:r>
      </w:hyperlink>
      <w:r>
        <w:rPr>
          <w:rFonts w:ascii="Times New Roman" w:hAnsi="Times New Roman"/>
          <w:color w:val="000000"/>
          <w:sz w:val="20"/>
          <w:szCs w:val="20"/>
        </w:rPr>
        <w:t>, Oct. 11, 1977]</w:t>
      </w:r>
    </w:p>
    <w:p w:rsidR="000D6232" w:rsidRDefault="000D6232" w14:paraId="6891509B"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29CE4BF0"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BEDB8D40CCE811EA912BD49A90A16" w:id="19"/>
      <w:bookmarkEnd w:id="19"/>
    </w:p>
    <w:p w:rsidR="000D6232" w:rsidRDefault="000D6232" w14:paraId="6A43F2CD" w14:textId="77777777">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SOURCE: </w:t>
      </w:r>
      <w:hyperlink w:history="1" r:id="rId19">
        <w:r>
          <w:rPr>
            <w:rFonts w:ascii="Times New Roman" w:hAnsi="Times New Roman"/>
            <w:color w:val="0000FF"/>
            <w:sz w:val="20"/>
            <w:szCs w:val="20"/>
          </w:rPr>
          <w:t>48 FR 19541</w:t>
        </w:r>
      </w:hyperlink>
      <w:r>
        <w:rPr>
          <w:rFonts w:ascii="Times New Roman" w:hAnsi="Times New Roman"/>
          <w:color w:val="000000"/>
          <w:sz w:val="20"/>
          <w:szCs w:val="20"/>
        </w:rPr>
        <w:t xml:space="preserve">, April 29, 1983; </w:t>
      </w:r>
      <w:hyperlink w:history="1" r:id="rId20">
        <w:r>
          <w:rPr>
            <w:rFonts w:ascii="Times New Roman" w:hAnsi="Times New Roman"/>
            <w:color w:val="0000FF"/>
            <w:sz w:val="20"/>
            <w:szCs w:val="20"/>
          </w:rPr>
          <w:t>51 FR 12265</w:t>
        </w:r>
      </w:hyperlink>
      <w:r>
        <w:rPr>
          <w:rFonts w:ascii="Times New Roman" w:hAnsi="Times New Roman"/>
          <w:color w:val="000000"/>
          <w:sz w:val="20"/>
          <w:szCs w:val="20"/>
        </w:rPr>
        <w:t xml:space="preserve">, April 9, 1986; </w:t>
      </w:r>
      <w:hyperlink w:history="1" r:id="rId21">
        <w:r>
          <w:rPr>
            <w:rFonts w:ascii="Times New Roman" w:hAnsi="Times New Roman"/>
            <w:color w:val="0000FF"/>
            <w:sz w:val="20"/>
            <w:szCs w:val="20"/>
          </w:rPr>
          <w:t>61 FR 40716</w:t>
        </w:r>
      </w:hyperlink>
      <w:r>
        <w:rPr>
          <w:rFonts w:ascii="Times New Roman" w:hAnsi="Times New Roman"/>
          <w:color w:val="000000"/>
          <w:sz w:val="20"/>
          <w:szCs w:val="20"/>
        </w:rPr>
        <w:t xml:space="preserve">, Aug. 5, 1996; </w:t>
      </w:r>
      <w:hyperlink w:history="1" r:id="rId22">
        <w:r>
          <w:rPr>
            <w:rFonts w:ascii="Times New Roman" w:hAnsi="Times New Roman"/>
            <w:color w:val="0000FF"/>
            <w:sz w:val="20"/>
            <w:szCs w:val="20"/>
          </w:rPr>
          <w:t>65 FR 80278</w:t>
        </w:r>
      </w:hyperlink>
      <w:r>
        <w:rPr>
          <w:rFonts w:ascii="Times New Roman" w:hAnsi="Times New Roman"/>
          <w:color w:val="000000"/>
          <w:sz w:val="20"/>
          <w:szCs w:val="20"/>
        </w:rPr>
        <w:t xml:space="preserve">, Dec. 20, 2000; </w:t>
      </w:r>
      <w:hyperlink w:history="1" r:id="rId23">
        <w:r>
          <w:rPr>
            <w:rFonts w:ascii="Times New Roman" w:hAnsi="Times New Roman"/>
            <w:color w:val="0000FF"/>
            <w:sz w:val="20"/>
            <w:szCs w:val="20"/>
          </w:rPr>
          <w:t>73 FR 77511</w:t>
        </w:r>
      </w:hyperlink>
      <w:r>
        <w:rPr>
          <w:rFonts w:ascii="Times New Roman" w:hAnsi="Times New Roman"/>
          <w:color w:val="000000"/>
          <w:sz w:val="20"/>
          <w:szCs w:val="20"/>
        </w:rPr>
        <w:t xml:space="preserve">, Dec. 19, 2008; </w:t>
      </w:r>
      <w:hyperlink w:history="1" r:id="rId24">
        <w:r>
          <w:rPr>
            <w:rFonts w:ascii="Times New Roman" w:hAnsi="Times New Roman"/>
            <w:color w:val="0000FF"/>
            <w:sz w:val="20"/>
            <w:szCs w:val="20"/>
          </w:rPr>
          <w:t>81 FR 43450</w:t>
        </w:r>
      </w:hyperlink>
      <w:r>
        <w:rPr>
          <w:rFonts w:ascii="Times New Roman" w:hAnsi="Times New Roman"/>
          <w:color w:val="000000"/>
          <w:sz w:val="20"/>
          <w:szCs w:val="20"/>
        </w:rPr>
        <w:t>, July 1, 2016, unless otherwise noted.</w:t>
      </w:r>
    </w:p>
    <w:p w:rsidR="000D6232" w:rsidRDefault="000D6232" w14:paraId="4BC6A0A7"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1E0DFC04"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anchor_IBEDB8D41CCE811EA912BD49A90A16" w:id="20"/>
      <w:bookmarkEnd w:id="20"/>
    </w:p>
    <w:p w:rsidR="000D6232" w:rsidRDefault="000D6232" w14:paraId="1989D4A9" w14:textId="77777777">
      <w:pPr>
        <w:widowControl w:val="0"/>
        <w:autoSpaceDE w:val="0"/>
        <w:autoSpaceDN w:val="0"/>
        <w:adjustRightInd w:val="0"/>
        <w:spacing w:before="200"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AUTHORITY: </w:t>
      </w:r>
      <w:hyperlink w:history="1" r:id="rId25">
        <w:r>
          <w:rPr>
            <w:rFonts w:ascii="Times New Roman" w:hAnsi="Times New Roman"/>
            <w:color w:val="0000FF"/>
            <w:sz w:val="20"/>
            <w:szCs w:val="20"/>
          </w:rPr>
          <w:t>5 U.S.C. 301</w:t>
        </w:r>
      </w:hyperlink>
      <w:r>
        <w:rPr>
          <w:rFonts w:ascii="Times New Roman" w:hAnsi="Times New Roman"/>
          <w:color w:val="000000"/>
          <w:sz w:val="20"/>
          <w:szCs w:val="20"/>
        </w:rPr>
        <w:t xml:space="preserve">; R.S. 161, 64 Stat. 1267; Reorganization Plan No. 14 of 1950, 5 U.S.C. appendix; </w:t>
      </w:r>
      <w:hyperlink w:history="1" r:id="rId26">
        <w:r>
          <w:rPr>
            <w:rFonts w:ascii="Times New Roman" w:hAnsi="Times New Roman"/>
            <w:color w:val="0000FF"/>
            <w:sz w:val="20"/>
            <w:szCs w:val="20"/>
          </w:rPr>
          <w:t>40 U.S.C. 3141 et seq.</w:t>
        </w:r>
      </w:hyperlink>
      <w:r>
        <w:rPr>
          <w:rFonts w:ascii="Times New Roman" w:hAnsi="Times New Roman"/>
          <w:color w:val="000000"/>
          <w:sz w:val="20"/>
          <w:szCs w:val="20"/>
        </w:rPr>
        <w:t xml:space="preserve">; </w:t>
      </w:r>
      <w:hyperlink w:history="1" r:id="rId27">
        <w:r>
          <w:rPr>
            <w:rFonts w:ascii="Times New Roman" w:hAnsi="Times New Roman"/>
            <w:color w:val="0000FF"/>
            <w:sz w:val="20"/>
            <w:szCs w:val="20"/>
          </w:rPr>
          <w:t>40 U.S.C. 3145</w:t>
        </w:r>
      </w:hyperlink>
      <w:r>
        <w:rPr>
          <w:rFonts w:ascii="Times New Roman" w:hAnsi="Times New Roman"/>
          <w:color w:val="000000"/>
          <w:sz w:val="20"/>
          <w:szCs w:val="20"/>
        </w:rPr>
        <w:t xml:space="preserve">; </w:t>
      </w:r>
      <w:hyperlink w:history="1" r:id="rId28">
        <w:r>
          <w:rPr>
            <w:rFonts w:ascii="Times New Roman" w:hAnsi="Times New Roman"/>
            <w:color w:val="0000FF"/>
            <w:sz w:val="20"/>
            <w:szCs w:val="20"/>
          </w:rPr>
          <w:t>40 U.S.C. 3148</w:t>
        </w:r>
      </w:hyperlink>
      <w:r>
        <w:rPr>
          <w:rFonts w:ascii="Times New Roman" w:hAnsi="Times New Roman"/>
          <w:color w:val="000000"/>
          <w:sz w:val="20"/>
          <w:szCs w:val="20"/>
        </w:rPr>
        <w:t xml:space="preserve">; </w:t>
      </w:r>
      <w:hyperlink w:history="1" r:id="rId29">
        <w:r>
          <w:rPr>
            <w:rFonts w:ascii="Times New Roman" w:hAnsi="Times New Roman"/>
            <w:color w:val="0000FF"/>
            <w:sz w:val="20"/>
            <w:szCs w:val="20"/>
          </w:rPr>
          <w:t>40 U.S.C. 3701 et seq.</w:t>
        </w:r>
      </w:hyperlink>
      <w:r>
        <w:rPr>
          <w:rFonts w:ascii="Times New Roman" w:hAnsi="Times New Roman"/>
          <w:color w:val="000000"/>
          <w:sz w:val="20"/>
          <w:szCs w:val="20"/>
        </w:rPr>
        <w:t xml:space="preserve">; and the laws listed in 5.1(a) of this part; </w:t>
      </w:r>
      <w:hyperlink w:history="1" r:id="rId30">
        <w:r>
          <w:rPr>
            <w:rFonts w:ascii="Times New Roman" w:hAnsi="Times New Roman"/>
            <w:color w:val="0000FF"/>
            <w:sz w:val="20"/>
            <w:szCs w:val="20"/>
          </w:rPr>
          <w:t>Secretary’s Order No. 01–2014 (Dec. 19, 2014), 79 FR 77527 (Dec. 24, 2014)</w:t>
        </w:r>
      </w:hyperlink>
      <w:r>
        <w:rPr>
          <w:rFonts w:ascii="Times New Roman" w:hAnsi="Times New Roman"/>
          <w:color w:val="000000"/>
          <w:sz w:val="20"/>
          <w:szCs w:val="20"/>
        </w:rPr>
        <w:t xml:space="preserve">; </w:t>
      </w:r>
      <w:hyperlink w:history="1" r:id="rId31">
        <w:r>
          <w:rPr>
            <w:rFonts w:ascii="Times New Roman" w:hAnsi="Times New Roman"/>
            <w:color w:val="0000FF"/>
            <w:sz w:val="20"/>
            <w:szCs w:val="20"/>
          </w:rPr>
          <w:t>28 U.S.C. 2461</w:t>
        </w:r>
      </w:hyperlink>
      <w:r>
        <w:rPr>
          <w:rFonts w:ascii="Times New Roman" w:hAnsi="Times New Roman"/>
          <w:color w:val="000000"/>
          <w:sz w:val="20"/>
          <w:szCs w:val="20"/>
        </w:rPr>
        <w:t xml:space="preserve"> note (Federal Civil Penalties Inflation Adjustment Act of 1990); </w:t>
      </w:r>
      <w:hyperlink w:history="1" r:id="rId32">
        <w:r>
          <w:rPr>
            <w:rFonts w:ascii="Times New Roman" w:hAnsi="Times New Roman"/>
            <w:color w:val="0000FF"/>
            <w:sz w:val="20"/>
            <w:szCs w:val="20"/>
          </w:rPr>
          <w:t>Pub.L. 114–74</w:t>
        </w:r>
      </w:hyperlink>
      <w:r>
        <w:rPr>
          <w:rFonts w:ascii="Times New Roman" w:hAnsi="Times New Roman"/>
          <w:color w:val="000000"/>
          <w:sz w:val="20"/>
          <w:szCs w:val="20"/>
        </w:rPr>
        <w:t xml:space="preserve"> at § 701, 129 Stat 584.; </w:t>
      </w:r>
      <w:hyperlink w:history="1" r:id="rId33">
        <w:r>
          <w:rPr>
            <w:rFonts w:ascii="Times New Roman" w:hAnsi="Times New Roman"/>
            <w:color w:val="0000FF"/>
            <w:sz w:val="20"/>
            <w:szCs w:val="20"/>
          </w:rPr>
          <w:t>40 U.S.C. 276a</w:t>
        </w:r>
      </w:hyperlink>
      <w:r>
        <w:rPr>
          <w:rFonts w:ascii="Times New Roman" w:hAnsi="Times New Roman"/>
          <w:color w:val="000000"/>
          <w:sz w:val="20"/>
          <w:szCs w:val="20"/>
        </w:rPr>
        <w:t>–</w:t>
      </w:r>
      <w:hyperlink w:history="1" r:id="rId34">
        <w:r>
          <w:rPr>
            <w:rFonts w:ascii="Times New Roman" w:hAnsi="Times New Roman"/>
            <w:color w:val="0000FF"/>
            <w:sz w:val="20"/>
            <w:szCs w:val="20"/>
          </w:rPr>
          <w:t>276a–7</w:t>
        </w:r>
      </w:hyperlink>
      <w:r>
        <w:rPr>
          <w:rFonts w:ascii="Times New Roman" w:hAnsi="Times New Roman"/>
          <w:color w:val="000000"/>
          <w:sz w:val="20"/>
          <w:szCs w:val="20"/>
        </w:rPr>
        <w:t xml:space="preserve">; </w:t>
      </w:r>
      <w:hyperlink w:history="1" r:id="rId35">
        <w:r>
          <w:rPr>
            <w:rFonts w:ascii="Times New Roman" w:hAnsi="Times New Roman"/>
            <w:color w:val="0000FF"/>
            <w:sz w:val="20"/>
            <w:szCs w:val="20"/>
          </w:rPr>
          <w:t>40 U.S.C. 276c</w:t>
        </w:r>
      </w:hyperlink>
      <w:r>
        <w:rPr>
          <w:rFonts w:ascii="Times New Roman" w:hAnsi="Times New Roman"/>
          <w:color w:val="000000"/>
          <w:sz w:val="20"/>
          <w:szCs w:val="20"/>
        </w:rPr>
        <w:t xml:space="preserve">; </w:t>
      </w:r>
      <w:hyperlink w:history="1" r:id="rId36">
        <w:r>
          <w:rPr>
            <w:rFonts w:ascii="Times New Roman" w:hAnsi="Times New Roman"/>
            <w:color w:val="0000FF"/>
            <w:sz w:val="20"/>
            <w:szCs w:val="20"/>
          </w:rPr>
          <w:t>40 U.S.C. 327</w:t>
        </w:r>
      </w:hyperlink>
      <w:r>
        <w:rPr>
          <w:rFonts w:ascii="Times New Roman" w:hAnsi="Times New Roman"/>
          <w:color w:val="000000"/>
          <w:sz w:val="20"/>
          <w:szCs w:val="20"/>
        </w:rPr>
        <w:t>–</w:t>
      </w:r>
      <w:hyperlink w:history="1" r:id="rId37">
        <w:r>
          <w:rPr>
            <w:rFonts w:ascii="Times New Roman" w:hAnsi="Times New Roman"/>
            <w:color w:val="0000FF"/>
            <w:sz w:val="20"/>
            <w:szCs w:val="20"/>
          </w:rPr>
          <w:t>332</w:t>
        </w:r>
      </w:hyperlink>
      <w:r>
        <w:rPr>
          <w:rFonts w:ascii="Times New Roman" w:hAnsi="Times New Roman"/>
          <w:color w:val="000000"/>
          <w:sz w:val="20"/>
          <w:szCs w:val="20"/>
        </w:rPr>
        <w:t xml:space="preserve">; Reorganization Plan No. 14 of 1950, 5 U.S.C. Appendix; </w:t>
      </w:r>
      <w:hyperlink w:history="1" r:id="rId38">
        <w:r>
          <w:rPr>
            <w:rFonts w:ascii="Times New Roman" w:hAnsi="Times New Roman"/>
            <w:color w:val="0000FF"/>
            <w:sz w:val="20"/>
            <w:szCs w:val="20"/>
          </w:rPr>
          <w:t>5 U.S.C. 301</w:t>
        </w:r>
      </w:hyperlink>
      <w:r>
        <w:rPr>
          <w:rFonts w:ascii="Times New Roman" w:hAnsi="Times New Roman"/>
          <w:color w:val="000000"/>
          <w:sz w:val="20"/>
          <w:szCs w:val="20"/>
        </w:rPr>
        <w:t>; and the statutes listed in section 5.1(a) of this part.</w:t>
      </w:r>
    </w:p>
    <w:p w:rsidR="000D6232" w:rsidRDefault="000D6232" w14:paraId="57B01B81" w14:textId="77777777">
      <w:pPr>
        <w:widowControl w:val="0"/>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 </w:t>
      </w:r>
    </w:p>
    <w:p w:rsidR="000D6232" w:rsidRDefault="000D6232" w14:paraId="1A1C01FA" w14:textId="77777777">
      <w:pPr>
        <w:widowControl w:val="0"/>
        <w:autoSpaceDE w:val="0"/>
        <w:autoSpaceDN w:val="0"/>
        <w:adjustRightInd w:val="0"/>
        <w:spacing w:after="0" w:line="240" w:lineRule="auto"/>
        <w:jc w:val="both"/>
        <w:rPr>
          <w:rFonts w:ascii="Times New Roman" w:hAnsi="Times New Roman"/>
          <w:color w:val="000000"/>
          <w:sz w:val="20"/>
          <w:szCs w:val="20"/>
        </w:rPr>
      </w:pPr>
      <w:bookmarkStart w:name="co_notesOfDecisions_1" w:id="21"/>
      <w:bookmarkEnd w:id="21"/>
    </w:p>
    <w:p w:rsidR="000D6232" w:rsidRDefault="000D6232" w14:paraId="3F848CB1" w14:textId="77777777">
      <w:pPr>
        <w:widowControl w:val="0"/>
        <w:autoSpaceDE w:val="0"/>
        <w:autoSpaceDN w:val="0"/>
        <w:adjustRightInd w:val="0"/>
        <w:spacing w:after="0" w:line="240" w:lineRule="auto"/>
        <w:jc w:val="both"/>
        <w:rPr>
          <w:rFonts w:ascii="Times New Roman" w:hAnsi="Times New Roman"/>
          <w:color w:val="000000"/>
          <w:sz w:val="20"/>
          <w:szCs w:val="20"/>
        </w:rPr>
      </w:pPr>
      <w:hyperlink w:history="1" r:id="rId39">
        <w:r>
          <w:rPr>
            <w:rFonts w:ascii="Times New Roman" w:hAnsi="Times New Roman"/>
            <w:color w:val="0000FF"/>
            <w:sz w:val="20"/>
            <w:szCs w:val="20"/>
          </w:rPr>
          <w:t>Notes of Decisions (1)</w:t>
        </w:r>
      </w:hyperlink>
    </w:p>
    <w:p w:rsidR="000D6232" w:rsidRDefault="000D6232" w14:paraId="5B1636F8" w14:textId="77777777">
      <w:pPr>
        <w:widowControl w:val="0"/>
        <w:autoSpaceDE w:val="0"/>
        <w:autoSpaceDN w:val="0"/>
        <w:adjustRightInd w:val="0"/>
        <w:spacing w:before="600" w:after="0" w:line="240" w:lineRule="auto"/>
        <w:jc w:val="both"/>
        <w:rPr>
          <w:rFonts w:ascii="Times New Roman" w:hAnsi="Times New Roman"/>
          <w:color w:val="000000"/>
          <w:sz w:val="20"/>
          <w:szCs w:val="20"/>
        </w:rPr>
      </w:pPr>
      <w:bookmarkStart w:name="co_anchor_IBEC80540CCE811EA912BD49A90A16" w:id="22"/>
      <w:bookmarkEnd w:id="22"/>
      <w:r>
        <w:rPr>
          <w:rFonts w:ascii="Times New Roman" w:hAnsi="Times New Roman"/>
          <w:color w:val="000000"/>
          <w:sz w:val="20"/>
          <w:szCs w:val="20"/>
        </w:rPr>
        <w:t>Current through September 10, 2020; 85 FR 56106.</w:t>
      </w: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0D6232" w14:paraId="060409CB" w14:textId="77777777">
        <w:tblPrEx>
          <w:tblCellMar>
            <w:top w:w="0" w:type="dxa"/>
            <w:left w:w="0" w:type="dxa"/>
            <w:bottom w:w="0" w:type="dxa"/>
            <w:right w:w="0" w:type="dxa"/>
          </w:tblCellMar>
        </w:tblPrEx>
        <w:tc>
          <w:tcPr>
            <w:tcW w:w="4320" w:type="dxa"/>
            <w:tcBorders>
              <w:top w:val="single" w:color="777777" w:sz="4" w:space="0"/>
              <w:left w:val="nil"/>
              <w:bottom w:val="nil"/>
              <w:right w:val="nil"/>
            </w:tcBorders>
            <w:tcMar>
              <w:top w:w="100" w:type="dxa"/>
              <w:left w:w="24" w:type="dxa"/>
              <w:right w:w="24" w:type="dxa"/>
            </w:tcMar>
          </w:tcPr>
          <w:p w:rsidR="000D6232" w:rsidRDefault="000D6232" w14:paraId="7E47ABAC" w14:textId="77777777">
            <w:pPr>
              <w:widowControl w:val="0"/>
              <w:autoSpaceDE w:val="0"/>
              <w:autoSpaceDN w:val="0"/>
              <w:adjustRightInd w:val="0"/>
              <w:spacing w:after="0" w:line="240" w:lineRule="auto"/>
              <w:ind w:left="24" w:right="24"/>
              <w:rPr>
                <w:rFonts w:ascii="Times New Roman" w:hAnsi="Times New Roman"/>
                <w:b/>
                <w:bCs/>
                <w:color w:val="777777"/>
                <w:sz w:val="16"/>
                <w:szCs w:val="16"/>
              </w:rPr>
            </w:pPr>
            <w:r>
              <w:rPr>
                <w:rFonts w:ascii="Times New Roman" w:hAnsi="Times New Roman"/>
                <w:b/>
                <w:bCs/>
                <w:color w:val="777777"/>
                <w:sz w:val="16"/>
                <w:szCs w:val="16"/>
              </w:rPr>
              <w:t>End of Document</w:t>
            </w:r>
          </w:p>
          <w:p w:rsidR="000D6232" w:rsidRDefault="000D6232" w14:paraId="1E91CEB0" w14:textId="77777777">
            <w:pPr>
              <w:widowControl w:val="0"/>
              <w:autoSpaceDE w:val="0"/>
              <w:autoSpaceDN w:val="0"/>
              <w:adjustRightInd w:val="0"/>
              <w:spacing w:after="0" w:line="240" w:lineRule="auto"/>
              <w:ind w:left="24" w:right="24"/>
              <w:rPr>
                <w:rFonts w:ascii="Times New Roman" w:hAnsi="Times New Roman"/>
                <w:b/>
                <w:bCs/>
                <w:color w:val="777777"/>
                <w:sz w:val="16"/>
                <w:szCs w:val="16"/>
              </w:rPr>
            </w:pPr>
          </w:p>
        </w:tc>
        <w:tc>
          <w:tcPr>
            <w:tcW w:w="5760" w:type="dxa"/>
            <w:tcBorders>
              <w:top w:val="single" w:color="777777" w:sz="4" w:space="0"/>
              <w:left w:val="nil"/>
              <w:bottom w:val="nil"/>
              <w:right w:val="nil"/>
            </w:tcBorders>
            <w:tcMar>
              <w:top w:w="100" w:type="dxa"/>
              <w:left w:w="24" w:type="dxa"/>
              <w:right w:w="24" w:type="dxa"/>
            </w:tcMar>
          </w:tcPr>
          <w:p w:rsidR="000D6232" w:rsidRDefault="000D6232" w14:paraId="5AB2EA50" w14:textId="77777777">
            <w:pPr>
              <w:widowControl w:val="0"/>
              <w:autoSpaceDE w:val="0"/>
              <w:autoSpaceDN w:val="0"/>
              <w:adjustRightInd w:val="0"/>
              <w:spacing w:after="0" w:line="240" w:lineRule="auto"/>
              <w:ind w:left="24" w:right="24"/>
              <w:jc w:val="right"/>
              <w:rPr>
                <w:rFonts w:ascii="Times New Roman" w:hAnsi="Times New Roman"/>
                <w:color w:val="777777"/>
                <w:sz w:val="16"/>
                <w:szCs w:val="16"/>
              </w:rPr>
            </w:pPr>
            <w:r>
              <w:rPr>
                <w:rFonts w:ascii="Times New Roman" w:hAnsi="Times New Roman"/>
                <w:color w:val="777777"/>
                <w:sz w:val="16"/>
                <w:szCs w:val="16"/>
              </w:rPr>
              <w:t>© 2020 Thomson Reuters. No claim to original U.S. Government Works.</w:t>
            </w:r>
          </w:p>
          <w:p w:rsidR="000D6232" w:rsidRDefault="000D6232" w14:paraId="1CD3D7A1" w14:textId="77777777">
            <w:pPr>
              <w:widowControl w:val="0"/>
              <w:autoSpaceDE w:val="0"/>
              <w:autoSpaceDN w:val="0"/>
              <w:adjustRightInd w:val="0"/>
              <w:spacing w:after="0" w:line="240" w:lineRule="auto"/>
              <w:ind w:left="24" w:right="24"/>
              <w:jc w:val="right"/>
              <w:rPr>
                <w:rFonts w:ascii="Times New Roman" w:hAnsi="Times New Roman"/>
                <w:color w:val="777777"/>
                <w:sz w:val="16"/>
                <w:szCs w:val="16"/>
              </w:rPr>
            </w:pPr>
          </w:p>
        </w:tc>
      </w:tr>
    </w:tbl>
    <w:p w:rsidR="000D6232" w:rsidRDefault="000D6232" w14:paraId="63F85D1A" w14:textId="77777777">
      <w:pPr>
        <w:widowControl w:val="0"/>
        <w:autoSpaceDE w:val="0"/>
        <w:autoSpaceDN w:val="0"/>
        <w:adjustRightInd w:val="0"/>
        <w:spacing w:after="0" w:line="240" w:lineRule="auto"/>
        <w:jc w:val="both"/>
        <w:rPr>
          <w:rFonts w:ascii="Times New Roman" w:hAnsi="Times New Roman"/>
          <w:color w:val="000000"/>
          <w:sz w:val="20"/>
          <w:szCs w:val="20"/>
        </w:rPr>
      </w:pPr>
    </w:p>
    <w:p w:rsidR="000D6232" w:rsidRDefault="000D6232" w14:paraId="4A189CAA" w14:textId="77777777">
      <w:pPr>
        <w:widowControl w:val="0"/>
        <w:autoSpaceDE w:val="0"/>
        <w:autoSpaceDN w:val="0"/>
        <w:adjustRightInd w:val="0"/>
        <w:spacing w:after="0" w:line="240" w:lineRule="auto"/>
        <w:rPr>
          <w:rFonts w:ascii="Arial" w:hAnsi="Arial" w:cs="Arial"/>
          <w:sz w:val="24"/>
          <w:szCs w:val="24"/>
        </w:rPr>
      </w:pPr>
    </w:p>
    <w:sectPr w:rsidR="000D6232">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CD324" w14:textId="77777777" w:rsidR="000D6232" w:rsidRDefault="000D6232">
      <w:pPr>
        <w:spacing w:after="0" w:line="240" w:lineRule="auto"/>
      </w:pPr>
      <w:r>
        <w:separator/>
      </w:r>
    </w:p>
  </w:endnote>
  <w:endnote w:type="continuationSeparator" w:id="0">
    <w:p w14:paraId="16299D7B" w14:textId="77777777" w:rsidR="000D6232" w:rsidRDefault="000D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0D6232" w14:paraId="023D4957"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6C0F61F9" w14:textId="77777777" w:rsidR="000D6232" w:rsidRDefault="000D6232">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pict w14:anchorId="4002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7.5pt">
                <v:imagedata r:id="rId1" o:title=""/>
              </v:shape>
            </w:pict>
          </w:r>
          <w:r>
            <w:rPr>
              <w:rFonts w:ascii="Arial" w:hAnsi="Arial" w:cs="Arial"/>
              <w:color w:val="AAAAAA"/>
              <w:sz w:val="20"/>
              <w:szCs w:val="20"/>
            </w:rPr>
            <w:t xml:space="preserve"> © 2020 Thomson Reuters. No claim to original U.S. Government Works.</w:t>
          </w:r>
        </w:p>
      </w:tc>
      <w:tc>
        <w:tcPr>
          <w:tcW w:w="700" w:type="dxa"/>
          <w:tcBorders>
            <w:top w:val="single" w:sz="8" w:space="0" w:color="AAAAAA"/>
            <w:left w:val="nil"/>
            <w:bottom w:val="nil"/>
            <w:right w:val="nil"/>
          </w:tcBorders>
          <w:tcMar>
            <w:top w:w="60" w:type="dxa"/>
          </w:tcMar>
        </w:tcPr>
        <w:p w14:paraId="252E74A3" w14:textId="77777777" w:rsidR="000D6232" w:rsidRDefault="000D6232">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043343F5" w14:textId="77777777" w:rsidR="000D6232" w:rsidRDefault="000D6232">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F0704" w14:textId="77777777" w:rsidR="000D6232" w:rsidRDefault="000D6232">
      <w:pPr>
        <w:spacing w:after="0" w:line="240" w:lineRule="auto"/>
      </w:pPr>
      <w:r>
        <w:separator/>
      </w:r>
    </w:p>
  </w:footnote>
  <w:footnote w:type="continuationSeparator" w:id="0">
    <w:p w14:paraId="3461242E" w14:textId="77777777" w:rsidR="000D6232" w:rsidRDefault="000D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80"/>
      <w:gridCol w:w="700"/>
    </w:tblGrid>
    <w:tr w:rsidR="000D6232" w14:paraId="02CBC734"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597079A1" w14:textId="77777777" w:rsidR="000D6232" w:rsidRDefault="000D6232">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555555"/>
              <w:sz w:val="18"/>
              <w:szCs w:val="18"/>
            </w:rPr>
            <w:t>§ 5.7 Reports to the Secretary of Labor., 29 C.F.R. § 5.7</w:t>
          </w:r>
        </w:p>
      </w:tc>
      <w:tc>
        <w:tcPr>
          <w:tcW w:w="700" w:type="dxa"/>
          <w:tcBorders>
            <w:top w:val="nil"/>
            <w:left w:val="nil"/>
            <w:bottom w:val="single" w:sz="8" w:space="0" w:color="AAAAAA"/>
            <w:right w:val="nil"/>
          </w:tcBorders>
          <w:tcMar>
            <w:top w:w="400" w:type="dxa"/>
            <w:bottom w:w="60" w:type="dxa"/>
          </w:tcMar>
        </w:tcPr>
        <w:p w14:paraId="4AF70D73" w14:textId="77777777" w:rsidR="000D6232" w:rsidRDefault="000D6232">
          <w:pPr>
            <w:widowControl w:val="0"/>
            <w:autoSpaceDE w:val="0"/>
            <w:autoSpaceDN w:val="0"/>
            <w:adjustRightInd w:val="0"/>
            <w:spacing w:after="0" w:line="240" w:lineRule="auto"/>
            <w:jc w:val="right"/>
            <w:rPr>
              <w:rFonts w:ascii="Arial" w:hAnsi="Arial" w:cs="Arial"/>
              <w:color w:val="000000"/>
              <w:sz w:val="18"/>
              <w:szCs w:val="18"/>
            </w:rPr>
          </w:pPr>
        </w:p>
      </w:tc>
    </w:tr>
    <w:tr w:rsidR="000D6232" w14:paraId="180B79C2"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5EA5C1DF" w14:textId="77777777" w:rsidR="000D6232" w:rsidRDefault="000D6232">
          <w:pPr>
            <w:widowControl w:val="0"/>
            <w:autoSpaceDE w:val="0"/>
            <w:autoSpaceDN w:val="0"/>
            <w:adjustRightInd w:val="0"/>
            <w:spacing w:after="0" w:line="240" w:lineRule="auto"/>
            <w:rPr>
              <w:rFonts w:ascii="Arial" w:hAnsi="Arial" w:cs="Arial"/>
              <w:color w:val="000000"/>
              <w:sz w:val="18"/>
              <w:szCs w:val="18"/>
            </w:rPr>
          </w:pPr>
        </w:p>
      </w:tc>
    </w:tr>
  </w:tbl>
  <w:p w14:paraId="0B4AC79E" w14:textId="77777777" w:rsidR="000D6232" w:rsidRDefault="000D6232">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51D62"/>
    <w:rsid w:val="000D6232"/>
    <w:rsid w:val="004543D8"/>
    <w:rsid w:val="00E5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A53A0"/>
  <w14:defaultImageDpi w14:val="0"/>
  <w15:docId w15:val="{799C79A7-02A6-4154-9E7A-D1D3B0A0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Browse/Home/Regulations/CodeofFederalRegulationsCFR?transitionType=DocumentItem&amp;contextData=(sc.Document)&amp;rs=clbt1.0&amp;vr=3.0" TargetMode="External"/><Relationship Id="rId13" Type="http://schemas.openxmlformats.org/officeDocument/2006/relationships/hyperlink" Target="http://www.westlaw.com/Link/Document/FullText?findType=l&amp;cite=lk(CFRT29SUBTAPT5SUBPTAR)&amp;originatingDoc=NCA97ACD08BF011D98CF4E0B65F42E6DA&amp;refType=CM&amp;sourceCite=29+C.F.R.+%c2%a7+5.7&amp;originationContext=document&amp;vr=3.0&amp;rs=cblt1.0&amp;transitionType=DocumentItem&amp;contextData=(sc.Document)" TargetMode="External"/><Relationship Id="rId18" Type="http://schemas.openxmlformats.org/officeDocument/2006/relationships/hyperlink" Target="http://www.westlaw.com/Link/Document/FullText?findType=Y&amp;pubNum=0001037&amp;cite=42FR54803&amp;originatingDoc=NCA97ACD08BF011D98CF4E0B65F42E6DA&amp;refType=FR&amp;originationContext=document&amp;vr=3.0&amp;rs=cblt1.0&amp;transitionType=DocumentItem&amp;contextData=(sc.Document)" TargetMode="External"/><Relationship Id="rId26" Type="http://schemas.openxmlformats.org/officeDocument/2006/relationships/hyperlink" Target="http://www.westlaw.com/Link/Document/FullText?findType=L&amp;pubNum=1000546&amp;cite=40USCAS3141&amp;originatingDoc=NCA97ACD08BF011D98CF4E0B65F42E6DA&amp;refType=LQ&amp;originationContext=document&amp;vr=3.0&amp;rs=cblt1.0&amp;transitionType=DocumentItem&amp;contextData=(sc.Document)" TargetMode="External"/><Relationship Id="rId39" Type="http://schemas.openxmlformats.org/officeDocument/2006/relationships/hyperlink" Target="http://www.westlaw.com/Link/RelatedInformation/NotesofDecisions?docGuid=NCA97ACD08BF011D98CF4E0B65F42E6DA&amp;originationContext=document&amp;vr=3.0&amp;rs=cblt1.0&amp;transitionType=NotesOfDecision&amp;contextData=(sc.Document)" TargetMode="External"/><Relationship Id="rId3" Type="http://schemas.openxmlformats.org/officeDocument/2006/relationships/webSettings" Target="webSettings.xml"/><Relationship Id="rId21" Type="http://schemas.openxmlformats.org/officeDocument/2006/relationships/hyperlink" Target="http://www.westlaw.com/Link/Document/FullText?findType=l&amp;pubNum=0001037&amp;cite=UUID(I6F2992B034C811DAB1EA8A3AF7542D25)&amp;originatingDoc=NCA97ACD08BF011D98CF4E0B65F42E6DA&amp;refType=CP&amp;fi=co_pp_sp_1037_40716&amp;originationContext=document&amp;vr=3.0&amp;rs=cblt1.0&amp;transitionType=DocumentItem&amp;contextData=(sc.Document)#co_pp_sp_1037_40716" TargetMode="External"/><Relationship Id="rId34" Type="http://schemas.openxmlformats.org/officeDocument/2006/relationships/hyperlink" Target="http://www.westlaw.com/Link/Document/FullText?findType=L&amp;pubNum=1000546&amp;cite=40USCAS276A-7&amp;originatingDoc=NCA97ACD08BF011D98CF4E0B65F42E6DA&amp;refType=LQ&amp;originationContext=document&amp;vr=3.0&amp;rs=cblt1.0&amp;transitionType=DocumentItem&amp;contextData=(sc.Document)" TargetMode="External"/><Relationship Id="rId7" Type="http://schemas.openxmlformats.org/officeDocument/2006/relationships/footer" Target="footer1.xml"/><Relationship Id="rId12" Type="http://schemas.openxmlformats.org/officeDocument/2006/relationships/hyperlink" Target="http://www.westlaw.com/Link/Document/FullText?findType=l&amp;cite=lk(CFRT29SUBTAPT5R)&amp;originatingDoc=NCA97ACD08BF011D98CF4E0B65F42E6DA&amp;refType=CM&amp;sourceCite=29+C.F.R.+%c2%a7+5.7&amp;originationContext=document&amp;vr=3.0&amp;rs=cblt1.0&amp;transitionType=DocumentItem&amp;contextData=(sc.Document)" TargetMode="External"/><Relationship Id="rId17" Type="http://schemas.openxmlformats.org/officeDocument/2006/relationships/hyperlink" Target="http://www.westlaw.com/Link/Document/FullText?findType=Y&amp;pubNum=0001037&amp;cite=30FR13136&amp;originatingDoc=NCA97ACD08BF011D98CF4E0B65F42E6DA&amp;refType=FR&amp;originationContext=document&amp;vr=3.0&amp;rs=cblt1.0&amp;transitionType=DocumentItem&amp;contextData=(sc.Document)" TargetMode="External"/><Relationship Id="rId25" Type="http://schemas.openxmlformats.org/officeDocument/2006/relationships/hyperlink" Target="http://www.westlaw.com/Link/Document/FullText?findType=L&amp;pubNum=1000546&amp;cite=5USCAS301&amp;originatingDoc=NCA97ACD08BF011D98CF4E0B65F42E6DA&amp;refType=LQ&amp;originationContext=document&amp;vr=3.0&amp;rs=cblt1.0&amp;transitionType=DocumentItem&amp;contextData=(sc.Document)" TargetMode="External"/><Relationship Id="rId33" Type="http://schemas.openxmlformats.org/officeDocument/2006/relationships/hyperlink" Target="http://www.westlaw.com/Link/Document/FullText?findType=L&amp;pubNum=1000546&amp;cite=40USCAS276A&amp;originatingDoc=NCA97ACD08BF011D98CF4E0B65F42E6DA&amp;refType=LQ&amp;originationContext=document&amp;vr=3.0&amp;rs=cblt1.0&amp;transitionType=DocumentItem&amp;contextData=(sc.Document)" TargetMode="External"/><Relationship Id="rId38" Type="http://schemas.openxmlformats.org/officeDocument/2006/relationships/hyperlink" Target="http://www.westlaw.com/Link/Document/FullText?findType=L&amp;pubNum=1000546&amp;cite=5USCAS301&amp;originatingDoc=NCA97ACD08BF011D98CF4E0B65F42E6DA&amp;refType=LQ&amp;originationContext=document&amp;vr=3.0&amp;rs=cblt1.0&amp;transitionType=DocumentItem&amp;contextData=(sc.Document)" TargetMode="External"/><Relationship Id="rId2" Type="http://schemas.openxmlformats.org/officeDocument/2006/relationships/settings" Target="settings.xml"/><Relationship Id="rId16" Type="http://schemas.openxmlformats.org/officeDocument/2006/relationships/hyperlink" Target="http://www.westlaw.com/Link/Document/FullText?findType=L&amp;pubNum=1000547&amp;cite=29CFRS5.1&amp;originatingDoc=NCA97ACD08BF011D98CF4E0B65F42E6DA&amp;refType=VP&amp;originationContext=document&amp;vr=3.0&amp;rs=cblt1.0&amp;transitionType=DocumentItem&amp;contextData=(sc.Document)" TargetMode="External"/><Relationship Id="rId20" Type="http://schemas.openxmlformats.org/officeDocument/2006/relationships/hyperlink" Target="http://www.westlaw.com/Link/Document/FullText?findType=Y&amp;pubNum=0001037&amp;cite=51FR12265&amp;originatingDoc=NCA97ACD08BF011D98CF4E0B65F42E6DA&amp;refType=FR&amp;originationContext=document&amp;vr=3.0&amp;rs=cblt1.0&amp;transitionType=DocumentItem&amp;contextData=(sc.Document)" TargetMode="External"/><Relationship Id="rId29" Type="http://schemas.openxmlformats.org/officeDocument/2006/relationships/hyperlink" Target="http://www.westlaw.com/Link/Document/FullText?findType=L&amp;pubNum=1000546&amp;cite=40USCAS3701&amp;originatingDoc=NCA97ACD08BF011D98CF4E0B65F42E6DA&amp;refType=LQ&amp;originationContext=document&amp;vr=3.0&amp;rs=cblt1.0&amp;transitionType=DocumentItem&amp;contextData=(sc.Document)"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westlaw.com/Browse/Home/Regulations/CodeofFederalRegulationsCFR?guid=ND1FFB250868811D983FAE1FB4EC4EA60&amp;transitionType=DocumentItem&amp;contextData=(sc.Document)&amp;rs=clbt1.0&amp;vr=3.0" TargetMode="External"/><Relationship Id="rId24" Type="http://schemas.openxmlformats.org/officeDocument/2006/relationships/hyperlink" Target="http://www.westlaw.com/Link/Document/FullText?findType=l&amp;pubNum=0001037&amp;cite=UUID(IEEDA75C03F6511E68638B9260AF9E5C4)&amp;originatingDoc=NCA97ACD08BF011D98CF4E0B65F42E6DA&amp;refType=CP&amp;fi=co_pp_sp_1037_43450&amp;originationContext=document&amp;vr=3.0&amp;rs=cblt1.0&amp;transitionType=DocumentItem&amp;contextData=(sc.Document)#co_pp_sp_1037_43450" TargetMode="External"/><Relationship Id="rId32" Type="http://schemas.openxmlformats.org/officeDocument/2006/relationships/hyperlink" Target="http://www.westlaw.com/Link/Document/FullText?findType=l&amp;pubNum=1077005&amp;cite=UUID(I8842FCD081-EA11E5B65BB-0343D629250)&amp;originatingDoc=NCA97ACD08BF011D98CF4E0B65F42E6DA&amp;refType=SL&amp;originationContext=document&amp;vr=3.0&amp;rs=cblt1.0&amp;transitionType=DocumentItem&amp;contextData=(sc.Document)" TargetMode="External"/><Relationship Id="rId37" Type="http://schemas.openxmlformats.org/officeDocument/2006/relationships/hyperlink" Target="http://www.westlaw.com/Link/Document/FullText?findType=L&amp;pubNum=1000546&amp;cite=40USCAS332&amp;originatingDoc=NCA97ACD08BF011D98CF4E0B65F42E6DA&amp;refType=LQ&amp;originationContext=document&amp;vr=3.0&amp;rs=cblt1.0&amp;transitionType=DocumentItem&amp;contextData=(sc.Document)"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westlaw.com/Link/Document/FullText?findType=L&amp;pubNum=1000547&amp;cite=29CFRS5.8&amp;originatingDoc=NCA97ACD08BF011D98CF4E0B65F42E6DA&amp;refType=VP&amp;originationContext=document&amp;vr=3.0&amp;rs=cblt1.0&amp;transitionType=DocumentItem&amp;contextData=(sc.Document)" TargetMode="External"/><Relationship Id="rId23" Type="http://schemas.openxmlformats.org/officeDocument/2006/relationships/hyperlink" Target="http://www.westlaw.com/Link/Document/FullText?findType=l&amp;pubNum=0001037&amp;cite=UUID(I9B0BCE40CDC011DD9F11ED401CBBBEC8)&amp;originatingDoc=NCA97ACD08BF011D98CF4E0B65F42E6DA&amp;refType=CP&amp;fi=co_pp_sp_1037_77511&amp;originationContext=document&amp;vr=3.0&amp;rs=cblt1.0&amp;transitionType=DocumentItem&amp;contextData=(sc.Document)#co_pp_sp_1037_77511" TargetMode="External"/><Relationship Id="rId28" Type="http://schemas.openxmlformats.org/officeDocument/2006/relationships/hyperlink" Target="http://www.westlaw.com/Link/Document/FullText?findType=L&amp;pubNum=1000546&amp;cite=40USCAS3148&amp;originatingDoc=NCA97ACD08BF011D98CF4E0B65F42E6DA&amp;refType=LQ&amp;originationContext=document&amp;vr=3.0&amp;rs=cblt1.0&amp;transitionType=DocumentItem&amp;contextData=(sc.Document)" TargetMode="External"/><Relationship Id="rId36" Type="http://schemas.openxmlformats.org/officeDocument/2006/relationships/hyperlink" Target="http://www.westlaw.com/Link/Document/FullText?findType=L&amp;pubNum=1000546&amp;cite=40USCAS327&amp;originatingDoc=NCA97ACD08BF011D98CF4E0B65F42E6DA&amp;refType=LQ&amp;originationContext=document&amp;vr=3.0&amp;rs=cblt1.0&amp;transitionType=DocumentItem&amp;contextData=(sc.Document)" TargetMode="External"/><Relationship Id="rId10" Type="http://schemas.openxmlformats.org/officeDocument/2006/relationships/hyperlink" Target="http://www.westlaw.com/Browse/Home/Regulations/CodeofFederalRegulationsCFR?guid=NB29DA390868811D983FAE1FB4EC4EA60&amp;transitionType=DocumentItem&amp;contextData=(sc.Document)&amp;rs=clbt1.0&amp;vr=3.0" TargetMode="External"/><Relationship Id="rId19" Type="http://schemas.openxmlformats.org/officeDocument/2006/relationships/hyperlink" Target="http://www.westlaw.com/Link/Document/FullText?findType=l&amp;pubNum=0001037&amp;cite=UUID(IE8EE7EA02EEA11DAAECA8D28B8108CB8)&amp;originatingDoc=NCA97ACD08BF011D98CF4E0B65F42E6DA&amp;refType=CP&amp;fi=co_pp_sp_1037_19541&amp;originationContext=document&amp;vr=3.0&amp;rs=cblt1.0&amp;transitionType=DocumentItem&amp;contextData=(sc.Document)#co_pp_sp_1037_19541" TargetMode="External"/><Relationship Id="rId31" Type="http://schemas.openxmlformats.org/officeDocument/2006/relationships/hyperlink" Target="http://www.westlaw.com/Link/Document/FullText?findType=L&amp;pubNum=1000546&amp;cite=28USCAS2461&amp;originatingDoc=NCA97ACD08BF011D98CF4E0B65F42E6DA&amp;refType=LQ&amp;originationContext=document&amp;vr=3.0&amp;rs=cblt1.0&amp;transitionType=DocumentItem&amp;contextData=(sc.Document)" TargetMode="External"/><Relationship Id="rId4" Type="http://schemas.openxmlformats.org/officeDocument/2006/relationships/footnotes" Target="footnotes.xml"/><Relationship Id="rId9" Type="http://schemas.openxmlformats.org/officeDocument/2006/relationships/hyperlink" Target="http://www.westlaw.com/Browse/Home/Regulations/CodeofFederalRegulationsCFR?guid=NB2705200868811D983FAE1FB4EC4EA60&amp;transitionType=DocumentItem&amp;contextData=(sc.Document)&amp;rs=clbt1.0&amp;vr=3.0" TargetMode="External"/><Relationship Id="rId14" Type="http://schemas.openxmlformats.org/officeDocument/2006/relationships/hyperlink" Target="#co_anchor_IBEC80540CCE811EA912BD49A90A16" TargetMode="External"/><Relationship Id="rId22" Type="http://schemas.openxmlformats.org/officeDocument/2006/relationships/hyperlink" Target="http://www.westlaw.com/Link/Document/FullText?findType=Y&amp;pubNum=0001037&amp;cite=65FR80278&amp;originatingDoc=NCA97ACD08BF011D98CF4E0B65F42E6DA&amp;refType=FR&amp;originationContext=document&amp;vr=3.0&amp;rs=cblt1.0&amp;transitionType=DocumentItem&amp;contextData=(sc.Document)" TargetMode="External"/><Relationship Id="rId27" Type="http://schemas.openxmlformats.org/officeDocument/2006/relationships/hyperlink" Target="http://www.westlaw.com/Link/Document/FullText?findType=L&amp;pubNum=1000546&amp;cite=40USCAS3145&amp;originatingDoc=NCA97ACD08BF011D98CF4E0B65F42E6DA&amp;refType=LQ&amp;originationContext=document&amp;vr=3.0&amp;rs=cblt1.0&amp;transitionType=DocumentItem&amp;contextData=(sc.Document)" TargetMode="External"/><Relationship Id="rId30" Type="http://schemas.openxmlformats.org/officeDocument/2006/relationships/hyperlink" Target="http://www.westlaw.com/Link/Document/FullText?findType=l&amp;pubNum=0001037&amp;cite=UUID(I2D66F7B08B4311E4BD79B9E8FAD8BE03)&amp;originatingDoc=NCA97ACD08BF011D98CF4E0B65F42E6DA&amp;refType=CP&amp;fi=co_pp_sp_1037_77527&amp;originationContext=document&amp;vr=3.0&amp;rs=cblt1.0&amp;transitionType=DocumentItem&amp;contextData=(sc.Document)#co_pp_sp_1037_77527" TargetMode="External"/><Relationship Id="rId35" Type="http://schemas.openxmlformats.org/officeDocument/2006/relationships/hyperlink" Target="http://www.westlaw.com/Link/Document/FullText?findType=L&amp;pubNum=1000546&amp;cite=40USCAS276C&amp;originatingDoc=NCA97ACD08BF011D98CF4E0B65F42E6DA&amp;refType=LQ&amp;originationContext=document&amp;vr=3.0&amp;rs=cblt1.0&amp;transitionType=DocumentItem&amp;contextData=(sc.Docu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Yohanna</dc:creator>
  <cp:keywords/>
  <dc:description/>
  <cp:lastModifiedBy>Freeman, Yohanna</cp:lastModifiedBy>
  <cp:revision>2</cp:revision>
  <dcterms:created xsi:type="dcterms:W3CDTF">2021-03-19T20:38:00Z</dcterms:created>
  <dcterms:modified xsi:type="dcterms:W3CDTF">2021-03-19T20:38:00Z</dcterms:modified>
</cp:coreProperties>
</file>