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A2E" w:rsidRDefault="003B187D" w14:paraId="751FEA2D" w14:textId="77777777">
      <w:pPr>
        <w:tabs>
          <w:tab w:val="right" w:pos="10080"/>
        </w:tabs>
        <w:spacing w:after="1026" w:line="265" w:lineRule="auto"/>
        <w:ind w:left="-15" w:right="-15"/>
      </w:pPr>
      <w:bookmarkStart w:name="_GoBack" w:id="0"/>
      <w:bookmarkEnd w:id="0"/>
      <w:r>
        <w:rPr>
          <w:rFonts w:ascii="Times New Roman" w:hAnsi="Times New Roman" w:eastAsia="Times New Roman" w:cs="Times New Roman"/>
          <w:sz w:val="24"/>
        </w:rPr>
        <w:t>Electronic Code of Federal Regulations (</w:t>
      </w:r>
      <w:proofErr w:type="spellStart"/>
      <w:r>
        <w:rPr>
          <w:rFonts w:ascii="Times New Roman" w:hAnsi="Times New Roman" w:eastAsia="Times New Roman" w:cs="Times New Roman"/>
          <w:sz w:val="24"/>
        </w:rPr>
        <w:t>eCFR</w:t>
      </w:r>
      <w:proofErr w:type="spellEnd"/>
      <w:r>
        <w:rPr>
          <w:rFonts w:ascii="Times New Roman" w:hAnsi="Times New Roman" w:eastAsia="Times New Roman" w:cs="Times New Roman"/>
          <w:sz w:val="24"/>
        </w:rPr>
        <w:t>)</w:t>
      </w:r>
      <w:r>
        <w:rPr>
          <w:rFonts w:ascii="Times New Roman" w:hAnsi="Times New Roman" w:eastAsia="Times New Roman" w:cs="Times New Roman"/>
          <w:sz w:val="24"/>
        </w:rPr>
        <w:tab/>
        <w:t>Page 1 of 2</w:t>
      </w:r>
    </w:p>
    <w:p w:rsidR="004B6A2E" w:rsidRDefault="003B187D" w14:paraId="6467A4AD" w14:textId="77777777">
      <w:pPr>
        <w:spacing w:after="337"/>
        <w:ind w:left="180"/>
      </w:pPr>
      <w:r>
        <w:rPr>
          <w:rFonts w:ascii="Times New Roman" w:hAnsi="Times New Roman" w:eastAsia="Times New Roman" w:cs="Times New Roman"/>
          <w:color w:val="575757"/>
          <w:sz w:val="32"/>
        </w:rPr>
        <w:t>ELECTRONIC CODE OF FEDERAL REGULATIONS</w:t>
      </w:r>
    </w:p>
    <w:p w:rsidR="004B6A2E" w:rsidRDefault="003B187D" w14:paraId="77256313" w14:textId="77777777">
      <w:pPr>
        <w:spacing w:after="523"/>
        <w:ind w:left="1197"/>
      </w:pPr>
      <w:r>
        <w:rPr>
          <w:rFonts w:ascii="Times New Roman" w:hAnsi="Times New Roman" w:eastAsia="Times New Roman" w:cs="Times New Roman"/>
          <w:color w:val="FF0000"/>
          <w:sz w:val="32"/>
        </w:rPr>
        <w:t>e-CFR data is current as of May 14, 2021</w:t>
      </w:r>
    </w:p>
    <w:p w:rsidR="004B6A2E" w:rsidRDefault="003B187D" w14:paraId="7056D51F" w14:textId="77777777">
      <w:pPr>
        <w:spacing w:after="500" w:line="249" w:lineRule="auto"/>
        <w:ind w:left="175" w:hanging="10"/>
      </w:pPr>
      <w:r>
        <w:rPr>
          <w:rFonts w:ascii="Times New Roman" w:hAnsi="Times New Roman" w:eastAsia="Times New Roman" w:cs="Times New Roman"/>
          <w:color w:val="3E71AE"/>
          <w:sz w:val="26"/>
        </w:rPr>
        <w:t>Title 18</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Chapter I</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Subchapter B</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Part 16</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Subpart E</w:t>
      </w:r>
      <w:r>
        <w:rPr>
          <w:rFonts w:ascii="Times New Roman" w:hAnsi="Times New Roman" w:eastAsia="Times New Roman" w:cs="Times New Roman"/>
          <w:sz w:val="26"/>
        </w:rPr>
        <w:t xml:space="preserve"> → §16.19</w:t>
      </w:r>
    </w:p>
    <w:p w:rsidR="004B6A2E" w:rsidRDefault="003B187D" w14:paraId="4E3B04F7" w14:textId="77777777">
      <w:pPr>
        <w:spacing w:after="11" w:line="249" w:lineRule="auto"/>
        <w:ind w:left="165" w:right="146"/>
      </w:pPr>
      <w:r>
        <w:rPr>
          <w:rFonts w:ascii="Times New Roman" w:hAnsi="Times New Roman" w:eastAsia="Times New Roman" w:cs="Times New Roman"/>
          <w:sz w:val="26"/>
        </w:rPr>
        <w:t xml:space="preserve">Title 18: Conservation of Power and Water Resources </w:t>
      </w:r>
    </w:p>
    <w:p w:rsidR="004B6A2E" w:rsidRDefault="003B187D" w14:paraId="493A5790" w14:textId="77777777">
      <w:pPr>
        <w:spacing w:after="11" w:line="249" w:lineRule="auto"/>
        <w:ind w:left="175" w:hanging="10"/>
      </w:pPr>
      <w:r>
        <w:rPr>
          <w:rFonts w:ascii="Times New Roman" w:hAnsi="Times New Roman" w:eastAsia="Times New Roman" w:cs="Times New Roman"/>
          <w:color w:val="3E71AE"/>
          <w:sz w:val="26"/>
        </w:rPr>
        <w:t xml:space="preserve">PART 16—PROCEDURES RELATING TO TAKEOVER AND RELICENSING OF </w:t>
      </w:r>
    </w:p>
    <w:p w:rsidR="004B6A2E" w:rsidRDefault="003B187D" w14:paraId="5E3E155D" w14:textId="77777777">
      <w:pPr>
        <w:spacing w:after="11" w:line="249" w:lineRule="auto"/>
        <w:ind w:left="175" w:hanging="10"/>
      </w:pPr>
      <w:r>
        <w:rPr>
          <w:rFonts w:ascii="Times New Roman" w:hAnsi="Times New Roman" w:eastAsia="Times New Roman" w:cs="Times New Roman"/>
          <w:color w:val="3E71AE"/>
          <w:sz w:val="26"/>
        </w:rPr>
        <w:t xml:space="preserve">LICENSED PROJECTS </w:t>
      </w:r>
    </w:p>
    <w:p w:rsidR="004B6A2E" w:rsidRDefault="003B187D" w14:paraId="0EC679C3" w14:textId="77777777">
      <w:pPr>
        <w:spacing w:after="11" w:line="249" w:lineRule="auto"/>
        <w:ind w:left="175" w:hanging="10"/>
      </w:pPr>
      <w:r>
        <w:rPr>
          <w:rFonts w:ascii="Times New Roman" w:hAnsi="Times New Roman" w:eastAsia="Times New Roman" w:cs="Times New Roman"/>
          <w:color w:val="3E71AE"/>
          <w:sz w:val="26"/>
        </w:rPr>
        <w:t>Subpart E—Projects With Minor and Minor Part Licenses Not Subject to Sections 14 and 15 of the Federal Power Act</w:t>
      </w:r>
    </w:p>
    <w:p w:rsidR="004B6A2E" w:rsidRDefault="003B187D" w14:paraId="6F39F3AC" w14:textId="77777777">
      <w:pPr>
        <w:spacing w:after="244"/>
        <w:ind w:left="180"/>
      </w:pPr>
      <w:r>
        <w:rPr>
          <w:noProof/>
        </w:rPr>
        <mc:AlternateContent>
          <mc:Choice Requires="wpg">
            <w:drawing>
              <wp:inline distT="0" distB="0" distL="0" distR="0" wp14:anchorId="5A8E460C" wp14:editId="1F2211BA">
                <wp:extent cx="6172200" cy="19050"/>
                <wp:effectExtent l="0" t="0" r="0" b="0"/>
                <wp:docPr id="946" name="Group 94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946" style="width:486pt;height:1.5pt;mso-position-horizontal-relative:char;mso-position-vertical-relative:line" coordsize="61722,190" o:spid="_x0000_s1026" w14:anchorId="078A4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4B6A2E" w:rsidRDefault="003B187D" w14:paraId="1D45F26A" w14:textId="77777777">
      <w:pPr>
        <w:spacing w:after="260" w:line="238" w:lineRule="auto"/>
        <w:ind w:left="180"/>
      </w:pPr>
      <w:r>
        <w:rPr>
          <w:rFonts w:ascii="Times New Roman" w:hAnsi="Times New Roman" w:eastAsia="Times New Roman" w:cs="Times New Roman"/>
          <w:sz w:val="26"/>
        </w:rPr>
        <w:t>§16.19   Procedures for an existing licensee of a minor hydroelectric power project or of a minor part of a hydroelectric power project with a license not subject to sections 14 and 15 of the Federal Power Act.</w:t>
      </w:r>
    </w:p>
    <w:p w:rsidR="004B6A2E" w:rsidRDefault="003B187D" w14:paraId="1F7199C3" w14:textId="77777777">
      <w:pPr>
        <w:numPr>
          <w:ilvl w:val="0"/>
          <w:numId w:val="1"/>
        </w:numPr>
        <w:spacing w:after="249" w:line="249" w:lineRule="auto"/>
        <w:ind w:right="197" w:firstLine="515"/>
      </w:pPr>
      <w:r>
        <w:rPr>
          <w:rFonts w:ascii="Times New Roman" w:hAnsi="Times New Roman" w:eastAsia="Times New Roman" w:cs="Times New Roman"/>
          <w:sz w:val="26"/>
        </w:rPr>
        <w:t xml:space="preserve">Applicability. This section applies to an existing licensee of a minor hydroelectric power project or of a minor part of a hydroelectric power project that is not subject to sections 14 and 15 of the Federal Power Act. </w:t>
      </w:r>
    </w:p>
    <w:p w:rsidR="004B6A2E" w:rsidRDefault="003B187D" w14:paraId="64248BBB" w14:textId="77777777">
      <w:pPr>
        <w:numPr>
          <w:ilvl w:val="0"/>
          <w:numId w:val="1"/>
        </w:numPr>
        <w:spacing w:after="260" w:line="238" w:lineRule="auto"/>
        <w:ind w:right="197" w:firstLine="515"/>
      </w:pPr>
      <w:r>
        <w:rPr>
          <w:rFonts w:ascii="Times New Roman" w:hAnsi="Times New Roman" w:eastAsia="Times New Roman" w:cs="Times New Roman"/>
          <w:sz w:val="26"/>
        </w:rPr>
        <w:t>Notification procedures. (1) An existing licensee with a minor license or a license for a minor part of a hydroelectric project must file a notice of intent pursuant to §16.6(b).</w:t>
      </w:r>
    </w:p>
    <w:p w:rsidR="004B6A2E" w:rsidRDefault="003B187D" w14:paraId="6911601F" w14:textId="77777777">
      <w:pPr>
        <w:numPr>
          <w:ilvl w:val="0"/>
          <w:numId w:val="2"/>
        </w:numPr>
        <w:spacing w:after="249" w:line="249" w:lineRule="auto"/>
        <w:ind w:right="146" w:firstLine="510"/>
      </w:pPr>
      <w:r>
        <w:rPr>
          <w:rFonts w:ascii="Times New Roman" w:hAnsi="Times New Roman" w:eastAsia="Times New Roman" w:cs="Times New Roman"/>
          <w:sz w:val="26"/>
        </w:rPr>
        <w:t xml:space="preserve">If the license of an existing licensee expires on or after October 17, 1994, the licensee must notify the Commission as required under §16.6(b) at least five years before the expiration of the existing license. </w:t>
      </w:r>
    </w:p>
    <w:p w:rsidR="004B6A2E" w:rsidRDefault="003B187D" w14:paraId="5AA16146" w14:textId="77777777">
      <w:pPr>
        <w:numPr>
          <w:ilvl w:val="0"/>
          <w:numId w:val="2"/>
        </w:numPr>
        <w:spacing w:after="249" w:line="249" w:lineRule="auto"/>
        <w:ind w:right="146" w:firstLine="510"/>
      </w:pPr>
      <w:r>
        <w:rPr>
          <w:rFonts w:ascii="Times New Roman" w:hAnsi="Times New Roman" w:eastAsia="Times New Roman" w:cs="Times New Roman"/>
          <w:sz w:val="26"/>
        </w:rPr>
        <w:t xml:space="preserve">The Commission will give notice of a licensee's intent to file or not to file an application for a subsequent license in accordance with §16.6(d). </w:t>
      </w:r>
    </w:p>
    <w:p w:rsidR="004B6A2E" w:rsidRDefault="003B187D" w14:paraId="7C1D965D" w14:textId="77777777">
      <w:pPr>
        <w:spacing w:after="249" w:line="249" w:lineRule="auto"/>
        <w:ind w:left="165" w:right="146" w:firstLine="510"/>
      </w:pPr>
      <w:r>
        <w:rPr>
          <w:rFonts w:ascii="Times New Roman" w:hAnsi="Times New Roman" w:eastAsia="Times New Roman" w:cs="Times New Roman"/>
          <w:sz w:val="26"/>
        </w:rPr>
        <w:t xml:space="preserve">(c) Requirement to make information available. (1) Except as provided in paragraph (c)(2) of this section, a licensee must make the information described in §16.7 available to the public for inspection and reproduction when it gives notice to the Commission under paragraph (b). </w:t>
      </w:r>
    </w:p>
    <w:p w:rsidR="004B6A2E" w:rsidRDefault="003B187D" w14:paraId="161E691F" w14:textId="77777777">
      <w:pPr>
        <w:spacing w:after="249" w:line="249" w:lineRule="auto"/>
        <w:ind w:left="165" w:right="146" w:firstLine="510"/>
      </w:pPr>
      <w:r>
        <w:rPr>
          <w:rFonts w:ascii="Times New Roman" w:hAnsi="Times New Roman" w:eastAsia="Times New Roman" w:cs="Times New Roman"/>
          <w:sz w:val="26"/>
        </w:rPr>
        <w:t>(2) The requirement of paragraph (c)(1) of this section does not apply if an applicant filed an application for a subsequent license on or before July 3, 1989.</w:t>
      </w:r>
    </w:p>
    <w:p w:rsidR="004B6A2E" w:rsidRDefault="003B187D" w14:paraId="27B37D24" w14:textId="77777777">
      <w:pPr>
        <w:spacing w:after="0"/>
        <w:ind w:left="175" w:hanging="10"/>
      </w:pPr>
      <w:r>
        <w:rPr>
          <w:rFonts w:ascii="Times New Roman" w:hAnsi="Times New Roman" w:eastAsia="Times New Roman" w:cs="Times New Roman"/>
          <w:sz w:val="24"/>
        </w:rPr>
        <w:t xml:space="preserve">[Order 513, 54 FR 23806, June 2, 1989, as amended by Order 2002, 68 FR 51142, Aug. </w:t>
      </w:r>
    </w:p>
    <w:p w:rsidR="004B6A2E" w:rsidRDefault="003B187D" w14:paraId="2BD48E5E" w14:textId="77777777">
      <w:pPr>
        <w:spacing w:after="685" w:line="567" w:lineRule="auto"/>
        <w:ind w:left="175" w:right="4073" w:hanging="10"/>
      </w:pPr>
      <w:r>
        <w:rPr>
          <w:rFonts w:ascii="Times New Roman" w:hAnsi="Times New Roman" w:eastAsia="Times New Roman" w:cs="Times New Roman"/>
          <w:sz w:val="24"/>
        </w:rPr>
        <w:t xml:space="preserve">25, 2003; Order 699, 72 FR 45324, Aug. 14, 2007] </w:t>
      </w:r>
      <w:r>
        <w:rPr>
          <w:rFonts w:ascii="Times New Roman" w:hAnsi="Times New Roman" w:eastAsia="Times New Roman" w:cs="Times New Roman"/>
          <w:color w:val="3E71AE"/>
          <w:sz w:val="19"/>
        </w:rPr>
        <w:t>Need assistance?</w:t>
      </w:r>
    </w:p>
    <w:p w:rsidR="004B6A2E" w:rsidRDefault="003B187D" w14:paraId="14668025" w14:textId="77777777">
      <w:pPr>
        <w:spacing w:after="15294" w:line="265" w:lineRule="auto"/>
        <w:ind w:left="-5" w:right="-15" w:hanging="10"/>
      </w:pPr>
      <w:r>
        <w:rPr>
          <w:rFonts w:ascii="Times New Roman" w:hAnsi="Times New Roman" w:eastAsia="Times New Roman" w:cs="Times New Roman"/>
          <w:sz w:val="24"/>
        </w:rPr>
        <w:lastRenderedPageBreak/>
        <w:t>https://www.ecfr.gov/cgi-bin/text-idx?SID=f918bfb594fc609e336deb79f61f7c71&amp;mc=tru...</w:t>
      </w:r>
      <w:r>
        <w:rPr>
          <w:rFonts w:ascii="Times New Roman" w:hAnsi="Times New Roman" w:eastAsia="Times New Roman" w:cs="Times New Roman"/>
          <w:sz w:val="24"/>
        </w:rPr>
        <w:tab/>
        <w:t>5/19/2021 Electronic Code of Federal Regulations (</w:t>
      </w:r>
      <w:proofErr w:type="spellStart"/>
      <w:r>
        <w:rPr>
          <w:rFonts w:ascii="Times New Roman" w:hAnsi="Times New Roman" w:eastAsia="Times New Roman" w:cs="Times New Roman"/>
          <w:sz w:val="24"/>
        </w:rPr>
        <w:t>eCFR</w:t>
      </w:r>
      <w:proofErr w:type="spellEnd"/>
      <w:r>
        <w:rPr>
          <w:rFonts w:ascii="Times New Roman" w:hAnsi="Times New Roman" w:eastAsia="Times New Roman" w:cs="Times New Roman"/>
          <w:sz w:val="24"/>
        </w:rPr>
        <w:t>)</w:t>
      </w:r>
      <w:r>
        <w:rPr>
          <w:rFonts w:ascii="Times New Roman" w:hAnsi="Times New Roman" w:eastAsia="Times New Roman" w:cs="Times New Roman"/>
          <w:sz w:val="24"/>
        </w:rPr>
        <w:tab/>
        <w:t>Page 2 of 2</w:t>
      </w:r>
    </w:p>
    <w:p w:rsidR="004B6A2E" w:rsidRDefault="003B187D" w14:paraId="3B4ED6AC" w14:textId="77777777">
      <w:pPr>
        <w:tabs>
          <w:tab w:val="right" w:pos="10080"/>
        </w:tabs>
        <w:spacing w:after="5" w:line="265" w:lineRule="auto"/>
        <w:ind w:left="-15" w:right="-15"/>
      </w:pPr>
      <w:r>
        <w:rPr>
          <w:rFonts w:ascii="Times New Roman" w:hAnsi="Times New Roman" w:eastAsia="Times New Roman" w:cs="Times New Roman"/>
          <w:sz w:val="24"/>
        </w:rPr>
        <w:lastRenderedPageBreak/>
        <w:t>https://www.ecfr.gov/cgi-bin/text-idx?SID=f918bfb594fc609e336deb79f61f7c71&amp;mc=tru...</w:t>
      </w:r>
      <w:r>
        <w:rPr>
          <w:rFonts w:ascii="Times New Roman" w:hAnsi="Times New Roman" w:eastAsia="Times New Roman" w:cs="Times New Roman"/>
          <w:sz w:val="24"/>
        </w:rPr>
        <w:tab/>
        <w:t>5/19/2021</w:t>
      </w:r>
    </w:p>
    <w:sectPr w:rsidR="004B6A2E">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16939"/>
    <w:multiLevelType w:val="hybridMultilevel"/>
    <w:tmpl w:val="EDF2DB52"/>
    <w:lvl w:ilvl="0" w:tplc="9A88CD68">
      <w:start w:val="1"/>
      <w:numFmt w:val="lowerLetter"/>
      <w:lvlText w:val="(%1)"/>
      <w:lvlJc w:val="left"/>
      <w:pPr>
        <w:ind w:left="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1A70FC">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5CB5B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0C356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EEDD6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78B2F0">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76E1C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085B3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E2CA6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B397DAA"/>
    <w:multiLevelType w:val="hybridMultilevel"/>
    <w:tmpl w:val="867A953E"/>
    <w:lvl w:ilvl="0" w:tplc="0E2063E6">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70596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D43EA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5E01CC">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CEF04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2CFC2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A6CCC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88E70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367DC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2E"/>
    <w:rsid w:val="003B187D"/>
    <w:rsid w:val="00414BB7"/>
    <w:rsid w:val="004B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6986"/>
  <w15:docId w15:val="{9F57B2F6-E5C3-4002-94D0-BD15875A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01D67-6208-4B5E-8106-5E842137FDE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87c83cf-0993-4cd6-bfdc-b1c6ea4d56ce"/>
    <ds:schemaRef ds:uri="http://www.w3.org/XML/1998/namespace"/>
  </ds:schemaRefs>
</ds:datastoreItem>
</file>

<file path=customXml/itemProps2.xml><?xml version="1.0" encoding="utf-8"?>
<ds:datastoreItem xmlns:ds="http://schemas.openxmlformats.org/officeDocument/2006/customXml" ds:itemID="{73CC0B87-9EE1-4A82-A5AD-F61DAF4DAAE8}">
  <ds:schemaRefs>
    <ds:schemaRef ds:uri="http://schemas.microsoft.com/sharepoint/v3/contenttype/forms"/>
  </ds:schemaRefs>
</ds:datastoreItem>
</file>

<file path=customXml/itemProps3.xml><?xml version="1.0" encoding="utf-8"?>
<ds:datastoreItem xmlns:ds="http://schemas.openxmlformats.org/officeDocument/2006/customXml" ds:itemID="{9B4B466A-BBC2-4600-BD01-A0335A411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1923</Characters>
  <Application>Microsoft Office Word</Application>
  <DocSecurity>0</DocSecurity>
  <Lines>16</Lines>
  <Paragraphs>4</Paragraphs>
  <ScaleCrop>false</ScaleCrop>
  <Company>Federal Energy Regulatory Commission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2021-05-27T16:38:00Z</dcterms:created>
  <dcterms:modified xsi:type="dcterms:W3CDTF">2021-05-27T16:38:00Z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