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4C9C754E" w14:textId="050A59CF">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proofErr w:type="spellStart"/>
      <w:r w:rsidR="00C60363">
        <w:rPr>
          <w:rFonts w:ascii="Times New Roman" w:hAnsi="Times New Roman"/>
          <w:szCs w:val="24"/>
        </w:rPr>
        <w:t>xxxx</w:t>
      </w:r>
      <w:proofErr w:type="spellEnd"/>
      <w:r w:rsidRPr="00240ABA" w:rsidR="00240ABA">
        <w:rPr>
          <w:rFonts w:ascii="Times New Roman" w:hAnsi="Times New Roman"/>
          <w:szCs w:val="24"/>
        </w:rPr>
        <w:t>-NEW</w:t>
      </w:r>
    </w:p>
    <w:p w:rsidRPr="00AD381B" w:rsidR="00EA1767" w:rsidP="006B4172" w:rsidRDefault="00EA1767" w14:paraId="4C9C754F" w14:textId="61071BB2">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Pr="00EA6CDB" w:rsidR="00240ABA">
        <w:rPr>
          <w:rFonts w:ascii="Times New Roman" w:hAnsi="Times New Roman"/>
          <w:szCs w:val="24"/>
        </w:rPr>
        <w:t>0</w:t>
      </w:r>
      <w:r w:rsidR="00EA6CDB">
        <w:rPr>
          <w:rFonts w:ascii="Times New Roman" w:hAnsi="Times New Roman"/>
          <w:szCs w:val="24"/>
        </w:rPr>
        <w:t>3/</w:t>
      </w:r>
      <w:r w:rsidR="00C60363">
        <w:rPr>
          <w:rFonts w:ascii="Times New Roman" w:hAnsi="Times New Roman"/>
          <w:szCs w:val="24"/>
        </w:rPr>
        <w:t>xx</w:t>
      </w:r>
      <w:r w:rsidRPr="00EA6CDB" w:rsidR="00240ABA">
        <w:rPr>
          <w:rFonts w:ascii="Times New Roman" w:hAnsi="Times New Roman"/>
          <w:szCs w:val="24"/>
        </w:rPr>
        <w:t>/202</w:t>
      </w:r>
      <w:r w:rsidR="00C60363">
        <w:rPr>
          <w:rFonts w:ascii="Times New Roman" w:hAnsi="Times New Roman"/>
          <w:szCs w:val="24"/>
        </w:rPr>
        <w:t>1</w:t>
      </w:r>
    </w:p>
    <w:p w:rsidRPr="00AD381B" w:rsidR="00043C32" w:rsidP="00AD381B" w:rsidRDefault="00043C32" w14:paraId="4C9C7550" w14:textId="77777777">
      <w:pPr>
        <w:pStyle w:val="Heading1"/>
        <w:rPr>
          <w:sz w:val="24"/>
          <w:szCs w:val="24"/>
        </w:rPr>
      </w:pPr>
      <w:r w:rsidRPr="00AD381B">
        <w:rPr>
          <w:sz w:val="24"/>
          <w:szCs w:val="24"/>
        </w:rPr>
        <w:t>SUPPORTING STATEMENT</w:t>
      </w:r>
    </w:p>
    <w:p w:rsidRPr="00AD381B" w:rsidR="00043C32" w:rsidP="00AD381B" w:rsidRDefault="00043C32" w14:paraId="4C9C7551" w14:textId="77777777">
      <w:pPr>
        <w:pStyle w:val="Heading1"/>
        <w:rPr>
          <w:sz w:val="24"/>
          <w:szCs w:val="24"/>
        </w:rPr>
      </w:pPr>
      <w:r w:rsidRPr="00AD381B">
        <w:rPr>
          <w:sz w:val="24"/>
          <w:szCs w:val="24"/>
        </w:rPr>
        <w:t>FOR PAPERWORK REDUCTION ACT SUBMISSION</w:t>
      </w:r>
    </w:p>
    <w:p w:rsidRPr="00AD381B" w:rsidR="00043C32" w:rsidP="00AD381B" w:rsidRDefault="00043C32" w14:paraId="4C9C7552" w14:textId="77777777">
      <w:pPr>
        <w:tabs>
          <w:tab w:val="left" w:pos="0"/>
        </w:tabs>
        <w:suppressAutoHyphens/>
        <w:rPr>
          <w:rFonts w:ascii="Times New Roman" w:hAnsi="Times New Roman"/>
          <w:szCs w:val="24"/>
        </w:rPr>
      </w:pPr>
    </w:p>
    <w:p w:rsidRPr="00AD381B" w:rsidR="00EA1767" w:rsidP="00AD381B" w:rsidRDefault="00043C32" w14:paraId="4C9C7553"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40ABA" w:rsidRDefault="00AD381B" w14:paraId="4C9C7554" w14:textId="7E791E29">
      <w:pPr>
        <w:suppressAutoHyphens/>
        <w:spacing w:line="240" w:lineRule="exact"/>
        <w:rPr>
          <w:rFonts w:ascii="Times New Roman" w:hAnsi="Times New Roman"/>
          <w:szCs w:val="24"/>
        </w:rPr>
      </w:pPr>
    </w:p>
    <w:p w:rsidR="00F1029A" w:rsidP="00240ABA" w:rsidRDefault="00F1029A" w14:paraId="4F5B4C4A" w14:textId="5A9BD83A">
      <w:pPr>
        <w:suppressAutoHyphens/>
        <w:spacing w:line="240" w:lineRule="exact"/>
        <w:rPr>
          <w:rFonts w:ascii="Times New Roman" w:hAnsi="Times New Roman"/>
          <w:szCs w:val="24"/>
        </w:rPr>
      </w:pPr>
      <w:r>
        <w:rPr>
          <w:rFonts w:ascii="Times New Roman" w:hAnsi="Times New Roman"/>
          <w:szCs w:val="24"/>
        </w:rPr>
        <w:t xml:space="preserve">The U.S. Department of Education (Department) intends to collect lessons learned and </w:t>
      </w:r>
      <w:r w:rsidR="00EB3CE9">
        <w:rPr>
          <w:rFonts w:ascii="Times New Roman" w:hAnsi="Times New Roman"/>
          <w:szCs w:val="24"/>
        </w:rPr>
        <w:t xml:space="preserve">best practices </w:t>
      </w:r>
      <w:proofErr w:type="spellStart"/>
      <w:r w:rsidR="00EB3CE9">
        <w:rPr>
          <w:rFonts w:ascii="Times New Roman" w:hAnsi="Times New Roman"/>
          <w:szCs w:val="24"/>
        </w:rPr>
        <w:t>fom</w:t>
      </w:r>
      <w:proofErr w:type="spellEnd"/>
      <w:r w:rsidR="00EB3CE9">
        <w:rPr>
          <w:rFonts w:ascii="Times New Roman" w:hAnsi="Times New Roman"/>
          <w:szCs w:val="24"/>
        </w:rPr>
        <w:t xml:space="preserve"> the field to </w:t>
      </w:r>
      <w:r w:rsidR="00077748">
        <w:rPr>
          <w:rFonts w:ascii="Times New Roman" w:hAnsi="Times New Roman"/>
          <w:szCs w:val="24"/>
        </w:rPr>
        <w:t xml:space="preserve">populate </w:t>
      </w:r>
      <w:r w:rsidR="004561F6">
        <w:rPr>
          <w:rFonts w:ascii="Times New Roman" w:hAnsi="Times New Roman"/>
          <w:szCs w:val="24"/>
        </w:rPr>
        <w:t>the Safer Schools and Campuses Best Practices Clearinghouse</w:t>
      </w:r>
      <w:r w:rsidR="008D494D">
        <w:rPr>
          <w:rFonts w:ascii="Times New Roman" w:hAnsi="Times New Roman"/>
          <w:szCs w:val="24"/>
        </w:rPr>
        <w:t xml:space="preserve"> </w:t>
      </w:r>
      <w:r w:rsidR="009C2504">
        <w:rPr>
          <w:rFonts w:ascii="Times New Roman" w:hAnsi="Times New Roman"/>
          <w:szCs w:val="24"/>
        </w:rPr>
        <w:t xml:space="preserve">(Clearinghouse) </w:t>
      </w:r>
      <w:r w:rsidR="008D494D">
        <w:rPr>
          <w:rFonts w:ascii="Times New Roman" w:hAnsi="Times New Roman"/>
          <w:szCs w:val="24"/>
        </w:rPr>
        <w:t xml:space="preserve">in response to the directive to do so </w:t>
      </w:r>
      <w:r w:rsidR="00EC5B80">
        <w:rPr>
          <w:rFonts w:ascii="Times New Roman" w:hAnsi="Times New Roman"/>
          <w:szCs w:val="24"/>
        </w:rPr>
        <w:t>in Executive Order 14000 issue</w:t>
      </w:r>
      <w:r w:rsidR="00567E0B">
        <w:rPr>
          <w:rFonts w:ascii="Times New Roman" w:hAnsi="Times New Roman"/>
          <w:szCs w:val="24"/>
        </w:rPr>
        <w:t>d</w:t>
      </w:r>
      <w:r w:rsidR="00EC5B80">
        <w:rPr>
          <w:rFonts w:ascii="Times New Roman" w:hAnsi="Times New Roman"/>
          <w:szCs w:val="24"/>
        </w:rPr>
        <w:t xml:space="preserve"> on January 21, 2021</w:t>
      </w:r>
      <w:r w:rsidR="00E219DE">
        <w:rPr>
          <w:rFonts w:ascii="Times New Roman" w:hAnsi="Times New Roman"/>
          <w:szCs w:val="24"/>
        </w:rPr>
        <w:t>,</w:t>
      </w:r>
      <w:r w:rsidR="00EC5B80">
        <w:rPr>
          <w:rFonts w:ascii="Times New Roman" w:hAnsi="Times New Roman"/>
          <w:szCs w:val="24"/>
        </w:rPr>
        <w:t xml:space="preserve"> by the President.  </w:t>
      </w:r>
    </w:p>
    <w:p w:rsidR="00EC5B80" w:rsidP="00240ABA" w:rsidRDefault="00EC5B80" w14:paraId="7E83754A" w14:textId="14379E4F">
      <w:pPr>
        <w:suppressAutoHyphens/>
        <w:spacing w:line="240" w:lineRule="exact"/>
        <w:rPr>
          <w:rFonts w:ascii="Times New Roman" w:hAnsi="Times New Roman"/>
          <w:szCs w:val="24"/>
        </w:rPr>
      </w:pPr>
    </w:p>
    <w:p w:rsidR="00EC5B80" w:rsidP="00240ABA" w:rsidRDefault="00EC5B80" w14:paraId="34C0EB15" w14:textId="5AE96F66">
      <w:pPr>
        <w:suppressAutoHyphens/>
        <w:spacing w:line="240" w:lineRule="exact"/>
        <w:rPr>
          <w:rFonts w:ascii="Times New Roman" w:hAnsi="Times New Roman"/>
          <w:szCs w:val="24"/>
        </w:rPr>
      </w:pPr>
      <w:r>
        <w:rPr>
          <w:rFonts w:ascii="Times New Roman" w:hAnsi="Times New Roman"/>
          <w:szCs w:val="24"/>
        </w:rPr>
        <w:t xml:space="preserve">The purpose for this new collection is to </w:t>
      </w:r>
      <w:r w:rsidR="00CC54DF">
        <w:rPr>
          <w:rFonts w:ascii="Times New Roman" w:hAnsi="Times New Roman"/>
          <w:szCs w:val="24"/>
        </w:rPr>
        <w:t xml:space="preserve">ensure that the Department has sufficient information to review and, if </w:t>
      </w:r>
      <w:r w:rsidR="009C2504">
        <w:rPr>
          <w:rFonts w:ascii="Times New Roman" w:hAnsi="Times New Roman"/>
          <w:szCs w:val="24"/>
        </w:rPr>
        <w:t xml:space="preserve">appropriate, approve submissions to include in the Clearinghouse.  </w:t>
      </w:r>
    </w:p>
    <w:p w:rsidR="00F1029A" w:rsidP="00240ABA" w:rsidRDefault="00F1029A" w14:paraId="6D2545C5" w14:textId="77777777">
      <w:pPr>
        <w:suppressAutoHyphens/>
        <w:spacing w:line="240" w:lineRule="exact"/>
        <w:rPr>
          <w:rFonts w:ascii="Times New Roman" w:hAnsi="Times New Roman"/>
          <w:szCs w:val="24"/>
        </w:rPr>
      </w:pPr>
    </w:p>
    <w:p w:rsidRPr="00AD381B" w:rsidR="00AD381B" w:rsidP="00AD381B" w:rsidRDefault="00AD381B" w14:paraId="4C9C7555" w14:textId="77777777">
      <w:pPr>
        <w:pStyle w:val="ListParagraph"/>
        <w:suppressAutoHyphens/>
        <w:spacing w:line="240" w:lineRule="exact"/>
        <w:contextualSpacing w:val="0"/>
        <w:rPr>
          <w:rFonts w:ascii="Times New Roman" w:hAnsi="Times New Roman"/>
          <w:szCs w:val="24"/>
        </w:rPr>
      </w:pPr>
    </w:p>
    <w:p w:rsidR="00AD381B" w:rsidP="00AD381B" w:rsidRDefault="00043C32" w14:paraId="4C9C755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4C9C7557" w14:textId="3D6E342C">
      <w:pPr>
        <w:suppressAutoHyphens/>
        <w:spacing w:line="240" w:lineRule="exact"/>
        <w:rPr>
          <w:rFonts w:ascii="Times New Roman" w:hAnsi="Times New Roman"/>
          <w:szCs w:val="24"/>
        </w:rPr>
      </w:pPr>
    </w:p>
    <w:p w:rsidRPr="00245B01" w:rsidR="00240ABA" w:rsidP="00AD381B" w:rsidRDefault="00240ABA" w14:paraId="47D44C15" w14:textId="4EDC1F28">
      <w:pPr>
        <w:suppressAutoHyphens/>
        <w:spacing w:line="240" w:lineRule="exact"/>
        <w:rPr>
          <w:rFonts w:ascii="Times New Roman" w:hAnsi="Times New Roman"/>
          <w:szCs w:val="24"/>
        </w:rPr>
      </w:pPr>
      <w:r w:rsidRPr="00245B01">
        <w:rPr>
          <w:rFonts w:ascii="Times New Roman" w:hAnsi="Times New Roman"/>
          <w:szCs w:val="24"/>
        </w:rPr>
        <w:t xml:space="preserve">The Department will use this information to review </w:t>
      </w:r>
      <w:r w:rsidR="00F73E47">
        <w:rPr>
          <w:rFonts w:ascii="Times New Roman" w:hAnsi="Times New Roman"/>
          <w:szCs w:val="24"/>
        </w:rPr>
        <w:t xml:space="preserve">each </w:t>
      </w:r>
      <w:r w:rsidR="009C2504">
        <w:rPr>
          <w:rFonts w:ascii="Times New Roman" w:hAnsi="Times New Roman"/>
          <w:szCs w:val="24"/>
        </w:rPr>
        <w:t>submission</w:t>
      </w:r>
      <w:r w:rsidR="00F73E47">
        <w:rPr>
          <w:rFonts w:ascii="Times New Roman" w:hAnsi="Times New Roman"/>
          <w:szCs w:val="24"/>
        </w:rPr>
        <w:t>, in partnership with othe</w:t>
      </w:r>
      <w:r w:rsidR="00567E0B">
        <w:rPr>
          <w:rFonts w:ascii="Times New Roman" w:hAnsi="Times New Roman"/>
          <w:szCs w:val="24"/>
        </w:rPr>
        <w:t>r</w:t>
      </w:r>
      <w:r w:rsidR="00F73E47">
        <w:rPr>
          <w:rFonts w:ascii="Times New Roman" w:hAnsi="Times New Roman"/>
          <w:szCs w:val="24"/>
        </w:rPr>
        <w:t xml:space="preserve"> Federal agencies as necessary, </w:t>
      </w:r>
      <w:proofErr w:type="gramStart"/>
      <w:r w:rsidR="000E7A72">
        <w:rPr>
          <w:rFonts w:ascii="Times New Roman" w:hAnsi="Times New Roman"/>
          <w:szCs w:val="24"/>
        </w:rPr>
        <w:t>in order to</w:t>
      </w:r>
      <w:proofErr w:type="gramEnd"/>
      <w:r w:rsidR="000E7A72">
        <w:rPr>
          <w:rFonts w:ascii="Times New Roman" w:hAnsi="Times New Roman"/>
          <w:szCs w:val="24"/>
        </w:rPr>
        <w:t xml:space="preserve"> make a determination on approving </w:t>
      </w:r>
      <w:r w:rsidRPr="00245B01">
        <w:rPr>
          <w:rFonts w:ascii="Times New Roman" w:hAnsi="Times New Roman"/>
          <w:szCs w:val="24"/>
        </w:rPr>
        <w:t xml:space="preserve">each </w:t>
      </w:r>
      <w:r w:rsidR="000E7A72">
        <w:rPr>
          <w:rFonts w:ascii="Times New Roman" w:hAnsi="Times New Roman"/>
          <w:szCs w:val="24"/>
        </w:rPr>
        <w:t xml:space="preserve">submission and including it in the Clearinghouse.  </w:t>
      </w:r>
    </w:p>
    <w:p w:rsidRPr="00AD381B" w:rsidR="00043C32" w:rsidP="00AD381B" w:rsidRDefault="00043C32" w14:paraId="4C9C7558" w14:textId="77777777">
      <w:pPr>
        <w:suppressAutoHyphens/>
        <w:spacing w:line="240" w:lineRule="exact"/>
        <w:rPr>
          <w:rFonts w:ascii="Times New Roman" w:hAnsi="Times New Roman"/>
          <w:szCs w:val="24"/>
        </w:rPr>
      </w:pPr>
    </w:p>
    <w:p w:rsidRPr="00AD381B" w:rsidR="00043C32" w:rsidP="00AD381B" w:rsidRDefault="00043C32" w14:paraId="4C9C755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240ABA" w:rsidP="00240ABA" w:rsidRDefault="00240ABA" w14:paraId="07728D32" w14:textId="77777777">
      <w:pPr>
        <w:tabs>
          <w:tab w:val="left" w:pos="-720"/>
        </w:tabs>
        <w:suppressAutoHyphens/>
        <w:rPr>
          <w:rFonts w:ascii="Times New Roman" w:hAnsi="Times New Roman"/>
          <w:szCs w:val="24"/>
        </w:rPr>
      </w:pPr>
    </w:p>
    <w:p w:rsidRPr="00245B01" w:rsidR="00AD381B" w:rsidP="00240ABA" w:rsidRDefault="00E1218F" w14:paraId="4C9C755A" w14:textId="66A920A7">
      <w:pPr>
        <w:tabs>
          <w:tab w:val="left" w:pos="-720"/>
        </w:tabs>
        <w:suppressAutoHyphens/>
        <w:rPr>
          <w:rFonts w:ascii="Times New Roman" w:hAnsi="Times New Roman"/>
          <w:szCs w:val="24"/>
        </w:rPr>
      </w:pPr>
      <w:r>
        <w:rPr>
          <w:rFonts w:ascii="Times New Roman" w:hAnsi="Times New Roman"/>
          <w:szCs w:val="24"/>
        </w:rPr>
        <w:t xml:space="preserve">If they choose to participate, </w:t>
      </w:r>
      <w:r w:rsidR="00F25027">
        <w:rPr>
          <w:rFonts w:ascii="Times New Roman" w:hAnsi="Times New Roman"/>
          <w:szCs w:val="24"/>
        </w:rPr>
        <w:t xml:space="preserve">teachers, faculty, staff, </w:t>
      </w:r>
      <w:r w:rsidR="0078107F">
        <w:rPr>
          <w:rFonts w:ascii="Times New Roman" w:hAnsi="Times New Roman"/>
          <w:szCs w:val="24"/>
        </w:rPr>
        <w:t>s</w:t>
      </w:r>
      <w:r w:rsidR="000E7A72">
        <w:rPr>
          <w:rFonts w:ascii="Times New Roman" w:hAnsi="Times New Roman"/>
          <w:szCs w:val="24"/>
        </w:rPr>
        <w:t>chools, districts, early child</w:t>
      </w:r>
      <w:r w:rsidR="0078107F">
        <w:rPr>
          <w:rFonts w:ascii="Times New Roman" w:hAnsi="Times New Roman"/>
          <w:szCs w:val="24"/>
        </w:rPr>
        <w:t>hood</w:t>
      </w:r>
      <w:r w:rsidR="00250162">
        <w:rPr>
          <w:rFonts w:ascii="Times New Roman" w:hAnsi="Times New Roman"/>
          <w:szCs w:val="24"/>
        </w:rPr>
        <w:t xml:space="preserve"> </w:t>
      </w:r>
      <w:r w:rsidR="00F03C5C">
        <w:rPr>
          <w:rFonts w:ascii="Times New Roman" w:hAnsi="Times New Roman"/>
          <w:szCs w:val="24"/>
        </w:rPr>
        <w:t xml:space="preserve">education </w:t>
      </w:r>
      <w:r w:rsidR="00250162">
        <w:rPr>
          <w:rFonts w:ascii="Times New Roman" w:hAnsi="Times New Roman"/>
          <w:szCs w:val="24"/>
        </w:rPr>
        <w:t>provider</w:t>
      </w:r>
      <w:r w:rsidR="000E7A72">
        <w:rPr>
          <w:rFonts w:ascii="Times New Roman" w:hAnsi="Times New Roman"/>
          <w:szCs w:val="24"/>
        </w:rPr>
        <w:t xml:space="preserve">s, institutions of higher education </w:t>
      </w:r>
      <w:r w:rsidR="00972FF0">
        <w:rPr>
          <w:rFonts w:ascii="Times New Roman" w:hAnsi="Times New Roman"/>
          <w:szCs w:val="24"/>
        </w:rPr>
        <w:t>(IHEs)</w:t>
      </w:r>
      <w:r w:rsidR="00D17388">
        <w:rPr>
          <w:rFonts w:ascii="Times New Roman" w:hAnsi="Times New Roman"/>
          <w:szCs w:val="24"/>
        </w:rPr>
        <w:t xml:space="preserve">, </w:t>
      </w:r>
      <w:r w:rsidR="00AD3983">
        <w:rPr>
          <w:rFonts w:ascii="Times New Roman" w:hAnsi="Times New Roman"/>
          <w:szCs w:val="24"/>
        </w:rPr>
        <w:t xml:space="preserve">other places of educational instruction, </w:t>
      </w:r>
      <w:r w:rsidR="00D17388">
        <w:rPr>
          <w:rFonts w:ascii="Times New Roman" w:hAnsi="Times New Roman"/>
          <w:szCs w:val="24"/>
        </w:rPr>
        <w:t>and States</w:t>
      </w:r>
      <w:r w:rsidR="00972FF0">
        <w:rPr>
          <w:rFonts w:ascii="Times New Roman" w:hAnsi="Times New Roman"/>
          <w:szCs w:val="24"/>
        </w:rPr>
        <w:t xml:space="preserve"> </w:t>
      </w:r>
      <w:r w:rsidR="000E7A72">
        <w:rPr>
          <w:rFonts w:ascii="Times New Roman" w:hAnsi="Times New Roman"/>
          <w:szCs w:val="24"/>
        </w:rPr>
        <w:t>must submit lessons learned and best prac</w:t>
      </w:r>
      <w:r w:rsidRPr="00F6145D" w:rsidR="000E7A72">
        <w:rPr>
          <w:rFonts w:ascii="Times New Roman" w:hAnsi="Times New Roman"/>
          <w:szCs w:val="24"/>
        </w:rPr>
        <w:t xml:space="preserve">tices via email to </w:t>
      </w:r>
      <w:hyperlink w:history="1" r:id="rId11">
        <w:r w:rsidRPr="00F6145D" w:rsidR="00F6145D">
          <w:rPr>
            <w:rStyle w:val="Hyperlink"/>
            <w:rFonts w:ascii="Times New Roman" w:hAnsi="Times New Roman"/>
          </w:rPr>
          <w:t>Bestpracticesclearinghouse@ed.gov</w:t>
        </w:r>
      </w:hyperlink>
      <w:r w:rsidR="00CB4076">
        <w:rPr>
          <w:rFonts w:ascii="Times New Roman" w:hAnsi="Times New Roman"/>
          <w:szCs w:val="24"/>
        </w:rPr>
        <w:t xml:space="preserve">. </w:t>
      </w:r>
      <w:r w:rsidRPr="00245B01" w:rsidR="00F558E7">
        <w:rPr>
          <w:rFonts w:ascii="Times New Roman" w:hAnsi="Times New Roman"/>
          <w:szCs w:val="24"/>
        </w:rPr>
        <w:t xml:space="preserve">The basis for this decision was to provide the least amount of burden on </w:t>
      </w:r>
      <w:r w:rsidR="00F432DA">
        <w:rPr>
          <w:rFonts w:ascii="Times New Roman" w:hAnsi="Times New Roman"/>
          <w:szCs w:val="24"/>
        </w:rPr>
        <w:t xml:space="preserve">those entities that wish to share their </w:t>
      </w:r>
      <w:r w:rsidR="00972FF0">
        <w:rPr>
          <w:rFonts w:ascii="Times New Roman" w:hAnsi="Times New Roman"/>
          <w:szCs w:val="24"/>
        </w:rPr>
        <w:t xml:space="preserve">experiences to support all members of the education community. </w:t>
      </w:r>
    </w:p>
    <w:p w:rsidR="00AD381B" w:rsidP="00AD381B" w:rsidRDefault="00AD381B" w14:paraId="4C9C755B" w14:textId="77777777">
      <w:pPr>
        <w:pStyle w:val="ListParagraph"/>
        <w:tabs>
          <w:tab w:val="left" w:pos="-720"/>
        </w:tabs>
        <w:suppressAutoHyphens/>
        <w:contextualSpacing w:val="0"/>
        <w:rPr>
          <w:rFonts w:ascii="Times New Roman" w:hAnsi="Times New Roman"/>
          <w:szCs w:val="24"/>
        </w:rPr>
      </w:pPr>
    </w:p>
    <w:p w:rsidR="00AD381B" w:rsidP="00AD381B" w:rsidRDefault="00043C32" w14:paraId="4C9C755C" w14:textId="043079A2">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392A6C" w:rsidRDefault="00246FE9" w14:paraId="4C9C755D" w14:textId="625B85FD">
      <w:pPr>
        <w:tabs>
          <w:tab w:val="left" w:pos="-720"/>
        </w:tabs>
        <w:suppressAutoHyphens/>
        <w:rPr>
          <w:rFonts w:ascii="Times New Roman" w:hAnsi="Times New Roman"/>
          <w:b/>
          <w:szCs w:val="24"/>
        </w:rPr>
      </w:pPr>
    </w:p>
    <w:p w:rsidRPr="00245B01" w:rsidR="00392A6C" w:rsidP="00392A6C" w:rsidRDefault="00F558E7" w14:paraId="6C3029CD" w14:textId="7AD594F8">
      <w:pPr>
        <w:tabs>
          <w:tab w:val="left" w:pos="-720"/>
        </w:tabs>
        <w:suppressAutoHyphens/>
        <w:rPr>
          <w:rFonts w:ascii="Times New Roman" w:hAnsi="Times New Roman"/>
          <w:bCs/>
          <w:szCs w:val="24"/>
        </w:rPr>
      </w:pPr>
      <w:r w:rsidRPr="00245B01">
        <w:rPr>
          <w:rFonts w:ascii="Times New Roman" w:hAnsi="Times New Roman"/>
          <w:bCs/>
          <w:szCs w:val="24"/>
        </w:rPr>
        <w:t xml:space="preserve">This is a unique collection. There are no other standardized means for </w:t>
      </w:r>
      <w:r w:rsidR="00F25027">
        <w:rPr>
          <w:rFonts w:ascii="Times New Roman" w:hAnsi="Times New Roman"/>
          <w:bCs/>
          <w:szCs w:val="24"/>
        </w:rPr>
        <w:t>teachers, faculty, staff</w:t>
      </w:r>
      <w:r w:rsidR="00F6145D">
        <w:rPr>
          <w:rFonts w:ascii="Times New Roman" w:hAnsi="Times New Roman"/>
          <w:bCs/>
          <w:szCs w:val="24"/>
        </w:rPr>
        <w:t xml:space="preserve">, </w:t>
      </w:r>
      <w:r w:rsidR="00972FF0">
        <w:rPr>
          <w:rFonts w:ascii="Times New Roman" w:hAnsi="Times New Roman"/>
          <w:bCs/>
          <w:szCs w:val="24"/>
        </w:rPr>
        <w:t>schools, districts, early child</w:t>
      </w:r>
      <w:r w:rsidR="00F6145D">
        <w:rPr>
          <w:rFonts w:ascii="Times New Roman" w:hAnsi="Times New Roman"/>
          <w:bCs/>
          <w:szCs w:val="24"/>
        </w:rPr>
        <w:t>hood</w:t>
      </w:r>
      <w:r w:rsidR="00972FF0">
        <w:rPr>
          <w:rFonts w:ascii="Times New Roman" w:hAnsi="Times New Roman"/>
          <w:bCs/>
          <w:szCs w:val="24"/>
        </w:rPr>
        <w:t xml:space="preserve"> </w:t>
      </w:r>
      <w:r w:rsidR="009D6029">
        <w:rPr>
          <w:rFonts w:ascii="Times New Roman" w:hAnsi="Times New Roman"/>
          <w:bCs/>
          <w:szCs w:val="24"/>
        </w:rPr>
        <w:t xml:space="preserve">education </w:t>
      </w:r>
      <w:r w:rsidR="00972FF0">
        <w:rPr>
          <w:rFonts w:ascii="Times New Roman" w:hAnsi="Times New Roman"/>
          <w:bCs/>
          <w:szCs w:val="24"/>
        </w:rPr>
        <w:t>providers, IHEs</w:t>
      </w:r>
      <w:r w:rsidR="00D17388">
        <w:rPr>
          <w:rFonts w:ascii="Times New Roman" w:hAnsi="Times New Roman"/>
          <w:bCs/>
          <w:szCs w:val="24"/>
        </w:rPr>
        <w:t xml:space="preserve">, </w:t>
      </w:r>
      <w:r w:rsidR="009D6029">
        <w:rPr>
          <w:rFonts w:ascii="Times New Roman" w:hAnsi="Times New Roman"/>
          <w:bCs/>
          <w:szCs w:val="24"/>
        </w:rPr>
        <w:t xml:space="preserve">other places </w:t>
      </w:r>
      <w:r w:rsidR="009D0A8D">
        <w:rPr>
          <w:rFonts w:ascii="Times New Roman" w:hAnsi="Times New Roman"/>
          <w:bCs/>
          <w:szCs w:val="24"/>
        </w:rPr>
        <w:t xml:space="preserve">of educational instruction, </w:t>
      </w:r>
      <w:r w:rsidR="00D17388">
        <w:rPr>
          <w:rFonts w:ascii="Times New Roman" w:hAnsi="Times New Roman"/>
          <w:bCs/>
          <w:szCs w:val="24"/>
        </w:rPr>
        <w:t>or States</w:t>
      </w:r>
      <w:r w:rsidR="00972FF0">
        <w:rPr>
          <w:rFonts w:ascii="Times New Roman" w:hAnsi="Times New Roman"/>
          <w:bCs/>
          <w:szCs w:val="24"/>
        </w:rPr>
        <w:t xml:space="preserve"> to submit this information. </w:t>
      </w:r>
    </w:p>
    <w:p w:rsidR="00043C32" w:rsidP="00AD381B" w:rsidRDefault="00043C32" w14:paraId="4C9C755E"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500F3E" w:rsidRDefault="00AD381B" w14:paraId="4C9C755F" w14:textId="056DA971">
      <w:pPr>
        <w:rPr>
          <w:rFonts w:ascii="Times New Roman" w:hAnsi="Times New Roman"/>
          <w:szCs w:val="24"/>
        </w:rPr>
      </w:pPr>
    </w:p>
    <w:p w:rsidRPr="00C86153" w:rsidR="007D515A" w:rsidP="009059B0" w:rsidRDefault="005E700A" w14:paraId="3E77A971" w14:textId="417DCEDB">
      <w:pPr>
        <w:rPr>
          <w:rFonts w:ascii="Times New Roman" w:hAnsi="Times New Roman"/>
          <w:szCs w:val="24"/>
        </w:rPr>
      </w:pPr>
      <w:r w:rsidRPr="00C86153">
        <w:rPr>
          <w:rFonts w:ascii="Times New Roman" w:hAnsi="Times New Roman"/>
          <w:szCs w:val="24"/>
        </w:rPr>
        <w:t xml:space="preserve">To minimize </w:t>
      </w:r>
      <w:r w:rsidRPr="00C86153" w:rsidR="00E26371">
        <w:rPr>
          <w:rFonts w:ascii="Times New Roman" w:hAnsi="Times New Roman"/>
          <w:szCs w:val="24"/>
        </w:rPr>
        <w:t xml:space="preserve">the </w:t>
      </w:r>
      <w:r w:rsidRPr="00C86153" w:rsidR="00370A12">
        <w:rPr>
          <w:rFonts w:ascii="Times New Roman" w:hAnsi="Times New Roman"/>
          <w:szCs w:val="24"/>
        </w:rPr>
        <w:t>burden on small</w:t>
      </w:r>
      <w:r w:rsidRPr="00C86153" w:rsidR="00BF3A4D">
        <w:rPr>
          <w:rFonts w:ascii="Times New Roman" w:hAnsi="Times New Roman"/>
          <w:szCs w:val="24"/>
        </w:rPr>
        <w:t xml:space="preserve"> </w:t>
      </w:r>
      <w:r w:rsidRPr="00C86153" w:rsidR="00E26371">
        <w:rPr>
          <w:rFonts w:ascii="Times New Roman" w:hAnsi="Times New Roman"/>
          <w:szCs w:val="24"/>
        </w:rPr>
        <w:t>business</w:t>
      </w:r>
      <w:r w:rsidR="00842F37">
        <w:rPr>
          <w:rFonts w:ascii="Times New Roman" w:hAnsi="Times New Roman"/>
          <w:szCs w:val="24"/>
        </w:rPr>
        <w:t>es</w:t>
      </w:r>
      <w:r w:rsidRPr="00C86153" w:rsidR="00E26371">
        <w:rPr>
          <w:rFonts w:ascii="Times New Roman" w:hAnsi="Times New Roman"/>
          <w:szCs w:val="24"/>
        </w:rPr>
        <w:t xml:space="preserve"> or other small </w:t>
      </w:r>
      <w:r w:rsidRPr="00C86153" w:rsidR="00BE1975">
        <w:rPr>
          <w:rFonts w:ascii="Times New Roman" w:hAnsi="Times New Roman"/>
          <w:szCs w:val="24"/>
        </w:rPr>
        <w:t>entities</w:t>
      </w:r>
      <w:r w:rsidRPr="00C86153" w:rsidR="00C71351">
        <w:rPr>
          <w:rFonts w:ascii="Times New Roman" w:hAnsi="Times New Roman"/>
          <w:szCs w:val="24"/>
        </w:rPr>
        <w:t>,</w:t>
      </w:r>
      <w:r w:rsidRPr="00C86153" w:rsidR="00C03E28">
        <w:rPr>
          <w:rFonts w:ascii="Times New Roman" w:hAnsi="Times New Roman"/>
          <w:szCs w:val="24"/>
        </w:rPr>
        <w:t xml:space="preserve"> </w:t>
      </w:r>
      <w:r w:rsidRPr="00C86153" w:rsidR="00C71351">
        <w:rPr>
          <w:rFonts w:ascii="Times New Roman" w:hAnsi="Times New Roman"/>
          <w:szCs w:val="24"/>
        </w:rPr>
        <w:t xml:space="preserve">the Department requests minimal supporting information </w:t>
      </w:r>
      <w:r w:rsidRPr="00C86153" w:rsidR="00E96CB6">
        <w:rPr>
          <w:rFonts w:ascii="Times New Roman" w:hAnsi="Times New Roman"/>
          <w:szCs w:val="24"/>
        </w:rPr>
        <w:t>along with submissions.  This minimal information</w:t>
      </w:r>
      <w:r w:rsidRPr="00C86153" w:rsidR="00C2535A">
        <w:rPr>
          <w:rFonts w:ascii="Times New Roman" w:hAnsi="Times New Roman"/>
          <w:szCs w:val="24"/>
        </w:rPr>
        <w:t xml:space="preserve"> will allow the Department </w:t>
      </w:r>
      <w:r w:rsidRPr="00C86153" w:rsidR="0082090C">
        <w:rPr>
          <w:rFonts w:ascii="Times New Roman" w:hAnsi="Times New Roman"/>
          <w:szCs w:val="24"/>
        </w:rPr>
        <w:t>to correctly categorize submission</w:t>
      </w:r>
      <w:r w:rsidR="00BB3B0A">
        <w:rPr>
          <w:rFonts w:ascii="Times New Roman" w:hAnsi="Times New Roman"/>
          <w:szCs w:val="24"/>
        </w:rPr>
        <w:t>s</w:t>
      </w:r>
      <w:r w:rsidRPr="00C86153" w:rsidR="0082090C">
        <w:rPr>
          <w:rFonts w:ascii="Times New Roman" w:hAnsi="Times New Roman"/>
          <w:szCs w:val="24"/>
        </w:rPr>
        <w:t xml:space="preserve"> to support end-users.  </w:t>
      </w:r>
    </w:p>
    <w:p w:rsidR="00AD381B" w:rsidP="00AD381B" w:rsidRDefault="00AD381B" w14:paraId="4C9C7560" w14:textId="77777777">
      <w:pPr>
        <w:pStyle w:val="ListParagraph"/>
        <w:contextualSpacing w:val="0"/>
        <w:rPr>
          <w:rFonts w:ascii="Times New Roman" w:hAnsi="Times New Roman"/>
          <w:szCs w:val="24"/>
        </w:rPr>
      </w:pPr>
    </w:p>
    <w:p w:rsidR="00043C32" w:rsidP="00AD381B" w:rsidRDefault="00043C32" w14:paraId="4C9C7561" w14:textId="16C87106">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6482C" w:rsidP="0046482C" w:rsidRDefault="0046482C" w14:paraId="22A4C0A8" w14:textId="7288CFED">
      <w:pPr>
        <w:tabs>
          <w:tab w:val="left" w:pos="-720"/>
        </w:tabs>
        <w:suppressAutoHyphens/>
        <w:rPr>
          <w:rFonts w:ascii="Times New Roman" w:hAnsi="Times New Roman"/>
          <w:b/>
          <w:szCs w:val="24"/>
        </w:rPr>
      </w:pPr>
    </w:p>
    <w:p w:rsidR="00250162" w:rsidP="0046482C" w:rsidRDefault="00D4630D" w14:paraId="2ED05C7B" w14:textId="36CC13CD">
      <w:pPr>
        <w:tabs>
          <w:tab w:val="left" w:pos="-720"/>
        </w:tabs>
        <w:suppressAutoHyphens/>
        <w:rPr>
          <w:rFonts w:ascii="Times New Roman" w:hAnsi="Times New Roman"/>
          <w:bCs/>
          <w:szCs w:val="24"/>
        </w:rPr>
      </w:pPr>
      <w:r>
        <w:rPr>
          <w:rFonts w:ascii="Times New Roman" w:hAnsi="Times New Roman"/>
          <w:bCs/>
          <w:szCs w:val="24"/>
        </w:rPr>
        <w:t xml:space="preserve">Supporting the reopening and continued operation of schools, </w:t>
      </w:r>
      <w:r w:rsidR="009A3FDA">
        <w:rPr>
          <w:rFonts w:ascii="Times New Roman" w:hAnsi="Times New Roman"/>
          <w:bCs/>
          <w:szCs w:val="24"/>
        </w:rPr>
        <w:t xml:space="preserve">districts, </w:t>
      </w:r>
      <w:r w:rsidR="00DC4F7F">
        <w:rPr>
          <w:rFonts w:ascii="Times New Roman" w:hAnsi="Times New Roman"/>
          <w:bCs/>
          <w:szCs w:val="24"/>
        </w:rPr>
        <w:t xml:space="preserve">early </w:t>
      </w:r>
      <w:r>
        <w:rPr>
          <w:rFonts w:ascii="Times New Roman" w:hAnsi="Times New Roman"/>
          <w:bCs/>
          <w:szCs w:val="24"/>
        </w:rPr>
        <w:t>child</w:t>
      </w:r>
      <w:r w:rsidR="00DC4F7F">
        <w:rPr>
          <w:rFonts w:ascii="Times New Roman" w:hAnsi="Times New Roman"/>
          <w:bCs/>
          <w:szCs w:val="24"/>
        </w:rPr>
        <w:t>hood</w:t>
      </w:r>
      <w:r>
        <w:rPr>
          <w:rFonts w:ascii="Times New Roman" w:hAnsi="Times New Roman"/>
          <w:bCs/>
          <w:szCs w:val="24"/>
        </w:rPr>
        <w:t xml:space="preserve"> </w:t>
      </w:r>
      <w:r w:rsidR="00BE1975">
        <w:rPr>
          <w:rFonts w:ascii="Times New Roman" w:hAnsi="Times New Roman"/>
          <w:bCs/>
          <w:szCs w:val="24"/>
        </w:rPr>
        <w:t>education providers</w:t>
      </w:r>
      <w:r>
        <w:rPr>
          <w:rFonts w:ascii="Times New Roman" w:hAnsi="Times New Roman"/>
          <w:bCs/>
          <w:szCs w:val="24"/>
        </w:rPr>
        <w:t xml:space="preserve">, </w:t>
      </w:r>
      <w:r w:rsidR="003B5495">
        <w:rPr>
          <w:rFonts w:ascii="Times New Roman" w:hAnsi="Times New Roman"/>
          <w:bCs/>
          <w:szCs w:val="24"/>
        </w:rPr>
        <w:t>IHE’s</w:t>
      </w:r>
      <w:r w:rsidR="004C08D2">
        <w:rPr>
          <w:rFonts w:ascii="Times New Roman" w:hAnsi="Times New Roman"/>
          <w:bCs/>
          <w:szCs w:val="24"/>
        </w:rPr>
        <w:t>, and other places of educational instruction</w:t>
      </w:r>
      <w:r w:rsidR="003B5495">
        <w:rPr>
          <w:rFonts w:ascii="Times New Roman" w:hAnsi="Times New Roman"/>
          <w:bCs/>
          <w:szCs w:val="24"/>
        </w:rPr>
        <w:t xml:space="preserve"> is critical </w:t>
      </w:r>
      <w:proofErr w:type="gramStart"/>
      <w:r w:rsidR="003B5495">
        <w:rPr>
          <w:rFonts w:ascii="Times New Roman" w:hAnsi="Times New Roman"/>
          <w:bCs/>
          <w:szCs w:val="24"/>
        </w:rPr>
        <w:t>at this time</w:t>
      </w:r>
      <w:proofErr w:type="gramEnd"/>
      <w:r w:rsidR="00303EED">
        <w:rPr>
          <w:rFonts w:ascii="Times New Roman" w:hAnsi="Times New Roman"/>
          <w:bCs/>
          <w:szCs w:val="24"/>
        </w:rPr>
        <w:t xml:space="preserve">.  COVID-19 has caused unprecedented disruption to all aspects of </w:t>
      </w:r>
      <w:r w:rsidR="001435A7">
        <w:rPr>
          <w:rFonts w:ascii="Times New Roman" w:hAnsi="Times New Roman"/>
          <w:bCs/>
          <w:szCs w:val="24"/>
        </w:rPr>
        <w:t>daily life, chief among them</w:t>
      </w:r>
      <w:r w:rsidR="00FA3702">
        <w:rPr>
          <w:rFonts w:ascii="Times New Roman" w:hAnsi="Times New Roman"/>
          <w:bCs/>
          <w:szCs w:val="24"/>
        </w:rPr>
        <w:t xml:space="preserve"> the disruption to schooling at all grade levels</w:t>
      </w:r>
      <w:r w:rsidR="005C19E5">
        <w:rPr>
          <w:rFonts w:ascii="Times New Roman" w:hAnsi="Times New Roman"/>
          <w:bCs/>
          <w:szCs w:val="24"/>
        </w:rPr>
        <w:t xml:space="preserve">.  Lack of face-to-face instruction has negatively impacted students, families, and communities.  Not only </w:t>
      </w:r>
      <w:r w:rsidR="00577E94">
        <w:rPr>
          <w:rFonts w:ascii="Times New Roman" w:hAnsi="Times New Roman"/>
          <w:bCs/>
          <w:szCs w:val="24"/>
        </w:rPr>
        <w:t>do</w:t>
      </w:r>
      <w:r w:rsidR="005C19E5">
        <w:rPr>
          <w:rFonts w:ascii="Times New Roman" w:hAnsi="Times New Roman"/>
          <w:bCs/>
          <w:szCs w:val="24"/>
        </w:rPr>
        <w:t xml:space="preserve"> students face learning loss, but students and teachers face </w:t>
      </w:r>
      <w:r w:rsidR="00577E94">
        <w:rPr>
          <w:rFonts w:ascii="Times New Roman" w:hAnsi="Times New Roman"/>
          <w:bCs/>
          <w:szCs w:val="24"/>
        </w:rPr>
        <w:t>challenges to their physical and emotional well</w:t>
      </w:r>
      <w:r w:rsidR="009A3FDA">
        <w:rPr>
          <w:rFonts w:ascii="Times New Roman" w:hAnsi="Times New Roman"/>
          <w:bCs/>
          <w:szCs w:val="24"/>
        </w:rPr>
        <w:t>-</w:t>
      </w:r>
      <w:r w:rsidR="00577E94">
        <w:rPr>
          <w:rFonts w:ascii="Times New Roman" w:hAnsi="Times New Roman"/>
          <w:bCs/>
          <w:szCs w:val="24"/>
        </w:rPr>
        <w:t xml:space="preserve">being </w:t>
      </w:r>
      <w:proofErr w:type="gramStart"/>
      <w:r w:rsidR="005103FB">
        <w:rPr>
          <w:rFonts w:ascii="Times New Roman" w:hAnsi="Times New Roman"/>
          <w:bCs/>
          <w:szCs w:val="24"/>
        </w:rPr>
        <w:t>as a result of</w:t>
      </w:r>
      <w:proofErr w:type="gramEnd"/>
      <w:r w:rsidR="005103FB">
        <w:rPr>
          <w:rFonts w:ascii="Times New Roman" w:hAnsi="Times New Roman"/>
          <w:bCs/>
          <w:szCs w:val="24"/>
        </w:rPr>
        <w:t xml:space="preserve"> the disruption to schooling.  In order for this count</w:t>
      </w:r>
      <w:r w:rsidR="00871C0D">
        <w:rPr>
          <w:rFonts w:ascii="Times New Roman" w:hAnsi="Times New Roman"/>
          <w:bCs/>
          <w:szCs w:val="24"/>
        </w:rPr>
        <w:t>r</w:t>
      </w:r>
      <w:r w:rsidR="005103FB">
        <w:rPr>
          <w:rFonts w:ascii="Times New Roman" w:hAnsi="Times New Roman"/>
          <w:bCs/>
          <w:szCs w:val="24"/>
        </w:rPr>
        <w:t xml:space="preserve">y to recover from the pandemic, </w:t>
      </w:r>
      <w:proofErr w:type="spellStart"/>
      <w:r w:rsidR="005103FB">
        <w:rPr>
          <w:rFonts w:ascii="Times New Roman" w:hAnsi="Times New Roman"/>
          <w:bCs/>
          <w:szCs w:val="24"/>
        </w:rPr>
        <w:t>students</w:t>
      </w:r>
      <w:proofErr w:type="spellEnd"/>
      <w:r w:rsidR="005103FB">
        <w:rPr>
          <w:rFonts w:ascii="Times New Roman" w:hAnsi="Times New Roman"/>
          <w:bCs/>
          <w:szCs w:val="24"/>
        </w:rPr>
        <w:t xml:space="preserve"> </w:t>
      </w:r>
      <w:proofErr w:type="gramStart"/>
      <w:r w:rsidR="005103FB">
        <w:rPr>
          <w:rFonts w:ascii="Times New Roman" w:hAnsi="Times New Roman"/>
          <w:bCs/>
          <w:szCs w:val="24"/>
        </w:rPr>
        <w:t>needs</w:t>
      </w:r>
      <w:proofErr w:type="gramEnd"/>
      <w:r w:rsidR="005103FB">
        <w:rPr>
          <w:rFonts w:ascii="Times New Roman" w:hAnsi="Times New Roman"/>
          <w:bCs/>
          <w:szCs w:val="24"/>
        </w:rPr>
        <w:t xml:space="preserve"> to be able to return to face-to-face learning and schools need to be better equipped for future crises.  Sharing lessons learned and best practices is a critical way </w:t>
      </w:r>
      <w:r w:rsidR="00EF4BDB">
        <w:rPr>
          <w:rFonts w:ascii="Times New Roman" w:hAnsi="Times New Roman"/>
          <w:bCs/>
          <w:szCs w:val="24"/>
        </w:rPr>
        <w:t xml:space="preserve">to help support a safe return to face-to-face </w:t>
      </w:r>
      <w:proofErr w:type="spellStart"/>
      <w:r w:rsidR="00EF4BDB">
        <w:rPr>
          <w:rFonts w:ascii="Times New Roman" w:hAnsi="Times New Roman"/>
          <w:bCs/>
          <w:szCs w:val="24"/>
        </w:rPr>
        <w:t>instrucstion</w:t>
      </w:r>
      <w:proofErr w:type="spellEnd"/>
      <w:r w:rsidR="00EF4BDB">
        <w:rPr>
          <w:rFonts w:ascii="Times New Roman" w:hAnsi="Times New Roman"/>
          <w:bCs/>
          <w:szCs w:val="24"/>
        </w:rPr>
        <w:t xml:space="preserve"> and help ensure that schools remain open.  </w:t>
      </w:r>
    </w:p>
    <w:p w:rsidRPr="0046482C" w:rsidR="00F558E7" w:rsidP="0046482C" w:rsidRDefault="00F558E7" w14:paraId="1BD876DB" w14:textId="77777777">
      <w:pPr>
        <w:tabs>
          <w:tab w:val="left" w:pos="-720"/>
        </w:tabs>
        <w:suppressAutoHyphens/>
        <w:rPr>
          <w:rFonts w:ascii="Times New Roman" w:hAnsi="Times New Roman"/>
          <w:b/>
          <w:szCs w:val="24"/>
        </w:rPr>
      </w:pPr>
    </w:p>
    <w:p w:rsidRPr="00AD381B" w:rsidR="00043C32" w:rsidP="00AD381B" w:rsidRDefault="00043C32" w14:paraId="4C9C75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4C9C7563" w14:textId="77777777">
      <w:pPr>
        <w:tabs>
          <w:tab w:val="left" w:pos="-720"/>
        </w:tabs>
        <w:suppressAutoHyphens/>
        <w:rPr>
          <w:rFonts w:ascii="Times New Roman" w:hAnsi="Times New Roman"/>
          <w:b/>
          <w:szCs w:val="24"/>
        </w:rPr>
      </w:pPr>
    </w:p>
    <w:p w:rsidRPr="00AD381B" w:rsidR="00043C32" w:rsidP="00AD381B" w:rsidRDefault="00043C32" w14:paraId="4C9C75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4C9C75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C9C75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4C9C75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4C9C75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4C9C75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4C9C75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4C9C75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4C9C7571" w14:textId="77777777">
      <w:pPr>
        <w:numPr>
          <w:ilvl w:val="12"/>
          <w:numId w:val="0"/>
        </w:numPr>
        <w:tabs>
          <w:tab w:val="left" w:pos="-720"/>
        </w:tabs>
        <w:suppressAutoHyphens/>
        <w:rPr>
          <w:rFonts w:ascii="Times New Roman" w:hAnsi="Times New Roman"/>
          <w:b/>
          <w:szCs w:val="24"/>
        </w:rPr>
      </w:pPr>
    </w:p>
    <w:p w:rsidR="00043C32" w:rsidP="00AD381B" w:rsidRDefault="00043C32" w14:paraId="4C9C75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6482C" w:rsidP="0046482C" w:rsidRDefault="0046482C" w14:paraId="5D2F4FAC" w14:textId="77777777">
      <w:pPr>
        <w:rPr>
          <w:rFonts w:ascii="Times New Roman" w:hAnsi="Times New Roman"/>
          <w:bCs/>
          <w:i/>
          <w:iCs/>
          <w:szCs w:val="24"/>
        </w:rPr>
      </w:pPr>
    </w:p>
    <w:p w:rsidRPr="00245B01" w:rsidR="00AD381B" w:rsidP="0046482C" w:rsidRDefault="0046482C" w14:paraId="4C9C7573" w14:textId="6B880B88">
      <w:pPr>
        <w:rPr>
          <w:rFonts w:ascii="Times New Roman" w:hAnsi="Times New Roman"/>
          <w:bCs/>
          <w:szCs w:val="24"/>
        </w:rPr>
      </w:pPr>
      <w:r w:rsidRPr="00245B01">
        <w:rPr>
          <w:rFonts w:ascii="Times New Roman" w:hAnsi="Times New Roman"/>
          <w:bCs/>
          <w:szCs w:val="24"/>
        </w:rPr>
        <w:t>There are no special circumstances that apply to this collection.</w:t>
      </w:r>
    </w:p>
    <w:p w:rsidRPr="00AD381B" w:rsidR="00AD381B" w:rsidP="00AD381B" w:rsidRDefault="00AD381B" w14:paraId="4C9C7574" w14:textId="77777777">
      <w:pPr>
        <w:tabs>
          <w:tab w:val="left" w:pos="-720"/>
        </w:tabs>
        <w:suppressAutoHyphens/>
        <w:rPr>
          <w:rFonts w:ascii="Times New Roman" w:hAnsi="Times New Roman"/>
          <w:szCs w:val="24"/>
        </w:rPr>
      </w:pPr>
    </w:p>
    <w:p w:rsidR="00D75313" w:rsidP="00AD381B" w:rsidRDefault="00043C32" w14:paraId="4C9C757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C9C7576"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C9C757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4C9C7578"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4C9C757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4C9C757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4C9C757B" w14:textId="77777777">
      <w:pPr>
        <w:tabs>
          <w:tab w:val="left" w:pos="-720"/>
        </w:tabs>
        <w:suppressAutoHyphens/>
        <w:rPr>
          <w:rStyle w:val="a"/>
          <w:rFonts w:ascii="Times New Roman" w:hAnsi="Times New Roman"/>
          <w:b/>
          <w:szCs w:val="24"/>
        </w:rPr>
      </w:pPr>
    </w:p>
    <w:p w:rsidR="00043C32" w:rsidP="00AD381B" w:rsidRDefault="00043C32" w14:paraId="4C9C757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832CE" w:rsidP="001832CE" w:rsidRDefault="001832CE" w14:paraId="79BB6B7A" w14:textId="77777777">
      <w:pPr>
        <w:tabs>
          <w:tab w:val="left" w:pos="-720"/>
        </w:tabs>
        <w:suppressAutoHyphens/>
        <w:rPr>
          <w:rFonts w:ascii="Times New Roman" w:hAnsi="Times New Roman"/>
          <w:bCs/>
          <w:i/>
          <w:iCs/>
          <w:szCs w:val="24"/>
        </w:rPr>
      </w:pPr>
    </w:p>
    <w:p w:rsidRPr="00245B01" w:rsidR="001832CE" w:rsidP="001832CE" w:rsidRDefault="001832CE" w14:paraId="21F32859" w14:textId="6E4EBD6C">
      <w:pPr>
        <w:tabs>
          <w:tab w:val="left" w:pos="-720"/>
        </w:tabs>
        <w:suppressAutoHyphens/>
        <w:rPr>
          <w:rFonts w:ascii="Times New Roman" w:hAnsi="Times New Roman"/>
          <w:szCs w:val="24"/>
        </w:rPr>
      </w:pPr>
      <w:r w:rsidRPr="00245B01">
        <w:rPr>
          <w:rFonts w:ascii="Times New Roman" w:hAnsi="Times New Roman"/>
          <w:szCs w:val="24"/>
        </w:rPr>
        <w:lastRenderedPageBreak/>
        <w:t xml:space="preserve">The Department is requesting emergency clearance and OMB approval </w:t>
      </w:r>
      <w:proofErr w:type="gramStart"/>
      <w:r w:rsidRPr="00245B01">
        <w:rPr>
          <w:rFonts w:ascii="Times New Roman" w:hAnsi="Times New Roman"/>
          <w:szCs w:val="24"/>
        </w:rPr>
        <w:t>in order to</w:t>
      </w:r>
      <w:proofErr w:type="gramEnd"/>
      <w:r w:rsidRPr="00245B01">
        <w:rPr>
          <w:rFonts w:ascii="Times New Roman" w:hAnsi="Times New Roman"/>
          <w:szCs w:val="24"/>
        </w:rPr>
        <w:t xml:space="preserve"> collect </w:t>
      </w:r>
      <w:r w:rsidR="00804725">
        <w:rPr>
          <w:rFonts w:ascii="Times New Roman" w:hAnsi="Times New Roman"/>
          <w:szCs w:val="24"/>
        </w:rPr>
        <w:t>lessons learned and best practices from the field</w:t>
      </w:r>
      <w:r w:rsidRPr="00245B01">
        <w:rPr>
          <w:rFonts w:ascii="Times New Roman" w:hAnsi="Times New Roman"/>
          <w:szCs w:val="24"/>
        </w:rPr>
        <w:t xml:space="preserve"> as soon as possible.</w:t>
      </w:r>
      <w:r w:rsidRPr="00245B01" w:rsidR="00F2555E">
        <w:rPr>
          <w:rFonts w:ascii="Times New Roman" w:hAnsi="Times New Roman"/>
          <w:szCs w:val="24"/>
        </w:rPr>
        <w:t xml:space="preserve"> </w:t>
      </w:r>
      <w:r w:rsidR="004A7C5E">
        <w:rPr>
          <w:rFonts w:ascii="Times New Roman" w:hAnsi="Times New Roman"/>
          <w:szCs w:val="24"/>
        </w:rPr>
        <w:t xml:space="preserve"> </w:t>
      </w:r>
      <w:r w:rsidR="007C4EF7">
        <w:rPr>
          <w:rFonts w:ascii="Times New Roman" w:hAnsi="Times New Roman"/>
          <w:szCs w:val="24"/>
        </w:rPr>
        <w:t xml:space="preserve">Members of the </w:t>
      </w:r>
      <w:r w:rsidR="008E0712">
        <w:rPr>
          <w:rFonts w:ascii="Times New Roman" w:hAnsi="Times New Roman"/>
          <w:szCs w:val="24"/>
        </w:rPr>
        <w:t xml:space="preserve">education </w:t>
      </w:r>
      <w:r w:rsidR="007C4EF7">
        <w:rPr>
          <w:rFonts w:ascii="Times New Roman" w:hAnsi="Times New Roman"/>
          <w:szCs w:val="24"/>
        </w:rPr>
        <w:t>community often turn to each other for information, resources, and support.  The Clearingho</w:t>
      </w:r>
      <w:r w:rsidR="00932F1B">
        <w:rPr>
          <w:rFonts w:ascii="Times New Roman" w:hAnsi="Times New Roman"/>
          <w:szCs w:val="24"/>
        </w:rPr>
        <w:t>us</w:t>
      </w:r>
      <w:r w:rsidR="007C4EF7">
        <w:rPr>
          <w:rFonts w:ascii="Times New Roman" w:hAnsi="Times New Roman"/>
          <w:szCs w:val="24"/>
        </w:rPr>
        <w:t xml:space="preserve">e will serve as an important </w:t>
      </w:r>
      <w:r w:rsidR="00D17388">
        <w:rPr>
          <w:rFonts w:ascii="Times New Roman" w:hAnsi="Times New Roman"/>
          <w:szCs w:val="24"/>
        </w:rPr>
        <w:t xml:space="preserve">vehicle for information sharing across </w:t>
      </w:r>
      <w:r w:rsidR="00BE1975">
        <w:rPr>
          <w:rFonts w:ascii="Times New Roman" w:hAnsi="Times New Roman"/>
          <w:szCs w:val="24"/>
        </w:rPr>
        <w:t>teachers, faculty, staff</w:t>
      </w:r>
      <w:r w:rsidR="00BF44F6">
        <w:rPr>
          <w:rFonts w:ascii="Times New Roman" w:hAnsi="Times New Roman"/>
          <w:szCs w:val="24"/>
        </w:rPr>
        <w:t xml:space="preserve">, </w:t>
      </w:r>
      <w:r w:rsidR="00D17388">
        <w:rPr>
          <w:rFonts w:ascii="Times New Roman" w:hAnsi="Times New Roman"/>
          <w:szCs w:val="24"/>
        </w:rPr>
        <w:t>schools, districts, early child</w:t>
      </w:r>
      <w:r w:rsidR="004A7C5E">
        <w:rPr>
          <w:rFonts w:ascii="Times New Roman" w:hAnsi="Times New Roman"/>
          <w:szCs w:val="24"/>
        </w:rPr>
        <w:t>hood</w:t>
      </w:r>
      <w:r w:rsidR="00D17388">
        <w:rPr>
          <w:rFonts w:ascii="Times New Roman" w:hAnsi="Times New Roman"/>
          <w:szCs w:val="24"/>
        </w:rPr>
        <w:t xml:space="preserve"> </w:t>
      </w:r>
      <w:r w:rsidR="00BF44F6">
        <w:rPr>
          <w:rFonts w:ascii="Times New Roman" w:hAnsi="Times New Roman"/>
          <w:szCs w:val="24"/>
        </w:rPr>
        <w:t xml:space="preserve">education providers, </w:t>
      </w:r>
      <w:r w:rsidR="00065D66">
        <w:rPr>
          <w:rFonts w:ascii="Times New Roman" w:hAnsi="Times New Roman"/>
          <w:szCs w:val="24"/>
        </w:rPr>
        <w:t xml:space="preserve">IHEs, </w:t>
      </w:r>
      <w:r w:rsidR="00BF44F6">
        <w:rPr>
          <w:rFonts w:ascii="Times New Roman" w:hAnsi="Times New Roman"/>
          <w:szCs w:val="24"/>
        </w:rPr>
        <w:t xml:space="preserve">other </w:t>
      </w:r>
      <w:r w:rsidR="004C0146">
        <w:rPr>
          <w:rFonts w:ascii="Times New Roman" w:hAnsi="Times New Roman"/>
          <w:szCs w:val="24"/>
        </w:rPr>
        <w:t xml:space="preserve">places of educational instruction, </w:t>
      </w:r>
      <w:r w:rsidR="00065D66">
        <w:rPr>
          <w:rFonts w:ascii="Times New Roman" w:hAnsi="Times New Roman"/>
          <w:szCs w:val="24"/>
        </w:rPr>
        <w:t>and States on a large</w:t>
      </w:r>
      <w:r w:rsidR="000C42DB">
        <w:rPr>
          <w:rFonts w:ascii="Times New Roman" w:hAnsi="Times New Roman"/>
          <w:szCs w:val="24"/>
        </w:rPr>
        <w:t>-</w:t>
      </w:r>
      <w:r w:rsidR="00065D66">
        <w:rPr>
          <w:rFonts w:ascii="Times New Roman" w:hAnsi="Times New Roman"/>
          <w:szCs w:val="24"/>
        </w:rPr>
        <w:t>scale basis.  This vehicle will allow for more than sharing among schools in a district or districts in a State.  The Clearinghou</w:t>
      </w:r>
      <w:r w:rsidR="007D515A">
        <w:rPr>
          <w:rFonts w:ascii="Times New Roman" w:hAnsi="Times New Roman"/>
          <w:szCs w:val="24"/>
        </w:rPr>
        <w:t>s</w:t>
      </w:r>
      <w:r w:rsidR="00065D66">
        <w:rPr>
          <w:rFonts w:ascii="Times New Roman" w:hAnsi="Times New Roman"/>
          <w:szCs w:val="24"/>
        </w:rPr>
        <w:t xml:space="preserve">e will allow </w:t>
      </w:r>
      <w:r w:rsidR="00EA0739">
        <w:rPr>
          <w:rFonts w:ascii="Times New Roman" w:hAnsi="Times New Roman"/>
          <w:szCs w:val="24"/>
        </w:rPr>
        <w:t xml:space="preserve">users to find lessons learned and best practices specific to their needs and contexts.   </w:t>
      </w:r>
    </w:p>
    <w:p w:rsidRPr="00245B01" w:rsidR="00A5039A" w:rsidP="001832CE" w:rsidRDefault="00A5039A" w14:paraId="6A2FD2AE" w14:textId="77777777">
      <w:pPr>
        <w:tabs>
          <w:tab w:val="left" w:pos="-720"/>
        </w:tabs>
        <w:suppressAutoHyphens/>
        <w:rPr>
          <w:rFonts w:ascii="Times New Roman" w:hAnsi="Times New Roman"/>
          <w:szCs w:val="24"/>
        </w:rPr>
      </w:pPr>
    </w:p>
    <w:p w:rsidRPr="00245B01" w:rsidR="00E66550" w:rsidP="001832CE" w:rsidRDefault="001832CE" w14:paraId="4C9C757E" w14:textId="3AEC0E0A">
      <w:pPr>
        <w:tabs>
          <w:tab w:val="left" w:pos="-720"/>
        </w:tabs>
        <w:suppressAutoHyphens/>
        <w:rPr>
          <w:rFonts w:ascii="Times New Roman" w:hAnsi="Times New Roman"/>
          <w:szCs w:val="24"/>
        </w:rPr>
      </w:pPr>
      <w:r w:rsidRPr="00245B01">
        <w:rPr>
          <w:rFonts w:ascii="Times New Roman" w:hAnsi="Times New Roman"/>
          <w:szCs w:val="24"/>
        </w:rPr>
        <w:t>The Department will publish 60</w:t>
      </w:r>
      <w:r w:rsidRPr="00245B01" w:rsidR="004A3599">
        <w:rPr>
          <w:rFonts w:ascii="Times New Roman" w:hAnsi="Times New Roman"/>
          <w:szCs w:val="24"/>
        </w:rPr>
        <w:t>-</w:t>
      </w:r>
      <w:r w:rsidRPr="00245B01">
        <w:rPr>
          <w:rFonts w:ascii="Times New Roman" w:hAnsi="Times New Roman"/>
          <w:szCs w:val="24"/>
        </w:rPr>
        <w:t xml:space="preserve"> and 30</w:t>
      </w:r>
      <w:r w:rsidRPr="00245B01" w:rsidR="004A3599">
        <w:rPr>
          <w:rFonts w:ascii="Times New Roman" w:hAnsi="Times New Roman"/>
          <w:szCs w:val="24"/>
        </w:rPr>
        <w:t xml:space="preserve">-day </w:t>
      </w:r>
      <w:r w:rsidRPr="00245B01">
        <w:rPr>
          <w:rFonts w:ascii="Times New Roman" w:hAnsi="Times New Roman"/>
          <w:szCs w:val="24"/>
        </w:rPr>
        <w:t>Federal Register notices as required by 5 CFR 1320.8(d), soliciting comments on the information collection at that time.</w:t>
      </w:r>
    </w:p>
    <w:p w:rsidRPr="001832CE" w:rsidR="001832CE" w:rsidP="001832CE" w:rsidRDefault="001832CE" w14:paraId="5DDBD976" w14:textId="77777777">
      <w:pPr>
        <w:tabs>
          <w:tab w:val="left" w:pos="-720"/>
        </w:tabs>
        <w:suppressAutoHyphens/>
        <w:rPr>
          <w:rFonts w:ascii="Times New Roman" w:hAnsi="Times New Roman"/>
          <w:i/>
          <w:iCs/>
          <w:szCs w:val="24"/>
        </w:rPr>
      </w:pPr>
    </w:p>
    <w:p w:rsidR="00043C32" w:rsidP="00AD381B" w:rsidRDefault="00043C32" w14:paraId="4C9C757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764BC4" w:rsidRDefault="00920F63" w14:paraId="4C9C7580" w14:textId="3723F847">
      <w:pPr>
        <w:tabs>
          <w:tab w:val="left" w:pos="-720"/>
        </w:tabs>
        <w:suppressAutoHyphens/>
        <w:rPr>
          <w:rFonts w:ascii="Times New Roman" w:hAnsi="Times New Roman"/>
          <w:b/>
          <w:szCs w:val="24"/>
        </w:rPr>
      </w:pPr>
    </w:p>
    <w:p w:rsidRPr="00245B01" w:rsidR="00764BC4" w:rsidP="00764BC4" w:rsidRDefault="00764BC4" w14:paraId="79F881B3" w14:textId="18646527">
      <w:pPr>
        <w:tabs>
          <w:tab w:val="left" w:pos="-720"/>
        </w:tabs>
        <w:suppressAutoHyphens/>
        <w:rPr>
          <w:rFonts w:ascii="Times New Roman" w:hAnsi="Times New Roman"/>
          <w:bCs/>
          <w:szCs w:val="24"/>
        </w:rPr>
      </w:pPr>
      <w:r w:rsidRPr="00245B01">
        <w:rPr>
          <w:rFonts w:ascii="Times New Roman" w:hAnsi="Times New Roman"/>
          <w:bCs/>
          <w:szCs w:val="24"/>
        </w:rPr>
        <w:t>No payments or gifts are involved in this information collection.</w:t>
      </w:r>
    </w:p>
    <w:p w:rsidRPr="00245B01" w:rsidR="00920F63" w:rsidP="00920F63" w:rsidRDefault="00920F63" w14:paraId="4C9C7581"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4C9C758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4C9C7583" w14:textId="4F6419B3">
      <w:pPr>
        <w:tabs>
          <w:tab w:val="left" w:pos="-720"/>
        </w:tabs>
        <w:suppressAutoHyphens/>
        <w:rPr>
          <w:rFonts w:ascii="Times New Roman" w:hAnsi="Times New Roman"/>
          <w:b/>
          <w:szCs w:val="24"/>
        </w:rPr>
      </w:pPr>
    </w:p>
    <w:p w:rsidRPr="00245B01" w:rsidR="00B659D3" w:rsidP="00920F63" w:rsidRDefault="00B659D3" w14:paraId="4E3AB50E" w14:textId="3A1739E3">
      <w:pPr>
        <w:tabs>
          <w:tab w:val="left" w:pos="-720"/>
        </w:tabs>
        <w:suppressAutoHyphens/>
        <w:rPr>
          <w:rFonts w:ascii="Times New Roman" w:hAnsi="Times New Roman"/>
          <w:bCs/>
          <w:szCs w:val="24"/>
        </w:rPr>
      </w:pPr>
      <w:r w:rsidRPr="00245B01">
        <w:rPr>
          <w:rFonts w:ascii="Times New Roman" w:hAnsi="Times New Roman"/>
          <w:bCs/>
          <w:szCs w:val="24"/>
        </w:rPr>
        <w:t xml:space="preserve">There is no assurance of confidentiality provided to respondents </w:t>
      </w:r>
      <w:proofErr w:type="gramStart"/>
      <w:r w:rsidRPr="00245B01">
        <w:rPr>
          <w:rFonts w:ascii="Times New Roman" w:hAnsi="Times New Roman"/>
          <w:bCs/>
          <w:szCs w:val="24"/>
        </w:rPr>
        <w:t>with regard to</w:t>
      </w:r>
      <w:proofErr w:type="gramEnd"/>
      <w:r w:rsidRPr="00245B01">
        <w:rPr>
          <w:rFonts w:ascii="Times New Roman" w:hAnsi="Times New Roman"/>
          <w:bCs/>
          <w:szCs w:val="24"/>
        </w:rPr>
        <w:t xml:space="preserve"> required information. We do not request any Personally Identifiable Information.</w:t>
      </w:r>
    </w:p>
    <w:p w:rsidRPr="00245B01" w:rsidR="00920F63" w:rsidP="00E25EBC" w:rsidRDefault="00920F63" w14:paraId="4C9C7584" w14:textId="77777777">
      <w:pPr>
        <w:tabs>
          <w:tab w:val="left" w:pos="-720"/>
        </w:tabs>
        <w:suppressAutoHyphens/>
        <w:rPr>
          <w:rFonts w:ascii="Times New Roman" w:hAnsi="Times New Roman"/>
          <w:szCs w:val="24"/>
        </w:rPr>
      </w:pPr>
    </w:p>
    <w:p w:rsidR="00920F63" w:rsidP="00920F63" w:rsidRDefault="00043C32" w14:paraId="4C9C7586" w14:textId="197F4A8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lastRenderedPageBreak/>
        <w:t>information, the explanation to be given to persons from whom the information is requested, and any steps to be taken to obtain their consent.</w:t>
      </w:r>
    </w:p>
    <w:p w:rsidR="00B659D3" w:rsidP="00B659D3" w:rsidRDefault="00B659D3" w14:paraId="435BF6D6" w14:textId="609AD3F1">
      <w:pPr>
        <w:tabs>
          <w:tab w:val="left" w:pos="-720"/>
        </w:tabs>
        <w:suppressAutoHyphens/>
        <w:rPr>
          <w:rFonts w:ascii="Times New Roman" w:hAnsi="Times New Roman"/>
          <w:b/>
          <w:szCs w:val="24"/>
        </w:rPr>
      </w:pPr>
    </w:p>
    <w:p w:rsidRPr="00F62799" w:rsidR="00B659D3" w:rsidP="00B659D3" w:rsidRDefault="00B659D3" w14:paraId="2EC19D44" w14:textId="4280CDE6">
      <w:pPr>
        <w:tabs>
          <w:tab w:val="left" w:pos="-720"/>
        </w:tabs>
        <w:suppressAutoHyphens/>
        <w:rPr>
          <w:rFonts w:ascii="Times New Roman" w:hAnsi="Times New Roman"/>
          <w:bCs/>
          <w:szCs w:val="24"/>
        </w:rPr>
      </w:pPr>
      <w:r w:rsidRPr="00F62799">
        <w:rPr>
          <w:rFonts w:ascii="Times New Roman" w:hAnsi="Times New Roman"/>
          <w:bCs/>
          <w:szCs w:val="24"/>
        </w:rPr>
        <w:t>This collection does not ask questions of a sensitive nature.</w:t>
      </w:r>
    </w:p>
    <w:p w:rsidRPr="00920F63" w:rsidR="00920F63" w:rsidP="00920F63" w:rsidRDefault="00920F63" w14:paraId="4C9C7587" w14:textId="77777777">
      <w:pPr>
        <w:tabs>
          <w:tab w:val="left" w:pos="-720"/>
        </w:tabs>
        <w:suppressAutoHyphens/>
        <w:ind w:left="180"/>
        <w:rPr>
          <w:rFonts w:ascii="Times New Roman" w:hAnsi="Times New Roman"/>
          <w:szCs w:val="24"/>
        </w:rPr>
      </w:pPr>
    </w:p>
    <w:p w:rsidRPr="00920F63" w:rsidR="00043C32" w:rsidP="00AD381B" w:rsidRDefault="00043C32" w14:paraId="4C9C758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4C9C7589" w14:textId="77777777">
      <w:pPr>
        <w:tabs>
          <w:tab w:val="left" w:pos="-720"/>
        </w:tabs>
        <w:suppressAutoHyphens/>
        <w:rPr>
          <w:rStyle w:val="a"/>
          <w:rFonts w:ascii="Times New Roman" w:hAnsi="Times New Roman"/>
          <w:b/>
          <w:szCs w:val="24"/>
        </w:rPr>
      </w:pPr>
    </w:p>
    <w:p w:rsidR="00C224FD" w:rsidP="00C224FD" w:rsidRDefault="00C224FD" w14:paraId="4C9C758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C9C758B"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C9C758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4C9C758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4C9C758E"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C9C758F" w14:textId="77777777">
      <w:pPr>
        <w:tabs>
          <w:tab w:val="left" w:pos="-720"/>
          <w:tab w:val="left" w:pos="1247"/>
        </w:tabs>
        <w:suppressAutoHyphens/>
        <w:rPr>
          <w:rStyle w:val="a"/>
          <w:rFonts w:ascii="Times New Roman" w:hAnsi="Times New Roman"/>
          <w:b/>
          <w:szCs w:val="24"/>
        </w:rPr>
      </w:pPr>
    </w:p>
    <w:p w:rsidR="00946126" w:rsidP="00946126" w:rsidRDefault="00946126" w14:paraId="4C9C7590" w14:textId="50D85BD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92A56" w:rsidP="00F92A56" w:rsidRDefault="00F92A56" w14:paraId="1B22C3EF" w14:textId="77777777">
      <w:pPr>
        <w:pStyle w:val="ListParagraph"/>
        <w:tabs>
          <w:tab w:val="left" w:pos="-720"/>
        </w:tabs>
        <w:suppressAutoHyphens/>
        <w:rPr>
          <w:rFonts w:ascii="Times New Roman" w:hAnsi="Times New Roman"/>
          <w:bCs/>
          <w:i/>
          <w:iCs/>
          <w:sz w:val="26"/>
          <w:szCs w:val="26"/>
        </w:rPr>
      </w:pPr>
    </w:p>
    <w:p w:rsidRPr="00245B01" w:rsidR="00F92A56" w:rsidP="00F92A56" w:rsidRDefault="00F92A56" w14:paraId="7271887B" w14:textId="2F085598">
      <w:pPr>
        <w:pStyle w:val="ListParagraph"/>
        <w:tabs>
          <w:tab w:val="left" w:pos="-720"/>
        </w:tabs>
        <w:suppressAutoHyphens/>
        <w:ind w:left="0"/>
        <w:rPr>
          <w:rFonts w:ascii="Times New Roman" w:hAnsi="Times New Roman"/>
          <w:bCs/>
          <w:szCs w:val="24"/>
        </w:rPr>
      </w:pPr>
      <w:r w:rsidRPr="00F62799">
        <w:rPr>
          <w:rFonts w:ascii="Times New Roman" w:hAnsi="Times New Roman"/>
          <w:bCs/>
          <w:szCs w:val="24"/>
        </w:rPr>
        <w:t xml:space="preserve">The burden estimate is based on the time </w:t>
      </w:r>
      <w:r w:rsidR="00BE1975">
        <w:rPr>
          <w:rFonts w:ascii="Times New Roman" w:hAnsi="Times New Roman"/>
          <w:bCs/>
          <w:szCs w:val="24"/>
        </w:rPr>
        <w:t>teachers, faculty, staff</w:t>
      </w:r>
      <w:r w:rsidR="00614768">
        <w:rPr>
          <w:rFonts w:ascii="Times New Roman" w:hAnsi="Times New Roman"/>
          <w:bCs/>
          <w:szCs w:val="24"/>
        </w:rPr>
        <w:t>,</w:t>
      </w:r>
      <w:r w:rsidR="000C42DB">
        <w:rPr>
          <w:rFonts w:ascii="Times New Roman" w:hAnsi="Times New Roman"/>
          <w:bCs/>
          <w:szCs w:val="24"/>
        </w:rPr>
        <w:t xml:space="preserve"> </w:t>
      </w:r>
      <w:r w:rsidR="00F62799">
        <w:rPr>
          <w:rFonts w:ascii="Times New Roman" w:hAnsi="Times New Roman"/>
          <w:bCs/>
          <w:szCs w:val="24"/>
        </w:rPr>
        <w:t>school</w:t>
      </w:r>
      <w:r w:rsidR="00614768">
        <w:rPr>
          <w:rFonts w:ascii="Times New Roman" w:hAnsi="Times New Roman"/>
          <w:bCs/>
          <w:szCs w:val="24"/>
        </w:rPr>
        <w:t>s</w:t>
      </w:r>
      <w:r w:rsidR="00F62799">
        <w:rPr>
          <w:rFonts w:ascii="Times New Roman" w:hAnsi="Times New Roman"/>
          <w:bCs/>
          <w:szCs w:val="24"/>
        </w:rPr>
        <w:t>, district</w:t>
      </w:r>
      <w:r w:rsidR="00AF75A5">
        <w:rPr>
          <w:rFonts w:ascii="Times New Roman" w:hAnsi="Times New Roman"/>
          <w:bCs/>
          <w:szCs w:val="24"/>
        </w:rPr>
        <w:t>s,</w:t>
      </w:r>
      <w:r w:rsidR="00F62799">
        <w:rPr>
          <w:rFonts w:ascii="Times New Roman" w:hAnsi="Times New Roman"/>
          <w:bCs/>
          <w:szCs w:val="24"/>
        </w:rPr>
        <w:t xml:space="preserve"> early child</w:t>
      </w:r>
      <w:r w:rsidR="000C42DB">
        <w:rPr>
          <w:rFonts w:ascii="Times New Roman" w:hAnsi="Times New Roman"/>
          <w:bCs/>
          <w:szCs w:val="24"/>
        </w:rPr>
        <w:t>hood</w:t>
      </w:r>
      <w:r w:rsidR="00F62799">
        <w:rPr>
          <w:rFonts w:ascii="Times New Roman" w:hAnsi="Times New Roman"/>
          <w:bCs/>
          <w:szCs w:val="24"/>
        </w:rPr>
        <w:t xml:space="preserve"> </w:t>
      </w:r>
      <w:r w:rsidR="00E120AA">
        <w:rPr>
          <w:rFonts w:ascii="Times New Roman" w:hAnsi="Times New Roman"/>
          <w:bCs/>
          <w:szCs w:val="24"/>
        </w:rPr>
        <w:t xml:space="preserve">education </w:t>
      </w:r>
      <w:r w:rsidR="00614768">
        <w:rPr>
          <w:rFonts w:ascii="Times New Roman" w:hAnsi="Times New Roman"/>
          <w:bCs/>
          <w:szCs w:val="24"/>
        </w:rPr>
        <w:t>providers</w:t>
      </w:r>
      <w:r w:rsidR="00F62799">
        <w:rPr>
          <w:rFonts w:ascii="Times New Roman" w:hAnsi="Times New Roman"/>
          <w:bCs/>
          <w:szCs w:val="24"/>
        </w:rPr>
        <w:t xml:space="preserve">, </w:t>
      </w:r>
      <w:r w:rsidR="00AA2228">
        <w:rPr>
          <w:rFonts w:ascii="Times New Roman" w:hAnsi="Times New Roman"/>
          <w:bCs/>
          <w:szCs w:val="24"/>
        </w:rPr>
        <w:t xml:space="preserve">IHEs, </w:t>
      </w:r>
      <w:r w:rsidR="00E120AA">
        <w:rPr>
          <w:rFonts w:ascii="Times New Roman" w:hAnsi="Times New Roman"/>
          <w:bCs/>
          <w:szCs w:val="24"/>
        </w:rPr>
        <w:t xml:space="preserve">other places of </w:t>
      </w:r>
      <w:r w:rsidR="00BF44F6">
        <w:rPr>
          <w:rFonts w:ascii="Times New Roman" w:hAnsi="Times New Roman"/>
          <w:bCs/>
          <w:szCs w:val="24"/>
        </w:rPr>
        <w:t>educational instruction</w:t>
      </w:r>
      <w:r w:rsidR="00F62799">
        <w:rPr>
          <w:rFonts w:ascii="Times New Roman" w:hAnsi="Times New Roman"/>
          <w:bCs/>
          <w:szCs w:val="24"/>
        </w:rPr>
        <w:t xml:space="preserve">, and </w:t>
      </w:r>
      <w:r w:rsidR="00BF44F6">
        <w:rPr>
          <w:rFonts w:ascii="Times New Roman" w:hAnsi="Times New Roman"/>
          <w:bCs/>
          <w:szCs w:val="24"/>
        </w:rPr>
        <w:t>State</w:t>
      </w:r>
      <w:r w:rsidRPr="00F62799" w:rsidR="00BF44F6">
        <w:rPr>
          <w:rFonts w:ascii="Times New Roman" w:hAnsi="Times New Roman"/>
          <w:bCs/>
          <w:szCs w:val="24"/>
        </w:rPr>
        <w:t xml:space="preserve"> </w:t>
      </w:r>
      <w:r w:rsidRPr="00F62799">
        <w:rPr>
          <w:rFonts w:ascii="Times New Roman" w:hAnsi="Times New Roman"/>
          <w:bCs/>
          <w:szCs w:val="24"/>
        </w:rPr>
        <w:t xml:space="preserve">staff will take to </w:t>
      </w:r>
      <w:r w:rsidR="00F62799">
        <w:rPr>
          <w:rFonts w:ascii="Times New Roman" w:hAnsi="Times New Roman"/>
          <w:bCs/>
          <w:szCs w:val="24"/>
        </w:rPr>
        <w:t xml:space="preserve">prepare </w:t>
      </w:r>
      <w:r w:rsidR="004D2E3A">
        <w:rPr>
          <w:rFonts w:ascii="Times New Roman" w:hAnsi="Times New Roman"/>
          <w:bCs/>
          <w:szCs w:val="24"/>
        </w:rPr>
        <w:t>and submit lessons learned and best practices</w:t>
      </w:r>
      <w:r w:rsidRPr="00F62799">
        <w:rPr>
          <w:rFonts w:ascii="Times New Roman" w:hAnsi="Times New Roman"/>
          <w:bCs/>
          <w:szCs w:val="24"/>
        </w:rPr>
        <w:t xml:space="preserve">.  The average respondent burden for </w:t>
      </w:r>
      <w:r w:rsidR="00566654">
        <w:rPr>
          <w:rFonts w:ascii="Times New Roman" w:hAnsi="Times New Roman"/>
          <w:bCs/>
          <w:szCs w:val="24"/>
        </w:rPr>
        <w:t>preparing and submitted materials</w:t>
      </w:r>
      <w:r w:rsidRPr="00F62799">
        <w:rPr>
          <w:rFonts w:ascii="Times New Roman" w:hAnsi="Times New Roman"/>
          <w:bCs/>
          <w:szCs w:val="24"/>
        </w:rPr>
        <w:t xml:space="preserve"> is estimated at </w:t>
      </w:r>
      <w:r w:rsidR="00566654">
        <w:rPr>
          <w:rFonts w:ascii="Times New Roman" w:hAnsi="Times New Roman"/>
          <w:bCs/>
          <w:szCs w:val="24"/>
        </w:rPr>
        <w:t>1.5</w:t>
      </w:r>
      <w:r w:rsidRPr="00F62799" w:rsidR="004A3599">
        <w:rPr>
          <w:rFonts w:ascii="Times New Roman" w:hAnsi="Times New Roman"/>
          <w:bCs/>
          <w:szCs w:val="24"/>
        </w:rPr>
        <w:t xml:space="preserve"> </w:t>
      </w:r>
      <w:r w:rsidRPr="00F62799">
        <w:rPr>
          <w:rFonts w:ascii="Times New Roman" w:hAnsi="Times New Roman"/>
          <w:bCs/>
          <w:szCs w:val="24"/>
        </w:rPr>
        <w:t>hours</w:t>
      </w:r>
      <w:r w:rsidRPr="00F62799" w:rsidR="002C0CC3">
        <w:rPr>
          <w:rFonts w:ascii="Times New Roman" w:hAnsi="Times New Roman"/>
          <w:bCs/>
          <w:szCs w:val="24"/>
        </w:rPr>
        <w:t>.</w:t>
      </w:r>
      <w:r w:rsidRPr="00F62799">
        <w:rPr>
          <w:rFonts w:ascii="Times New Roman" w:hAnsi="Times New Roman"/>
          <w:bCs/>
          <w:szCs w:val="24"/>
        </w:rPr>
        <w:t xml:space="preserve">  This </w:t>
      </w:r>
      <w:r w:rsidRPr="00245B01">
        <w:rPr>
          <w:rFonts w:ascii="Times New Roman" w:hAnsi="Times New Roman"/>
          <w:bCs/>
          <w:szCs w:val="24"/>
        </w:rPr>
        <w:t xml:space="preserve">includes reading the instructions, collecting the information needed, </w:t>
      </w:r>
      <w:r w:rsidR="0041481E">
        <w:rPr>
          <w:rFonts w:ascii="Times New Roman" w:hAnsi="Times New Roman"/>
          <w:bCs/>
          <w:szCs w:val="24"/>
        </w:rPr>
        <w:t>providing the information requested for inclusion with a submission,</w:t>
      </w:r>
      <w:r w:rsidRPr="00245B01">
        <w:rPr>
          <w:rFonts w:ascii="Times New Roman" w:hAnsi="Times New Roman"/>
          <w:bCs/>
          <w:szCs w:val="24"/>
        </w:rPr>
        <w:t xml:space="preserve"> and emailing it to the </w:t>
      </w:r>
      <w:hyperlink w:history="1" r:id="rId13">
        <w:r w:rsidRPr="00DD1A56" w:rsidR="00360631">
          <w:rPr>
            <w:rStyle w:val="Hyperlink"/>
            <w:rFonts w:ascii="Times New Roman" w:hAnsi="Times New Roman"/>
            <w:szCs w:val="24"/>
          </w:rPr>
          <w:t>Bestpracticesclearinghouse@ed.gov</w:t>
        </w:r>
      </w:hyperlink>
      <w:r w:rsidRPr="00245B01">
        <w:rPr>
          <w:rFonts w:ascii="Times New Roman" w:hAnsi="Times New Roman"/>
          <w:szCs w:val="24"/>
        </w:rPr>
        <w:t xml:space="preserve"> </w:t>
      </w:r>
      <w:r w:rsidRPr="00245B01">
        <w:rPr>
          <w:rFonts w:ascii="Times New Roman" w:hAnsi="Times New Roman"/>
          <w:bCs/>
          <w:szCs w:val="24"/>
        </w:rPr>
        <w:t xml:space="preserve">mailbox. The estimated salary for staff </w:t>
      </w:r>
      <w:r w:rsidR="00051AD8">
        <w:rPr>
          <w:rFonts w:ascii="Times New Roman" w:hAnsi="Times New Roman"/>
          <w:bCs/>
          <w:szCs w:val="24"/>
        </w:rPr>
        <w:t>that will prepare and submi</w:t>
      </w:r>
      <w:r w:rsidR="009B462E">
        <w:rPr>
          <w:rFonts w:ascii="Times New Roman" w:hAnsi="Times New Roman"/>
          <w:bCs/>
          <w:szCs w:val="24"/>
        </w:rPr>
        <w:t>t</w:t>
      </w:r>
      <w:r w:rsidR="00051AD8">
        <w:rPr>
          <w:rFonts w:ascii="Times New Roman" w:hAnsi="Times New Roman"/>
          <w:bCs/>
          <w:szCs w:val="24"/>
        </w:rPr>
        <w:t xml:space="preserve"> to the mailbox </w:t>
      </w:r>
      <w:r w:rsidRPr="00245B01">
        <w:rPr>
          <w:rFonts w:ascii="Times New Roman" w:hAnsi="Times New Roman"/>
          <w:bCs/>
          <w:szCs w:val="24"/>
        </w:rPr>
        <w:t>is $</w:t>
      </w:r>
      <w:r w:rsidR="00051AD8">
        <w:rPr>
          <w:rFonts w:ascii="Times New Roman" w:hAnsi="Times New Roman"/>
          <w:bCs/>
          <w:szCs w:val="24"/>
        </w:rPr>
        <w:t>3</w:t>
      </w:r>
      <w:r w:rsidRPr="00245B01">
        <w:rPr>
          <w:rFonts w:ascii="Times New Roman" w:hAnsi="Times New Roman"/>
          <w:bCs/>
          <w:szCs w:val="24"/>
        </w:rPr>
        <w:t xml:space="preserve">0 per hour.  The total burden is estimated as follows: </w:t>
      </w:r>
    </w:p>
    <w:p w:rsidRPr="00245B01" w:rsidR="00F92A56" w:rsidP="00F92A56" w:rsidRDefault="00F92A56" w14:paraId="088DDDB5" w14:textId="77777777">
      <w:pPr>
        <w:pStyle w:val="ListParagraph"/>
        <w:tabs>
          <w:tab w:val="left" w:pos="-720"/>
        </w:tabs>
        <w:suppressAutoHyphens/>
        <w:ind w:left="0"/>
        <w:rPr>
          <w:rFonts w:ascii="Times New Roman" w:hAnsi="Times New Roman"/>
          <w:bCs/>
          <w:szCs w:val="24"/>
        </w:rPr>
      </w:pPr>
    </w:p>
    <w:p w:rsidRPr="00245B01" w:rsidR="00F92A56" w:rsidP="00F92A56" w:rsidRDefault="00F92A56" w14:paraId="3A423FE6" w14:textId="3C48D19A">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r>
      <w:r w:rsidR="00C05F86">
        <w:rPr>
          <w:rFonts w:ascii="Times New Roman" w:hAnsi="Times New Roman"/>
          <w:bCs/>
          <w:szCs w:val="24"/>
        </w:rPr>
        <w:t xml:space="preserve">300 </w:t>
      </w:r>
      <w:proofErr w:type="gramStart"/>
      <w:r w:rsidR="00BE1975">
        <w:rPr>
          <w:rFonts w:ascii="Times New Roman" w:hAnsi="Times New Roman"/>
          <w:bCs/>
          <w:szCs w:val="24"/>
        </w:rPr>
        <w:t>Respondent</w:t>
      </w:r>
      <w:r w:rsidR="00EF5DD1">
        <w:rPr>
          <w:rFonts w:ascii="Times New Roman" w:hAnsi="Times New Roman"/>
          <w:bCs/>
          <w:szCs w:val="24"/>
        </w:rPr>
        <w:t>s</w:t>
      </w:r>
      <w:r w:rsidR="00C05F86">
        <w:rPr>
          <w:rFonts w:ascii="Times New Roman" w:hAnsi="Times New Roman"/>
          <w:bCs/>
          <w:szCs w:val="24"/>
        </w:rPr>
        <w:t xml:space="preserve"> </w:t>
      </w:r>
      <w:r w:rsidRPr="00245B01">
        <w:rPr>
          <w:rFonts w:ascii="Times New Roman" w:hAnsi="Times New Roman"/>
          <w:bCs/>
          <w:szCs w:val="24"/>
        </w:rPr>
        <w:t xml:space="preserve"> x</w:t>
      </w:r>
      <w:proofErr w:type="gramEnd"/>
      <w:r w:rsidRPr="00245B01">
        <w:rPr>
          <w:rFonts w:ascii="Times New Roman" w:hAnsi="Times New Roman"/>
          <w:bCs/>
          <w:szCs w:val="24"/>
        </w:rPr>
        <w:t xml:space="preserve"> </w:t>
      </w:r>
      <w:r w:rsidR="00C05F86">
        <w:rPr>
          <w:rFonts w:ascii="Times New Roman" w:hAnsi="Times New Roman"/>
          <w:bCs/>
          <w:szCs w:val="24"/>
        </w:rPr>
        <w:t>1.5</w:t>
      </w:r>
      <w:r w:rsidRPr="00245B01" w:rsidR="004A3599">
        <w:rPr>
          <w:rFonts w:ascii="Times New Roman" w:hAnsi="Times New Roman"/>
          <w:bCs/>
          <w:szCs w:val="24"/>
        </w:rPr>
        <w:t xml:space="preserve"> </w:t>
      </w:r>
      <w:r w:rsidRPr="00245B01">
        <w:rPr>
          <w:rFonts w:ascii="Times New Roman" w:hAnsi="Times New Roman"/>
          <w:bCs/>
          <w:szCs w:val="24"/>
        </w:rPr>
        <w:t xml:space="preserve">hours per </w:t>
      </w:r>
      <w:r w:rsidR="00BE1975">
        <w:rPr>
          <w:rFonts w:ascii="Times New Roman" w:hAnsi="Times New Roman"/>
          <w:bCs/>
          <w:szCs w:val="24"/>
        </w:rPr>
        <w:t>respondent</w:t>
      </w:r>
      <w:r w:rsidRPr="00245B01">
        <w:rPr>
          <w:rFonts w:ascii="Times New Roman" w:hAnsi="Times New Roman"/>
          <w:bCs/>
          <w:szCs w:val="24"/>
        </w:rPr>
        <w:tab/>
        <w:t>=</w:t>
      </w:r>
      <w:r w:rsidR="009B0752">
        <w:rPr>
          <w:rFonts w:ascii="Times New Roman" w:hAnsi="Times New Roman"/>
          <w:bCs/>
          <w:szCs w:val="24"/>
        </w:rPr>
        <w:t xml:space="preserve"> </w:t>
      </w:r>
      <w:r w:rsidR="00EA3C00">
        <w:rPr>
          <w:rFonts w:ascii="Times New Roman" w:hAnsi="Times New Roman"/>
          <w:bCs/>
          <w:szCs w:val="24"/>
        </w:rPr>
        <w:t>450</w:t>
      </w:r>
      <w:r w:rsidRPr="00245B01" w:rsidR="00B47395">
        <w:rPr>
          <w:rFonts w:ascii="Times New Roman" w:hAnsi="Times New Roman"/>
          <w:bCs/>
          <w:szCs w:val="24"/>
        </w:rPr>
        <w:t xml:space="preserve"> </w:t>
      </w:r>
      <w:r w:rsidRPr="00245B01">
        <w:rPr>
          <w:rFonts w:ascii="Times New Roman" w:hAnsi="Times New Roman"/>
          <w:bCs/>
          <w:szCs w:val="24"/>
        </w:rPr>
        <w:t>hours per year</w:t>
      </w:r>
      <w:r w:rsidRPr="00245B01">
        <w:rPr>
          <w:rFonts w:ascii="Times New Roman" w:hAnsi="Times New Roman"/>
          <w:bCs/>
          <w:szCs w:val="24"/>
        </w:rPr>
        <w:tab/>
      </w:r>
      <w:r w:rsidRPr="00245B01" w:rsidR="005667E6">
        <w:rPr>
          <w:rFonts w:ascii="Times New Roman" w:hAnsi="Times New Roman"/>
          <w:bCs/>
          <w:szCs w:val="24"/>
        </w:rPr>
        <w:tab/>
      </w:r>
      <w:r w:rsidRPr="00245B01" w:rsidR="005667E6">
        <w:rPr>
          <w:rFonts w:ascii="Times New Roman" w:hAnsi="Times New Roman"/>
          <w:bCs/>
          <w:szCs w:val="24"/>
        </w:rPr>
        <w:tab/>
      </w:r>
      <w:r w:rsidRPr="00245B01">
        <w:rPr>
          <w:rFonts w:ascii="Times New Roman" w:hAnsi="Times New Roman"/>
          <w:bCs/>
          <w:szCs w:val="24"/>
        </w:rPr>
        <w:tab/>
      </w:r>
    </w:p>
    <w:p w:rsidRPr="00245B01" w:rsidR="00F92A56" w:rsidP="00F92A56" w:rsidRDefault="00F92A56" w14:paraId="1A9A1C45" w14:textId="77777777">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lastRenderedPageBreak/>
        <w:tab/>
      </w: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p>
    <w:p w:rsidRPr="00245B01" w:rsidR="00F92A56" w:rsidP="00F92A56" w:rsidRDefault="00F92A56" w14:paraId="253B4202" w14:textId="38A0E606">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t xml:space="preserve">Total </w:t>
      </w:r>
      <w:r w:rsidR="006478C4">
        <w:rPr>
          <w:rFonts w:ascii="Times New Roman" w:hAnsi="Times New Roman"/>
          <w:bCs/>
          <w:szCs w:val="24"/>
        </w:rPr>
        <w:t xml:space="preserve">Respondent </w:t>
      </w:r>
      <w:r w:rsidRPr="00245B01">
        <w:rPr>
          <w:rFonts w:ascii="Times New Roman" w:hAnsi="Times New Roman"/>
          <w:bCs/>
          <w:szCs w:val="24"/>
        </w:rPr>
        <w:t>Hours for 202</w:t>
      </w:r>
      <w:r w:rsidR="00567E0B">
        <w:rPr>
          <w:rFonts w:ascii="Times New Roman" w:hAnsi="Times New Roman"/>
          <w:bCs/>
          <w:szCs w:val="24"/>
        </w:rPr>
        <w:t>1</w:t>
      </w:r>
      <w:r w:rsidRPr="00245B01">
        <w:rPr>
          <w:rFonts w:ascii="Times New Roman" w:hAnsi="Times New Roman"/>
          <w:bCs/>
          <w:szCs w:val="24"/>
        </w:rPr>
        <w:t xml:space="preserve"> </w:t>
      </w:r>
      <w:r w:rsidRPr="00245B01">
        <w:rPr>
          <w:rFonts w:ascii="Times New Roman" w:hAnsi="Times New Roman"/>
          <w:bCs/>
          <w:szCs w:val="24"/>
        </w:rPr>
        <w:tab/>
        <w:t>=</w:t>
      </w:r>
      <w:r w:rsidRPr="00245B01">
        <w:rPr>
          <w:rFonts w:ascii="Times New Roman" w:hAnsi="Times New Roman"/>
          <w:bCs/>
          <w:szCs w:val="24"/>
        </w:rPr>
        <w:tab/>
      </w:r>
      <w:r w:rsidR="009B0752">
        <w:rPr>
          <w:rFonts w:ascii="Times New Roman" w:hAnsi="Times New Roman"/>
          <w:bCs/>
          <w:szCs w:val="24"/>
        </w:rPr>
        <w:t>45</w:t>
      </w:r>
      <w:r w:rsidR="00B85C4D">
        <w:rPr>
          <w:rFonts w:ascii="Times New Roman" w:hAnsi="Times New Roman"/>
          <w:bCs/>
          <w:szCs w:val="24"/>
        </w:rPr>
        <w:t>0</w:t>
      </w:r>
      <w:r w:rsidRPr="00245B01" w:rsidR="00B47395">
        <w:rPr>
          <w:rFonts w:ascii="Times New Roman" w:hAnsi="Times New Roman"/>
          <w:bCs/>
          <w:szCs w:val="24"/>
        </w:rPr>
        <w:t xml:space="preserve"> </w:t>
      </w:r>
      <w:r w:rsidRPr="00245B01">
        <w:rPr>
          <w:rFonts w:ascii="Times New Roman" w:hAnsi="Times New Roman"/>
          <w:bCs/>
          <w:szCs w:val="24"/>
        </w:rPr>
        <w:t>hours</w:t>
      </w:r>
    </w:p>
    <w:p w:rsidRPr="00245B01" w:rsidR="00F92A56" w:rsidP="00F92A56" w:rsidRDefault="00F92A56" w14:paraId="6D601061" w14:textId="54BD599A">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r>
      <w:r w:rsidRPr="00245B01">
        <w:rPr>
          <w:rFonts w:ascii="Times New Roman" w:hAnsi="Times New Roman"/>
          <w:bCs/>
          <w:szCs w:val="24"/>
        </w:rPr>
        <w:tab/>
      </w:r>
      <w:r w:rsidRPr="00245B01" w:rsidR="005667E6">
        <w:rPr>
          <w:rFonts w:ascii="Times New Roman" w:hAnsi="Times New Roman"/>
          <w:bCs/>
          <w:szCs w:val="24"/>
        </w:rPr>
        <w:tab/>
      </w:r>
      <w:r w:rsidRPr="00245B01" w:rsidR="005667E6">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t>x $</w:t>
      </w:r>
      <w:r w:rsidR="00B85C4D">
        <w:rPr>
          <w:rFonts w:ascii="Times New Roman" w:hAnsi="Times New Roman"/>
          <w:bCs/>
          <w:szCs w:val="24"/>
        </w:rPr>
        <w:t>3</w:t>
      </w:r>
      <w:r w:rsidRPr="00245B01">
        <w:rPr>
          <w:rFonts w:ascii="Times New Roman" w:hAnsi="Times New Roman"/>
          <w:bCs/>
          <w:szCs w:val="24"/>
        </w:rPr>
        <w:t>0 per hour</w:t>
      </w:r>
    </w:p>
    <w:p w:rsidRPr="00245B01" w:rsidR="00F92A56" w:rsidP="00F92A56" w:rsidRDefault="00F92A56" w14:paraId="10739B21" w14:textId="77777777">
      <w:pPr>
        <w:pStyle w:val="ListParagraph"/>
        <w:tabs>
          <w:tab w:val="left" w:pos="-720"/>
        </w:tabs>
        <w:suppressAutoHyphens/>
        <w:ind w:left="0"/>
        <w:rPr>
          <w:rFonts w:ascii="Times New Roman" w:hAnsi="Times New Roman"/>
          <w:bCs/>
          <w:szCs w:val="24"/>
        </w:rPr>
      </w:pPr>
    </w:p>
    <w:p w:rsidRPr="00245B01" w:rsidR="00F92A56" w:rsidP="00F92A56" w:rsidRDefault="00F92A56" w14:paraId="19614849" w14:textId="493EDD43">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t xml:space="preserve">Total </w:t>
      </w:r>
      <w:r w:rsidR="002A7BAF">
        <w:rPr>
          <w:rFonts w:ascii="Times New Roman" w:hAnsi="Times New Roman"/>
          <w:bCs/>
          <w:szCs w:val="24"/>
        </w:rPr>
        <w:t>Respondent</w:t>
      </w:r>
      <w:r w:rsidRPr="00245B01">
        <w:rPr>
          <w:rFonts w:ascii="Times New Roman" w:hAnsi="Times New Roman"/>
          <w:bCs/>
          <w:szCs w:val="24"/>
        </w:rPr>
        <w:t xml:space="preserve"> Cost for 202</w:t>
      </w:r>
      <w:r w:rsidR="00567E0B">
        <w:rPr>
          <w:rFonts w:ascii="Times New Roman" w:hAnsi="Times New Roman"/>
          <w:bCs/>
          <w:szCs w:val="24"/>
        </w:rPr>
        <w:t>1</w:t>
      </w:r>
      <w:r w:rsidRPr="00245B01">
        <w:rPr>
          <w:rFonts w:ascii="Times New Roman" w:hAnsi="Times New Roman"/>
          <w:bCs/>
          <w:szCs w:val="24"/>
        </w:rPr>
        <w:tab/>
      </w:r>
      <w:r w:rsidRPr="00245B01">
        <w:rPr>
          <w:rFonts w:ascii="Times New Roman" w:hAnsi="Times New Roman"/>
          <w:bCs/>
          <w:szCs w:val="24"/>
        </w:rPr>
        <w:tab/>
        <w:t>=</w:t>
      </w:r>
      <w:r w:rsidRPr="00245B01">
        <w:rPr>
          <w:rFonts w:ascii="Times New Roman" w:hAnsi="Times New Roman"/>
          <w:bCs/>
          <w:szCs w:val="24"/>
        </w:rPr>
        <w:tab/>
        <w:t>$</w:t>
      </w:r>
      <w:r w:rsidR="00190636">
        <w:rPr>
          <w:rFonts w:ascii="Times New Roman" w:hAnsi="Times New Roman"/>
          <w:bCs/>
          <w:szCs w:val="24"/>
        </w:rPr>
        <w:t>13,500</w:t>
      </w:r>
    </w:p>
    <w:p w:rsidRPr="00245B01" w:rsidR="00F92A56" w:rsidP="00F92A56" w:rsidRDefault="00F92A56" w14:paraId="441ED37D" w14:textId="77777777">
      <w:pPr>
        <w:pStyle w:val="ListParagraph"/>
        <w:tabs>
          <w:tab w:val="left" w:pos="-720"/>
        </w:tabs>
        <w:suppressAutoHyphens/>
        <w:ind w:left="0"/>
        <w:rPr>
          <w:rFonts w:ascii="Times New Roman" w:hAnsi="Times New Roman"/>
          <w:bCs/>
          <w:szCs w:val="24"/>
        </w:rPr>
      </w:pPr>
    </w:p>
    <w:p w:rsidRPr="00245B01" w:rsidR="00F92A56" w:rsidP="00F92A56" w:rsidRDefault="00F92A56" w14:paraId="174815DC" w14:textId="50BAE980">
      <w:pPr>
        <w:pStyle w:val="ListParagraph"/>
        <w:tabs>
          <w:tab w:val="left" w:pos="-720"/>
        </w:tabs>
        <w:suppressAutoHyphens/>
        <w:ind w:left="0"/>
        <w:contextualSpacing w:val="0"/>
        <w:rPr>
          <w:rFonts w:ascii="Times New Roman" w:hAnsi="Times New Roman"/>
          <w:bCs/>
          <w:szCs w:val="24"/>
        </w:rPr>
      </w:pPr>
      <w:r w:rsidRPr="00245B01">
        <w:rPr>
          <w:rFonts w:ascii="Times New Roman" w:hAnsi="Times New Roman"/>
          <w:bCs/>
          <w:szCs w:val="24"/>
        </w:rPr>
        <w:t xml:space="preserve">The number of respondents is </w:t>
      </w:r>
      <w:r w:rsidR="0044059D">
        <w:rPr>
          <w:rFonts w:ascii="Times New Roman" w:hAnsi="Times New Roman"/>
          <w:bCs/>
          <w:szCs w:val="24"/>
        </w:rPr>
        <w:t>an estim</w:t>
      </w:r>
      <w:r w:rsidR="00F62DD9">
        <w:rPr>
          <w:rFonts w:ascii="Times New Roman" w:hAnsi="Times New Roman"/>
          <w:bCs/>
          <w:szCs w:val="24"/>
        </w:rPr>
        <w:t xml:space="preserve">ate </w:t>
      </w:r>
      <w:r w:rsidRPr="00245B01">
        <w:rPr>
          <w:rFonts w:ascii="Times New Roman" w:hAnsi="Times New Roman"/>
          <w:bCs/>
          <w:szCs w:val="24"/>
        </w:rPr>
        <w:t xml:space="preserve">based on </w:t>
      </w:r>
      <w:r w:rsidR="00753500">
        <w:rPr>
          <w:rFonts w:ascii="Times New Roman" w:hAnsi="Times New Roman"/>
          <w:bCs/>
          <w:szCs w:val="24"/>
        </w:rPr>
        <w:t>previous experience with another similar clearingh</w:t>
      </w:r>
      <w:r w:rsidR="00BE0829">
        <w:rPr>
          <w:rFonts w:ascii="Times New Roman" w:hAnsi="Times New Roman"/>
          <w:bCs/>
          <w:szCs w:val="24"/>
        </w:rPr>
        <w:t xml:space="preserve">ouse.  </w:t>
      </w:r>
      <w:r w:rsidR="00A13172">
        <w:rPr>
          <w:rFonts w:ascii="Times New Roman" w:hAnsi="Times New Roman"/>
          <w:bCs/>
          <w:szCs w:val="24"/>
        </w:rPr>
        <w:t>The number of respondents may change as we conduct the actual collection</w:t>
      </w:r>
      <w:r w:rsidR="00BE0829">
        <w:rPr>
          <w:rFonts w:ascii="Times New Roman" w:hAnsi="Times New Roman"/>
          <w:bCs/>
          <w:szCs w:val="24"/>
        </w:rPr>
        <w:t xml:space="preserve">.  </w:t>
      </w:r>
    </w:p>
    <w:p w:rsidRPr="00F92A56" w:rsidR="00920F63" w:rsidP="00F92A56" w:rsidRDefault="00920F63" w14:paraId="4C9C7591" w14:textId="77777777">
      <w:pPr>
        <w:pStyle w:val="ListParagraph"/>
        <w:tabs>
          <w:tab w:val="left" w:pos="-720"/>
        </w:tabs>
        <w:suppressAutoHyphens/>
        <w:ind w:left="0"/>
        <w:rPr>
          <w:rStyle w:val="a"/>
          <w:rFonts w:ascii="Times New Roman" w:hAnsi="Times New Roman"/>
          <w:szCs w:val="24"/>
        </w:rPr>
      </w:pPr>
    </w:p>
    <w:p w:rsidRPr="00920F63" w:rsidR="00ED7195" w:rsidP="00756FD3" w:rsidRDefault="00ED7195" w14:paraId="4C9C7592" w14:textId="2D2B6C52">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92A56">
        <w:rPr>
          <w:rFonts w:ascii="Times New Roman" w:hAnsi="Times New Roman"/>
          <w:color w:val="000000" w:themeColor="text1"/>
          <w:sz w:val="24"/>
          <w:szCs w:val="24"/>
        </w:rPr>
        <w:t xml:space="preserve">One-Time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525"/>
        <w:gridCol w:w="1260"/>
        <w:gridCol w:w="1080"/>
        <w:gridCol w:w="1170"/>
        <w:gridCol w:w="900"/>
        <w:gridCol w:w="1530"/>
        <w:gridCol w:w="1350"/>
      </w:tblGrid>
      <w:tr w:rsidRPr="00442E07" w:rsidR="00F92A56" w:rsidTr="008B4F27" w14:paraId="4C9C75AA" w14:textId="77777777">
        <w:trPr>
          <w:tblHeader/>
        </w:trPr>
        <w:tc>
          <w:tcPr>
            <w:tcW w:w="1525" w:type="dxa"/>
          </w:tcPr>
          <w:p w:rsidR="00F92A56" w:rsidP="00FE1BAE" w:rsidRDefault="00F92A56" w14:paraId="4C9C7593" w14:textId="77777777">
            <w:pPr>
              <w:jc w:val="center"/>
              <w:rPr>
                <w:rFonts w:ascii="Times New Roman" w:hAnsi="Times New Roman"/>
                <w:sz w:val="20"/>
              </w:rPr>
            </w:pPr>
          </w:p>
          <w:p w:rsidR="00F92A56" w:rsidP="00FE1BAE" w:rsidRDefault="00F92A56" w14:paraId="4C9C7594" w14:textId="77777777">
            <w:pPr>
              <w:jc w:val="center"/>
              <w:rPr>
                <w:rFonts w:ascii="Times New Roman" w:hAnsi="Times New Roman"/>
                <w:sz w:val="20"/>
              </w:rPr>
            </w:pPr>
          </w:p>
          <w:p w:rsidRPr="007F6104" w:rsidR="00F92A56" w:rsidP="00FE1BAE" w:rsidRDefault="00F92A56" w14:paraId="4C9C759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Pr="007F6104" w:rsidR="00F92A56" w:rsidP="00FE1BAE" w:rsidRDefault="00F92A56" w14:paraId="4C9C759C"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F92A56" w:rsidP="00FE1BAE" w:rsidRDefault="00F92A56" w14:paraId="4C9C759D" w14:textId="77777777">
            <w:pPr>
              <w:jc w:val="center"/>
              <w:rPr>
                <w:rFonts w:ascii="Times New Roman" w:hAnsi="Times New Roman"/>
                <w:sz w:val="20"/>
              </w:rPr>
            </w:pPr>
          </w:p>
          <w:p w:rsidR="00F92A56" w:rsidP="00FE1BAE" w:rsidRDefault="00F92A56" w14:paraId="4C9C759E" w14:textId="77777777">
            <w:pPr>
              <w:jc w:val="center"/>
              <w:rPr>
                <w:rFonts w:ascii="Times New Roman" w:hAnsi="Times New Roman"/>
                <w:sz w:val="20"/>
              </w:rPr>
            </w:pPr>
          </w:p>
          <w:p w:rsidRPr="007F6104" w:rsidR="00F92A56" w:rsidP="00FE1BAE" w:rsidRDefault="00F92A56" w14:paraId="4C9C759F"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F92A56" w:rsidP="00FE1BAE" w:rsidRDefault="00F92A56" w14:paraId="4C9C75A0" w14:textId="77777777">
            <w:pPr>
              <w:jc w:val="center"/>
              <w:rPr>
                <w:rFonts w:ascii="Times New Roman" w:hAnsi="Times New Roman"/>
                <w:sz w:val="20"/>
              </w:rPr>
            </w:pPr>
          </w:p>
          <w:p w:rsidRPr="007F6104" w:rsidR="00F92A56" w:rsidP="00FE1BAE" w:rsidRDefault="00F92A56" w14:paraId="4C9C75A1"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92A56" w:rsidP="00FE1BAE" w:rsidRDefault="00F92A56" w14:paraId="4C9C75A2" w14:textId="77777777">
            <w:pPr>
              <w:jc w:val="center"/>
              <w:rPr>
                <w:rFonts w:ascii="Times New Roman" w:hAnsi="Times New Roman"/>
                <w:sz w:val="20"/>
              </w:rPr>
            </w:pPr>
          </w:p>
          <w:p w:rsidRPr="007F6104" w:rsidR="00F92A56" w:rsidP="00F31BEC" w:rsidRDefault="00F92A56" w14:paraId="4C9C75A3"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F92A56" w:rsidP="00FE1BAE" w:rsidRDefault="00F92A56" w14:paraId="4C9C75A4" w14:textId="77777777">
            <w:pPr>
              <w:jc w:val="center"/>
              <w:rPr>
                <w:rFonts w:ascii="Times New Roman" w:hAnsi="Times New Roman"/>
                <w:sz w:val="20"/>
              </w:rPr>
            </w:pPr>
          </w:p>
          <w:p w:rsidR="00F92A56" w:rsidP="00FE1BAE" w:rsidRDefault="00F92A56" w14:paraId="4C9C75A5" w14:textId="77777777">
            <w:pPr>
              <w:jc w:val="center"/>
              <w:rPr>
                <w:rFonts w:ascii="Times New Roman" w:hAnsi="Times New Roman"/>
                <w:sz w:val="20"/>
              </w:rPr>
            </w:pPr>
          </w:p>
          <w:p w:rsidRPr="007F6104" w:rsidR="00F92A56" w:rsidP="00FE1BAE" w:rsidRDefault="00F92A56" w14:paraId="4C9C75A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F92A56" w:rsidP="00FE1BAE" w:rsidRDefault="00F92A56" w14:paraId="4C9C75A7" w14:textId="77777777">
            <w:pPr>
              <w:jc w:val="center"/>
              <w:rPr>
                <w:rFonts w:ascii="Times New Roman" w:hAnsi="Times New Roman"/>
                <w:sz w:val="20"/>
              </w:rPr>
            </w:pPr>
          </w:p>
          <w:p w:rsidR="00F92A56" w:rsidP="00FE1BAE" w:rsidRDefault="00F92A56" w14:paraId="4C9C75A8" w14:textId="77777777">
            <w:pPr>
              <w:jc w:val="center"/>
              <w:rPr>
                <w:rFonts w:ascii="Times New Roman" w:hAnsi="Times New Roman"/>
                <w:sz w:val="20"/>
              </w:rPr>
            </w:pPr>
          </w:p>
          <w:p w:rsidRPr="007F6104" w:rsidR="00F92A56" w:rsidP="00FE1BAE" w:rsidRDefault="00F92A56" w14:paraId="4C9C75A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92A56" w:rsidTr="008B4F27" w14:paraId="15374684" w14:textId="77777777">
        <w:tc>
          <w:tcPr>
            <w:tcW w:w="1525" w:type="dxa"/>
          </w:tcPr>
          <w:p w:rsidR="009C31AE" w:rsidP="003D73F2" w:rsidRDefault="00E30038" w14:paraId="36206BA6" w14:textId="77777777">
            <w:pPr>
              <w:jc w:val="center"/>
              <w:rPr>
                <w:rFonts w:ascii="Times New Roman" w:hAnsi="Times New Roman"/>
                <w:sz w:val="22"/>
                <w:szCs w:val="22"/>
              </w:rPr>
            </w:pPr>
            <w:r>
              <w:rPr>
                <w:rFonts w:ascii="Times New Roman" w:hAnsi="Times New Roman"/>
                <w:sz w:val="22"/>
                <w:szCs w:val="22"/>
              </w:rPr>
              <w:t>Clearinghouse</w:t>
            </w:r>
          </w:p>
          <w:p w:rsidRPr="00F92A56" w:rsidR="00F92A56" w:rsidP="003D73F2" w:rsidRDefault="009C31AE" w14:paraId="1085DE01" w14:textId="436C4B10">
            <w:pPr>
              <w:jc w:val="center"/>
              <w:rPr>
                <w:rFonts w:ascii="Times New Roman" w:hAnsi="Times New Roman"/>
                <w:sz w:val="22"/>
                <w:szCs w:val="22"/>
              </w:rPr>
            </w:pPr>
            <w:r>
              <w:rPr>
                <w:rFonts w:ascii="Times New Roman" w:hAnsi="Times New Roman"/>
                <w:sz w:val="22"/>
                <w:szCs w:val="22"/>
              </w:rPr>
              <w:t>Submissions</w:t>
            </w:r>
          </w:p>
        </w:tc>
        <w:tc>
          <w:tcPr>
            <w:tcW w:w="1260" w:type="dxa"/>
          </w:tcPr>
          <w:p w:rsidRPr="00F92A56" w:rsidR="00F92A56" w:rsidP="003D73F2" w:rsidRDefault="006644B0" w14:paraId="7AA27D5D" w14:textId="0B845F70">
            <w:pPr>
              <w:jc w:val="center"/>
              <w:rPr>
                <w:rFonts w:ascii="Times New Roman" w:hAnsi="Times New Roman"/>
                <w:sz w:val="22"/>
                <w:szCs w:val="22"/>
              </w:rPr>
            </w:pPr>
            <w:r>
              <w:rPr>
                <w:rFonts w:ascii="Times New Roman" w:hAnsi="Times New Roman"/>
                <w:sz w:val="22"/>
                <w:szCs w:val="22"/>
              </w:rPr>
              <w:t>300</w:t>
            </w:r>
          </w:p>
        </w:tc>
        <w:tc>
          <w:tcPr>
            <w:tcW w:w="1080" w:type="dxa"/>
          </w:tcPr>
          <w:p w:rsidRPr="00F92A56" w:rsidR="00F92A56" w:rsidP="003D73F2" w:rsidRDefault="006644B0" w14:paraId="46B0510C" w14:textId="6E3D1311">
            <w:pPr>
              <w:jc w:val="center"/>
              <w:rPr>
                <w:rFonts w:ascii="Times New Roman" w:hAnsi="Times New Roman"/>
                <w:sz w:val="22"/>
                <w:szCs w:val="22"/>
              </w:rPr>
            </w:pPr>
            <w:r>
              <w:rPr>
                <w:rFonts w:ascii="Times New Roman" w:hAnsi="Times New Roman"/>
                <w:sz w:val="22"/>
                <w:szCs w:val="22"/>
              </w:rPr>
              <w:t>1</w:t>
            </w:r>
          </w:p>
        </w:tc>
        <w:tc>
          <w:tcPr>
            <w:tcW w:w="1170" w:type="dxa"/>
          </w:tcPr>
          <w:p w:rsidRPr="00F92A56" w:rsidR="00F92A56" w:rsidP="003D73F2" w:rsidRDefault="009C31AE" w14:paraId="7522015D" w14:textId="2854501B">
            <w:pPr>
              <w:jc w:val="center"/>
              <w:rPr>
                <w:rFonts w:ascii="Times New Roman" w:hAnsi="Times New Roman"/>
                <w:sz w:val="22"/>
                <w:szCs w:val="22"/>
              </w:rPr>
            </w:pPr>
            <w:r>
              <w:rPr>
                <w:rFonts w:ascii="Times New Roman" w:hAnsi="Times New Roman"/>
                <w:sz w:val="22"/>
                <w:szCs w:val="22"/>
              </w:rPr>
              <w:t>1.5</w:t>
            </w:r>
          </w:p>
        </w:tc>
        <w:tc>
          <w:tcPr>
            <w:tcW w:w="900" w:type="dxa"/>
          </w:tcPr>
          <w:p w:rsidRPr="00F92A56" w:rsidR="00F92A56" w:rsidP="003D73F2" w:rsidRDefault="006644B0" w14:paraId="349B3BFB" w14:textId="75A3A294">
            <w:pPr>
              <w:jc w:val="center"/>
              <w:rPr>
                <w:rFonts w:ascii="Times New Roman" w:hAnsi="Times New Roman"/>
                <w:sz w:val="22"/>
                <w:szCs w:val="22"/>
              </w:rPr>
            </w:pPr>
            <w:r>
              <w:rPr>
                <w:rFonts w:ascii="Times New Roman" w:hAnsi="Times New Roman"/>
                <w:sz w:val="22"/>
                <w:szCs w:val="22"/>
              </w:rPr>
              <w:t>450</w:t>
            </w:r>
          </w:p>
        </w:tc>
        <w:tc>
          <w:tcPr>
            <w:tcW w:w="1530" w:type="dxa"/>
          </w:tcPr>
          <w:p w:rsidRPr="00F92A56" w:rsidR="00F92A56" w:rsidP="003D73F2" w:rsidRDefault="00F92A56" w14:paraId="4258D4F0" w14:textId="67211E25">
            <w:pPr>
              <w:jc w:val="center"/>
              <w:rPr>
                <w:rFonts w:ascii="Times New Roman" w:hAnsi="Times New Roman"/>
                <w:sz w:val="22"/>
                <w:szCs w:val="22"/>
              </w:rPr>
            </w:pPr>
            <w:r w:rsidRPr="00F92A56">
              <w:rPr>
                <w:rFonts w:ascii="Times New Roman" w:hAnsi="Times New Roman"/>
                <w:sz w:val="22"/>
                <w:szCs w:val="22"/>
              </w:rPr>
              <w:t>$</w:t>
            </w:r>
            <w:r w:rsidR="003D73F2">
              <w:rPr>
                <w:rFonts w:ascii="Times New Roman" w:hAnsi="Times New Roman"/>
                <w:sz w:val="22"/>
                <w:szCs w:val="22"/>
              </w:rPr>
              <w:t>3</w:t>
            </w:r>
            <w:r w:rsidRPr="00F92A56">
              <w:rPr>
                <w:rFonts w:ascii="Times New Roman" w:hAnsi="Times New Roman"/>
                <w:sz w:val="22"/>
                <w:szCs w:val="22"/>
              </w:rPr>
              <w:t>0</w:t>
            </w:r>
          </w:p>
        </w:tc>
        <w:tc>
          <w:tcPr>
            <w:tcW w:w="1350" w:type="dxa"/>
          </w:tcPr>
          <w:p w:rsidRPr="00F92A56" w:rsidR="00F92A56" w:rsidP="003D73F2" w:rsidRDefault="00F92A56" w14:paraId="64EDE356" w14:textId="1DBC5F16">
            <w:pPr>
              <w:jc w:val="center"/>
              <w:rPr>
                <w:rFonts w:ascii="Times New Roman" w:hAnsi="Times New Roman"/>
                <w:sz w:val="22"/>
                <w:szCs w:val="22"/>
              </w:rPr>
            </w:pPr>
            <w:r w:rsidRPr="00F92A56">
              <w:rPr>
                <w:rFonts w:ascii="Times New Roman" w:hAnsi="Times New Roman"/>
                <w:sz w:val="22"/>
                <w:szCs w:val="22"/>
              </w:rPr>
              <w:t>$</w:t>
            </w:r>
            <w:r w:rsidR="003D73F2">
              <w:rPr>
                <w:rFonts w:ascii="Times New Roman" w:hAnsi="Times New Roman"/>
                <w:sz w:val="22"/>
                <w:szCs w:val="22"/>
              </w:rPr>
              <w:t>13,500</w:t>
            </w:r>
          </w:p>
        </w:tc>
      </w:tr>
      <w:tr w:rsidRPr="00442E07" w:rsidR="00F92A56" w:rsidTr="008B4F27" w14:paraId="4C9C75DC" w14:textId="77777777">
        <w:tc>
          <w:tcPr>
            <w:tcW w:w="1525" w:type="dxa"/>
          </w:tcPr>
          <w:p w:rsidRPr="00F92A56" w:rsidR="00F92A56" w:rsidP="003D73F2" w:rsidRDefault="00F92A56" w14:paraId="4C9C75D3" w14:textId="77777777">
            <w:pPr>
              <w:jc w:val="center"/>
              <w:rPr>
                <w:rFonts w:ascii="Times New Roman" w:hAnsi="Times New Roman"/>
                <w:sz w:val="22"/>
                <w:szCs w:val="22"/>
              </w:rPr>
            </w:pPr>
            <w:r w:rsidRPr="00F92A56">
              <w:rPr>
                <w:rFonts w:ascii="Times New Roman" w:hAnsi="Times New Roman"/>
                <w:sz w:val="22"/>
                <w:szCs w:val="22"/>
              </w:rPr>
              <w:t>Annualized Totals</w:t>
            </w:r>
          </w:p>
        </w:tc>
        <w:tc>
          <w:tcPr>
            <w:tcW w:w="1260" w:type="dxa"/>
          </w:tcPr>
          <w:p w:rsidRPr="00F92A56" w:rsidR="00F92A56" w:rsidP="003D73F2" w:rsidRDefault="00BE0829" w14:paraId="4C9C75D6" w14:textId="5FCC4DA1">
            <w:pPr>
              <w:jc w:val="center"/>
              <w:rPr>
                <w:rFonts w:ascii="Times New Roman" w:hAnsi="Times New Roman"/>
                <w:sz w:val="22"/>
                <w:szCs w:val="22"/>
              </w:rPr>
            </w:pPr>
            <w:r>
              <w:rPr>
                <w:rFonts w:ascii="Times New Roman" w:hAnsi="Times New Roman"/>
                <w:sz w:val="22"/>
                <w:szCs w:val="22"/>
              </w:rPr>
              <w:t>300</w:t>
            </w:r>
          </w:p>
        </w:tc>
        <w:tc>
          <w:tcPr>
            <w:tcW w:w="1080" w:type="dxa"/>
          </w:tcPr>
          <w:p w:rsidRPr="00F92A56" w:rsidR="00F92A56" w:rsidP="003D73F2" w:rsidRDefault="006644B0" w14:paraId="4C9C75D7" w14:textId="12FCCAD7">
            <w:pPr>
              <w:jc w:val="center"/>
              <w:rPr>
                <w:rFonts w:ascii="Times New Roman" w:hAnsi="Times New Roman"/>
                <w:sz w:val="22"/>
                <w:szCs w:val="22"/>
              </w:rPr>
            </w:pPr>
            <w:r>
              <w:rPr>
                <w:rFonts w:ascii="Times New Roman" w:hAnsi="Times New Roman"/>
                <w:sz w:val="22"/>
                <w:szCs w:val="22"/>
              </w:rPr>
              <w:t>1</w:t>
            </w:r>
          </w:p>
        </w:tc>
        <w:tc>
          <w:tcPr>
            <w:tcW w:w="1170" w:type="dxa"/>
          </w:tcPr>
          <w:p w:rsidRPr="00F92A56" w:rsidR="00F92A56" w:rsidP="003D73F2" w:rsidRDefault="009C31AE" w14:paraId="4C9C75D8" w14:textId="5A819758">
            <w:pPr>
              <w:jc w:val="center"/>
              <w:rPr>
                <w:rFonts w:ascii="Times New Roman" w:hAnsi="Times New Roman"/>
                <w:sz w:val="22"/>
                <w:szCs w:val="22"/>
              </w:rPr>
            </w:pPr>
            <w:r>
              <w:rPr>
                <w:rFonts w:ascii="Times New Roman" w:hAnsi="Times New Roman"/>
                <w:sz w:val="22"/>
                <w:szCs w:val="22"/>
              </w:rPr>
              <w:t>1.5</w:t>
            </w:r>
          </w:p>
        </w:tc>
        <w:tc>
          <w:tcPr>
            <w:tcW w:w="900" w:type="dxa"/>
          </w:tcPr>
          <w:p w:rsidRPr="00F92A56" w:rsidR="00F92A56" w:rsidP="003D73F2" w:rsidRDefault="006644B0" w14:paraId="4C9C75D9" w14:textId="69A93B69">
            <w:pPr>
              <w:jc w:val="center"/>
              <w:rPr>
                <w:rFonts w:ascii="Times New Roman" w:hAnsi="Times New Roman"/>
                <w:sz w:val="22"/>
                <w:szCs w:val="22"/>
              </w:rPr>
            </w:pPr>
            <w:r>
              <w:rPr>
                <w:rFonts w:ascii="Times New Roman" w:hAnsi="Times New Roman"/>
                <w:sz w:val="22"/>
                <w:szCs w:val="22"/>
              </w:rPr>
              <w:t>450</w:t>
            </w:r>
          </w:p>
        </w:tc>
        <w:tc>
          <w:tcPr>
            <w:tcW w:w="1530" w:type="dxa"/>
          </w:tcPr>
          <w:p w:rsidRPr="00F92A56" w:rsidR="00F92A56" w:rsidP="003D73F2" w:rsidRDefault="003D73F2" w14:paraId="4C9C75DA" w14:textId="0C6ED3F1">
            <w:pPr>
              <w:jc w:val="center"/>
              <w:rPr>
                <w:rFonts w:ascii="Times New Roman" w:hAnsi="Times New Roman"/>
                <w:sz w:val="22"/>
                <w:szCs w:val="22"/>
              </w:rPr>
            </w:pPr>
            <w:r>
              <w:rPr>
                <w:rFonts w:ascii="Times New Roman" w:hAnsi="Times New Roman"/>
                <w:sz w:val="22"/>
                <w:szCs w:val="22"/>
              </w:rPr>
              <w:t>$30</w:t>
            </w:r>
          </w:p>
        </w:tc>
        <w:tc>
          <w:tcPr>
            <w:tcW w:w="1350" w:type="dxa"/>
          </w:tcPr>
          <w:p w:rsidRPr="00F92A56" w:rsidR="00F92A56" w:rsidP="003D73F2" w:rsidRDefault="00251FA7" w14:paraId="4C9C75DB" w14:textId="417DBE08">
            <w:pPr>
              <w:jc w:val="center"/>
              <w:rPr>
                <w:rFonts w:ascii="Times New Roman" w:hAnsi="Times New Roman"/>
                <w:sz w:val="22"/>
                <w:szCs w:val="22"/>
              </w:rPr>
            </w:pPr>
            <w:r w:rsidRPr="00F92A56">
              <w:rPr>
                <w:rFonts w:ascii="Times New Roman" w:hAnsi="Times New Roman"/>
                <w:sz w:val="22"/>
                <w:szCs w:val="22"/>
              </w:rPr>
              <w:t>$</w:t>
            </w:r>
            <w:r w:rsidR="003D73F2">
              <w:rPr>
                <w:rFonts w:ascii="Times New Roman" w:hAnsi="Times New Roman"/>
                <w:sz w:val="22"/>
                <w:szCs w:val="22"/>
              </w:rPr>
              <w:t>13,500</w:t>
            </w:r>
          </w:p>
        </w:tc>
      </w:tr>
    </w:tbl>
    <w:p w:rsidR="001A6AE0" w:rsidP="000446F5" w:rsidRDefault="001A6AE0" w14:paraId="4C9C75DD"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4C9C75DE"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4C9C75D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4C9C75E0"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C9C75E1" w14:textId="77777777">
      <w:pPr>
        <w:tabs>
          <w:tab w:val="left" w:pos="-720"/>
        </w:tabs>
        <w:suppressAutoHyphens/>
        <w:rPr>
          <w:rFonts w:ascii="Times New Roman" w:hAnsi="Times New Roman"/>
          <w:b/>
          <w:szCs w:val="24"/>
        </w:rPr>
      </w:pPr>
    </w:p>
    <w:p w:rsidRPr="00ED7195" w:rsidR="00043C32" w:rsidP="00AD381B" w:rsidRDefault="00043C32" w14:paraId="4C9C75E2"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4C9C75E3"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C9C75E4"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w:t>
      </w:r>
      <w:r w:rsidRPr="00ED7195">
        <w:rPr>
          <w:rFonts w:ascii="Times New Roman" w:hAnsi="Times New Roman"/>
          <w:b/>
          <w:szCs w:val="24"/>
        </w:rPr>
        <w:lastRenderedPageBreak/>
        <w:t xml:space="preserve">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4C9C75E5"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C9C75E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C9C75E7" w14:textId="77777777">
      <w:pPr>
        <w:tabs>
          <w:tab w:val="left" w:pos="-720"/>
        </w:tabs>
        <w:suppressAutoHyphens/>
        <w:rPr>
          <w:rFonts w:ascii="Times New Roman" w:hAnsi="Times New Roman"/>
          <w:b/>
          <w:szCs w:val="24"/>
        </w:rPr>
      </w:pPr>
    </w:p>
    <w:p w:rsidRPr="00ED7195" w:rsidR="00043C32" w:rsidP="00AD381B" w:rsidRDefault="00043C32" w14:paraId="4C9C75E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4C9C75E9"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4C9C75EA" w14:textId="7E0EBD7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350690" w:rsidP="00AD381B" w:rsidRDefault="00350690" w14:paraId="1686BB19" w14:textId="49C46B26">
      <w:pPr>
        <w:tabs>
          <w:tab w:val="left" w:pos="-720"/>
        </w:tabs>
        <w:suppressAutoHyphens/>
        <w:rPr>
          <w:rFonts w:ascii="Times New Roman" w:hAnsi="Times New Roman"/>
          <w:b/>
          <w:szCs w:val="24"/>
        </w:rPr>
      </w:pPr>
    </w:p>
    <w:p w:rsidRPr="00245B01" w:rsidR="00350690" w:rsidP="00AD381B" w:rsidRDefault="00BB32CA" w14:paraId="0F4F6C12" w14:textId="548FC1BC">
      <w:pPr>
        <w:tabs>
          <w:tab w:val="left" w:pos="-720"/>
        </w:tabs>
        <w:suppressAutoHyphens/>
        <w:rPr>
          <w:rFonts w:ascii="Times New Roman" w:hAnsi="Times New Roman"/>
          <w:bCs/>
          <w:szCs w:val="24"/>
        </w:rPr>
      </w:pPr>
      <w:r>
        <w:rPr>
          <w:rFonts w:ascii="Times New Roman" w:hAnsi="Times New Roman"/>
          <w:bCs/>
          <w:szCs w:val="24"/>
        </w:rPr>
        <w:t xml:space="preserve">Such costs, if incurred, would be incidental.  </w:t>
      </w:r>
    </w:p>
    <w:p w:rsidR="00043C32" w:rsidP="00AD381B" w:rsidRDefault="00043C32" w14:paraId="4C9C75EB" w14:textId="77777777">
      <w:pPr>
        <w:tabs>
          <w:tab w:val="left" w:pos="-720"/>
        </w:tabs>
        <w:suppressAutoHyphens/>
        <w:rPr>
          <w:rFonts w:ascii="Times New Roman" w:hAnsi="Times New Roman"/>
          <w:szCs w:val="24"/>
        </w:rPr>
      </w:pPr>
    </w:p>
    <w:p w:rsidRPr="00534B4A" w:rsidR="00043C32" w:rsidP="00AD381B" w:rsidRDefault="00043C32" w14:paraId="4C9C75EC"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F1DE9" w:rsidP="005F1DE9" w:rsidRDefault="005F1DE9" w14:paraId="71AFBDE7" w14:textId="77777777">
      <w:pPr>
        <w:tabs>
          <w:tab w:val="left" w:pos="-720"/>
        </w:tabs>
        <w:suppressAutoHyphens/>
        <w:rPr>
          <w:rFonts w:ascii="Times New Roman" w:hAnsi="Times New Roman"/>
          <w:szCs w:val="24"/>
        </w:rPr>
      </w:pPr>
    </w:p>
    <w:p w:rsidRPr="00245B01" w:rsidR="005F1DE9" w:rsidP="005F1DE9" w:rsidRDefault="005F1DE9" w14:paraId="6180D164" w14:textId="089982E8">
      <w:pPr>
        <w:tabs>
          <w:tab w:val="left" w:pos="-720"/>
        </w:tabs>
        <w:suppressAutoHyphens/>
        <w:rPr>
          <w:rFonts w:ascii="Times New Roman" w:hAnsi="Times New Roman"/>
          <w:szCs w:val="24"/>
        </w:rPr>
      </w:pPr>
      <w:r w:rsidRPr="00245B01">
        <w:rPr>
          <w:rFonts w:ascii="Times New Roman" w:hAnsi="Times New Roman"/>
          <w:szCs w:val="24"/>
        </w:rPr>
        <w:t>Tasks for review:</w:t>
      </w:r>
    </w:p>
    <w:p w:rsidR="005F1DE9" w:rsidP="005F1DE9" w:rsidRDefault="005F1DE9" w14:paraId="2D371C5D" w14:textId="0BBB2757">
      <w:pPr>
        <w:pStyle w:val="ListParagraph"/>
        <w:numPr>
          <w:ilvl w:val="0"/>
          <w:numId w:val="6"/>
        </w:numPr>
        <w:tabs>
          <w:tab w:val="left" w:pos="-720"/>
        </w:tabs>
        <w:suppressAutoHyphens/>
        <w:rPr>
          <w:rFonts w:ascii="Times New Roman" w:hAnsi="Times New Roman"/>
          <w:szCs w:val="24"/>
        </w:rPr>
      </w:pPr>
      <w:r w:rsidRPr="00245B01">
        <w:rPr>
          <w:rFonts w:ascii="Times New Roman" w:hAnsi="Times New Roman"/>
          <w:szCs w:val="24"/>
        </w:rPr>
        <w:t xml:space="preserve">Review the submitted </w:t>
      </w:r>
      <w:r w:rsidR="00BE1975">
        <w:rPr>
          <w:rFonts w:ascii="Times New Roman" w:hAnsi="Times New Roman"/>
          <w:szCs w:val="24"/>
        </w:rPr>
        <w:t>teacher, faculty, staff</w:t>
      </w:r>
      <w:r w:rsidR="00FD61F9">
        <w:rPr>
          <w:rFonts w:ascii="Times New Roman" w:hAnsi="Times New Roman"/>
          <w:szCs w:val="24"/>
        </w:rPr>
        <w:t xml:space="preserve">, </w:t>
      </w:r>
      <w:r w:rsidR="00DE66F0">
        <w:rPr>
          <w:rFonts w:ascii="Times New Roman" w:hAnsi="Times New Roman"/>
          <w:szCs w:val="24"/>
        </w:rPr>
        <w:t>school, district, early</w:t>
      </w:r>
      <w:r w:rsidR="003B753E">
        <w:rPr>
          <w:rFonts w:ascii="Times New Roman" w:hAnsi="Times New Roman"/>
          <w:szCs w:val="24"/>
        </w:rPr>
        <w:t xml:space="preserve"> childhood </w:t>
      </w:r>
      <w:r w:rsidR="00FD61F9">
        <w:rPr>
          <w:rFonts w:ascii="Times New Roman" w:hAnsi="Times New Roman"/>
          <w:szCs w:val="24"/>
        </w:rPr>
        <w:t xml:space="preserve">education </w:t>
      </w:r>
      <w:r w:rsidR="0051280F">
        <w:rPr>
          <w:rFonts w:ascii="Times New Roman" w:hAnsi="Times New Roman"/>
          <w:szCs w:val="24"/>
        </w:rPr>
        <w:t>provider</w:t>
      </w:r>
      <w:r w:rsidR="005F21BD">
        <w:rPr>
          <w:rFonts w:ascii="Times New Roman" w:hAnsi="Times New Roman"/>
          <w:szCs w:val="24"/>
        </w:rPr>
        <w:t xml:space="preserve">, </w:t>
      </w:r>
      <w:r w:rsidR="00FD61F9">
        <w:rPr>
          <w:rFonts w:ascii="Times New Roman" w:hAnsi="Times New Roman"/>
          <w:szCs w:val="24"/>
        </w:rPr>
        <w:t xml:space="preserve">IHE, </w:t>
      </w:r>
      <w:r w:rsidR="0043204F">
        <w:rPr>
          <w:rFonts w:ascii="Times New Roman" w:hAnsi="Times New Roman"/>
          <w:szCs w:val="24"/>
        </w:rPr>
        <w:t>other places of educational instruction</w:t>
      </w:r>
      <w:r w:rsidR="005F21BD">
        <w:rPr>
          <w:rFonts w:ascii="Times New Roman" w:hAnsi="Times New Roman"/>
          <w:szCs w:val="24"/>
        </w:rPr>
        <w:t>, and</w:t>
      </w:r>
      <w:r w:rsidR="00DE66F0">
        <w:rPr>
          <w:rFonts w:ascii="Times New Roman" w:hAnsi="Times New Roman"/>
          <w:szCs w:val="24"/>
        </w:rPr>
        <w:t xml:space="preserve"> </w:t>
      </w:r>
      <w:r w:rsidRPr="00245B01">
        <w:rPr>
          <w:rFonts w:ascii="Times New Roman" w:hAnsi="Times New Roman"/>
          <w:szCs w:val="24"/>
        </w:rPr>
        <w:t xml:space="preserve">State </w:t>
      </w:r>
      <w:r w:rsidR="005F21BD">
        <w:rPr>
          <w:rFonts w:ascii="Times New Roman" w:hAnsi="Times New Roman"/>
          <w:szCs w:val="24"/>
        </w:rPr>
        <w:t>lessons learned and best practices</w:t>
      </w:r>
      <w:r w:rsidRPr="00245B01">
        <w:rPr>
          <w:rFonts w:ascii="Times New Roman" w:hAnsi="Times New Roman"/>
          <w:szCs w:val="24"/>
        </w:rPr>
        <w:t>:</w:t>
      </w:r>
    </w:p>
    <w:p w:rsidR="00DF333F" w:rsidP="0060129F" w:rsidRDefault="0060129F" w14:paraId="7F034C92" w14:textId="205D8FE9">
      <w:pPr>
        <w:pStyle w:val="ListParagraph"/>
        <w:numPr>
          <w:ilvl w:val="1"/>
          <w:numId w:val="6"/>
        </w:numPr>
        <w:tabs>
          <w:tab w:val="left" w:pos="-720"/>
        </w:tabs>
        <w:suppressAutoHyphens/>
        <w:rPr>
          <w:rFonts w:ascii="Times New Roman" w:hAnsi="Times New Roman"/>
          <w:szCs w:val="24"/>
        </w:rPr>
      </w:pPr>
      <w:r>
        <w:rPr>
          <w:rFonts w:ascii="Times New Roman" w:hAnsi="Times New Roman"/>
          <w:szCs w:val="24"/>
        </w:rPr>
        <w:t xml:space="preserve">Teams of </w:t>
      </w:r>
      <w:r w:rsidR="001E1184">
        <w:rPr>
          <w:rFonts w:ascii="Times New Roman" w:hAnsi="Times New Roman"/>
          <w:szCs w:val="24"/>
        </w:rPr>
        <w:t>Department</w:t>
      </w:r>
      <w:r>
        <w:rPr>
          <w:rFonts w:ascii="Times New Roman" w:hAnsi="Times New Roman"/>
          <w:szCs w:val="24"/>
        </w:rPr>
        <w:t xml:space="preserve"> staff </w:t>
      </w:r>
      <w:r w:rsidR="002A7BAF">
        <w:rPr>
          <w:rFonts w:ascii="Times New Roman" w:hAnsi="Times New Roman"/>
          <w:szCs w:val="24"/>
        </w:rPr>
        <w:t xml:space="preserve">(e.g., early childhood, PreK-12, and higher education teams, respectively) </w:t>
      </w:r>
      <w:r w:rsidR="00AE431A">
        <w:rPr>
          <w:rFonts w:ascii="Times New Roman" w:hAnsi="Times New Roman"/>
          <w:szCs w:val="24"/>
        </w:rPr>
        <w:t xml:space="preserve">and, as necessary, staff from other Federal agencies such as </w:t>
      </w:r>
      <w:r w:rsidR="00BE1975">
        <w:rPr>
          <w:rFonts w:ascii="Times New Roman" w:hAnsi="Times New Roman"/>
          <w:szCs w:val="24"/>
        </w:rPr>
        <w:t xml:space="preserve">the Department </w:t>
      </w:r>
      <w:r w:rsidR="00BF7FDF">
        <w:rPr>
          <w:rFonts w:ascii="Times New Roman" w:hAnsi="Times New Roman"/>
          <w:szCs w:val="24"/>
        </w:rPr>
        <w:t xml:space="preserve">of </w:t>
      </w:r>
      <w:r w:rsidR="00AE431A">
        <w:rPr>
          <w:rFonts w:ascii="Times New Roman" w:hAnsi="Times New Roman"/>
          <w:szCs w:val="24"/>
        </w:rPr>
        <w:t>Health and Human Services or the Centers for Disease Control</w:t>
      </w:r>
      <w:r w:rsidR="007D515A">
        <w:rPr>
          <w:rFonts w:ascii="Times New Roman" w:hAnsi="Times New Roman"/>
          <w:szCs w:val="24"/>
        </w:rPr>
        <w:t xml:space="preserve"> and Prevention</w:t>
      </w:r>
      <w:r w:rsidR="00FB05C5">
        <w:rPr>
          <w:rFonts w:ascii="Times New Roman" w:hAnsi="Times New Roman"/>
          <w:szCs w:val="24"/>
        </w:rPr>
        <w:t xml:space="preserve"> </w:t>
      </w:r>
      <w:r>
        <w:rPr>
          <w:rFonts w:ascii="Times New Roman" w:hAnsi="Times New Roman"/>
          <w:szCs w:val="24"/>
        </w:rPr>
        <w:t>will independ</w:t>
      </w:r>
      <w:r w:rsidR="008E3F1C">
        <w:rPr>
          <w:rFonts w:ascii="Times New Roman" w:hAnsi="Times New Roman"/>
          <w:szCs w:val="24"/>
        </w:rPr>
        <w:t>ent</w:t>
      </w:r>
      <w:r>
        <w:rPr>
          <w:rFonts w:ascii="Times New Roman" w:hAnsi="Times New Roman"/>
          <w:szCs w:val="24"/>
        </w:rPr>
        <w:t>ly review each submi</w:t>
      </w:r>
      <w:r w:rsidR="00572EE5">
        <w:rPr>
          <w:rFonts w:ascii="Times New Roman" w:hAnsi="Times New Roman"/>
          <w:szCs w:val="24"/>
        </w:rPr>
        <w:t>ssion</w:t>
      </w:r>
      <w:r w:rsidR="00B81E8C">
        <w:rPr>
          <w:rFonts w:ascii="Times New Roman" w:hAnsi="Times New Roman"/>
          <w:szCs w:val="24"/>
        </w:rPr>
        <w:t xml:space="preserve"> and recommend </w:t>
      </w:r>
      <w:r w:rsidR="00432EFB">
        <w:rPr>
          <w:rFonts w:ascii="Times New Roman" w:hAnsi="Times New Roman"/>
          <w:szCs w:val="24"/>
        </w:rPr>
        <w:t>inclusion in the Clearinghouse</w:t>
      </w:r>
      <w:r w:rsidR="008E3F1C">
        <w:rPr>
          <w:rFonts w:ascii="Times New Roman" w:hAnsi="Times New Roman"/>
          <w:szCs w:val="24"/>
        </w:rPr>
        <w:t>.</w:t>
      </w:r>
    </w:p>
    <w:p w:rsidR="00432EFB" w:rsidP="0060129F" w:rsidRDefault="00432EFB" w14:paraId="5F9FF8FF" w14:textId="7E9A15A2">
      <w:pPr>
        <w:pStyle w:val="ListParagraph"/>
        <w:numPr>
          <w:ilvl w:val="1"/>
          <w:numId w:val="6"/>
        </w:numPr>
        <w:tabs>
          <w:tab w:val="left" w:pos="-720"/>
        </w:tabs>
        <w:suppressAutoHyphens/>
        <w:rPr>
          <w:rFonts w:ascii="Times New Roman" w:hAnsi="Times New Roman"/>
          <w:szCs w:val="24"/>
        </w:rPr>
      </w:pPr>
      <w:r>
        <w:rPr>
          <w:rFonts w:ascii="Times New Roman" w:hAnsi="Times New Roman"/>
          <w:szCs w:val="24"/>
        </w:rPr>
        <w:t xml:space="preserve">Teams will </w:t>
      </w:r>
      <w:proofErr w:type="gramStart"/>
      <w:r>
        <w:rPr>
          <w:rFonts w:ascii="Times New Roman" w:hAnsi="Times New Roman"/>
          <w:szCs w:val="24"/>
        </w:rPr>
        <w:t>meet to</w:t>
      </w:r>
      <w:r w:rsidR="00234EC7">
        <w:rPr>
          <w:rFonts w:ascii="Times New Roman" w:hAnsi="Times New Roman"/>
          <w:szCs w:val="24"/>
        </w:rPr>
        <w:t>gether</w:t>
      </w:r>
      <w:proofErr w:type="gramEnd"/>
      <w:r w:rsidR="00234EC7">
        <w:rPr>
          <w:rFonts w:ascii="Times New Roman" w:hAnsi="Times New Roman"/>
          <w:szCs w:val="24"/>
        </w:rPr>
        <w:t xml:space="preserve"> subsequent to independent review to</w:t>
      </w:r>
      <w:r>
        <w:rPr>
          <w:rFonts w:ascii="Times New Roman" w:hAnsi="Times New Roman"/>
          <w:szCs w:val="24"/>
        </w:rPr>
        <w:t xml:space="preserve"> determine</w:t>
      </w:r>
      <w:r w:rsidR="007D515A">
        <w:rPr>
          <w:rFonts w:ascii="Times New Roman" w:hAnsi="Times New Roman"/>
          <w:szCs w:val="24"/>
        </w:rPr>
        <w:t xml:space="preserve"> </w:t>
      </w:r>
      <w:r w:rsidR="00234EC7">
        <w:rPr>
          <w:rFonts w:ascii="Times New Roman" w:hAnsi="Times New Roman"/>
          <w:szCs w:val="24"/>
        </w:rPr>
        <w:t>final approval of each submission to include in the Clearinghouse</w:t>
      </w:r>
      <w:r w:rsidR="008E3F1C">
        <w:rPr>
          <w:rFonts w:ascii="Times New Roman" w:hAnsi="Times New Roman"/>
          <w:szCs w:val="24"/>
        </w:rPr>
        <w:t>.</w:t>
      </w:r>
    </w:p>
    <w:p w:rsidR="00234EC7" w:rsidP="0060129F" w:rsidRDefault="00234EC7" w14:paraId="1F25AD00" w14:textId="4FC609AE">
      <w:pPr>
        <w:pStyle w:val="ListParagraph"/>
        <w:numPr>
          <w:ilvl w:val="1"/>
          <w:numId w:val="6"/>
        </w:numPr>
        <w:tabs>
          <w:tab w:val="left" w:pos="-720"/>
        </w:tabs>
        <w:suppressAutoHyphens/>
        <w:rPr>
          <w:rFonts w:ascii="Times New Roman" w:hAnsi="Times New Roman"/>
          <w:szCs w:val="24"/>
        </w:rPr>
      </w:pPr>
      <w:r>
        <w:rPr>
          <w:rFonts w:ascii="Times New Roman" w:hAnsi="Times New Roman"/>
          <w:szCs w:val="24"/>
        </w:rPr>
        <w:t xml:space="preserve">Meetings will be </w:t>
      </w:r>
      <w:proofErr w:type="gramStart"/>
      <w:r>
        <w:rPr>
          <w:rFonts w:ascii="Times New Roman" w:hAnsi="Times New Roman"/>
          <w:szCs w:val="24"/>
        </w:rPr>
        <w:t>documented</w:t>
      </w:r>
      <w:proofErr w:type="gramEnd"/>
      <w:r>
        <w:rPr>
          <w:rFonts w:ascii="Times New Roman" w:hAnsi="Times New Roman"/>
          <w:szCs w:val="24"/>
        </w:rPr>
        <w:t xml:space="preserve"> </w:t>
      </w:r>
      <w:r w:rsidR="00932E5F">
        <w:rPr>
          <w:rFonts w:ascii="Times New Roman" w:hAnsi="Times New Roman"/>
          <w:szCs w:val="24"/>
        </w:rPr>
        <w:t>and all submission determinations tracked</w:t>
      </w:r>
      <w:r w:rsidR="008E3F1C">
        <w:rPr>
          <w:rFonts w:ascii="Times New Roman" w:hAnsi="Times New Roman"/>
          <w:szCs w:val="24"/>
        </w:rPr>
        <w:t>.</w:t>
      </w:r>
    </w:p>
    <w:p w:rsidRPr="00245B01" w:rsidR="00932E5F" w:rsidP="00A90301" w:rsidRDefault="00932E5F" w14:paraId="535A2B56" w14:textId="7B6E259C">
      <w:pPr>
        <w:pStyle w:val="ListParagraph"/>
        <w:numPr>
          <w:ilvl w:val="1"/>
          <w:numId w:val="6"/>
        </w:numPr>
        <w:tabs>
          <w:tab w:val="left" w:pos="-720"/>
        </w:tabs>
        <w:suppressAutoHyphens/>
        <w:rPr>
          <w:rFonts w:ascii="Times New Roman" w:hAnsi="Times New Roman"/>
          <w:szCs w:val="24"/>
        </w:rPr>
      </w:pPr>
      <w:r>
        <w:rPr>
          <w:rFonts w:ascii="Times New Roman" w:hAnsi="Times New Roman"/>
          <w:szCs w:val="24"/>
        </w:rPr>
        <w:t>If a submission is determined not eligible for inclusion in the Clearinghouse, a two-three sentence reason will be provided</w:t>
      </w:r>
      <w:r w:rsidR="008E3F1C">
        <w:rPr>
          <w:rFonts w:ascii="Times New Roman" w:hAnsi="Times New Roman"/>
          <w:szCs w:val="24"/>
        </w:rPr>
        <w:t>.</w:t>
      </w:r>
    </w:p>
    <w:p w:rsidRPr="00245B01" w:rsidR="005F1DE9" w:rsidP="005F1DE9" w:rsidRDefault="006644B0" w14:paraId="7FF7A031" w14:textId="2B1FB8A2">
      <w:pPr>
        <w:pStyle w:val="ListParagraph"/>
        <w:numPr>
          <w:ilvl w:val="0"/>
          <w:numId w:val="6"/>
        </w:numPr>
        <w:tabs>
          <w:tab w:val="left" w:pos="-720"/>
        </w:tabs>
        <w:suppressAutoHyphens/>
        <w:rPr>
          <w:rFonts w:ascii="Times New Roman" w:hAnsi="Times New Roman"/>
          <w:szCs w:val="24"/>
        </w:rPr>
      </w:pPr>
      <w:r>
        <w:rPr>
          <w:rFonts w:ascii="Times New Roman" w:hAnsi="Times New Roman"/>
          <w:szCs w:val="24"/>
        </w:rPr>
        <w:t>3</w:t>
      </w:r>
      <w:r w:rsidR="00687627">
        <w:rPr>
          <w:rFonts w:ascii="Times New Roman" w:hAnsi="Times New Roman"/>
          <w:szCs w:val="24"/>
        </w:rPr>
        <w:t xml:space="preserve">00 </w:t>
      </w:r>
      <w:r w:rsidR="00807B61">
        <w:rPr>
          <w:rFonts w:ascii="Times New Roman" w:hAnsi="Times New Roman"/>
          <w:szCs w:val="24"/>
        </w:rPr>
        <w:t>lesson learned/best practice submissions</w:t>
      </w:r>
      <w:r w:rsidRPr="00245B01" w:rsidR="00E32FA1">
        <w:rPr>
          <w:rFonts w:ascii="Times New Roman" w:hAnsi="Times New Roman"/>
          <w:szCs w:val="24"/>
        </w:rPr>
        <w:t xml:space="preserve"> </w:t>
      </w:r>
      <w:r w:rsidRPr="00245B01" w:rsidR="005F1DE9">
        <w:rPr>
          <w:rFonts w:ascii="Times New Roman" w:hAnsi="Times New Roman"/>
          <w:szCs w:val="24"/>
        </w:rPr>
        <w:t xml:space="preserve">@ 1 per </w:t>
      </w:r>
      <w:r w:rsidRPr="00245B01" w:rsidR="0071224D">
        <w:rPr>
          <w:rFonts w:ascii="Times New Roman" w:hAnsi="Times New Roman"/>
          <w:szCs w:val="24"/>
        </w:rPr>
        <w:t>.</w:t>
      </w:r>
      <w:r>
        <w:rPr>
          <w:rFonts w:ascii="Times New Roman" w:hAnsi="Times New Roman"/>
          <w:szCs w:val="24"/>
        </w:rPr>
        <w:t>5</w:t>
      </w:r>
      <w:r w:rsidR="00807B61">
        <w:rPr>
          <w:rFonts w:ascii="Times New Roman" w:hAnsi="Times New Roman"/>
          <w:szCs w:val="24"/>
        </w:rPr>
        <w:t>0</w:t>
      </w:r>
      <w:r w:rsidRPr="00245B01" w:rsidR="005F1DE9">
        <w:rPr>
          <w:rFonts w:ascii="Times New Roman" w:hAnsi="Times New Roman"/>
          <w:szCs w:val="24"/>
        </w:rPr>
        <w:t xml:space="preserve"> hou</w:t>
      </w:r>
      <w:r w:rsidRPr="00245B01" w:rsidR="0071224D">
        <w:rPr>
          <w:rFonts w:ascii="Times New Roman" w:hAnsi="Times New Roman"/>
          <w:szCs w:val="24"/>
        </w:rPr>
        <w:t>rs</w:t>
      </w:r>
      <w:r w:rsidRPr="00245B01" w:rsidR="005F1DE9">
        <w:rPr>
          <w:rFonts w:ascii="Times New Roman" w:hAnsi="Times New Roman"/>
          <w:szCs w:val="24"/>
        </w:rPr>
        <w:t xml:space="preserve"> = </w:t>
      </w:r>
      <w:r w:rsidR="003071C9">
        <w:rPr>
          <w:rFonts w:ascii="Times New Roman" w:hAnsi="Times New Roman"/>
          <w:szCs w:val="24"/>
        </w:rPr>
        <w:t>150</w:t>
      </w:r>
      <w:r w:rsidRPr="00245B01" w:rsidR="005F1DE9">
        <w:rPr>
          <w:rFonts w:ascii="Times New Roman" w:hAnsi="Times New Roman"/>
          <w:szCs w:val="24"/>
        </w:rPr>
        <w:t xml:space="preserve"> hours</w:t>
      </w:r>
    </w:p>
    <w:p w:rsidRPr="00245B01" w:rsidR="005F1DE9" w:rsidP="005F1DE9" w:rsidRDefault="005F1DE9" w14:paraId="21A30963" w14:textId="3650A503">
      <w:pPr>
        <w:pStyle w:val="ListParagraph"/>
        <w:numPr>
          <w:ilvl w:val="0"/>
          <w:numId w:val="6"/>
        </w:numPr>
        <w:tabs>
          <w:tab w:val="left" w:pos="-720"/>
        </w:tabs>
        <w:suppressAutoHyphens/>
        <w:rPr>
          <w:rFonts w:ascii="Times New Roman" w:hAnsi="Times New Roman"/>
          <w:szCs w:val="24"/>
        </w:rPr>
      </w:pPr>
      <w:r w:rsidRPr="00245B01">
        <w:rPr>
          <w:rFonts w:ascii="Times New Roman" w:hAnsi="Times New Roman"/>
          <w:szCs w:val="24"/>
        </w:rPr>
        <w:t>5 staff @ $45/hour = $225/hour</w:t>
      </w:r>
    </w:p>
    <w:p w:rsidRPr="00245B01" w:rsidR="00534B4A" w:rsidP="005F1DE9" w:rsidRDefault="005F1DE9" w14:paraId="4C9C75ED" w14:textId="7F85E5DC">
      <w:pPr>
        <w:pStyle w:val="ListParagraph"/>
        <w:numPr>
          <w:ilvl w:val="0"/>
          <w:numId w:val="6"/>
        </w:numPr>
        <w:tabs>
          <w:tab w:val="left" w:pos="-720"/>
        </w:tabs>
        <w:suppressAutoHyphens/>
        <w:rPr>
          <w:rFonts w:ascii="Times New Roman" w:hAnsi="Times New Roman"/>
          <w:szCs w:val="24"/>
        </w:rPr>
      </w:pPr>
      <w:r w:rsidRPr="00245B01">
        <w:rPr>
          <w:rFonts w:ascii="Times New Roman" w:hAnsi="Times New Roman"/>
          <w:szCs w:val="24"/>
        </w:rPr>
        <w:t>Total = $</w:t>
      </w:r>
      <w:r w:rsidR="00AA3E6B">
        <w:rPr>
          <w:rFonts w:ascii="Times New Roman" w:hAnsi="Times New Roman"/>
          <w:szCs w:val="24"/>
        </w:rPr>
        <w:t>33,750</w:t>
      </w:r>
    </w:p>
    <w:p w:rsidR="00534B4A" w:rsidP="00534B4A" w:rsidRDefault="00534B4A" w14:paraId="4C9C75EE"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C9C75E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w:t>
      </w:r>
      <w:r w:rsidRPr="00800D30">
        <w:rPr>
          <w:rFonts w:ascii="Times New Roman" w:hAnsi="Times New Roman"/>
          <w:b/>
          <w:szCs w:val="24"/>
        </w:rPr>
        <w:lastRenderedPageBreak/>
        <w:t xml:space="preserve">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4C9C75F0"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4C9C75F1" w14:textId="3A26EE0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6257D2" w:rsidP="006257D2" w:rsidRDefault="006257D2" w14:paraId="152B32DB" w14:textId="742C2BD7">
      <w:pPr>
        <w:tabs>
          <w:tab w:val="left" w:pos="-720"/>
        </w:tabs>
        <w:suppressAutoHyphens/>
        <w:rPr>
          <w:rFonts w:ascii="Times New Roman" w:hAnsi="Times New Roman"/>
          <w:b/>
          <w:sz w:val="26"/>
          <w:szCs w:val="26"/>
        </w:rPr>
      </w:pPr>
    </w:p>
    <w:p w:rsidRPr="00245B01" w:rsidR="006257D2" w:rsidP="006257D2" w:rsidRDefault="006257D2" w14:paraId="5D9ABC1B" w14:textId="68FA2E8F">
      <w:pPr>
        <w:tabs>
          <w:tab w:val="left" w:pos="-720"/>
        </w:tabs>
        <w:suppressAutoHyphens/>
        <w:rPr>
          <w:rFonts w:ascii="Times New Roman" w:hAnsi="Times New Roman"/>
          <w:bCs/>
          <w:sz w:val="26"/>
          <w:szCs w:val="26"/>
        </w:rPr>
      </w:pPr>
      <w:r w:rsidRPr="007D515A">
        <w:rPr>
          <w:rFonts w:ascii="Times New Roman" w:hAnsi="Times New Roman"/>
          <w:szCs w:val="24"/>
        </w:rPr>
        <w:t xml:space="preserve">This is a new information collection to </w:t>
      </w:r>
      <w:r w:rsidRPr="00A90301">
        <w:rPr>
          <w:rFonts w:ascii="Times New Roman" w:hAnsi="Times New Roman"/>
          <w:szCs w:val="24"/>
        </w:rPr>
        <w:t>collect</w:t>
      </w:r>
      <w:r w:rsidRPr="007D515A">
        <w:rPr>
          <w:rFonts w:ascii="Times New Roman" w:hAnsi="Times New Roman"/>
          <w:szCs w:val="24"/>
        </w:rPr>
        <w:t xml:space="preserve"> </w:t>
      </w:r>
      <w:r w:rsidRPr="007D515A" w:rsidR="0062677E">
        <w:rPr>
          <w:rFonts w:ascii="Times New Roman" w:hAnsi="Times New Roman"/>
          <w:szCs w:val="24"/>
        </w:rPr>
        <w:t xml:space="preserve">lessons learned and best practices </w:t>
      </w:r>
      <w:r w:rsidRPr="007D515A" w:rsidR="003A014F">
        <w:rPr>
          <w:rFonts w:ascii="Times New Roman" w:hAnsi="Times New Roman"/>
          <w:szCs w:val="24"/>
        </w:rPr>
        <w:t>related to the safe reopening and continued operation of early child</w:t>
      </w:r>
      <w:r w:rsidRPr="007D515A" w:rsidR="00B050C6">
        <w:rPr>
          <w:rFonts w:ascii="Times New Roman" w:hAnsi="Times New Roman"/>
          <w:szCs w:val="24"/>
        </w:rPr>
        <w:t>hood</w:t>
      </w:r>
      <w:r w:rsidRPr="00FE5D74" w:rsidR="003A014F">
        <w:rPr>
          <w:rFonts w:ascii="Times New Roman" w:hAnsi="Times New Roman"/>
          <w:szCs w:val="24"/>
        </w:rPr>
        <w:t xml:space="preserve"> </w:t>
      </w:r>
      <w:r w:rsidR="00A90301">
        <w:rPr>
          <w:rFonts w:ascii="Times New Roman" w:hAnsi="Times New Roman"/>
          <w:szCs w:val="24"/>
        </w:rPr>
        <w:t>education providers</w:t>
      </w:r>
      <w:r w:rsidRPr="00FE5D74" w:rsidR="003A014F">
        <w:rPr>
          <w:rFonts w:ascii="Times New Roman" w:hAnsi="Times New Roman"/>
          <w:szCs w:val="24"/>
        </w:rPr>
        <w:t xml:space="preserve">, </w:t>
      </w:r>
      <w:r w:rsidR="00A90301">
        <w:rPr>
          <w:rFonts w:ascii="Times New Roman" w:hAnsi="Times New Roman"/>
          <w:szCs w:val="24"/>
        </w:rPr>
        <w:t>Pre</w:t>
      </w:r>
      <w:r w:rsidRPr="00FE5D74" w:rsidR="003A014F">
        <w:rPr>
          <w:rFonts w:ascii="Times New Roman" w:hAnsi="Times New Roman"/>
          <w:szCs w:val="24"/>
        </w:rPr>
        <w:t>K12 schools, and IHE’s.  Submissions are completely voluntary</w:t>
      </w:r>
      <w:r w:rsidR="003A014F">
        <w:rPr>
          <w:rFonts w:ascii="Times New Roman" w:hAnsi="Times New Roman"/>
          <w:szCs w:val="24"/>
        </w:rPr>
        <w:t xml:space="preserve">.  </w:t>
      </w:r>
      <w:r w:rsidRPr="00245B01">
        <w:rPr>
          <w:rFonts w:ascii="Times New Roman" w:hAnsi="Times New Roman"/>
          <w:szCs w:val="24"/>
        </w:rPr>
        <w:t xml:space="preserve"> </w:t>
      </w:r>
    </w:p>
    <w:p w:rsidR="00534B4A" w:rsidP="00534B4A" w:rsidRDefault="00534B4A" w14:paraId="4C9C75F2"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4C9C75F7" w14:textId="77777777">
        <w:tc>
          <w:tcPr>
            <w:tcW w:w="2048" w:type="dxa"/>
            <w:shd w:val="clear" w:color="auto" w:fill="D9D9D9" w:themeFill="background1" w:themeFillShade="D9"/>
          </w:tcPr>
          <w:p w:rsidR="0052073E" w:rsidP="00534B4A" w:rsidRDefault="0052073E" w14:paraId="4C9C75F3" w14:textId="77777777">
            <w:pPr>
              <w:tabs>
                <w:tab w:val="left" w:pos="-720"/>
              </w:tabs>
              <w:suppressAutoHyphens/>
              <w:rPr>
                <w:rFonts w:ascii="Times New Roman" w:hAnsi="Times New Roman"/>
                <w:b/>
                <w:szCs w:val="24"/>
              </w:rPr>
            </w:pPr>
          </w:p>
        </w:tc>
        <w:tc>
          <w:tcPr>
            <w:tcW w:w="2048" w:type="dxa"/>
          </w:tcPr>
          <w:p w:rsidR="0052073E" w:rsidP="00534B4A" w:rsidRDefault="0052073E" w14:paraId="4C9C75F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4C9C75F5"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C9C75F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4C9C75FC" w14:textId="77777777">
        <w:tc>
          <w:tcPr>
            <w:tcW w:w="2048" w:type="dxa"/>
          </w:tcPr>
          <w:p w:rsidR="0052073E" w:rsidP="00534B4A" w:rsidRDefault="0052073E" w14:paraId="4C9C75F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4C9C75F9" w14:textId="77777777">
            <w:pPr>
              <w:tabs>
                <w:tab w:val="left" w:pos="-720"/>
              </w:tabs>
              <w:suppressAutoHyphens/>
              <w:rPr>
                <w:rFonts w:ascii="Times New Roman" w:hAnsi="Times New Roman"/>
                <w:b/>
                <w:szCs w:val="24"/>
              </w:rPr>
            </w:pPr>
          </w:p>
        </w:tc>
        <w:tc>
          <w:tcPr>
            <w:tcW w:w="2829" w:type="dxa"/>
          </w:tcPr>
          <w:p w:rsidRPr="006257D2" w:rsidR="0052073E" w:rsidP="00534B4A" w:rsidRDefault="006644B0" w14:paraId="4C9C75FA" w14:textId="095FCD43">
            <w:pPr>
              <w:tabs>
                <w:tab w:val="left" w:pos="-720"/>
              </w:tabs>
              <w:suppressAutoHyphens/>
              <w:rPr>
                <w:rFonts w:ascii="Times New Roman" w:hAnsi="Times New Roman"/>
                <w:bCs/>
                <w:szCs w:val="24"/>
              </w:rPr>
            </w:pPr>
            <w:r>
              <w:rPr>
                <w:rFonts w:ascii="Times New Roman" w:hAnsi="Times New Roman"/>
                <w:bCs/>
                <w:szCs w:val="24"/>
              </w:rPr>
              <w:t>4</w:t>
            </w:r>
            <w:r w:rsidR="00251FA7">
              <w:rPr>
                <w:rFonts w:ascii="Times New Roman" w:hAnsi="Times New Roman"/>
                <w:bCs/>
                <w:szCs w:val="24"/>
              </w:rPr>
              <w:t>5</w:t>
            </w:r>
            <w:r w:rsidR="007D44EF">
              <w:rPr>
                <w:rFonts w:ascii="Times New Roman" w:hAnsi="Times New Roman"/>
                <w:bCs/>
                <w:szCs w:val="24"/>
              </w:rPr>
              <w:t>0</w:t>
            </w:r>
            <w:r w:rsidRPr="006257D2" w:rsidR="006257D2">
              <w:rPr>
                <w:rFonts w:ascii="Times New Roman" w:hAnsi="Times New Roman"/>
                <w:bCs/>
                <w:szCs w:val="24"/>
              </w:rPr>
              <w:t xml:space="preserve"> hours</w:t>
            </w:r>
          </w:p>
        </w:tc>
        <w:tc>
          <w:tcPr>
            <w:tcW w:w="2520" w:type="dxa"/>
          </w:tcPr>
          <w:p w:rsidR="0052073E" w:rsidP="00534B4A" w:rsidRDefault="0052073E" w14:paraId="4C9C75FB" w14:textId="77777777">
            <w:pPr>
              <w:tabs>
                <w:tab w:val="left" w:pos="-720"/>
              </w:tabs>
              <w:suppressAutoHyphens/>
              <w:rPr>
                <w:rFonts w:ascii="Times New Roman" w:hAnsi="Times New Roman"/>
                <w:b/>
                <w:szCs w:val="24"/>
              </w:rPr>
            </w:pPr>
          </w:p>
        </w:tc>
      </w:tr>
      <w:tr w:rsidR="0052073E" w:rsidTr="0052073E" w14:paraId="4C9C7601" w14:textId="77777777">
        <w:tc>
          <w:tcPr>
            <w:tcW w:w="2048" w:type="dxa"/>
          </w:tcPr>
          <w:p w:rsidR="0052073E" w:rsidP="00534B4A" w:rsidRDefault="0052073E" w14:paraId="4C9C75F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4C9C75FE" w14:textId="77777777">
            <w:pPr>
              <w:tabs>
                <w:tab w:val="left" w:pos="-720"/>
              </w:tabs>
              <w:suppressAutoHyphens/>
              <w:rPr>
                <w:rFonts w:ascii="Times New Roman" w:hAnsi="Times New Roman"/>
                <w:b/>
                <w:szCs w:val="24"/>
              </w:rPr>
            </w:pPr>
          </w:p>
        </w:tc>
        <w:tc>
          <w:tcPr>
            <w:tcW w:w="2829" w:type="dxa"/>
          </w:tcPr>
          <w:p w:rsidRPr="006257D2" w:rsidR="0052073E" w:rsidP="00534B4A" w:rsidRDefault="007D44EF" w14:paraId="4C9C75FF" w14:textId="653B9440">
            <w:pPr>
              <w:tabs>
                <w:tab w:val="left" w:pos="-720"/>
              </w:tabs>
              <w:suppressAutoHyphens/>
              <w:rPr>
                <w:rFonts w:ascii="Times New Roman" w:hAnsi="Times New Roman"/>
                <w:bCs/>
                <w:szCs w:val="24"/>
              </w:rPr>
            </w:pPr>
            <w:r>
              <w:rPr>
                <w:rFonts w:ascii="Times New Roman" w:hAnsi="Times New Roman"/>
                <w:bCs/>
                <w:szCs w:val="24"/>
              </w:rPr>
              <w:t>300</w:t>
            </w:r>
          </w:p>
        </w:tc>
        <w:tc>
          <w:tcPr>
            <w:tcW w:w="2520" w:type="dxa"/>
          </w:tcPr>
          <w:p w:rsidR="0052073E" w:rsidP="00534B4A" w:rsidRDefault="0052073E" w14:paraId="4C9C7600" w14:textId="77777777">
            <w:pPr>
              <w:tabs>
                <w:tab w:val="left" w:pos="-720"/>
              </w:tabs>
              <w:suppressAutoHyphens/>
              <w:rPr>
                <w:rFonts w:ascii="Times New Roman" w:hAnsi="Times New Roman"/>
                <w:b/>
                <w:szCs w:val="24"/>
              </w:rPr>
            </w:pPr>
          </w:p>
        </w:tc>
      </w:tr>
      <w:tr w:rsidR="0052073E" w:rsidTr="0052073E" w14:paraId="4C9C7606" w14:textId="77777777">
        <w:tc>
          <w:tcPr>
            <w:tcW w:w="2048" w:type="dxa"/>
          </w:tcPr>
          <w:p w:rsidR="0052073E" w:rsidP="00534B4A" w:rsidRDefault="0052073E" w14:paraId="4C9C7602"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C9C7603" w14:textId="77777777">
            <w:pPr>
              <w:tabs>
                <w:tab w:val="left" w:pos="-720"/>
              </w:tabs>
              <w:suppressAutoHyphens/>
              <w:rPr>
                <w:rFonts w:ascii="Times New Roman" w:hAnsi="Times New Roman"/>
                <w:b/>
                <w:szCs w:val="24"/>
              </w:rPr>
            </w:pPr>
          </w:p>
        </w:tc>
        <w:tc>
          <w:tcPr>
            <w:tcW w:w="2829" w:type="dxa"/>
          </w:tcPr>
          <w:p w:rsidRPr="006257D2" w:rsidR="0052073E" w:rsidP="00534B4A" w:rsidRDefault="00251FA7" w14:paraId="4C9C7604" w14:textId="675066A3">
            <w:pPr>
              <w:tabs>
                <w:tab w:val="left" w:pos="-720"/>
              </w:tabs>
              <w:suppressAutoHyphens/>
              <w:rPr>
                <w:rFonts w:ascii="Times New Roman" w:hAnsi="Times New Roman"/>
                <w:bCs/>
                <w:szCs w:val="24"/>
              </w:rPr>
            </w:pPr>
            <w:r w:rsidRPr="00251FA7">
              <w:rPr>
                <w:rFonts w:ascii="Times New Roman" w:hAnsi="Times New Roman"/>
                <w:bCs/>
                <w:szCs w:val="24"/>
              </w:rPr>
              <w:t>$</w:t>
            </w:r>
            <w:r w:rsidR="00777BD0">
              <w:rPr>
                <w:rFonts w:ascii="Times New Roman" w:hAnsi="Times New Roman"/>
                <w:bCs/>
                <w:szCs w:val="24"/>
              </w:rPr>
              <w:t>13,500</w:t>
            </w:r>
          </w:p>
        </w:tc>
        <w:tc>
          <w:tcPr>
            <w:tcW w:w="2520" w:type="dxa"/>
          </w:tcPr>
          <w:p w:rsidR="0052073E" w:rsidP="00534B4A" w:rsidRDefault="0052073E" w14:paraId="4C9C7605" w14:textId="77777777">
            <w:pPr>
              <w:tabs>
                <w:tab w:val="left" w:pos="-720"/>
              </w:tabs>
              <w:suppressAutoHyphens/>
              <w:rPr>
                <w:rFonts w:ascii="Times New Roman" w:hAnsi="Times New Roman"/>
                <w:b/>
                <w:szCs w:val="24"/>
              </w:rPr>
            </w:pPr>
          </w:p>
        </w:tc>
      </w:tr>
    </w:tbl>
    <w:p w:rsidR="00F27AAF" w:rsidP="00534B4A" w:rsidRDefault="00F27AAF" w14:paraId="4C9C7607" w14:textId="023D7E2F">
      <w:pPr>
        <w:tabs>
          <w:tab w:val="left" w:pos="-720"/>
        </w:tabs>
        <w:suppressAutoHyphens/>
        <w:rPr>
          <w:rFonts w:ascii="Times New Roman" w:hAnsi="Times New Roman"/>
          <w:b/>
          <w:szCs w:val="24"/>
        </w:rPr>
      </w:pPr>
    </w:p>
    <w:p w:rsidRPr="00534B4A" w:rsidR="00534B4A" w:rsidP="00534B4A" w:rsidRDefault="00534B4A" w14:paraId="4C9C7608" w14:textId="77777777">
      <w:pPr>
        <w:tabs>
          <w:tab w:val="left" w:pos="-720"/>
        </w:tabs>
        <w:suppressAutoHyphens/>
        <w:rPr>
          <w:rFonts w:ascii="Times New Roman" w:hAnsi="Times New Roman"/>
          <w:szCs w:val="24"/>
        </w:rPr>
      </w:pPr>
    </w:p>
    <w:p w:rsidR="00043C32" w:rsidP="00AD381B" w:rsidRDefault="00043C32" w14:paraId="4C9C760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4C9C760A" w14:textId="1A43C405">
      <w:pPr>
        <w:tabs>
          <w:tab w:val="left" w:pos="-720"/>
        </w:tabs>
        <w:suppressAutoHyphens/>
        <w:rPr>
          <w:rFonts w:ascii="Times New Roman" w:hAnsi="Times New Roman"/>
          <w:szCs w:val="24"/>
        </w:rPr>
      </w:pPr>
    </w:p>
    <w:p w:rsidRPr="00245B01" w:rsidR="00DA1151" w:rsidP="00534B4A" w:rsidRDefault="003A014F" w14:paraId="0DED16ED" w14:textId="6E52CD6D">
      <w:pPr>
        <w:tabs>
          <w:tab w:val="left" w:pos="-720"/>
        </w:tabs>
        <w:suppressAutoHyphens/>
        <w:rPr>
          <w:rFonts w:ascii="Times New Roman" w:hAnsi="Times New Roman"/>
          <w:szCs w:val="24"/>
        </w:rPr>
      </w:pPr>
      <w:r>
        <w:rPr>
          <w:rFonts w:ascii="Times New Roman" w:hAnsi="Times New Roman"/>
          <w:szCs w:val="24"/>
        </w:rPr>
        <w:t>The Department will post on the Clearinghouse the results of this information collection</w:t>
      </w:r>
      <w:r w:rsidR="00A91A41">
        <w:rPr>
          <w:rFonts w:ascii="Times New Roman" w:hAnsi="Times New Roman"/>
          <w:szCs w:val="24"/>
        </w:rPr>
        <w:t xml:space="preserve">.  The Department will </w:t>
      </w:r>
      <w:r w:rsidR="00932F1B">
        <w:rPr>
          <w:rFonts w:ascii="Times New Roman" w:hAnsi="Times New Roman"/>
          <w:szCs w:val="24"/>
        </w:rPr>
        <w:t xml:space="preserve">begin </w:t>
      </w:r>
      <w:r w:rsidR="00A91A41">
        <w:rPr>
          <w:rFonts w:ascii="Times New Roman" w:hAnsi="Times New Roman"/>
          <w:szCs w:val="24"/>
        </w:rPr>
        <w:t xml:space="preserve">collecting lessons learned and best practices in </w:t>
      </w:r>
      <w:r w:rsidR="00357615">
        <w:rPr>
          <w:rFonts w:ascii="Times New Roman" w:hAnsi="Times New Roman"/>
          <w:szCs w:val="24"/>
        </w:rPr>
        <w:t xml:space="preserve">March of 2021 and stop in </w:t>
      </w:r>
      <w:r w:rsidR="002A7BAF">
        <w:rPr>
          <w:rFonts w:ascii="Times New Roman" w:hAnsi="Times New Roman"/>
          <w:szCs w:val="24"/>
        </w:rPr>
        <w:t>September 2021</w:t>
      </w:r>
      <w:r w:rsidR="00357615">
        <w:rPr>
          <w:rFonts w:ascii="Times New Roman" w:hAnsi="Times New Roman"/>
          <w:szCs w:val="24"/>
        </w:rPr>
        <w:t xml:space="preserve">.  </w:t>
      </w:r>
    </w:p>
    <w:p w:rsidRPr="00534B4A" w:rsidR="00534B4A" w:rsidP="00534B4A" w:rsidRDefault="00534B4A" w14:paraId="4C9C760B" w14:textId="04425D63">
      <w:pPr>
        <w:tabs>
          <w:tab w:val="left" w:pos="-720"/>
        </w:tabs>
        <w:suppressAutoHyphens/>
        <w:rPr>
          <w:rFonts w:ascii="Times New Roman" w:hAnsi="Times New Roman"/>
          <w:szCs w:val="24"/>
        </w:rPr>
      </w:pPr>
    </w:p>
    <w:p w:rsidRPr="00534B4A" w:rsidR="00043C32" w:rsidP="00AD381B" w:rsidRDefault="00043C32" w14:paraId="4C9C760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350690" w:rsidRDefault="00534B4A" w14:paraId="4C9C760D" w14:textId="78D445A6">
      <w:pPr>
        <w:tabs>
          <w:tab w:val="left" w:pos="-720"/>
        </w:tabs>
        <w:suppressAutoHyphens/>
        <w:rPr>
          <w:rFonts w:ascii="Times New Roman" w:hAnsi="Times New Roman"/>
          <w:b/>
          <w:szCs w:val="24"/>
        </w:rPr>
      </w:pPr>
    </w:p>
    <w:p w:rsidRPr="00245B01" w:rsidR="00350690" w:rsidP="00350690" w:rsidRDefault="00350690" w14:paraId="0280E6A5" w14:textId="79A6178C">
      <w:pPr>
        <w:tabs>
          <w:tab w:val="left" w:pos="-720"/>
        </w:tabs>
        <w:suppressAutoHyphens/>
        <w:rPr>
          <w:rFonts w:ascii="Times New Roman" w:hAnsi="Times New Roman"/>
          <w:bCs/>
          <w:szCs w:val="24"/>
        </w:rPr>
      </w:pPr>
      <w:r w:rsidRPr="00245B01">
        <w:rPr>
          <w:rFonts w:ascii="Times New Roman" w:hAnsi="Times New Roman"/>
          <w:bCs/>
          <w:szCs w:val="24"/>
        </w:rPr>
        <w:t>The expiration date for OMB approval of the information collection will be displayed.</w:t>
      </w:r>
    </w:p>
    <w:p w:rsidRPr="00534B4A" w:rsidR="00534B4A" w:rsidP="00534B4A" w:rsidRDefault="00534B4A" w14:paraId="4C9C760E" w14:textId="77777777">
      <w:pPr>
        <w:tabs>
          <w:tab w:val="left" w:pos="-720"/>
        </w:tabs>
        <w:suppressAutoHyphens/>
        <w:ind w:left="360"/>
        <w:rPr>
          <w:rFonts w:ascii="Times New Roman" w:hAnsi="Times New Roman"/>
          <w:szCs w:val="24"/>
        </w:rPr>
      </w:pPr>
    </w:p>
    <w:p w:rsidR="001C73C0" w:rsidP="00AD381B" w:rsidRDefault="00043C32" w14:paraId="4C9C760F" w14:textId="48CD66C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0258D" w:rsidP="00B0258D" w:rsidRDefault="00B0258D" w14:paraId="0AEDD4B1" w14:textId="10FDB835">
      <w:pPr>
        <w:tabs>
          <w:tab w:val="left" w:pos="-720"/>
        </w:tabs>
        <w:suppressAutoHyphens/>
        <w:rPr>
          <w:rFonts w:ascii="Times New Roman" w:hAnsi="Times New Roman"/>
          <w:b/>
          <w:szCs w:val="24"/>
        </w:rPr>
      </w:pPr>
    </w:p>
    <w:p w:rsidRPr="00245B01" w:rsidR="00B0258D" w:rsidP="00B0258D" w:rsidRDefault="00B0258D" w14:paraId="7090924E" w14:textId="3D0C18AB">
      <w:pPr>
        <w:tabs>
          <w:tab w:val="left" w:pos="-720"/>
        </w:tabs>
        <w:suppressAutoHyphens/>
        <w:rPr>
          <w:rFonts w:ascii="Times New Roman" w:hAnsi="Times New Roman"/>
          <w:bCs/>
          <w:szCs w:val="24"/>
        </w:rPr>
      </w:pPr>
      <w:r w:rsidRPr="00245B01">
        <w:rPr>
          <w:rFonts w:ascii="Times New Roman" w:hAnsi="Times New Roman"/>
          <w:bCs/>
          <w:szCs w:val="24"/>
        </w:rPr>
        <w:t>We do not propose any exceptions to the certification statements identified in the Certification of Paperwork Reduction Act.</w:t>
      </w:r>
    </w:p>
    <w:sectPr w:rsidRPr="00245B01" w:rsidR="00B0258D"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830E3" w14:textId="77777777" w:rsidR="0018288C" w:rsidRDefault="0018288C" w:rsidP="00043C32">
      <w:r>
        <w:separator/>
      </w:r>
    </w:p>
  </w:endnote>
  <w:endnote w:type="continuationSeparator" w:id="0">
    <w:p w14:paraId="2D32173C" w14:textId="77777777" w:rsidR="0018288C" w:rsidRDefault="0018288C" w:rsidP="00043C32">
      <w:r>
        <w:continuationSeparator/>
      </w:r>
    </w:p>
  </w:endnote>
  <w:endnote w:type="continuationNotice" w:id="1">
    <w:p w14:paraId="4C879457" w14:textId="77777777" w:rsidR="0018288C" w:rsidRDefault="00182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C7614" w14:textId="77777777" w:rsidR="00243CEC" w:rsidRDefault="00243CEC">
    <w:pPr>
      <w:spacing w:before="140" w:line="100" w:lineRule="exact"/>
      <w:rPr>
        <w:sz w:val="10"/>
      </w:rPr>
    </w:pPr>
  </w:p>
  <w:p w14:paraId="4C9C7615" w14:textId="77777777" w:rsidR="00243CEC" w:rsidRDefault="00243CEC">
    <w:pPr>
      <w:tabs>
        <w:tab w:val="left" w:pos="0"/>
      </w:tabs>
      <w:suppressAutoHyphens/>
    </w:pPr>
  </w:p>
  <w:p w14:paraId="4C9C7616" w14:textId="77777777" w:rsidR="00243CEC" w:rsidRDefault="00243CEC">
    <w:pPr>
      <w:tabs>
        <w:tab w:val="left" w:pos="0"/>
      </w:tabs>
      <w:suppressAutoHyphens/>
    </w:pPr>
    <w:r>
      <w:rPr>
        <w:noProof/>
      </w:rPr>
      <mc:AlternateContent>
        <mc:Choice Requires="wps">
          <w:drawing>
            <wp:inline distT="0" distB="0" distL="0" distR="0" wp14:anchorId="4C9C7617" wp14:editId="4C9C7618">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9C761A" w14:textId="218CE2F6" w:rsidR="00243CEC" w:rsidRPr="00534B4A" w:rsidRDefault="00243CE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CC3696">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4C9C761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4C9C761A" w14:textId="218CE2F6" w:rsidR="00243CEC" w:rsidRPr="00534B4A" w:rsidRDefault="00243CE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CC3696">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5D158" w14:textId="77777777" w:rsidR="0018288C" w:rsidRDefault="0018288C" w:rsidP="00043C32">
      <w:r>
        <w:separator/>
      </w:r>
    </w:p>
  </w:footnote>
  <w:footnote w:type="continuationSeparator" w:id="0">
    <w:p w14:paraId="612037F9" w14:textId="77777777" w:rsidR="0018288C" w:rsidRDefault="0018288C" w:rsidP="00043C32">
      <w:r>
        <w:continuationSeparator/>
      </w:r>
    </w:p>
  </w:footnote>
  <w:footnote w:type="continuationNotice" w:id="1">
    <w:p w14:paraId="05B540C8" w14:textId="77777777" w:rsidR="0018288C" w:rsidRDefault="0018288C"/>
  </w:footnote>
  <w:footnote w:id="2">
    <w:p w14:paraId="4C9C7619" w14:textId="61017023" w:rsidR="00243CEC" w:rsidRDefault="00243CEC" w:rsidP="00043C32">
      <w:pPr>
        <w:pStyle w:val="FootnoteText"/>
      </w:pPr>
      <w:r>
        <w:rPr>
          <w:rStyle w:val="FootnoteReference"/>
        </w:rPr>
        <w:footnoteRef/>
      </w:r>
      <w:r>
        <w:t xml:space="preserve"> </w:t>
      </w:r>
      <w:r>
        <w:rPr>
          <w:rFonts w:ascii="Times New Roman" w:hAnsi="Times New Roman"/>
          <w:sz w:val="20"/>
        </w:rPr>
        <w:t xml:space="preserve">Requests for this information are in accordance with the </w:t>
      </w:r>
      <w:r w:rsidR="00932F1B">
        <w:rPr>
          <w:rFonts w:ascii="Times New Roman" w:hAnsi="Times New Roman"/>
          <w:sz w:val="20"/>
        </w:rPr>
        <w:t xml:space="preserve">Privacy Act of 1974 and the </w:t>
      </w:r>
      <w:r>
        <w:rPr>
          <w:rFonts w:ascii="Times New Roman" w:hAnsi="Times New Roman"/>
          <w:sz w:val="20"/>
        </w:rPr>
        <w:t>following ED and OMB policies</w:t>
      </w:r>
      <w:r w:rsidR="00932F1B">
        <w:rPr>
          <w:rFonts w:ascii="Times New Roman" w:hAnsi="Times New Roman"/>
          <w:sz w:val="20"/>
        </w:rPr>
        <w:t xml:space="preserve"> and guidance</w:t>
      </w:r>
      <w:r>
        <w:rPr>
          <w:rFonts w:ascii="Times New Roman" w:hAnsi="Times New Roman"/>
          <w:sz w:val="20"/>
        </w:rPr>
        <w:t>: OMB Circular A-108 – Privacy Act Implementation – Guidelines and Responsibilities</w:t>
      </w:r>
      <w:r w:rsidR="00932F1B">
        <w:rPr>
          <w:rFonts w:ascii="Times New Roman" w:hAnsi="Times New Roman"/>
          <w:sz w:val="20"/>
        </w:rPr>
        <w:t xml:space="preserve">; </w:t>
      </w:r>
      <w:r>
        <w:rPr>
          <w:rFonts w:ascii="Times New Roman" w:hAnsi="Times New Roman"/>
          <w:sz w:val="20"/>
        </w:rPr>
        <w:t>OMB Circular A-130 Appendix I – Federal Agency Responsibilities for Maintaining Records About Individuals</w:t>
      </w:r>
      <w:r w:rsidR="00932F1B">
        <w:rPr>
          <w:rFonts w:ascii="Times New Roman" w:hAnsi="Times New Roman"/>
          <w:sz w:val="20"/>
        </w:rPr>
        <w:t>;</w:t>
      </w:r>
      <w:r>
        <w:rPr>
          <w:rFonts w:ascii="Times New Roman" w:hAnsi="Times New Roman"/>
          <w:sz w:val="20"/>
        </w:rPr>
        <w:t xml:space="preserve"> OMB M-03-22 – OMB Guidance for Implementing the Privacy Provisions of the E-Government Act of 2002</w:t>
      </w:r>
      <w:r w:rsidR="00932F1B">
        <w:rPr>
          <w:rFonts w:ascii="Times New Roman" w:hAnsi="Times New Roman"/>
          <w:sz w:val="20"/>
        </w:rPr>
        <w:t>;</w:t>
      </w:r>
      <w:r>
        <w:rPr>
          <w:rFonts w:ascii="Times New Roman" w:hAnsi="Times New Roman"/>
          <w:sz w:val="20"/>
        </w:rPr>
        <w:t xml:space="preserve"> OMB M-06-15 – Safeguarding Personally Identifiable Information</w:t>
      </w:r>
      <w:r w:rsidR="00932F1B">
        <w:rPr>
          <w:rFonts w:ascii="Times New Roman" w:hAnsi="Times New Roman"/>
          <w:sz w:val="20"/>
        </w:rPr>
        <w:t>;</w:t>
      </w:r>
      <w:r>
        <w:rPr>
          <w:rFonts w:ascii="Times New Roman" w:hAnsi="Times New Roman"/>
          <w:sz w:val="20"/>
        </w:rPr>
        <w:t xml:space="preserve"> </w:t>
      </w:r>
      <w:r w:rsidR="00932F1B">
        <w:rPr>
          <w:rFonts w:ascii="Times New Roman" w:hAnsi="Times New Roman"/>
          <w:sz w:val="20"/>
        </w:rPr>
        <w:t xml:space="preserve">ED </w:t>
      </w:r>
      <w:r>
        <w:rPr>
          <w:rFonts w:ascii="Times New Roman" w:hAnsi="Times New Roman"/>
          <w:sz w:val="20"/>
        </w:rPr>
        <w:t>OM:6-104 – Privacy Act of 1974 (Collection, Use and Protection of Personally Identifiable Information)</w:t>
      </w:r>
      <w:r w:rsidR="00932F1B">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40F22"/>
    <w:multiLevelType w:val="hybridMultilevel"/>
    <w:tmpl w:val="8E8AC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04D3D"/>
    <w:rsid w:val="00010CD3"/>
    <w:rsid w:val="00010D85"/>
    <w:rsid w:val="00012F1E"/>
    <w:rsid w:val="00017EBA"/>
    <w:rsid w:val="000330A0"/>
    <w:rsid w:val="00035ED5"/>
    <w:rsid w:val="00043C32"/>
    <w:rsid w:val="000446F5"/>
    <w:rsid w:val="00051AD8"/>
    <w:rsid w:val="00054249"/>
    <w:rsid w:val="00055A8A"/>
    <w:rsid w:val="000571C7"/>
    <w:rsid w:val="00065D66"/>
    <w:rsid w:val="00077748"/>
    <w:rsid w:val="000863F9"/>
    <w:rsid w:val="00093017"/>
    <w:rsid w:val="00097330"/>
    <w:rsid w:val="000A7F41"/>
    <w:rsid w:val="000B0663"/>
    <w:rsid w:val="000C42DB"/>
    <w:rsid w:val="000C6730"/>
    <w:rsid w:val="000E7A72"/>
    <w:rsid w:val="000F2BF0"/>
    <w:rsid w:val="001060AA"/>
    <w:rsid w:val="001175C3"/>
    <w:rsid w:val="001249F3"/>
    <w:rsid w:val="00134B21"/>
    <w:rsid w:val="001435A7"/>
    <w:rsid w:val="001824F3"/>
    <w:rsid w:val="0018288C"/>
    <w:rsid w:val="001832CE"/>
    <w:rsid w:val="00190636"/>
    <w:rsid w:val="001A6A95"/>
    <w:rsid w:val="001A6AE0"/>
    <w:rsid w:val="001C6091"/>
    <w:rsid w:val="001C73C0"/>
    <w:rsid w:val="001E1184"/>
    <w:rsid w:val="001E79BD"/>
    <w:rsid w:val="00201184"/>
    <w:rsid w:val="0021682F"/>
    <w:rsid w:val="002225CC"/>
    <w:rsid w:val="00224A3B"/>
    <w:rsid w:val="00227DCC"/>
    <w:rsid w:val="00234EC7"/>
    <w:rsid w:val="00240A39"/>
    <w:rsid w:val="00240ABA"/>
    <w:rsid w:val="00243CEC"/>
    <w:rsid w:val="00245B01"/>
    <w:rsid w:val="00246FE9"/>
    <w:rsid w:val="00250100"/>
    <w:rsid w:val="00250162"/>
    <w:rsid w:val="00251FA7"/>
    <w:rsid w:val="0026270B"/>
    <w:rsid w:val="00262A69"/>
    <w:rsid w:val="00270AF7"/>
    <w:rsid w:val="002716DB"/>
    <w:rsid w:val="002915AE"/>
    <w:rsid w:val="002A3221"/>
    <w:rsid w:val="002A7BAF"/>
    <w:rsid w:val="002B6AE2"/>
    <w:rsid w:val="002C0CC3"/>
    <w:rsid w:val="002C3520"/>
    <w:rsid w:val="002E14E0"/>
    <w:rsid w:val="002F55E5"/>
    <w:rsid w:val="00303EED"/>
    <w:rsid w:val="003071C9"/>
    <w:rsid w:val="0032078A"/>
    <w:rsid w:val="0032539E"/>
    <w:rsid w:val="00336BC4"/>
    <w:rsid w:val="00350690"/>
    <w:rsid w:val="00357615"/>
    <w:rsid w:val="00360631"/>
    <w:rsid w:val="00370A12"/>
    <w:rsid w:val="003860E4"/>
    <w:rsid w:val="00392A6C"/>
    <w:rsid w:val="003A014F"/>
    <w:rsid w:val="003B1545"/>
    <w:rsid w:val="003B5495"/>
    <w:rsid w:val="003B753E"/>
    <w:rsid w:val="003D5CEF"/>
    <w:rsid w:val="003D73F2"/>
    <w:rsid w:val="003F4EB1"/>
    <w:rsid w:val="00403639"/>
    <w:rsid w:val="00412915"/>
    <w:rsid w:val="0041481E"/>
    <w:rsid w:val="004152A4"/>
    <w:rsid w:val="0043204F"/>
    <w:rsid w:val="00432EFB"/>
    <w:rsid w:val="0044059D"/>
    <w:rsid w:val="00442E07"/>
    <w:rsid w:val="004561F6"/>
    <w:rsid w:val="0046482C"/>
    <w:rsid w:val="00485456"/>
    <w:rsid w:val="004855ED"/>
    <w:rsid w:val="004A31C5"/>
    <w:rsid w:val="004A3599"/>
    <w:rsid w:val="004A5F44"/>
    <w:rsid w:val="004A7C5E"/>
    <w:rsid w:val="004C0146"/>
    <w:rsid w:val="004C08D2"/>
    <w:rsid w:val="004D2E3A"/>
    <w:rsid w:val="004F0D25"/>
    <w:rsid w:val="00500F3E"/>
    <w:rsid w:val="005103FB"/>
    <w:rsid w:val="0051280F"/>
    <w:rsid w:val="00514F3C"/>
    <w:rsid w:val="00517593"/>
    <w:rsid w:val="0052073E"/>
    <w:rsid w:val="00534B4A"/>
    <w:rsid w:val="0054533B"/>
    <w:rsid w:val="005463E3"/>
    <w:rsid w:val="00566654"/>
    <w:rsid w:val="005667E6"/>
    <w:rsid w:val="00567E0B"/>
    <w:rsid w:val="00572EE5"/>
    <w:rsid w:val="00577E94"/>
    <w:rsid w:val="00581C11"/>
    <w:rsid w:val="005B2510"/>
    <w:rsid w:val="005C0A28"/>
    <w:rsid w:val="005C19E5"/>
    <w:rsid w:val="005C3780"/>
    <w:rsid w:val="005D0FE2"/>
    <w:rsid w:val="005E700A"/>
    <w:rsid w:val="005F1DE9"/>
    <w:rsid w:val="005F21BD"/>
    <w:rsid w:val="0060129F"/>
    <w:rsid w:val="00614768"/>
    <w:rsid w:val="006257D2"/>
    <w:rsid w:val="0062677E"/>
    <w:rsid w:val="00626AA9"/>
    <w:rsid w:val="00633A05"/>
    <w:rsid w:val="006478C4"/>
    <w:rsid w:val="006644B0"/>
    <w:rsid w:val="006836B0"/>
    <w:rsid w:val="0068567A"/>
    <w:rsid w:val="00687627"/>
    <w:rsid w:val="006A292A"/>
    <w:rsid w:val="006A38F7"/>
    <w:rsid w:val="006A4EBB"/>
    <w:rsid w:val="006B4172"/>
    <w:rsid w:val="006E46CD"/>
    <w:rsid w:val="0071224D"/>
    <w:rsid w:val="0071724F"/>
    <w:rsid w:val="007248F6"/>
    <w:rsid w:val="00753500"/>
    <w:rsid w:val="00755D99"/>
    <w:rsid w:val="00756FD3"/>
    <w:rsid w:val="00764BC4"/>
    <w:rsid w:val="00765392"/>
    <w:rsid w:val="00777BD0"/>
    <w:rsid w:val="0078107F"/>
    <w:rsid w:val="007851DC"/>
    <w:rsid w:val="00785AD1"/>
    <w:rsid w:val="00790E3E"/>
    <w:rsid w:val="007C0A4C"/>
    <w:rsid w:val="007C405F"/>
    <w:rsid w:val="007C4EF7"/>
    <w:rsid w:val="007D07FD"/>
    <w:rsid w:val="007D44EF"/>
    <w:rsid w:val="007D515A"/>
    <w:rsid w:val="007F6104"/>
    <w:rsid w:val="00800D30"/>
    <w:rsid w:val="00804725"/>
    <w:rsid w:val="00807B61"/>
    <w:rsid w:val="00807D1A"/>
    <w:rsid w:val="0082090C"/>
    <w:rsid w:val="00821E68"/>
    <w:rsid w:val="008350A9"/>
    <w:rsid w:val="00842F37"/>
    <w:rsid w:val="008475CB"/>
    <w:rsid w:val="00854F10"/>
    <w:rsid w:val="00867B7B"/>
    <w:rsid w:val="00871C0D"/>
    <w:rsid w:val="00874EFE"/>
    <w:rsid w:val="0087500D"/>
    <w:rsid w:val="00882126"/>
    <w:rsid w:val="008933F1"/>
    <w:rsid w:val="008A1229"/>
    <w:rsid w:val="008A247F"/>
    <w:rsid w:val="008A7D9E"/>
    <w:rsid w:val="008B0163"/>
    <w:rsid w:val="008B1664"/>
    <w:rsid w:val="008B3CB5"/>
    <w:rsid w:val="008B4F27"/>
    <w:rsid w:val="008C0B37"/>
    <w:rsid w:val="008D0601"/>
    <w:rsid w:val="008D1F11"/>
    <w:rsid w:val="008D494D"/>
    <w:rsid w:val="008D53B1"/>
    <w:rsid w:val="008E0712"/>
    <w:rsid w:val="008E3F1C"/>
    <w:rsid w:val="008E5919"/>
    <w:rsid w:val="00905951"/>
    <w:rsid w:val="009059B0"/>
    <w:rsid w:val="00907384"/>
    <w:rsid w:val="009105D5"/>
    <w:rsid w:val="00912835"/>
    <w:rsid w:val="00912D2C"/>
    <w:rsid w:val="00916EE4"/>
    <w:rsid w:val="00920F63"/>
    <w:rsid w:val="00924002"/>
    <w:rsid w:val="009243F3"/>
    <w:rsid w:val="00926A3B"/>
    <w:rsid w:val="00932E5F"/>
    <w:rsid w:val="00932F1B"/>
    <w:rsid w:val="0093366B"/>
    <w:rsid w:val="00934185"/>
    <w:rsid w:val="00946126"/>
    <w:rsid w:val="00952DF9"/>
    <w:rsid w:val="0095421D"/>
    <w:rsid w:val="009570DC"/>
    <w:rsid w:val="00960C86"/>
    <w:rsid w:val="00970339"/>
    <w:rsid w:val="009704A3"/>
    <w:rsid w:val="00972FF0"/>
    <w:rsid w:val="009767AF"/>
    <w:rsid w:val="00981F58"/>
    <w:rsid w:val="00986D0A"/>
    <w:rsid w:val="009A3FDA"/>
    <w:rsid w:val="009A4E1B"/>
    <w:rsid w:val="009B0752"/>
    <w:rsid w:val="009B2FC7"/>
    <w:rsid w:val="009B36A6"/>
    <w:rsid w:val="009B462E"/>
    <w:rsid w:val="009C2504"/>
    <w:rsid w:val="009C31AE"/>
    <w:rsid w:val="009D0A8D"/>
    <w:rsid w:val="009D6029"/>
    <w:rsid w:val="009E3E86"/>
    <w:rsid w:val="009F0C7F"/>
    <w:rsid w:val="00A118A2"/>
    <w:rsid w:val="00A13172"/>
    <w:rsid w:val="00A23F26"/>
    <w:rsid w:val="00A23F9F"/>
    <w:rsid w:val="00A33470"/>
    <w:rsid w:val="00A4001C"/>
    <w:rsid w:val="00A40AAB"/>
    <w:rsid w:val="00A46D01"/>
    <w:rsid w:val="00A5039A"/>
    <w:rsid w:val="00A6612C"/>
    <w:rsid w:val="00A702FC"/>
    <w:rsid w:val="00A70816"/>
    <w:rsid w:val="00A7636D"/>
    <w:rsid w:val="00A87380"/>
    <w:rsid w:val="00A874C2"/>
    <w:rsid w:val="00A90301"/>
    <w:rsid w:val="00A9138E"/>
    <w:rsid w:val="00A91A41"/>
    <w:rsid w:val="00AA2228"/>
    <w:rsid w:val="00AA3E6B"/>
    <w:rsid w:val="00AC1C89"/>
    <w:rsid w:val="00AD381B"/>
    <w:rsid w:val="00AD3983"/>
    <w:rsid w:val="00AE431A"/>
    <w:rsid w:val="00AE4B57"/>
    <w:rsid w:val="00AF5B5B"/>
    <w:rsid w:val="00AF5D1A"/>
    <w:rsid w:val="00AF75A5"/>
    <w:rsid w:val="00B017F9"/>
    <w:rsid w:val="00B0258D"/>
    <w:rsid w:val="00B050C6"/>
    <w:rsid w:val="00B07213"/>
    <w:rsid w:val="00B10A05"/>
    <w:rsid w:val="00B1405E"/>
    <w:rsid w:val="00B47395"/>
    <w:rsid w:val="00B54167"/>
    <w:rsid w:val="00B61B57"/>
    <w:rsid w:val="00B62E06"/>
    <w:rsid w:val="00B64B1D"/>
    <w:rsid w:val="00B659D3"/>
    <w:rsid w:val="00B81E8C"/>
    <w:rsid w:val="00B85C4D"/>
    <w:rsid w:val="00B9188B"/>
    <w:rsid w:val="00B9671B"/>
    <w:rsid w:val="00BA1D31"/>
    <w:rsid w:val="00BB32CA"/>
    <w:rsid w:val="00BB3B0A"/>
    <w:rsid w:val="00BE0829"/>
    <w:rsid w:val="00BE1975"/>
    <w:rsid w:val="00BF287C"/>
    <w:rsid w:val="00BF3A4D"/>
    <w:rsid w:val="00BF44F6"/>
    <w:rsid w:val="00BF7FDF"/>
    <w:rsid w:val="00C03E28"/>
    <w:rsid w:val="00C05F86"/>
    <w:rsid w:val="00C164D3"/>
    <w:rsid w:val="00C20670"/>
    <w:rsid w:val="00C224FD"/>
    <w:rsid w:val="00C2535A"/>
    <w:rsid w:val="00C32D35"/>
    <w:rsid w:val="00C3615D"/>
    <w:rsid w:val="00C60363"/>
    <w:rsid w:val="00C71351"/>
    <w:rsid w:val="00C86153"/>
    <w:rsid w:val="00C86713"/>
    <w:rsid w:val="00C875E8"/>
    <w:rsid w:val="00C92035"/>
    <w:rsid w:val="00C97969"/>
    <w:rsid w:val="00CB0CC6"/>
    <w:rsid w:val="00CB4076"/>
    <w:rsid w:val="00CC26C6"/>
    <w:rsid w:val="00CC2A72"/>
    <w:rsid w:val="00CC3696"/>
    <w:rsid w:val="00CC3FB5"/>
    <w:rsid w:val="00CC54DF"/>
    <w:rsid w:val="00CD2067"/>
    <w:rsid w:val="00CD47BC"/>
    <w:rsid w:val="00CF29BD"/>
    <w:rsid w:val="00D04071"/>
    <w:rsid w:val="00D05585"/>
    <w:rsid w:val="00D17388"/>
    <w:rsid w:val="00D23A6D"/>
    <w:rsid w:val="00D34984"/>
    <w:rsid w:val="00D36C35"/>
    <w:rsid w:val="00D4630D"/>
    <w:rsid w:val="00D522F0"/>
    <w:rsid w:val="00D553D7"/>
    <w:rsid w:val="00D57B38"/>
    <w:rsid w:val="00D658D4"/>
    <w:rsid w:val="00D70C74"/>
    <w:rsid w:val="00D72A88"/>
    <w:rsid w:val="00D75313"/>
    <w:rsid w:val="00D80ED2"/>
    <w:rsid w:val="00D831D3"/>
    <w:rsid w:val="00DA1151"/>
    <w:rsid w:val="00DB112D"/>
    <w:rsid w:val="00DC23FD"/>
    <w:rsid w:val="00DC4F7F"/>
    <w:rsid w:val="00DD0414"/>
    <w:rsid w:val="00DE003C"/>
    <w:rsid w:val="00DE66F0"/>
    <w:rsid w:val="00DF2147"/>
    <w:rsid w:val="00DF333F"/>
    <w:rsid w:val="00E054BB"/>
    <w:rsid w:val="00E120AA"/>
    <w:rsid w:val="00E1218F"/>
    <w:rsid w:val="00E15B78"/>
    <w:rsid w:val="00E16ACD"/>
    <w:rsid w:val="00E17134"/>
    <w:rsid w:val="00E219DE"/>
    <w:rsid w:val="00E25EBC"/>
    <w:rsid w:val="00E26371"/>
    <w:rsid w:val="00E30038"/>
    <w:rsid w:val="00E32FA1"/>
    <w:rsid w:val="00E54F7E"/>
    <w:rsid w:val="00E6406B"/>
    <w:rsid w:val="00E66550"/>
    <w:rsid w:val="00E877BF"/>
    <w:rsid w:val="00E96CB6"/>
    <w:rsid w:val="00E96FA1"/>
    <w:rsid w:val="00EA0739"/>
    <w:rsid w:val="00EA1767"/>
    <w:rsid w:val="00EA3C00"/>
    <w:rsid w:val="00EA6CDB"/>
    <w:rsid w:val="00EB0929"/>
    <w:rsid w:val="00EB0FA5"/>
    <w:rsid w:val="00EB3CE9"/>
    <w:rsid w:val="00EC01DD"/>
    <w:rsid w:val="00EC35E3"/>
    <w:rsid w:val="00EC5B80"/>
    <w:rsid w:val="00ED7195"/>
    <w:rsid w:val="00EE79DF"/>
    <w:rsid w:val="00EF4BDB"/>
    <w:rsid w:val="00EF5DD1"/>
    <w:rsid w:val="00F03C5C"/>
    <w:rsid w:val="00F0414F"/>
    <w:rsid w:val="00F1029A"/>
    <w:rsid w:val="00F25027"/>
    <w:rsid w:val="00F2555E"/>
    <w:rsid w:val="00F27AAF"/>
    <w:rsid w:val="00F31BEC"/>
    <w:rsid w:val="00F432DA"/>
    <w:rsid w:val="00F53262"/>
    <w:rsid w:val="00F558E7"/>
    <w:rsid w:val="00F5782B"/>
    <w:rsid w:val="00F6145D"/>
    <w:rsid w:val="00F62799"/>
    <w:rsid w:val="00F62DD9"/>
    <w:rsid w:val="00F72B88"/>
    <w:rsid w:val="00F73131"/>
    <w:rsid w:val="00F73E47"/>
    <w:rsid w:val="00F86037"/>
    <w:rsid w:val="00F92A56"/>
    <w:rsid w:val="00FA3702"/>
    <w:rsid w:val="00FB05C5"/>
    <w:rsid w:val="00FB2C24"/>
    <w:rsid w:val="00FC669D"/>
    <w:rsid w:val="00FD3146"/>
    <w:rsid w:val="00FD4F0B"/>
    <w:rsid w:val="00FD61F9"/>
    <w:rsid w:val="00FE02FC"/>
    <w:rsid w:val="00FE1BAE"/>
    <w:rsid w:val="00FE5D74"/>
    <w:rsid w:val="3ECE28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C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1405E"/>
    <w:rPr>
      <w:rFonts w:ascii="Courier" w:hAnsi="Courier"/>
      <w:sz w:val="24"/>
    </w:rPr>
  </w:style>
  <w:style w:type="character" w:customStyle="1" w:styleId="UnresolvedMention10">
    <w:name w:val="Unresolved Mention1"/>
    <w:basedOn w:val="DefaultParagraphFont"/>
    <w:uiPriority w:val="99"/>
    <w:semiHidden/>
    <w:unhideWhenUsed/>
    <w:rsid w:val="005C0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stpracticesclearinghouse@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stpracticesclearinghouse@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3BCB8B5D254545A2C78EA022BBE50F" ma:contentTypeVersion="6" ma:contentTypeDescription="Create a new document." ma:contentTypeScope="" ma:versionID="7940b04782fa8d0f0542aed08b38d09a">
  <xsd:schema xmlns:xsd="http://www.w3.org/2001/XMLSchema" xmlns:xs="http://www.w3.org/2001/XMLSchema" xmlns:p="http://schemas.microsoft.com/office/2006/metadata/properties" xmlns:ns3="4c5f7e6b-9a5e-4b4e-b481-281cab15ee8f" targetNamespace="http://schemas.microsoft.com/office/2006/metadata/properties" ma:root="true" ma:fieldsID="23a8da33a1c2e5964dac1a71aa5203fc" ns3:_="">
    <xsd:import namespace="4c5f7e6b-9a5e-4b4e-b481-281cab15ee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f7e6b-9a5e-4b4e-b481-281cab15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C102E-E4A0-4BA6-8270-698DF3E24890}">
  <ds:schemaRefs>
    <ds:schemaRef ds:uri="http://schemas.openxmlformats.org/officeDocument/2006/bibliography"/>
  </ds:schemaRefs>
</ds:datastoreItem>
</file>

<file path=customXml/itemProps2.xml><?xml version="1.0" encoding="utf-8"?>
<ds:datastoreItem xmlns:ds="http://schemas.openxmlformats.org/officeDocument/2006/customXml" ds:itemID="{B497D553-D54F-4582-A010-546C0A05B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f7e6b-9a5e-4b4e-b481-281cab15e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A5D72-E7C0-459D-BCCE-5D608B9F50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91C829-EBE4-4233-9DCE-A2BC155B3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2021-03-12T16:22:00Z</dcterms:created>
  <dcterms:modified xsi:type="dcterms:W3CDTF">2021-03-12T16:23:00Z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0x010100E13BCB8B5D254545A2C78EA022BBE50F</vt:lpwstr>
  </property>
</Properties>
</file>