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AFA" w:rsidP="00EE6AFA" w:rsidRDefault="00AA1E33" w14:paraId="3FCF5054" w14:textId="77777777">
      <w:pPr>
        <w:pStyle w:val="Header"/>
        <w:jc w:val="center"/>
        <w:rPr>
          <w:bCs w:val="0"/>
          <w:sz w:val="24"/>
          <w:szCs w:val="24"/>
        </w:rPr>
      </w:pPr>
      <w:r w:rsidRPr="00AF030E">
        <w:rPr>
          <w:bCs w:val="0"/>
          <w:sz w:val="24"/>
          <w:szCs w:val="24"/>
        </w:rPr>
        <w:t>SUPPORTING STATEMENT FOR PAPERWORK REDUCTION ACT 1995 SUBMISSIONS</w:t>
      </w:r>
      <w:r w:rsidRPr="00AF030E" w:rsidR="00C606B6">
        <w:rPr>
          <w:bCs w:val="0"/>
        </w:rPr>
        <w:t xml:space="preserve"> </w:t>
      </w:r>
      <w:r w:rsidR="00AD6CB1">
        <w:rPr>
          <w:bCs w:val="0"/>
          <w:sz w:val="24"/>
          <w:szCs w:val="24"/>
        </w:rPr>
        <w:t>FOR</w:t>
      </w:r>
      <w:r w:rsidRPr="00AF030E" w:rsidR="00AD6CB1">
        <w:rPr>
          <w:bCs w:val="0"/>
          <w:sz w:val="24"/>
          <w:szCs w:val="24"/>
        </w:rPr>
        <w:t xml:space="preserve"> </w:t>
      </w:r>
      <w:r w:rsidRPr="00AF030E" w:rsidR="00AF030E">
        <w:rPr>
          <w:bCs w:val="0"/>
          <w:sz w:val="24"/>
          <w:szCs w:val="24"/>
        </w:rPr>
        <w:t xml:space="preserve">COBRA CONTINUATION COVERAGE: </w:t>
      </w:r>
    </w:p>
    <w:p w:rsidRPr="00AF030E" w:rsidR="00C606B6" w:rsidP="00EE6AFA" w:rsidRDefault="00AF030E" w14:paraId="0F496F6D" w14:textId="77777777">
      <w:pPr>
        <w:pStyle w:val="Header"/>
        <w:jc w:val="center"/>
        <w:rPr>
          <w:bCs w:val="0"/>
          <w:sz w:val="24"/>
          <w:szCs w:val="24"/>
        </w:rPr>
      </w:pPr>
      <w:r w:rsidRPr="00AF030E">
        <w:rPr>
          <w:bCs w:val="0"/>
          <w:sz w:val="24"/>
          <w:szCs w:val="24"/>
        </w:rPr>
        <w:t xml:space="preserve">PREMIUM ASSISTANCE </w:t>
      </w:r>
    </w:p>
    <w:p w:rsidR="00AA1E33" w:rsidRDefault="00AA1E33" w14:paraId="0F4451F6" w14:textId="77777777">
      <w:pPr>
        <w:pStyle w:val="Heading1"/>
        <w:keepNext w:val="0"/>
        <w:widowControl/>
        <w:rPr>
          <w:b w:val="0"/>
          <w:bCs w:val="0"/>
        </w:rPr>
      </w:pPr>
    </w:p>
    <w:p w:rsidR="00C606B6" w:rsidRDefault="00C606B6" w14:paraId="4B090808" w14:textId="77777777">
      <w:pPr>
        <w:widowControl/>
        <w:rPr>
          <w:b w:val="0"/>
          <w:bCs w:val="0"/>
          <w:sz w:val="24"/>
        </w:rPr>
      </w:pPr>
      <w:r>
        <w:rPr>
          <w:b w:val="0"/>
          <w:bCs w:val="0"/>
          <w:sz w:val="24"/>
        </w:rPr>
        <w:t>This ICR seeks</w:t>
      </w:r>
      <w:r w:rsidR="000C64BD">
        <w:rPr>
          <w:b w:val="0"/>
          <w:bCs w:val="0"/>
          <w:sz w:val="24"/>
        </w:rPr>
        <w:t xml:space="preserve"> emergency</w:t>
      </w:r>
      <w:r>
        <w:rPr>
          <w:b w:val="0"/>
          <w:bCs w:val="0"/>
          <w:sz w:val="24"/>
        </w:rPr>
        <w:t xml:space="preserve"> approval for a new control number.</w:t>
      </w:r>
    </w:p>
    <w:p w:rsidR="00C606B6" w:rsidRDefault="00C606B6" w14:paraId="3486078E" w14:textId="77777777">
      <w:pPr>
        <w:widowControl/>
        <w:rPr>
          <w:b w:val="0"/>
          <w:bCs w:val="0"/>
          <w:sz w:val="24"/>
        </w:rPr>
      </w:pPr>
    </w:p>
    <w:p w:rsidRPr="0045454F" w:rsidR="00AA1E33" w:rsidRDefault="0045454F" w14:paraId="14DC949A" w14:textId="77777777">
      <w:pPr>
        <w:widowControl/>
        <w:outlineLvl w:val="0"/>
        <w:rPr>
          <w:bCs w:val="0"/>
          <w:sz w:val="24"/>
        </w:rPr>
      </w:pPr>
      <w:r w:rsidRPr="0045454F">
        <w:rPr>
          <w:bCs w:val="0"/>
          <w:sz w:val="24"/>
        </w:rPr>
        <w:t>A.  JUSTIFICATION</w:t>
      </w:r>
    </w:p>
    <w:p w:rsidR="00AA1E33" w:rsidRDefault="00AA1E33" w14:paraId="6D3D8C65" w14:textId="77777777">
      <w:pPr>
        <w:widowControl/>
        <w:outlineLvl w:val="0"/>
        <w:rPr>
          <w:b w:val="0"/>
          <w:bCs w:val="0"/>
          <w:sz w:val="24"/>
        </w:rPr>
      </w:pPr>
    </w:p>
    <w:p w:rsidRPr="00C20D2D" w:rsidR="00AA1E33" w:rsidP="0041053F" w:rsidRDefault="00AA1E33" w14:paraId="6D3FDE39" w14:textId="77777777">
      <w:pPr>
        <w:pStyle w:val="Quick1"/>
        <w:widowControl/>
        <w:numPr>
          <w:ilvl w:val="0"/>
          <w:numId w:val="0"/>
        </w:numPr>
        <w:tabs>
          <w:tab w:val="left" w:pos="-1440"/>
        </w:tabs>
        <w:ind w:left="720" w:hanging="720"/>
        <w:rPr>
          <w:bCs w:val="0"/>
          <w:iCs/>
          <w:sz w:val="24"/>
          <w:szCs w:val="24"/>
        </w:rPr>
      </w:pPr>
      <w:r w:rsidRPr="00C20D2D">
        <w:rPr>
          <w:bCs w:val="0"/>
          <w:sz w:val="24"/>
          <w:szCs w:val="24"/>
        </w:rPr>
        <w:t>1</w:t>
      </w:r>
      <w:r w:rsidRPr="00C20D2D">
        <w:rPr>
          <w:bCs w:val="0"/>
          <w:iCs/>
          <w:sz w:val="24"/>
          <w:szCs w:val="24"/>
        </w:rPr>
        <w:t xml:space="preserve">.  </w:t>
      </w:r>
      <w:r w:rsidR="0041053F">
        <w:rPr>
          <w:bCs w:val="0"/>
          <w:iCs/>
          <w:sz w:val="24"/>
          <w:szCs w:val="24"/>
        </w:rPr>
        <w:tab/>
      </w:r>
      <w:r w:rsidRPr="00C20D2D">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1E33" w:rsidRDefault="00AA1E33" w14:paraId="463D2153" w14:textId="77777777">
      <w:pPr>
        <w:pStyle w:val="Quick1"/>
        <w:widowControl/>
        <w:numPr>
          <w:ilvl w:val="0"/>
          <w:numId w:val="0"/>
        </w:numPr>
        <w:tabs>
          <w:tab w:val="left" w:pos="-1440"/>
        </w:tabs>
        <w:rPr>
          <w:b w:val="0"/>
          <w:bCs w:val="0"/>
          <w:i/>
          <w:iCs/>
        </w:rPr>
      </w:pPr>
    </w:p>
    <w:p w:rsidR="001A5731" w:rsidP="0042020C" w:rsidRDefault="00282B87" w14:paraId="3234474B" w14:textId="77777777">
      <w:pPr>
        <w:pStyle w:val="Quick1"/>
        <w:widowControl/>
        <w:numPr>
          <w:ilvl w:val="0"/>
          <w:numId w:val="0"/>
        </w:numPr>
        <w:tabs>
          <w:tab w:val="left" w:pos="-1440"/>
        </w:tabs>
        <w:rPr>
          <w:b w:val="0"/>
          <w:bCs w:val="0"/>
          <w:iCs/>
          <w:sz w:val="24"/>
        </w:rPr>
      </w:pPr>
      <w:r>
        <w:rPr>
          <w:b w:val="0"/>
          <w:bCs w:val="0"/>
          <w:iCs/>
          <w:sz w:val="24"/>
        </w:rPr>
        <w:tab/>
      </w:r>
      <w:r w:rsidR="001A5731">
        <w:rPr>
          <w:b w:val="0"/>
          <w:bCs w:val="0"/>
          <w:sz w:val="24"/>
        </w:rPr>
        <w:t xml:space="preserve">The Consolidated Omnibus Budget Reconciliation Act of 1985 (COBRA) provides that under certain circumstances participants and beneficiaries of group health plans that satisfy the definition of “qualified beneficiaries” under COBRA may elect to continue group health coverage temporarily following events known as “qualifying events” that would otherwise result in loss of coverage.  COBRA provides that the Secretary of Labor (the Secretary) has the authority under section 608 of the Employee Retirement Income Security Act of 1974 (ERISA) to carry out the provisions of Part 6 of </w:t>
      </w:r>
      <w:r w:rsidR="006E3884">
        <w:rPr>
          <w:b w:val="0"/>
          <w:bCs w:val="0"/>
          <w:sz w:val="24"/>
        </w:rPr>
        <w:t>T</w:t>
      </w:r>
      <w:r w:rsidR="001A5731">
        <w:rPr>
          <w:b w:val="0"/>
          <w:bCs w:val="0"/>
          <w:sz w:val="24"/>
        </w:rPr>
        <w:t xml:space="preserve">itle I of ERISA.  The Conference Report that accompanied COBRA authorized the Secretary to issue regulations implementing the notice and disclosure requirements of COBRA.  </w:t>
      </w:r>
    </w:p>
    <w:p w:rsidRPr="004C5A25" w:rsidR="001A5731" w:rsidP="0042020C" w:rsidRDefault="001A5731" w14:paraId="1A9FCF6E" w14:textId="77777777">
      <w:pPr>
        <w:pStyle w:val="Quick1"/>
        <w:widowControl/>
        <w:numPr>
          <w:ilvl w:val="0"/>
          <w:numId w:val="0"/>
        </w:numPr>
        <w:tabs>
          <w:tab w:val="left" w:pos="-1440"/>
        </w:tabs>
        <w:rPr>
          <w:b w:val="0"/>
          <w:bCs w:val="0"/>
          <w:iCs/>
          <w:sz w:val="24"/>
          <w:szCs w:val="24"/>
        </w:rPr>
      </w:pPr>
    </w:p>
    <w:p w:rsidR="0042020C" w:rsidP="0042020C" w:rsidRDefault="001A5731" w14:paraId="7FE577DD" w14:textId="77777777">
      <w:pPr>
        <w:pStyle w:val="Quick1"/>
        <w:widowControl/>
        <w:numPr>
          <w:ilvl w:val="0"/>
          <w:numId w:val="0"/>
        </w:numPr>
        <w:tabs>
          <w:tab w:val="left" w:pos="-1440"/>
        </w:tabs>
        <w:rPr>
          <w:b w:val="0"/>
          <w:bCs w:val="0"/>
          <w:iCs/>
          <w:sz w:val="24"/>
        </w:rPr>
      </w:pPr>
      <w:r w:rsidRPr="004C5A25">
        <w:rPr>
          <w:b w:val="0"/>
          <w:bCs w:val="0"/>
          <w:iCs/>
          <w:sz w:val="24"/>
          <w:szCs w:val="24"/>
        </w:rPr>
        <w:tab/>
      </w:r>
      <w:r w:rsidRPr="00010789" w:rsidR="004C5A25">
        <w:rPr>
          <w:b w:val="0"/>
          <w:sz w:val="24"/>
          <w:szCs w:val="24"/>
        </w:rPr>
        <w:t>President Biden signed the American Rescue Plan Act (</w:t>
      </w:r>
      <w:r w:rsidR="001539D4">
        <w:rPr>
          <w:b w:val="0"/>
          <w:sz w:val="24"/>
          <w:szCs w:val="24"/>
        </w:rPr>
        <w:t>ARP</w:t>
      </w:r>
      <w:r w:rsidRPr="00010789" w:rsidR="004C5A25">
        <w:rPr>
          <w:b w:val="0"/>
          <w:sz w:val="24"/>
          <w:szCs w:val="24"/>
        </w:rPr>
        <w:t>) on March 1</w:t>
      </w:r>
      <w:r w:rsidR="00831012">
        <w:rPr>
          <w:b w:val="0"/>
          <w:sz w:val="24"/>
          <w:szCs w:val="24"/>
        </w:rPr>
        <w:t>1</w:t>
      </w:r>
      <w:r w:rsidRPr="00010789" w:rsidR="004C5A25">
        <w:rPr>
          <w:b w:val="0"/>
          <w:sz w:val="24"/>
          <w:szCs w:val="24"/>
        </w:rPr>
        <w:t>, 2021</w:t>
      </w:r>
      <w:r w:rsidRPr="00225EAE" w:rsidR="004C5A25">
        <w:rPr>
          <w:b w:val="0"/>
          <w:sz w:val="24"/>
          <w:szCs w:val="24"/>
        </w:rPr>
        <w:t>.</w:t>
      </w:r>
      <w:r w:rsidRPr="00225EAE" w:rsidR="00225EAE">
        <w:rPr>
          <w:b w:val="0"/>
          <w:sz w:val="24"/>
          <w:szCs w:val="24"/>
        </w:rPr>
        <w:t xml:space="preserve"> </w:t>
      </w:r>
      <w:r w:rsidRPr="00225EAE" w:rsidR="004C5A25">
        <w:rPr>
          <w:b w:val="0"/>
          <w:sz w:val="24"/>
          <w:szCs w:val="24"/>
        </w:rPr>
        <w:t xml:space="preserve"> </w:t>
      </w:r>
      <w:r w:rsidRPr="00010789" w:rsidR="004C5A25">
        <w:rPr>
          <w:b w:val="0"/>
          <w:sz w:val="24"/>
          <w:szCs w:val="24"/>
        </w:rPr>
        <w:t>Section</w:t>
      </w:r>
      <w:r w:rsidR="00413465">
        <w:rPr>
          <w:b w:val="0"/>
          <w:sz w:val="24"/>
          <w:szCs w:val="24"/>
        </w:rPr>
        <w:t xml:space="preserve"> 9501 of </w:t>
      </w:r>
      <w:r w:rsidR="001539D4">
        <w:rPr>
          <w:b w:val="0"/>
          <w:sz w:val="24"/>
          <w:szCs w:val="24"/>
        </w:rPr>
        <w:t>ARP</w:t>
      </w:r>
      <w:r w:rsidRPr="00010789" w:rsidR="004C5A25">
        <w:rPr>
          <w:b w:val="0"/>
          <w:sz w:val="24"/>
          <w:szCs w:val="24"/>
        </w:rPr>
        <w:t xml:space="preserve"> </w:t>
      </w:r>
      <w:r w:rsidRPr="0042020C" w:rsidR="0042020C">
        <w:rPr>
          <w:b w:val="0"/>
          <w:bCs w:val="0"/>
          <w:iCs/>
          <w:sz w:val="24"/>
        </w:rPr>
        <w:t xml:space="preserve">provides for premium assistance and expanded eligibility for health benefits under the Consolidated Omnibus Budget Reconciliation Act of 1986, commonly called COBRA.  This premium assistance is not paid directly to the covered employee or the qualified beneficiary, but instead is in the form of a tax credit for the health plan, the employer, or the insurer. </w:t>
      </w:r>
      <w:r w:rsidR="00BE47DF">
        <w:rPr>
          <w:b w:val="0"/>
          <w:bCs w:val="0"/>
          <w:iCs/>
          <w:sz w:val="24"/>
        </w:rPr>
        <w:t xml:space="preserve"> </w:t>
      </w:r>
      <w:r w:rsidRPr="0042020C" w:rsidR="0042020C">
        <w:rPr>
          <w:b w:val="0"/>
          <w:bCs w:val="0"/>
          <w:iCs/>
          <w:sz w:val="24"/>
        </w:rPr>
        <w:t xml:space="preserve">An individual must be an "assistance eligible individual" to be eligible for the premium assistance.  </w:t>
      </w:r>
      <w:r w:rsidRPr="00537E07" w:rsidR="00B70B50">
        <w:rPr>
          <w:rFonts w:eastAsia="Georgia"/>
          <w:b w:val="0"/>
          <w:sz w:val="24"/>
          <w:szCs w:val="24"/>
        </w:rPr>
        <w:t xml:space="preserve">If eligible, these individuals receive a subsidy of their COBRA premiums equal to the full amount of the </w:t>
      </w:r>
      <w:r w:rsidR="00B70B50">
        <w:rPr>
          <w:rFonts w:eastAsia="Georgia"/>
          <w:b w:val="0"/>
          <w:sz w:val="24"/>
          <w:szCs w:val="24"/>
        </w:rPr>
        <w:t>premium</w:t>
      </w:r>
      <w:r w:rsidRPr="00537E07" w:rsidR="00B70B50">
        <w:rPr>
          <w:rFonts w:eastAsia="Georgia"/>
          <w:b w:val="0"/>
          <w:sz w:val="24"/>
          <w:szCs w:val="24"/>
        </w:rPr>
        <w:t>.  The subsidy is paid through a tax credit to the employer.  Eligible individuals can start getting the premium assistance as of the first day of coverage beginning on or after April 1, 2021</w:t>
      </w:r>
      <w:r w:rsidR="003E3430">
        <w:rPr>
          <w:rFonts w:eastAsia="Georgia"/>
          <w:b w:val="0"/>
          <w:sz w:val="24"/>
          <w:szCs w:val="24"/>
        </w:rPr>
        <w:t>.</w:t>
      </w:r>
      <w:r w:rsidR="00B70B50">
        <w:rPr>
          <w:rFonts w:eastAsia="Georgia"/>
          <w:b w:val="0"/>
          <w:sz w:val="24"/>
          <w:szCs w:val="24"/>
        </w:rPr>
        <w:t xml:space="preserve"> </w:t>
      </w:r>
      <w:r w:rsidR="003752F4">
        <w:rPr>
          <w:rFonts w:eastAsia="Georgia"/>
          <w:b w:val="0"/>
          <w:sz w:val="24"/>
          <w:szCs w:val="24"/>
        </w:rPr>
        <w:t xml:space="preserve"> </w:t>
      </w:r>
      <w:r w:rsidR="004C5A25">
        <w:rPr>
          <w:rFonts w:eastAsia="Georgia"/>
          <w:b w:val="0"/>
          <w:sz w:val="24"/>
          <w:szCs w:val="24"/>
        </w:rPr>
        <w:t>The premium assistance ends on September 30, 2021.</w:t>
      </w:r>
    </w:p>
    <w:p w:rsidRPr="0042020C" w:rsidR="0042020C" w:rsidP="0042020C" w:rsidRDefault="0042020C" w14:paraId="21344F60" w14:textId="77777777">
      <w:pPr>
        <w:pStyle w:val="Quick1"/>
        <w:widowControl/>
        <w:numPr>
          <w:ilvl w:val="0"/>
          <w:numId w:val="0"/>
        </w:numPr>
        <w:tabs>
          <w:tab w:val="left" w:pos="-1440"/>
        </w:tabs>
        <w:rPr>
          <w:b w:val="0"/>
          <w:bCs w:val="0"/>
          <w:iCs/>
          <w:sz w:val="24"/>
        </w:rPr>
      </w:pPr>
    </w:p>
    <w:p w:rsidRPr="0042020C" w:rsidR="0042020C" w:rsidP="0042020C" w:rsidRDefault="0042020C" w14:paraId="6ED5D38A" w14:textId="77777777">
      <w:pPr>
        <w:pStyle w:val="Quick1"/>
        <w:widowControl/>
        <w:numPr>
          <w:ilvl w:val="0"/>
          <w:numId w:val="0"/>
        </w:numPr>
        <w:tabs>
          <w:tab w:val="left" w:pos="-1440"/>
        </w:tabs>
        <w:ind w:left="360"/>
        <w:rPr>
          <w:b w:val="0"/>
          <w:bCs w:val="0"/>
          <w:iCs/>
          <w:sz w:val="24"/>
        </w:rPr>
      </w:pPr>
      <w:r w:rsidRPr="0042020C">
        <w:rPr>
          <w:b w:val="0"/>
          <w:bCs w:val="0"/>
          <w:iCs/>
          <w:sz w:val="24"/>
        </w:rPr>
        <w:t>An “assistance eligible individual” is a “qualified beneficiary</w:t>
      </w:r>
      <w:r w:rsidRPr="004914C3" w:rsidR="004914C3">
        <w:rPr>
          <w:rStyle w:val="FootnoteReference"/>
          <w:b w:val="0"/>
          <w:bCs w:val="0"/>
          <w:iCs/>
          <w:sz w:val="24"/>
          <w:vertAlign w:val="superscript"/>
        </w:rPr>
        <w:footnoteReference w:id="2"/>
      </w:r>
      <w:r w:rsidRPr="0042020C">
        <w:rPr>
          <w:b w:val="0"/>
          <w:bCs w:val="0"/>
          <w:iCs/>
          <w:sz w:val="24"/>
        </w:rPr>
        <w:t xml:space="preserve">” who: </w:t>
      </w:r>
    </w:p>
    <w:p w:rsidR="0042020C" w:rsidP="0042020C" w:rsidRDefault="0042020C" w14:paraId="1C2141C8" w14:textId="77777777">
      <w:pPr>
        <w:pStyle w:val="Quick1"/>
        <w:widowControl/>
        <w:numPr>
          <w:ilvl w:val="0"/>
          <w:numId w:val="0"/>
        </w:numPr>
        <w:tabs>
          <w:tab w:val="left" w:pos="-1440"/>
        </w:tabs>
        <w:ind w:left="360"/>
        <w:rPr>
          <w:b w:val="0"/>
          <w:bCs w:val="0"/>
          <w:iCs/>
          <w:sz w:val="24"/>
        </w:rPr>
      </w:pPr>
    </w:p>
    <w:p w:rsidR="0042020C" w:rsidP="004914C3" w:rsidRDefault="0042020C" w14:paraId="42E557D1" w14:textId="77777777">
      <w:pPr>
        <w:pStyle w:val="Quick1"/>
        <w:widowControl/>
        <w:numPr>
          <w:ilvl w:val="0"/>
          <w:numId w:val="17"/>
        </w:numPr>
        <w:tabs>
          <w:tab w:val="left" w:pos="-1440"/>
        </w:tabs>
        <w:rPr>
          <w:b w:val="0"/>
          <w:bCs w:val="0"/>
          <w:iCs/>
          <w:sz w:val="24"/>
        </w:rPr>
      </w:pPr>
      <w:r w:rsidRPr="0042020C">
        <w:rPr>
          <w:b w:val="0"/>
          <w:bCs w:val="0"/>
          <w:iCs/>
          <w:sz w:val="24"/>
        </w:rPr>
        <w:t xml:space="preserve">Is eligible for COBRA continuation coverage at any time during the period beginning </w:t>
      </w:r>
      <w:r w:rsidRPr="00010789" w:rsidR="002D610B">
        <w:rPr>
          <w:b w:val="0"/>
          <w:bCs w:val="0"/>
          <w:iCs/>
          <w:sz w:val="24"/>
        </w:rPr>
        <w:t>April</w:t>
      </w:r>
      <w:r w:rsidRPr="00010789" w:rsidR="001A38BA">
        <w:rPr>
          <w:b w:val="0"/>
          <w:bCs w:val="0"/>
          <w:iCs/>
          <w:sz w:val="24"/>
        </w:rPr>
        <w:t xml:space="preserve"> </w:t>
      </w:r>
      <w:r w:rsidRPr="00010789">
        <w:rPr>
          <w:b w:val="0"/>
          <w:bCs w:val="0"/>
          <w:iCs/>
          <w:sz w:val="24"/>
        </w:rPr>
        <w:t>1, 20</w:t>
      </w:r>
      <w:r w:rsidRPr="00010789" w:rsidR="002D610B">
        <w:rPr>
          <w:b w:val="0"/>
          <w:bCs w:val="0"/>
          <w:iCs/>
          <w:sz w:val="24"/>
        </w:rPr>
        <w:t>21</w:t>
      </w:r>
      <w:r w:rsidRPr="0042020C">
        <w:rPr>
          <w:b w:val="0"/>
          <w:bCs w:val="0"/>
          <w:iCs/>
          <w:sz w:val="24"/>
        </w:rPr>
        <w:t xml:space="preserve"> and ending </w:t>
      </w:r>
      <w:r w:rsidR="002D610B">
        <w:rPr>
          <w:b w:val="0"/>
          <w:bCs w:val="0"/>
          <w:iCs/>
          <w:sz w:val="24"/>
        </w:rPr>
        <w:t>Septembe</w:t>
      </w:r>
      <w:r w:rsidRPr="0042020C">
        <w:rPr>
          <w:b w:val="0"/>
          <w:bCs w:val="0"/>
          <w:iCs/>
          <w:sz w:val="24"/>
        </w:rPr>
        <w:t>r 3</w:t>
      </w:r>
      <w:r w:rsidR="002D610B">
        <w:rPr>
          <w:b w:val="0"/>
          <w:bCs w:val="0"/>
          <w:iCs/>
          <w:sz w:val="24"/>
        </w:rPr>
        <w:t>0</w:t>
      </w:r>
      <w:r w:rsidRPr="0042020C">
        <w:rPr>
          <w:b w:val="0"/>
          <w:bCs w:val="0"/>
          <w:iCs/>
          <w:sz w:val="24"/>
        </w:rPr>
        <w:t>, 20</w:t>
      </w:r>
      <w:r w:rsidR="002D610B">
        <w:rPr>
          <w:b w:val="0"/>
          <w:bCs w:val="0"/>
          <w:iCs/>
          <w:sz w:val="24"/>
        </w:rPr>
        <w:t>21</w:t>
      </w:r>
      <w:r w:rsidRPr="0042020C">
        <w:rPr>
          <w:b w:val="0"/>
          <w:bCs w:val="0"/>
          <w:iCs/>
          <w:sz w:val="24"/>
        </w:rPr>
        <w:t>;</w:t>
      </w:r>
    </w:p>
    <w:p w:rsidR="00BE737D" w:rsidP="004914C3" w:rsidRDefault="0042020C" w14:paraId="7366D5AC" w14:textId="77777777">
      <w:pPr>
        <w:pStyle w:val="Quick1"/>
        <w:widowControl/>
        <w:numPr>
          <w:ilvl w:val="0"/>
          <w:numId w:val="18"/>
        </w:numPr>
        <w:tabs>
          <w:tab w:val="left" w:pos="-1440"/>
        </w:tabs>
        <w:rPr>
          <w:b w:val="0"/>
          <w:bCs w:val="0"/>
          <w:iCs/>
          <w:sz w:val="24"/>
        </w:rPr>
      </w:pPr>
      <w:r w:rsidRPr="0042020C">
        <w:rPr>
          <w:b w:val="0"/>
          <w:bCs w:val="0"/>
          <w:iCs/>
          <w:sz w:val="24"/>
        </w:rPr>
        <w:t>Elects COBRA coverage</w:t>
      </w:r>
      <w:r w:rsidR="002A749A">
        <w:rPr>
          <w:b w:val="0"/>
          <w:bCs w:val="0"/>
          <w:iCs/>
          <w:sz w:val="24"/>
        </w:rPr>
        <w:t>;</w:t>
      </w:r>
      <w:r w:rsidRPr="0042020C">
        <w:rPr>
          <w:b w:val="0"/>
          <w:bCs w:val="0"/>
          <w:iCs/>
          <w:sz w:val="24"/>
        </w:rPr>
        <w:t xml:space="preserve"> and</w:t>
      </w:r>
    </w:p>
    <w:p w:rsidRPr="00B70B50" w:rsidR="00640AE0" w:rsidP="3A35C6A7" w:rsidRDefault="0042020C" w14:paraId="4B202524" w14:textId="77777777">
      <w:pPr>
        <w:pStyle w:val="Quick1"/>
        <w:widowControl/>
        <w:numPr>
          <w:ilvl w:val="0"/>
          <w:numId w:val="18"/>
        </w:numPr>
        <w:rPr>
          <w:b w:val="0"/>
          <w:sz w:val="24"/>
          <w:szCs w:val="24"/>
        </w:rPr>
      </w:pPr>
      <w:r w:rsidRPr="3A35C6A7">
        <w:rPr>
          <w:b w:val="0"/>
          <w:sz w:val="24"/>
          <w:szCs w:val="24"/>
        </w:rPr>
        <w:lastRenderedPageBreak/>
        <w:t xml:space="preserve">Has a qualifying event for COBRA coverage that is the employee’s involuntary termination </w:t>
      </w:r>
      <w:r w:rsidR="004B67CA">
        <w:rPr>
          <w:b w:val="0"/>
          <w:bCs w:val="0"/>
          <w:sz w:val="24"/>
          <w:szCs w:val="24"/>
        </w:rPr>
        <w:t xml:space="preserve">or reduction in hours </w:t>
      </w:r>
      <w:r w:rsidRPr="3A35C6A7">
        <w:rPr>
          <w:b w:val="0"/>
          <w:sz w:val="24"/>
          <w:szCs w:val="24"/>
        </w:rPr>
        <w:t xml:space="preserve">during the </w:t>
      </w:r>
      <w:r w:rsidRPr="00537E07" w:rsidR="00B70B50">
        <w:rPr>
          <w:rFonts w:eastAsia="Georgia"/>
          <w:b w:val="0"/>
          <w:sz w:val="24"/>
          <w:szCs w:val="24"/>
        </w:rPr>
        <w:t>extension of election period, and ending September 30, 2021.</w:t>
      </w:r>
    </w:p>
    <w:p w:rsidR="00C449CD" w:rsidP="00640AE0" w:rsidRDefault="00282B87" w14:paraId="2B3DA115" w14:textId="77777777">
      <w:pPr>
        <w:pStyle w:val="Quick1"/>
        <w:widowControl/>
        <w:numPr>
          <w:ilvl w:val="0"/>
          <w:numId w:val="0"/>
        </w:numPr>
        <w:tabs>
          <w:tab w:val="left" w:pos="-1440"/>
        </w:tabs>
        <w:rPr>
          <w:b w:val="0"/>
          <w:bCs w:val="0"/>
          <w:iCs/>
          <w:sz w:val="24"/>
        </w:rPr>
      </w:pPr>
      <w:r>
        <w:rPr>
          <w:b w:val="0"/>
          <w:bCs w:val="0"/>
          <w:iCs/>
          <w:sz w:val="24"/>
        </w:rPr>
        <w:tab/>
      </w:r>
    </w:p>
    <w:p w:rsidR="00C449CD" w:rsidP="00537E07" w:rsidRDefault="00C449CD" w14:paraId="765975A5" w14:textId="77777777">
      <w:pPr>
        <w:pStyle w:val="Quick1"/>
        <w:widowControl/>
        <w:numPr>
          <w:ilvl w:val="0"/>
          <w:numId w:val="0"/>
        </w:numPr>
        <w:tabs>
          <w:tab w:val="left" w:pos="-1440"/>
        </w:tabs>
        <w:ind w:left="720"/>
        <w:rPr>
          <w:b w:val="0"/>
          <w:bCs w:val="0"/>
          <w:sz w:val="24"/>
        </w:rPr>
      </w:pPr>
      <w:r w:rsidRPr="00537E07">
        <w:rPr>
          <w:bCs w:val="0"/>
          <w:sz w:val="24"/>
        </w:rPr>
        <w:t>Notice Requirements</w:t>
      </w:r>
    </w:p>
    <w:p w:rsidR="001773C1" w:rsidP="00537E07" w:rsidRDefault="00C449CD" w14:paraId="61034508" w14:textId="77777777">
      <w:pPr>
        <w:pStyle w:val="Quick1"/>
        <w:widowControl/>
        <w:numPr>
          <w:ilvl w:val="0"/>
          <w:numId w:val="0"/>
        </w:numPr>
        <w:tabs>
          <w:tab w:val="left" w:pos="-1440"/>
        </w:tabs>
        <w:ind w:left="720"/>
        <w:rPr>
          <w:b w:val="0"/>
          <w:bCs w:val="0"/>
          <w:sz w:val="24"/>
        </w:rPr>
      </w:pPr>
      <w:r>
        <w:rPr>
          <w:b w:val="0"/>
          <w:bCs w:val="0"/>
          <w:sz w:val="24"/>
        </w:rPr>
        <w:tab/>
      </w:r>
    </w:p>
    <w:p w:rsidR="00677C8D" w:rsidP="00537E07" w:rsidRDefault="001773C1" w14:paraId="557C3B1E" w14:textId="77777777">
      <w:pPr>
        <w:pStyle w:val="Quick1"/>
        <w:widowControl/>
        <w:numPr>
          <w:ilvl w:val="0"/>
          <w:numId w:val="0"/>
        </w:numPr>
        <w:tabs>
          <w:tab w:val="left" w:pos="-1440"/>
        </w:tabs>
        <w:ind w:firstLine="720"/>
        <w:rPr>
          <w:sz w:val="24"/>
          <w:szCs w:val="24"/>
        </w:rPr>
      </w:pPr>
      <w:r w:rsidRPr="00537E07">
        <w:rPr>
          <w:b w:val="0"/>
          <w:sz w:val="24"/>
          <w:szCs w:val="24"/>
        </w:rPr>
        <w:t>Plans and issuers must ensure that COBRA general notices include information on the availability of</w:t>
      </w:r>
      <w:r w:rsidRPr="00537E07">
        <w:rPr>
          <w:b w:val="0"/>
          <w:spacing w:val="7"/>
          <w:sz w:val="24"/>
          <w:szCs w:val="24"/>
        </w:rPr>
        <w:t xml:space="preserve"> </w:t>
      </w:r>
      <w:r w:rsidRPr="00537E07">
        <w:rPr>
          <w:b w:val="0"/>
          <w:sz w:val="24"/>
          <w:szCs w:val="24"/>
        </w:rPr>
        <w:t>premium reduction with respect to coverage and option to enroll in</w:t>
      </w:r>
      <w:r w:rsidRPr="00537E07">
        <w:rPr>
          <w:b w:val="0"/>
          <w:spacing w:val="32"/>
          <w:sz w:val="24"/>
          <w:szCs w:val="24"/>
        </w:rPr>
        <w:t xml:space="preserve"> </w:t>
      </w:r>
      <w:r w:rsidRPr="00537E07">
        <w:rPr>
          <w:b w:val="0"/>
          <w:sz w:val="24"/>
          <w:szCs w:val="24"/>
        </w:rPr>
        <w:t>different coverage if the employer</w:t>
      </w:r>
      <w:r w:rsidRPr="00537E07">
        <w:rPr>
          <w:b w:val="0"/>
          <w:spacing w:val="1"/>
          <w:sz w:val="24"/>
          <w:szCs w:val="24"/>
        </w:rPr>
        <w:t xml:space="preserve"> </w:t>
      </w:r>
      <w:r w:rsidRPr="00537E07">
        <w:rPr>
          <w:b w:val="0"/>
          <w:sz w:val="24"/>
          <w:szCs w:val="24"/>
        </w:rPr>
        <w:t>per</w:t>
      </w:r>
      <w:r w:rsidRPr="00537E07">
        <w:rPr>
          <w:b w:val="0"/>
          <w:w w:val="95"/>
          <w:sz w:val="24"/>
          <w:szCs w:val="24"/>
        </w:rPr>
        <w:t xml:space="preserve">mits assistance eligible individuals to elect different coverage.  In the </w:t>
      </w:r>
      <w:r w:rsidRPr="00537E07">
        <w:rPr>
          <w:b w:val="0"/>
          <w:sz w:val="24"/>
          <w:szCs w:val="24"/>
        </w:rPr>
        <w:t xml:space="preserve">case of COBRA continuation coverage to which the notice provisions do not apply, the Secretary of Labor will develop an alternate notice, with the consultation of the Tri-Agencies and </w:t>
      </w:r>
      <w:r w:rsidR="009D2D2F">
        <w:rPr>
          <w:b w:val="0"/>
          <w:sz w:val="24"/>
          <w:szCs w:val="24"/>
        </w:rPr>
        <w:t>administrators of group health plans (or other entities) that provide group health plan coverage</w:t>
      </w:r>
      <w:r w:rsidRPr="00537E07">
        <w:rPr>
          <w:b w:val="0"/>
          <w:sz w:val="24"/>
          <w:szCs w:val="24"/>
        </w:rPr>
        <w:t xml:space="preserve">. </w:t>
      </w:r>
    </w:p>
    <w:p w:rsidR="00677C8D" w:rsidP="00537E07" w:rsidRDefault="00677C8D" w14:paraId="19F4C75E" w14:textId="77777777">
      <w:pPr>
        <w:pStyle w:val="Quick1"/>
        <w:widowControl/>
        <w:numPr>
          <w:ilvl w:val="0"/>
          <w:numId w:val="0"/>
        </w:numPr>
        <w:tabs>
          <w:tab w:val="left" w:pos="-1440"/>
        </w:tabs>
        <w:ind w:firstLine="720"/>
        <w:rPr>
          <w:sz w:val="24"/>
          <w:szCs w:val="24"/>
        </w:rPr>
      </w:pPr>
    </w:p>
    <w:p w:rsidR="00677C8D" w:rsidP="00537E07" w:rsidRDefault="001773C1" w14:paraId="5E910FFA" w14:textId="77777777">
      <w:pPr>
        <w:pStyle w:val="Quick1"/>
        <w:widowControl/>
        <w:numPr>
          <w:ilvl w:val="0"/>
          <w:numId w:val="0"/>
        </w:numPr>
        <w:tabs>
          <w:tab w:val="left" w:pos="-1440"/>
        </w:tabs>
        <w:ind w:firstLine="720"/>
        <w:rPr>
          <w:sz w:val="24"/>
          <w:szCs w:val="24"/>
        </w:rPr>
      </w:pPr>
      <w:r w:rsidRPr="00537E07">
        <w:rPr>
          <w:b w:val="0"/>
          <w:sz w:val="24"/>
          <w:szCs w:val="24"/>
        </w:rPr>
        <w:t xml:space="preserve"> The</w:t>
      </w:r>
      <w:r w:rsidR="00677C8D">
        <w:rPr>
          <w:b w:val="0"/>
          <w:sz w:val="24"/>
          <w:szCs w:val="24"/>
        </w:rPr>
        <w:t xml:space="preserve"> General and Alternative</w:t>
      </w:r>
      <w:r w:rsidRPr="00537E07">
        <w:rPr>
          <w:b w:val="0"/>
          <w:sz w:val="24"/>
          <w:szCs w:val="24"/>
        </w:rPr>
        <w:t xml:space="preserve"> notices must include: (1) the forms necessary for establishing eligibility for premium reduction; (2) name, address, and telephone number necessary to contact the plan administrator</w:t>
      </w:r>
      <w:r w:rsidR="00545679">
        <w:rPr>
          <w:b w:val="0"/>
          <w:sz w:val="24"/>
          <w:szCs w:val="24"/>
        </w:rPr>
        <w:t xml:space="preserve"> </w:t>
      </w:r>
      <w:r w:rsidRPr="00537E07">
        <w:rPr>
          <w:b w:val="0"/>
          <w:sz w:val="24"/>
          <w:szCs w:val="24"/>
        </w:rPr>
        <w:t xml:space="preserve">(and any other person maintaining relevant information); (3) a description of the extended election period; (4) a description of the obligations/penalties of the qualified beneficiary; (5) a description (prominently displayed) of the qualified beneficiary’s right to a reduced premium and any conditions on entitlement to the reduced premium; (6) a description of the option of the qualified beneficiary to enroll in different coverage. </w:t>
      </w:r>
    </w:p>
    <w:p w:rsidR="00677C8D" w:rsidP="00537E07" w:rsidRDefault="00677C8D" w14:paraId="7E1ED7D0" w14:textId="77777777">
      <w:pPr>
        <w:pStyle w:val="Quick1"/>
        <w:widowControl/>
        <w:numPr>
          <w:ilvl w:val="0"/>
          <w:numId w:val="0"/>
        </w:numPr>
        <w:tabs>
          <w:tab w:val="left" w:pos="-1440"/>
        </w:tabs>
        <w:ind w:firstLine="720"/>
        <w:rPr>
          <w:sz w:val="24"/>
          <w:szCs w:val="24"/>
        </w:rPr>
      </w:pPr>
    </w:p>
    <w:p w:rsidRPr="00537E07" w:rsidR="001773C1" w:rsidP="00537E07" w:rsidRDefault="00D04B3C" w14:paraId="004A3948" w14:textId="77777777">
      <w:pPr>
        <w:pStyle w:val="Quick1"/>
        <w:widowControl/>
        <w:numPr>
          <w:ilvl w:val="0"/>
          <w:numId w:val="0"/>
        </w:numPr>
        <w:tabs>
          <w:tab w:val="left" w:pos="-1440"/>
        </w:tabs>
        <w:ind w:firstLine="720"/>
        <w:rPr>
          <w:sz w:val="24"/>
          <w:szCs w:val="24"/>
        </w:rPr>
      </w:pPr>
      <w:r>
        <w:rPr>
          <w:b w:val="0"/>
          <w:bCs w:val="0"/>
          <w:sz w:val="24"/>
        </w:rPr>
        <w:t>The “Notice in Connection with Extended Election Periods” must include a description of the extended election period.  The specifics of each notice are addressed below.</w:t>
      </w:r>
      <w:r w:rsidR="00677C8D">
        <w:rPr>
          <w:b w:val="0"/>
          <w:bCs w:val="0"/>
          <w:sz w:val="24"/>
        </w:rPr>
        <w:t xml:space="preserve">  The </w:t>
      </w:r>
      <w:r w:rsidR="00A779AE">
        <w:rPr>
          <w:b w:val="0"/>
          <w:bCs w:val="0"/>
          <w:sz w:val="24"/>
        </w:rPr>
        <w:t>“Notice</w:t>
      </w:r>
      <w:r w:rsidR="00677C8D">
        <w:rPr>
          <w:b w:val="0"/>
          <w:bCs w:val="0"/>
          <w:sz w:val="24"/>
        </w:rPr>
        <w:t xml:space="preserve"> of Expiration of Period of Premium </w:t>
      </w:r>
      <w:r w:rsidR="00A779AE">
        <w:rPr>
          <w:b w:val="0"/>
          <w:bCs w:val="0"/>
          <w:sz w:val="24"/>
        </w:rPr>
        <w:t>Assistance</w:t>
      </w:r>
      <w:r w:rsidR="00677C8D">
        <w:rPr>
          <w:b w:val="0"/>
          <w:bCs w:val="0"/>
          <w:sz w:val="24"/>
        </w:rPr>
        <w:t>”</w:t>
      </w:r>
      <w:r w:rsidR="00A779AE">
        <w:rPr>
          <w:b w:val="0"/>
          <w:bCs w:val="0"/>
          <w:sz w:val="24"/>
        </w:rPr>
        <w:t xml:space="preserve"> must include that the premium assistance for the individual will expire and prominently identify the date and state that the individual may be eligible for coverage without any premium assistance.</w:t>
      </w:r>
      <w:r w:rsidR="00977944">
        <w:rPr>
          <w:b w:val="0"/>
          <w:bCs w:val="0"/>
          <w:sz w:val="24"/>
        </w:rPr>
        <w:t xml:space="preserve"> </w:t>
      </w:r>
      <w:r w:rsidR="00477B3D">
        <w:rPr>
          <w:b w:val="0"/>
          <w:bCs w:val="0"/>
          <w:sz w:val="24"/>
        </w:rPr>
        <w:t xml:space="preserve"> </w:t>
      </w:r>
      <w:r w:rsidR="00977944">
        <w:rPr>
          <w:b w:val="0"/>
          <w:bCs w:val="0"/>
          <w:sz w:val="24"/>
        </w:rPr>
        <w:t xml:space="preserve">It also must contain a statement that </w:t>
      </w:r>
      <w:r w:rsidR="00361141">
        <w:rPr>
          <w:b w:val="0"/>
          <w:bCs w:val="0"/>
          <w:sz w:val="24"/>
        </w:rPr>
        <w:t xml:space="preserve">the individual may be eligible for coverage without any premium assistance through </w:t>
      </w:r>
      <w:r w:rsidR="00977944">
        <w:rPr>
          <w:b w:val="0"/>
          <w:bCs w:val="0"/>
          <w:sz w:val="24"/>
        </w:rPr>
        <w:t xml:space="preserve">COBRA </w:t>
      </w:r>
      <w:r w:rsidR="00361141">
        <w:rPr>
          <w:b w:val="0"/>
          <w:bCs w:val="0"/>
          <w:sz w:val="24"/>
        </w:rPr>
        <w:t xml:space="preserve">continuation </w:t>
      </w:r>
      <w:r w:rsidR="00977944">
        <w:rPr>
          <w:b w:val="0"/>
          <w:bCs w:val="0"/>
          <w:sz w:val="24"/>
        </w:rPr>
        <w:t xml:space="preserve">coverage </w:t>
      </w:r>
      <w:r w:rsidR="00361141">
        <w:rPr>
          <w:b w:val="0"/>
          <w:bCs w:val="0"/>
          <w:sz w:val="24"/>
        </w:rPr>
        <w:t>or coverage under a group health plan.</w:t>
      </w:r>
    </w:p>
    <w:p w:rsidR="001773C1" w:rsidP="00F42ACE" w:rsidRDefault="001773C1" w14:paraId="3A84363B" w14:textId="77777777">
      <w:pPr>
        <w:pStyle w:val="Quick1"/>
        <w:widowControl/>
        <w:numPr>
          <w:ilvl w:val="0"/>
          <w:numId w:val="0"/>
        </w:numPr>
        <w:tabs>
          <w:tab w:val="left" w:pos="-1440"/>
        </w:tabs>
        <w:rPr>
          <w:b w:val="0"/>
          <w:bCs w:val="0"/>
          <w:sz w:val="24"/>
        </w:rPr>
      </w:pPr>
    </w:p>
    <w:p w:rsidR="00C449CD" w:rsidP="00537E07" w:rsidRDefault="00C449CD" w14:paraId="7D213C50" w14:textId="77777777">
      <w:pPr>
        <w:pStyle w:val="Quick1"/>
        <w:widowControl/>
        <w:numPr>
          <w:ilvl w:val="0"/>
          <w:numId w:val="0"/>
        </w:numPr>
        <w:tabs>
          <w:tab w:val="left" w:pos="-1440"/>
        </w:tabs>
        <w:ind w:firstLine="720"/>
        <w:rPr>
          <w:b w:val="0"/>
          <w:bCs w:val="0"/>
          <w:sz w:val="24"/>
        </w:rPr>
      </w:pPr>
      <w:r>
        <w:rPr>
          <w:b w:val="0"/>
          <w:bCs w:val="0"/>
          <w:sz w:val="24"/>
        </w:rPr>
        <w:t>Within 30 days after becoming law, the Secretary of Labor, in consultation with the Secretaries of the Treasury and HHS, must prescribe model notices for the additional COBRA notification discussed above</w:t>
      </w:r>
      <w:r w:rsidR="00A779AE">
        <w:rPr>
          <w:b w:val="0"/>
          <w:bCs w:val="0"/>
          <w:sz w:val="24"/>
        </w:rPr>
        <w:t xml:space="preserve"> except 45 days for the “Notice of Expiration of Period of Premium Assistance</w:t>
      </w:r>
      <w:r w:rsidR="00F42ACE">
        <w:rPr>
          <w:b w:val="0"/>
          <w:bCs w:val="0"/>
          <w:sz w:val="24"/>
        </w:rPr>
        <w:t>.</w:t>
      </w:r>
      <w:r w:rsidR="00A779AE">
        <w:rPr>
          <w:b w:val="0"/>
          <w:bCs w:val="0"/>
          <w:sz w:val="24"/>
        </w:rPr>
        <w:t>”</w:t>
      </w:r>
      <w:r w:rsidRPr="00010789" w:rsidR="00E85FA6">
        <w:rPr>
          <w:rStyle w:val="FootnoteReference"/>
          <w:b w:val="0"/>
          <w:bCs w:val="0"/>
          <w:sz w:val="24"/>
          <w:vertAlign w:val="superscript"/>
        </w:rPr>
        <w:footnoteReference w:id="3"/>
      </w:r>
      <w:r w:rsidRPr="00010789">
        <w:rPr>
          <w:b w:val="0"/>
          <w:sz w:val="24"/>
          <w:vertAlign w:val="superscript"/>
        </w:rPr>
        <w:t xml:space="preserve"> </w:t>
      </w:r>
      <w:r w:rsidRPr="00010789" w:rsidR="00F42ACE">
        <w:rPr>
          <w:b w:val="0"/>
          <w:sz w:val="24"/>
          <w:vertAlign w:val="superscript"/>
        </w:rPr>
        <w:t xml:space="preserve"> </w:t>
      </w:r>
      <w:r>
        <w:rPr>
          <w:b w:val="0"/>
          <w:bCs w:val="0"/>
          <w:sz w:val="24"/>
        </w:rPr>
        <w:t xml:space="preserve">In response to this directive, the Department has prepared model notices plans may use to satisfy </w:t>
      </w:r>
      <w:r w:rsidRPr="00B70B50">
        <w:rPr>
          <w:b w:val="0"/>
          <w:bCs w:val="0"/>
          <w:sz w:val="24"/>
        </w:rPr>
        <w:t xml:space="preserve">the </w:t>
      </w:r>
      <w:r w:rsidRPr="00B70B50" w:rsidR="00A779AE">
        <w:rPr>
          <w:b w:val="0"/>
          <w:bCs w:val="0"/>
          <w:sz w:val="24"/>
        </w:rPr>
        <w:t>ARP</w:t>
      </w:r>
      <w:r w:rsidR="00A779AE">
        <w:rPr>
          <w:b w:val="0"/>
          <w:bCs w:val="0"/>
          <w:sz w:val="24"/>
        </w:rPr>
        <w:t xml:space="preserve"> </w:t>
      </w:r>
      <w:r>
        <w:rPr>
          <w:b w:val="0"/>
          <w:bCs w:val="0"/>
          <w:sz w:val="24"/>
        </w:rPr>
        <w:t xml:space="preserve">notification requirements, which are the subject of this information collection.  </w:t>
      </w:r>
    </w:p>
    <w:p w:rsidR="00C449CD" w:rsidP="00537E07" w:rsidRDefault="00C449CD" w14:paraId="7F13D134" w14:textId="77777777">
      <w:pPr>
        <w:pStyle w:val="Quick1"/>
        <w:widowControl/>
        <w:numPr>
          <w:ilvl w:val="0"/>
          <w:numId w:val="0"/>
        </w:numPr>
        <w:tabs>
          <w:tab w:val="left" w:pos="-1440"/>
        </w:tabs>
        <w:ind w:firstLine="720"/>
        <w:rPr>
          <w:b w:val="0"/>
          <w:bCs w:val="0"/>
          <w:sz w:val="24"/>
        </w:rPr>
      </w:pPr>
    </w:p>
    <w:p w:rsidRPr="005705AB" w:rsidR="00C449CD" w:rsidP="005705AB" w:rsidRDefault="00C449CD" w14:paraId="364DB9BE" w14:textId="48755D45">
      <w:pPr>
        <w:widowControl/>
        <w:autoSpaceDE/>
        <w:adjustRightInd/>
        <w:ind w:firstLine="720"/>
        <w:rPr>
          <w:b w:val="0"/>
          <w:sz w:val="24"/>
        </w:rPr>
      </w:pPr>
      <w:r>
        <w:rPr>
          <w:b w:val="0"/>
          <w:sz w:val="24"/>
        </w:rPr>
        <w:t xml:space="preserve">The Department created model notices to cover an array of situations in order to deal with the complexity of the various scenarios facing dislocated workers and their families.  In an effort to ensure that the notices included all of the information required under </w:t>
      </w:r>
      <w:r w:rsidRPr="00B70B50" w:rsidR="00D309B2">
        <w:rPr>
          <w:b w:val="0"/>
          <w:sz w:val="24"/>
        </w:rPr>
        <w:t>ARP</w:t>
      </w:r>
      <w:r w:rsidR="00D309B2">
        <w:rPr>
          <w:b w:val="0"/>
          <w:sz w:val="24"/>
        </w:rPr>
        <w:t xml:space="preserve"> </w:t>
      </w:r>
      <w:r>
        <w:rPr>
          <w:b w:val="0"/>
          <w:sz w:val="24"/>
        </w:rPr>
        <w:t>while minimizing the burden imposed on group health plans and issuers, the Department created packages.  Each package is designed for a particular group of qualified beneficiaries and contains all of the information needed to satisfy the content requirements for AR</w:t>
      </w:r>
      <w:r w:rsidR="00376F74">
        <w:rPr>
          <w:b w:val="0"/>
          <w:sz w:val="24"/>
        </w:rPr>
        <w:t>P</w:t>
      </w:r>
      <w:r>
        <w:rPr>
          <w:b w:val="0"/>
          <w:sz w:val="24"/>
        </w:rPr>
        <w:t>’s notice provisions.</w:t>
      </w:r>
      <w:r>
        <w:rPr>
          <w:rStyle w:val="FootnoteReference"/>
          <w:b w:val="0"/>
          <w:sz w:val="24"/>
          <w:vertAlign w:val="superscript"/>
        </w:rPr>
        <w:footnoteReference w:id="4"/>
      </w:r>
      <w:r>
        <w:rPr>
          <w:b w:val="0"/>
          <w:sz w:val="24"/>
        </w:rPr>
        <w:t xml:space="preserve"> Specifics of each notification package are discussed below.</w:t>
      </w:r>
    </w:p>
    <w:p w:rsidR="00C449CD" w:rsidP="00537E07" w:rsidRDefault="00C449CD" w14:paraId="5EDB7F9E" w14:textId="77777777">
      <w:pPr>
        <w:pStyle w:val="Quick1"/>
        <w:widowControl/>
        <w:numPr>
          <w:ilvl w:val="0"/>
          <w:numId w:val="0"/>
        </w:numPr>
        <w:tabs>
          <w:tab w:val="left" w:pos="-1440"/>
        </w:tabs>
        <w:ind w:left="720"/>
        <w:rPr>
          <w:bCs w:val="0"/>
          <w:i/>
          <w:sz w:val="24"/>
        </w:rPr>
      </w:pPr>
    </w:p>
    <w:p w:rsidR="00C449CD" w:rsidP="00537E07" w:rsidRDefault="00C449CD" w14:paraId="25BBC92F" w14:textId="77777777">
      <w:pPr>
        <w:pStyle w:val="Quick1"/>
        <w:widowControl/>
        <w:numPr>
          <w:ilvl w:val="0"/>
          <w:numId w:val="0"/>
        </w:numPr>
        <w:tabs>
          <w:tab w:val="left" w:pos="-1440"/>
        </w:tabs>
        <w:rPr>
          <w:bCs w:val="0"/>
          <w:i/>
          <w:sz w:val="24"/>
        </w:rPr>
      </w:pPr>
      <w:r>
        <w:rPr>
          <w:bCs w:val="0"/>
          <w:i/>
          <w:sz w:val="24"/>
        </w:rPr>
        <w:t>General Notice</w:t>
      </w:r>
    </w:p>
    <w:p w:rsidR="00C449CD" w:rsidP="00537E07" w:rsidRDefault="00C449CD" w14:paraId="3021E26C" w14:textId="77777777">
      <w:pPr>
        <w:pStyle w:val="Quick1"/>
        <w:widowControl/>
        <w:numPr>
          <w:ilvl w:val="0"/>
          <w:numId w:val="0"/>
        </w:numPr>
        <w:tabs>
          <w:tab w:val="left" w:pos="-1440"/>
        </w:tabs>
        <w:rPr>
          <w:b w:val="0"/>
          <w:bCs w:val="0"/>
          <w:sz w:val="24"/>
        </w:rPr>
      </w:pPr>
    </w:p>
    <w:p w:rsidR="00C449CD" w:rsidP="00537E07" w:rsidRDefault="00BF6710" w14:paraId="1EF8149D" w14:textId="77777777">
      <w:pPr>
        <w:pStyle w:val="Quick1"/>
        <w:widowControl/>
        <w:numPr>
          <w:ilvl w:val="0"/>
          <w:numId w:val="0"/>
        </w:numPr>
        <w:tabs>
          <w:tab w:val="left" w:pos="-1440"/>
        </w:tabs>
        <w:rPr>
          <w:b w:val="0"/>
          <w:bCs w:val="0"/>
          <w:sz w:val="24"/>
        </w:rPr>
      </w:pPr>
      <w:r>
        <w:rPr>
          <w:b w:val="0"/>
          <w:bCs w:val="0"/>
          <w:sz w:val="24"/>
        </w:rPr>
        <w:tab/>
      </w:r>
      <w:r w:rsidR="00C449CD">
        <w:rPr>
          <w:b w:val="0"/>
          <w:bCs w:val="0"/>
          <w:sz w:val="24"/>
        </w:rPr>
        <w:t xml:space="preserve">The General Notice is required to be sent by plans that are subject to the COBRA continuation provisions under Federal law.  It must include the information described above and be provided to all qualified beneficiaries, who have experienced a qualifying event at any time from </w:t>
      </w:r>
      <w:r w:rsidRPr="0043437A" w:rsidR="007D2329">
        <w:rPr>
          <w:b w:val="0"/>
          <w:bCs w:val="0"/>
          <w:sz w:val="24"/>
        </w:rPr>
        <w:t>April</w:t>
      </w:r>
      <w:r w:rsidR="007D2329">
        <w:rPr>
          <w:b w:val="0"/>
          <w:bCs w:val="0"/>
          <w:sz w:val="24"/>
        </w:rPr>
        <w:t xml:space="preserve"> </w:t>
      </w:r>
      <w:r w:rsidR="00C449CD">
        <w:rPr>
          <w:b w:val="0"/>
          <w:bCs w:val="0"/>
          <w:sz w:val="24"/>
        </w:rPr>
        <w:t xml:space="preserve">1, </w:t>
      </w:r>
      <w:r w:rsidR="007D2329">
        <w:rPr>
          <w:b w:val="0"/>
          <w:bCs w:val="0"/>
          <w:sz w:val="24"/>
        </w:rPr>
        <w:t xml:space="preserve">2021 </w:t>
      </w:r>
      <w:r w:rsidR="00C449CD">
        <w:rPr>
          <w:b w:val="0"/>
          <w:bCs w:val="0"/>
          <w:sz w:val="24"/>
        </w:rPr>
        <w:t xml:space="preserve">through </w:t>
      </w:r>
      <w:r w:rsidR="007D2329">
        <w:rPr>
          <w:b w:val="0"/>
          <w:bCs w:val="0"/>
          <w:sz w:val="24"/>
        </w:rPr>
        <w:t xml:space="preserve">September </w:t>
      </w:r>
      <w:r w:rsidR="00C449CD">
        <w:rPr>
          <w:b w:val="0"/>
          <w:bCs w:val="0"/>
          <w:sz w:val="24"/>
        </w:rPr>
        <w:t>3</w:t>
      </w:r>
      <w:r w:rsidR="007D2329">
        <w:rPr>
          <w:b w:val="0"/>
          <w:bCs w:val="0"/>
          <w:sz w:val="24"/>
        </w:rPr>
        <w:t>0</w:t>
      </w:r>
      <w:r w:rsidR="00C449CD">
        <w:rPr>
          <w:b w:val="0"/>
          <w:bCs w:val="0"/>
          <w:sz w:val="24"/>
        </w:rPr>
        <w:t>, 20</w:t>
      </w:r>
      <w:r w:rsidR="007D2329">
        <w:rPr>
          <w:b w:val="0"/>
          <w:bCs w:val="0"/>
          <w:sz w:val="24"/>
        </w:rPr>
        <w:t>21</w:t>
      </w:r>
      <w:r w:rsidR="00C449CD">
        <w:rPr>
          <w:b w:val="0"/>
          <w:bCs w:val="0"/>
          <w:sz w:val="24"/>
        </w:rPr>
        <w:t>.</w:t>
      </w:r>
    </w:p>
    <w:p w:rsidR="00C449CD" w:rsidP="00537E07" w:rsidRDefault="00C449CD" w14:paraId="2E3B9A89" w14:textId="77777777">
      <w:pPr>
        <w:pStyle w:val="Quick1"/>
        <w:widowControl/>
        <w:numPr>
          <w:ilvl w:val="0"/>
          <w:numId w:val="0"/>
        </w:numPr>
        <w:tabs>
          <w:tab w:val="left" w:pos="-1440"/>
        </w:tabs>
        <w:rPr>
          <w:b w:val="0"/>
          <w:bCs w:val="0"/>
          <w:sz w:val="24"/>
        </w:rPr>
      </w:pPr>
    </w:p>
    <w:p w:rsidR="00C449CD" w:rsidP="00537E07" w:rsidRDefault="00BF6710" w14:paraId="3FA448E5" w14:textId="5A19CE03">
      <w:pPr>
        <w:pStyle w:val="Quick1"/>
        <w:widowControl/>
        <w:numPr>
          <w:ilvl w:val="0"/>
          <w:numId w:val="0"/>
        </w:numPr>
        <w:tabs>
          <w:tab w:val="left" w:pos="-1440"/>
        </w:tabs>
        <w:rPr>
          <w:b w:val="0"/>
          <w:bCs w:val="0"/>
          <w:sz w:val="24"/>
        </w:rPr>
      </w:pPr>
      <w:r>
        <w:rPr>
          <w:b w:val="0"/>
          <w:bCs w:val="0"/>
          <w:sz w:val="24"/>
        </w:rPr>
        <w:tab/>
      </w:r>
      <w:r w:rsidR="00C449CD">
        <w:rPr>
          <w:b w:val="0"/>
          <w:bCs w:val="0"/>
          <w:sz w:val="24"/>
        </w:rPr>
        <w:t xml:space="preserve">The </w:t>
      </w:r>
      <w:r w:rsidR="00E85FA6">
        <w:rPr>
          <w:b w:val="0"/>
          <w:bCs w:val="0"/>
          <w:sz w:val="24"/>
        </w:rPr>
        <w:t>General Notice</w:t>
      </w:r>
      <w:r w:rsidR="00C449CD">
        <w:rPr>
          <w:b w:val="0"/>
          <w:bCs w:val="0"/>
          <w:sz w:val="24"/>
        </w:rPr>
        <w:t xml:space="preserve"> includes all of the information related to the premium reduction and other rights and obligations under AR</w:t>
      </w:r>
      <w:r w:rsidR="005C03C0">
        <w:rPr>
          <w:b w:val="0"/>
          <w:bCs w:val="0"/>
          <w:sz w:val="24"/>
        </w:rPr>
        <w:t>P</w:t>
      </w:r>
      <w:r w:rsidR="00C449CD">
        <w:rPr>
          <w:b w:val="0"/>
          <w:bCs w:val="0"/>
          <w:sz w:val="24"/>
        </w:rPr>
        <w:t xml:space="preserve"> as well as all of the information required in an election notice required pursuant to the Department’s final COBRA notice regulations under 29 CFR 2590.606(a)(4).  Providing the General Notice to individuals who have experienced a qualifying event from </w:t>
      </w:r>
      <w:r w:rsidR="00314554">
        <w:rPr>
          <w:b w:val="0"/>
          <w:bCs w:val="0"/>
          <w:sz w:val="24"/>
        </w:rPr>
        <w:t>April 1, 2021</w:t>
      </w:r>
      <w:r w:rsidR="00C449CD">
        <w:rPr>
          <w:b w:val="0"/>
          <w:bCs w:val="0"/>
          <w:sz w:val="24"/>
        </w:rPr>
        <w:t xml:space="preserve"> through </w:t>
      </w:r>
      <w:r w:rsidR="00314554">
        <w:rPr>
          <w:b w:val="0"/>
          <w:bCs w:val="0"/>
          <w:sz w:val="24"/>
        </w:rPr>
        <w:t>September 30, 2021</w:t>
      </w:r>
      <w:r w:rsidR="00C449CD">
        <w:rPr>
          <w:b w:val="0"/>
          <w:bCs w:val="0"/>
          <w:sz w:val="24"/>
        </w:rPr>
        <w:t xml:space="preserve"> will satisfy the Department’s existing requirements for the content of the COBRA election notice as well as those imposed by AR</w:t>
      </w:r>
      <w:r w:rsidR="006E2069">
        <w:rPr>
          <w:b w:val="0"/>
          <w:bCs w:val="0"/>
          <w:sz w:val="24"/>
        </w:rPr>
        <w:t>P</w:t>
      </w:r>
      <w:r w:rsidR="00C449CD">
        <w:rPr>
          <w:b w:val="0"/>
          <w:bCs w:val="0"/>
          <w:sz w:val="24"/>
        </w:rPr>
        <w:t xml:space="preserve">.  </w:t>
      </w:r>
    </w:p>
    <w:p w:rsidR="00C449CD" w:rsidP="00537E07" w:rsidRDefault="00C449CD" w14:paraId="1C8D4BD7" w14:textId="77777777">
      <w:pPr>
        <w:pStyle w:val="Quick1"/>
        <w:widowControl/>
        <w:numPr>
          <w:ilvl w:val="0"/>
          <w:numId w:val="0"/>
        </w:numPr>
        <w:tabs>
          <w:tab w:val="left" w:pos="-1440"/>
        </w:tabs>
        <w:rPr>
          <w:b w:val="0"/>
          <w:bCs w:val="0"/>
          <w:sz w:val="24"/>
        </w:rPr>
      </w:pPr>
    </w:p>
    <w:p w:rsidR="00C449CD" w:rsidP="00537E07" w:rsidRDefault="00C449CD" w14:paraId="73A337FE" w14:textId="77777777">
      <w:pPr>
        <w:pStyle w:val="Quick1"/>
        <w:widowControl/>
        <w:numPr>
          <w:ilvl w:val="0"/>
          <w:numId w:val="0"/>
        </w:numPr>
        <w:tabs>
          <w:tab w:val="left" w:pos="-1440"/>
        </w:tabs>
        <w:rPr>
          <w:bCs w:val="0"/>
          <w:i/>
          <w:sz w:val="24"/>
        </w:rPr>
      </w:pPr>
      <w:r>
        <w:rPr>
          <w:bCs w:val="0"/>
          <w:i/>
          <w:sz w:val="24"/>
        </w:rPr>
        <w:t>Alternative Notice</w:t>
      </w:r>
    </w:p>
    <w:p w:rsidR="00C449CD" w:rsidP="00537E07" w:rsidRDefault="00C449CD" w14:paraId="57A7F0A6" w14:textId="77777777">
      <w:pPr>
        <w:pStyle w:val="Quick1"/>
        <w:widowControl/>
        <w:numPr>
          <w:ilvl w:val="0"/>
          <w:numId w:val="0"/>
        </w:numPr>
        <w:tabs>
          <w:tab w:val="left" w:pos="-1440"/>
        </w:tabs>
        <w:rPr>
          <w:b w:val="0"/>
          <w:bCs w:val="0"/>
          <w:sz w:val="24"/>
        </w:rPr>
      </w:pPr>
    </w:p>
    <w:p w:rsidR="00C449CD" w:rsidP="00537E07" w:rsidRDefault="00BF6710" w14:paraId="60C8075D" w14:textId="77777777">
      <w:pPr>
        <w:pStyle w:val="Quick1"/>
        <w:widowControl/>
        <w:numPr>
          <w:ilvl w:val="0"/>
          <w:numId w:val="0"/>
        </w:numPr>
        <w:tabs>
          <w:tab w:val="left" w:pos="-1440"/>
        </w:tabs>
        <w:rPr>
          <w:b w:val="0"/>
          <w:bCs w:val="0"/>
          <w:sz w:val="24"/>
        </w:rPr>
      </w:pPr>
      <w:r>
        <w:rPr>
          <w:b w:val="0"/>
          <w:bCs w:val="0"/>
          <w:sz w:val="24"/>
        </w:rPr>
        <w:tab/>
      </w:r>
      <w:r w:rsidR="00C449CD">
        <w:rPr>
          <w:b w:val="0"/>
          <w:bCs w:val="0"/>
          <w:sz w:val="24"/>
        </w:rPr>
        <w:t xml:space="preserve">The Alternative Notice is required to be sent by issuers that offer group health insurance coverage that is subject to continuation coverage requirements imposed by State law, which are commonly referred to as “mini-COBRA laws.”  The Alternative Notice must include the information described above and be provided to all qualified beneficiaries, not just covered employees, who have experienced a qualifying event at any time from </w:t>
      </w:r>
      <w:r w:rsidR="007D2329">
        <w:rPr>
          <w:b w:val="0"/>
          <w:bCs w:val="0"/>
          <w:sz w:val="24"/>
        </w:rPr>
        <w:t xml:space="preserve">April </w:t>
      </w:r>
      <w:r w:rsidR="00C449CD">
        <w:rPr>
          <w:b w:val="0"/>
          <w:bCs w:val="0"/>
          <w:sz w:val="24"/>
        </w:rPr>
        <w:t xml:space="preserve">1, </w:t>
      </w:r>
      <w:r w:rsidR="007D2329">
        <w:rPr>
          <w:b w:val="0"/>
          <w:bCs w:val="0"/>
          <w:sz w:val="24"/>
        </w:rPr>
        <w:t xml:space="preserve">2021 </w:t>
      </w:r>
      <w:r w:rsidR="00C449CD">
        <w:rPr>
          <w:b w:val="0"/>
          <w:bCs w:val="0"/>
          <w:sz w:val="24"/>
        </w:rPr>
        <w:t xml:space="preserve">through </w:t>
      </w:r>
      <w:r w:rsidR="007D2329">
        <w:rPr>
          <w:b w:val="0"/>
          <w:bCs w:val="0"/>
          <w:sz w:val="24"/>
        </w:rPr>
        <w:t xml:space="preserve">September </w:t>
      </w:r>
      <w:r w:rsidR="00C449CD">
        <w:rPr>
          <w:b w:val="0"/>
          <w:bCs w:val="0"/>
          <w:sz w:val="24"/>
        </w:rPr>
        <w:t>3</w:t>
      </w:r>
      <w:r w:rsidR="007D2329">
        <w:rPr>
          <w:b w:val="0"/>
          <w:bCs w:val="0"/>
          <w:sz w:val="24"/>
        </w:rPr>
        <w:t>0</w:t>
      </w:r>
      <w:r w:rsidR="00C449CD">
        <w:rPr>
          <w:b w:val="0"/>
          <w:bCs w:val="0"/>
          <w:sz w:val="24"/>
        </w:rPr>
        <w:t>, 20</w:t>
      </w:r>
      <w:r w:rsidR="007D2329">
        <w:rPr>
          <w:b w:val="0"/>
          <w:bCs w:val="0"/>
          <w:sz w:val="24"/>
        </w:rPr>
        <w:t>21</w:t>
      </w:r>
      <w:r w:rsidR="00C449CD">
        <w:rPr>
          <w:b w:val="0"/>
          <w:bCs w:val="0"/>
          <w:sz w:val="24"/>
        </w:rPr>
        <w:t>.  Continuation coverage requirements vary among States.  Thus, the Department crafted a single version of this notice that should be modified to reflect the requirements of the applicable state law.  Issuers of group health insurance coverage subject to this notice requirement should feel free to use the model Alternative Notice or the abbreviated model General Notice (as appropriate).</w:t>
      </w:r>
    </w:p>
    <w:p w:rsidR="00C449CD" w:rsidP="00537E07" w:rsidRDefault="00C449CD" w14:paraId="74CF6CAC" w14:textId="77777777">
      <w:pPr>
        <w:pStyle w:val="Quick1"/>
        <w:widowControl/>
        <w:numPr>
          <w:ilvl w:val="0"/>
          <w:numId w:val="0"/>
        </w:numPr>
        <w:tabs>
          <w:tab w:val="left" w:pos="-1440"/>
        </w:tabs>
        <w:rPr>
          <w:b w:val="0"/>
          <w:bCs w:val="0"/>
          <w:sz w:val="24"/>
        </w:rPr>
      </w:pPr>
    </w:p>
    <w:p w:rsidR="00C449CD" w:rsidP="00537E07" w:rsidRDefault="00C449CD" w14:paraId="54890648" w14:textId="77777777">
      <w:pPr>
        <w:pStyle w:val="Quick1"/>
        <w:widowControl/>
        <w:numPr>
          <w:ilvl w:val="0"/>
          <w:numId w:val="0"/>
        </w:numPr>
        <w:tabs>
          <w:tab w:val="left" w:pos="-1440"/>
        </w:tabs>
        <w:rPr>
          <w:b w:val="0"/>
          <w:bCs w:val="0"/>
          <w:sz w:val="24"/>
        </w:rPr>
      </w:pPr>
      <w:r>
        <w:rPr>
          <w:bCs w:val="0"/>
          <w:i/>
          <w:sz w:val="24"/>
        </w:rPr>
        <w:t>Notice in Connection with Extended Election Periods</w:t>
      </w:r>
    </w:p>
    <w:p w:rsidR="00C449CD" w:rsidP="00537E07" w:rsidRDefault="00C449CD" w14:paraId="27C2E57A" w14:textId="77777777">
      <w:pPr>
        <w:pStyle w:val="Quick1"/>
        <w:widowControl/>
        <w:numPr>
          <w:ilvl w:val="0"/>
          <w:numId w:val="0"/>
        </w:numPr>
        <w:tabs>
          <w:tab w:val="left" w:pos="-1440"/>
        </w:tabs>
        <w:rPr>
          <w:b w:val="0"/>
          <w:bCs w:val="0"/>
          <w:sz w:val="24"/>
        </w:rPr>
      </w:pPr>
    </w:p>
    <w:p w:rsidR="00C449CD" w:rsidP="00537E07" w:rsidRDefault="00BF6710" w14:paraId="7AEA53AE" w14:textId="77777777">
      <w:pPr>
        <w:pStyle w:val="Quick1"/>
        <w:widowControl/>
        <w:numPr>
          <w:ilvl w:val="0"/>
          <w:numId w:val="0"/>
        </w:numPr>
        <w:tabs>
          <w:tab w:val="left" w:pos="-1440"/>
        </w:tabs>
        <w:rPr>
          <w:b w:val="0"/>
          <w:bCs w:val="0"/>
          <w:sz w:val="24"/>
        </w:rPr>
      </w:pPr>
      <w:r>
        <w:rPr>
          <w:b w:val="0"/>
          <w:bCs w:val="0"/>
          <w:sz w:val="24"/>
        </w:rPr>
        <w:tab/>
      </w:r>
      <w:r w:rsidR="00C449CD">
        <w:rPr>
          <w:b w:val="0"/>
          <w:bCs w:val="0"/>
          <w:sz w:val="24"/>
        </w:rPr>
        <w:t>The Notice in Connection with Extended Election Periods is required to be sent by plans that are subject to COBRA continuation provisions under Federal law.  It must include the information described above and be provided to any Assistance Eligible Individual (or any individual who would be an Assistance Eligible Individual if a COBRA continuation coverage election were in effect) who</w:t>
      </w:r>
      <w:r w:rsidR="00725974">
        <w:rPr>
          <w:b w:val="0"/>
          <w:bCs w:val="0"/>
          <w:sz w:val="24"/>
        </w:rPr>
        <w:t xml:space="preserve"> became entitled to elect COBRA continuation before April 1, 2021</w:t>
      </w:r>
      <w:r w:rsidR="00C449CD">
        <w:rPr>
          <w:b w:val="0"/>
          <w:bCs w:val="0"/>
          <w:sz w:val="24"/>
        </w:rPr>
        <w:t>;</w:t>
      </w:r>
      <w:r w:rsidR="00E062BC">
        <w:rPr>
          <w:b w:val="0"/>
          <w:bCs w:val="0"/>
          <w:sz w:val="24"/>
        </w:rPr>
        <w:t xml:space="preserve"> including those who </w:t>
      </w:r>
      <w:r w:rsidR="00C449CD">
        <w:rPr>
          <w:b w:val="0"/>
          <w:bCs w:val="0"/>
          <w:sz w:val="24"/>
        </w:rPr>
        <w:t xml:space="preserve">either did not elect COBRA continuation coverage or who elected but subsequently discontinued COBRA.  </w:t>
      </w:r>
      <w:r w:rsidR="00E062BC">
        <w:rPr>
          <w:b w:val="0"/>
          <w:bCs w:val="0"/>
          <w:sz w:val="24"/>
        </w:rPr>
        <w:t xml:space="preserve">This would not include those </w:t>
      </w:r>
      <w:r w:rsidR="00725974">
        <w:rPr>
          <w:b w:val="0"/>
          <w:bCs w:val="0"/>
          <w:sz w:val="24"/>
        </w:rPr>
        <w:t xml:space="preserve">individuals whose maximum COBRA continuation coverage period, if COBRA had been elected or not discontinued, would have ended before April 1, 2021 (generally, those with applicable qualifying events before October 1, 2019). </w:t>
      </w:r>
      <w:r w:rsidR="007D58E5">
        <w:rPr>
          <w:b w:val="0"/>
          <w:bCs w:val="0"/>
          <w:sz w:val="24"/>
        </w:rPr>
        <w:t xml:space="preserve"> </w:t>
      </w:r>
      <w:r w:rsidR="00C449CD">
        <w:rPr>
          <w:b w:val="0"/>
          <w:bCs w:val="0"/>
          <w:sz w:val="24"/>
        </w:rPr>
        <w:t xml:space="preserve">This notice must be provided by </w:t>
      </w:r>
      <w:r w:rsidRPr="00010789" w:rsidR="00B33057">
        <w:rPr>
          <w:b w:val="0"/>
          <w:bCs w:val="0"/>
          <w:sz w:val="24"/>
        </w:rPr>
        <w:t>May 31, 2021</w:t>
      </w:r>
      <w:r w:rsidRPr="00312D0F" w:rsidR="00C449CD">
        <w:rPr>
          <w:b w:val="0"/>
          <w:bCs w:val="0"/>
          <w:sz w:val="24"/>
        </w:rPr>
        <w:t>,</w:t>
      </w:r>
      <w:r w:rsidR="00C449CD">
        <w:rPr>
          <w:b w:val="0"/>
          <w:bCs w:val="0"/>
          <w:sz w:val="24"/>
        </w:rPr>
        <w:t xml:space="preserve"> which is 60 days after the date </w:t>
      </w:r>
      <w:r w:rsidRPr="00977944" w:rsidR="00B33057">
        <w:rPr>
          <w:b w:val="0"/>
          <w:bCs w:val="0"/>
          <w:sz w:val="24"/>
        </w:rPr>
        <w:t>ARP</w:t>
      </w:r>
      <w:r w:rsidR="00B33057">
        <w:rPr>
          <w:b w:val="0"/>
          <w:bCs w:val="0"/>
          <w:sz w:val="24"/>
        </w:rPr>
        <w:t xml:space="preserve"> </w:t>
      </w:r>
      <w:r w:rsidR="00C449CD">
        <w:rPr>
          <w:b w:val="0"/>
          <w:bCs w:val="0"/>
          <w:sz w:val="24"/>
        </w:rPr>
        <w:t>was enacted.</w:t>
      </w:r>
      <w:r w:rsidRPr="00537E07" w:rsidDel="00E260F4" w:rsidR="00E260F4">
        <w:rPr>
          <w:rStyle w:val="FootnoteReference"/>
          <w:b w:val="0"/>
          <w:sz w:val="24"/>
          <w:vertAlign w:val="superscript"/>
        </w:rPr>
        <w:t xml:space="preserve"> </w:t>
      </w:r>
    </w:p>
    <w:p w:rsidR="00977944" w:rsidP="00537E07" w:rsidRDefault="00977944" w14:paraId="0A993CAA" w14:textId="77777777">
      <w:pPr>
        <w:pStyle w:val="Quick1"/>
        <w:widowControl/>
        <w:numPr>
          <w:ilvl w:val="0"/>
          <w:numId w:val="0"/>
        </w:numPr>
        <w:tabs>
          <w:tab w:val="left" w:pos="-1440"/>
        </w:tabs>
        <w:rPr>
          <w:b w:val="0"/>
          <w:bCs w:val="0"/>
          <w:sz w:val="24"/>
        </w:rPr>
      </w:pPr>
    </w:p>
    <w:p w:rsidRPr="009F6CD2" w:rsidR="00977944" w:rsidP="00537E07" w:rsidRDefault="00977944" w14:paraId="33B90260" w14:textId="77777777">
      <w:pPr>
        <w:pStyle w:val="Quick1"/>
        <w:widowControl/>
        <w:numPr>
          <w:ilvl w:val="0"/>
          <w:numId w:val="0"/>
        </w:numPr>
        <w:tabs>
          <w:tab w:val="left" w:pos="-1440"/>
        </w:tabs>
        <w:rPr>
          <w:bCs w:val="0"/>
          <w:i/>
          <w:sz w:val="24"/>
        </w:rPr>
      </w:pPr>
      <w:r w:rsidRPr="009F6CD2">
        <w:rPr>
          <w:bCs w:val="0"/>
          <w:i/>
          <w:sz w:val="24"/>
        </w:rPr>
        <w:t>Notice of Expiration of Period of Premium Assistance</w:t>
      </w:r>
    </w:p>
    <w:p w:rsidR="00977944" w:rsidP="00537E07" w:rsidRDefault="00977944" w14:paraId="5B9CF4B1" w14:textId="77777777">
      <w:pPr>
        <w:pStyle w:val="Quick1"/>
        <w:widowControl/>
        <w:numPr>
          <w:ilvl w:val="0"/>
          <w:numId w:val="0"/>
        </w:numPr>
        <w:tabs>
          <w:tab w:val="left" w:pos="-1440"/>
        </w:tabs>
        <w:rPr>
          <w:b w:val="0"/>
          <w:bCs w:val="0"/>
          <w:sz w:val="24"/>
        </w:rPr>
      </w:pPr>
    </w:p>
    <w:p w:rsidR="00977944" w:rsidP="00537E07" w:rsidRDefault="00BF6710" w14:paraId="2F63FFA5" w14:textId="77777777">
      <w:pPr>
        <w:pStyle w:val="Quick1"/>
        <w:widowControl/>
        <w:numPr>
          <w:ilvl w:val="0"/>
          <w:numId w:val="0"/>
        </w:numPr>
        <w:tabs>
          <w:tab w:val="left" w:pos="-1440"/>
        </w:tabs>
        <w:rPr>
          <w:b w:val="0"/>
          <w:bCs w:val="0"/>
          <w:sz w:val="24"/>
        </w:rPr>
      </w:pPr>
      <w:r>
        <w:rPr>
          <w:b w:val="0"/>
          <w:bCs w:val="0"/>
          <w:sz w:val="24"/>
        </w:rPr>
        <w:tab/>
      </w:r>
      <w:r w:rsidR="00977944">
        <w:rPr>
          <w:b w:val="0"/>
          <w:bCs w:val="0"/>
          <w:sz w:val="24"/>
        </w:rPr>
        <w:t xml:space="preserve">The Notice of Expiration of Period of Premium Assistance must include that the premium assistance for the individual will expire and prominently identify the date and state that the individual may be eligible for coverage without any premium assistance. </w:t>
      </w:r>
      <w:r w:rsidR="00EC1438">
        <w:rPr>
          <w:b w:val="0"/>
          <w:bCs w:val="0"/>
          <w:sz w:val="24"/>
        </w:rPr>
        <w:t xml:space="preserve"> </w:t>
      </w:r>
      <w:r w:rsidR="00977944">
        <w:rPr>
          <w:b w:val="0"/>
          <w:bCs w:val="0"/>
          <w:sz w:val="24"/>
        </w:rPr>
        <w:t>This notice is to be sent between 45 days and 15 days before premium assistance ends on September 30, 2021.</w:t>
      </w:r>
    </w:p>
    <w:p w:rsidR="00C449CD" w:rsidP="00537E07" w:rsidRDefault="00C449CD" w14:paraId="2A533283" w14:textId="77777777">
      <w:pPr>
        <w:pStyle w:val="Quick1"/>
        <w:widowControl/>
        <w:numPr>
          <w:ilvl w:val="0"/>
          <w:numId w:val="0"/>
        </w:numPr>
        <w:tabs>
          <w:tab w:val="left" w:pos="-1440"/>
        </w:tabs>
        <w:ind w:left="720"/>
        <w:rPr>
          <w:b w:val="0"/>
          <w:bCs w:val="0"/>
          <w:sz w:val="24"/>
        </w:rPr>
      </w:pPr>
    </w:p>
    <w:p w:rsidR="00C449CD" w:rsidP="00537E07" w:rsidRDefault="00BF6710" w14:paraId="54C58FB3" w14:textId="77777777">
      <w:pPr>
        <w:pStyle w:val="Quick1"/>
        <w:widowControl/>
        <w:numPr>
          <w:ilvl w:val="0"/>
          <w:numId w:val="0"/>
        </w:numPr>
        <w:tabs>
          <w:tab w:val="left" w:pos="-1440"/>
        </w:tabs>
        <w:rPr>
          <w:b w:val="0"/>
          <w:bCs w:val="0"/>
          <w:sz w:val="24"/>
        </w:rPr>
      </w:pPr>
      <w:r>
        <w:rPr>
          <w:b w:val="0"/>
          <w:bCs w:val="0"/>
          <w:sz w:val="24"/>
        </w:rPr>
        <w:tab/>
      </w:r>
      <w:r w:rsidR="00C449CD">
        <w:rPr>
          <w:b w:val="0"/>
          <w:bCs w:val="0"/>
          <w:sz w:val="24"/>
        </w:rPr>
        <w:t xml:space="preserve">The cost burden associated with </w:t>
      </w:r>
      <w:r w:rsidRPr="00977944" w:rsidR="00C449CD">
        <w:rPr>
          <w:b w:val="0"/>
          <w:bCs w:val="0"/>
          <w:sz w:val="24"/>
        </w:rPr>
        <w:t xml:space="preserve">the </w:t>
      </w:r>
      <w:r w:rsidRPr="00977944" w:rsidR="00B33057">
        <w:rPr>
          <w:b w:val="0"/>
          <w:bCs w:val="0"/>
          <w:sz w:val="24"/>
        </w:rPr>
        <w:t>ARP</w:t>
      </w:r>
      <w:r w:rsidR="00C449CD">
        <w:rPr>
          <w:b w:val="0"/>
          <w:bCs w:val="0"/>
          <w:sz w:val="24"/>
        </w:rPr>
        <w:t>-mandated model notices is discussed under Item 13, below.</w:t>
      </w:r>
    </w:p>
    <w:p w:rsidR="00C449CD" w:rsidP="00640AE0" w:rsidRDefault="00C449CD" w14:paraId="3A26A423" w14:textId="77777777">
      <w:pPr>
        <w:pStyle w:val="Quick1"/>
        <w:widowControl/>
        <w:numPr>
          <w:ilvl w:val="0"/>
          <w:numId w:val="0"/>
        </w:numPr>
        <w:tabs>
          <w:tab w:val="left" w:pos="-1440"/>
        </w:tabs>
        <w:rPr>
          <w:bCs w:val="0"/>
          <w:iCs/>
          <w:sz w:val="24"/>
        </w:rPr>
      </w:pPr>
    </w:p>
    <w:p w:rsidRPr="00C20D2D" w:rsidR="00AA1E33" w:rsidP="00D62D84" w:rsidRDefault="00AA1E33" w14:paraId="7773B1F2" w14:textId="77777777">
      <w:pPr>
        <w:pStyle w:val="Quick1"/>
        <w:widowControl/>
        <w:numPr>
          <w:ilvl w:val="0"/>
          <w:numId w:val="0"/>
        </w:numPr>
        <w:tabs>
          <w:tab w:val="left" w:pos="-1440"/>
        </w:tabs>
        <w:ind w:left="720" w:hanging="720"/>
        <w:rPr>
          <w:bCs w:val="0"/>
          <w:sz w:val="24"/>
          <w:szCs w:val="24"/>
        </w:rPr>
      </w:pPr>
      <w:r w:rsidRPr="00C20D2D">
        <w:rPr>
          <w:bCs w:val="0"/>
          <w:sz w:val="24"/>
          <w:szCs w:val="24"/>
        </w:rPr>
        <w:t xml:space="preserve">2.  </w:t>
      </w:r>
      <w:r w:rsidR="00D62D84">
        <w:rPr>
          <w:bCs w:val="0"/>
          <w:sz w:val="24"/>
          <w:szCs w:val="24"/>
        </w:rPr>
        <w:tab/>
      </w:r>
      <w:r w:rsidRPr="00C20D2D">
        <w:rPr>
          <w:bCs w:val="0"/>
          <w:iCs/>
          <w:sz w:val="24"/>
          <w:szCs w:val="24"/>
        </w:rPr>
        <w:t>Indicate how, by whom, and for what purpose the information is to be used.  Except for a new collection, indicate the actual use the agency has made of the information received from the current collection.</w:t>
      </w:r>
    </w:p>
    <w:p w:rsidR="00C449CD" w:rsidP="00537E07" w:rsidRDefault="00C449CD" w14:paraId="2C7E8BF3" w14:textId="77777777">
      <w:pPr>
        <w:pStyle w:val="Quick1"/>
        <w:widowControl/>
        <w:numPr>
          <w:ilvl w:val="0"/>
          <w:numId w:val="0"/>
        </w:numPr>
        <w:tabs>
          <w:tab w:val="left" w:pos="-1440"/>
        </w:tabs>
        <w:rPr>
          <w:bCs w:val="0"/>
          <w:sz w:val="24"/>
        </w:rPr>
      </w:pPr>
    </w:p>
    <w:p w:rsidR="00C449CD" w:rsidRDefault="00C449CD" w14:paraId="0DCBA6A6" w14:textId="77777777">
      <w:pPr>
        <w:pStyle w:val="Quick1"/>
        <w:widowControl/>
        <w:numPr>
          <w:ilvl w:val="0"/>
          <w:numId w:val="0"/>
        </w:numPr>
        <w:tabs>
          <w:tab w:val="left" w:pos="-1440"/>
        </w:tabs>
        <w:rPr>
          <w:b w:val="0"/>
          <w:bCs w:val="0"/>
          <w:sz w:val="24"/>
        </w:rPr>
      </w:pPr>
      <w:r>
        <w:rPr>
          <w:b w:val="0"/>
          <w:bCs w:val="0"/>
          <w:sz w:val="24"/>
        </w:rPr>
        <w:tab/>
      </w:r>
      <w:r w:rsidRPr="00977944" w:rsidR="00006551">
        <w:rPr>
          <w:b w:val="0"/>
          <w:bCs w:val="0"/>
          <w:sz w:val="24"/>
        </w:rPr>
        <w:t>ARP</w:t>
      </w:r>
      <w:r>
        <w:rPr>
          <w:b w:val="0"/>
          <w:bCs w:val="0"/>
          <w:sz w:val="24"/>
        </w:rPr>
        <w:t xml:space="preserve"> provides that a failure to provide the notices required under the Act, which are described in Item 1 above, is treated as a failure to satisfy the COBRA notice requirements, which would subject a plan or an</w:t>
      </w:r>
      <w:r>
        <w:rPr>
          <w:bCs w:val="0"/>
          <w:sz w:val="24"/>
        </w:rPr>
        <w:t xml:space="preserve"> </w:t>
      </w:r>
      <w:r>
        <w:rPr>
          <w:b w:val="0"/>
          <w:bCs w:val="0"/>
          <w:sz w:val="24"/>
        </w:rPr>
        <w:t xml:space="preserve">employer to a penalty of up </w:t>
      </w:r>
      <w:r w:rsidRPr="00DE197A">
        <w:rPr>
          <w:b w:val="0"/>
          <w:bCs w:val="0"/>
          <w:sz w:val="24"/>
        </w:rPr>
        <w:t xml:space="preserve">to </w:t>
      </w:r>
      <w:r w:rsidRPr="00DE197A">
        <w:rPr>
          <w:b w:val="0"/>
          <w:sz w:val="24"/>
        </w:rPr>
        <w:t>$110</w:t>
      </w:r>
      <w:r>
        <w:rPr>
          <w:b w:val="0"/>
          <w:bCs w:val="0"/>
          <w:sz w:val="24"/>
        </w:rPr>
        <w:t xml:space="preserve"> per day under ERISA section 502(c)(1). </w:t>
      </w:r>
      <w:r w:rsidR="00C20D2D">
        <w:rPr>
          <w:b w:val="0"/>
          <w:bCs w:val="0"/>
          <w:sz w:val="24"/>
        </w:rPr>
        <w:t xml:space="preserve"> </w:t>
      </w:r>
      <w:r>
        <w:rPr>
          <w:b w:val="0"/>
          <w:bCs w:val="0"/>
          <w:sz w:val="24"/>
        </w:rPr>
        <w:t xml:space="preserve">Therefore, the Department expects the plans and employers will use the model notices to satisfy the new COBRA notification requirements imposed by </w:t>
      </w:r>
      <w:r w:rsidRPr="00977944">
        <w:rPr>
          <w:b w:val="0"/>
          <w:bCs w:val="0"/>
          <w:sz w:val="24"/>
        </w:rPr>
        <w:t>the AR</w:t>
      </w:r>
      <w:r w:rsidRPr="00977944" w:rsidR="00E43FD4">
        <w:rPr>
          <w:b w:val="0"/>
          <w:bCs w:val="0"/>
          <w:sz w:val="24"/>
        </w:rPr>
        <w:t>P</w:t>
      </w:r>
      <w:r w:rsidRPr="00977944">
        <w:rPr>
          <w:b w:val="0"/>
          <w:sz w:val="24"/>
        </w:rPr>
        <w:t>.</w:t>
      </w:r>
    </w:p>
    <w:p w:rsidRPr="00C20D2D" w:rsidR="00AA1E33" w:rsidP="00537E07" w:rsidRDefault="00282B87" w14:paraId="58C4D8B7" w14:textId="77777777">
      <w:pPr>
        <w:pStyle w:val="Quick1"/>
        <w:widowControl/>
        <w:numPr>
          <w:ilvl w:val="0"/>
          <w:numId w:val="0"/>
        </w:numPr>
        <w:tabs>
          <w:tab w:val="left" w:pos="-1440"/>
        </w:tabs>
      </w:pPr>
      <w:r w:rsidRPr="00282B87">
        <w:rPr>
          <w:b w:val="0"/>
          <w:bCs w:val="0"/>
          <w:sz w:val="24"/>
        </w:rPr>
        <w:t xml:space="preserve"> </w:t>
      </w:r>
    </w:p>
    <w:p w:rsidRPr="00C20D2D" w:rsidR="00AA1E33" w:rsidP="00D62D84" w:rsidRDefault="00AA1E33" w14:paraId="12BAB6FB" w14:textId="77777777">
      <w:pPr>
        <w:pStyle w:val="Quick1"/>
        <w:widowControl/>
        <w:numPr>
          <w:ilvl w:val="0"/>
          <w:numId w:val="0"/>
        </w:numPr>
        <w:ind w:left="720" w:hanging="720"/>
        <w:rPr>
          <w:bCs w:val="0"/>
          <w:iCs/>
          <w:sz w:val="24"/>
          <w:szCs w:val="24"/>
        </w:rPr>
      </w:pPr>
      <w:r w:rsidRPr="00C20D2D">
        <w:rPr>
          <w:bCs w:val="0"/>
          <w:sz w:val="24"/>
          <w:szCs w:val="24"/>
        </w:rPr>
        <w:t xml:space="preserve">3.  </w:t>
      </w:r>
      <w:r w:rsidR="00D62D84">
        <w:rPr>
          <w:bCs w:val="0"/>
          <w:sz w:val="24"/>
          <w:szCs w:val="24"/>
        </w:rPr>
        <w:tab/>
      </w:r>
      <w:r w:rsidRPr="00C20D2D">
        <w:rPr>
          <w:bCs w:val="0"/>
          <w:iCs/>
          <w:sz w:val="24"/>
          <w:szCs w:val="24"/>
        </w:rPr>
        <w:t xml:space="preserve">Describe whether, and to what extent, the collection </w:t>
      </w:r>
      <w:r w:rsidR="00D62D84">
        <w:rPr>
          <w:bCs w:val="0"/>
          <w:iCs/>
          <w:sz w:val="24"/>
          <w:szCs w:val="24"/>
        </w:rPr>
        <w:t xml:space="preserve">of information involves the use </w:t>
      </w:r>
      <w:r w:rsidRPr="00C20D2D">
        <w:rPr>
          <w:bCs w:val="0"/>
          <w:iCs/>
          <w:sz w:val="24"/>
          <w:szCs w:val="24"/>
        </w:rPr>
        <w:t>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Default="00AA1E33" w14:paraId="200A6E23" w14:textId="77777777">
      <w:pPr>
        <w:pStyle w:val="Quick1"/>
        <w:widowControl/>
        <w:numPr>
          <w:ilvl w:val="0"/>
          <w:numId w:val="0"/>
        </w:numPr>
        <w:rPr>
          <w:b w:val="0"/>
          <w:bCs w:val="0"/>
          <w:sz w:val="24"/>
        </w:rPr>
      </w:pPr>
    </w:p>
    <w:p w:rsidR="00C449CD" w:rsidP="001E4B9C" w:rsidRDefault="00C449CD" w14:paraId="4B2FFBF9" w14:textId="77777777">
      <w:pPr>
        <w:ind w:firstLine="720"/>
        <w:rPr>
          <w:b w:val="0"/>
          <w:bCs w:val="0"/>
          <w:sz w:val="24"/>
        </w:rPr>
      </w:pPr>
      <w:r>
        <w:rPr>
          <w:b w:val="0"/>
          <w:bCs w:val="0"/>
          <w:sz w:val="24"/>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w:t>
      </w:r>
      <w:r w:rsidR="00CC4C0D">
        <w:rPr>
          <w:b w:val="0"/>
          <w:bCs w:val="0"/>
          <w:sz w:val="24"/>
        </w:rPr>
        <w:t>to satisfy the requirement of §</w:t>
      </w:r>
      <w:r>
        <w:rPr>
          <w:b w:val="0"/>
          <w:bCs w:val="0"/>
          <w:sz w:val="24"/>
        </w:rPr>
        <w:t xml:space="preserve">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AA1E33" w:rsidRDefault="00AA1E33" w14:paraId="0AE24F56" w14:textId="77777777">
      <w:pPr>
        <w:pStyle w:val="BodyText"/>
        <w:rPr>
          <w:i/>
          <w:iCs/>
        </w:rPr>
      </w:pPr>
    </w:p>
    <w:p w:rsidRPr="00C20D2D" w:rsidR="00AA1E33" w:rsidP="00D62D84" w:rsidRDefault="00AA1E33" w14:paraId="270A3B7C" w14:textId="77777777">
      <w:pPr>
        <w:widowControl/>
        <w:tabs>
          <w:tab w:val="left" w:pos="-1440"/>
        </w:tabs>
        <w:ind w:left="720" w:hanging="720"/>
        <w:rPr>
          <w:bCs w:val="0"/>
          <w:iCs/>
          <w:sz w:val="24"/>
          <w:szCs w:val="24"/>
        </w:rPr>
      </w:pPr>
      <w:r w:rsidRPr="00C20D2D">
        <w:rPr>
          <w:bCs w:val="0"/>
          <w:sz w:val="24"/>
          <w:szCs w:val="24"/>
        </w:rPr>
        <w:t xml:space="preserve">4. </w:t>
      </w:r>
      <w:r w:rsidR="00D62D84">
        <w:rPr>
          <w:bCs w:val="0"/>
          <w:sz w:val="24"/>
          <w:szCs w:val="24"/>
        </w:rPr>
        <w:tab/>
      </w:r>
      <w:r w:rsidRPr="00C20D2D">
        <w:rPr>
          <w:bCs w:val="0"/>
          <w:sz w:val="24"/>
          <w:szCs w:val="24"/>
        </w:rPr>
        <w:t xml:space="preserve"> </w:t>
      </w:r>
      <w:r w:rsidRPr="00C20D2D">
        <w:rPr>
          <w:bCs w:val="0"/>
          <w:iCs/>
          <w:sz w:val="24"/>
          <w:szCs w:val="24"/>
        </w:rPr>
        <w:t>Describe efforts to identify duplication.  Show specifically why any similar information already available cannot be used or modified for use for the purposes described in Item 2 above.</w:t>
      </w:r>
    </w:p>
    <w:p w:rsidR="00AA1E33" w:rsidRDefault="00AA1E33" w14:paraId="4E98C216" w14:textId="77777777">
      <w:pPr>
        <w:widowControl/>
        <w:tabs>
          <w:tab w:val="left" w:pos="-1440"/>
        </w:tabs>
        <w:rPr>
          <w:b w:val="0"/>
          <w:bCs w:val="0"/>
          <w:i/>
          <w:iCs/>
        </w:rPr>
      </w:pPr>
    </w:p>
    <w:p w:rsidR="00AA1E33" w:rsidP="0058117B" w:rsidRDefault="00AA1E33" w14:paraId="555AAF1E" w14:textId="77777777">
      <w:pPr>
        <w:widowControl/>
        <w:tabs>
          <w:tab w:val="left" w:pos="-1440"/>
        </w:tabs>
        <w:ind w:firstLine="720"/>
        <w:rPr>
          <w:b w:val="0"/>
          <w:bCs w:val="0"/>
          <w:sz w:val="24"/>
        </w:rPr>
      </w:pPr>
      <w:r>
        <w:rPr>
          <w:b w:val="0"/>
          <w:bCs w:val="0"/>
          <w:sz w:val="24"/>
        </w:rPr>
        <w:t>There is no duplication of information</w:t>
      </w:r>
      <w:r w:rsidR="00E166BC">
        <w:rPr>
          <w:b w:val="0"/>
          <w:bCs w:val="0"/>
          <w:sz w:val="24"/>
        </w:rPr>
        <w:t xml:space="preserve">. </w:t>
      </w:r>
    </w:p>
    <w:p w:rsidR="00AA1E33" w:rsidRDefault="00AA1E33" w14:paraId="12FCE5AC" w14:textId="77777777">
      <w:pPr>
        <w:widowControl/>
        <w:tabs>
          <w:tab w:val="left" w:pos="-1440"/>
        </w:tabs>
        <w:ind w:left="720"/>
        <w:rPr>
          <w:b w:val="0"/>
          <w:bCs w:val="0"/>
          <w:sz w:val="24"/>
        </w:rPr>
      </w:pPr>
    </w:p>
    <w:p w:rsidR="00AA1E33" w:rsidP="00537E07" w:rsidRDefault="00AA1E33" w14:paraId="0B03ADD0" w14:textId="77777777">
      <w:pPr>
        <w:pStyle w:val="BodyText2"/>
        <w:ind w:left="720" w:hanging="720"/>
      </w:pPr>
      <w:r w:rsidRPr="00C20D2D">
        <w:rPr>
          <w:b/>
          <w:i w:val="0"/>
          <w:iCs w:val="0"/>
          <w:sz w:val="24"/>
          <w:szCs w:val="24"/>
        </w:rPr>
        <w:t xml:space="preserve">5.  </w:t>
      </w:r>
      <w:r w:rsidR="007E0AEE">
        <w:rPr>
          <w:b/>
          <w:i w:val="0"/>
          <w:iCs w:val="0"/>
          <w:sz w:val="24"/>
          <w:szCs w:val="24"/>
        </w:rPr>
        <w:tab/>
      </w:r>
      <w:r w:rsidRPr="00C20D2D">
        <w:rPr>
          <w:b/>
          <w:i w:val="0"/>
          <w:sz w:val="24"/>
          <w:szCs w:val="24"/>
        </w:rPr>
        <w:t>If the collection of information impacts small businesses or other small en</w:t>
      </w:r>
      <w:r w:rsidR="007E0AEE">
        <w:rPr>
          <w:b/>
          <w:i w:val="0"/>
          <w:sz w:val="24"/>
          <w:szCs w:val="24"/>
        </w:rPr>
        <w:t>tities</w:t>
      </w:r>
      <w:r w:rsidRPr="00C20D2D">
        <w:rPr>
          <w:b/>
          <w:i w:val="0"/>
          <w:sz w:val="24"/>
          <w:szCs w:val="24"/>
        </w:rPr>
        <w:t>, describe any methods used to minimize burden.</w:t>
      </w:r>
    </w:p>
    <w:p w:rsidR="0056371A" w:rsidP="00225048" w:rsidRDefault="00AA1E33" w14:paraId="272FAC20" w14:textId="77777777">
      <w:pPr>
        <w:pStyle w:val="Quick1"/>
        <w:widowControl/>
        <w:numPr>
          <w:ilvl w:val="0"/>
          <w:numId w:val="0"/>
        </w:numPr>
        <w:ind w:left="720"/>
        <w:rPr>
          <w:b w:val="0"/>
          <w:bCs w:val="0"/>
          <w:sz w:val="24"/>
        </w:rPr>
      </w:pPr>
      <w:r>
        <w:rPr>
          <w:b w:val="0"/>
          <w:bCs w:val="0"/>
          <w:sz w:val="24"/>
        </w:rPr>
        <w:t xml:space="preserve">  </w:t>
      </w:r>
    </w:p>
    <w:p w:rsidR="00F66FAB" w:rsidP="00C20D2D" w:rsidRDefault="00F66FAB" w14:paraId="6AEB1DDD" w14:textId="77777777">
      <w:pPr>
        <w:pStyle w:val="Quick1"/>
        <w:widowControl/>
        <w:numPr>
          <w:ilvl w:val="0"/>
          <w:numId w:val="0"/>
        </w:numPr>
        <w:ind w:firstLine="720"/>
        <w:rPr>
          <w:b w:val="0"/>
          <w:bCs w:val="0"/>
          <w:sz w:val="24"/>
        </w:rPr>
      </w:pPr>
      <w:r>
        <w:rPr>
          <w:b w:val="0"/>
          <w:bCs w:val="0"/>
          <w:sz w:val="24"/>
        </w:rPr>
        <w:t>Small health plans are required to send the notice.  Small plans cannot be excluded from sending the notice, or individuals that had been covered by those plans would not be informed of the subsidy and option to enroll in coverage.</w:t>
      </w:r>
    </w:p>
    <w:p w:rsidR="00F66FAB" w:rsidRDefault="00F66FAB" w14:paraId="58E5AA1C" w14:textId="77777777">
      <w:pPr>
        <w:pStyle w:val="Quick1"/>
        <w:widowControl/>
        <w:numPr>
          <w:ilvl w:val="0"/>
          <w:numId w:val="0"/>
        </w:numPr>
        <w:ind w:left="720"/>
        <w:rPr>
          <w:b w:val="0"/>
          <w:bCs w:val="0"/>
          <w:sz w:val="24"/>
        </w:rPr>
      </w:pPr>
    </w:p>
    <w:p w:rsidRPr="00C20D2D" w:rsidR="00AA1E33" w:rsidP="007E0AEE" w:rsidRDefault="00AA1E33" w14:paraId="7DBBD3B4" w14:textId="77777777">
      <w:pPr>
        <w:widowControl/>
        <w:tabs>
          <w:tab w:val="left" w:pos="-1440"/>
        </w:tabs>
        <w:ind w:left="720" w:hanging="720"/>
        <w:rPr>
          <w:bCs w:val="0"/>
          <w:iCs/>
          <w:sz w:val="24"/>
          <w:szCs w:val="24"/>
        </w:rPr>
      </w:pPr>
      <w:r w:rsidRPr="00C20D2D">
        <w:rPr>
          <w:bCs w:val="0"/>
          <w:sz w:val="24"/>
          <w:szCs w:val="24"/>
        </w:rPr>
        <w:t xml:space="preserve">6.  </w:t>
      </w:r>
      <w:r w:rsidR="007E0AEE">
        <w:rPr>
          <w:bCs w:val="0"/>
          <w:sz w:val="24"/>
          <w:szCs w:val="24"/>
        </w:rPr>
        <w:tab/>
      </w:r>
      <w:r w:rsidRPr="00C20D2D">
        <w:rPr>
          <w:bCs w:val="0"/>
          <w:iCs/>
          <w:sz w:val="24"/>
          <w:szCs w:val="24"/>
        </w:rPr>
        <w:t>Describe the consequence to Federal program or policy activities if the collection is not conducted or is conducted less frequently, as well as any technical or legal obstacles to reducing burden.</w:t>
      </w:r>
    </w:p>
    <w:p w:rsidR="00AA1E33" w:rsidRDefault="00AA1E33" w14:paraId="29B590EF" w14:textId="77777777">
      <w:pPr>
        <w:widowControl/>
        <w:tabs>
          <w:tab w:val="left" w:pos="-1440"/>
        </w:tabs>
        <w:rPr>
          <w:b w:val="0"/>
          <w:bCs w:val="0"/>
          <w:i/>
          <w:iCs/>
        </w:rPr>
      </w:pPr>
    </w:p>
    <w:p w:rsidR="005937C1" w:rsidP="00537E07" w:rsidRDefault="005937C1" w14:paraId="3585F412" w14:textId="77777777">
      <w:pPr>
        <w:pStyle w:val="Quick1"/>
        <w:widowControl/>
        <w:numPr>
          <w:ilvl w:val="0"/>
          <w:numId w:val="0"/>
        </w:numPr>
        <w:tabs>
          <w:tab w:val="left" w:pos="-1440"/>
        </w:tabs>
        <w:ind w:left="90"/>
        <w:rPr>
          <w:b w:val="0"/>
          <w:bCs w:val="0"/>
          <w:sz w:val="24"/>
        </w:rPr>
      </w:pPr>
      <w:r>
        <w:rPr>
          <w:b w:val="0"/>
          <w:bCs w:val="0"/>
          <w:sz w:val="24"/>
        </w:rPr>
        <w:tab/>
        <w:t xml:space="preserve">Due to the notifications requirements in the </w:t>
      </w:r>
      <w:r w:rsidRPr="00CC4C0D">
        <w:rPr>
          <w:b w:val="0"/>
          <w:bCs w:val="0"/>
          <w:sz w:val="24"/>
        </w:rPr>
        <w:t>A</w:t>
      </w:r>
      <w:r w:rsidRPr="00CC4C0D" w:rsidR="00FB44F6">
        <w:rPr>
          <w:b w:val="0"/>
          <w:bCs w:val="0"/>
          <w:sz w:val="24"/>
        </w:rPr>
        <w:t>RP</w:t>
      </w:r>
      <w:r>
        <w:rPr>
          <w:b w:val="0"/>
          <w:bCs w:val="0"/>
          <w:sz w:val="24"/>
        </w:rPr>
        <w:t>, the collection of information cannot be conducted less frequently.</w:t>
      </w:r>
      <w:r w:rsidR="009A1C06">
        <w:rPr>
          <w:b w:val="0"/>
          <w:bCs w:val="0"/>
          <w:sz w:val="24"/>
        </w:rPr>
        <w:t xml:space="preserve"> </w:t>
      </w:r>
      <w:r w:rsidR="001804AC">
        <w:rPr>
          <w:b w:val="0"/>
          <w:bCs w:val="0"/>
          <w:sz w:val="24"/>
        </w:rPr>
        <w:t xml:space="preserve"> </w:t>
      </w:r>
      <w:r w:rsidR="009A1C06">
        <w:rPr>
          <w:b w:val="0"/>
          <w:bCs w:val="0"/>
          <w:sz w:val="24"/>
        </w:rPr>
        <w:t>Without the notices</w:t>
      </w:r>
      <w:r w:rsidR="002A10CB">
        <w:rPr>
          <w:b w:val="0"/>
          <w:bCs w:val="0"/>
          <w:sz w:val="24"/>
        </w:rPr>
        <w:t>,</w:t>
      </w:r>
      <w:r w:rsidR="009A1C06">
        <w:rPr>
          <w:b w:val="0"/>
          <w:bCs w:val="0"/>
          <w:sz w:val="24"/>
        </w:rPr>
        <w:t xml:space="preserve"> individuals will </w:t>
      </w:r>
      <w:r w:rsidR="00D67858">
        <w:rPr>
          <w:b w:val="0"/>
          <w:bCs w:val="0"/>
          <w:sz w:val="24"/>
        </w:rPr>
        <w:t xml:space="preserve">not </w:t>
      </w:r>
      <w:r w:rsidR="009A1C06">
        <w:rPr>
          <w:b w:val="0"/>
          <w:bCs w:val="0"/>
          <w:sz w:val="24"/>
        </w:rPr>
        <w:t>likely know about the subsidy and other rights under the statue.</w:t>
      </w:r>
    </w:p>
    <w:p w:rsidR="0056371A" w:rsidP="00537E07" w:rsidRDefault="0056371A" w14:paraId="6EF128CF" w14:textId="77777777">
      <w:pPr>
        <w:widowControl/>
        <w:tabs>
          <w:tab w:val="left" w:pos="-1440"/>
        </w:tabs>
        <w:rPr>
          <w:b w:val="0"/>
          <w:bCs w:val="0"/>
          <w:sz w:val="24"/>
        </w:rPr>
      </w:pPr>
    </w:p>
    <w:p w:rsidRPr="00C20D2D" w:rsidR="00AA1E33" w:rsidRDefault="00AA1E33" w14:paraId="34B777F9" w14:textId="77777777">
      <w:pPr>
        <w:widowControl/>
        <w:tabs>
          <w:tab w:val="left" w:pos="-1440"/>
        </w:tabs>
        <w:ind w:left="720" w:hanging="720"/>
        <w:rPr>
          <w:bCs w:val="0"/>
          <w:iCs/>
          <w:sz w:val="24"/>
          <w:szCs w:val="24"/>
        </w:rPr>
      </w:pPr>
      <w:r w:rsidRPr="00C20D2D">
        <w:rPr>
          <w:bCs w:val="0"/>
          <w:sz w:val="24"/>
          <w:szCs w:val="24"/>
        </w:rPr>
        <w:t xml:space="preserve">7.  </w:t>
      </w:r>
      <w:r w:rsidR="004B4CFE">
        <w:rPr>
          <w:bCs w:val="0"/>
          <w:sz w:val="24"/>
          <w:szCs w:val="24"/>
        </w:rPr>
        <w:tab/>
      </w:r>
      <w:r w:rsidRPr="00C20D2D">
        <w:rPr>
          <w:bCs w:val="0"/>
          <w:iCs/>
          <w:sz w:val="24"/>
          <w:szCs w:val="24"/>
        </w:rPr>
        <w:t>Explain any special circumstances that would cause an information collection to be conducted in a manner:</w:t>
      </w:r>
    </w:p>
    <w:p w:rsidRPr="00C20D2D" w:rsidR="00AA1E33" w:rsidRDefault="00AA1E33" w14:paraId="7D825F26" w14:textId="77777777">
      <w:pPr>
        <w:widowControl/>
        <w:rPr>
          <w:bCs w:val="0"/>
          <w:iCs/>
          <w:sz w:val="24"/>
          <w:szCs w:val="24"/>
        </w:rPr>
      </w:pPr>
    </w:p>
    <w:p w:rsidRPr="00C20D2D" w:rsidR="00AA1E33" w:rsidRDefault="00AA1E33" w14:paraId="0D8930E4" w14:textId="77777777">
      <w:pPr>
        <w:widowControl/>
        <w:numPr>
          <w:ilvl w:val="0"/>
          <w:numId w:val="11"/>
        </w:numPr>
        <w:tabs>
          <w:tab w:val="left" w:pos="-1440"/>
        </w:tabs>
        <w:rPr>
          <w:bCs w:val="0"/>
          <w:iCs/>
          <w:sz w:val="24"/>
          <w:szCs w:val="24"/>
        </w:rPr>
      </w:pPr>
      <w:r w:rsidRPr="00C20D2D">
        <w:rPr>
          <w:bCs w:val="0"/>
          <w:iCs/>
          <w:sz w:val="24"/>
          <w:szCs w:val="24"/>
        </w:rPr>
        <w:t>requiring respondents to report information to the agency more often than quarterly;</w:t>
      </w:r>
    </w:p>
    <w:p w:rsidRPr="00C20D2D" w:rsidR="00AA1E33" w:rsidRDefault="00AA1E33" w14:paraId="63254682" w14:textId="77777777">
      <w:pPr>
        <w:widowControl/>
        <w:numPr>
          <w:ilvl w:val="0"/>
          <w:numId w:val="11"/>
        </w:numPr>
        <w:tabs>
          <w:tab w:val="left" w:pos="-1440"/>
        </w:tabs>
        <w:rPr>
          <w:bCs w:val="0"/>
          <w:iCs/>
          <w:sz w:val="24"/>
          <w:szCs w:val="24"/>
        </w:rPr>
      </w:pPr>
      <w:r w:rsidRPr="00C20D2D">
        <w:rPr>
          <w:bCs w:val="0"/>
          <w:iCs/>
          <w:sz w:val="24"/>
          <w:szCs w:val="24"/>
        </w:rPr>
        <w:t>requiring respondents to prepare a written response to a collection of information in fewer than 30 days after receipt of it;</w:t>
      </w:r>
    </w:p>
    <w:p w:rsidRPr="00C20D2D" w:rsidR="00AA1E33" w:rsidRDefault="00AA1E33" w14:paraId="280EE576" w14:textId="77777777">
      <w:pPr>
        <w:widowControl/>
        <w:numPr>
          <w:ilvl w:val="0"/>
          <w:numId w:val="11"/>
        </w:numPr>
        <w:tabs>
          <w:tab w:val="left" w:pos="-1440"/>
        </w:tabs>
        <w:rPr>
          <w:bCs w:val="0"/>
          <w:iCs/>
          <w:sz w:val="24"/>
          <w:szCs w:val="24"/>
        </w:rPr>
      </w:pPr>
      <w:r w:rsidRPr="00C20D2D">
        <w:rPr>
          <w:bCs w:val="0"/>
          <w:iCs/>
          <w:sz w:val="24"/>
          <w:szCs w:val="24"/>
        </w:rPr>
        <w:t>requiring respondents to submit more than an original and two copies of any document;</w:t>
      </w:r>
    </w:p>
    <w:p w:rsidRPr="00C20D2D" w:rsidR="00AA1E33" w:rsidRDefault="00AA1E33" w14:paraId="5E85997C" w14:textId="77777777">
      <w:pPr>
        <w:widowControl/>
        <w:numPr>
          <w:ilvl w:val="0"/>
          <w:numId w:val="11"/>
        </w:numPr>
        <w:tabs>
          <w:tab w:val="left" w:pos="-1440"/>
        </w:tabs>
        <w:rPr>
          <w:bCs w:val="0"/>
          <w:iCs/>
          <w:sz w:val="24"/>
          <w:szCs w:val="24"/>
        </w:rPr>
      </w:pPr>
      <w:r w:rsidRPr="00C20D2D">
        <w:rPr>
          <w:bCs w:val="0"/>
          <w:iCs/>
          <w:sz w:val="24"/>
          <w:szCs w:val="24"/>
        </w:rPr>
        <w:t>requiring respondents to retain records, other than health, medical, government contract, grant-in-aid, or tax records for more than three years;</w:t>
      </w:r>
    </w:p>
    <w:p w:rsidRPr="00C20D2D" w:rsidR="00AA1E33" w:rsidRDefault="00AA1E33" w14:paraId="465E1E09" w14:textId="77777777">
      <w:pPr>
        <w:widowControl/>
        <w:numPr>
          <w:ilvl w:val="0"/>
          <w:numId w:val="11"/>
        </w:numPr>
        <w:tabs>
          <w:tab w:val="left" w:pos="-1440"/>
        </w:tabs>
        <w:rPr>
          <w:bCs w:val="0"/>
          <w:iCs/>
          <w:sz w:val="24"/>
          <w:szCs w:val="24"/>
        </w:rPr>
      </w:pPr>
      <w:r w:rsidRPr="00C20D2D">
        <w:rPr>
          <w:bCs w:val="0"/>
          <w:iCs/>
          <w:sz w:val="24"/>
          <w:szCs w:val="24"/>
        </w:rPr>
        <w:t>in connection with a statistical survey, that is not designed to produce valid and reliable results that can be generalized to the universe of study;</w:t>
      </w:r>
    </w:p>
    <w:p w:rsidRPr="00C20D2D" w:rsidR="00AA1E33" w:rsidRDefault="00AA1E33" w14:paraId="23B32001" w14:textId="77777777">
      <w:pPr>
        <w:widowControl/>
        <w:numPr>
          <w:ilvl w:val="0"/>
          <w:numId w:val="11"/>
        </w:numPr>
        <w:tabs>
          <w:tab w:val="left" w:pos="-1440"/>
        </w:tabs>
        <w:rPr>
          <w:bCs w:val="0"/>
          <w:iCs/>
          <w:sz w:val="24"/>
          <w:szCs w:val="24"/>
        </w:rPr>
      </w:pPr>
      <w:r w:rsidRPr="00C20D2D">
        <w:rPr>
          <w:bCs w:val="0"/>
          <w:iCs/>
          <w:sz w:val="24"/>
          <w:szCs w:val="24"/>
        </w:rPr>
        <w:t>requiring the use of a statistical data classification that has not been reviewed and approved by OMB;</w:t>
      </w:r>
    </w:p>
    <w:p w:rsidRPr="00C20D2D" w:rsidR="00AA1E33" w:rsidRDefault="00AA1E33" w14:paraId="29DF8CF3" w14:textId="77777777">
      <w:pPr>
        <w:widowControl/>
        <w:numPr>
          <w:ilvl w:val="0"/>
          <w:numId w:val="11"/>
        </w:numPr>
        <w:tabs>
          <w:tab w:val="left" w:pos="-1440"/>
        </w:tabs>
        <w:rPr>
          <w:bCs w:val="0"/>
          <w:iCs/>
          <w:sz w:val="24"/>
          <w:szCs w:val="24"/>
        </w:rPr>
      </w:pPr>
      <w:r w:rsidRPr="00C20D2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20D2D" w:rsidR="00AA1E33" w:rsidRDefault="00AA1E33" w14:paraId="002EFDCE" w14:textId="77777777">
      <w:pPr>
        <w:widowControl/>
        <w:numPr>
          <w:ilvl w:val="0"/>
          <w:numId w:val="11"/>
        </w:numPr>
        <w:tabs>
          <w:tab w:val="left" w:pos="-1440"/>
        </w:tabs>
        <w:rPr>
          <w:bCs w:val="0"/>
          <w:iCs/>
          <w:sz w:val="24"/>
          <w:szCs w:val="24"/>
        </w:rPr>
      </w:pPr>
      <w:r w:rsidRPr="00C20D2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Default="00AA1E33" w14:paraId="25CB6BCE" w14:textId="77777777">
      <w:pPr>
        <w:widowControl/>
        <w:tabs>
          <w:tab w:val="left" w:pos="-1440"/>
        </w:tabs>
        <w:ind w:left="1440" w:hanging="720"/>
        <w:rPr>
          <w:b w:val="0"/>
          <w:bCs w:val="0"/>
          <w:i/>
          <w:iCs/>
          <w:sz w:val="24"/>
        </w:rPr>
      </w:pPr>
    </w:p>
    <w:p w:rsidR="00AA1E33" w:rsidRDefault="00AA1E33" w14:paraId="07F37883" w14:textId="77777777">
      <w:pPr>
        <w:pStyle w:val="BodyTextIndent2"/>
        <w:widowControl/>
        <w:rPr>
          <w:b w:val="0"/>
          <w:bCs w:val="0"/>
        </w:rPr>
      </w:pPr>
      <w:r>
        <w:rPr>
          <w:b w:val="0"/>
          <w:bCs w:val="0"/>
        </w:rPr>
        <w:t>None.</w:t>
      </w:r>
    </w:p>
    <w:p w:rsidR="00AA1E33" w:rsidRDefault="00AA1E33" w14:paraId="2262DDB5" w14:textId="77777777">
      <w:pPr>
        <w:widowControl/>
        <w:tabs>
          <w:tab w:val="left" w:pos="-1440"/>
        </w:tabs>
        <w:ind w:left="720" w:hanging="720"/>
        <w:rPr>
          <w:b w:val="0"/>
          <w:bCs w:val="0"/>
          <w:sz w:val="24"/>
        </w:rPr>
      </w:pPr>
    </w:p>
    <w:p w:rsidRPr="008E3DFC" w:rsidR="00AA1E33" w:rsidP="004B4CFE" w:rsidRDefault="00AA1E33" w14:paraId="45E0315C" w14:textId="77777777">
      <w:pPr>
        <w:widowControl/>
        <w:tabs>
          <w:tab w:val="left" w:pos="-1440"/>
        </w:tabs>
        <w:ind w:left="720" w:hanging="720"/>
        <w:rPr>
          <w:bCs w:val="0"/>
          <w:iCs/>
          <w:sz w:val="24"/>
          <w:szCs w:val="24"/>
        </w:rPr>
      </w:pPr>
      <w:r w:rsidRPr="008E3DFC">
        <w:rPr>
          <w:bCs w:val="0"/>
          <w:sz w:val="24"/>
          <w:szCs w:val="24"/>
        </w:rPr>
        <w:t xml:space="preserve">8.  </w:t>
      </w:r>
      <w:r w:rsidR="004B4CFE">
        <w:rPr>
          <w:bCs w:val="0"/>
          <w:sz w:val="24"/>
          <w:szCs w:val="24"/>
        </w:rPr>
        <w:tab/>
      </w:r>
      <w:r w:rsidRPr="008E3DFC">
        <w:rPr>
          <w:bCs w:val="0"/>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E3DFC" w:rsidR="00AA1E33" w:rsidRDefault="00AA1E33" w14:paraId="44D270A3" w14:textId="77777777">
      <w:pPr>
        <w:widowControl/>
        <w:rPr>
          <w:bCs w:val="0"/>
          <w:iCs/>
          <w:sz w:val="24"/>
          <w:szCs w:val="24"/>
        </w:rPr>
      </w:pPr>
    </w:p>
    <w:p w:rsidRPr="008E3DFC" w:rsidR="00AA1E33" w:rsidP="004B4CFE" w:rsidRDefault="00AA1E33" w14:paraId="5837EB5D" w14:textId="77777777">
      <w:pPr>
        <w:pStyle w:val="BodyText3"/>
        <w:ind w:left="720"/>
        <w:rPr>
          <w:bCs w:val="0"/>
          <w:i w:val="0"/>
          <w:sz w:val="24"/>
          <w:szCs w:val="24"/>
        </w:rPr>
      </w:pPr>
      <w:r w:rsidRPr="008E3DFC">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3DFC" w:rsidR="00AA1E33" w:rsidP="004B4CFE" w:rsidRDefault="00AA1E33" w14:paraId="744D39EE" w14:textId="77777777">
      <w:pPr>
        <w:widowControl/>
        <w:ind w:left="720"/>
        <w:rPr>
          <w:bCs w:val="0"/>
          <w:iCs/>
          <w:sz w:val="24"/>
          <w:szCs w:val="24"/>
        </w:rPr>
      </w:pPr>
    </w:p>
    <w:p w:rsidRPr="008E3DFC" w:rsidR="00AA1E33" w:rsidP="004B4CFE" w:rsidRDefault="00AA1E33" w14:paraId="51B455EC" w14:textId="77777777">
      <w:pPr>
        <w:pStyle w:val="BodyText3"/>
        <w:ind w:left="720"/>
        <w:rPr>
          <w:i w:val="0"/>
          <w:sz w:val="24"/>
          <w:szCs w:val="24"/>
        </w:rPr>
      </w:pPr>
      <w:r w:rsidRPr="008E3DFC">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25A26" w:rsidP="0058117B" w:rsidRDefault="00625A26" w14:paraId="0E511F52" w14:textId="77777777">
      <w:pPr>
        <w:pStyle w:val="BodyText"/>
        <w:ind w:firstLine="720"/>
      </w:pPr>
    </w:p>
    <w:p w:rsidR="00413465" w:rsidP="0058117B" w:rsidRDefault="00413465" w14:paraId="592B456F" w14:textId="77777777">
      <w:pPr>
        <w:pStyle w:val="BodyText"/>
        <w:ind w:firstLine="720"/>
        <w:rPr>
          <w:bCs/>
        </w:rPr>
      </w:pPr>
    </w:p>
    <w:p w:rsidR="00413465" w:rsidP="00440796" w:rsidRDefault="00413465" w14:paraId="6C139973" w14:textId="77777777">
      <w:pPr>
        <w:pStyle w:val="BodyText"/>
        <w:rPr>
          <w:bCs/>
        </w:rPr>
      </w:pPr>
      <w:r>
        <w:rPr>
          <w:bCs/>
        </w:rPr>
        <w:t xml:space="preserve"> </w:t>
      </w:r>
      <w:r w:rsidR="00081BD9">
        <w:rPr>
          <w:bCs/>
        </w:rPr>
        <w:tab/>
      </w:r>
      <w:r>
        <w:rPr>
          <w:bCs/>
        </w:rPr>
        <w:t xml:space="preserve">The Department is seeking emergency clearance in </w:t>
      </w:r>
      <w:r>
        <w:t>accordance with the emergency review procedures set forth under 5 CFR 1320.13 and waiving of the notice requirement under the emergency clearance as set forth in 5 CFR 1320.13(d).  After emergency clearance is obtained the ICR will be submitted for review under the normal PRA procedures allowing for public review and comment.</w:t>
      </w:r>
    </w:p>
    <w:p w:rsidR="00625A26" w:rsidP="0058117B" w:rsidRDefault="00625A26" w14:paraId="46F2C0B8" w14:textId="77777777">
      <w:pPr>
        <w:pStyle w:val="BodyText"/>
        <w:ind w:firstLine="720"/>
        <w:rPr>
          <w:bCs/>
        </w:rPr>
      </w:pPr>
    </w:p>
    <w:p w:rsidR="00F32121" w:rsidP="0058117B" w:rsidRDefault="00F32121" w14:paraId="69D83B11" w14:textId="77777777">
      <w:pPr>
        <w:pStyle w:val="BodyText"/>
        <w:ind w:firstLine="720"/>
        <w:rPr>
          <w:bCs/>
        </w:rPr>
      </w:pPr>
      <w:r>
        <w:rPr>
          <w:bCs/>
        </w:rPr>
        <w:t>In drafting the</w:t>
      </w:r>
      <w:r w:rsidR="00425B89">
        <w:rPr>
          <w:bCs/>
        </w:rPr>
        <w:t xml:space="preserve"> </w:t>
      </w:r>
      <w:r w:rsidR="00682B7F">
        <w:rPr>
          <w:bCs/>
        </w:rPr>
        <w:t>notices</w:t>
      </w:r>
      <w:r w:rsidR="00425B89">
        <w:rPr>
          <w:bCs/>
        </w:rPr>
        <w:t xml:space="preserve">, </w:t>
      </w:r>
      <w:r>
        <w:rPr>
          <w:bCs/>
        </w:rPr>
        <w:t>the Department consulted with the Department of</w:t>
      </w:r>
      <w:r w:rsidR="00425B89">
        <w:rPr>
          <w:bCs/>
        </w:rPr>
        <w:t xml:space="preserve"> the</w:t>
      </w:r>
      <w:r>
        <w:rPr>
          <w:bCs/>
        </w:rPr>
        <w:t xml:space="preserve"> Treasury, Internal Revenue Service, and Department of Health and Human Services to receive their input on the format and data elements and to ensure that </w:t>
      </w:r>
      <w:r w:rsidR="00827EB7">
        <w:rPr>
          <w:bCs/>
        </w:rPr>
        <w:t xml:space="preserve">the </w:t>
      </w:r>
      <w:r>
        <w:rPr>
          <w:bCs/>
        </w:rPr>
        <w:t>burden of the information collection on respondents is minimized</w:t>
      </w:r>
      <w:r w:rsidRPr="0089317B">
        <w:rPr>
          <w:bCs/>
        </w:rPr>
        <w:t xml:space="preserve">.  </w:t>
      </w:r>
      <w:r w:rsidRPr="0089317B" w:rsidR="00440796">
        <w:rPr>
          <w:bCs/>
        </w:rPr>
        <w:t>As directed by the statute the Departments also consulted with administrators of group health plans.</w:t>
      </w:r>
    </w:p>
    <w:p w:rsidR="00A90073" w:rsidP="00D03315" w:rsidRDefault="00A90073" w14:paraId="275EEE6B" w14:textId="77777777">
      <w:pPr>
        <w:pStyle w:val="BodyText"/>
        <w:rPr>
          <w:bCs/>
        </w:rPr>
      </w:pPr>
    </w:p>
    <w:p w:rsidRPr="00C20D2D" w:rsidR="00AA1E33" w:rsidP="004B4CFE" w:rsidRDefault="00AA1E33" w14:paraId="7FED4048" w14:textId="77777777">
      <w:pPr>
        <w:widowControl/>
        <w:tabs>
          <w:tab w:val="left" w:pos="-1440"/>
        </w:tabs>
        <w:ind w:left="720" w:hanging="720"/>
        <w:rPr>
          <w:bCs w:val="0"/>
          <w:iCs/>
          <w:sz w:val="24"/>
          <w:szCs w:val="24"/>
        </w:rPr>
      </w:pPr>
      <w:r w:rsidRPr="00C20D2D">
        <w:rPr>
          <w:bCs w:val="0"/>
          <w:sz w:val="24"/>
          <w:szCs w:val="24"/>
        </w:rPr>
        <w:t xml:space="preserve">9.  </w:t>
      </w:r>
      <w:r w:rsidR="004B4CFE">
        <w:rPr>
          <w:bCs w:val="0"/>
          <w:sz w:val="24"/>
          <w:szCs w:val="24"/>
        </w:rPr>
        <w:tab/>
      </w:r>
      <w:r w:rsidRPr="00C20D2D">
        <w:rPr>
          <w:bCs w:val="0"/>
          <w:iCs/>
          <w:sz w:val="24"/>
          <w:szCs w:val="24"/>
        </w:rPr>
        <w:t>Explain any decision to provide any payment or gift to respondents, other than remuneration of contractors or grantees.</w:t>
      </w:r>
    </w:p>
    <w:p w:rsidR="00AA1E33" w:rsidRDefault="00AA1E33" w14:paraId="4BC7F9F3" w14:textId="77777777">
      <w:pPr>
        <w:widowControl/>
        <w:rPr>
          <w:b w:val="0"/>
          <w:bCs w:val="0"/>
          <w:sz w:val="24"/>
        </w:rPr>
      </w:pPr>
    </w:p>
    <w:p w:rsidR="00AA1E33" w:rsidRDefault="00AA1E33" w14:paraId="51CCB96A" w14:textId="77777777">
      <w:pPr>
        <w:pStyle w:val="BodyText"/>
        <w:ind w:firstLine="720"/>
      </w:pPr>
      <w:r>
        <w:t>None.</w:t>
      </w:r>
    </w:p>
    <w:p w:rsidR="00AA1E33" w:rsidRDefault="00AA1E33" w14:paraId="35F2050E" w14:textId="77777777">
      <w:pPr>
        <w:widowControl/>
        <w:rPr>
          <w:b w:val="0"/>
          <w:bCs w:val="0"/>
          <w:sz w:val="24"/>
        </w:rPr>
      </w:pPr>
    </w:p>
    <w:p w:rsidRPr="00C20D2D" w:rsidR="00AA1E33" w:rsidP="004B4CFE" w:rsidRDefault="00AA1E33" w14:paraId="20B8B2FE" w14:textId="77777777">
      <w:pPr>
        <w:widowControl/>
        <w:tabs>
          <w:tab w:val="left" w:pos="-1440"/>
        </w:tabs>
        <w:ind w:left="720" w:hanging="720"/>
        <w:rPr>
          <w:bCs w:val="0"/>
          <w:iCs/>
          <w:sz w:val="24"/>
          <w:szCs w:val="24"/>
        </w:rPr>
      </w:pPr>
      <w:r w:rsidRPr="00C20D2D">
        <w:rPr>
          <w:bCs w:val="0"/>
          <w:sz w:val="24"/>
          <w:szCs w:val="24"/>
        </w:rPr>
        <w:t xml:space="preserve">10.  </w:t>
      </w:r>
      <w:r w:rsidR="004B4CFE">
        <w:rPr>
          <w:bCs w:val="0"/>
          <w:sz w:val="24"/>
          <w:szCs w:val="24"/>
        </w:rPr>
        <w:tab/>
      </w:r>
      <w:r w:rsidRPr="00C20D2D">
        <w:rPr>
          <w:bCs w:val="0"/>
          <w:iCs/>
          <w:sz w:val="24"/>
          <w:szCs w:val="24"/>
        </w:rPr>
        <w:t>Describe any assurance of confidentiality provided to respondents and the basis for the assurance in statute, regulation, or agency policy.</w:t>
      </w:r>
    </w:p>
    <w:p w:rsidR="00AA1E33" w:rsidRDefault="00AA1E33" w14:paraId="68B789FF" w14:textId="77777777">
      <w:pPr>
        <w:widowControl/>
        <w:rPr>
          <w:b w:val="0"/>
          <w:bCs w:val="0"/>
          <w:sz w:val="24"/>
        </w:rPr>
      </w:pPr>
    </w:p>
    <w:p w:rsidR="00AA1E33" w:rsidRDefault="003E1E53" w14:paraId="6435DFAA" w14:textId="77777777">
      <w:pPr>
        <w:widowControl/>
        <w:rPr>
          <w:b w:val="0"/>
          <w:bCs w:val="0"/>
          <w:sz w:val="24"/>
        </w:rPr>
      </w:pPr>
      <w:r>
        <w:rPr>
          <w:b w:val="0"/>
          <w:bCs w:val="0"/>
          <w:sz w:val="24"/>
        </w:rPr>
        <w:tab/>
      </w:r>
      <w:r w:rsidR="006B78D8">
        <w:rPr>
          <w:b w:val="0"/>
          <w:bCs w:val="0"/>
          <w:sz w:val="24"/>
        </w:rPr>
        <w:t xml:space="preserve">None.  </w:t>
      </w:r>
    </w:p>
    <w:p w:rsidRPr="003E1E53" w:rsidR="003E1E53" w:rsidRDefault="003E1E53" w14:paraId="01D26968" w14:textId="77777777">
      <w:pPr>
        <w:widowControl/>
        <w:rPr>
          <w:b w:val="0"/>
          <w:bCs w:val="0"/>
          <w:sz w:val="24"/>
        </w:rPr>
      </w:pPr>
    </w:p>
    <w:p w:rsidRPr="00711BA1" w:rsidR="00AA1E33" w:rsidP="004B4CFE" w:rsidRDefault="00AA1E33" w14:paraId="00227CCC" w14:textId="77777777">
      <w:pPr>
        <w:widowControl/>
        <w:tabs>
          <w:tab w:val="left" w:pos="-1440"/>
        </w:tabs>
        <w:ind w:left="720" w:hanging="720"/>
        <w:rPr>
          <w:bCs w:val="0"/>
          <w:iCs/>
          <w:sz w:val="24"/>
          <w:szCs w:val="24"/>
        </w:rPr>
      </w:pPr>
      <w:r w:rsidRPr="00711BA1">
        <w:rPr>
          <w:bCs w:val="0"/>
          <w:sz w:val="24"/>
          <w:szCs w:val="24"/>
        </w:rPr>
        <w:t xml:space="preserve">11.  </w:t>
      </w:r>
      <w:r w:rsidR="004B4CFE">
        <w:rPr>
          <w:bCs w:val="0"/>
          <w:sz w:val="24"/>
          <w:szCs w:val="24"/>
        </w:rPr>
        <w:tab/>
      </w:r>
      <w:r w:rsidRPr="00711BA1">
        <w:rPr>
          <w:bCs w:val="0"/>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Default="00AA1E33" w14:paraId="461A5290" w14:textId="77777777">
      <w:pPr>
        <w:widowControl/>
        <w:rPr>
          <w:b w:val="0"/>
          <w:bCs w:val="0"/>
          <w:i/>
          <w:iCs/>
          <w:sz w:val="24"/>
        </w:rPr>
      </w:pPr>
    </w:p>
    <w:p w:rsidR="00AA1E33" w:rsidRDefault="003E1E53" w14:paraId="7ADE2E7A" w14:textId="77777777">
      <w:pPr>
        <w:pStyle w:val="BodyText"/>
      </w:pPr>
      <w:r>
        <w:tab/>
      </w:r>
      <w:r w:rsidR="006B78D8">
        <w:t>Not Applicable</w:t>
      </w:r>
      <w:r w:rsidR="00B542E4">
        <w:t xml:space="preserve">.  </w:t>
      </w:r>
    </w:p>
    <w:p w:rsidR="003E1E53" w:rsidRDefault="003E1E53" w14:paraId="38A9FBE7" w14:textId="77777777">
      <w:pPr>
        <w:pStyle w:val="BodyText"/>
      </w:pPr>
    </w:p>
    <w:p w:rsidRPr="00711BA1" w:rsidR="00AA1E33" w:rsidP="004B4CFE" w:rsidRDefault="00AA1E33" w14:paraId="6C3190E0" w14:textId="77777777">
      <w:pPr>
        <w:widowControl/>
        <w:tabs>
          <w:tab w:val="left" w:pos="-1440"/>
        </w:tabs>
        <w:ind w:left="720" w:hanging="720"/>
        <w:rPr>
          <w:bCs w:val="0"/>
          <w:iCs/>
          <w:sz w:val="24"/>
          <w:szCs w:val="24"/>
        </w:rPr>
      </w:pPr>
      <w:r w:rsidRPr="00711BA1">
        <w:rPr>
          <w:bCs w:val="0"/>
          <w:sz w:val="24"/>
          <w:szCs w:val="24"/>
        </w:rPr>
        <w:t>12</w:t>
      </w:r>
      <w:r w:rsidRPr="00711BA1">
        <w:rPr>
          <w:bCs w:val="0"/>
          <w:iCs/>
          <w:sz w:val="24"/>
          <w:szCs w:val="24"/>
        </w:rPr>
        <w:t xml:space="preserve">.  </w:t>
      </w:r>
      <w:r w:rsidR="004B4CFE">
        <w:rPr>
          <w:bCs w:val="0"/>
          <w:iCs/>
          <w:sz w:val="24"/>
          <w:szCs w:val="24"/>
        </w:rPr>
        <w:tab/>
      </w:r>
      <w:r w:rsidRPr="00711BA1">
        <w:rPr>
          <w:bCs w:val="0"/>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11BA1" w:rsidR="00AA1E33" w:rsidRDefault="00AA1E33" w14:paraId="448FD7E9" w14:textId="77777777">
      <w:pPr>
        <w:widowControl/>
        <w:rPr>
          <w:bCs w:val="0"/>
          <w:iCs/>
          <w:sz w:val="24"/>
          <w:szCs w:val="24"/>
        </w:rPr>
      </w:pPr>
    </w:p>
    <w:p w:rsidR="00AA1E33" w:rsidP="006E4860" w:rsidRDefault="00AA1E33" w14:paraId="5D5AED45" w14:textId="77777777">
      <w:pPr>
        <w:widowControl/>
        <w:numPr>
          <w:ilvl w:val="0"/>
          <w:numId w:val="10"/>
        </w:numPr>
        <w:tabs>
          <w:tab w:val="left" w:pos="-1440"/>
        </w:tabs>
        <w:rPr>
          <w:bCs w:val="0"/>
          <w:iCs/>
          <w:sz w:val="24"/>
          <w:szCs w:val="24"/>
        </w:rPr>
      </w:pPr>
      <w:r w:rsidRPr="002142F2">
        <w:rPr>
          <w:bCs w:val="0"/>
          <w:iCs/>
          <w:sz w:val="24"/>
          <w:szCs w:val="24"/>
        </w:rPr>
        <w:t>If this request for approval covers more than one form, provide separate hour burden estimate</w:t>
      </w:r>
      <w:r w:rsidR="002142F2">
        <w:rPr>
          <w:bCs w:val="0"/>
          <w:iCs/>
          <w:sz w:val="24"/>
          <w:szCs w:val="24"/>
        </w:rPr>
        <w:t xml:space="preserve">s for each form. </w:t>
      </w:r>
    </w:p>
    <w:p w:rsidRPr="002142F2" w:rsidR="002142F2" w:rsidP="002142F2" w:rsidRDefault="002142F2" w14:paraId="044D51ED" w14:textId="77777777">
      <w:pPr>
        <w:widowControl/>
        <w:tabs>
          <w:tab w:val="left" w:pos="-1440"/>
        </w:tabs>
        <w:ind w:left="720"/>
        <w:rPr>
          <w:bCs w:val="0"/>
          <w:iCs/>
          <w:sz w:val="24"/>
          <w:szCs w:val="24"/>
        </w:rPr>
      </w:pPr>
    </w:p>
    <w:p w:rsidRPr="00711BA1" w:rsidR="00AA1E33" w:rsidRDefault="00AA1E33" w14:paraId="254CAD1E" w14:textId="77777777">
      <w:pPr>
        <w:widowControl/>
        <w:numPr>
          <w:ilvl w:val="0"/>
          <w:numId w:val="10"/>
        </w:numPr>
        <w:tabs>
          <w:tab w:val="left" w:pos="-1440"/>
        </w:tabs>
        <w:rPr>
          <w:bCs w:val="0"/>
          <w:iCs/>
          <w:sz w:val="24"/>
          <w:szCs w:val="24"/>
        </w:rPr>
      </w:pPr>
      <w:r w:rsidRPr="00711BA1">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11BA1" w:rsidR="00AA1E33" w:rsidRDefault="00AA1E33" w14:paraId="099A1E56" w14:textId="77777777">
      <w:pPr>
        <w:widowControl/>
        <w:tabs>
          <w:tab w:val="left" w:pos="-1440"/>
        </w:tabs>
        <w:rPr>
          <w:bCs w:val="0"/>
          <w:iCs/>
          <w:sz w:val="24"/>
          <w:szCs w:val="24"/>
        </w:rPr>
      </w:pPr>
    </w:p>
    <w:p w:rsidRPr="00964E39" w:rsidR="006E6688" w:rsidP="00537E07" w:rsidRDefault="00AA1E33" w14:paraId="788A72D3" w14:textId="77777777">
      <w:pPr>
        <w:widowControl/>
        <w:numPr>
          <w:ilvl w:val="0"/>
          <w:numId w:val="10"/>
        </w:numPr>
        <w:tabs>
          <w:tab w:val="left" w:pos="-1440"/>
        </w:tabs>
        <w:rPr>
          <w:bCs w:val="0"/>
          <w:iCs/>
          <w:sz w:val="24"/>
        </w:rPr>
      </w:pPr>
      <w:r w:rsidRPr="00711BA1">
        <w:rPr>
          <w:bCs w:val="0"/>
          <w:iCs/>
          <w:sz w:val="24"/>
          <w:szCs w:val="24"/>
        </w:rPr>
        <w:t>The cost of contracting out or paying outside parties for information collection activities should not be included here.  Instead, this cost should be included in Item 14.</w:t>
      </w:r>
    </w:p>
    <w:p w:rsidR="002D6AE3" w:rsidP="00E53599" w:rsidRDefault="002D6AE3" w14:paraId="72640195" w14:textId="77777777">
      <w:pPr>
        <w:widowControl/>
        <w:tabs>
          <w:tab w:val="left" w:pos="-1440"/>
        </w:tabs>
        <w:rPr>
          <w:b w:val="0"/>
          <w:bCs w:val="0"/>
          <w:iCs/>
          <w:sz w:val="24"/>
        </w:rPr>
      </w:pPr>
    </w:p>
    <w:p w:rsidR="00C57C36" w:rsidP="00C57C36" w:rsidRDefault="00B00598" w14:paraId="019DB7EE" w14:textId="77777777">
      <w:pPr>
        <w:widowControl/>
        <w:ind w:firstLine="720"/>
        <w:rPr>
          <w:b w:val="0"/>
          <w:bCs w:val="0"/>
          <w:sz w:val="24"/>
        </w:rPr>
      </w:pPr>
      <w:r>
        <w:rPr>
          <w:b w:val="0"/>
          <w:bCs w:val="0"/>
          <w:iCs/>
          <w:sz w:val="24"/>
        </w:rPr>
        <w:t xml:space="preserve"> </w:t>
      </w:r>
      <w:r w:rsidRPr="00287458" w:rsidR="00C57C36">
        <w:rPr>
          <w:b w:val="0"/>
          <w:bCs w:val="0"/>
          <w:sz w:val="24"/>
        </w:rPr>
        <w:t xml:space="preserve">The Department estimates that approximately </w:t>
      </w:r>
      <w:r w:rsidR="00C57C36">
        <w:rPr>
          <w:b w:val="0"/>
          <w:bCs w:val="0"/>
          <w:sz w:val="24"/>
        </w:rPr>
        <w:t>726,015</w:t>
      </w:r>
      <w:r w:rsidRPr="00287458" w:rsidR="00C57C36">
        <w:rPr>
          <w:b w:val="0"/>
          <w:bCs w:val="0"/>
          <w:sz w:val="24"/>
        </w:rPr>
        <w:t xml:space="preserve"> plans with 5</w:t>
      </w:r>
      <w:r w:rsidR="00C57C36">
        <w:rPr>
          <w:b w:val="0"/>
          <w:bCs w:val="0"/>
          <w:sz w:val="24"/>
        </w:rPr>
        <w:t>6</w:t>
      </w:r>
      <w:r w:rsidRPr="00287458" w:rsidR="00C57C36">
        <w:rPr>
          <w:b w:val="0"/>
          <w:bCs w:val="0"/>
          <w:sz w:val="24"/>
        </w:rPr>
        <w:t>.8 million participants are subject to notification requirements under COBRA.</w:t>
      </w:r>
      <w:r w:rsidRPr="00287458" w:rsidR="00C57C36">
        <w:rPr>
          <w:b w:val="0"/>
          <w:bCs w:val="0"/>
          <w:sz w:val="24"/>
          <w:vertAlign w:val="superscript"/>
        </w:rPr>
        <w:footnoteReference w:id="5"/>
      </w:r>
      <w:r w:rsidRPr="00287458" w:rsidR="00C57C36">
        <w:rPr>
          <w:b w:val="0"/>
          <w:bCs w:val="0"/>
          <w:sz w:val="24"/>
        </w:rPr>
        <w:t xml:space="preserve">  </w:t>
      </w:r>
      <w:r w:rsidRPr="00564B99" w:rsidR="00C57C36">
        <w:rPr>
          <w:b w:val="0"/>
          <w:bCs w:val="0"/>
          <w:sz w:val="24"/>
        </w:rPr>
        <w:t xml:space="preserve">The </w:t>
      </w:r>
      <w:r w:rsidR="008F5ABD">
        <w:rPr>
          <w:b w:val="0"/>
          <w:bCs w:val="0"/>
          <w:sz w:val="24"/>
        </w:rPr>
        <w:t>hour burden</w:t>
      </w:r>
      <w:r w:rsidRPr="00564B99" w:rsidR="00C57C36">
        <w:rPr>
          <w:b w:val="0"/>
          <w:bCs w:val="0"/>
          <w:sz w:val="24"/>
        </w:rPr>
        <w:t xml:space="preserve"> of this information collection </w:t>
      </w:r>
      <w:r w:rsidR="00A80879">
        <w:rPr>
          <w:b w:val="0"/>
          <w:bCs w:val="0"/>
          <w:sz w:val="24"/>
        </w:rPr>
        <w:t>is</w:t>
      </w:r>
      <w:r w:rsidRPr="00564B99" w:rsidR="00C57C36">
        <w:rPr>
          <w:b w:val="0"/>
          <w:bCs w:val="0"/>
          <w:sz w:val="24"/>
        </w:rPr>
        <w:t xml:space="preserve"> limited to the completion of notices, because the Department has provided model notices plans may use to comply with the </w:t>
      </w:r>
      <w:r w:rsidRPr="006B6155" w:rsidR="00C57C36">
        <w:rPr>
          <w:b w:val="0"/>
          <w:sz w:val="24"/>
        </w:rPr>
        <w:t>AR</w:t>
      </w:r>
      <w:r w:rsidRPr="00537E07" w:rsidR="00C57C36">
        <w:rPr>
          <w:b w:val="0"/>
          <w:sz w:val="24"/>
        </w:rPr>
        <w:t>P</w:t>
      </w:r>
      <w:r w:rsidRPr="00564B99" w:rsidR="00C57C36">
        <w:rPr>
          <w:b w:val="0"/>
          <w:bCs w:val="0"/>
          <w:sz w:val="24"/>
        </w:rPr>
        <w:t xml:space="preserve"> notice requirements, and most plans are expected to use the model notices.  </w:t>
      </w:r>
    </w:p>
    <w:p w:rsidRPr="00B83534" w:rsidR="00C57C36" w:rsidP="00C57C36" w:rsidRDefault="00C57C36" w14:paraId="1AA5D03F" w14:textId="77777777">
      <w:pPr>
        <w:widowControl/>
        <w:ind w:firstLine="720"/>
        <w:rPr>
          <w:b w:val="0"/>
          <w:bCs w:val="0"/>
          <w:sz w:val="24"/>
        </w:rPr>
      </w:pPr>
    </w:p>
    <w:p w:rsidR="00C57C36" w:rsidP="00C57C36" w:rsidRDefault="00E1243C" w14:paraId="6632CFDC" w14:textId="404A7562">
      <w:pPr>
        <w:widowControl/>
        <w:ind w:firstLine="720"/>
        <w:rPr>
          <w:b w:val="0"/>
          <w:bCs w:val="0"/>
          <w:sz w:val="24"/>
        </w:rPr>
      </w:pPr>
      <w:r>
        <w:rPr>
          <w:b w:val="0"/>
          <w:bCs w:val="0"/>
          <w:sz w:val="24"/>
        </w:rPr>
        <w:t xml:space="preserve">General Notices already are required to be sent by plans that are subject to the COBRA continuation provisions under Federal law. </w:t>
      </w:r>
      <w:r w:rsidR="00E87D9F">
        <w:rPr>
          <w:b w:val="0"/>
          <w:bCs w:val="0"/>
          <w:sz w:val="24"/>
        </w:rPr>
        <w:t xml:space="preserve"> </w:t>
      </w:r>
      <w:r>
        <w:rPr>
          <w:b w:val="0"/>
          <w:bCs w:val="0"/>
          <w:sz w:val="24"/>
        </w:rPr>
        <w:t xml:space="preserve">The General Notices are included in the Department’s ICR for the existing COBRA requirements that has been approved under OMB Control Number 1210-0123. </w:t>
      </w:r>
      <w:r w:rsidR="00E87D9F">
        <w:rPr>
          <w:b w:val="0"/>
          <w:bCs w:val="0"/>
          <w:sz w:val="24"/>
        </w:rPr>
        <w:t xml:space="preserve"> </w:t>
      </w:r>
      <w:r w:rsidR="00C57C36">
        <w:rPr>
          <w:b w:val="0"/>
          <w:bCs w:val="0"/>
          <w:sz w:val="24"/>
        </w:rPr>
        <w:t xml:space="preserve">General Notices </w:t>
      </w:r>
      <w:r w:rsidRPr="00F717E1" w:rsidR="00C57C36">
        <w:rPr>
          <w:b w:val="0"/>
          <w:bCs w:val="0"/>
          <w:sz w:val="24"/>
        </w:rPr>
        <w:t>are assumed only to require information that would be provided in the normal course of business when employment is terminated</w:t>
      </w:r>
      <w:r w:rsidR="0018500E">
        <w:rPr>
          <w:b w:val="0"/>
          <w:bCs w:val="0"/>
          <w:sz w:val="24"/>
        </w:rPr>
        <w:t>,</w:t>
      </w:r>
      <w:r w:rsidR="00863181">
        <w:rPr>
          <w:b w:val="0"/>
          <w:bCs w:val="0"/>
          <w:sz w:val="24"/>
        </w:rPr>
        <w:t xml:space="preserve"> and </w:t>
      </w:r>
      <w:r w:rsidR="0018500E">
        <w:rPr>
          <w:b w:val="0"/>
          <w:bCs w:val="0"/>
          <w:sz w:val="24"/>
        </w:rPr>
        <w:t>they</w:t>
      </w:r>
      <w:r w:rsidR="00863181">
        <w:rPr>
          <w:b w:val="0"/>
          <w:bCs w:val="0"/>
          <w:sz w:val="24"/>
        </w:rPr>
        <w:t xml:space="preserve"> </w:t>
      </w:r>
      <w:r w:rsidRPr="00723C01" w:rsidR="00723C01">
        <w:rPr>
          <w:b w:val="0"/>
          <w:bCs w:val="0"/>
          <w:sz w:val="24"/>
        </w:rPr>
        <w:t xml:space="preserve">are included in most </w:t>
      </w:r>
      <w:r w:rsidR="00863181">
        <w:rPr>
          <w:b w:val="0"/>
          <w:bCs w:val="0"/>
          <w:sz w:val="24"/>
        </w:rPr>
        <w:t xml:space="preserve">plans’ </w:t>
      </w:r>
      <w:r w:rsidRPr="00723C01" w:rsidR="00723C01">
        <w:rPr>
          <w:b w:val="0"/>
          <w:bCs w:val="0"/>
          <w:sz w:val="24"/>
        </w:rPr>
        <w:t>Summary Plan Descriptions</w:t>
      </w:r>
      <w:r w:rsidR="00723C01">
        <w:rPr>
          <w:b w:val="0"/>
          <w:bCs w:val="0"/>
          <w:sz w:val="24"/>
        </w:rPr>
        <w:t>.</w:t>
      </w:r>
      <w:r w:rsidR="00E60205">
        <w:rPr>
          <w:b w:val="0"/>
          <w:bCs w:val="0"/>
          <w:sz w:val="24"/>
        </w:rPr>
        <w:t xml:space="preserve">  </w:t>
      </w:r>
      <w:r w:rsidR="00B659E5">
        <w:rPr>
          <w:b w:val="0"/>
          <w:bCs w:val="0"/>
          <w:sz w:val="24"/>
        </w:rPr>
        <w:t xml:space="preserve">This legislation would only require that plans include model notices provided by the Department </w:t>
      </w:r>
      <w:r w:rsidR="000E60C8">
        <w:rPr>
          <w:b w:val="0"/>
          <w:bCs w:val="0"/>
          <w:sz w:val="24"/>
        </w:rPr>
        <w:t>with</w:t>
      </w:r>
      <w:r w:rsidR="00B659E5">
        <w:rPr>
          <w:b w:val="0"/>
          <w:bCs w:val="0"/>
          <w:sz w:val="24"/>
        </w:rPr>
        <w:t xml:space="preserve"> the</w:t>
      </w:r>
      <w:r w:rsidR="000E60C8">
        <w:rPr>
          <w:b w:val="0"/>
          <w:bCs w:val="0"/>
          <w:sz w:val="24"/>
        </w:rPr>
        <w:t>ir</w:t>
      </w:r>
      <w:r w:rsidR="00B659E5">
        <w:rPr>
          <w:b w:val="0"/>
          <w:bCs w:val="0"/>
          <w:sz w:val="24"/>
        </w:rPr>
        <w:t xml:space="preserve"> existing General Notices</w:t>
      </w:r>
      <w:r w:rsidR="00095F69">
        <w:rPr>
          <w:b w:val="0"/>
          <w:bCs w:val="0"/>
          <w:sz w:val="24"/>
        </w:rPr>
        <w:t xml:space="preserve">. </w:t>
      </w:r>
      <w:r w:rsidR="00BA0F72">
        <w:rPr>
          <w:b w:val="0"/>
          <w:bCs w:val="0"/>
          <w:sz w:val="24"/>
        </w:rPr>
        <w:t xml:space="preserve"> </w:t>
      </w:r>
      <w:r w:rsidR="00095F69">
        <w:rPr>
          <w:b w:val="0"/>
          <w:bCs w:val="0"/>
          <w:sz w:val="24"/>
        </w:rPr>
        <w:t>Th</w:t>
      </w:r>
      <w:r>
        <w:rPr>
          <w:b w:val="0"/>
          <w:bCs w:val="0"/>
          <w:sz w:val="24"/>
        </w:rPr>
        <w:t xml:space="preserve">erefore, </w:t>
      </w:r>
      <w:r w:rsidR="00095F69">
        <w:rPr>
          <w:b w:val="0"/>
          <w:bCs w:val="0"/>
          <w:sz w:val="24"/>
        </w:rPr>
        <w:t>similar to the existing ICR</w:t>
      </w:r>
      <w:r w:rsidR="0091210D">
        <w:rPr>
          <w:b w:val="0"/>
          <w:bCs w:val="0"/>
          <w:sz w:val="24"/>
        </w:rPr>
        <w:t>,</w:t>
      </w:r>
      <w:r w:rsidR="00095F69">
        <w:rPr>
          <w:b w:val="0"/>
          <w:bCs w:val="0"/>
          <w:sz w:val="24"/>
        </w:rPr>
        <w:t xml:space="preserve"> </w:t>
      </w:r>
      <w:r>
        <w:rPr>
          <w:b w:val="0"/>
          <w:bCs w:val="0"/>
          <w:sz w:val="24"/>
        </w:rPr>
        <w:t>t</w:t>
      </w:r>
      <w:r w:rsidRPr="00E60205" w:rsidR="00E60205">
        <w:rPr>
          <w:b w:val="0"/>
          <w:bCs w:val="0"/>
          <w:sz w:val="24"/>
        </w:rPr>
        <w:t xml:space="preserve">he Department believes that satisfying the requirements of this legislation would </w:t>
      </w:r>
      <w:r w:rsidR="00095F69">
        <w:rPr>
          <w:b w:val="0"/>
          <w:bCs w:val="0"/>
          <w:sz w:val="24"/>
        </w:rPr>
        <w:t xml:space="preserve">impose </w:t>
      </w:r>
      <w:r w:rsidRPr="00E60205" w:rsidDel="0002306E" w:rsidR="00E60205">
        <w:rPr>
          <w:b w:val="0"/>
          <w:bCs w:val="0"/>
          <w:sz w:val="24"/>
        </w:rPr>
        <w:t>a de minimis</w:t>
      </w:r>
      <w:r w:rsidR="0002306E">
        <w:rPr>
          <w:b w:val="0"/>
          <w:bCs w:val="0"/>
          <w:sz w:val="24"/>
        </w:rPr>
        <w:t xml:space="preserve"> </w:t>
      </w:r>
      <w:r w:rsidR="00E60205">
        <w:rPr>
          <w:b w:val="0"/>
          <w:bCs w:val="0"/>
          <w:sz w:val="24"/>
        </w:rPr>
        <w:t>burden</w:t>
      </w:r>
      <w:r w:rsidR="0002306E">
        <w:rPr>
          <w:b w:val="0"/>
          <w:bCs w:val="0"/>
          <w:sz w:val="24"/>
        </w:rPr>
        <w:t xml:space="preserve"> for each respondent</w:t>
      </w:r>
      <w:r w:rsidR="0018500E">
        <w:rPr>
          <w:b w:val="0"/>
          <w:bCs w:val="0"/>
          <w:sz w:val="24"/>
        </w:rPr>
        <w:t xml:space="preserve">.  Accordingly, </w:t>
      </w:r>
      <w:r w:rsidR="003D2EE0">
        <w:rPr>
          <w:b w:val="0"/>
          <w:bCs w:val="0"/>
          <w:sz w:val="24"/>
        </w:rPr>
        <w:t xml:space="preserve"> </w:t>
      </w:r>
      <w:r w:rsidR="005F0065">
        <w:rPr>
          <w:b w:val="0"/>
          <w:bCs w:val="0"/>
          <w:sz w:val="24"/>
        </w:rPr>
        <w:t>the</w:t>
      </w:r>
      <w:r w:rsidR="00C57C36">
        <w:rPr>
          <w:b w:val="0"/>
          <w:bCs w:val="0"/>
          <w:sz w:val="24"/>
        </w:rPr>
        <w:t xml:space="preserve"> Department </w:t>
      </w:r>
      <w:r w:rsidR="00095F69">
        <w:rPr>
          <w:b w:val="0"/>
          <w:bCs w:val="0"/>
          <w:sz w:val="24"/>
        </w:rPr>
        <w:t xml:space="preserve">has not included </w:t>
      </w:r>
      <w:r w:rsidR="00C57C36">
        <w:rPr>
          <w:b w:val="0"/>
          <w:bCs w:val="0"/>
          <w:sz w:val="24"/>
        </w:rPr>
        <w:t>associated labor cost for General Notices</w:t>
      </w:r>
      <w:r w:rsidR="00095F69">
        <w:rPr>
          <w:b w:val="0"/>
          <w:bCs w:val="0"/>
          <w:sz w:val="24"/>
        </w:rPr>
        <w:t xml:space="preserve"> in this ICR</w:t>
      </w:r>
      <w:r w:rsidR="00C57C36">
        <w:rPr>
          <w:b w:val="0"/>
          <w:bCs w:val="0"/>
          <w:sz w:val="24"/>
        </w:rPr>
        <w:t xml:space="preserve">.  The Department estimates that </w:t>
      </w:r>
      <w:r w:rsidRPr="007D49E2" w:rsidR="00C57C36">
        <w:rPr>
          <w:b w:val="0"/>
          <w:bCs w:val="0"/>
          <w:sz w:val="24"/>
        </w:rPr>
        <w:t>10,780,847</w:t>
      </w:r>
      <w:r w:rsidR="00C57C36">
        <w:rPr>
          <w:b w:val="0"/>
          <w:bCs w:val="0"/>
          <w:sz w:val="24"/>
        </w:rPr>
        <w:t xml:space="preserve"> General Notices will be distributed</w:t>
      </w:r>
      <w:r w:rsidR="00F132E8">
        <w:rPr>
          <w:b w:val="0"/>
          <w:bCs w:val="0"/>
          <w:sz w:val="24"/>
        </w:rPr>
        <w:t xml:space="preserve"> during the covered period</w:t>
      </w:r>
      <w:r w:rsidR="00C57C36">
        <w:rPr>
          <w:b w:val="0"/>
          <w:bCs w:val="0"/>
          <w:sz w:val="24"/>
        </w:rPr>
        <w:t>.</w:t>
      </w:r>
      <w:r w:rsidRPr="00537E07" w:rsidR="00C57C36">
        <w:rPr>
          <w:rStyle w:val="FootnoteReference"/>
          <w:b w:val="0"/>
          <w:bCs w:val="0"/>
          <w:sz w:val="24"/>
          <w:vertAlign w:val="superscript"/>
        </w:rPr>
        <w:footnoteReference w:id="6"/>
      </w:r>
    </w:p>
    <w:p w:rsidR="00C57C36" w:rsidP="00C57C36" w:rsidRDefault="00C57C36" w14:paraId="465D217F" w14:textId="77777777">
      <w:pPr>
        <w:widowControl/>
        <w:ind w:firstLine="720"/>
        <w:rPr>
          <w:b w:val="0"/>
          <w:bCs w:val="0"/>
          <w:sz w:val="24"/>
        </w:rPr>
      </w:pPr>
    </w:p>
    <w:p w:rsidR="00BC2FB0" w:rsidP="00271264" w:rsidRDefault="00C57C36" w14:paraId="7DDADCF3" w14:textId="77777777">
      <w:pPr>
        <w:widowControl/>
        <w:ind w:firstLine="720"/>
        <w:rPr>
          <w:b w:val="0"/>
          <w:bCs w:val="0"/>
          <w:iCs/>
          <w:sz w:val="24"/>
        </w:rPr>
      </w:pPr>
      <w:r w:rsidRPr="00F717E1">
        <w:rPr>
          <w:b w:val="0"/>
          <w:bCs w:val="0"/>
          <w:sz w:val="24"/>
        </w:rPr>
        <w:t xml:space="preserve">The Department has assumed that service providers will use an administrative assistant to complete </w:t>
      </w:r>
      <w:r>
        <w:rPr>
          <w:b w:val="0"/>
          <w:bCs w:val="0"/>
          <w:sz w:val="24"/>
        </w:rPr>
        <w:t xml:space="preserve">Notices in Connection with Extended Election Periods, Alternative Notices, and Notices of Expiration of Premium Assistance.  </w:t>
      </w:r>
      <w:r w:rsidRPr="00B83534">
        <w:rPr>
          <w:b w:val="0"/>
          <w:bCs w:val="0"/>
          <w:sz w:val="24"/>
        </w:rPr>
        <w:t>It is estimated that an</w:t>
      </w:r>
      <w:r>
        <w:rPr>
          <w:b w:val="0"/>
          <w:bCs w:val="0"/>
          <w:sz w:val="24"/>
        </w:rPr>
        <w:t xml:space="preserve"> administrative</w:t>
      </w:r>
      <w:r w:rsidRPr="00B83534">
        <w:rPr>
          <w:b w:val="0"/>
          <w:bCs w:val="0"/>
          <w:sz w:val="24"/>
        </w:rPr>
        <w:t xml:space="preserve"> assistant will require </w:t>
      </w:r>
      <w:r>
        <w:rPr>
          <w:b w:val="0"/>
          <w:bCs w:val="0"/>
          <w:sz w:val="24"/>
        </w:rPr>
        <w:t>1 minute</w:t>
      </w:r>
      <w:r w:rsidRPr="00B83534">
        <w:rPr>
          <w:b w:val="0"/>
          <w:bCs w:val="0"/>
          <w:sz w:val="24"/>
        </w:rPr>
        <w:t xml:space="preserve"> at $55.14 per hour,</w:t>
      </w:r>
      <w:r w:rsidRPr="00B83534">
        <w:rPr>
          <w:b w:val="0"/>
          <w:bCs w:val="0"/>
          <w:sz w:val="24"/>
          <w:vertAlign w:val="superscript"/>
        </w:rPr>
        <w:footnoteReference w:id="7"/>
      </w:r>
      <w:r w:rsidRPr="00B83534">
        <w:rPr>
          <w:b w:val="0"/>
          <w:bCs w:val="0"/>
          <w:sz w:val="24"/>
        </w:rPr>
        <w:t xml:space="preserve"> to complete </w:t>
      </w:r>
      <w:r w:rsidRPr="003351EF">
        <w:rPr>
          <w:b w:val="0"/>
          <w:bCs w:val="0"/>
          <w:sz w:val="24"/>
        </w:rPr>
        <w:t>21,174,586</w:t>
      </w:r>
      <w:r w:rsidRPr="00537E07">
        <w:rPr>
          <w:rStyle w:val="FootnoteReference"/>
          <w:b w:val="0"/>
          <w:bCs w:val="0"/>
          <w:sz w:val="24"/>
          <w:vertAlign w:val="superscript"/>
        </w:rPr>
        <w:footnoteReference w:id="8"/>
      </w:r>
      <w:r w:rsidRPr="00537E07">
        <w:rPr>
          <w:b w:val="0"/>
          <w:sz w:val="24"/>
          <w:vertAlign w:val="superscript"/>
        </w:rPr>
        <w:t xml:space="preserve"> </w:t>
      </w:r>
      <w:r w:rsidRPr="00384745">
        <w:rPr>
          <w:b w:val="0"/>
          <w:bCs w:val="0"/>
          <w:sz w:val="24"/>
        </w:rPr>
        <w:t xml:space="preserve">Notices in Connection with Extended Election Periods </w:t>
      </w:r>
      <w:r w:rsidRPr="00B83534">
        <w:rPr>
          <w:b w:val="0"/>
          <w:bCs w:val="0"/>
          <w:sz w:val="24"/>
        </w:rPr>
        <w:t>(</w:t>
      </w:r>
      <w:r w:rsidRPr="0009704E">
        <w:rPr>
          <w:b w:val="0"/>
          <w:bCs w:val="0"/>
          <w:sz w:val="24"/>
        </w:rPr>
        <w:t>$</w:t>
      </w:r>
      <w:r w:rsidRPr="00C47DF8">
        <w:rPr>
          <w:b w:val="0"/>
          <w:bCs w:val="0"/>
          <w:sz w:val="24"/>
        </w:rPr>
        <w:t>19,459,445</w:t>
      </w:r>
      <w:r w:rsidRPr="00B83534">
        <w:rPr>
          <w:b w:val="0"/>
          <w:bCs w:val="0"/>
          <w:sz w:val="24"/>
        </w:rPr>
        <w:t>)</w:t>
      </w:r>
      <w:r>
        <w:rPr>
          <w:b w:val="0"/>
          <w:bCs w:val="0"/>
          <w:sz w:val="24"/>
        </w:rPr>
        <w:t xml:space="preserve"> and 1 minute at $55.14 per hour to complete</w:t>
      </w:r>
      <w:r w:rsidRPr="00537E07">
        <w:rPr>
          <w:b w:val="0"/>
          <w:sz w:val="24"/>
          <w:szCs w:val="24"/>
        </w:rPr>
        <w:t xml:space="preserve"> 7,235,615</w:t>
      </w:r>
      <w:r w:rsidRPr="00537E07">
        <w:rPr>
          <w:b w:val="0"/>
          <w:sz w:val="24"/>
          <w:szCs w:val="24"/>
          <w:highlight w:val="yellow"/>
        </w:rPr>
        <w:t xml:space="preserve"> </w:t>
      </w:r>
      <w:r w:rsidRPr="00AD2C96">
        <w:rPr>
          <w:b w:val="0"/>
          <w:sz w:val="24"/>
          <w:szCs w:val="24"/>
        </w:rPr>
        <w:t>Notices of Expiration of Premium Assistance</w:t>
      </w:r>
      <w:r w:rsidRPr="00537E07">
        <w:rPr>
          <w:rStyle w:val="FootnoteReference"/>
          <w:b w:val="0"/>
          <w:sz w:val="24"/>
          <w:szCs w:val="24"/>
          <w:vertAlign w:val="superscript"/>
        </w:rPr>
        <w:footnoteReference w:id="9"/>
      </w:r>
      <w:r w:rsidRPr="00537E07">
        <w:rPr>
          <w:b w:val="0"/>
          <w:sz w:val="24"/>
          <w:szCs w:val="24"/>
          <w:vertAlign w:val="superscript"/>
        </w:rPr>
        <w:t xml:space="preserve"> </w:t>
      </w:r>
      <w:r w:rsidRPr="00AD2C96">
        <w:rPr>
          <w:b w:val="0"/>
          <w:sz w:val="24"/>
          <w:szCs w:val="24"/>
        </w:rPr>
        <w:t>($</w:t>
      </w:r>
      <w:r w:rsidRPr="00537E07">
        <w:rPr>
          <w:b w:val="0"/>
          <w:bCs w:val="0"/>
          <w:sz w:val="24"/>
          <w:szCs w:val="24"/>
        </w:rPr>
        <w:t>6,649,530</w:t>
      </w:r>
      <w:r w:rsidRPr="00AD2C96">
        <w:rPr>
          <w:b w:val="0"/>
          <w:sz w:val="24"/>
          <w:szCs w:val="24"/>
        </w:rPr>
        <w:t>).</w:t>
      </w:r>
      <w:r w:rsidRPr="00B83534">
        <w:rPr>
          <w:b w:val="0"/>
          <w:bCs w:val="0"/>
          <w:sz w:val="24"/>
        </w:rPr>
        <w:t xml:space="preserve">  </w:t>
      </w:r>
      <w:r w:rsidRPr="00926253">
        <w:rPr>
          <w:b w:val="0"/>
          <w:bCs w:val="0"/>
          <w:sz w:val="24"/>
        </w:rPr>
        <w:t xml:space="preserve">Because the Alternative Notice requires additional information regarding state mini-COBRA laws and the individuals remaining eligibility for coverage, the Department presumes that an </w:t>
      </w:r>
      <w:r>
        <w:rPr>
          <w:b w:val="0"/>
          <w:bCs w:val="0"/>
          <w:sz w:val="24"/>
        </w:rPr>
        <w:t xml:space="preserve">administrative </w:t>
      </w:r>
      <w:r w:rsidRPr="00926253">
        <w:rPr>
          <w:b w:val="0"/>
          <w:bCs w:val="0"/>
          <w:sz w:val="24"/>
        </w:rPr>
        <w:t>assistant would require</w:t>
      </w:r>
      <w:r>
        <w:rPr>
          <w:b w:val="0"/>
          <w:bCs w:val="0"/>
          <w:sz w:val="24"/>
        </w:rPr>
        <w:t xml:space="preserve"> two</w:t>
      </w:r>
      <w:r w:rsidRPr="00B83534">
        <w:rPr>
          <w:b w:val="0"/>
          <w:bCs w:val="0"/>
          <w:sz w:val="24"/>
        </w:rPr>
        <w:t xml:space="preserve"> minute</w:t>
      </w:r>
      <w:r>
        <w:rPr>
          <w:b w:val="0"/>
          <w:bCs w:val="0"/>
          <w:sz w:val="24"/>
        </w:rPr>
        <w:t>s</w:t>
      </w:r>
      <w:r w:rsidRPr="00B83534">
        <w:rPr>
          <w:b w:val="0"/>
          <w:bCs w:val="0"/>
          <w:sz w:val="24"/>
        </w:rPr>
        <w:t xml:space="preserve"> at $55.14 per hour to complete </w:t>
      </w:r>
      <w:r w:rsidRPr="00836056">
        <w:rPr>
          <w:b w:val="0"/>
          <w:bCs w:val="0"/>
          <w:sz w:val="24"/>
        </w:rPr>
        <w:t>2,</w:t>
      </w:r>
      <w:r>
        <w:rPr>
          <w:b w:val="0"/>
          <w:bCs w:val="0"/>
          <w:sz w:val="24"/>
        </w:rPr>
        <w:t>264,397</w:t>
      </w:r>
      <w:r w:rsidRPr="00836056">
        <w:rPr>
          <w:b w:val="0"/>
          <w:bCs w:val="0"/>
          <w:sz w:val="24"/>
        </w:rPr>
        <w:t xml:space="preserve"> </w:t>
      </w:r>
      <w:r>
        <w:rPr>
          <w:b w:val="0"/>
          <w:bCs w:val="0"/>
          <w:sz w:val="24"/>
        </w:rPr>
        <w:t>Alternative Notices</w:t>
      </w:r>
      <w:r w:rsidRPr="00537E07">
        <w:rPr>
          <w:rStyle w:val="FootnoteReference"/>
          <w:b w:val="0"/>
          <w:bCs w:val="0"/>
          <w:sz w:val="24"/>
          <w:vertAlign w:val="superscript"/>
        </w:rPr>
        <w:footnoteReference w:id="10"/>
      </w:r>
      <w:r w:rsidRPr="00B83534">
        <w:rPr>
          <w:b w:val="0"/>
          <w:bCs w:val="0"/>
          <w:sz w:val="24"/>
        </w:rPr>
        <w:t xml:space="preserve"> (</w:t>
      </w:r>
      <w:r w:rsidRPr="00836056">
        <w:rPr>
          <w:b w:val="0"/>
          <w:bCs w:val="0"/>
          <w:sz w:val="24"/>
        </w:rPr>
        <w:t>$4,</w:t>
      </w:r>
      <w:r>
        <w:rPr>
          <w:b w:val="0"/>
          <w:bCs w:val="0"/>
          <w:sz w:val="24"/>
        </w:rPr>
        <w:t>161,962</w:t>
      </w:r>
      <w:r w:rsidRPr="00B83534">
        <w:rPr>
          <w:b w:val="0"/>
          <w:bCs w:val="0"/>
          <w:sz w:val="24"/>
        </w:rPr>
        <w:t>)</w:t>
      </w:r>
      <w:r>
        <w:rPr>
          <w:b w:val="0"/>
          <w:bCs w:val="0"/>
          <w:sz w:val="24"/>
        </w:rPr>
        <w:t xml:space="preserve">.  The total </w:t>
      </w:r>
      <w:r w:rsidR="0027346E">
        <w:rPr>
          <w:b w:val="0"/>
          <w:bCs w:val="0"/>
          <w:sz w:val="24"/>
        </w:rPr>
        <w:t xml:space="preserve">labor hour equivalent </w:t>
      </w:r>
      <w:r>
        <w:rPr>
          <w:b w:val="0"/>
          <w:bCs w:val="0"/>
          <w:sz w:val="24"/>
        </w:rPr>
        <w:t xml:space="preserve">cost associated with these notices is </w:t>
      </w:r>
      <w:r w:rsidRPr="0027346E" w:rsidR="0027346E">
        <w:rPr>
          <w:b w:val="0"/>
          <w:bCs w:val="0"/>
          <w:sz w:val="24"/>
        </w:rPr>
        <w:t>$30,270,937</w:t>
      </w:r>
      <w:r w:rsidR="0027346E">
        <w:rPr>
          <w:b w:val="0"/>
          <w:bCs w:val="0"/>
          <w:sz w:val="24"/>
        </w:rPr>
        <w:t>.</w:t>
      </w:r>
    </w:p>
    <w:p w:rsidR="0081267B" w:rsidP="00537E07" w:rsidRDefault="0081267B" w14:paraId="505B51FC" w14:textId="77777777">
      <w:pPr>
        <w:widowControl/>
        <w:rPr>
          <w:b w:val="0"/>
          <w:bCs w:val="0"/>
          <w:iCs/>
          <w:sz w:val="24"/>
        </w:rPr>
      </w:pPr>
    </w:p>
    <w:p w:rsidRPr="00537E07" w:rsidR="007D46A1" w:rsidP="00537E07" w:rsidRDefault="00964E39" w14:paraId="5A650630" w14:textId="77777777">
      <w:pPr>
        <w:widowControl/>
        <w:ind w:firstLine="630"/>
        <w:rPr>
          <w:b w:val="0"/>
          <w:bCs w:val="0"/>
          <w:iCs/>
          <w:sz w:val="24"/>
        </w:rPr>
      </w:pPr>
      <w:r>
        <w:rPr>
          <w:b w:val="0"/>
          <w:bCs w:val="0"/>
          <w:iCs/>
          <w:sz w:val="24"/>
        </w:rPr>
        <w:t>T</w:t>
      </w:r>
      <w:r w:rsidR="0081267B">
        <w:rPr>
          <w:b w:val="0"/>
          <w:bCs w:val="0"/>
          <w:iCs/>
          <w:sz w:val="24"/>
        </w:rPr>
        <w:t xml:space="preserve">he </w:t>
      </w:r>
      <w:r>
        <w:rPr>
          <w:b w:val="0"/>
          <w:bCs w:val="0"/>
          <w:iCs/>
          <w:sz w:val="24"/>
        </w:rPr>
        <w:t xml:space="preserve">total </w:t>
      </w:r>
      <w:r w:rsidR="0081267B">
        <w:rPr>
          <w:b w:val="0"/>
          <w:bCs w:val="0"/>
          <w:iCs/>
          <w:sz w:val="24"/>
        </w:rPr>
        <w:t>labor hour burden</w:t>
      </w:r>
      <w:r w:rsidR="00BC2FB0">
        <w:rPr>
          <w:b w:val="0"/>
          <w:bCs w:val="0"/>
          <w:iCs/>
          <w:sz w:val="24"/>
        </w:rPr>
        <w:t xml:space="preserve"> for this information collection </w:t>
      </w:r>
      <w:r w:rsidR="0081267B">
        <w:rPr>
          <w:b w:val="0"/>
          <w:bCs w:val="0"/>
          <w:iCs/>
          <w:sz w:val="24"/>
        </w:rPr>
        <w:t xml:space="preserve">is </w:t>
      </w:r>
      <w:r w:rsidRPr="0027346E" w:rsidR="0027346E">
        <w:rPr>
          <w:b w:val="0"/>
          <w:bCs w:val="0"/>
          <w:iCs/>
          <w:sz w:val="24"/>
        </w:rPr>
        <w:t>548,983</w:t>
      </w:r>
      <w:r w:rsidR="0081267B">
        <w:rPr>
          <w:b w:val="0"/>
          <w:bCs w:val="0"/>
          <w:iCs/>
          <w:sz w:val="24"/>
        </w:rPr>
        <w:t>.</w:t>
      </w:r>
    </w:p>
    <w:p w:rsidR="00EC3115" w:rsidP="00A5358B" w:rsidRDefault="00EC3115" w14:paraId="70AB50E0" w14:textId="77777777">
      <w:pPr>
        <w:rPr>
          <w:bCs w:val="0"/>
          <w:sz w:val="24"/>
          <w:szCs w:val="24"/>
        </w:rPr>
      </w:pPr>
    </w:p>
    <w:p w:rsidR="00942EBE" w:rsidP="00E914FE" w:rsidRDefault="00942EBE" w14:paraId="774AA1B9" w14:textId="77777777">
      <w:pPr>
        <w:ind w:left="720"/>
        <w:jc w:val="center"/>
        <w:rPr>
          <w:bCs w:val="0"/>
          <w:sz w:val="24"/>
          <w:szCs w:val="24"/>
        </w:rPr>
      </w:pPr>
    </w:p>
    <w:p w:rsidR="00B627E5" w:rsidP="00E914FE" w:rsidRDefault="00E914FE" w14:paraId="052B3C42" w14:textId="77777777">
      <w:pPr>
        <w:ind w:left="720"/>
        <w:jc w:val="center"/>
        <w:rPr>
          <w:bCs w:val="0"/>
          <w:sz w:val="24"/>
          <w:szCs w:val="24"/>
        </w:rPr>
      </w:pPr>
      <w:r w:rsidRPr="00E914FE">
        <w:rPr>
          <w:bCs w:val="0"/>
          <w:sz w:val="24"/>
          <w:szCs w:val="24"/>
        </w:rPr>
        <w:t>Estimated</w:t>
      </w:r>
    </w:p>
    <w:p w:rsidR="00E914FE" w:rsidP="00E914FE" w:rsidRDefault="00E914FE" w14:paraId="66B361CD" w14:textId="77777777">
      <w:pPr>
        <w:ind w:left="720"/>
        <w:jc w:val="center"/>
        <w:rPr>
          <w:bCs w:val="0"/>
          <w:sz w:val="24"/>
          <w:szCs w:val="24"/>
        </w:rPr>
      </w:pPr>
      <w:r w:rsidRPr="00E914FE">
        <w:rPr>
          <w:bCs w:val="0"/>
          <w:sz w:val="24"/>
          <w:szCs w:val="24"/>
        </w:rPr>
        <w:t xml:space="preserve"> Annualized Respondent Cost and Hour Burden</w:t>
      </w:r>
    </w:p>
    <w:p w:rsidRPr="00E914FE" w:rsidR="00E914FE" w:rsidP="00E914FE" w:rsidRDefault="00E914FE" w14:paraId="0ABBEDA9" w14:textId="77777777">
      <w:pPr>
        <w:ind w:left="720"/>
        <w:jc w:val="center"/>
        <w:rPr>
          <w:b w:val="0"/>
          <w:bCs w:val="0"/>
          <w:i/>
          <w:sz w:val="24"/>
          <w:szCs w:val="24"/>
        </w:rPr>
      </w:pP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35"/>
        <w:gridCol w:w="1391"/>
        <w:gridCol w:w="1307"/>
        <w:gridCol w:w="1186"/>
        <w:gridCol w:w="1166"/>
        <w:gridCol w:w="983"/>
        <w:gridCol w:w="896"/>
        <w:gridCol w:w="1216"/>
      </w:tblGrid>
      <w:tr w:rsidRPr="00E5072A" w:rsidR="00A36454" w:rsidTr="00E77C4B" w14:paraId="0F7D8F3F" w14:textId="77777777">
        <w:trPr>
          <w:trHeight w:val="296"/>
        </w:trPr>
        <w:tc>
          <w:tcPr>
            <w:tcW w:w="216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072A" w:rsidR="00E914FE" w:rsidP="00E914FE" w:rsidRDefault="00E914FE" w14:paraId="66992D5B" w14:textId="77777777">
            <w:pPr>
              <w:spacing w:line="276" w:lineRule="auto"/>
              <w:jc w:val="center"/>
              <w:rPr>
                <w:bCs w:val="0"/>
              </w:rPr>
            </w:pPr>
            <w:r w:rsidRPr="00E5072A">
              <w:rPr>
                <w:bCs w:val="0"/>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072A" w:rsidR="00E914FE" w:rsidP="00E914FE" w:rsidRDefault="00E914FE" w14:paraId="1D6DE868" w14:textId="77777777">
            <w:pPr>
              <w:spacing w:line="276" w:lineRule="auto"/>
              <w:jc w:val="center"/>
              <w:rPr>
                <w:bCs w:val="0"/>
              </w:rPr>
            </w:pPr>
            <w:r w:rsidRPr="00E5072A">
              <w:rPr>
                <w:bCs w:val="0"/>
              </w:rPr>
              <w:t>No. of Respondents</w:t>
            </w:r>
          </w:p>
        </w:tc>
        <w:tc>
          <w:tcPr>
            <w:tcW w:w="1330" w:type="dxa"/>
            <w:tcBorders>
              <w:top w:val="single" w:color="auto" w:sz="4" w:space="0"/>
              <w:left w:val="single" w:color="auto" w:sz="4" w:space="0"/>
              <w:bottom w:val="single" w:color="auto" w:sz="4" w:space="0"/>
              <w:right w:val="single" w:color="auto" w:sz="4" w:space="0"/>
            </w:tcBorders>
            <w:shd w:val="clear" w:color="auto" w:fill="8DB3E2"/>
            <w:vAlign w:val="center"/>
          </w:tcPr>
          <w:p w:rsidRPr="00E5072A" w:rsidR="00E914FE" w:rsidP="00E914FE" w:rsidRDefault="00E914FE" w14:paraId="1C79AA49" w14:textId="77777777">
            <w:pPr>
              <w:spacing w:line="276" w:lineRule="auto"/>
              <w:jc w:val="center"/>
              <w:rPr>
                <w:bCs w:val="0"/>
              </w:rPr>
            </w:pPr>
          </w:p>
          <w:p w:rsidRPr="00E5072A" w:rsidR="00E914FE" w:rsidP="00E914FE" w:rsidRDefault="00E914FE" w14:paraId="02867775" w14:textId="77777777">
            <w:pPr>
              <w:spacing w:line="276" w:lineRule="auto"/>
              <w:jc w:val="center"/>
              <w:rPr>
                <w:bCs w:val="0"/>
              </w:rPr>
            </w:pPr>
            <w:r w:rsidRPr="00E5072A">
              <w:rPr>
                <w:bCs w:val="0"/>
              </w:rPr>
              <w:t xml:space="preserve">No. of Responses </w:t>
            </w:r>
          </w:p>
          <w:p w:rsidRPr="00E5072A" w:rsidR="00E914FE" w:rsidP="00E914FE" w:rsidRDefault="00E914FE" w14:paraId="7BA17B2C" w14:textId="77777777">
            <w:pPr>
              <w:spacing w:line="276" w:lineRule="auto"/>
              <w:jc w:val="center"/>
              <w:rPr>
                <w:bCs w:val="0"/>
              </w:rPr>
            </w:pPr>
            <w:r w:rsidRPr="00E5072A">
              <w:rPr>
                <w:bCs w:val="0"/>
              </w:rPr>
              <w:t>per Respondent</w:t>
            </w:r>
          </w:p>
        </w:tc>
        <w:tc>
          <w:tcPr>
            <w:tcW w:w="120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072A" w:rsidR="00E914FE" w:rsidP="00E914FE" w:rsidRDefault="00E914FE" w14:paraId="7CFF459D" w14:textId="77777777">
            <w:pPr>
              <w:spacing w:line="276" w:lineRule="auto"/>
              <w:jc w:val="center"/>
              <w:rPr>
                <w:bCs w:val="0"/>
              </w:rPr>
            </w:pPr>
            <w:r w:rsidRPr="00E5072A">
              <w:rPr>
                <w:bCs w:val="0"/>
              </w:rPr>
              <w:t>Total Responses</w:t>
            </w:r>
          </w:p>
        </w:tc>
        <w:tc>
          <w:tcPr>
            <w:tcW w:w="10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072A" w:rsidR="00E914FE" w:rsidP="00E914FE" w:rsidRDefault="00E914FE" w14:paraId="681E87E7" w14:textId="77777777">
            <w:pPr>
              <w:spacing w:line="276" w:lineRule="auto"/>
              <w:jc w:val="center"/>
              <w:rPr>
                <w:bCs w:val="0"/>
              </w:rPr>
            </w:pPr>
            <w:r w:rsidRPr="00E5072A">
              <w:rPr>
                <w:bCs w:val="0"/>
              </w:rPr>
              <w:t>Average Burden (Hours)</w:t>
            </w:r>
          </w:p>
        </w:tc>
        <w:tc>
          <w:tcPr>
            <w:tcW w:w="101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072A" w:rsidR="00E914FE" w:rsidP="00E914FE" w:rsidRDefault="00E914FE" w14:paraId="76508A19" w14:textId="77777777">
            <w:pPr>
              <w:spacing w:line="276" w:lineRule="auto"/>
              <w:jc w:val="center"/>
              <w:rPr>
                <w:bCs w:val="0"/>
              </w:rPr>
            </w:pPr>
            <w:r w:rsidRPr="00E5072A">
              <w:rPr>
                <w:bCs w:val="0"/>
              </w:rPr>
              <w:t>Total Burden (Hours)</w:t>
            </w:r>
          </w:p>
        </w:tc>
        <w:tc>
          <w:tcPr>
            <w:tcW w:w="91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072A" w:rsidR="00E914FE" w:rsidP="00E914FE" w:rsidRDefault="00E914FE" w14:paraId="0ACED17A" w14:textId="77777777">
            <w:pPr>
              <w:spacing w:line="276" w:lineRule="auto"/>
              <w:jc w:val="center"/>
              <w:rPr>
                <w:bCs w:val="0"/>
              </w:rPr>
            </w:pPr>
            <w:r w:rsidRPr="00E5072A">
              <w:rPr>
                <w:bCs w:val="0"/>
              </w:rPr>
              <w:t>Hourly</w:t>
            </w:r>
          </w:p>
          <w:p w:rsidRPr="00E5072A" w:rsidR="00E914FE" w:rsidP="00E914FE" w:rsidRDefault="00E914FE" w14:paraId="3B46FA7B" w14:textId="77777777">
            <w:pPr>
              <w:spacing w:line="276" w:lineRule="auto"/>
              <w:jc w:val="center"/>
              <w:rPr>
                <w:bCs w:val="0"/>
              </w:rPr>
            </w:pPr>
            <w:r w:rsidRPr="00E5072A">
              <w:rPr>
                <w:bCs w:val="0"/>
              </w:rPr>
              <w:t>Wage Rate</w:t>
            </w:r>
          </w:p>
        </w:tc>
        <w:tc>
          <w:tcPr>
            <w:tcW w:w="10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5072A" w:rsidR="00E914FE" w:rsidP="00E914FE" w:rsidRDefault="00E914FE" w14:paraId="2D040D43" w14:textId="77777777">
            <w:pPr>
              <w:spacing w:line="276" w:lineRule="auto"/>
              <w:jc w:val="center"/>
              <w:rPr>
                <w:bCs w:val="0"/>
              </w:rPr>
            </w:pPr>
            <w:r w:rsidRPr="00E5072A">
              <w:rPr>
                <w:bCs w:val="0"/>
              </w:rPr>
              <w:t>Total Burden Cost</w:t>
            </w:r>
          </w:p>
        </w:tc>
      </w:tr>
      <w:tr w:rsidRPr="00E5072A" w:rsidR="00964E39" w:rsidTr="00936120" w14:paraId="278ED3B6" w14:textId="77777777">
        <w:tc>
          <w:tcPr>
            <w:tcW w:w="2161" w:type="dxa"/>
            <w:tcBorders>
              <w:top w:val="single" w:color="auto" w:sz="4" w:space="0"/>
              <w:left w:val="single" w:color="auto" w:sz="4" w:space="0"/>
              <w:bottom w:val="single" w:color="auto" w:sz="4" w:space="0"/>
              <w:right w:val="single" w:color="auto" w:sz="4" w:space="0"/>
            </w:tcBorders>
            <w:vAlign w:val="center"/>
            <w:hideMark/>
          </w:tcPr>
          <w:p w:rsidRPr="00E5072A" w:rsidR="00964E39" w:rsidP="00394607" w:rsidRDefault="00964E39" w14:paraId="5EED1770" w14:textId="77777777">
            <w:pPr>
              <w:spacing w:line="276" w:lineRule="auto"/>
              <w:rPr>
                <w:b w:val="0"/>
                <w:bCs w:val="0"/>
              </w:rPr>
            </w:pPr>
            <w:r w:rsidRPr="00E5072A">
              <w:rPr>
                <w:b w:val="0"/>
                <w:iCs/>
              </w:rPr>
              <w:t>General Notices</w:t>
            </w:r>
          </w:p>
        </w:tc>
        <w:tc>
          <w:tcPr>
            <w:tcW w:w="1415" w:type="dxa"/>
            <w:tcBorders>
              <w:top w:val="single" w:color="auto" w:sz="4" w:space="0"/>
              <w:left w:val="single" w:color="auto" w:sz="4" w:space="0"/>
              <w:bottom w:val="single" w:color="auto" w:sz="4" w:space="0"/>
              <w:right w:val="single" w:color="auto" w:sz="4" w:space="0"/>
            </w:tcBorders>
            <w:vAlign w:val="center"/>
          </w:tcPr>
          <w:p w:rsidRPr="00E5072A" w:rsidR="00964E39" w:rsidP="000648E7" w:rsidRDefault="00964E39" w14:paraId="48A8FC54" w14:textId="77777777">
            <w:pPr>
              <w:jc w:val="center"/>
              <w:rPr>
                <w:b w:val="0"/>
              </w:rPr>
            </w:pPr>
            <w:r w:rsidRPr="00E5072A">
              <w:rPr>
                <w:b w:val="0"/>
                <w:bCs w:val="0"/>
              </w:rPr>
              <w:t>726,015</w:t>
            </w:r>
          </w:p>
        </w:tc>
        <w:tc>
          <w:tcPr>
            <w:tcW w:w="133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15E4F7C9" w14:textId="77777777">
            <w:pPr>
              <w:spacing w:line="276" w:lineRule="auto"/>
              <w:jc w:val="center"/>
              <w:rPr>
                <w:b w:val="0"/>
                <w:bCs w:val="0"/>
              </w:rPr>
            </w:pPr>
            <w:r w:rsidRPr="00E5072A">
              <w:rPr>
                <w:b w:val="0"/>
                <w:bCs w:val="0"/>
              </w:rPr>
              <w:t>14.849345</w:t>
            </w:r>
          </w:p>
        </w:tc>
        <w:tc>
          <w:tcPr>
            <w:tcW w:w="120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0C02A89F" w14:textId="77777777">
            <w:pPr>
              <w:spacing w:line="276" w:lineRule="auto"/>
              <w:jc w:val="center"/>
              <w:rPr>
                <w:b w:val="0"/>
                <w:bCs w:val="0"/>
              </w:rPr>
            </w:pPr>
            <w:r w:rsidRPr="00E5072A">
              <w:rPr>
                <w:b w:val="0"/>
                <w:bCs w:val="0"/>
              </w:rPr>
              <w:t>10,780,847</w:t>
            </w:r>
          </w:p>
        </w:tc>
        <w:tc>
          <w:tcPr>
            <w:tcW w:w="100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5D0BA3FE" w14:textId="77777777">
            <w:pPr>
              <w:spacing w:line="276" w:lineRule="auto"/>
              <w:jc w:val="center"/>
              <w:rPr>
                <w:b w:val="0"/>
                <w:bCs w:val="0"/>
              </w:rPr>
            </w:pPr>
            <w:r w:rsidRPr="00E5072A">
              <w:rPr>
                <w:b w:val="0"/>
                <w:bCs w:val="0"/>
              </w:rPr>
              <w:t>0</w:t>
            </w:r>
          </w:p>
        </w:tc>
        <w:tc>
          <w:tcPr>
            <w:tcW w:w="1012"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229F2503" w14:textId="77777777">
            <w:pPr>
              <w:spacing w:line="276" w:lineRule="auto"/>
              <w:jc w:val="center"/>
              <w:rPr>
                <w:b w:val="0"/>
                <w:bCs w:val="0"/>
              </w:rPr>
            </w:pPr>
            <w:r w:rsidRPr="00E5072A">
              <w:rPr>
                <w:b w:val="0"/>
                <w:bCs w:val="0"/>
              </w:rPr>
              <w:t>0</w:t>
            </w:r>
            <w:bookmarkStart w:name="_GoBack" w:id="0"/>
            <w:bookmarkEnd w:id="0"/>
            <w:r w:rsidRPr="00F67938" w:rsidR="00053B3B">
              <w:rPr>
                <w:rStyle w:val="FootnoteReference"/>
                <w:b w:val="0"/>
                <w:bCs w:val="0"/>
                <w:vertAlign w:val="superscript"/>
              </w:rPr>
              <w:footnoteReference w:id="11"/>
            </w:r>
          </w:p>
        </w:tc>
        <w:tc>
          <w:tcPr>
            <w:tcW w:w="916" w:type="dxa"/>
            <w:tcBorders>
              <w:top w:val="single" w:color="auto" w:sz="4" w:space="0"/>
              <w:left w:val="single" w:color="auto" w:sz="4" w:space="0"/>
              <w:bottom w:val="single" w:color="auto" w:sz="4" w:space="0"/>
              <w:right w:val="single" w:color="auto" w:sz="4" w:space="0"/>
            </w:tcBorders>
            <w:vAlign w:val="center"/>
          </w:tcPr>
          <w:p w:rsidRPr="00E5072A" w:rsidR="00964E39" w:rsidP="00B365D6" w:rsidRDefault="00964E39" w14:paraId="4E5BA07B" w14:textId="77777777">
            <w:pPr>
              <w:spacing w:line="276" w:lineRule="auto"/>
              <w:jc w:val="center"/>
              <w:rPr>
                <w:b w:val="0"/>
                <w:bCs w:val="0"/>
              </w:rPr>
            </w:pPr>
            <w:r w:rsidRPr="00E5072A">
              <w:rPr>
                <w:b w:val="0"/>
                <w:bCs w:val="0"/>
              </w:rPr>
              <w:t>0</w:t>
            </w:r>
          </w:p>
        </w:tc>
        <w:tc>
          <w:tcPr>
            <w:tcW w:w="104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2C2877F6" w14:textId="77777777">
            <w:pPr>
              <w:spacing w:line="276" w:lineRule="auto"/>
              <w:jc w:val="center"/>
              <w:rPr>
                <w:b w:val="0"/>
                <w:bCs w:val="0"/>
              </w:rPr>
            </w:pPr>
            <w:r w:rsidRPr="00E5072A">
              <w:rPr>
                <w:b w:val="0"/>
                <w:bCs w:val="0"/>
              </w:rPr>
              <w:t>$0</w:t>
            </w:r>
          </w:p>
        </w:tc>
      </w:tr>
      <w:tr w:rsidRPr="00E5072A" w:rsidR="00964E39" w:rsidTr="00936120" w14:paraId="15DBCEFF" w14:textId="77777777">
        <w:tc>
          <w:tcPr>
            <w:tcW w:w="2161" w:type="dxa"/>
            <w:tcBorders>
              <w:top w:val="single" w:color="auto" w:sz="4" w:space="0"/>
              <w:left w:val="single" w:color="auto" w:sz="4" w:space="0"/>
              <w:bottom w:val="single" w:color="auto" w:sz="4" w:space="0"/>
              <w:right w:val="single" w:color="auto" w:sz="4" w:space="0"/>
            </w:tcBorders>
            <w:vAlign w:val="center"/>
          </w:tcPr>
          <w:p w:rsidRPr="00E5072A" w:rsidR="00964E39" w:rsidP="00394607" w:rsidRDefault="00964E39" w14:paraId="2D5CC190" w14:textId="77777777">
            <w:pPr>
              <w:spacing w:line="276" w:lineRule="auto"/>
              <w:rPr>
                <w:b w:val="0"/>
                <w:bCs w:val="0"/>
              </w:rPr>
            </w:pPr>
            <w:r w:rsidRPr="00E5072A">
              <w:rPr>
                <w:b w:val="0"/>
                <w:iCs/>
              </w:rPr>
              <w:t>Notices in Connection with Extended Election Periods Notice</w:t>
            </w:r>
          </w:p>
        </w:tc>
        <w:tc>
          <w:tcPr>
            <w:tcW w:w="1415" w:type="dxa"/>
            <w:tcBorders>
              <w:top w:val="single" w:color="auto" w:sz="4" w:space="0"/>
              <w:left w:val="single" w:color="auto" w:sz="4" w:space="0"/>
              <w:bottom w:val="single" w:color="auto" w:sz="4" w:space="0"/>
              <w:right w:val="single" w:color="auto" w:sz="4" w:space="0"/>
            </w:tcBorders>
            <w:vAlign w:val="center"/>
          </w:tcPr>
          <w:p w:rsidRPr="00E5072A" w:rsidR="00964E39" w:rsidP="000648E7" w:rsidRDefault="00964E39" w14:paraId="5A7A7FFC" w14:textId="77777777">
            <w:pPr>
              <w:jc w:val="center"/>
              <w:rPr>
                <w:b w:val="0"/>
              </w:rPr>
            </w:pPr>
            <w:r w:rsidRPr="00E5072A">
              <w:rPr>
                <w:b w:val="0"/>
              </w:rPr>
              <w:t>726,015</w:t>
            </w:r>
          </w:p>
        </w:tc>
        <w:tc>
          <w:tcPr>
            <w:tcW w:w="133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288CDC1C" w14:textId="77777777">
            <w:pPr>
              <w:spacing w:line="276" w:lineRule="auto"/>
              <w:jc w:val="center"/>
              <w:rPr>
                <w:b w:val="0"/>
                <w:bCs w:val="0"/>
              </w:rPr>
            </w:pPr>
            <w:r w:rsidRPr="00E5072A">
              <w:rPr>
                <w:b w:val="0"/>
                <w:bCs w:val="0"/>
              </w:rPr>
              <w:t>29.165494</w:t>
            </w:r>
          </w:p>
        </w:tc>
        <w:tc>
          <w:tcPr>
            <w:tcW w:w="120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3EE4F7C9" w14:textId="77777777">
            <w:pPr>
              <w:spacing w:line="276" w:lineRule="auto"/>
              <w:jc w:val="center"/>
              <w:rPr>
                <w:b w:val="0"/>
                <w:bCs w:val="0"/>
              </w:rPr>
            </w:pPr>
            <w:r w:rsidRPr="00E5072A">
              <w:rPr>
                <w:b w:val="0"/>
                <w:bCs w:val="0"/>
              </w:rPr>
              <w:t>21,174,586</w:t>
            </w:r>
          </w:p>
        </w:tc>
        <w:tc>
          <w:tcPr>
            <w:tcW w:w="100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7102BD26" w14:textId="77777777">
            <w:pPr>
              <w:spacing w:line="276" w:lineRule="auto"/>
              <w:jc w:val="center"/>
              <w:rPr>
                <w:b w:val="0"/>
                <w:bCs w:val="0"/>
              </w:rPr>
            </w:pPr>
            <w:r w:rsidRPr="00E5072A">
              <w:rPr>
                <w:b w:val="0"/>
                <w:bCs w:val="0"/>
              </w:rPr>
              <w:t>1/60</w:t>
            </w:r>
          </w:p>
        </w:tc>
        <w:tc>
          <w:tcPr>
            <w:tcW w:w="1012"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111F408F" w14:textId="77777777">
            <w:pPr>
              <w:spacing w:line="276" w:lineRule="auto"/>
              <w:jc w:val="center"/>
              <w:rPr>
                <w:b w:val="0"/>
                <w:bCs w:val="0"/>
              </w:rPr>
            </w:pPr>
            <w:r w:rsidRPr="00E5072A">
              <w:rPr>
                <w:b w:val="0"/>
                <w:iCs/>
              </w:rPr>
              <w:t>352,910</w:t>
            </w:r>
          </w:p>
        </w:tc>
        <w:tc>
          <w:tcPr>
            <w:tcW w:w="91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76FC7B32" w14:textId="77777777">
            <w:pPr>
              <w:spacing w:line="276" w:lineRule="auto"/>
              <w:jc w:val="center"/>
              <w:rPr>
                <w:b w:val="0"/>
                <w:bCs w:val="0"/>
              </w:rPr>
            </w:pPr>
            <w:r w:rsidRPr="00E5072A">
              <w:rPr>
                <w:b w:val="0"/>
                <w:bCs w:val="0"/>
              </w:rPr>
              <w:t>$55.14</w:t>
            </w:r>
          </w:p>
        </w:tc>
        <w:tc>
          <w:tcPr>
            <w:tcW w:w="104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27346E" w14:paraId="4F0F37C8" w14:textId="77777777">
            <w:pPr>
              <w:spacing w:line="276" w:lineRule="auto"/>
              <w:jc w:val="center"/>
              <w:rPr>
                <w:b w:val="0"/>
                <w:bCs w:val="0"/>
              </w:rPr>
            </w:pPr>
            <w:r w:rsidRPr="0027346E">
              <w:rPr>
                <w:b w:val="0"/>
                <w:bCs w:val="0"/>
              </w:rPr>
              <w:t>$19,459,445</w:t>
            </w:r>
          </w:p>
        </w:tc>
      </w:tr>
      <w:tr w:rsidRPr="00E5072A" w:rsidR="00964E39" w:rsidTr="00936120" w14:paraId="64560D45" w14:textId="77777777">
        <w:tc>
          <w:tcPr>
            <w:tcW w:w="2161" w:type="dxa"/>
            <w:tcBorders>
              <w:top w:val="single" w:color="auto" w:sz="4" w:space="0"/>
              <w:left w:val="single" w:color="auto" w:sz="4" w:space="0"/>
              <w:bottom w:val="single" w:color="auto" w:sz="4" w:space="0"/>
              <w:right w:val="single" w:color="auto" w:sz="4" w:space="0"/>
            </w:tcBorders>
            <w:vAlign w:val="center"/>
          </w:tcPr>
          <w:p w:rsidRPr="00E5072A" w:rsidR="00964E39" w:rsidP="00394607" w:rsidRDefault="00964E39" w14:paraId="2CA0D039" w14:textId="77777777">
            <w:pPr>
              <w:spacing w:line="276" w:lineRule="auto"/>
              <w:rPr>
                <w:b w:val="0"/>
              </w:rPr>
            </w:pPr>
            <w:r w:rsidRPr="00E5072A">
              <w:rPr>
                <w:b w:val="0"/>
                <w:iCs/>
              </w:rPr>
              <w:t>Alternative Notices</w:t>
            </w:r>
          </w:p>
        </w:tc>
        <w:tc>
          <w:tcPr>
            <w:tcW w:w="1415" w:type="dxa"/>
            <w:tcBorders>
              <w:top w:val="single" w:color="auto" w:sz="4" w:space="0"/>
              <w:left w:val="single" w:color="auto" w:sz="4" w:space="0"/>
              <w:bottom w:val="single" w:color="auto" w:sz="4" w:space="0"/>
              <w:right w:val="single" w:color="auto" w:sz="4" w:space="0"/>
            </w:tcBorders>
            <w:vAlign w:val="center"/>
          </w:tcPr>
          <w:p w:rsidRPr="00E5072A" w:rsidR="00964E39" w:rsidP="00F10C4D" w:rsidRDefault="00964E39" w14:paraId="3060EE67" w14:textId="77777777">
            <w:pPr>
              <w:spacing w:line="276" w:lineRule="auto"/>
              <w:jc w:val="center"/>
              <w:rPr>
                <w:b w:val="0"/>
              </w:rPr>
            </w:pPr>
            <w:r w:rsidRPr="00E5072A">
              <w:rPr>
                <w:b w:val="0"/>
              </w:rPr>
              <w:t>726,015</w:t>
            </w:r>
          </w:p>
        </w:tc>
        <w:tc>
          <w:tcPr>
            <w:tcW w:w="133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11A6BB24" w14:textId="77777777">
            <w:pPr>
              <w:spacing w:line="276" w:lineRule="auto"/>
              <w:jc w:val="center"/>
              <w:rPr>
                <w:b w:val="0"/>
                <w:bCs w:val="0"/>
              </w:rPr>
            </w:pPr>
            <w:r w:rsidRPr="00E5072A">
              <w:rPr>
                <w:b w:val="0"/>
                <w:bCs w:val="0"/>
              </w:rPr>
              <w:t>3.1189397</w:t>
            </w:r>
          </w:p>
        </w:tc>
        <w:tc>
          <w:tcPr>
            <w:tcW w:w="120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4465FFC3" w14:textId="77777777">
            <w:pPr>
              <w:spacing w:line="276" w:lineRule="auto"/>
              <w:jc w:val="center"/>
              <w:rPr>
                <w:b w:val="0"/>
                <w:bCs w:val="0"/>
              </w:rPr>
            </w:pPr>
            <w:r w:rsidRPr="00E5072A">
              <w:rPr>
                <w:b w:val="0"/>
                <w:bCs w:val="0"/>
              </w:rPr>
              <w:t>2,264,397</w:t>
            </w:r>
          </w:p>
        </w:tc>
        <w:tc>
          <w:tcPr>
            <w:tcW w:w="100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1811B1B6" w14:textId="77777777">
            <w:pPr>
              <w:spacing w:line="276" w:lineRule="auto"/>
              <w:jc w:val="center"/>
              <w:rPr>
                <w:b w:val="0"/>
                <w:bCs w:val="0"/>
              </w:rPr>
            </w:pPr>
            <w:r w:rsidRPr="00E5072A">
              <w:rPr>
                <w:b w:val="0"/>
                <w:bCs w:val="0"/>
              </w:rPr>
              <w:t>2/60</w:t>
            </w:r>
          </w:p>
        </w:tc>
        <w:tc>
          <w:tcPr>
            <w:tcW w:w="1012"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79DB4CBC" w14:textId="77777777">
            <w:pPr>
              <w:spacing w:line="276" w:lineRule="auto"/>
              <w:jc w:val="center"/>
              <w:rPr>
                <w:b w:val="0"/>
                <w:bCs w:val="0"/>
              </w:rPr>
            </w:pPr>
            <w:r w:rsidRPr="00E5072A">
              <w:rPr>
                <w:b w:val="0"/>
                <w:iCs/>
              </w:rPr>
              <w:t>75,480</w:t>
            </w:r>
          </w:p>
        </w:tc>
        <w:tc>
          <w:tcPr>
            <w:tcW w:w="91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6D1BBC49" w14:textId="77777777">
            <w:pPr>
              <w:spacing w:line="276" w:lineRule="auto"/>
              <w:jc w:val="center"/>
              <w:rPr>
                <w:b w:val="0"/>
                <w:bCs w:val="0"/>
              </w:rPr>
            </w:pPr>
            <w:r w:rsidRPr="00E5072A">
              <w:rPr>
                <w:b w:val="0"/>
                <w:bCs w:val="0"/>
              </w:rPr>
              <w:t>$55.14</w:t>
            </w:r>
          </w:p>
        </w:tc>
        <w:tc>
          <w:tcPr>
            <w:tcW w:w="104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27346E" w14:paraId="5C131D40" w14:textId="77777777">
            <w:pPr>
              <w:spacing w:line="276" w:lineRule="auto"/>
              <w:jc w:val="center"/>
              <w:rPr>
                <w:b w:val="0"/>
                <w:bCs w:val="0"/>
              </w:rPr>
            </w:pPr>
            <w:r w:rsidRPr="0027346E">
              <w:rPr>
                <w:b w:val="0"/>
                <w:bCs w:val="0"/>
              </w:rPr>
              <w:t>$4,161,962</w:t>
            </w:r>
          </w:p>
        </w:tc>
      </w:tr>
      <w:tr w:rsidRPr="00E5072A" w:rsidR="00964E39" w:rsidTr="00936120" w14:paraId="0A416AFC" w14:textId="77777777">
        <w:tc>
          <w:tcPr>
            <w:tcW w:w="2161" w:type="dxa"/>
            <w:tcBorders>
              <w:top w:val="single" w:color="auto" w:sz="4" w:space="0"/>
              <w:left w:val="single" w:color="auto" w:sz="4" w:space="0"/>
              <w:bottom w:val="single" w:color="auto" w:sz="4" w:space="0"/>
              <w:right w:val="single" w:color="auto" w:sz="4" w:space="0"/>
            </w:tcBorders>
            <w:vAlign w:val="center"/>
          </w:tcPr>
          <w:p w:rsidRPr="00E5072A" w:rsidR="00964E39" w:rsidP="00394607" w:rsidRDefault="00964E39" w14:paraId="5447F4EB" w14:textId="77777777">
            <w:pPr>
              <w:spacing w:line="276" w:lineRule="auto"/>
              <w:rPr>
                <w:b w:val="0"/>
                <w:iCs/>
              </w:rPr>
            </w:pPr>
            <w:r w:rsidRPr="00E5072A">
              <w:rPr>
                <w:b w:val="0"/>
                <w:iCs/>
              </w:rPr>
              <w:t>Notices of Expiration of Premium Assistance</w:t>
            </w:r>
          </w:p>
        </w:tc>
        <w:tc>
          <w:tcPr>
            <w:tcW w:w="1415" w:type="dxa"/>
            <w:tcBorders>
              <w:top w:val="single" w:color="auto" w:sz="4" w:space="0"/>
              <w:left w:val="single" w:color="auto" w:sz="4" w:space="0"/>
              <w:bottom w:val="single" w:color="auto" w:sz="4" w:space="0"/>
              <w:right w:val="single" w:color="auto" w:sz="4" w:space="0"/>
            </w:tcBorders>
            <w:vAlign w:val="center"/>
          </w:tcPr>
          <w:p w:rsidRPr="00E5072A" w:rsidR="00964E39" w:rsidP="00F10C4D" w:rsidRDefault="00964E39" w14:paraId="678BC7F1" w14:textId="77777777">
            <w:pPr>
              <w:spacing w:line="276" w:lineRule="auto"/>
              <w:jc w:val="center"/>
              <w:rPr>
                <w:b w:val="0"/>
                <w:bCs w:val="0"/>
              </w:rPr>
            </w:pPr>
            <w:r w:rsidRPr="00E5072A">
              <w:rPr>
                <w:b w:val="0"/>
              </w:rPr>
              <w:t>726,015</w:t>
            </w:r>
          </w:p>
        </w:tc>
        <w:tc>
          <w:tcPr>
            <w:tcW w:w="1330" w:type="dxa"/>
            <w:tcBorders>
              <w:top w:val="single" w:color="auto" w:sz="4" w:space="0"/>
              <w:left w:val="single" w:color="auto" w:sz="4" w:space="0"/>
              <w:bottom w:val="single" w:color="auto" w:sz="4" w:space="0"/>
              <w:right w:val="single" w:color="auto" w:sz="4" w:space="0"/>
            </w:tcBorders>
            <w:vAlign w:val="center"/>
          </w:tcPr>
          <w:p w:rsidRPr="00E5072A" w:rsidR="00964E39" w:rsidP="00694D7C" w:rsidRDefault="00694D7C" w14:paraId="788249F4" w14:textId="77777777">
            <w:pPr>
              <w:spacing w:line="276" w:lineRule="auto"/>
              <w:jc w:val="center"/>
              <w:rPr>
                <w:b w:val="0"/>
                <w:bCs w:val="0"/>
              </w:rPr>
            </w:pPr>
            <w:r w:rsidRPr="00E5072A">
              <w:rPr>
                <w:b w:val="0"/>
                <w:bCs w:val="0"/>
              </w:rPr>
              <w:t>9.966206</w:t>
            </w:r>
          </w:p>
        </w:tc>
        <w:tc>
          <w:tcPr>
            <w:tcW w:w="120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E8064B" w14:paraId="395C1AF0" w14:textId="77777777">
            <w:pPr>
              <w:spacing w:line="276" w:lineRule="auto"/>
              <w:jc w:val="center"/>
              <w:rPr>
                <w:b w:val="0"/>
                <w:bCs w:val="0"/>
              </w:rPr>
            </w:pPr>
            <w:r w:rsidRPr="00E5072A">
              <w:rPr>
                <w:b w:val="0"/>
                <w:bCs w:val="0"/>
              </w:rPr>
              <w:t>7,235,615</w:t>
            </w:r>
          </w:p>
        </w:tc>
        <w:tc>
          <w:tcPr>
            <w:tcW w:w="1000" w:type="dxa"/>
            <w:tcBorders>
              <w:top w:val="single" w:color="auto" w:sz="4" w:space="0"/>
              <w:left w:val="single" w:color="auto" w:sz="4" w:space="0"/>
              <w:bottom w:val="single" w:color="auto" w:sz="4" w:space="0"/>
              <w:right w:val="single" w:color="auto" w:sz="4" w:space="0"/>
            </w:tcBorders>
            <w:vAlign w:val="center"/>
          </w:tcPr>
          <w:p w:rsidRPr="00E5072A" w:rsidR="00964E39" w:rsidP="005E2215" w:rsidRDefault="00964E39" w14:paraId="1D82486C" w14:textId="77777777">
            <w:pPr>
              <w:spacing w:line="276" w:lineRule="auto"/>
              <w:jc w:val="center"/>
              <w:rPr>
                <w:b w:val="0"/>
                <w:bCs w:val="0"/>
              </w:rPr>
            </w:pPr>
            <w:r w:rsidRPr="00E5072A">
              <w:rPr>
                <w:b w:val="0"/>
                <w:bCs w:val="0"/>
              </w:rPr>
              <w:t>1/60</w:t>
            </w:r>
          </w:p>
        </w:tc>
        <w:tc>
          <w:tcPr>
            <w:tcW w:w="1012"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527466" w14:paraId="2A212BE8" w14:textId="77777777">
            <w:pPr>
              <w:spacing w:line="276" w:lineRule="auto"/>
              <w:jc w:val="center"/>
              <w:rPr>
                <w:b w:val="0"/>
                <w:bCs w:val="0"/>
              </w:rPr>
            </w:pPr>
            <w:r w:rsidRPr="00E5072A">
              <w:rPr>
                <w:b w:val="0"/>
                <w:iCs/>
              </w:rPr>
              <w:t>120,594</w:t>
            </w:r>
          </w:p>
        </w:tc>
        <w:tc>
          <w:tcPr>
            <w:tcW w:w="916" w:type="dxa"/>
            <w:tcBorders>
              <w:top w:val="single" w:color="auto" w:sz="4" w:space="0"/>
              <w:left w:val="single" w:color="auto" w:sz="4" w:space="0"/>
              <w:bottom w:val="single" w:color="auto" w:sz="4" w:space="0"/>
              <w:right w:val="single" w:color="auto" w:sz="4" w:space="0"/>
            </w:tcBorders>
            <w:vAlign w:val="center"/>
          </w:tcPr>
          <w:p w:rsidRPr="00E5072A" w:rsidR="00964E39" w:rsidP="002C158A" w:rsidRDefault="00964E39" w14:paraId="559E207F" w14:textId="77777777">
            <w:pPr>
              <w:spacing w:line="276" w:lineRule="auto"/>
              <w:jc w:val="center"/>
              <w:rPr>
                <w:b w:val="0"/>
                <w:bCs w:val="0"/>
              </w:rPr>
            </w:pPr>
            <w:r w:rsidRPr="00E5072A">
              <w:rPr>
                <w:b w:val="0"/>
                <w:bCs w:val="0"/>
              </w:rPr>
              <w:t>$55.14</w:t>
            </w:r>
          </w:p>
        </w:tc>
        <w:tc>
          <w:tcPr>
            <w:tcW w:w="104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27346E" w14:paraId="2E519156" w14:textId="77777777">
            <w:pPr>
              <w:spacing w:line="276" w:lineRule="auto"/>
              <w:jc w:val="center"/>
              <w:rPr>
                <w:b w:val="0"/>
                <w:bCs w:val="0"/>
              </w:rPr>
            </w:pPr>
            <w:r w:rsidRPr="0027346E">
              <w:rPr>
                <w:b w:val="0"/>
                <w:bCs w:val="0"/>
              </w:rPr>
              <w:t>$6,649,530</w:t>
            </w:r>
          </w:p>
        </w:tc>
      </w:tr>
      <w:tr w:rsidRPr="00E5072A" w:rsidR="00964E39" w:rsidTr="00936120" w14:paraId="01002EA4" w14:textId="77777777">
        <w:tc>
          <w:tcPr>
            <w:tcW w:w="2161" w:type="dxa"/>
            <w:tcBorders>
              <w:top w:val="single" w:color="auto" w:sz="4" w:space="0"/>
              <w:left w:val="single" w:color="auto" w:sz="4" w:space="0"/>
              <w:bottom w:val="single" w:color="auto" w:sz="4" w:space="0"/>
              <w:right w:val="single" w:color="auto" w:sz="4" w:space="0"/>
            </w:tcBorders>
            <w:vAlign w:val="center"/>
          </w:tcPr>
          <w:p w:rsidRPr="00E5072A" w:rsidR="00964E39" w:rsidP="00394607" w:rsidRDefault="00964E39" w14:paraId="0AB1F7C1" w14:textId="77777777">
            <w:pPr>
              <w:spacing w:line="276" w:lineRule="auto"/>
              <w:rPr>
                <w:b w:val="0"/>
                <w:iCs/>
              </w:rPr>
            </w:pPr>
            <w:r w:rsidRPr="00E5072A">
              <w:rPr>
                <w:b w:val="0"/>
                <w:iCs/>
              </w:rPr>
              <w:t>Total</w:t>
            </w:r>
          </w:p>
        </w:tc>
        <w:tc>
          <w:tcPr>
            <w:tcW w:w="1415" w:type="dxa"/>
            <w:tcBorders>
              <w:top w:val="single" w:color="auto" w:sz="4" w:space="0"/>
              <w:left w:val="single" w:color="auto" w:sz="4" w:space="0"/>
              <w:bottom w:val="single" w:color="auto" w:sz="4" w:space="0"/>
              <w:right w:val="single" w:color="auto" w:sz="4" w:space="0"/>
            </w:tcBorders>
            <w:vAlign w:val="center"/>
          </w:tcPr>
          <w:p w:rsidRPr="00E5072A" w:rsidR="00964E39" w:rsidP="0049735E" w:rsidRDefault="00964E39" w14:paraId="687A4F0C" w14:textId="77777777">
            <w:pPr>
              <w:spacing w:line="276" w:lineRule="auto"/>
              <w:jc w:val="center"/>
              <w:rPr>
                <w:b w:val="0"/>
                <w:bCs w:val="0"/>
              </w:rPr>
            </w:pPr>
            <w:r w:rsidRPr="00E5072A">
              <w:rPr>
                <w:b w:val="0"/>
              </w:rPr>
              <w:t>726,015</w:t>
            </w:r>
          </w:p>
        </w:tc>
        <w:tc>
          <w:tcPr>
            <w:tcW w:w="1330" w:type="dxa"/>
            <w:tcBorders>
              <w:top w:val="single" w:color="auto" w:sz="4" w:space="0"/>
              <w:left w:val="single" w:color="auto" w:sz="4" w:space="0"/>
              <w:bottom w:val="single" w:color="auto" w:sz="4" w:space="0"/>
              <w:right w:val="single" w:color="auto" w:sz="4" w:space="0"/>
            </w:tcBorders>
            <w:vAlign w:val="center"/>
          </w:tcPr>
          <w:p w:rsidRPr="00E5072A" w:rsidR="00964E39" w:rsidP="00694D7C" w:rsidRDefault="00694D7C" w14:paraId="37377872" w14:textId="77777777">
            <w:pPr>
              <w:spacing w:line="276" w:lineRule="auto"/>
              <w:jc w:val="center"/>
              <w:rPr>
                <w:b w:val="0"/>
                <w:bCs w:val="0"/>
              </w:rPr>
            </w:pPr>
            <w:r w:rsidRPr="00E5072A">
              <w:rPr>
                <w:b w:val="0"/>
                <w:bCs w:val="0"/>
              </w:rPr>
              <w:t>57.099986</w:t>
            </w:r>
          </w:p>
        </w:tc>
        <w:tc>
          <w:tcPr>
            <w:tcW w:w="120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EE1A29" w14:paraId="66147545" w14:textId="77777777">
            <w:pPr>
              <w:spacing w:line="276" w:lineRule="auto"/>
              <w:jc w:val="center"/>
              <w:rPr>
                <w:b w:val="0"/>
                <w:bCs w:val="0"/>
              </w:rPr>
            </w:pPr>
            <w:r w:rsidRPr="00E5072A">
              <w:rPr>
                <w:b w:val="0"/>
                <w:bCs w:val="0"/>
              </w:rPr>
              <w:t>41,455,446</w:t>
            </w:r>
          </w:p>
        </w:tc>
        <w:tc>
          <w:tcPr>
            <w:tcW w:w="1000" w:type="dxa"/>
            <w:tcBorders>
              <w:top w:val="single" w:color="auto" w:sz="4" w:space="0"/>
              <w:left w:val="single" w:color="auto" w:sz="4" w:space="0"/>
              <w:bottom w:val="single" w:color="auto" w:sz="4" w:space="0"/>
              <w:right w:val="single" w:color="auto" w:sz="4" w:space="0"/>
            </w:tcBorders>
            <w:vAlign w:val="center"/>
          </w:tcPr>
          <w:p w:rsidRPr="00E5072A" w:rsidR="00964E39" w:rsidP="001A3F61" w:rsidRDefault="00204AAC" w14:paraId="39E3B953" w14:textId="77777777">
            <w:pPr>
              <w:spacing w:line="276" w:lineRule="auto"/>
              <w:jc w:val="center"/>
              <w:rPr>
                <w:b w:val="0"/>
                <w:bCs w:val="0"/>
              </w:rPr>
            </w:pPr>
            <w:r>
              <w:rPr>
                <w:b w:val="0"/>
                <w:bCs w:val="0"/>
              </w:rPr>
              <w:t>0.0</w:t>
            </w:r>
            <w:r w:rsidR="001A3F61">
              <w:rPr>
                <w:b w:val="0"/>
                <w:bCs w:val="0"/>
              </w:rPr>
              <w:t>1324272</w:t>
            </w:r>
          </w:p>
        </w:tc>
        <w:tc>
          <w:tcPr>
            <w:tcW w:w="1012"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27346E" w14:paraId="70497626" w14:textId="77777777">
            <w:pPr>
              <w:spacing w:line="276" w:lineRule="auto"/>
              <w:jc w:val="center"/>
              <w:rPr>
                <w:b w:val="0"/>
                <w:bCs w:val="0"/>
              </w:rPr>
            </w:pPr>
            <w:r w:rsidRPr="0027346E">
              <w:rPr>
                <w:b w:val="0"/>
                <w:bCs w:val="0"/>
              </w:rPr>
              <w:t>548,983</w:t>
            </w:r>
          </w:p>
        </w:tc>
        <w:tc>
          <w:tcPr>
            <w:tcW w:w="916"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964E39" w14:paraId="4D467735" w14:textId="77777777">
            <w:pPr>
              <w:spacing w:line="276" w:lineRule="auto"/>
              <w:jc w:val="center"/>
              <w:rPr>
                <w:b w:val="0"/>
                <w:bCs w:val="0"/>
              </w:rPr>
            </w:pPr>
            <w:r w:rsidRPr="00E5072A">
              <w:rPr>
                <w:b w:val="0"/>
                <w:bCs w:val="0"/>
              </w:rPr>
              <w:t>-</w:t>
            </w:r>
          </w:p>
        </w:tc>
        <w:tc>
          <w:tcPr>
            <w:tcW w:w="1040" w:type="dxa"/>
            <w:tcBorders>
              <w:top w:val="single" w:color="auto" w:sz="4" w:space="0"/>
              <w:left w:val="single" w:color="auto" w:sz="4" w:space="0"/>
              <w:bottom w:val="single" w:color="auto" w:sz="4" w:space="0"/>
              <w:right w:val="single" w:color="auto" w:sz="4" w:space="0"/>
            </w:tcBorders>
            <w:vAlign w:val="center"/>
          </w:tcPr>
          <w:p w:rsidRPr="00E5072A" w:rsidR="00964E39" w:rsidP="00440BB8" w:rsidRDefault="004648C7" w14:paraId="2357F935" w14:textId="77777777">
            <w:pPr>
              <w:spacing w:line="276" w:lineRule="auto"/>
              <w:jc w:val="center"/>
              <w:rPr>
                <w:b w:val="0"/>
                <w:bCs w:val="0"/>
              </w:rPr>
            </w:pPr>
            <w:r w:rsidRPr="004648C7">
              <w:rPr>
                <w:b w:val="0"/>
                <w:bCs w:val="0"/>
              </w:rPr>
              <w:t>$30,270,937</w:t>
            </w:r>
          </w:p>
        </w:tc>
      </w:tr>
    </w:tbl>
    <w:p w:rsidR="00D03315" w:rsidP="00EB5A4E" w:rsidRDefault="00D03315" w14:paraId="7F09E885" w14:textId="77777777">
      <w:pPr>
        <w:widowControl/>
        <w:tabs>
          <w:tab w:val="left" w:pos="-1440"/>
        </w:tabs>
        <w:rPr>
          <w:b w:val="0"/>
          <w:bCs w:val="0"/>
          <w:i/>
          <w:iCs/>
          <w:color w:val="000000"/>
          <w:sz w:val="24"/>
        </w:rPr>
      </w:pPr>
    </w:p>
    <w:p w:rsidR="007919A7" w:rsidP="007919A7" w:rsidRDefault="00EB5A4E" w14:paraId="3A2A3732" w14:textId="77777777">
      <w:pPr>
        <w:rPr>
          <w:iCs/>
          <w:color w:val="000000"/>
          <w:sz w:val="24"/>
          <w:szCs w:val="24"/>
        </w:rPr>
      </w:pPr>
      <w:r w:rsidRPr="00BE4E63">
        <w:rPr>
          <w:color w:val="000000"/>
          <w:sz w:val="24"/>
          <w:szCs w:val="24"/>
        </w:rPr>
        <w:t>13. </w:t>
      </w:r>
      <w:r w:rsidR="007919A7">
        <w:rPr>
          <w:color w:val="000000"/>
          <w:sz w:val="24"/>
          <w:szCs w:val="24"/>
        </w:rPr>
        <w:t xml:space="preserve">  </w:t>
      </w:r>
      <w:r w:rsidRPr="00BE4E63">
        <w:rPr>
          <w:color w:val="000000"/>
          <w:sz w:val="24"/>
          <w:szCs w:val="24"/>
        </w:rPr>
        <w:t xml:space="preserve"> </w:t>
      </w:r>
      <w:r w:rsidRPr="00BE4E63">
        <w:rPr>
          <w:iCs/>
          <w:color w:val="000000"/>
          <w:sz w:val="24"/>
          <w:szCs w:val="24"/>
        </w:rPr>
        <w:t xml:space="preserve">Provide an estimate of the total annual cost burden to respondents or record-keepers </w:t>
      </w:r>
    </w:p>
    <w:p w:rsidR="00EB5A4E" w:rsidP="007919A7" w:rsidRDefault="00EB5A4E" w14:paraId="0094485E" w14:textId="77777777">
      <w:pPr>
        <w:ind w:left="540"/>
        <w:rPr>
          <w:iCs/>
          <w:color w:val="000000"/>
          <w:sz w:val="24"/>
          <w:szCs w:val="24"/>
        </w:rPr>
      </w:pPr>
      <w:r w:rsidRPr="00BE4E63">
        <w:rPr>
          <w:iCs/>
          <w:color w:val="000000"/>
          <w:sz w:val="24"/>
          <w:szCs w:val="24"/>
        </w:rPr>
        <w:t>resulting from the collection of information.  (Do not include the cost of any hour burden shown in Items 12.)</w:t>
      </w:r>
    </w:p>
    <w:p w:rsidR="007919A7" w:rsidP="007919A7" w:rsidRDefault="002B7154" w14:paraId="53A8F166" w14:textId="77777777">
      <w:pPr>
        <w:numPr>
          <w:ilvl w:val="0"/>
          <w:numId w:val="24"/>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and start up cost component (annualized over its expected useful life); and (b) a</w:t>
      </w:r>
      <w:r w:rsidR="00DE5DA4">
        <w:rPr>
          <w:color w:val="000000"/>
          <w:sz w:val="24"/>
          <w:szCs w:val="24"/>
        </w:rPr>
        <w:t xml:space="preserve"> </w:t>
      </w:r>
      <w:r w:rsidRPr="002B7154">
        <w:rPr>
          <w:color w:val="000000"/>
          <w:sz w:val="24"/>
          <w:szCs w:val="24"/>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919A7" w:rsidP="007919A7" w:rsidRDefault="007919A7" w14:paraId="1341B930" w14:textId="77777777">
      <w:pPr>
        <w:ind w:left="1260"/>
        <w:rPr>
          <w:color w:val="000000"/>
          <w:sz w:val="24"/>
          <w:szCs w:val="24"/>
        </w:rPr>
      </w:pPr>
    </w:p>
    <w:p w:rsidR="007919A7" w:rsidP="007919A7" w:rsidRDefault="002B7154" w14:paraId="5B6A314A" w14:textId="77777777">
      <w:pPr>
        <w:numPr>
          <w:ilvl w:val="0"/>
          <w:numId w:val="24"/>
        </w:numPr>
        <w:ind w:left="1260" w:hanging="270"/>
        <w:rPr>
          <w:color w:val="000000"/>
          <w:sz w:val="24"/>
          <w:szCs w:val="24"/>
        </w:rPr>
      </w:pPr>
      <w:r w:rsidRPr="007919A7">
        <w:rPr>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19A7" w:rsidR="007919A7" w:rsidP="007919A7" w:rsidRDefault="007919A7" w14:paraId="13F1CF55" w14:textId="77777777">
      <w:pPr>
        <w:rPr>
          <w:color w:val="000000"/>
          <w:sz w:val="24"/>
          <w:szCs w:val="24"/>
        </w:rPr>
      </w:pPr>
    </w:p>
    <w:p w:rsidRPr="007919A7" w:rsidR="002B7154" w:rsidP="007919A7" w:rsidRDefault="002B7154" w14:paraId="3EABB57D" w14:textId="77777777">
      <w:pPr>
        <w:numPr>
          <w:ilvl w:val="0"/>
          <w:numId w:val="24"/>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218FC" w:rsidR="00E218FC" w:rsidP="00B94254" w:rsidRDefault="00E218FC" w14:paraId="5C5E4C6F" w14:textId="77777777">
      <w:pPr>
        <w:widowControl/>
        <w:rPr>
          <w:b w:val="0"/>
          <w:bCs w:val="0"/>
          <w:sz w:val="24"/>
        </w:rPr>
      </w:pPr>
    </w:p>
    <w:p w:rsidR="00A17781" w:rsidP="00271264" w:rsidRDefault="00A17781" w14:paraId="28A717DE" w14:textId="77777777">
      <w:pPr>
        <w:widowControl/>
        <w:ind w:firstLine="720"/>
        <w:rPr>
          <w:b w:val="0"/>
          <w:bCs w:val="0"/>
          <w:sz w:val="24"/>
        </w:rPr>
      </w:pPr>
      <w:r>
        <w:rPr>
          <w:b w:val="0"/>
          <w:bCs w:val="0"/>
          <w:sz w:val="24"/>
        </w:rPr>
        <w:t>For each of the n</w:t>
      </w:r>
      <w:r w:rsidR="00956225">
        <w:rPr>
          <w:b w:val="0"/>
          <w:bCs w:val="0"/>
          <w:sz w:val="24"/>
        </w:rPr>
        <w:t>otices, the Department has estimated material and mailing costs.</w:t>
      </w:r>
      <w:r w:rsidR="00472D8B">
        <w:rPr>
          <w:b w:val="0"/>
          <w:bCs w:val="0"/>
          <w:sz w:val="24"/>
        </w:rPr>
        <w:t xml:space="preserve">  </w:t>
      </w:r>
      <w:r w:rsidRPr="00E218FC" w:rsidR="00472D8B">
        <w:rPr>
          <w:b w:val="0"/>
          <w:bCs w:val="0"/>
          <w:sz w:val="24"/>
        </w:rPr>
        <w:t>As explained in Question 3, plan administrators are not precluded from using electronic disclosure methods.  No assumption has been made as to the number of notices that will be distributed electronically.</w:t>
      </w:r>
    </w:p>
    <w:p w:rsidR="00A17781" w:rsidP="00271264" w:rsidRDefault="00A17781" w14:paraId="2D4B5573" w14:textId="77777777">
      <w:pPr>
        <w:widowControl/>
        <w:ind w:firstLine="720"/>
        <w:rPr>
          <w:b w:val="0"/>
          <w:bCs w:val="0"/>
          <w:sz w:val="24"/>
        </w:rPr>
      </w:pPr>
    </w:p>
    <w:p w:rsidR="00174CE9" w:rsidP="00271264" w:rsidRDefault="00174CE9" w14:paraId="3E19E04A" w14:textId="75F8EEE2">
      <w:pPr>
        <w:widowControl/>
        <w:ind w:firstLine="720"/>
        <w:rPr>
          <w:b w:val="0"/>
          <w:bCs w:val="0"/>
          <w:sz w:val="24"/>
        </w:rPr>
      </w:pPr>
      <w:r>
        <w:rPr>
          <w:b w:val="0"/>
          <w:bCs w:val="0"/>
          <w:sz w:val="24"/>
        </w:rPr>
        <w:t xml:space="preserve">The General Notice is distributed as a </w:t>
      </w:r>
      <w:r w:rsidRPr="00F717E1">
        <w:rPr>
          <w:b w:val="0"/>
          <w:bCs w:val="0"/>
          <w:sz w:val="24"/>
        </w:rPr>
        <w:t>normal course of business when employment is terminated</w:t>
      </w:r>
      <w:r w:rsidR="00956225">
        <w:rPr>
          <w:b w:val="0"/>
          <w:bCs w:val="0"/>
          <w:sz w:val="24"/>
        </w:rPr>
        <w:t xml:space="preserve">.  </w:t>
      </w:r>
      <w:bookmarkStart w:name="OLE_LINK3" w:id="1"/>
      <w:r w:rsidR="00956225">
        <w:rPr>
          <w:b w:val="0"/>
          <w:bCs w:val="0"/>
          <w:sz w:val="24"/>
        </w:rPr>
        <w:t>A</w:t>
      </w:r>
      <w:bookmarkEnd w:id="1"/>
      <w:r w:rsidR="00660A10">
        <w:rPr>
          <w:b w:val="0"/>
          <w:bCs w:val="0"/>
          <w:sz w:val="24"/>
        </w:rPr>
        <w:t>RP</w:t>
      </w:r>
      <w:r w:rsidR="00956225">
        <w:rPr>
          <w:b w:val="0"/>
          <w:bCs w:val="0"/>
          <w:sz w:val="24"/>
        </w:rPr>
        <w:t xml:space="preserve"> will require a minor change to the existing notices as well as the inclusion of the </w:t>
      </w:r>
      <w:r w:rsidRPr="00956225" w:rsidR="00956225">
        <w:rPr>
          <w:b w:val="0"/>
          <w:bCs w:val="0"/>
          <w:sz w:val="24"/>
        </w:rPr>
        <w:t>Summary of the COBRA Premium Subsidy</w:t>
      </w:r>
      <w:r w:rsidR="00956225">
        <w:rPr>
          <w:b w:val="0"/>
          <w:bCs w:val="0"/>
          <w:sz w:val="24"/>
        </w:rPr>
        <w:t xml:space="preserve"> </w:t>
      </w:r>
      <w:r w:rsidRPr="00956225" w:rsidR="00956225">
        <w:rPr>
          <w:b w:val="0"/>
          <w:bCs w:val="0"/>
          <w:sz w:val="24"/>
        </w:rPr>
        <w:t>Provisions</w:t>
      </w:r>
      <w:r w:rsidR="00A17781">
        <w:rPr>
          <w:b w:val="0"/>
          <w:bCs w:val="0"/>
          <w:sz w:val="24"/>
        </w:rPr>
        <w:t>.</w:t>
      </w:r>
      <w:r w:rsidR="00603FB4">
        <w:rPr>
          <w:b w:val="0"/>
          <w:bCs w:val="0"/>
          <w:sz w:val="24"/>
        </w:rPr>
        <w:t xml:space="preserve">  In addition to </w:t>
      </w:r>
      <w:r w:rsidR="001B1155">
        <w:rPr>
          <w:b w:val="0"/>
          <w:bCs w:val="0"/>
          <w:sz w:val="24"/>
        </w:rPr>
        <w:t>the cost</w:t>
      </w:r>
      <w:r w:rsidR="00603FB4">
        <w:rPr>
          <w:b w:val="0"/>
          <w:bCs w:val="0"/>
          <w:sz w:val="24"/>
        </w:rPr>
        <w:t xml:space="preserve"> estimate under the existing ICR,</w:t>
      </w:r>
      <w:r w:rsidRPr="00A15287" w:rsidR="001969B9">
        <w:rPr>
          <w:rStyle w:val="FootnoteReference"/>
          <w:b w:val="0"/>
          <w:bCs w:val="0"/>
          <w:sz w:val="24"/>
          <w:vertAlign w:val="superscript"/>
        </w:rPr>
        <w:footnoteReference w:id="12"/>
      </w:r>
      <w:r w:rsidR="00603FB4">
        <w:rPr>
          <w:b w:val="0"/>
          <w:bCs w:val="0"/>
          <w:sz w:val="24"/>
        </w:rPr>
        <w:t xml:space="preserve"> t</w:t>
      </w:r>
      <w:r>
        <w:rPr>
          <w:b w:val="0"/>
          <w:bCs w:val="0"/>
          <w:sz w:val="24"/>
        </w:rPr>
        <w:t xml:space="preserve">he Department </w:t>
      </w:r>
      <w:r w:rsidR="00956225">
        <w:rPr>
          <w:b w:val="0"/>
          <w:bCs w:val="0"/>
          <w:sz w:val="24"/>
        </w:rPr>
        <w:t xml:space="preserve">assumes that plans will incur the </w:t>
      </w:r>
      <w:r w:rsidR="00472D8B">
        <w:rPr>
          <w:b w:val="0"/>
          <w:bCs w:val="0"/>
          <w:sz w:val="24"/>
        </w:rPr>
        <w:t>material costs associated with five</w:t>
      </w:r>
      <w:r w:rsidR="00956225">
        <w:rPr>
          <w:b w:val="0"/>
          <w:bCs w:val="0"/>
          <w:sz w:val="24"/>
        </w:rPr>
        <w:t xml:space="preserve"> additional pages</w:t>
      </w:r>
      <w:r w:rsidR="001B1155">
        <w:rPr>
          <w:b w:val="0"/>
          <w:bCs w:val="0"/>
          <w:sz w:val="24"/>
        </w:rPr>
        <w:t xml:space="preserve">: </w:t>
      </w:r>
      <w:r w:rsidR="007D1866">
        <w:rPr>
          <w:b w:val="0"/>
          <w:bCs w:val="0"/>
          <w:sz w:val="24"/>
        </w:rPr>
        <w:t>one page for changes to existing notices and four pages for the summary</w:t>
      </w:r>
      <w:r w:rsidR="00956225">
        <w:rPr>
          <w:b w:val="0"/>
          <w:bCs w:val="0"/>
          <w:sz w:val="24"/>
        </w:rPr>
        <w:t>.  As this notice is distributed under standard practice, the Department assumes that no additional postage costs will be incurred.</w:t>
      </w:r>
    </w:p>
    <w:p w:rsidR="00956225" w:rsidP="00271264" w:rsidRDefault="00956225" w14:paraId="01BE439D" w14:textId="77777777">
      <w:pPr>
        <w:widowControl/>
        <w:ind w:firstLine="720"/>
        <w:rPr>
          <w:b w:val="0"/>
          <w:bCs w:val="0"/>
          <w:sz w:val="24"/>
        </w:rPr>
      </w:pPr>
    </w:p>
    <w:p w:rsidR="00956225" w:rsidP="00271264" w:rsidRDefault="00472D8B" w14:paraId="7B349182" w14:textId="77777777">
      <w:pPr>
        <w:widowControl/>
        <w:ind w:firstLine="720"/>
        <w:rPr>
          <w:b w:val="0"/>
          <w:bCs w:val="0"/>
          <w:sz w:val="24"/>
        </w:rPr>
      </w:pPr>
      <w:r>
        <w:rPr>
          <w:b w:val="0"/>
          <w:bCs w:val="0"/>
          <w:sz w:val="24"/>
        </w:rPr>
        <w:t>For the Notice in Connection with Extended Election Periods, t</w:t>
      </w:r>
      <w:r w:rsidR="00956225">
        <w:rPr>
          <w:b w:val="0"/>
          <w:bCs w:val="0"/>
          <w:sz w:val="24"/>
        </w:rPr>
        <w:t xml:space="preserve">he Department assumes that </w:t>
      </w:r>
      <w:r>
        <w:rPr>
          <w:b w:val="0"/>
          <w:bCs w:val="0"/>
          <w:sz w:val="24"/>
        </w:rPr>
        <w:t>plans will incur material costs associated with nine pages in addition to postage costs.  The Department estimates that the notice itself will require five pages and the Summary of the COBRA Premium Subsidy Provisions will require an additional four pages.</w:t>
      </w:r>
    </w:p>
    <w:p w:rsidR="00472D8B" w:rsidP="00271264" w:rsidRDefault="00472D8B" w14:paraId="2ABF2044" w14:textId="77777777">
      <w:pPr>
        <w:widowControl/>
        <w:ind w:firstLine="720"/>
        <w:rPr>
          <w:b w:val="0"/>
          <w:bCs w:val="0"/>
          <w:sz w:val="24"/>
        </w:rPr>
      </w:pPr>
    </w:p>
    <w:p w:rsidR="00472D8B" w:rsidP="00271264" w:rsidRDefault="00472D8B" w14:paraId="01459AD0" w14:textId="77777777">
      <w:pPr>
        <w:widowControl/>
        <w:ind w:firstLine="720"/>
        <w:rPr>
          <w:b w:val="0"/>
          <w:bCs w:val="0"/>
          <w:sz w:val="24"/>
        </w:rPr>
      </w:pPr>
      <w:r>
        <w:rPr>
          <w:b w:val="0"/>
          <w:bCs w:val="0"/>
          <w:sz w:val="24"/>
        </w:rPr>
        <w:t>The Alternative Notice requirements coincide with existing notices distributed b</w:t>
      </w:r>
      <w:r w:rsidR="00660A10">
        <w:rPr>
          <w:b w:val="0"/>
          <w:bCs w:val="0"/>
          <w:sz w:val="24"/>
        </w:rPr>
        <w:t>y state governments.  ARP</w:t>
      </w:r>
      <w:r>
        <w:rPr>
          <w:b w:val="0"/>
          <w:bCs w:val="0"/>
          <w:sz w:val="24"/>
        </w:rPr>
        <w:t xml:space="preserve"> will require </w:t>
      </w:r>
      <w:r w:rsidR="00CB352C">
        <w:rPr>
          <w:b w:val="0"/>
          <w:bCs w:val="0"/>
          <w:sz w:val="24"/>
        </w:rPr>
        <w:t xml:space="preserve">the inclusion of an additional notice, estimated to be five pages, as well as the inclusion of the Summary of the COBRA Premium Subsidy Provisions, estimated to be four pages.  In total, the Department assumes that plans will incur the material costs associated with nine additional pages to meet the requirement.  The Department assumes that </w:t>
      </w:r>
      <w:r w:rsidR="00CE59A8">
        <w:rPr>
          <w:b w:val="0"/>
          <w:bCs w:val="0"/>
          <w:sz w:val="24"/>
        </w:rPr>
        <w:t>plans will not incur additional postage costs due to the inclusion of these documents</w:t>
      </w:r>
      <w:r w:rsidR="00CB352C">
        <w:rPr>
          <w:b w:val="0"/>
          <w:bCs w:val="0"/>
          <w:sz w:val="24"/>
        </w:rPr>
        <w:t>.</w:t>
      </w:r>
    </w:p>
    <w:p w:rsidR="00CB352C" w:rsidP="00271264" w:rsidRDefault="00CB352C" w14:paraId="6650C353" w14:textId="77777777">
      <w:pPr>
        <w:widowControl/>
        <w:ind w:firstLine="720"/>
        <w:rPr>
          <w:b w:val="0"/>
          <w:bCs w:val="0"/>
          <w:sz w:val="24"/>
        </w:rPr>
      </w:pPr>
    </w:p>
    <w:p w:rsidR="00CB352C" w:rsidP="00271264" w:rsidRDefault="00CB352C" w14:paraId="436235F9" w14:textId="77777777">
      <w:pPr>
        <w:widowControl/>
        <w:ind w:firstLine="720"/>
        <w:rPr>
          <w:b w:val="0"/>
          <w:bCs w:val="0"/>
          <w:sz w:val="24"/>
        </w:rPr>
      </w:pPr>
      <w:r>
        <w:rPr>
          <w:b w:val="0"/>
          <w:bCs w:val="0"/>
          <w:sz w:val="24"/>
        </w:rPr>
        <w:t>For the Notice of Expiration of Premium Assistance, the Department assumes that plans will incur material costs associated with four pages</w:t>
      </w:r>
      <w:r w:rsidR="00E11EF6">
        <w:rPr>
          <w:b w:val="0"/>
          <w:bCs w:val="0"/>
          <w:sz w:val="24"/>
        </w:rPr>
        <w:t>,</w:t>
      </w:r>
      <w:r>
        <w:rPr>
          <w:b w:val="0"/>
          <w:bCs w:val="0"/>
          <w:sz w:val="24"/>
        </w:rPr>
        <w:t xml:space="preserve"> in addition to postage costs.</w:t>
      </w:r>
    </w:p>
    <w:p w:rsidR="00174CE9" w:rsidP="007E28F2" w:rsidRDefault="00174CE9" w14:paraId="29BD6933" w14:textId="77777777">
      <w:pPr>
        <w:widowControl/>
        <w:ind w:firstLine="90"/>
        <w:rPr>
          <w:b w:val="0"/>
          <w:bCs w:val="0"/>
          <w:sz w:val="24"/>
        </w:rPr>
      </w:pPr>
    </w:p>
    <w:p w:rsidR="006B4E40" w:rsidP="006B4E40" w:rsidRDefault="00CF0A24" w14:paraId="627997E7" w14:textId="77777777">
      <w:pPr>
        <w:widowControl/>
        <w:ind w:firstLine="720"/>
        <w:rPr>
          <w:b w:val="0"/>
          <w:bCs w:val="0"/>
          <w:sz w:val="24"/>
        </w:rPr>
      </w:pPr>
      <w:r>
        <w:rPr>
          <w:b w:val="0"/>
          <w:bCs w:val="0"/>
          <w:sz w:val="24"/>
        </w:rPr>
        <w:t xml:space="preserve">The material cost for each page is assumed to be $0.05, </w:t>
      </w:r>
      <w:r w:rsidR="00AC7A91">
        <w:rPr>
          <w:b w:val="0"/>
          <w:bCs w:val="0"/>
          <w:sz w:val="24"/>
        </w:rPr>
        <w:t>and the postage cost for each notice is assumed</w:t>
      </w:r>
      <w:r w:rsidR="005C1DE3">
        <w:rPr>
          <w:b w:val="0"/>
          <w:bCs w:val="0"/>
          <w:sz w:val="24"/>
        </w:rPr>
        <w:t xml:space="preserve"> to be $0.56.  This results in estimated</w:t>
      </w:r>
      <w:r w:rsidR="00AC7A91">
        <w:rPr>
          <w:b w:val="0"/>
          <w:bCs w:val="0"/>
          <w:sz w:val="24"/>
        </w:rPr>
        <w:t xml:space="preserve"> total material cost</w:t>
      </w:r>
      <w:r w:rsidR="005C1DE3">
        <w:rPr>
          <w:b w:val="0"/>
          <w:bCs w:val="0"/>
          <w:sz w:val="24"/>
        </w:rPr>
        <w:t>s</w:t>
      </w:r>
      <w:r w:rsidR="00AC7A91">
        <w:rPr>
          <w:b w:val="0"/>
          <w:bCs w:val="0"/>
          <w:sz w:val="24"/>
        </w:rPr>
        <w:t xml:space="preserve"> </w:t>
      </w:r>
      <w:r w:rsidR="005C1DE3">
        <w:rPr>
          <w:b w:val="0"/>
          <w:bCs w:val="0"/>
          <w:sz w:val="24"/>
        </w:rPr>
        <w:t xml:space="preserve">of </w:t>
      </w:r>
      <w:r w:rsidR="002D428B">
        <w:rPr>
          <w:b w:val="0"/>
          <w:bCs w:val="0"/>
          <w:sz w:val="24"/>
        </w:rPr>
        <w:t>$</w:t>
      </w:r>
      <w:r w:rsidRPr="00EA4DB2" w:rsidR="00EA4DB2">
        <w:rPr>
          <w:b w:val="0"/>
          <w:bCs w:val="0"/>
          <w:sz w:val="24"/>
        </w:rPr>
        <w:t>14,689,877</w:t>
      </w:r>
      <w:r w:rsidR="00EA4DB2">
        <w:rPr>
          <w:b w:val="0"/>
          <w:bCs w:val="0"/>
          <w:sz w:val="24"/>
        </w:rPr>
        <w:t xml:space="preserve"> </w:t>
      </w:r>
      <w:r w:rsidR="00AC7A91">
        <w:rPr>
          <w:b w:val="0"/>
          <w:bCs w:val="0"/>
          <w:sz w:val="24"/>
        </w:rPr>
        <w:t>and total postage cost</w:t>
      </w:r>
      <w:r w:rsidR="005C1DE3">
        <w:rPr>
          <w:b w:val="0"/>
          <w:bCs w:val="0"/>
          <w:sz w:val="24"/>
        </w:rPr>
        <w:t>s</w:t>
      </w:r>
      <w:r w:rsidR="00AC7A91">
        <w:rPr>
          <w:b w:val="0"/>
          <w:bCs w:val="0"/>
          <w:sz w:val="24"/>
        </w:rPr>
        <w:t xml:space="preserve"> of $</w:t>
      </w:r>
      <w:r w:rsidRPr="00EA4DB2" w:rsidR="00EA4DB2">
        <w:rPr>
          <w:b w:val="0"/>
          <w:bCs w:val="0"/>
          <w:sz w:val="24"/>
        </w:rPr>
        <w:t>15,909,713</w:t>
      </w:r>
      <w:r>
        <w:rPr>
          <w:b w:val="0"/>
          <w:bCs w:val="0"/>
          <w:sz w:val="24"/>
        </w:rPr>
        <w:t>.</w:t>
      </w:r>
      <w:r w:rsidR="006B4E40">
        <w:rPr>
          <w:b w:val="0"/>
          <w:bCs w:val="0"/>
          <w:sz w:val="24"/>
        </w:rPr>
        <w:t xml:space="preserve">  The total estimated cost for this information collection</w:t>
      </w:r>
      <w:r w:rsidRPr="00DD37E4" w:rsidR="006B4E40">
        <w:rPr>
          <w:b w:val="0"/>
          <w:bCs w:val="0"/>
          <w:sz w:val="24"/>
        </w:rPr>
        <w:t xml:space="preserve"> is</w:t>
      </w:r>
      <w:r w:rsidR="006B4E40">
        <w:rPr>
          <w:b w:val="0"/>
          <w:bCs w:val="0"/>
          <w:sz w:val="24"/>
        </w:rPr>
        <w:t xml:space="preserve"> approximately</w:t>
      </w:r>
      <w:r w:rsidRPr="00DD37E4" w:rsidR="006B4E40">
        <w:rPr>
          <w:b w:val="0"/>
          <w:bCs w:val="0"/>
          <w:sz w:val="24"/>
        </w:rPr>
        <w:t xml:space="preserve"> $</w:t>
      </w:r>
      <w:r w:rsidR="006B4E40">
        <w:rPr>
          <w:b w:val="0"/>
          <w:bCs w:val="0"/>
          <w:sz w:val="24"/>
        </w:rPr>
        <w:t>30.6</w:t>
      </w:r>
      <w:r w:rsidRPr="00DD37E4" w:rsidR="006B4E40">
        <w:rPr>
          <w:b w:val="0"/>
          <w:bCs w:val="0"/>
          <w:sz w:val="24"/>
        </w:rPr>
        <w:t xml:space="preserve"> million.</w:t>
      </w:r>
      <w:r w:rsidR="006B4E40">
        <w:rPr>
          <w:b w:val="0"/>
          <w:bCs w:val="0"/>
          <w:sz w:val="24"/>
        </w:rPr>
        <w:t xml:space="preserve">  The cost estimates are broken down in the table below.</w:t>
      </w:r>
    </w:p>
    <w:p w:rsidR="008354F5" w:rsidP="00271264" w:rsidRDefault="008354F5" w14:paraId="45FEEE68" w14:textId="77777777">
      <w:pPr>
        <w:widowControl/>
        <w:rPr>
          <w:b w:val="0"/>
          <w:bCs w:val="0"/>
        </w:rPr>
      </w:pPr>
    </w:p>
    <w:p w:rsidRPr="00FE1B8E" w:rsidR="008354F5" w:rsidP="00271264" w:rsidRDefault="008354F5" w14:paraId="600CED69" w14:textId="77777777">
      <w:pPr>
        <w:widowControl/>
        <w:rPr>
          <w:b w:val="0"/>
          <w:bCs w:val="0"/>
        </w:rPr>
      </w:pPr>
    </w:p>
    <w:tbl>
      <w:tblPr>
        <w:tblW w:w="8928" w:type="dxa"/>
        <w:tblInd w:w="450" w:type="dxa"/>
        <w:tblLayout w:type="fixed"/>
        <w:tblLook w:val="0000" w:firstRow="0" w:lastRow="0" w:firstColumn="0" w:lastColumn="0" w:noHBand="0" w:noVBand="0"/>
      </w:tblPr>
      <w:tblGrid>
        <w:gridCol w:w="2304"/>
        <w:gridCol w:w="1296"/>
        <w:gridCol w:w="1008"/>
        <w:gridCol w:w="1440"/>
        <w:gridCol w:w="1440"/>
        <w:gridCol w:w="1440"/>
      </w:tblGrid>
      <w:tr w:rsidRPr="00FE1B8E" w:rsidR="000A581A" w:rsidTr="00271264" w14:paraId="04A67C07" w14:textId="77777777">
        <w:trPr>
          <w:trHeight w:val="270"/>
        </w:trPr>
        <w:tc>
          <w:tcPr>
            <w:tcW w:w="2304" w:type="dxa"/>
            <w:tcBorders>
              <w:top w:val="single" w:color="auto" w:sz="8" w:space="0"/>
              <w:left w:val="nil"/>
              <w:bottom w:val="single" w:color="auto" w:sz="8" w:space="0"/>
              <w:right w:val="nil"/>
            </w:tcBorders>
            <w:shd w:val="clear" w:color="auto" w:fill="auto"/>
            <w:noWrap/>
          </w:tcPr>
          <w:p w:rsidRPr="00FE1B8E" w:rsidR="000A581A" w:rsidP="00271264" w:rsidRDefault="000A581A" w14:paraId="6AFCC8FB" w14:textId="77777777">
            <w:pPr>
              <w:widowControl/>
              <w:ind w:left="-60" w:firstLine="90"/>
              <w:jc w:val="center"/>
            </w:pPr>
            <w:r w:rsidRPr="00FE1B8E">
              <w:t>Notice Type</w:t>
            </w:r>
          </w:p>
        </w:tc>
        <w:tc>
          <w:tcPr>
            <w:tcW w:w="1296" w:type="dxa"/>
            <w:tcBorders>
              <w:top w:val="single" w:color="auto" w:sz="8" w:space="0"/>
              <w:left w:val="nil"/>
              <w:bottom w:val="single" w:color="auto" w:sz="8" w:space="0"/>
              <w:right w:val="nil"/>
            </w:tcBorders>
            <w:shd w:val="clear" w:color="auto" w:fill="auto"/>
            <w:noWrap/>
            <w:vAlign w:val="bottom"/>
          </w:tcPr>
          <w:p w:rsidRPr="00FE1B8E" w:rsidR="000A581A" w:rsidP="007E28F2" w:rsidRDefault="000A581A" w14:paraId="7EB73E57" w14:textId="77777777">
            <w:pPr>
              <w:widowControl/>
              <w:ind w:firstLine="90"/>
              <w:jc w:val="center"/>
            </w:pPr>
            <w:r w:rsidRPr="00FE1B8E">
              <w:t>Total</w:t>
            </w:r>
            <w:r>
              <w:t xml:space="preserve"> Notices</w:t>
            </w:r>
          </w:p>
        </w:tc>
        <w:tc>
          <w:tcPr>
            <w:tcW w:w="1008" w:type="dxa"/>
            <w:tcBorders>
              <w:top w:val="single" w:color="auto" w:sz="8" w:space="0"/>
              <w:left w:val="nil"/>
              <w:bottom w:val="single" w:color="auto" w:sz="8" w:space="0"/>
              <w:right w:val="nil"/>
            </w:tcBorders>
          </w:tcPr>
          <w:p w:rsidR="000A581A" w:rsidP="006B1B71" w:rsidRDefault="006B1B71" w14:paraId="56DF84DE" w14:textId="77777777">
            <w:pPr>
              <w:widowControl/>
              <w:ind w:firstLine="90"/>
              <w:jc w:val="center"/>
            </w:pPr>
            <w:r>
              <w:t xml:space="preserve">New </w:t>
            </w:r>
            <w:r w:rsidR="000A581A">
              <w:t>Pages</w:t>
            </w:r>
          </w:p>
        </w:tc>
        <w:tc>
          <w:tcPr>
            <w:tcW w:w="1440" w:type="dxa"/>
            <w:tcBorders>
              <w:top w:val="single" w:color="auto" w:sz="8" w:space="0"/>
              <w:left w:val="nil"/>
              <w:bottom w:val="single" w:color="auto" w:sz="8" w:space="0"/>
              <w:right w:val="nil"/>
            </w:tcBorders>
          </w:tcPr>
          <w:p w:rsidRPr="00FE1B8E" w:rsidR="000A581A" w:rsidP="007E28F2" w:rsidRDefault="000A581A" w14:paraId="57F91CD4" w14:textId="77777777">
            <w:pPr>
              <w:widowControl/>
              <w:ind w:firstLine="90"/>
              <w:jc w:val="center"/>
            </w:pPr>
            <w:r>
              <w:t>Material Cost</w:t>
            </w:r>
          </w:p>
        </w:tc>
        <w:tc>
          <w:tcPr>
            <w:tcW w:w="1440" w:type="dxa"/>
            <w:tcBorders>
              <w:top w:val="single" w:color="auto" w:sz="8" w:space="0"/>
              <w:left w:val="nil"/>
              <w:bottom w:val="single" w:color="auto" w:sz="8" w:space="0"/>
              <w:right w:val="nil"/>
            </w:tcBorders>
            <w:shd w:val="clear" w:color="auto" w:fill="auto"/>
            <w:noWrap/>
          </w:tcPr>
          <w:p w:rsidRPr="00FE1B8E" w:rsidR="000A581A" w:rsidRDefault="000A581A" w14:paraId="0AD3C53D" w14:textId="77777777">
            <w:pPr>
              <w:widowControl/>
              <w:ind w:firstLine="90"/>
              <w:jc w:val="center"/>
            </w:pPr>
            <w:r w:rsidRPr="00FE1B8E">
              <w:t>Mailing Cost</w:t>
            </w:r>
          </w:p>
        </w:tc>
        <w:tc>
          <w:tcPr>
            <w:tcW w:w="1440" w:type="dxa"/>
            <w:tcBorders>
              <w:top w:val="single" w:color="auto" w:sz="8" w:space="0"/>
              <w:left w:val="nil"/>
              <w:bottom w:val="single" w:color="auto" w:sz="8" w:space="0"/>
              <w:right w:val="nil"/>
            </w:tcBorders>
          </w:tcPr>
          <w:p w:rsidRPr="00FE1B8E" w:rsidR="000A581A" w:rsidP="007E28F2" w:rsidRDefault="000A581A" w14:paraId="79426EED" w14:textId="77777777">
            <w:pPr>
              <w:widowControl/>
              <w:ind w:firstLine="90"/>
              <w:jc w:val="center"/>
            </w:pPr>
            <w:r>
              <w:t>Total Cost</w:t>
            </w:r>
          </w:p>
        </w:tc>
      </w:tr>
      <w:tr w:rsidRPr="00FE1B8E" w:rsidR="000A581A" w:rsidTr="00271264" w14:paraId="3FEC3083" w14:textId="77777777">
        <w:trPr>
          <w:trHeight w:val="255"/>
        </w:trPr>
        <w:tc>
          <w:tcPr>
            <w:tcW w:w="2304" w:type="dxa"/>
            <w:tcBorders>
              <w:top w:val="single" w:color="auto" w:sz="8" w:space="0"/>
              <w:left w:val="nil"/>
              <w:bottom w:val="dotted" w:color="auto" w:sz="4" w:space="0"/>
              <w:right w:val="nil"/>
            </w:tcBorders>
            <w:shd w:val="clear" w:color="auto" w:fill="auto"/>
            <w:noWrap/>
            <w:vAlign w:val="bottom"/>
          </w:tcPr>
          <w:p w:rsidRPr="00FE1B8E" w:rsidR="000A581A" w:rsidP="007E28F2" w:rsidRDefault="000A581A" w14:paraId="01F0CAD3" w14:textId="77777777">
            <w:pPr>
              <w:widowControl/>
              <w:ind w:firstLine="90"/>
              <w:rPr>
                <w:b w:val="0"/>
              </w:rPr>
            </w:pPr>
            <w:r w:rsidRPr="00FE1B8E">
              <w:rPr>
                <w:b w:val="0"/>
              </w:rPr>
              <w:t>General Notice</w:t>
            </w:r>
          </w:p>
        </w:tc>
        <w:tc>
          <w:tcPr>
            <w:tcW w:w="1296" w:type="dxa"/>
            <w:tcBorders>
              <w:top w:val="single" w:color="auto" w:sz="8" w:space="0"/>
              <w:left w:val="nil"/>
              <w:bottom w:val="dotted" w:color="auto" w:sz="4" w:space="0"/>
              <w:right w:val="nil"/>
            </w:tcBorders>
            <w:shd w:val="clear" w:color="auto" w:fill="auto"/>
            <w:noWrap/>
          </w:tcPr>
          <w:p w:rsidRPr="00FE1B8E" w:rsidR="000A581A" w:rsidP="007E28F2" w:rsidRDefault="000A581A" w14:paraId="0DA1AF90" w14:textId="77777777">
            <w:pPr>
              <w:widowControl/>
              <w:ind w:firstLine="90"/>
              <w:jc w:val="right"/>
              <w:rPr>
                <w:b w:val="0"/>
                <w:iCs/>
              </w:rPr>
            </w:pPr>
            <w:r w:rsidRPr="00FE1B8E">
              <w:rPr>
                <w:b w:val="0"/>
                <w:iCs/>
              </w:rPr>
              <w:t>10,780,847</w:t>
            </w:r>
          </w:p>
        </w:tc>
        <w:tc>
          <w:tcPr>
            <w:tcW w:w="1008" w:type="dxa"/>
            <w:tcBorders>
              <w:top w:val="single" w:color="auto" w:sz="8" w:space="0"/>
              <w:left w:val="nil"/>
              <w:bottom w:val="dotted" w:color="auto" w:sz="4" w:space="0"/>
              <w:right w:val="nil"/>
            </w:tcBorders>
          </w:tcPr>
          <w:p w:rsidRPr="00FE1B8E" w:rsidR="000A581A" w:rsidP="007E28F2" w:rsidRDefault="008B7256" w14:paraId="0ED8CF8E" w14:textId="77777777">
            <w:pPr>
              <w:widowControl/>
              <w:ind w:firstLine="90"/>
              <w:jc w:val="right"/>
              <w:rPr>
                <w:b w:val="0"/>
                <w:iCs/>
              </w:rPr>
            </w:pPr>
            <w:r>
              <w:rPr>
                <w:b w:val="0"/>
                <w:iCs/>
              </w:rPr>
              <w:t>5</w:t>
            </w:r>
          </w:p>
        </w:tc>
        <w:tc>
          <w:tcPr>
            <w:tcW w:w="1440" w:type="dxa"/>
            <w:tcBorders>
              <w:top w:val="single" w:color="auto" w:sz="8" w:space="0"/>
              <w:left w:val="nil"/>
              <w:bottom w:val="dotted" w:color="auto" w:sz="4" w:space="0"/>
              <w:right w:val="nil"/>
            </w:tcBorders>
          </w:tcPr>
          <w:p w:rsidRPr="00FE1B8E" w:rsidR="000A581A" w:rsidP="007E28F2" w:rsidRDefault="009C1F0C" w14:paraId="2E9F3375" w14:textId="77777777">
            <w:pPr>
              <w:widowControl/>
              <w:ind w:firstLine="90"/>
              <w:jc w:val="right"/>
              <w:rPr>
                <w:b w:val="0"/>
                <w:iCs/>
              </w:rPr>
            </w:pPr>
            <w:r w:rsidRPr="009C1F0C">
              <w:rPr>
                <w:b w:val="0"/>
                <w:iCs/>
              </w:rPr>
              <w:t>$2,695,212</w:t>
            </w:r>
          </w:p>
        </w:tc>
        <w:tc>
          <w:tcPr>
            <w:tcW w:w="1440" w:type="dxa"/>
            <w:tcBorders>
              <w:top w:val="single" w:color="auto" w:sz="8" w:space="0"/>
              <w:left w:val="nil"/>
              <w:bottom w:val="dotted" w:color="auto" w:sz="4" w:space="0"/>
              <w:right w:val="nil"/>
            </w:tcBorders>
            <w:shd w:val="clear" w:color="auto" w:fill="auto"/>
            <w:noWrap/>
          </w:tcPr>
          <w:p w:rsidRPr="00FE1B8E" w:rsidR="000A581A" w:rsidP="007E28F2" w:rsidRDefault="000A581A" w14:paraId="2C85E42D" w14:textId="77777777">
            <w:pPr>
              <w:widowControl/>
              <w:ind w:firstLine="90"/>
              <w:jc w:val="right"/>
              <w:rPr>
                <w:b w:val="0"/>
                <w:iCs/>
              </w:rPr>
            </w:pPr>
            <w:r w:rsidRPr="00FE1B8E">
              <w:rPr>
                <w:b w:val="0"/>
                <w:iCs/>
              </w:rPr>
              <w:t>$</w:t>
            </w:r>
            <w:r w:rsidRPr="003B04C8" w:rsidR="002327BD">
              <w:rPr>
                <w:b w:val="0"/>
                <w:color w:val="000000" w:themeColor="text1"/>
              </w:rPr>
              <w:t>0</w:t>
            </w:r>
            <w:r w:rsidRPr="00171B32" w:rsidR="00171B32">
              <w:rPr>
                <w:rStyle w:val="FootnoteReference"/>
                <w:b w:val="0"/>
                <w:iCs/>
                <w:vertAlign w:val="superscript"/>
              </w:rPr>
              <w:footnoteReference w:id="13"/>
            </w:r>
          </w:p>
        </w:tc>
        <w:tc>
          <w:tcPr>
            <w:tcW w:w="1440" w:type="dxa"/>
            <w:tcBorders>
              <w:top w:val="single" w:color="auto" w:sz="8" w:space="0"/>
              <w:left w:val="nil"/>
              <w:bottom w:val="dotted" w:color="auto" w:sz="4" w:space="0"/>
              <w:right w:val="nil"/>
            </w:tcBorders>
          </w:tcPr>
          <w:p w:rsidRPr="00FE1B8E" w:rsidR="000A581A" w:rsidP="007E28F2" w:rsidRDefault="009C1F0C" w14:paraId="278F4F91" w14:textId="77777777">
            <w:pPr>
              <w:widowControl/>
              <w:ind w:firstLine="90"/>
              <w:jc w:val="right"/>
              <w:rPr>
                <w:b w:val="0"/>
                <w:iCs/>
              </w:rPr>
            </w:pPr>
            <w:r w:rsidRPr="009C1F0C">
              <w:rPr>
                <w:b w:val="0"/>
                <w:iCs/>
              </w:rPr>
              <w:t>$2,695,212</w:t>
            </w:r>
          </w:p>
        </w:tc>
      </w:tr>
      <w:tr w:rsidRPr="00FE1B8E" w:rsidR="000A581A" w:rsidTr="00271264" w14:paraId="6497734E" w14:textId="77777777">
        <w:trPr>
          <w:trHeight w:val="255"/>
        </w:trPr>
        <w:tc>
          <w:tcPr>
            <w:tcW w:w="2304" w:type="dxa"/>
            <w:tcBorders>
              <w:top w:val="dotted" w:color="auto" w:sz="4" w:space="0"/>
              <w:left w:val="nil"/>
              <w:bottom w:val="dotted" w:color="auto" w:sz="4" w:space="0"/>
              <w:right w:val="nil"/>
            </w:tcBorders>
            <w:shd w:val="clear" w:color="auto" w:fill="auto"/>
            <w:noWrap/>
            <w:vAlign w:val="bottom"/>
          </w:tcPr>
          <w:p w:rsidRPr="00FE1B8E" w:rsidR="000A581A" w:rsidP="0029057F" w:rsidRDefault="000A581A" w14:paraId="630DEC54" w14:textId="77777777">
            <w:pPr>
              <w:widowControl/>
              <w:ind w:left="72"/>
              <w:rPr>
                <w:b w:val="0"/>
              </w:rPr>
            </w:pPr>
            <w:r w:rsidRPr="00FE1B8E">
              <w:rPr>
                <w:b w:val="0"/>
                <w:iCs/>
              </w:rPr>
              <w:t>Notice</w:t>
            </w:r>
            <w:r w:rsidRPr="00FE1B8E">
              <w:rPr>
                <w:b w:val="0"/>
              </w:rPr>
              <w:t xml:space="preserve"> in Connection </w:t>
            </w:r>
            <w:r w:rsidR="0029057F">
              <w:rPr>
                <w:b w:val="0"/>
              </w:rPr>
              <w:t xml:space="preserve">  </w:t>
            </w:r>
            <w:r w:rsidRPr="00FE1B8E">
              <w:rPr>
                <w:b w:val="0"/>
              </w:rPr>
              <w:t xml:space="preserve">with </w:t>
            </w:r>
            <w:r>
              <w:rPr>
                <w:b w:val="0"/>
              </w:rPr>
              <w:t xml:space="preserve"> </w:t>
            </w:r>
            <w:r w:rsidRPr="00FE1B8E">
              <w:rPr>
                <w:b w:val="0"/>
              </w:rPr>
              <w:t>Extended</w:t>
            </w:r>
            <w:r w:rsidRPr="00FE1B8E" w:rsidDel="00044EFF">
              <w:rPr>
                <w:b w:val="0"/>
              </w:rPr>
              <w:t xml:space="preserve"> </w:t>
            </w:r>
            <w:r w:rsidRPr="00FE1B8E">
              <w:rPr>
                <w:b w:val="0"/>
              </w:rPr>
              <w:t>Election Periods</w:t>
            </w:r>
          </w:p>
        </w:tc>
        <w:tc>
          <w:tcPr>
            <w:tcW w:w="1296" w:type="dxa"/>
            <w:tcBorders>
              <w:top w:val="dotted" w:color="auto" w:sz="4" w:space="0"/>
              <w:left w:val="nil"/>
              <w:bottom w:val="dotted" w:color="auto" w:sz="4" w:space="0"/>
              <w:right w:val="nil"/>
            </w:tcBorders>
            <w:shd w:val="clear" w:color="auto" w:fill="auto"/>
            <w:noWrap/>
          </w:tcPr>
          <w:p w:rsidRPr="00FE1B8E" w:rsidR="000A581A" w:rsidP="007E28F2" w:rsidRDefault="000A581A" w14:paraId="28302B15" w14:textId="77777777">
            <w:pPr>
              <w:widowControl/>
              <w:ind w:firstLine="90"/>
              <w:jc w:val="right"/>
              <w:rPr>
                <w:b w:val="0"/>
                <w:iCs/>
              </w:rPr>
            </w:pPr>
            <w:r w:rsidRPr="00FE1B8E">
              <w:rPr>
                <w:b w:val="0"/>
                <w:iCs/>
              </w:rPr>
              <w:t>21,174,586</w:t>
            </w:r>
          </w:p>
        </w:tc>
        <w:tc>
          <w:tcPr>
            <w:tcW w:w="1008" w:type="dxa"/>
            <w:tcBorders>
              <w:top w:val="dotted" w:color="auto" w:sz="4" w:space="0"/>
              <w:left w:val="nil"/>
              <w:bottom w:val="dotted" w:color="auto" w:sz="4" w:space="0"/>
              <w:right w:val="nil"/>
            </w:tcBorders>
          </w:tcPr>
          <w:p w:rsidRPr="00FE1B8E" w:rsidR="000A581A" w:rsidP="007E28F2" w:rsidRDefault="008B7256" w14:paraId="5AF192ED" w14:textId="77777777">
            <w:pPr>
              <w:widowControl/>
              <w:ind w:firstLine="90"/>
              <w:jc w:val="right"/>
              <w:rPr>
                <w:b w:val="0"/>
                <w:iCs/>
              </w:rPr>
            </w:pPr>
            <w:r>
              <w:rPr>
                <w:b w:val="0"/>
                <w:iCs/>
              </w:rPr>
              <w:t>9</w:t>
            </w:r>
          </w:p>
        </w:tc>
        <w:tc>
          <w:tcPr>
            <w:tcW w:w="1440" w:type="dxa"/>
            <w:tcBorders>
              <w:top w:val="dotted" w:color="auto" w:sz="4" w:space="0"/>
              <w:left w:val="nil"/>
              <w:bottom w:val="dotted" w:color="auto" w:sz="4" w:space="0"/>
              <w:right w:val="nil"/>
            </w:tcBorders>
          </w:tcPr>
          <w:p w:rsidRPr="00FE1B8E" w:rsidR="000A581A" w:rsidP="007E28F2" w:rsidRDefault="009C1F0C" w14:paraId="009E8730" w14:textId="77777777">
            <w:pPr>
              <w:widowControl/>
              <w:ind w:firstLine="90"/>
              <w:jc w:val="right"/>
              <w:rPr>
                <w:b w:val="0"/>
                <w:iCs/>
              </w:rPr>
            </w:pPr>
            <w:r w:rsidRPr="009C1F0C">
              <w:rPr>
                <w:b w:val="0"/>
                <w:iCs/>
              </w:rPr>
              <w:t>$9,528,564</w:t>
            </w:r>
          </w:p>
        </w:tc>
        <w:tc>
          <w:tcPr>
            <w:tcW w:w="1440" w:type="dxa"/>
            <w:tcBorders>
              <w:top w:val="dotted" w:color="auto" w:sz="4" w:space="0"/>
              <w:left w:val="nil"/>
              <w:bottom w:val="dotted" w:color="auto" w:sz="4" w:space="0"/>
              <w:right w:val="nil"/>
            </w:tcBorders>
            <w:shd w:val="clear" w:color="auto" w:fill="auto"/>
            <w:noWrap/>
          </w:tcPr>
          <w:p w:rsidRPr="00FE1B8E" w:rsidR="000A581A" w:rsidP="007E28F2" w:rsidRDefault="000A581A" w14:paraId="5CB4DDEE" w14:textId="77777777">
            <w:pPr>
              <w:widowControl/>
              <w:ind w:firstLine="90"/>
              <w:jc w:val="right"/>
              <w:rPr>
                <w:b w:val="0"/>
                <w:iCs/>
              </w:rPr>
            </w:pPr>
            <w:r w:rsidRPr="00FE1B8E">
              <w:rPr>
                <w:b w:val="0"/>
                <w:iCs/>
              </w:rPr>
              <w:t>$11,857,768</w:t>
            </w:r>
          </w:p>
        </w:tc>
        <w:tc>
          <w:tcPr>
            <w:tcW w:w="1440" w:type="dxa"/>
            <w:tcBorders>
              <w:top w:val="dotted" w:color="auto" w:sz="4" w:space="0"/>
              <w:left w:val="nil"/>
              <w:bottom w:val="dotted" w:color="auto" w:sz="4" w:space="0"/>
              <w:right w:val="nil"/>
            </w:tcBorders>
          </w:tcPr>
          <w:p w:rsidRPr="00FE1B8E" w:rsidR="000A581A" w:rsidP="007E28F2" w:rsidRDefault="009C1F0C" w14:paraId="21B2D4B9" w14:textId="77777777">
            <w:pPr>
              <w:widowControl/>
              <w:ind w:firstLine="90"/>
              <w:jc w:val="right"/>
              <w:rPr>
                <w:b w:val="0"/>
                <w:iCs/>
              </w:rPr>
            </w:pPr>
            <w:r w:rsidRPr="009C1F0C">
              <w:rPr>
                <w:b w:val="0"/>
                <w:iCs/>
              </w:rPr>
              <w:t>$21,386,332</w:t>
            </w:r>
          </w:p>
        </w:tc>
      </w:tr>
      <w:tr w:rsidRPr="00FE1B8E" w:rsidR="000A581A" w:rsidTr="00271264" w14:paraId="77C9F0F0" w14:textId="77777777">
        <w:trPr>
          <w:trHeight w:val="255"/>
        </w:trPr>
        <w:tc>
          <w:tcPr>
            <w:tcW w:w="2304" w:type="dxa"/>
            <w:tcBorders>
              <w:top w:val="dotted" w:color="auto" w:sz="4" w:space="0"/>
              <w:left w:val="nil"/>
              <w:bottom w:val="dotted" w:color="auto" w:sz="4" w:space="0"/>
              <w:right w:val="nil"/>
            </w:tcBorders>
            <w:shd w:val="clear" w:color="auto" w:fill="auto"/>
            <w:noWrap/>
            <w:vAlign w:val="bottom"/>
          </w:tcPr>
          <w:p w:rsidRPr="00FE1B8E" w:rsidR="000A581A" w:rsidP="007E28F2" w:rsidRDefault="000A581A" w14:paraId="212F56B9" w14:textId="77777777">
            <w:pPr>
              <w:widowControl/>
              <w:ind w:firstLine="90"/>
              <w:rPr>
                <w:b w:val="0"/>
              </w:rPr>
            </w:pPr>
            <w:r w:rsidRPr="00FE1B8E">
              <w:rPr>
                <w:b w:val="0"/>
              </w:rPr>
              <w:t>Alternative Notice</w:t>
            </w:r>
          </w:p>
        </w:tc>
        <w:tc>
          <w:tcPr>
            <w:tcW w:w="1296" w:type="dxa"/>
            <w:tcBorders>
              <w:top w:val="dotted" w:color="auto" w:sz="4" w:space="0"/>
              <w:left w:val="nil"/>
              <w:bottom w:val="dotted" w:color="auto" w:sz="4" w:space="0"/>
              <w:right w:val="nil"/>
            </w:tcBorders>
            <w:shd w:val="clear" w:color="auto" w:fill="auto"/>
            <w:noWrap/>
          </w:tcPr>
          <w:p w:rsidRPr="00FE1B8E" w:rsidR="000A581A" w:rsidP="007E28F2" w:rsidRDefault="000A581A" w14:paraId="301EB373" w14:textId="77777777">
            <w:pPr>
              <w:widowControl/>
              <w:ind w:firstLine="90"/>
              <w:jc w:val="right"/>
              <w:rPr>
                <w:b w:val="0"/>
                <w:iCs/>
              </w:rPr>
            </w:pPr>
            <w:r w:rsidRPr="00FE1B8E">
              <w:rPr>
                <w:b w:val="0"/>
                <w:iCs/>
              </w:rPr>
              <w:t>2,264,397</w:t>
            </w:r>
          </w:p>
        </w:tc>
        <w:tc>
          <w:tcPr>
            <w:tcW w:w="1008" w:type="dxa"/>
            <w:tcBorders>
              <w:top w:val="dotted" w:color="auto" w:sz="4" w:space="0"/>
              <w:left w:val="nil"/>
              <w:bottom w:val="dotted" w:color="auto" w:sz="4" w:space="0"/>
              <w:right w:val="nil"/>
            </w:tcBorders>
          </w:tcPr>
          <w:p w:rsidRPr="00FE1B8E" w:rsidR="000A581A" w:rsidP="007E28F2" w:rsidRDefault="008B7256" w14:paraId="24D71E1E" w14:textId="77777777">
            <w:pPr>
              <w:widowControl/>
              <w:ind w:firstLine="90"/>
              <w:jc w:val="right"/>
              <w:rPr>
                <w:b w:val="0"/>
                <w:iCs/>
              </w:rPr>
            </w:pPr>
            <w:r>
              <w:rPr>
                <w:b w:val="0"/>
                <w:iCs/>
              </w:rPr>
              <w:t>9</w:t>
            </w:r>
          </w:p>
        </w:tc>
        <w:tc>
          <w:tcPr>
            <w:tcW w:w="1440" w:type="dxa"/>
            <w:tcBorders>
              <w:top w:val="dotted" w:color="auto" w:sz="4" w:space="0"/>
              <w:left w:val="nil"/>
              <w:bottom w:val="dotted" w:color="auto" w:sz="4" w:space="0"/>
              <w:right w:val="nil"/>
            </w:tcBorders>
          </w:tcPr>
          <w:p w:rsidRPr="00FE1B8E" w:rsidR="000A581A" w:rsidP="007E28F2" w:rsidRDefault="009C1F0C" w14:paraId="6BAB287B" w14:textId="77777777">
            <w:pPr>
              <w:widowControl/>
              <w:ind w:firstLine="90"/>
              <w:jc w:val="right"/>
              <w:rPr>
                <w:b w:val="0"/>
                <w:iCs/>
              </w:rPr>
            </w:pPr>
            <w:r w:rsidRPr="009C1F0C">
              <w:rPr>
                <w:b w:val="0"/>
                <w:iCs/>
              </w:rPr>
              <w:t>$1,018,979</w:t>
            </w:r>
          </w:p>
        </w:tc>
        <w:tc>
          <w:tcPr>
            <w:tcW w:w="1440" w:type="dxa"/>
            <w:tcBorders>
              <w:top w:val="dotted" w:color="auto" w:sz="4" w:space="0"/>
              <w:left w:val="nil"/>
              <w:bottom w:val="dotted" w:color="auto" w:sz="4" w:space="0"/>
              <w:right w:val="nil"/>
            </w:tcBorders>
            <w:shd w:val="clear" w:color="auto" w:fill="auto"/>
            <w:noWrap/>
          </w:tcPr>
          <w:p w:rsidRPr="00FE1B8E" w:rsidR="000A581A" w:rsidP="007E28F2" w:rsidRDefault="000A581A" w14:paraId="203CF0BE" w14:textId="77777777">
            <w:pPr>
              <w:widowControl/>
              <w:ind w:firstLine="90"/>
              <w:jc w:val="right"/>
              <w:rPr>
                <w:b w:val="0"/>
                <w:iCs/>
              </w:rPr>
            </w:pPr>
            <w:r w:rsidRPr="003B04C8">
              <w:rPr>
                <w:b w:val="0"/>
                <w:color w:val="000000" w:themeColor="text1"/>
              </w:rPr>
              <w:t>$</w:t>
            </w:r>
            <w:r w:rsidRPr="003B04C8" w:rsidR="00956225">
              <w:rPr>
                <w:b w:val="0"/>
                <w:color w:val="000000" w:themeColor="text1"/>
              </w:rPr>
              <w:t>0</w:t>
            </w:r>
            <w:r w:rsidRPr="001F3EF6" w:rsidR="00171B32">
              <w:rPr>
                <w:rStyle w:val="FootnoteReference"/>
                <w:b w:val="0"/>
                <w:color w:val="000000" w:themeColor="text1"/>
                <w:vertAlign w:val="superscript"/>
              </w:rPr>
              <w:footnoteReference w:id="14"/>
            </w:r>
          </w:p>
        </w:tc>
        <w:tc>
          <w:tcPr>
            <w:tcW w:w="1440" w:type="dxa"/>
            <w:tcBorders>
              <w:top w:val="dotted" w:color="auto" w:sz="4" w:space="0"/>
              <w:left w:val="nil"/>
              <w:bottom w:val="dotted" w:color="auto" w:sz="4" w:space="0"/>
              <w:right w:val="nil"/>
            </w:tcBorders>
          </w:tcPr>
          <w:p w:rsidRPr="00FE1B8E" w:rsidR="000A581A" w:rsidP="007E28F2" w:rsidRDefault="009C1F0C" w14:paraId="5CEC7ED1" w14:textId="77777777">
            <w:pPr>
              <w:widowControl/>
              <w:ind w:firstLine="90"/>
              <w:jc w:val="right"/>
              <w:rPr>
                <w:b w:val="0"/>
                <w:iCs/>
              </w:rPr>
            </w:pPr>
            <w:r w:rsidRPr="009C1F0C">
              <w:rPr>
                <w:b w:val="0"/>
                <w:iCs/>
              </w:rPr>
              <w:t>$1,018,979</w:t>
            </w:r>
          </w:p>
        </w:tc>
      </w:tr>
      <w:tr w:rsidRPr="00FE1B8E" w:rsidR="000A581A" w:rsidTr="00271264" w14:paraId="6D85BFCE" w14:textId="77777777">
        <w:trPr>
          <w:trHeight w:val="87"/>
        </w:trPr>
        <w:tc>
          <w:tcPr>
            <w:tcW w:w="2304" w:type="dxa"/>
            <w:tcBorders>
              <w:top w:val="dotted" w:color="auto" w:sz="4" w:space="0"/>
              <w:left w:val="nil"/>
              <w:bottom w:val="double" w:color="auto" w:sz="4" w:space="0"/>
              <w:right w:val="nil"/>
            </w:tcBorders>
            <w:shd w:val="clear" w:color="auto" w:fill="auto"/>
            <w:noWrap/>
            <w:vAlign w:val="bottom"/>
          </w:tcPr>
          <w:p w:rsidR="000A581A" w:rsidP="007E28F2" w:rsidRDefault="000A581A" w14:paraId="192D1F4D" w14:textId="77777777">
            <w:pPr>
              <w:widowControl/>
              <w:ind w:firstLine="90"/>
              <w:rPr>
                <w:b w:val="0"/>
              </w:rPr>
            </w:pPr>
            <w:r w:rsidRPr="00FE1B8E">
              <w:rPr>
                <w:b w:val="0"/>
                <w:iCs/>
              </w:rPr>
              <w:t>Notice</w:t>
            </w:r>
            <w:r w:rsidRPr="00FE1B8E">
              <w:rPr>
                <w:b w:val="0"/>
              </w:rPr>
              <w:t xml:space="preserve"> of Expiration of </w:t>
            </w:r>
          </w:p>
          <w:p w:rsidRPr="00FE1B8E" w:rsidR="000A581A" w:rsidRDefault="000A581A" w14:paraId="7316870A" w14:textId="77777777">
            <w:pPr>
              <w:widowControl/>
              <w:ind w:firstLine="90"/>
              <w:rPr>
                <w:b w:val="0"/>
              </w:rPr>
            </w:pPr>
            <w:r w:rsidRPr="00FE1B8E">
              <w:rPr>
                <w:b w:val="0"/>
              </w:rPr>
              <w:t>Premium Assistance</w:t>
            </w:r>
          </w:p>
        </w:tc>
        <w:tc>
          <w:tcPr>
            <w:tcW w:w="1296" w:type="dxa"/>
            <w:tcBorders>
              <w:top w:val="dotted" w:color="auto" w:sz="4" w:space="0"/>
              <w:left w:val="nil"/>
              <w:bottom w:val="double" w:color="auto" w:sz="4" w:space="0"/>
              <w:right w:val="nil"/>
            </w:tcBorders>
            <w:shd w:val="clear" w:color="auto" w:fill="auto"/>
            <w:noWrap/>
          </w:tcPr>
          <w:p w:rsidRPr="00FE1B8E" w:rsidR="000A581A" w:rsidP="007E28F2" w:rsidRDefault="000A581A" w14:paraId="42478212" w14:textId="77777777">
            <w:pPr>
              <w:widowControl/>
              <w:ind w:firstLine="90"/>
              <w:jc w:val="right"/>
              <w:rPr>
                <w:b w:val="0"/>
                <w:highlight w:val="yellow"/>
              </w:rPr>
            </w:pPr>
            <w:r w:rsidRPr="00FE1B8E">
              <w:rPr>
                <w:b w:val="0"/>
                <w:iCs/>
              </w:rPr>
              <w:t>7,235,615</w:t>
            </w:r>
          </w:p>
        </w:tc>
        <w:tc>
          <w:tcPr>
            <w:tcW w:w="1008" w:type="dxa"/>
            <w:tcBorders>
              <w:top w:val="dotted" w:color="auto" w:sz="4" w:space="0"/>
              <w:left w:val="nil"/>
              <w:bottom w:val="double" w:color="auto" w:sz="4" w:space="0"/>
              <w:right w:val="nil"/>
            </w:tcBorders>
          </w:tcPr>
          <w:p w:rsidRPr="00FE1B8E" w:rsidR="000A581A" w:rsidP="007E28F2" w:rsidRDefault="00E13BFA" w14:paraId="4C55B4B2" w14:textId="77777777">
            <w:pPr>
              <w:widowControl/>
              <w:ind w:firstLine="90"/>
              <w:jc w:val="right"/>
              <w:rPr>
                <w:b w:val="0"/>
                <w:iCs/>
              </w:rPr>
            </w:pPr>
            <w:r>
              <w:rPr>
                <w:b w:val="0"/>
                <w:iCs/>
              </w:rPr>
              <w:t>4</w:t>
            </w:r>
          </w:p>
        </w:tc>
        <w:tc>
          <w:tcPr>
            <w:tcW w:w="1440" w:type="dxa"/>
            <w:tcBorders>
              <w:top w:val="dotted" w:color="auto" w:sz="4" w:space="0"/>
              <w:left w:val="nil"/>
              <w:bottom w:val="double" w:color="auto" w:sz="4" w:space="0"/>
              <w:right w:val="nil"/>
            </w:tcBorders>
          </w:tcPr>
          <w:p w:rsidRPr="00FE1B8E" w:rsidR="000A581A" w:rsidP="007E28F2" w:rsidRDefault="009C1F0C" w14:paraId="0F01E76F" w14:textId="77777777">
            <w:pPr>
              <w:widowControl/>
              <w:ind w:firstLine="90"/>
              <w:jc w:val="right"/>
              <w:rPr>
                <w:b w:val="0"/>
                <w:iCs/>
              </w:rPr>
            </w:pPr>
            <w:r w:rsidRPr="009C1F0C">
              <w:rPr>
                <w:b w:val="0"/>
                <w:iCs/>
              </w:rPr>
              <w:t>$1,447,123</w:t>
            </w:r>
          </w:p>
        </w:tc>
        <w:tc>
          <w:tcPr>
            <w:tcW w:w="1440" w:type="dxa"/>
            <w:tcBorders>
              <w:top w:val="dotted" w:color="auto" w:sz="4" w:space="0"/>
              <w:left w:val="nil"/>
              <w:bottom w:val="double" w:color="auto" w:sz="4" w:space="0"/>
              <w:right w:val="nil"/>
            </w:tcBorders>
            <w:shd w:val="clear" w:color="auto" w:fill="auto"/>
            <w:noWrap/>
          </w:tcPr>
          <w:p w:rsidRPr="00FE1B8E" w:rsidR="000A581A" w:rsidP="007E28F2" w:rsidRDefault="000A581A" w14:paraId="57184DD6" w14:textId="77777777">
            <w:pPr>
              <w:widowControl/>
              <w:ind w:firstLine="90"/>
              <w:jc w:val="right"/>
              <w:rPr>
                <w:b w:val="0"/>
                <w:highlight w:val="yellow"/>
              </w:rPr>
            </w:pPr>
            <w:r w:rsidRPr="00FE1B8E">
              <w:rPr>
                <w:b w:val="0"/>
                <w:iCs/>
              </w:rPr>
              <w:t>$4,051,944</w:t>
            </w:r>
          </w:p>
        </w:tc>
        <w:tc>
          <w:tcPr>
            <w:tcW w:w="1440" w:type="dxa"/>
            <w:tcBorders>
              <w:top w:val="dotted" w:color="auto" w:sz="4" w:space="0"/>
              <w:left w:val="nil"/>
              <w:bottom w:val="double" w:color="auto" w:sz="4" w:space="0"/>
              <w:right w:val="nil"/>
            </w:tcBorders>
          </w:tcPr>
          <w:p w:rsidRPr="00FE1B8E" w:rsidR="000A581A" w:rsidP="007E28F2" w:rsidRDefault="009C1F0C" w14:paraId="5A6EF3A4" w14:textId="77777777">
            <w:pPr>
              <w:widowControl/>
              <w:ind w:firstLine="90"/>
              <w:jc w:val="right"/>
              <w:rPr>
                <w:b w:val="0"/>
                <w:iCs/>
              </w:rPr>
            </w:pPr>
            <w:r w:rsidRPr="009C1F0C">
              <w:rPr>
                <w:b w:val="0"/>
                <w:iCs/>
              </w:rPr>
              <w:t>$5,499,067</w:t>
            </w:r>
          </w:p>
        </w:tc>
      </w:tr>
      <w:tr w:rsidRPr="00FE1B8E" w:rsidR="000A581A" w:rsidTr="00271264" w14:paraId="13303150" w14:textId="77777777">
        <w:trPr>
          <w:trHeight w:val="123"/>
        </w:trPr>
        <w:tc>
          <w:tcPr>
            <w:tcW w:w="2304" w:type="dxa"/>
            <w:tcBorders>
              <w:top w:val="double" w:color="auto" w:sz="4" w:space="0"/>
              <w:left w:val="nil"/>
              <w:bottom w:val="single" w:color="auto" w:sz="4" w:space="0"/>
              <w:right w:val="nil"/>
            </w:tcBorders>
            <w:shd w:val="clear" w:color="auto" w:fill="auto"/>
            <w:noWrap/>
            <w:vAlign w:val="bottom"/>
          </w:tcPr>
          <w:p w:rsidRPr="00FE1B8E" w:rsidR="000A581A" w:rsidP="007E28F2" w:rsidRDefault="000A581A" w14:paraId="3F1C2AE3" w14:textId="77777777">
            <w:pPr>
              <w:widowControl/>
              <w:ind w:firstLine="90"/>
            </w:pPr>
            <w:r w:rsidRPr="00FE1B8E">
              <w:t>Total</w:t>
            </w:r>
          </w:p>
        </w:tc>
        <w:tc>
          <w:tcPr>
            <w:tcW w:w="1296" w:type="dxa"/>
            <w:tcBorders>
              <w:top w:val="double" w:color="auto" w:sz="4" w:space="0"/>
              <w:left w:val="nil"/>
              <w:bottom w:val="single" w:color="auto" w:sz="4" w:space="0"/>
              <w:right w:val="nil"/>
            </w:tcBorders>
            <w:shd w:val="clear" w:color="auto" w:fill="auto"/>
            <w:noWrap/>
            <w:vAlign w:val="bottom"/>
          </w:tcPr>
          <w:p w:rsidRPr="00FE1B8E" w:rsidR="000A581A" w:rsidP="007E28F2" w:rsidRDefault="000A581A" w14:paraId="36A6136B" w14:textId="77777777">
            <w:pPr>
              <w:widowControl/>
              <w:ind w:firstLine="90"/>
              <w:jc w:val="right"/>
              <w:rPr>
                <w:b w:val="0"/>
              </w:rPr>
            </w:pPr>
            <w:r w:rsidRPr="00FE1B8E">
              <w:rPr>
                <w:b w:val="0"/>
              </w:rPr>
              <w:t>41,455,446</w:t>
            </w:r>
          </w:p>
        </w:tc>
        <w:tc>
          <w:tcPr>
            <w:tcW w:w="1008" w:type="dxa"/>
            <w:tcBorders>
              <w:top w:val="double" w:color="auto" w:sz="4" w:space="0"/>
              <w:left w:val="nil"/>
              <w:bottom w:val="single" w:color="auto" w:sz="4" w:space="0"/>
              <w:right w:val="nil"/>
            </w:tcBorders>
          </w:tcPr>
          <w:p w:rsidRPr="00FE1B8E" w:rsidR="000A581A" w:rsidP="007E28F2" w:rsidRDefault="000A581A" w14:paraId="1C43B841" w14:textId="77777777">
            <w:pPr>
              <w:widowControl/>
              <w:ind w:firstLine="90"/>
              <w:jc w:val="right"/>
              <w:rPr>
                <w:b w:val="0"/>
              </w:rPr>
            </w:pPr>
          </w:p>
        </w:tc>
        <w:tc>
          <w:tcPr>
            <w:tcW w:w="1440" w:type="dxa"/>
            <w:tcBorders>
              <w:top w:val="double" w:color="auto" w:sz="4" w:space="0"/>
              <w:left w:val="nil"/>
              <w:bottom w:val="single" w:color="auto" w:sz="4" w:space="0"/>
              <w:right w:val="nil"/>
            </w:tcBorders>
          </w:tcPr>
          <w:p w:rsidRPr="00FE1B8E" w:rsidR="000A581A" w:rsidP="007E28F2" w:rsidRDefault="009C1F0C" w14:paraId="6D005AEB" w14:textId="77777777">
            <w:pPr>
              <w:widowControl/>
              <w:ind w:firstLine="90"/>
              <w:jc w:val="right"/>
              <w:rPr>
                <w:b w:val="0"/>
              </w:rPr>
            </w:pPr>
            <w:r w:rsidRPr="009C1F0C">
              <w:rPr>
                <w:b w:val="0"/>
              </w:rPr>
              <w:t>$14,689,877</w:t>
            </w:r>
          </w:p>
        </w:tc>
        <w:tc>
          <w:tcPr>
            <w:tcW w:w="1440" w:type="dxa"/>
            <w:tcBorders>
              <w:top w:val="double" w:color="auto" w:sz="4" w:space="0"/>
              <w:left w:val="nil"/>
              <w:bottom w:val="single" w:color="auto" w:sz="4" w:space="0"/>
              <w:right w:val="nil"/>
            </w:tcBorders>
            <w:shd w:val="clear" w:color="auto" w:fill="auto"/>
            <w:noWrap/>
          </w:tcPr>
          <w:p w:rsidRPr="00FE1B8E" w:rsidR="000A581A" w:rsidP="007E28F2" w:rsidRDefault="000A581A" w14:paraId="41ACEA3F" w14:textId="77777777">
            <w:pPr>
              <w:widowControl/>
              <w:ind w:firstLine="90"/>
              <w:jc w:val="right"/>
              <w:rPr>
                <w:b w:val="0"/>
              </w:rPr>
            </w:pPr>
            <w:r w:rsidRPr="00FE1B8E">
              <w:rPr>
                <w:b w:val="0"/>
              </w:rPr>
              <w:t>$</w:t>
            </w:r>
            <w:r w:rsidR="00E7346D">
              <w:rPr>
                <w:b w:val="0"/>
              </w:rPr>
              <w:t>15</w:t>
            </w:r>
            <w:r w:rsidRPr="00FE1B8E" w:rsidR="00AC14A0">
              <w:rPr>
                <w:b w:val="0"/>
              </w:rPr>
              <w:t>,</w:t>
            </w:r>
            <w:r w:rsidR="00E7346D">
              <w:rPr>
                <w:b w:val="0"/>
              </w:rPr>
              <w:t>903,713</w:t>
            </w:r>
          </w:p>
        </w:tc>
        <w:tc>
          <w:tcPr>
            <w:tcW w:w="1440" w:type="dxa"/>
            <w:tcBorders>
              <w:top w:val="double" w:color="auto" w:sz="4" w:space="0"/>
              <w:left w:val="nil"/>
              <w:bottom w:val="single" w:color="auto" w:sz="4" w:space="0"/>
              <w:right w:val="nil"/>
            </w:tcBorders>
          </w:tcPr>
          <w:p w:rsidRPr="00FE1B8E" w:rsidR="000A581A" w:rsidP="007E28F2" w:rsidRDefault="009C1F0C" w14:paraId="21A35CEA" w14:textId="77777777">
            <w:pPr>
              <w:widowControl/>
              <w:ind w:firstLine="90"/>
              <w:jc w:val="right"/>
              <w:rPr>
                <w:b w:val="0"/>
              </w:rPr>
            </w:pPr>
            <w:r w:rsidRPr="009C1F0C">
              <w:rPr>
                <w:b w:val="0"/>
              </w:rPr>
              <w:t>$30,599,590</w:t>
            </w:r>
          </w:p>
        </w:tc>
      </w:tr>
    </w:tbl>
    <w:p w:rsidR="00287458" w:rsidP="00BE0A76" w:rsidRDefault="00287458" w14:paraId="3AE0754C" w14:textId="77777777">
      <w:pPr>
        <w:widowControl/>
        <w:rPr>
          <w:b w:val="0"/>
          <w:bCs w:val="0"/>
          <w:sz w:val="24"/>
        </w:rPr>
      </w:pPr>
    </w:p>
    <w:p w:rsidR="00860005" w:rsidP="00537E07" w:rsidRDefault="00DD37E4" w14:paraId="5000B708" w14:textId="77777777">
      <w:pPr>
        <w:widowControl/>
        <w:ind w:firstLine="720"/>
        <w:rPr>
          <w:b w:val="0"/>
          <w:bCs w:val="0"/>
          <w:sz w:val="24"/>
        </w:rPr>
      </w:pPr>
      <w:r>
        <w:rPr>
          <w:b w:val="0"/>
          <w:bCs w:val="0"/>
          <w:sz w:val="24"/>
        </w:rPr>
        <w:t>The total estimated cost for this information collection</w:t>
      </w:r>
      <w:r w:rsidRPr="00DD37E4">
        <w:rPr>
          <w:b w:val="0"/>
          <w:bCs w:val="0"/>
          <w:sz w:val="24"/>
        </w:rPr>
        <w:t xml:space="preserve"> is</w:t>
      </w:r>
      <w:r w:rsidR="008F3EFB">
        <w:rPr>
          <w:b w:val="0"/>
          <w:bCs w:val="0"/>
          <w:sz w:val="24"/>
        </w:rPr>
        <w:t xml:space="preserve"> approximately</w:t>
      </w:r>
      <w:r w:rsidRPr="00DD37E4">
        <w:rPr>
          <w:b w:val="0"/>
          <w:bCs w:val="0"/>
          <w:sz w:val="24"/>
        </w:rPr>
        <w:t xml:space="preserve"> $</w:t>
      </w:r>
      <w:r w:rsidR="004616AE">
        <w:rPr>
          <w:b w:val="0"/>
          <w:bCs w:val="0"/>
          <w:sz w:val="24"/>
        </w:rPr>
        <w:t xml:space="preserve">30.6 </w:t>
      </w:r>
      <w:r w:rsidRPr="00DD37E4">
        <w:rPr>
          <w:b w:val="0"/>
          <w:bCs w:val="0"/>
          <w:sz w:val="24"/>
        </w:rPr>
        <w:t>million.</w:t>
      </w:r>
    </w:p>
    <w:p w:rsidR="00DD37E4" w:rsidP="00BE0A76" w:rsidRDefault="00DD37E4" w14:paraId="467A8041" w14:textId="77777777">
      <w:pPr>
        <w:widowControl/>
        <w:rPr>
          <w:b w:val="0"/>
          <w:bCs w:val="0"/>
          <w:sz w:val="24"/>
        </w:rPr>
      </w:pPr>
    </w:p>
    <w:p w:rsidRPr="00BE4E63" w:rsidR="00AA1E33" w:rsidP="00BB3374" w:rsidRDefault="00AA1E33" w14:paraId="649708FD" w14:textId="77777777">
      <w:pPr>
        <w:widowControl/>
        <w:tabs>
          <w:tab w:val="left" w:pos="-1440"/>
        </w:tabs>
        <w:ind w:left="720" w:hanging="720"/>
        <w:rPr>
          <w:bCs w:val="0"/>
          <w:iCs/>
          <w:sz w:val="24"/>
          <w:szCs w:val="24"/>
        </w:rPr>
      </w:pPr>
      <w:r w:rsidRPr="00BE4E63">
        <w:rPr>
          <w:bCs w:val="0"/>
          <w:sz w:val="24"/>
          <w:szCs w:val="24"/>
        </w:rPr>
        <w:t xml:space="preserve">14.  </w:t>
      </w:r>
      <w:r w:rsidR="00BB3374">
        <w:rPr>
          <w:bCs w:val="0"/>
          <w:sz w:val="24"/>
          <w:szCs w:val="24"/>
        </w:rPr>
        <w:tab/>
      </w:r>
      <w:r w:rsidRPr="00BE4E63">
        <w:rPr>
          <w:bCs w:val="0"/>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Default="00AA1E33" w14:paraId="1140C7C7" w14:textId="77777777">
      <w:pPr>
        <w:widowControl/>
        <w:rPr>
          <w:b w:val="0"/>
          <w:bCs w:val="0"/>
          <w:sz w:val="24"/>
        </w:rPr>
      </w:pPr>
    </w:p>
    <w:p w:rsidR="0034246F" w:rsidP="0058117B" w:rsidRDefault="00140C8D" w14:paraId="7D3CC60D" w14:textId="77777777">
      <w:pPr>
        <w:widowControl/>
        <w:ind w:left="-90" w:firstLine="810"/>
        <w:rPr>
          <w:b w:val="0"/>
          <w:bCs w:val="0"/>
          <w:sz w:val="24"/>
        </w:rPr>
      </w:pPr>
      <w:bookmarkStart w:name="OLE_LINK1" w:id="2"/>
      <w:bookmarkStart w:name="OLE_LINK2" w:id="3"/>
      <w:r>
        <w:rPr>
          <w:b w:val="0"/>
          <w:bCs w:val="0"/>
          <w:sz w:val="24"/>
        </w:rPr>
        <w:t>T</w:t>
      </w:r>
      <w:r w:rsidR="0034246F">
        <w:rPr>
          <w:b w:val="0"/>
          <w:bCs w:val="0"/>
          <w:sz w:val="24"/>
        </w:rPr>
        <w:t xml:space="preserve">here is no cost associated </w:t>
      </w:r>
      <w:r w:rsidR="000E64EC">
        <w:rPr>
          <w:b w:val="0"/>
          <w:bCs w:val="0"/>
          <w:sz w:val="24"/>
        </w:rPr>
        <w:t>to</w:t>
      </w:r>
      <w:r w:rsidR="0034246F">
        <w:rPr>
          <w:b w:val="0"/>
          <w:bCs w:val="0"/>
          <w:sz w:val="24"/>
        </w:rPr>
        <w:t xml:space="preserve"> the government</w:t>
      </w:r>
      <w:r w:rsidRPr="0034246F" w:rsidR="0034246F">
        <w:rPr>
          <w:b w:val="0"/>
          <w:bCs w:val="0"/>
          <w:sz w:val="24"/>
          <w:szCs w:val="24"/>
        </w:rPr>
        <w:t xml:space="preserve"> </w:t>
      </w:r>
      <w:r w:rsidR="000E64EC">
        <w:rPr>
          <w:b w:val="0"/>
          <w:bCs w:val="0"/>
          <w:sz w:val="24"/>
        </w:rPr>
        <w:t>for this</w:t>
      </w:r>
      <w:r w:rsidRPr="0034246F" w:rsidR="0034246F">
        <w:rPr>
          <w:b w:val="0"/>
          <w:bCs w:val="0"/>
          <w:sz w:val="24"/>
        </w:rPr>
        <w:t xml:space="preserve"> information collection</w:t>
      </w:r>
      <w:r w:rsidR="0034246F">
        <w:rPr>
          <w:b w:val="0"/>
          <w:bCs w:val="0"/>
          <w:sz w:val="24"/>
        </w:rPr>
        <w:t xml:space="preserve">.  </w:t>
      </w:r>
    </w:p>
    <w:bookmarkEnd w:id="2"/>
    <w:bookmarkEnd w:id="3"/>
    <w:p w:rsidR="00FF59F5" w:rsidRDefault="00FF59F5" w14:paraId="1F86D9BC" w14:textId="77777777">
      <w:pPr>
        <w:widowControl/>
        <w:rPr>
          <w:b w:val="0"/>
          <w:bCs w:val="0"/>
          <w:sz w:val="24"/>
        </w:rPr>
      </w:pPr>
    </w:p>
    <w:p w:rsidRPr="00BE4E63" w:rsidR="00AA1E33" w:rsidRDefault="00AA1E33" w14:paraId="135BC243" w14:textId="77777777">
      <w:pPr>
        <w:widowControl/>
        <w:tabs>
          <w:tab w:val="left" w:pos="-1440"/>
        </w:tabs>
        <w:rPr>
          <w:bCs w:val="0"/>
          <w:sz w:val="24"/>
          <w:szCs w:val="24"/>
        </w:rPr>
      </w:pPr>
      <w:r w:rsidRPr="00BE4E63">
        <w:rPr>
          <w:bCs w:val="0"/>
          <w:sz w:val="24"/>
          <w:szCs w:val="24"/>
        </w:rPr>
        <w:t xml:space="preserve">15.  </w:t>
      </w:r>
      <w:r w:rsidR="00BB3374">
        <w:rPr>
          <w:bCs w:val="0"/>
          <w:sz w:val="24"/>
          <w:szCs w:val="24"/>
        </w:rPr>
        <w:tab/>
      </w:r>
      <w:r w:rsidRPr="00BE4E63">
        <w:rPr>
          <w:bCs w:val="0"/>
          <w:iCs/>
          <w:sz w:val="24"/>
          <w:szCs w:val="24"/>
        </w:rPr>
        <w:t>Explain the reasons for any</w:t>
      </w:r>
      <w:r w:rsidR="002142F2">
        <w:rPr>
          <w:bCs w:val="0"/>
          <w:iCs/>
          <w:sz w:val="24"/>
          <w:szCs w:val="24"/>
        </w:rPr>
        <w:t xml:space="preserve"> program changes or adjustments.</w:t>
      </w:r>
    </w:p>
    <w:p w:rsidR="00AA1E33" w:rsidRDefault="00AA1E33" w14:paraId="42384A53" w14:textId="77777777">
      <w:pPr>
        <w:widowControl/>
        <w:tabs>
          <w:tab w:val="left" w:pos="-1440"/>
        </w:tabs>
        <w:ind w:left="720" w:hanging="720"/>
        <w:rPr>
          <w:b w:val="0"/>
          <w:bCs w:val="0"/>
          <w:sz w:val="24"/>
        </w:rPr>
      </w:pPr>
    </w:p>
    <w:p w:rsidR="005937C1" w:rsidRDefault="002F730A" w14:paraId="04881EA8" w14:textId="77777777">
      <w:pPr>
        <w:widowControl/>
        <w:tabs>
          <w:tab w:val="left" w:pos="-1440"/>
        </w:tabs>
        <w:ind w:left="720" w:hanging="720"/>
        <w:rPr>
          <w:b w:val="0"/>
          <w:bCs w:val="0"/>
          <w:sz w:val="24"/>
        </w:rPr>
      </w:pPr>
      <w:r>
        <w:rPr>
          <w:b w:val="0"/>
          <w:bCs w:val="0"/>
          <w:sz w:val="24"/>
        </w:rPr>
        <w:tab/>
      </w:r>
      <w:r w:rsidR="005937C1">
        <w:rPr>
          <w:b w:val="0"/>
          <w:bCs w:val="0"/>
          <w:sz w:val="24"/>
        </w:rPr>
        <w:t>This is a new collection of information.</w:t>
      </w:r>
    </w:p>
    <w:p w:rsidR="005937C1" w:rsidRDefault="005937C1" w14:paraId="750CD7F6" w14:textId="77777777">
      <w:pPr>
        <w:widowControl/>
        <w:tabs>
          <w:tab w:val="left" w:pos="-1440"/>
        </w:tabs>
        <w:ind w:left="720" w:hanging="720"/>
        <w:rPr>
          <w:b w:val="0"/>
          <w:bCs w:val="0"/>
          <w:sz w:val="24"/>
        </w:rPr>
      </w:pPr>
    </w:p>
    <w:p w:rsidRPr="00BE4E63" w:rsidR="00AA1E33" w:rsidP="00BB3374" w:rsidRDefault="00AA1E33" w14:paraId="08C5FCC5" w14:textId="77777777">
      <w:pPr>
        <w:widowControl/>
        <w:tabs>
          <w:tab w:val="left" w:pos="-1440"/>
        </w:tabs>
        <w:ind w:left="720" w:hanging="720"/>
        <w:rPr>
          <w:bCs w:val="0"/>
          <w:iCs/>
          <w:sz w:val="24"/>
          <w:szCs w:val="24"/>
        </w:rPr>
      </w:pPr>
      <w:r w:rsidRPr="00BE4E63">
        <w:rPr>
          <w:bCs w:val="0"/>
          <w:sz w:val="24"/>
          <w:szCs w:val="24"/>
        </w:rPr>
        <w:t xml:space="preserve">16.  </w:t>
      </w:r>
      <w:r w:rsidR="00BB3374">
        <w:rPr>
          <w:bCs w:val="0"/>
          <w:sz w:val="24"/>
          <w:szCs w:val="24"/>
        </w:rPr>
        <w:tab/>
      </w:r>
      <w:r w:rsidRPr="00BE4E63">
        <w:rPr>
          <w:bCs w:val="0"/>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Default="00AA1E33" w14:paraId="2E7EC38C" w14:textId="77777777">
      <w:pPr>
        <w:widowControl/>
        <w:rPr>
          <w:b w:val="0"/>
          <w:bCs w:val="0"/>
          <w:sz w:val="24"/>
        </w:rPr>
      </w:pPr>
    </w:p>
    <w:p w:rsidR="00AA1E33" w:rsidRDefault="00AA1E33" w14:paraId="50208B41" w14:textId="77777777">
      <w:pPr>
        <w:pStyle w:val="BodyText"/>
        <w:ind w:firstLine="720"/>
        <w:outlineLvl w:val="0"/>
      </w:pPr>
      <w:r>
        <w:t>There are no plans to publish the results of this collection of information.</w:t>
      </w:r>
    </w:p>
    <w:p w:rsidRPr="00BE4E63" w:rsidR="00AA1E33" w:rsidRDefault="00AA1E33" w14:paraId="0B8B1BB3" w14:textId="77777777">
      <w:pPr>
        <w:widowControl/>
        <w:rPr>
          <w:bCs w:val="0"/>
          <w:i/>
          <w:sz w:val="24"/>
          <w:szCs w:val="24"/>
        </w:rPr>
      </w:pPr>
    </w:p>
    <w:p w:rsidRPr="00BE4E63" w:rsidR="00AA1E33" w:rsidP="00BB3374" w:rsidRDefault="00AA1E33" w14:paraId="72B268C2" w14:textId="77777777">
      <w:pPr>
        <w:widowControl/>
        <w:tabs>
          <w:tab w:val="left" w:pos="-1440"/>
        </w:tabs>
        <w:ind w:left="720" w:hanging="720"/>
        <w:rPr>
          <w:bCs w:val="0"/>
          <w:iCs/>
          <w:sz w:val="24"/>
          <w:szCs w:val="24"/>
        </w:rPr>
      </w:pPr>
      <w:r w:rsidRPr="00BE4E63">
        <w:rPr>
          <w:bCs w:val="0"/>
          <w:sz w:val="24"/>
          <w:szCs w:val="24"/>
        </w:rPr>
        <w:t xml:space="preserve">17.  </w:t>
      </w:r>
      <w:r w:rsidR="00BB3374">
        <w:rPr>
          <w:bCs w:val="0"/>
          <w:sz w:val="24"/>
          <w:szCs w:val="24"/>
        </w:rPr>
        <w:tab/>
      </w:r>
      <w:r w:rsidRPr="00BE4E63">
        <w:rPr>
          <w:bCs w:val="0"/>
          <w:iCs/>
          <w:sz w:val="24"/>
          <w:szCs w:val="24"/>
        </w:rPr>
        <w:t>If seeking approval to not display the expiration date for OMB approval of the information collection, explain the reasons that display would be inappropriate.</w:t>
      </w:r>
    </w:p>
    <w:p w:rsidR="00AA1E33" w:rsidRDefault="00AA1E33" w14:paraId="4169C64C" w14:textId="77777777">
      <w:pPr>
        <w:widowControl/>
        <w:rPr>
          <w:b w:val="0"/>
          <w:bCs w:val="0"/>
          <w:sz w:val="24"/>
        </w:rPr>
      </w:pPr>
    </w:p>
    <w:p w:rsidR="00AA1E33" w:rsidRDefault="00FF59F5" w14:paraId="11E93A23" w14:textId="77777777">
      <w:pPr>
        <w:widowControl/>
        <w:rPr>
          <w:b w:val="0"/>
          <w:bCs w:val="0"/>
          <w:sz w:val="24"/>
        </w:rPr>
      </w:pPr>
      <w:r>
        <w:rPr>
          <w:b w:val="0"/>
          <w:bCs w:val="0"/>
          <w:sz w:val="24"/>
        </w:rPr>
        <w:tab/>
        <w:t>Not applicable.</w:t>
      </w:r>
    </w:p>
    <w:p w:rsidR="00FF59F5" w:rsidRDefault="00FF59F5" w14:paraId="3B68131A" w14:textId="77777777">
      <w:pPr>
        <w:widowControl/>
        <w:rPr>
          <w:b w:val="0"/>
          <w:bCs w:val="0"/>
          <w:sz w:val="24"/>
        </w:rPr>
      </w:pPr>
    </w:p>
    <w:p w:rsidRPr="00BE4E63" w:rsidR="00AA1E33" w:rsidRDefault="00AA1E33" w14:paraId="22B1A3BD" w14:textId="77777777">
      <w:pPr>
        <w:widowControl/>
        <w:tabs>
          <w:tab w:val="left" w:pos="-1440"/>
        </w:tabs>
        <w:rPr>
          <w:iCs/>
          <w:sz w:val="24"/>
          <w:szCs w:val="24"/>
        </w:rPr>
      </w:pPr>
      <w:r w:rsidRPr="00BE4E63">
        <w:rPr>
          <w:bCs w:val="0"/>
          <w:sz w:val="24"/>
          <w:szCs w:val="24"/>
        </w:rPr>
        <w:t xml:space="preserve">18.  </w:t>
      </w:r>
      <w:r w:rsidR="00BB3374">
        <w:rPr>
          <w:bCs w:val="0"/>
          <w:sz w:val="24"/>
          <w:szCs w:val="24"/>
        </w:rPr>
        <w:tab/>
      </w:r>
      <w:r w:rsidRPr="00BE4E63">
        <w:rPr>
          <w:bCs w:val="0"/>
          <w:iCs/>
          <w:sz w:val="24"/>
          <w:szCs w:val="24"/>
        </w:rPr>
        <w:t>Explain each exception to the certification statement identified in Item 19</w:t>
      </w:r>
      <w:r w:rsidR="00DB3977">
        <w:rPr>
          <w:bCs w:val="0"/>
          <w:iCs/>
          <w:sz w:val="24"/>
          <w:szCs w:val="24"/>
        </w:rPr>
        <w:t>.</w:t>
      </w:r>
    </w:p>
    <w:p w:rsidR="00AA1E33" w:rsidRDefault="00AA1E33" w14:paraId="13E35497" w14:textId="77777777">
      <w:pPr>
        <w:widowControl/>
        <w:rPr>
          <w:sz w:val="24"/>
        </w:rPr>
      </w:pPr>
    </w:p>
    <w:p w:rsidR="00AA1E33" w:rsidRDefault="00AA1E33" w14:paraId="1330F0E9" w14:textId="77777777">
      <w:pPr>
        <w:widowControl/>
        <w:ind w:firstLine="720"/>
        <w:outlineLvl w:val="0"/>
        <w:rPr>
          <w:b w:val="0"/>
          <w:bCs w:val="0"/>
          <w:sz w:val="24"/>
        </w:rPr>
      </w:pPr>
      <w:r>
        <w:rPr>
          <w:b w:val="0"/>
          <w:bCs w:val="0"/>
          <w:sz w:val="24"/>
        </w:rPr>
        <w:t>None.</w:t>
      </w:r>
    </w:p>
    <w:p w:rsidR="00AA1E33" w:rsidRDefault="00AA1E33" w14:paraId="5796DC21" w14:textId="77777777">
      <w:pPr>
        <w:widowControl/>
        <w:rPr>
          <w:b w:val="0"/>
          <w:bCs w:val="0"/>
          <w:sz w:val="24"/>
        </w:rPr>
      </w:pPr>
    </w:p>
    <w:p w:rsidR="005742CE" w:rsidRDefault="005742CE" w14:paraId="5187D4C0" w14:textId="77777777">
      <w:pPr>
        <w:widowControl/>
        <w:rPr>
          <w:b w:val="0"/>
          <w:bCs w:val="0"/>
          <w:sz w:val="24"/>
        </w:rPr>
      </w:pPr>
    </w:p>
    <w:p w:rsidR="00AA1E33" w:rsidRDefault="00AA1E33" w14:paraId="62F99FC4" w14:textId="77777777">
      <w:pPr>
        <w:pStyle w:val="Heading3"/>
      </w:pPr>
      <w:r>
        <w:t>B.</w:t>
      </w:r>
      <w:r>
        <w:tab/>
      </w:r>
      <w:r w:rsidR="00A53702">
        <w:t>COLLECTIONS OF INFORMATION EMPLOYING STATISTICAL METHODS</w:t>
      </w:r>
    </w:p>
    <w:p w:rsidR="00AA1E33" w:rsidRDefault="00AA1E33" w14:paraId="1D731020" w14:textId="77777777">
      <w:pPr>
        <w:widowControl/>
        <w:rPr>
          <w:b w:val="0"/>
          <w:bCs w:val="0"/>
          <w:sz w:val="24"/>
        </w:rPr>
      </w:pPr>
    </w:p>
    <w:p w:rsidR="00AA1E33" w:rsidRDefault="00AA1E33" w14:paraId="623E6102" w14:textId="77777777">
      <w:pPr>
        <w:widowControl/>
        <w:ind w:left="720"/>
        <w:rPr>
          <w:b w:val="0"/>
          <w:bCs w:val="0"/>
          <w:sz w:val="24"/>
        </w:rPr>
      </w:pPr>
      <w:r>
        <w:rPr>
          <w:b w:val="0"/>
          <w:bCs w:val="0"/>
          <w:sz w:val="24"/>
        </w:rPr>
        <w:t>Not applicable.</w:t>
      </w:r>
    </w:p>
    <w:sectPr w:rsidR="00AA1E33">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81F837" w16cid:durableId="240C5AE1"/>
  <w16cid:commentId w16cid:paraId="101C3465" w16cid:durableId="240C5B8F"/>
  <w16cid:commentId w16cid:paraId="2512B513" w16cid:durableId="240C5BC2"/>
  <w16cid:commentId w16cid:paraId="462828A7" w16cid:durableId="240C6074"/>
  <w16cid:commentId w16cid:paraId="0DAC63B7" w16cid:durableId="240C6118"/>
  <w16cid:commentId w16cid:paraId="297A1D2D" w16cid:durableId="240C6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F5C68" w14:textId="77777777" w:rsidR="00250DEA" w:rsidRDefault="00250DEA">
      <w:r>
        <w:separator/>
      </w:r>
    </w:p>
  </w:endnote>
  <w:endnote w:type="continuationSeparator" w:id="0">
    <w:p w14:paraId="577D6D56" w14:textId="77777777" w:rsidR="00250DEA" w:rsidRDefault="00250DEA">
      <w:r>
        <w:continuationSeparator/>
      </w:r>
    </w:p>
  </w:endnote>
  <w:endnote w:type="continuationNotice" w:id="1">
    <w:p w14:paraId="64E0E47D" w14:textId="77777777" w:rsidR="00250DEA" w:rsidRDefault="00250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5C7D" w14:textId="77777777" w:rsidR="001A67CE" w:rsidRDefault="001A6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7FF74" w14:textId="77777777" w:rsidR="001A67CE" w:rsidRDefault="001A6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DABF" w14:textId="4222C3D5" w:rsidR="001A67CE" w:rsidRDefault="001A6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0DEA">
      <w:rPr>
        <w:rStyle w:val="PageNumber"/>
        <w:noProof/>
      </w:rPr>
      <w:t>1</w:t>
    </w:r>
    <w:r>
      <w:rPr>
        <w:rStyle w:val="PageNumber"/>
      </w:rPr>
      <w:fldChar w:fldCharType="end"/>
    </w:r>
  </w:p>
  <w:p w14:paraId="7917BCFB" w14:textId="77777777" w:rsidR="001A67CE" w:rsidRDefault="001A6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3D46" w14:textId="77777777" w:rsidR="00250DEA" w:rsidRDefault="00250DEA">
      <w:r>
        <w:separator/>
      </w:r>
    </w:p>
  </w:footnote>
  <w:footnote w:type="continuationSeparator" w:id="0">
    <w:p w14:paraId="5C413C0C" w14:textId="77777777" w:rsidR="00250DEA" w:rsidRDefault="00250DEA">
      <w:r>
        <w:continuationSeparator/>
      </w:r>
    </w:p>
  </w:footnote>
  <w:footnote w:type="continuationNotice" w:id="1">
    <w:p w14:paraId="7A356D2F" w14:textId="77777777" w:rsidR="00250DEA" w:rsidRDefault="00250DEA"/>
  </w:footnote>
  <w:footnote w:id="2">
    <w:p w14:paraId="17E003A9" w14:textId="77777777" w:rsidR="001A67CE" w:rsidRPr="004914C3" w:rsidRDefault="001A67CE">
      <w:pPr>
        <w:pStyle w:val="FootnoteText"/>
        <w:rPr>
          <w:b w:val="0"/>
        </w:rPr>
      </w:pPr>
      <w:r w:rsidRPr="004914C3">
        <w:rPr>
          <w:rStyle w:val="FootnoteReference"/>
          <w:b w:val="0"/>
        </w:rPr>
        <w:footnoteRef/>
      </w:r>
      <w:r w:rsidRPr="004914C3">
        <w:rPr>
          <w:b w:val="0"/>
        </w:rPr>
        <w:t xml:space="preserve"> In general a “qualified beneficiary” is an individual who was covered by a group health plan on the day before a qualifying event occurred that caused him or her to lose coverage. </w:t>
      </w:r>
      <w:r>
        <w:rPr>
          <w:b w:val="0"/>
        </w:rPr>
        <w:t xml:space="preserve"> </w:t>
      </w:r>
      <w:r w:rsidRPr="004914C3">
        <w:rPr>
          <w:b w:val="0"/>
        </w:rPr>
        <w:t xml:space="preserve">A qualified beneficiary must be a covered employee, the employee’s spouse or former spouse, or the employee’s dependent child.  </w:t>
      </w:r>
    </w:p>
  </w:footnote>
  <w:footnote w:id="3">
    <w:p w14:paraId="07F93B65" w14:textId="77777777" w:rsidR="001A67CE" w:rsidRPr="00010789" w:rsidRDefault="001A67CE">
      <w:pPr>
        <w:pStyle w:val="FootnoteText"/>
        <w:rPr>
          <w:b w:val="0"/>
          <w:sz w:val="20"/>
        </w:rPr>
      </w:pPr>
      <w:r w:rsidRPr="00010789">
        <w:rPr>
          <w:rStyle w:val="FootnoteReference"/>
          <w:b w:val="0"/>
          <w:sz w:val="20"/>
        </w:rPr>
        <w:footnoteRef/>
      </w:r>
      <w:r w:rsidRPr="00010789">
        <w:rPr>
          <w:b w:val="0"/>
          <w:sz w:val="20"/>
        </w:rPr>
        <w:t xml:space="preserve"> These </w:t>
      </w:r>
      <w:r w:rsidRPr="00271264">
        <w:rPr>
          <w:b w:val="0"/>
          <w:sz w:val="20"/>
        </w:rPr>
        <w:t>model notices also include a notice for assistance eligible individuals</w:t>
      </w:r>
      <w:r w:rsidRPr="00010789">
        <w:rPr>
          <w:b w:val="0"/>
          <w:sz w:val="20"/>
        </w:rPr>
        <w:t xml:space="preserve"> to notify the group health plan of their eligibility for another group health plan (other than excepted benefits, a health flexible spending account or a qualified small employer health reimbursement arrangement).  </w:t>
      </w:r>
    </w:p>
  </w:footnote>
  <w:footnote w:id="4">
    <w:p w14:paraId="7F6852BA" w14:textId="77777777" w:rsidR="001A67CE" w:rsidRPr="00977944" w:rsidRDefault="001A67CE" w:rsidP="00C449CD">
      <w:pPr>
        <w:rPr>
          <w:b w:val="0"/>
        </w:rPr>
      </w:pPr>
      <w:r w:rsidRPr="00537E07">
        <w:rPr>
          <w:b w:val="0"/>
          <w:vertAlign w:val="superscript"/>
        </w:rPr>
        <w:footnoteRef/>
      </w:r>
      <w:r w:rsidRPr="00537E07">
        <w:rPr>
          <w:b w:val="0"/>
          <w:vertAlign w:val="superscript"/>
        </w:rPr>
        <w:t xml:space="preserve"> </w:t>
      </w:r>
      <w:r w:rsidRPr="00537E07">
        <w:rPr>
          <w:b w:val="0"/>
        </w:rPr>
        <w:t>The packages include the following disclosures: a summary of ARP’s premium reduction provisions; a  form to request (or waive) the premium reduction;  a form for plans (or issuers) who permit qualified beneficiaries to switch coverage options to use to satisfy ARP’s requirement to give notice of this option;  a  form for an individual to use to satisfy ARP’s requirement to notify the plan (or issuer) that the individual is eligible for other group health plan coverage or Medicare.; and COBRA election forms and information, as appropriate and a form for plans (or issuers) to notify individuals of the end of the  premium subsidy.</w:t>
      </w:r>
    </w:p>
    <w:p w14:paraId="603A9CE2" w14:textId="77777777" w:rsidR="001A67CE" w:rsidRDefault="001A67CE" w:rsidP="00C449CD">
      <w:pPr>
        <w:pStyle w:val="FootnoteText"/>
      </w:pPr>
    </w:p>
  </w:footnote>
  <w:footnote w:id="5">
    <w:p w14:paraId="43A178EC" w14:textId="77777777" w:rsidR="001A67CE" w:rsidRPr="00543AB7" w:rsidRDefault="001A67CE" w:rsidP="00C57C36">
      <w:pPr>
        <w:pStyle w:val="FootnoteText"/>
        <w:rPr>
          <w:b w:val="0"/>
          <w:sz w:val="20"/>
        </w:rPr>
      </w:pPr>
      <w:r w:rsidRPr="00EF29E6">
        <w:rPr>
          <w:rStyle w:val="FootnoteReference"/>
          <w:b w:val="0"/>
          <w:sz w:val="20"/>
          <w:vertAlign w:val="superscript"/>
        </w:rPr>
        <w:footnoteRef/>
      </w:r>
      <w:r w:rsidRPr="00AB3859">
        <w:rPr>
          <w:b w:val="0"/>
          <w:sz w:val="20"/>
        </w:rPr>
        <w:t xml:space="preserve"> EBSA estimates based on the 2019 Medical Expenditure Panel Survey, Insurance Component (MEPS-IC)</w:t>
      </w:r>
    </w:p>
  </w:footnote>
  <w:footnote w:id="6">
    <w:p w14:paraId="7927C37B" w14:textId="77777777" w:rsidR="001A67CE" w:rsidRPr="00537E07" w:rsidRDefault="001A67CE" w:rsidP="00C57C36">
      <w:pPr>
        <w:pStyle w:val="FootnoteText"/>
        <w:rPr>
          <w:b w:val="0"/>
          <w:sz w:val="20"/>
        </w:rPr>
      </w:pPr>
      <w:r w:rsidRPr="00537E07">
        <w:rPr>
          <w:rStyle w:val="FootnoteReference"/>
          <w:b w:val="0"/>
          <w:sz w:val="20"/>
          <w:vertAlign w:val="superscript"/>
        </w:rPr>
        <w:footnoteRef/>
      </w:r>
      <w:r w:rsidRPr="00537E07">
        <w:rPr>
          <w:b w:val="0"/>
          <w:sz w:val="20"/>
          <w:vertAlign w:val="superscript"/>
        </w:rPr>
        <w:t xml:space="preserve"> </w:t>
      </w:r>
      <w:r>
        <w:rPr>
          <w:b w:val="0"/>
          <w:sz w:val="20"/>
        </w:rPr>
        <w:t xml:space="preserve">To estimate the number of General Notices sent out, the Department assumes that the premium assistance will be offered for six months from the first of April to the thirtieth of September.  The Department estimates the number of General Notices as half of the sum of qualifying events observed over the 12 months of 2020.  The number of qualifying events for 2020 is estimated as the number of unemployment filings in 2020 multiplied by 1.015 to estimate the number of job separations.  The Department estimates that 97.3% of 2020 job separations are from the private sector, of which 83.0% are estimated to have occurred at firms with 20 or more employees, based on calculations from the May 2019 Medical Expenditure Panel Survey Insurance/Employer Component.  Finally, 50.5% of workers are estimated to be ESI policy holders based on calculations from the 2018 Current Population Survey.  This results in a calculation of 52,088,734 unemployment insurance filings x 1.015 x 0.973 x 0.830 x 0.505 x (6/12) = </w:t>
      </w:r>
      <w:r w:rsidRPr="006F667B">
        <w:rPr>
          <w:b w:val="0"/>
          <w:sz w:val="20"/>
        </w:rPr>
        <w:t>10,780,847</w:t>
      </w:r>
      <w:r>
        <w:rPr>
          <w:b w:val="0"/>
          <w:sz w:val="20"/>
        </w:rPr>
        <w:t>.</w:t>
      </w:r>
    </w:p>
  </w:footnote>
  <w:footnote w:id="7">
    <w:p w14:paraId="05833016" w14:textId="77777777" w:rsidR="001A67CE" w:rsidRPr="00C21129" w:rsidRDefault="001A67CE" w:rsidP="00C57C36">
      <w:pPr>
        <w:pStyle w:val="FootnoteText"/>
        <w:rPr>
          <w:sz w:val="20"/>
        </w:rPr>
      </w:pPr>
      <w:r w:rsidRPr="00C21129">
        <w:rPr>
          <w:rStyle w:val="FootnoteReference"/>
          <w:b w:val="0"/>
          <w:sz w:val="20"/>
          <w:vertAlign w:val="superscript"/>
        </w:rPr>
        <w:footnoteRef/>
      </w:r>
      <w:r w:rsidRPr="00C21129">
        <w:rPr>
          <w:b w:val="0"/>
          <w:sz w:val="20"/>
        </w:rPr>
        <w:t xml:space="preserve"> Labor costs are the total compensation costs for an administrative assistant.  For a description of the Department’s methodology for calculating wage rates, see </w:t>
      </w:r>
      <w:r w:rsidRPr="0026515E">
        <w:rPr>
          <w:b w:val="0"/>
          <w:sz w:val="20"/>
        </w:rPr>
        <w:t>https://www.dol.gov/sites/dolgov/files/EBSA/laws-and-regulations/rules-and-</w:t>
      </w:r>
      <w:r w:rsidRPr="0018328D">
        <w:rPr>
          <w:b w:val="0"/>
          <w:sz w:val="20"/>
        </w:rPr>
        <w:t>regulations/technical-appendices/labor-cost-inputs-used-in-ebsa-opr-ria-and-pra-burden-calculations-june-2019.pdf.</w:t>
      </w:r>
    </w:p>
  </w:footnote>
  <w:footnote w:id="8">
    <w:p w14:paraId="14D86CC6" w14:textId="77777777" w:rsidR="001A67CE" w:rsidRPr="00537E07" w:rsidRDefault="001A67CE" w:rsidP="00C57C36">
      <w:pPr>
        <w:pStyle w:val="FootnoteText"/>
        <w:rPr>
          <w:b w:val="0"/>
          <w:sz w:val="20"/>
        </w:rPr>
      </w:pPr>
      <w:r w:rsidRPr="00537E07">
        <w:rPr>
          <w:rStyle w:val="FootnoteReference"/>
          <w:b w:val="0"/>
          <w:sz w:val="20"/>
          <w:vertAlign w:val="superscript"/>
        </w:rPr>
        <w:footnoteRef/>
      </w:r>
      <w:r w:rsidRPr="00537E07">
        <w:rPr>
          <w:b w:val="0"/>
          <w:sz w:val="20"/>
          <w:vertAlign w:val="superscript"/>
        </w:rPr>
        <w:t xml:space="preserve"> </w:t>
      </w:r>
      <w:r>
        <w:rPr>
          <w:b w:val="0"/>
          <w:sz w:val="20"/>
        </w:rPr>
        <w:t xml:space="preserve">To estimate the number of </w:t>
      </w:r>
      <w:r w:rsidRPr="00175209">
        <w:rPr>
          <w:b w:val="0"/>
          <w:sz w:val="20"/>
        </w:rPr>
        <w:t xml:space="preserve">Notices in Connection with Extended Election Periods </w:t>
      </w:r>
      <w:r>
        <w:rPr>
          <w:b w:val="0"/>
          <w:sz w:val="20"/>
        </w:rPr>
        <w:t xml:space="preserve">sent out, the Department assumes that the premium assistance will be offered retroactively for the 18 month period from the </w:t>
      </w:r>
      <w:r w:rsidRPr="00010789">
        <w:rPr>
          <w:b w:val="0"/>
          <w:sz w:val="20"/>
        </w:rPr>
        <w:t>first of October 2019 to the thirty-first day of March 2021</w:t>
      </w:r>
      <w:r>
        <w:rPr>
          <w:b w:val="0"/>
          <w:sz w:val="20"/>
        </w:rPr>
        <w:t xml:space="preserve">.  To estimate the number of qualifying events, the Department looked at data from the Job Openings and Labor Turnover Survey (JOLTS) from September 2019 through December 2020 to calculate the number of job separations, excluding quits in the private sector.  JOLTS data is not available from January 2021 to March 2021, so the Department estimated that number of separations during these months as the average separations, excluding quits, for the years 2018, 2019, and 2020.  Separations from March and April of 2020 were excluded from the averages due to the elevated level of separations.  The Department estimates that 83.0% of the separations are estimated to have occurred at firms with 20 or more employees, based on calculations from the May 2019 Medical Expenditure Panel Survey Insurance/Employer Component.  Finally, 50.5% of workers are estimated to be ESI policy holders based on calculations from the 2018 Current Population Survey.  This results in a calculation of 50,519,000 cumulative separations, excluding quits x 0.830 x 0.505 = </w:t>
      </w:r>
      <w:r w:rsidRPr="00462DF0">
        <w:rPr>
          <w:b w:val="0"/>
          <w:sz w:val="20"/>
        </w:rPr>
        <w:t>21,174,586</w:t>
      </w:r>
      <w:r>
        <w:rPr>
          <w:b w:val="0"/>
          <w:sz w:val="20"/>
        </w:rPr>
        <w:t>.</w:t>
      </w:r>
    </w:p>
  </w:footnote>
  <w:footnote w:id="9">
    <w:p w14:paraId="4DD1A4EC" w14:textId="77777777" w:rsidR="001A67CE" w:rsidRDefault="001A67CE" w:rsidP="00C57C36">
      <w:pPr>
        <w:pStyle w:val="FootnoteText"/>
      </w:pPr>
      <w:r w:rsidRPr="00537E07">
        <w:rPr>
          <w:rStyle w:val="FootnoteReference"/>
          <w:b w:val="0"/>
          <w:sz w:val="22"/>
          <w:szCs w:val="22"/>
          <w:vertAlign w:val="superscript"/>
        </w:rPr>
        <w:footnoteRef/>
      </w:r>
      <w:r w:rsidRPr="00537E07">
        <w:rPr>
          <w:b w:val="0"/>
          <w:sz w:val="22"/>
          <w:szCs w:val="22"/>
          <w:vertAlign w:val="superscript"/>
        </w:rPr>
        <w:t xml:space="preserve"> </w:t>
      </w:r>
      <w:r>
        <w:rPr>
          <w:b w:val="0"/>
          <w:sz w:val="20"/>
        </w:rPr>
        <w:t xml:space="preserve">To estimate the number of </w:t>
      </w:r>
      <w:r w:rsidRPr="00175209">
        <w:rPr>
          <w:b w:val="0"/>
          <w:sz w:val="20"/>
        </w:rPr>
        <w:t xml:space="preserve">Notices </w:t>
      </w:r>
      <w:r>
        <w:rPr>
          <w:b w:val="0"/>
          <w:sz w:val="20"/>
        </w:rPr>
        <w:t>of Expiration of Premium Assistance</w:t>
      </w:r>
      <w:r w:rsidRPr="00175209">
        <w:rPr>
          <w:b w:val="0"/>
          <w:sz w:val="20"/>
        </w:rPr>
        <w:t xml:space="preserve"> </w:t>
      </w:r>
      <w:r>
        <w:rPr>
          <w:b w:val="0"/>
          <w:sz w:val="20"/>
        </w:rPr>
        <w:t xml:space="preserve">sent out, the Department assumes that the premium assistance will be offered retroactively for the 18 month period from the </w:t>
      </w:r>
      <w:r w:rsidRPr="00010789">
        <w:rPr>
          <w:b w:val="0"/>
          <w:sz w:val="20"/>
        </w:rPr>
        <w:t>first of October 2019 to the thirty-first day of March 2021</w:t>
      </w:r>
      <w:r>
        <w:rPr>
          <w:b w:val="0"/>
          <w:sz w:val="20"/>
        </w:rPr>
        <w:t xml:space="preserve"> and proactively from the first day of March 2021 to the thirtieth day of September 2021.  However, an individual is only eligible for COBRA coverage for 18 months, so for this notice, the Department only considers individuals eligible for COBRA after April 2020.  To estimate the number of qualifying events, the Department looked at data from the Job Openings and Labor Turnover Survey (JOLTS) from April 2020 through December 2020 to calculate the number of job separations, excluding quits in the private sector.  JOLTS data is not available from January 2021 to September 2021, so the Department estimates the number of separations during these months as average separations, excluding quits, for the years 2018, 2019, and 2020.  Separations from March and April of 2020 were excluded from the averages due to abnormal elevated level of separations.  The Department estimates that 83.0% of the separations are estimated to have occurred at firms with 20 or more employees, based on calculations from the May 2019 Medical Expenditure Panel Survey Insurance/Employer Component, and 50.5% of workers are estimated to be ESI policy holders based on calculations from the 2018 Current Population Survey.  Termination Notices will only be received by individuals who elect coverage and still have coverage on September 30, 2021.  One study from Mathematica found that 34 percent of unemployment insurance claimants opted for COBRA coverage during American Recovery and Reinvestment Act (ARRA) which had similar requirements.  The study also found that the take-up of COBRA is positively correlated with the size of the premium subsidy</w:t>
      </w:r>
      <w:r w:rsidRPr="00AD2C96">
        <w:rPr>
          <w:b w:val="0"/>
          <w:sz w:val="20"/>
        </w:rPr>
        <w:t xml:space="preserve">, </w:t>
      </w:r>
      <w:r w:rsidRPr="00537E07">
        <w:rPr>
          <w:b w:val="0"/>
          <w:sz w:val="20"/>
        </w:rPr>
        <w:t xml:space="preserve">with </w:t>
      </w:r>
      <w:r w:rsidRPr="00F82992">
        <w:rPr>
          <w:b w:val="0"/>
          <w:sz w:val="20"/>
        </w:rPr>
        <w:t>eighty percent of workers who did not select COBRA coverage citing cost as</w:t>
      </w:r>
      <w:r>
        <w:rPr>
          <w:b w:val="0"/>
          <w:sz w:val="20"/>
        </w:rPr>
        <w:t xml:space="preserve"> the </w:t>
      </w:r>
      <w:r w:rsidRPr="00F82992">
        <w:rPr>
          <w:b w:val="0"/>
          <w:sz w:val="20"/>
        </w:rPr>
        <w:t>most important factor</w:t>
      </w:r>
      <w:r>
        <w:rPr>
          <w:b w:val="0"/>
          <w:sz w:val="20"/>
        </w:rPr>
        <w:t xml:space="preserve"> in </w:t>
      </w:r>
      <w:r w:rsidRPr="00F82992">
        <w:rPr>
          <w:b w:val="0"/>
          <w:sz w:val="20"/>
        </w:rPr>
        <w:t xml:space="preserve">their decision.  </w:t>
      </w:r>
      <w:r w:rsidRPr="00AD2C96">
        <w:rPr>
          <w:b w:val="0"/>
          <w:sz w:val="20"/>
        </w:rPr>
        <w:t>(</w:t>
      </w:r>
      <w:r w:rsidRPr="00AD2C96">
        <w:rPr>
          <w:b w:val="0"/>
          <w:i/>
          <w:sz w:val="20"/>
        </w:rPr>
        <w:t xml:space="preserve">See </w:t>
      </w:r>
      <w:r w:rsidRPr="00AD2C96">
        <w:rPr>
          <w:b w:val="0"/>
          <w:sz w:val="20"/>
        </w:rPr>
        <w:t xml:space="preserve">Berk, Jillian and Anu Rangarajan.  “Evaluation of the ARRA Subsidy:  Final Report.”  Mathematica Research.  February 2015.  https://www.dol.gov/sites/dolgov/files/EBSA/researchers/analysis/health-and-welfare/evaluation-of-the-arra-cobra-subsidy.pdf )  </w:t>
      </w:r>
      <w:r w:rsidRPr="00537E07">
        <w:rPr>
          <w:b w:val="0"/>
          <w:sz w:val="20"/>
        </w:rPr>
        <w:t>In</w:t>
      </w:r>
      <w:r w:rsidRPr="00AD2C96">
        <w:rPr>
          <w:b w:val="0"/>
          <w:sz w:val="20"/>
        </w:rPr>
        <w:t xml:space="preserve"> the </w:t>
      </w:r>
      <w:r w:rsidRPr="00537E07">
        <w:rPr>
          <w:b w:val="0"/>
          <w:sz w:val="20"/>
        </w:rPr>
        <w:t xml:space="preserve">2021 legislation, </w:t>
      </w:r>
      <w:r w:rsidRPr="00AD2C96">
        <w:rPr>
          <w:b w:val="0"/>
          <w:sz w:val="20"/>
        </w:rPr>
        <w:t xml:space="preserve">the </w:t>
      </w:r>
      <w:r w:rsidRPr="00537E07">
        <w:rPr>
          <w:b w:val="0"/>
          <w:sz w:val="20"/>
        </w:rPr>
        <w:t>subsidy covers 100% of</w:t>
      </w:r>
      <w:r w:rsidRPr="00AD2C96">
        <w:rPr>
          <w:b w:val="0"/>
          <w:sz w:val="20"/>
        </w:rPr>
        <w:t xml:space="preserve"> the </w:t>
      </w:r>
      <w:r w:rsidRPr="00537E07">
        <w:rPr>
          <w:b w:val="0"/>
          <w:sz w:val="20"/>
        </w:rPr>
        <w:t xml:space="preserve">premium, compared to </w:t>
      </w:r>
      <w:r w:rsidRPr="00AD2C96">
        <w:rPr>
          <w:b w:val="0"/>
          <w:sz w:val="20"/>
        </w:rPr>
        <w:t xml:space="preserve">the </w:t>
      </w:r>
      <w:r w:rsidRPr="00537E07">
        <w:rPr>
          <w:b w:val="0"/>
          <w:sz w:val="20"/>
        </w:rPr>
        <w:t>65% subsidy in ARRA.</w:t>
      </w:r>
      <w:r w:rsidRPr="00F82992">
        <w:rPr>
          <w:b w:val="0"/>
          <w:sz w:val="20"/>
        </w:rPr>
        <w:t xml:space="preserve"> </w:t>
      </w:r>
      <w:r w:rsidRPr="00537E07">
        <w:rPr>
          <w:b w:val="0"/>
          <w:sz w:val="20"/>
        </w:rPr>
        <w:t xml:space="preserve"> The Department believes that the increase in the premium w</w:t>
      </w:r>
      <w:r w:rsidRPr="00F82992">
        <w:rPr>
          <w:b w:val="0"/>
          <w:sz w:val="20"/>
        </w:rPr>
        <w:t xml:space="preserve">ould result in a higher take-up rate.  </w:t>
      </w:r>
      <w:r w:rsidRPr="00537E07">
        <w:rPr>
          <w:b w:val="0"/>
          <w:sz w:val="20"/>
        </w:rPr>
        <w:t>If 34% of COBRA eligible individuals would take up COBRA coverage with a 65% premium</w:t>
      </w:r>
      <w:r w:rsidRPr="00AD2C96">
        <w:rPr>
          <w:b w:val="0"/>
          <w:sz w:val="20"/>
        </w:rPr>
        <w:t xml:space="preserve"> and </w:t>
      </w:r>
      <w:r w:rsidRPr="00537E07">
        <w:rPr>
          <w:b w:val="0"/>
          <w:sz w:val="20"/>
        </w:rPr>
        <w:t>80% of the remaining COBRA eligible individuals chose not to take up COBRA due to cost, when removing the cost element</w:t>
      </w:r>
      <w:r w:rsidRPr="00AD2C96">
        <w:rPr>
          <w:b w:val="0"/>
          <w:sz w:val="20"/>
        </w:rPr>
        <w:t xml:space="preserve">, the Department </w:t>
      </w:r>
      <w:r>
        <w:rPr>
          <w:b w:val="0"/>
          <w:sz w:val="20"/>
        </w:rPr>
        <w:t>calculates</w:t>
      </w:r>
      <w:r w:rsidRPr="00AD2C96">
        <w:rPr>
          <w:b w:val="0"/>
          <w:sz w:val="20"/>
        </w:rPr>
        <w:t xml:space="preserve"> that </w:t>
      </w:r>
      <w:r w:rsidRPr="00537E07">
        <w:rPr>
          <w:b w:val="0"/>
          <w:sz w:val="20"/>
        </w:rPr>
        <w:t>86.8</w:t>
      </w:r>
      <w:r>
        <w:rPr>
          <w:b w:val="0"/>
          <w:sz w:val="20"/>
        </w:rPr>
        <w:t xml:space="preserve"> percent</w:t>
      </w:r>
      <w:r w:rsidRPr="00537E07">
        <w:rPr>
          <w:b w:val="0"/>
          <w:sz w:val="20"/>
        </w:rPr>
        <w:t xml:space="preserve"> of individuals </w:t>
      </w:r>
      <w:r>
        <w:rPr>
          <w:b w:val="0"/>
          <w:sz w:val="20"/>
        </w:rPr>
        <w:t>c</w:t>
      </w:r>
      <w:r w:rsidRPr="00537E07">
        <w:rPr>
          <w:b w:val="0"/>
          <w:sz w:val="20"/>
        </w:rPr>
        <w:t xml:space="preserve">ould have taken up COBRA coverage.  (34% + 80% x 66% = 86.8%).  In line with this estimate, while acknowledging uncertainty around take-up with the 2021 legislation, the Department estimates that the take-up rate </w:t>
      </w:r>
      <w:r w:rsidRPr="00AD2C96">
        <w:rPr>
          <w:b w:val="0"/>
          <w:sz w:val="20"/>
        </w:rPr>
        <w:t xml:space="preserve">will </w:t>
      </w:r>
      <w:r w:rsidRPr="00537E07">
        <w:rPr>
          <w:b w:val="0"/>
          <w:sz w:val="20"/>
        </w:rPr>
        <w:t>be 85</w:t>
      </w:r>
      <w:r>
        <w:rPr>
          <w:b w:val="0"/>
          <w:sz w:val="20"/>
        </w:rPr>
        <w:t xml:space="preserve"> percent</w:t>
      </w:r>
      <w:r w:rsidRPr="00537E07">
        <w:rPr>
          <w:b w:val="0"/>
          <w:sz w:val="20"/>
        </w:rPr>
        <w:t xml:space="preserve">. </w:t>
      </w:r>
      <w:r w:rsidRPr="00AD2C96">
        <w:rPr>
          <w:b w:val="0"/>
          <w:sz w:val="20"/>
        </w:rPr>
        <w:t xml:space="preserve"> </w:t>
      </w:r>
      <w:r>
        <w:rPr>
          <w:b w:val="0"/>
          <w:sz w:val="20"/>
        </w:rPr>
        <w:t>Only individuals still covered by COBRA on September 30, 2021 will receive a Notice of Expiration of Premium Assistance.  A survey conducted by Charles D. Spencer &amp; Associates in 2009 found that the average beneficiary under an 18-month qualifying event kept COBRA coverage for 7.5 months.  (</w:t>
      </w:r>
      <w:r>
        <w:rPr>
          <w:b w:val="0"/>
          <w:i/>
          <w:sz w:val="20"/>
        </w:rPr>
        <w:t>See</w:t>
      </w:r>
      <w:r>
        <w:rPr>
          <w:b w:val="0"/>
          <w:sz w:val="20"/>
        </w:rPr>
        <w:t xml:space="preserve"> Kinzer, Janet.  “Health Insurance Continuation Coverage Under COBRA.  Congressional Research Service.  July 2013.  </w:t>
      </w:r>
      <w:hyperlink r:id="rId1" w:history="1">
        <w:r w:rsidRPr="006C3906">
          <w:rPr>
            <w:rStyle w:val="Hyperlink"/>
            <w:b w:val="0"/>
            <w:sz w:val="20"/>
          </w:rPr>
          <w:t>https://crsreports.congress.gov/product/pdf/R/R40142</w:t>
        </w:r>
      </w:hyperlink>
      <w:r>
        <w:rPr>
          <w:b w:val="0"/>
          <w:sz w:val="20"/>
        </w:rPr>
        <w:t xml:space="preserve">).  To account for individuals who end their COBRA coverage prior to the expiration date, the Department applies an eight percent decay rate each month.  This results in a calculation of </w:t>
      </w:r>
      <w:r w:rsidRPr="00537E07">
        <w:rPr>
          <w:b w:val="0"/>
          <w:sz w:val="20"/>
        </w:rPr>
        <w:t>7,235,615</w:t>
      </w:r>
      <w:r>
        <w:rPr>
          <w:b w:val="0"/>
          <w:sz w:val="20"/>
        </w:rPr>
        <w:t xml:space="preserve"> individuals receiving a Notice of Expiration.</w:t>
      </w:r>
    </w:p>
  </w:footnote>
  <w:footnote w:id="10">
    <w:p w14:paraId="7EB0C606" w14:textId="77777777" w:rsidR="001A67CE" w:rsidRDefault="001A67CE" w:rsidP="00C57C36">
      <w:pPr>
        <w:pStyle w:val="FootnoteText"/>
      </w:pPr>
      <w:r w:rsidRPr="00537E07">
        <w:rPr>
          <w:rStyle w:val="FootnoteReference"/>
          <w:b w:val="0"/>
          <w:sz w:val="20"/>
          <w:vertAlign w:val="superscript"/>
        </w:rPr>
        <w:footnoteRef/>
      </w:r>
      <w:r>
        <w:t xml:space="preserve"> </w:t>
      </w:r>
      <w:r>
        <w:rPr>
          <w:b w:val="0"/>
          <w:sz w:val="20"/>
        </w:rPr>
        <w:t>To estimate the number of Alternative Notices sent out, the Department assumes that the premium assistance will be offered for six months from the first of April to the thirtieth of September.  The Department estimates the number of General Notices as half of the sum of qualifying events observed over the 12 months of 2020.  The number of qualifying events for 2020 is estimated as the number of unemployment filings in 2020 multiplied by 1.015 to estimate the number of job separations.  The Department estimates that 97.3 percent of 2020 job separations are from the private sector, of which 17.0% are estimated to have occurred at firms with less than 20 employees, based on calculations from the May 2019 Medical Expenditure Panel Survey Insurance/Employer Component.  Finally, 50.5% of workers are estimated to be ESI policy holders based on calculations from the 2018 Current Population Survey.  This results in a calculation of 52,088,734 unemployment insurance filings x 1.015 x 0.973 x 0.169 x 0.505 x (6/12) = 2,894,246.</w:t>
      </w:r>
    </w:p>
  </w:footnote>
  <w:footnote w:id="11">
    <w:p w14:paraId="5EA9E1A5" w14:textId="77777777" w:rsidR="001A67CE" w:rsidRPr="00DE5DA4" w:rsidRDefault="001A67CE">
      <w:pPr>
        <w:pStyle w:val="FootnoteText"/>
        <w:rPr>
          <w:b w:val="0"/>
        </w:rPr>
      </w:pPr>
      <w:r w:rsidRPr="00A15287">
        <w:rPr>
          <w:rStyle w:val="FootnoteReference"/>
          <w:b w:val="0"/>
          <w:sz w:val="20"/>
          <w:vertAlign w:val="superscript"/>
        </w:rPr>
        <w:footnoteRef/>
      </w:r>
      <w:r w:rsidRPr="00A15287">
        <w:rPr>
          <w:b w:val="0"/>
          <w:sz w:val="20"/>
        </w:rPr>
        <w:t xml:space="preserve"> Burden accounted for in 1210-0123.  </w:t>
      </w:r>
    </w:p>
  </w:footnote>
  <w:footnote w:id="12">
    <w:p w14:paraId="36424E62" w14:textId="09FD8B11" w:rsidR="001A67CE" w:rsidRDefault="001A67CE">
      <w:pPr>
        <w:pStyle w:val="FootnoteText"/>
      </w:pPr>
      <w:r w:rsidRPr="00A15287">
        <w:rPr>
          <w:rStyle w:val="FootnoteReference"/>
          <w:b w:val="0"/>
          <w:vertAlign w:val="superscript"/>
        </w:rPr>
        <w:footnoteRef/>
      </w:r>
      <w:r w:rsidRPr="00A15287">
        <w:rPr>
          <w:b w:val="0"/>
          <w:vertAlign w:val="superscript"/>
        </w:rPr>
        <w:t xml:space="preserve"> </w:t>
      </w:r>
      <w:r w:rsidRPr="002F1B8D">
        <w:rPr>
          <w:b w:val="0"/>
          <w:sz w:val="20"/>
        </w:rPr>
        <w:t xml:space="preserve">The public reporting burden </w:t>
      </w:r>
      <w:r w:rsidR="00A25E52">
        <w:rPr>
          <w:b w:val="0"/>
          <w:sz w:val="20"/>
        </w:rPr>
        <w:t xml:space="preserve">is </w:t>
      </w:r>
      <w:r w:rsidRPr="002F1B8D">
        <w:rPr>
          <w:b w:val="0"/>
          <w:sz w:val="20"/>
        </w:rPr>
        <w:t>associated with 1210-0123</w:t>
      </w:r>
      <w:r w:rsidR="00A25E52">
        <w:rPr>
          <w:b w:val="0"/>
          <w:sz w:val="20"/>
        </w:rPr>
        <w:t>.</w:t>
      </w:r>
      <w:r w:rsidRPr="002F1B8D">
        <w:rPr>
          <w:b w:val="0"/>
          <w:sz w:val="20"/>
        </w:rPr>
        <w:t xml:space="preserve"> </w:t>
      </w:r>
      <w:r w:rsidR="00A25E52">
        <w:rPr>
          <w:b w:val="0"/>
          <w:sz w:val="20"/>
        </w:rPr>
        <w:t xml:space="preserve">The total burden </w:t>
      </w:r>
      <w:r w:rsidRPr="002F1B8D">
        <w:rPr>
          <w:b w:val="0"/>
          <w:sz w:val="20"/>
        </w:rPr>
        <w:t>is $37,133,409</w:t>
      </w:r>
      <w:r>
        <w:rPr>
          <w:b w:val="0"/>
          <w:sz w:val="20"/>
        </w:rPr>
        <w:t>, which $1,771,933 is associated with General Notices</w:t>
      </w:r>
      <w:r w:rsidDel="00FB33FC">
        <w:rPr>
          <w:b w:val="0"/>
          <w:sz w:val="20"/>
        </w:rPr>
        <w:t>.</w:t>
      </w:r>
    </w:p>
  </w:footnote>
  <w:footnote w:id="13">
    <w:p w14:paraId="28C5DE78" w14:textId="77777777" w:rsidR="001A67CE" w:rsidRPr="00171B32" w:rsidRDefault="001A67CE">
      <w:pPr>
        <w:pStyle w:val="FootnoteText"/>
        <w:rPr>
          <w:b w:val="0"/>
        </w:rPr>
      </w:pPr>
      <w:r w:rsidRPr="00171B32">
        <w:rPr>
          <w:rStyle w:val="FootnoteReference"/>
          <w:b w:val="0"/>
        </w:rPr>
        <w:footnoteRef/>
      </w:r>
      <w:r w:rsidRPr="00171B32">
        <w:rPr>
          <w:b w:val="0"/>
        </w:rPr>
        <w:t xml:space="preserve"> Cost burden accounted for in 1210-0123. </w:t>
      </w:r>
    </w:p>
  </w:footnote>
  <w:footnote w:id="14">
    <w:p w14:paraId="49F46567" w14:textId="77777777" w:rsidR="001A67CE" w:rsidRPr="00171B32" w:rsidRDefault="001A67CE">
      <w:pPr>
        <w:pStyle w:val="FootnoteText"/>
        <w:rPr>
          <w:i/>
        </w:rPr>
      </w:pPr>
      <w:r w:rsidRPr="00171B32">
        <w:rPr>
          <w:rStyle w:val="FootnoteReference"/>
          <w:b w:val="0"/>
        </w:rPr>
        <w:footnoteRef/>
      </w:r>
      <w:r w:rsidRPr="00171B32">
        <w:rPr>
          <w:b w:val="0"/>
        </w:rPr>
        <w:t xml:space="preserve"> </w:t>
      </w:r>
      <w:r w:rsidRPr="00171B32">
        <w:rPr>
          <w:b w:val="0"/>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1561" w14:textId="77777777" w:rsidR="001A67CE" w:rsidRDefault="001A67CE" w:rsidP="00C606B6">
    <w:pPr>
      <w:pStyle w:val="Header"/>
      <w:rPr>
        <w:b w:val="0"/>
        <w:bCs w:val="0"/>
      </w:rPr>
    </w:pPr>
    <w:r>
      <w:rPr>
        <w:b w:val="0"/>
        <w:bCs w:val="0"/>
      </w:rPr>
      <w:t xml:space="preserve">COBRA Continuation Coverage: Premium Assistance </w:t>
    </w:r>
  </w:p>
  <w:p w14:paraId="0DF1F10D" w14:textId="77777777" w:rsidR="001A67CE" w:rsidRDefault="001A67CE" w:rsidP="00C606B6">
    <w:pPr>
      <w:pStyle w:val="Header"/>
      <w:rPr>
        <w:b w:val="0"/>
        <w:bCs w:val="0"/>
      </w:rPr>
    </w:pPr>
    <w:r>
      <w:rPr>
        <w:b w:val="0"/>
        <w:bCs w:val="0"/>
      </w:rPr>
      <w:t>OMB Control Number 1210-NEW</w:t>
    </w:r>
  </w:p>
  <w:p w14:paraId="15B925CA" w14:textId="77777777" w:rsidR="001A67CE" w:rsidRDefault="001A67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6747A"/>
    <w:multiLevelType w:val="hybridMultilevel"/>
    <w:tmpl w:val="A0D82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861756C"/>
    <w:multiLevelType w:val="hybridMultilevel"/>
    <w:tmpl w:val="243E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3D042E"/>
    <w:multiLevelType w:val="hybridMultilevel"/>
    <w:tmpl w:val="05CA8F9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17"/>
  </w:num>
  <w:num w:numId="5">
    <w:abstractNumId w:val="11"/>
  </w:num>
  <w:num w:numId="6">
    <w:abstractNumId w:val="18"/>
  </w:num>
  <w:num w:numId="7">
    <w:abstractNumId w:val="12"/>
  </w:num>
  <w:num w:numId="8">
    <w:abstractNumId w:val="5"/>
  </w:num>
  <w:num w:numId="9">
    <w:abstractNumId w:val="13"/>
  </w:num>
  <w:num w:numId="10">
    <w:abstractNumId w:val="2"/>
  </w:num>
  <w:num w:numId="11">
    <w:abstractNumId w:val="8"/>
  </w:num>
  <w:num w:numId="12">
    <w:abstractNumId w:val="19"/>
  </w:num>
  <w:num w:numId="13">
    <w:abstractNumId w:val="1"/>
  </w:num>
  <w:num w:numId="14">
    <w:abstractNumId w:val="15"/>
  </w:num>
  <w:num w:numId="15">
    <w:abstractNumId w:val="16"/>
  </w:num>
  <w:num w:numId="16">
    <w:abstractNumId w:val="4"/>
  </w:num>
  <w:num w:numId="17">
    <w:abstractNumId w:val="20"/>
  </w:num>
  <w:num w:numId="18">
    <w:abstractNumId w:val="9"/>
  </w:num>
  <w:num w:numId="19">
    <w:abstractNumId w:val="14"/>
  </w:num>
  <w:num w:numId="20">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1">
    <w:abstractNumId w:val="7"/>
  </w:num>
  <w:num w:numId="22">
    <w:abstractNumId w:val="3"/>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C"/>
    <w:rsid w:val="00001E1F"/>
    <w:rsid w:val="00003E54"/>
    <w:rsid w:val="00004393"/>
    <w:rsid w:val="0000626D"/>
    <w:rsid w:val="00006551"/>
    <w:rsid w:val="00010789"/>
    <w:rsid w:val="0001225E"/>
    <w:rsid w:val="000141C3"/>
    <w:rsid w:val="0001452E"/>
    <w:rsid w:val="00015F01"/>
    <w:rsid w:val="0002306E"/>
    <w:rsid w:val="0002365E"/>
    <w:rsid w:val="00024E05"/>
    <w:rsid w:val="00034739"/>
    <w:rsid w:val="000371CF"/>
    <w:rsid w:val="00044EFF"/>
    <w:rsid w:val="00046799"/>
    <w:rsid w:val="00053B3B"/>
    <w:rsid w:val="00056C11"/>
    <w:rsid w:val="000648E7"/>
    <w:rsid w:val="00064D47"/>
    <w:rsid w:val="00065DB6"/>
    <w:rsid w:val="00065E8A"/>
    <w:rsid w:val="00071BC6"/>
    <w:rsid w:val="00075456"/>
    <w:rsid w:val="00075B01"/>
    <w:rsid w:val="00081BD9"/>
    <w:rsid w:val="000847C7"/>
    <w:rsid w:val="00091455"/>
    <w:rsid w:val="00092F09"/>
    <w:rsid w:val="00095756"/>
    <w:rsid w:val="00095F69"/>
    <w:rsid w:val="0009704E"/>
    <w:rsid w:val="00097DFD"/>
    <w:rsid w:val="000A4A41"/>
    <w:rsid w:val="000A581A"/>
    <w:rsid w:val="000A7D45"/>
    <w:rsid w:val="000B010F"/>
    <w:rsid w:val="000B2660"/>
    <w:rsid w:val="000B2909"/>
    <w:rsid w:val="000B41C2"/>
    <w:rsid w:val="000B43F2"/>
    <w:rsid w:val="000B479D"/>
    <w:rsid w:val="000B7E0C"/>
    <w:rsid w:val="000C21B7"/>
    <w:rsid w:val="000C544F"/>
    <w:rsid w:val="000C64BD"/>
    <w:rsid w:val="000D0CE9"/>
    <w:rsid w:val="000D3063"/>
    <w:rsid w:val="000D6436"/>
    <w:rsid w:val="000D6DBC"/>
    <w:rsid w:val="000D75AB"/>
    <w:rsid w:val="000D7ED2"/>
    <w:rsid w:val="000E0673"/>
    <w:rsid w:val="000E1750"/>
    <w:rsid w:val="000E35DE"/>
    <w:rsid w:val="000E39B3"/>
    <w:rsid w:val="000E42E1"/>
    <w:rsid w:val="000E5558"/>
    <w:rsid w:val="000E5E7C"/>
    <w:rsid w:val="000E60C8"/>
    <w:rsid w:val="000E64EC"/>
    <w:rsid w:val="000F0248"/>
    <w:rsid w:val="000F04BF"/>
    <w:rsid w:val="000F124A"/>
    <w:rsid w:val="000F24C3"/>
    <w:rsid w:val="000F34EF"/>
    <w:rsid w:val="000F5DA3"/>
    <w:rsid w:val="000F6556"/>
    <w:rsid w:val="000F761C"/>
    <w:rsid w:val="000F778A"/>
    <w:rsid w:val="000F7C61"/>
    <w:rsid w:val="00102DA8"/>
    <w:rsid w:val="001104D4"/>
    <w:rsid w:val="0011061C"/>
    <w:rsid w:val="00110941"/>
    <w:rsid w:val="001213F7"/>
    <w:rsid w:val="00123383"/>
    <w:rsid w:val="00123FE1"/>
    <w:rsid w:val="00125F2A"/>
    <w:rsid w:val="00125F9F"/>
    <w:rsid w:val="00126398"/>
    <w:rsid w:val="001306C9"/>
    <w:rsid w:val="00130B8C"/>
    <w:rsid w:val="001326B4"/>
    <w:rsid w:val="0013361C"/>
    <w:rsid w:val="00134B3B"/>
    <w:rsid w:val="00140915"/>
    <w:rsid w:val="00140C8D"/>
    <w:rsid w:val="00144102"/>
    <w:rsid w:val="00145F0F"/>
    <w:rsid w:val="001539D4"/>
    <w:rsid w:val="00155463"/>
    <w:rsid w:val="00157CCD"/>
    <w:rsid w:val="001622DF"/>
    <w:rsid w:val="0016331E"/>
    <w:rsid w:val="00163C3E"/>
    <w:rsid w:val="00166BB0"/>
    <w:rsid w:val="00170248"/>
    <w:rsid w:val="00170F65"/>
    <w:rsid w:val="00171B32"/>
    <w:rsid w:val="00173E9E"/>
    <w:rsid w:val="001746A0"/>
    <w:rsid w:val="001748E7"/>
    <w:rsid w:val="00174CE9"/>
    <w:rsid w:val="00175209"/>
    <w:rsid w:val="001773C1"/>
    <w:rsid w:val="001802EA"/>
    <w:rsid w:val="001804AC"/>
    <w:rsid w:val="00181598"/>
    <w:rsid w:val="001818F3"/>
    <w:rsid w:val="00181ABF"/>
    <w:rsid w:val="0018500E"/>
    <w:rsid w:val="001856A8"/>
    <w:rsid w:val="00185DD3"/>
    <w:rsid w:val="001912CD"/>
    <w:rsid w:val="00193FDD"/>
    <w:rsid w:val="001969B9"/>
    <w:rsid w:val="00197CFE"/>
    <w:rsid w:val="001A35D9"/>
    <w:rsid w:val="001A38BA"/>
    <w:rsid w:val="001A3F61"/>
    <w:rsid w:val="001A403A"/>
    <w:rsid w:val="001A4FF9"/>
    <w:rsid w:val="001A5731"/>
    <w:rsid w:val="001A67CE"/>
    <w:rsid w:val="001A7E7F"/>
    <w:rsid w:val="001B1155"/>
    <w:rsid w:val="001B20CA"/>
    <w:rsid w:val="001B2600"/>
    <w:rsid w:val="001B3690"/>
    <w:rsid w:val="001B37C2"/>
    <w:rsid w:val="001C72CF"/>
    <w:rsid w:val="001D110C"/>
    <w:rsid w:val="001D3D21"/>
    <w:rsid w:val="001D5B76"/>
    <w:rsid w:val="001E4B9C"/>
    <w:rsid w:val="001E7257"/>
    <w:rsid w:val="001E7BE5"/>
    <w:rsid w:val="001F3842"/>
    <w:rsid w:val="001F3EF6"/>
    <w:rsid w:val="001F467C"/>
    <w:rsid w:val="001F520D"/>
    <w:rsid w:val="001F77C3"/>
    <w:rsid w:val="0020033D"/>
    <w:rsid w:val="00204121"/>
    <w:rsid w:val="00204AAC"/>
    <w:rsid w:val="00206DED"/>
    <w:rsid w:val="00207028"/>
    <w:rsid w:val="002142F2"/>
    <w:rsid w:val="00217631"/>
    <w:rsid w:val="002208B1"/>
    <w:rsid w:val="00225048"/>
    <w:rsid w:val="00225EAE"/>
    <w:rsid w:val="00230DF2"/>
    <w:rsid w:val="002327BD"/>
    <w:rsid w:val="00235F0D"/>
    <w:rsid w:val="0023796A"/>
    <w:rsid w:val="0024376A"/>
    <w:rsid w:val="00247F4A"/>
    <w:rsid w:val="00250DEA"/>
    <w:rsid w:val="00252552"/>
    <w:rsid w:val="00256782"/>
    <w:rsid w:val="00271264"/>
    <w:rsid w:val="0027346E"/>
    <w:rsid w:val="00274D89"/>
    <w:rsid w:val="00276406"/>
    <w:rsid w:val="00280B70"/>
    <w:rsid w:val="00281220"/>
    <w:rsid w:val="002816D2"/>
    <w:rsid w:val="00282B87"/>
    <w:rsid w:val="0028345E"/>
    <w:rsid w:val="002837D4"/>
    <w:rsid w:val="00284280"/>
    <w:rsid w:val="00285778"/>
    <w:rsid w:val="0028628A"/>
    <w:rsid w:val="00286792"/>
    <w:rsid w:val="00287458"/>
    <w:rsid w:val="0029057F"/>
    <w:rsid w:val="00294FCE"/>
    <w:rsid w:val="0029663E"/>
    <w:rsid w:val="002969B3"/>
    <w:rsid w:val="00297546"/>
    <w:rsid w:val="002A0788"/>
    <w:rsid w:val="002A10CB"/>
    <w:rsid w:val="002A1510"/>
    <w:rsid w:val="002A35D4"/>
    <w:rsid w:val="002A500B"/>
    <w:rsid w:val="002A67C0"/>
    <w:rsid w:val="002A749A"/>
    <w:rsid w:val="002B3617"/>
    <w:rsid w:val="002B3D5F"/>
    <w:rsid w:val="002B48E2"/>
    <w:rsid w:val="002B4CEC"/>
    <w:rsid w:val="002B7154"/>
    <w:rsid w:val="002C0C59"/>
    <w:rsid w:val="002C158A"/>
    <w:rsid w:val="002C1D63"/>
    <w:rsid w:val="002C3B57"/>
    <w:rsid w:val="002C4E5E"/>
    <w:rsid w:val="002C6F33"/>
    <w:rsid w:val="002D3AE7"/>
    <w:rsid w:val="002D428B"/>
    <w:rsid w:val="002D5227"/>
    <w:rsid w:val="002D610B"/>
    <w:rsid w:val="002D6AE3"/>
    <w:rsid w:val="002E2154"/>
    <w:rsid w:val="002E62A8"/>
    <w:rsid w:val="002F02C9"/>
    <w:rsid w:val="002F0A82"/>
    <w:rsid w:val="002F1A22"/>
    <w:rsid w:val="002F6AA3"/>
    <w:rsid w:val="002F730A"/>
    <w:rsid w:val="003027D8"/>
    <w:rsid w:val="00303F1B"/>
    <w:rsid w:val="00312D0F"/>
    <w:rsid w:val="00313646"/>
    <w:rsid w:val="0031367F"/>
    <w:rsid w:val="00314554"/>
    <w:rsid w:val="0031519B"/>
    <w:rsid w:val="00316153"/>
    <w:rsid w:val="00316A6F"/>
    <w:rsid w:val="00321123"/>
    <w:rsid w:val="00321B29"/>
    <w:rsid w:val="0033053D"/>
    <w:rsid w:val="003312F1"/>
    <w:rsid w:val="00331E09"/>
    <w:rsid w:val="003351EF"/>
    <w:rsid w:val="00336E96"/>
    <w:rsid w:val="0033744C"/>
    <w:rsid w:val="003374BA"/>
    <w:rsid w:val="003413BE"/>
    <w:rsid w:val="0034246F"/>
    <w:rsid w:val="00345486"/>
    <w:rsid w:val="0034615F"/>
    <w:rsid w:val="00353F20"/>
    <w:rsid w:val="003567C7"/>
    <w:rsid w:val="003608E4"/>
    <w:rsid w:val="00361141"/>
    <w:rsid w:val="00361824"/>
    <w:rsid w:val="00361B4E"/>
    <w:rsid w:val="0036462C"/>
    <w:rsid w:val="003660FE"/>
    <w:rsid w:val="0036709A"/>
    <w:rsid w:val="003700E6"/>
    <w:rsid w:val="00374857"/>
    <w:rsid w:val="00375225"/>
    <w:rsid w:val="003752F4"/>
    <w:rsid w:val="00376F74"/>
    <w:rsid w:val="00377885"/>
    <w:rsid w:val="00377969"/>
    <w:rsid w:val="00381111"/>
    <w:rsid w:val="00383881"/>
    <w:rsid w:val="00384745"/>
    <w:rsid w:val="00391B42"/>
    <w:rsid w:val="00394607"/>
    <w:rsid w:val="003A1E97"/>
    <w:rsid w:val="003A2933"/>
    <w:rsid w:val="003A3C6B"/>
    <w:rsid w:val="003A5F3B"/>
    <w:rsid w:val="003A7BE0"/>
    <w:rsid w:val="003B04C8"/>
    <w:rsid w:val="003B2BA3"/>
    <w:rsid w:val="003B38DA"/>
    <w:rsid w:val="003B5441"/>
    <w:rsid w:val="003B6E01"/>
    <w:rsid w:val="003B73BB"/>
    <w:rsid w:val="003C291A"/>
    <w:rsid w:val="003C29BA"/>
    <w:rsid w:val="003C33DC"/>
    <w:rsid w:val="003C53F2"/>
    <w:rsid w:val="003C69C0"/>
    <w:rsid w:val="003C6CC5"/>
    <w:rsid w:val="003D001E"/>
    <w:rsid w:val="003D2AD4"/>
    <w:rsid w:val="003D2EE0"/>
    <w:rsid w:val="003D3202"/>
    <w:rsid w:val="003D5F62"/>
    <w:rsid w:val="003D7C34"/>
    <w:rsid w:val="003E0590"/>
    <w:rsid w:val="003E1E53"/>
    <w:rsid w:val="003E2784"/>
    <w:rsid w:val="003E3430"/>
    <w:rsid w:val="003E399A"/>
    <w:rsid w:val="003E4254"/>
    <w:rsid w:val="003E7538"/>
    <w:rsid w:val="003F02CE"/>
    <w:rsid w:val="003F1CD2"/>
    <w:rsid w:val="003F2FCA"/>
    <w:rsid w:val="003F42B3"/>
    <w:rsid w:val="003F6DD8"/>
    <w:rsid w:val="004001CE"/>
    <w:rsid w:val="004007C0"/>
    <w:rsid w:val="00403B92"/>
    <w:rsid w:val="0040574B"/>
    <w:rsid w:val="00406350"/>
    <w:rsid w:val="0041053F"/>
    <w:rsid w:val="004111E2"/>
    <w:rsid w:val="00412C8E"/>
    <w:rsid w:val="00413465"/>
    <w:rsid w:val="0041721E"/>
    <w:rsid w:val="00417B4F"/>
    <w:rsid w:val="0042020C"/>
    <w:rsid w:val="00420E0F"/>
    <w:rsid w:val="00425B89"/>
    <w:rsid w:val="0043059D"/>
    <w:rsid w:val="00430BFF"/>
    <w:rsid w:val="004311C9"/>
    <w:rsid w:val="0043437A"/>
    <w:rsid w:val="00440796"/>
    <w:rsid w:val="00440BB8"/>
    <w:rsid w:val="00441637"/>
    <w:rsid w:val="00445095"/>
    <w:rsid w:val="00446041"/>
    <w:rsid w:val="004468FE"/>
    <w:rsid w:val="00451733"/>
    <w:rsid w:val="0045454F"/>
    <w:rsid w:val="00454854"/>
    <w:rsid w:val="0045595C"/>
    <w:rsid w:val="00455FFF"/>
    <w:rsid w:val="0045661E"/>
    <w:rsid w:val="00457FA3"/>
    <w:rsid w:val="004605A0"/>
    <w:rsid w:val="004616AE"/>
    <w:rsid w:val="00462DF0"/>
    <w:rsid w:val="004648C7"/>
    <w:rsid w:val="00465854"/>
    <w:rsid w:val="00465905"/>
    <w:rsid w:val="00471CC5"/>
    <w:rsid w:val="0047252F"/>
    <w:rsid w:val="00472D8B"/>
    <w:rsid w:val="00477892"/>
    <w:rsid w:val="00477B3D"/>
    <w:rsid w:val="004815D5"/>
    <w:rsid w:val="00483086"/>
    <w:rsid w:val="004914C3"/>
    <w:rsid w:val="00492CD2"/>
    <w:rsid w:val="0049348A"/>
    <w:rsid w:val="004939F0"/>
    <w:rsid w:val="00493D79"/>
    <w:rsid w:val="00494D64"/>
    <w:rsid w:val="0049601B"/>
    <w:rsid w:val="0049735E"/>
    <w:rsid w:val="004A08B7"/>
    <w:rsid w:val="004A0C00"/>
    <w:rsid w:val="004A12CC"/>
    <w:rsid w:val="004B19CC"/>
    <w:rsid w:val="004B2330"/>
    <w:rsid w:val="004B4CFE"/>
    <w:rsid w:val="004B67CA"/>
    <w:rsid w:val="004B7FF5"/>
    <w:rsid w:val="004C0B80"/>
    <w:rsid w:val="004C1855"/>
    <w:rsid w:val="004C440D"/>
    <w:rsid w:val="004C5A25"/>
    <w:rsid w:val="004C6C97"/>
    <w:rsid w:val="004C7210"/>
    <w:rsid w:val="004C7C9A"/>
    <w:rsid w:val="004C7DC3"/>
    <w:rsid w:val="004D051F"/>
    <w:rsid w:val="004D07E7"/>
    <w:rsid w:val="004D3B99"/>
    <w:rsid w:val="004D6517"/>
    <w:rsid w:val="004D7860"/>
    <w:rsid w:val="004E025A"/>
    <w:rsid w:val="004E1260"/>
    <w:rsid w:val="004E770B"/>
    <w:rsid w:val="004F0313"/>
    <w:rsid w:val="004F1E2C"/>
    <w:rsid w:val="004F21A0"/>
    <w:rsid w:val="004F3C27"/>
    <w:rsid w:val="004F453B"/>
    <w:rsid w:val="004F493D"/>
    <w:rsid w:val="004F6029"/>
    <w:rsid w:val="004F6734"/>
    <w:rsid w:val="004F722C"/>
    <w:rsid w:val="0050054E"/>
    <w:rsid w:val="00501187"/>
    <w:rsid w:val="00503971"/>
    <w:rsid w:val="00506C01"/>
    <w:rsid w:val="00507936"/>
    <w:rsid w:val="00516544"/>
    <w:rsid w:val="00517ECB"/>
    <w:rsid w:val="00522A45"/>
    <w:rsid w:val="00525ABF"/>
    <w:rsid w:val="00527466"/>
    <w:rsid w:val="005360C5"/>
    <w:rsid w:val="0053624C"/>
    <w:rsid w:val="00537E07"/>
    <w:rsid w:val="00543AB7"/>
    <w:rsid w:val="00545679"/>
    <w:rsid w:val="005502FC"/>
    <w:rsid w:val="005517D2"/>
    <w:rsid w:val="005530F0"/>
    <w:rsid w:val="00557AE8"/>
    <w:rsid w:val="00560C5C"/>
    <w:rsid w:val="00561580"/>
    <w:rsid w:val="005628D6"/>
    <w:rsid w:val="00563051"/>
    <w:rsid w:val="0056371A"/>
    <w:rsid w:val="00564B99"/>
    <w:rsid w:val="005705AB"/>
    <w:rsid w:val="00570CD0"/>
    <w:rsid w:val="005742CE"/>
    <w:rsid w:val="00576EF8"/>
    <w:rsid w:val="0058117B"/>
    <w:rsid w:val="00581D47"/>
    <w:rsid w:val="005852D3"/>
    <w:rsid w:val="00585DBF"/>
    <w:rsid w:val="00586D80"/>
    <w:rsid w:val="00587C53"/>
    <w:rsid w:val="00592375"/>
    <w:rsid w:val="005930A5"/>
    <w:rsid w:val="005936A7"/>
    <w:rsid w:val="005937C1"/>
    <w:rsid w:val="00595D34"/>
    <w:rsid w:val="0059635C"/>
    <w:rsid w:val="0059658A"/>
    <w:rsid w:val="005A02C7"/>
    <w:rsid w:val="005A3AD6"/>
    <w:rsid w:val="005A725B"/>
    <w:rsid w:val="005A7D96"/>
    <w:rsid w:val="005B11D3"/>
    <w:rsid w:val="005B3A3E"/>
    <w:rsid w:val="005B4036"/>
    <w:rsid w:val="005C03C0"/>
    <w:rsid w:val="005C1740"/>
    <w:rsid w:val="005C1CE0"/>
    <w:rsid w:val="005C1DE3"/>
    <w:rsid w:val="005C3785"/>
    <w:rsid w:val="005C723C"/>
    <w:rsid w:val="005C76F2"/>
    <w:rsid w:val="005D1508"/>
    <w:rsid w:val="005D2297"/>
    <w:rsid w:val="005D7622"/>
    <w:rsid w:val="005E13F6"/>
    <w:rsid w:val="005E1EE2"/>
    <w:rsid w:val="005E2215"/>
    <w:rsid w:val="005E32AB"/>
    <w:rsid w:val="005E3C85"/>
    <w:rsid w:val="005E4B83"/>
    <w:rsid w:val="005E68F6"/>
    <w:rsid w:val="005F0065"/>
    <w:rsid w:val="005F2314"/>
    <w:rsid w:val="005F5F2E"/>
    <w:rsid w:val="005F6B68"/>
    <w:rsid w:val="00603FB4"/>
    <w:rsid w:val="00605575"/>
    <w:rsid w:val="00615533"/>
    <w:rsid w:val="0062041C"/>
    <w:rsid w:val="00620B8C"/>
    <w:rsid w:val="006213C9"/>
    <w:rsid w:val="00623436"/>
    <w:rsid w:val="00623832"/>
    <w:rsid w:val="00625A26"/>
    <w:rsid w:val="006261B5"/>
    <w:rsid w:val="00627E68"/>
    <w:rsid w:val="00640AE0"/>
    <w:rsid w:val="00644CAD"/>
    <w:rsid w:val="0065757B"/>
    <w:rsid w:val="00660A10"/>
    <w:rsid w:val="00661762"/>
    <w:rsid w:val="00661F92"/>
    <w:rsid w:val="00662756"/>
    <w:rsid w:val="00665EA9"/>
    <w:rsid w:val="00666312"/>
    <w:rsid w:val="00667F9D"/>
    <w:rsid w:val="0067250D"/>
    <w:rsid w:val="00673AF3"/>
    <w:rsid w:val="00675CA8"/>
    <w:rsid w:val="00675D0C"/>
    <w:rsid w:val="00676F6E"/>
    <w:rsid w:val="00677C8D"/>
    <w:rsid w:val="00682B7F"/>
    <w:rsid w:val="006852CA"/>
    <w:rsid w:val="00685FCB"/>
    <w:rsid w:val="0068678A"/>
    <w:rsid w:val="00694132"/>
    <w:rsid w:val="006948E2"/>
    <w:rsid w:val="00694D7C"/>
    <w:rsid w:val="00696AA5"/>
    <w:rsid w:val="00696BFE"/>
    <w:rsid w:val="006A00A1"/>
    <w:rsid w:val="006A1630"/>
    <w:rsid w:val="006B0E7D"/>
    <w:rsid w:val="006B0F7B"/>
    <w:rsid w:val="006B1B71"/>
    <w:rsid w:val="006B2411"/>
    <w:rsid w:val="006B466F"/>
    <w:rsid w:val="006B4E40"/>
    <w:rsid w:val="006B6155"/>
    <w:rsid w:val="006B78D8"/>
    <w:rsid w:val="006C18D5"/>
    <w:rsid w:val="006C2A47"/>
    <w:rsid w:val="006C5122"/>
    <w:rsid w:val="006C60C1"/>
    <w:rsid w:val="006C6A6E"/>
    <w:rsid w:val="006D305E"/>
    <w:rsid w:val="006D45C1"/>
    <w:rsid w:val="006D61E1"/>
    <w:rsid w:val="006E085D"/>
    <w:rsid w:val="006E2069"/>
    <w:rsid w:val="006E3884"/>
    <w:rsid w:val="006E3E8D"/>
    <w:rsid w:val="006E4860"/>
    <w:rsid w:val="006E6688"/>
    <w:rsid w:val="006E6A30"/>
    <w:rsid w:val="006F0E4C"/>
    <w:rsid w:val="006F15A0"/>
    <w:rsid w:val="006F348E"/>
    <w:rsid w:val="006F349A"/>
    <w:rsid w:val="006F406D"/>
    <w:rsid w:val="006F47D6"/>
    <w:rsid w:val="006F5B8D"/>
    <w:rsid w:val="006F667B"/>
    <w:rsid w:val="006F79BF"/>
    <w:rsid w:val="00704399"/>
    <w:rsid w:val="00704842"/>
    <w:rsid w:val="007055E6"/>
    <w:rsid w:val="00705B6A"/>
    <w:rsid w:val="00707699"/>
    <w:rsid w:val="00710D1B"/>
    <w:rsid w:val="00710DB3"/>
    <w:rsid w:val="00710E6F"/>
    <w:rsid w:val="00711BA1"/>
    <w:rsid w:val="00712B8C"/>
    <w:rsid w:val="00714A21"/>
    <w:rsid w:val="0071543D"/>
    <w:rsid w:val="00720743"/>
    <w:rsid w:val="00720E78"/>
    <w:rsid w:val="00722CF4"/>
    <w:rsid w:val="00723C01"/>
    <w:rsid w:val="00725974"/>
    <w:rsid w:val="007260E3"/>
    <w:rsid w:val="007264BC"/>
    <w:rsid w:val="0072672B"/>
    <w:rsid w:val="007270E6"/>
    <w:rsid w:val="00727CF1"/>
    <w:rsid w:val="00732AE9"/>
    <w:rsid w:val="00740375"/>
    <w:rsid w:val="00743321"/>
    <w:rsid w:val="00753310"/>
    <w:rsid w:val="00754AF1"/>
    <w:rsid w:val="0075590E"/>
    <w:rsid w:val="00755A9A"/>
    <w:rsid w:val="007603D4"/>
    <w:rsid w:val="00762091"/>
    <w:rsid w:val="00767CB2"/>
    <w:rsid w:val="00770F6B"/>
    <w:rsid w:val="0077147A"/>
    <w:rsid w:val="0077203C"/>
    <w:rsid w:val="0077288A"/>
    <w:rsid w:val="00774B10"/>
    <w:rsid w:val="0077577E"/>
    <w:rsid w:val="00782EAB"/>
    <w:rsid w:val="00787760"/>
    <w:rsid w:val="007919A7"/>
    <w:rsid w:val="00791B8D"/>
    <w:rsid w:val="007A283F"/>
    <w:rsid w:val="007A2B91"/>
    <w:rsid w:val="007A6EE2"/>
    <w:rsid w:val="007B0383"/>
    <w:rsid w:val="007B08D1"/>
    <w:rsid w:val="007B4516"/>
    <w:rsid w:val="007B4B78"/>
    <w:rsid w:val="007C0EBE"/>
    <w:rsid w:val="007C41BA"/>
    <w:rsid w:val="007D082A"/>
    <w:rsid w:val="007D11D7"/>
    <w:rsid w:val="007D1866"/>
    <w:rsid w:val="007D2329"/>
    <w:rsid w:val="007D46A1"/>
    <w:rsid w:val="007D4725"/>
    <w:rsid w:val="007D49E2"/>
    <w:rsid w:val="007D58E5"/>
    <w:rsid w:val="007E0AEE"/>
    <w:rsid w:val="007E28F2"/>
    <w:rsid w:val="007E2B28"/>
    <w:rsid w:val="007E35F8"/>
    <w:rsid w:val="007E4D18"/>
    <w:rsid w:val="007E734C"/>
    <w:rsid w:val="007F2B91"/>
    <w:rsid w:val="007F7FE5"/>
    <w:rsid w:val="00800AF8"/>
    <w:rsid w:val="00800DEE"/>
    <w:rsid w:val="00803C37"/>
    <w:rsid w:val="00805A8E"/>
    <w:rsid w:val="0081167D"/>
    <w:rsid w:val="0081267B"/>
    <w:rsid w:val="00812DB6"/>
    <w:rsid w:val="00816ABF"/>
    <w:rsid w:val="008202F9"/>
    <w:rsid w:val="00824E8C"/>
    <w:rsid w:val="008254B4"/>
    <w:rsid w:val="00826698"/>
    <w:rsid w:val="00827EB7"/>
    <w:rsid w:val="00831012"/>
    <w:rsid w:val="00832CBD"/>
    <w:rsid w:val="008354F5"/>
    <w:rsid w:val="00835D9A"/>
    <w:rsid w:val="00836056"/>
    <w:rsid w:val="008360C1"/>
    <w:rsid w:val="008416F7"/>
    <w:rsid w:val="00844DEB"/>
    <w:rsid w:val="00845B5B"/>
    <w:rsid w:val="00846B0F"/>
    <w:rsid w:val="00846BFD"/>
    <w:rsid w:val="008470C4"/>
    <w:rsid w:val="00847350"/>
    <w:rsid w:val="008518A8"/>
    <w:rsid w:val="0085226A"/>
    <w:rsid w:val="00855EF4"/>
    <w:rsid w:val="0085637D"/>
    <w:rsid w:val="00860005"/>
    <w:rsid w:val="00863181"/>
    <w:rsid w:val="00863567"/>
    <w:rsid w:val="00863F62"/>
    <w:rsid w:val="00866595"/>
    <w:rsid w:val="00870791"/>
    <w:rsid w:val="00872D02"/>
    <w:rsid w:val="0087537F"/>
    <w:rsid w:val="00876470"/>
    <w:rsid w:val="00881BB5"/>
    <w:rsid w:val="00882AD0"/>
    <w:rsid w:val="00884D13"/>
    <w:rsid w:val="00886AF3"/>
    <w:rsid w:val="008905CC"/>
    <w:rsid w:val="0089317B"/>
    <w:rsid w:val="00894C73"/>
    <w:rsid w:val="00894CC1"/>
    <w:rsid w:val="008A4505"/>
    <w:rsid w:val="008A5DAD"/>
    <w:rsid w:val="008A6279"/>
    <w:rsid w:val="008A645C"/>
    <w:rsid w:val="008B1062"/>
    <w:rsid w:val="008B16ED"/>
    <w:rsid w:val="008B2D61"/>
    <w:rsid w:val="008B32B2"/>
    <w:rsid w:val="008B7256"/>
    <w:rsid w:val="008B7AE6"/>
    <w:rsid w:val="008B7EB5"/>
    <w:rsid w:val="008C13F5"/>
    <w:rsid w:val="008C1E8C"/>
    <w:rsid w:val="008C350D"/>
    <w:rsid w:val="008C4D5C"/>
    <w:rsid w:val="008D64EF"/>
    <w:rsid w:val="008D687E"/>
    <w:rsid w:val="008D7067"/>
    <w:rsid w:val="008E07FE"/>
    <w:rsid w:val="008E2E79"/>
    <w:rsid w:val="008E2FF8"/>
    <w:rsid w:val="008E3DFC"/>
    <w:rsid w:val="008E4D74"/>
    <w:rsid w:val="008E4EB5"/>
    <w:rsid w:val="008E5CC6"/>
    <w:rsid w:val="008E7056"/>
    <w:rsid w:val="008F032F"/>
    <w:rsid w:val="008F3047"/>
    <w:rsid w:val="008F3EFB"/>
    <w:rsid w:val="008F4A48"/>
    <w:rsid w:val="008F4B7C"/>
    <w:rsid w:val="008F539C"/>
    <w:rsid w:val="008F5ABD"/>
    <w:rsid w:val="00902D27"/>
    <w:rsid w:val="00903BE2"/>
    <w:rsid w:val="00904F05"/>
    <w:rsid w:val="00905DAE"/>
    <w:rsid w:val="0090692F"/>
    <w:rsid w:val="009108F9"/>
    <w:rsid w:val="0091210D"/>
    <w:rsid w:val="00916FDC"/>
    <w:rsid w:val="00920075"/>
    <w:rsid w:val="0092583B"/>
    <w:rsid w:val="00926253"/>
    <w:rsid w:val="0092632D"/>
    <w:rsid w:val="009263DB"/>
    <w:rsid w:val="00926455"/>
    <w:rsid w:val="00936120"/>
    <w:rsid w:val="00936819"/>
    <w:rsid w:val="00936B6E"/>
    <w:rsid w:val="00937658"/>
    <w:rsid w:val="009406A4"/>
    <w:rsid w:val="00942EBE"/>
    <w:rsid w:val="00943844"/>
    <w:rsid w:val="00950111"/>
    <w:rsid w:val="00951BC3"/>
    <w:rsid w:val="0095542A"/>
    <w:rsid w:val="00955D09"/>
    <w:rsid w:val="00956225"/>
    <w:rsid w:val="00964E39"/>
    <w:rsid w:val="009654B5"/>
    <w:rsid w:val="00971F14"/>
    <w:rsid w:val="0097430B"/>
    <w:rsid w:val="00976CB0"/>
    <w:rsid w:val="00977944"/>
    <w:rsid w:val="00977A8D"/>
    <w:rsid w:val="00980C80"/>
    <w:rsid w:val="00980E94"/>
    <w:rsid w:val="009831F3"/>
    <w:rsid w:val="009839DA"/>
    <w:rsid w:val="00983EB2"/>
    <w:rsid w:val="00984CDC"/>
    <w:rsid w:val="00990C35"/>
    <w:rsid w:val="00994C15"/>
    <w:rsid w:val="0099580B"/>
    <w:rsid w:val="00997CD1"/>
    <w:rsid w:val="009A0C2F"/>
    <w:rsid w:val="009A0D59"/>
    <w:rsid w:val="009A188A"/>
    <w:rsid w:val="009A1C06"/>
    <w:rsid w:val="009A1C4B"/>
    <w:rsid w:val="009A2663"/>
    <w:rsid w:val="009A396F"/>
    <w:rsid w:val="009A5D63"/>
    <w:rsid w:val="009A67D4"/>
    <w:rsid w:val="009B1242"/>
    <w:rsid w:val="009B2F26"/>
    <w:rsid w:val="009B35E4"/>
    <w:rsid w:val="009B565E"/>
    <w:rsid w:val="009B74D7"/>
    <w:rsid w:val="009C17D3"/>
    <w:rsid w:val="009C1F0C"/>
    <w:rsid w:val="009C21D1"/>
    <w:rsid w:val="009C27FD"/>
    <w:rsid w:val="009C36C4"/>
    <w:rsid w:val="009C52BF"/>
    <w:rsid w:val="009D2587"/>
    <w:rsid w:val="009D26D8"/>
    <w:rsid w:val="009D2D2F"/>
    <w:rsid w:val="009D488B"/>
    <w:rsid w:val="009D676D"/>
    <w:rsid w:val="009E0DD6"/>
    <w:rsid w:val="009E0F31"/>
    <w:rsid w:val="009E242C"/>
    <w:rsid w:val="009E42B7"/>
    <w:rsid w:val="009F6CD2"/>
    <w:rsid w:val="009F723B"/>
    <w:rsid w:val="009F7718"/>
    <w:rsid w:val="00A00457"/>
    <w:rsid w:val="00A02A05"/>
    <w:rsid w:val="00A03368"/>
    <w:rsid w:val="00A05BE9"/>
    <w:rsid w:val="00A06454"/>
    <w:rsid w:val="00A124CF"/>
    <w:rsid w:val="00A15287"/>
    <w:rsid w:val="00A166BA"/>
    <w:rsid w:val="00A17781"/>
    <w:rsid w:val="00A17B26"/>
    <w:rsid w:val="00A218E3"/>
    <w:rsid w:val="00A23149"/>
    <w:rsid w:val="00A238C0"/>
    <w:rsid w:val="00A24DEA"/>
    <w:rsid w:val="00A25A80"/>
    <w:rsid w:val="00A25E52"/>
    <w:rsid w:val="00A31AE8"/>
    <w:rsid w:val="00A339A0"/>
    <w:rsid w:val="00A341B3"/>
    <w:rsid w:val="00A35292"/>
    <w:rsid w:val="00A36454"/>
    <w:rsid w:val="00A45F4C"/>
    <w:rsid w:val="00A521BB"/>
    <w:rsid w:val="00A5358B"/>
    <w:rsid w:val="00A53702"/>
    <w:rsid w:val="00A56A81"/>
    <w:rsid w:val="00A56E08"/>
    <w:rsid w:val="00A5771F"/>
    <w:rsid w:val="00A66BDB"/>
    <w:rsid w:val="00A66F92"/>
    <w:rsid w:val="00A717D7"/>
    <w:rsid w:val="00A71DB5"/>
    <w:rsid w:val="00A73945"/>
    <w:rsid w:val="00A73D1B"/>
    <w:rsid w:val="00A76333"/>
    <w:rsid w:val="00A779AE"/>
    <w:rsid w:val="00A80879"/>
    <w:rsid w:val="00A80B51"/>
    <w:rsid w:val="00A80F21"/>
    <w:rsid w:val="00A8329C"/>
    <w:rsid w:val="00A85BE0"/>
    <w:rsid w:val="00A85E29"/>
    <w:rsid w:val="00A90073"/>
    <w:rsid w:val="00A91A7A"/>
    <w:rsid w:val="00A92481"/>
    <w:rsid w:val="00A92D12"/>
    <w:rsid w:val="00AA1E33"/>
    <w:rsid w:val="00AA28F6"/>
    <w:rsid w:val="00AB1FF8"/>
    <w:rsid w:val="00AB2136"/>
    <w:rsid w:val="00AB3859"/>
    <w:rsid w:val="00AB63BC"/>
    <w:rsid w:val="00AB73A1"/>
    <w:rsid w:val="00AB7E5B"/>
    <w:rsid w:val="00AC14A0"/>
    <w:rsid w:val="00AC2E2C"/>
    <w:rsid w:val="00AC3B66"/>
    <w:rsid w:val="00AC3E70"/>
    <w:rsid w:val="00AC7A91"/>
    <w:rsid w:val="00AC7F40"/>
    <w:rsid w:val="00AD17E3"/>
    <w:rsid w:val="00AD23C6"/>
    <w:rsid w:val="00AD2426"/>
    <w:rsid w:val="00AD2C6F"/>
    <w:rsid w:val="00AD2C96"/>
    <w:rsid w:val="00AD6CB1"/>
    <w:rsid w:val="00AE6414"/>
    <w:rsid w:val="00AF030E"/>
    <w:rsid w:val="00AF15A7"/>
    <w:rsid w:val="00AF2340"/>
    <w:rsid w:val="00AF4EFB"/>
    <w:rsid w:val="00B00598"/>
    <w:rsid w:val="00B07D0D"/>
    <w:rsid w:val="00B125C2"/>
    <w:rsid w:val="00B125F9"/>
    <w:rsid w:val="00B12AE1"/>
    <w:rsid w:val="00B13485"/>
    <w:rsid w:val="00B20CDF"/>
    <w:rsid w:val="00B218FF"/>
    <w:rsid w:val="00B21A89"/>
    <w:rsid w:val="00B21A8B"/>
    <w:rsid w:val="00B21BA7"/>
    <w:rsid w:val="00B25C08"/>
    <w:rsid w:val="00B26B02"/>
    <w:rsid w:val="00B277D6"/>
    <w:rsid w:val="00B33057"/>
    <w:rsid w:val="00B357FD"/>
    <w:rsid w:val="00B365D6"/>
    <w:rsid w:val="00B448A0"/>
    <w:rsid w:val="00B44B85"/>
    <w:rsid w:val="00B44C01"/>
    <w:rsid w:val="00B542E4"/>
    <w:rsid w:val="00B619D5"/>
    <w:rsid w:val="00B627E5"/>
    <w:rsid w:val="00B63BB1"/>
    <w:rsid w:val="00B65701"/>
    <w:rsid w:val="00B659E5"/>
    <w:rsid w:val="00B665BF"/>
    <w:rsid w:val="00B66949"/>
    <w:rsid w:val="00B70B50"/>
    <w:rsid w:val="00B72017"/>
    <w:rsid w:val="00B728D0"/>
    <w:rsid w:val="00B72FF9"/>
    <w:rsid w:val="00B743DC"/>
    <w:rsid w:val="00B75F3C"/>
    <w:rsid w:val="00B83534"/>
    <w:rsid w:val="00B852F8"/>
    <w:rsid w:val="00B90BF8"/>
    <w:rsid w:val="00B92639"/>
    <w:rsid w:val="00B937BA"/>
    <w:rsid w:val="00B93987"/>
    <w:rsid w:val="00B93D10"/>
    <w:rsid w:val="00B94254"/>
    <w:rsid w:val="00B955C4"/>
    <w:rsid w:val="00BA0678"/>
    <w:rsid w:val="00BA0F72"/>
    <w:rsid w:val="00BA3421"/>
    <w:rsid w:val="00BA4B82"/>
    <w:rsid w:val="00BA63F8"/>
    <w:rsid w:val="00BA6B9F"/>
    <w:rsid w:val="00BB3374"/>
    <w:rsid w:val="00BB3DD6"/>
    <w:rsid w:val="00BB57F6"/>
    <w:rsid w:val="00BB5CA3"/>
    <w:rsid w:val="00BB7C5B"/>
    <w:rsid w:val="00BC044C"/>
    <w:rsid w:val="00BC2FB0"/>
    <w:rsid w:val="00BC3B85"/>
    <w:rsid w:val="00BC56D4"/>
    <w:rsid w:val="00BC6CF4"/>
    <w:rsid w:val="00BD2148"/>
    <w:rsid w:val="00BD6768"/>
    <w:rsid w:val="00BE0A76"/>
    <w:rsid w:val="00BE117F"/>
    <w:rsid w:val="00BE43EF"/>
    <w:rsid w:val="00BE47DF"/>
    <w:rsid w:val="00BE48B0"/>
    <w:rsid w:val="00BE4E63"/>
    <w:rsid w:val="00BE737D"/>
    <w:rsid w:val="00BE7943"/>
    <w:rsid w:val="00BE7E82"/>
    <w:rsid w:val="00BF09EA"/>
    <w:rsid w:val="00BF0F33"/>
    <w:rsid w:val="00BF2457"/>
    <w:rsid w:val="00BF2AC3"/>
    <w:rsid w:val="00BF6710"/>
    <w:rsid w:val="00C074C3"/>
    <w:rsid w:val="00C11E41"/>
    <w:rsid w:val="00C14570"/>
    <w:rsid w:val="00C20D2D"/>
    <w:rsid w:val="00C2531A"/>
    <w:rsid w:val="00C25448"/>
    <w:rsid w:val="00C346BD"/>
    <w:rsid w:val="00C44733"/>
    <w:rsid w:val="00C449CD"/>
    <w:rsid w:val="00C45841"/>
    <w:rsid w:val="00C46F5C"/>
    <w:rsid w:val="00C47DF8"/>
    <w:rsid w:val="00C50681"/>
    <w:rsid w:val="00C541BA"/>
    <w:rsid w:val="00C5666F"/>
    <w:rsid w:val="00C57C36"/>
    <w:rsid w:val="00C606B6"/>
    <w:rsid w:val="00C62835"/>
    <w:rsid w:val="00C63DF8"/>
    <w:rsid w:val="00C70173"/>
    <w:rsid w:val="00C722F5"/>
    <w:rsid w:val="00C75F06"/>
    <w:rsid w:val="00C812C8"/>
    <w:rsid w:val="00C83CCC"/>
    <w:rsid w:val="00C84EFA"/>
    <w:rsid w:val="00C93A55"/>
    <w:rsid w:val="00C94423"/>
    <w:rsid w:val="00C95C4E"/>
    <w:rsid w:val="00C96DFF"/>
    <w:rsid w:val="00C971EB"/>
    <w:rsid w:val="00C977D7"/>
    <w:rsid w:val="00C977FC"/>
    <w:rsid w:val="00CA1BB0"/>
    <w:rsid w:val="00CA1D74"/>
    <w:rsid w:val="00CA4D9D"/>
    <w:rsid w:val="00CA582C"/>
    <w:rsid w:val="00CA6781"/>
    <w:rsid w:val="00CA7E2B"/>
    <w:rsid w:val="00CB2236"/>
    <w:rsid w:val="00CB352C"/>
    <w:rsid w:val="00CB3B3F"/>
    <w:rsid w:val="00CB58AA"/>
    <w:rsid w:val="00CB6C4F"/>
    <w:rsid w:val="00CB7356"/>
    <w:rsid w:val="00CC0101"/>
    <w:rsid w:val="00CC057B"/>
    <w:rsid w:val="00CC3C89"/>
    <w:rsid w:val="00CC4C0D"/>
    <w:rsid w:val="00CC7A61"/>
    <w:rsid w:val="00CD08A3"/>
    <w:rsid w:val="00CD489E"/>
    <w:rsid w:val="00CD4F3D"/>
    <w:rsid w:val="00CD51C0"/>
    <w:rsid w:val="00CD63FA"/>
    <w:rsid w:val="00CD7036"/>
    <w:rsid w:val="00CD7634"/>
    <w:rsid w:val="00CD78C1"/>
    <w:rsid w:val="00CE046B"/>
    <w:rsid w:val="00CE1F3C"/>
    <w:rsid w:val="00CE351F"/>
    <w:rsid w:val="00CE3DCD"/>
    <w:rsid w:val="00CE59A8"/>
    <w:rsid w:val="00CE7958"/>
    <w:rsid w:val="00CF0A24"/>
    <w:rsid w:val="00CF5F16"/>
    <w:rsid w:val="00CF6792"/>
    <w:rsid w:val="00CF7AE4"/>
    <w:rsid w:val="00CF7EB9"/>
    <w:rsid w:val="00D00681"/>
    <w:rsid w:val="00D03315"/>
    <w:rsid w:val="00D04B3C"/>
    <w:rsid w:val="00D061C1"/>
    <w:rsid w:val="00D06CAF"/>
    <w:rsid w:val="00D073D7"/>
    <w:rsid w:val="00D101D1"/>
    <w:rsid w:val="00D13EED"/>
    <w:rsid w:val="00D1760E"/>
    <w:rsid w:val="00D21127"/>
    <w:rsid w:val="00D22628"/>
    <w:rsid w:val="00D275EE"/>
    <w:rsid w:val="00D309B2"/>
    <w:rsid w:val="00D32E61"/>
    <w:rsid w:val="00D34BD2"/>
    <w:rsid w:val="00D428F2"/>
    <w:rsid w:val="00D43A6A"/>
    <w:rsid w:val="00D45EF9"/>
    <w:rsid w:val="00D4613F"/>
    <w:rsid w:val="00D5390C"/>
    <w:rsid w:val="00D544AF"/>
    <w:rsid w:val="00D568EA"/>
    <w:rsid w:val="00D62D84"/>
    <w:rsid w:val="00D63CCA"/>
    <w:rsid w:val="00D64149"/>
    <w:rsid w:val="00D668D0"/>
    <w:rsid w:val="00D67858"/>
    <w:rsid w:val="00D71542"/>
    <w:rsid w:val="00D73D50"/>
    <w:rsid w:val="00D8061A"/>
    <w:rsid w:val="00D82D0F"/>
    <w:rsid w:val="00D83E0C"/>
    <w:rsid w:val="00D84F26"/>
    <w:rsid w:val="00D85C4F"/>
    <w:rsid w:val="00D87F4C"/>
    <w:rsid w:val="00D933F1"/>
    <w:rsid w:val="00D939A2"/>
    <w:rsid w:val="00D97F81"/>
    <w:rsid w:val="00DA21DD"/>
    <w:rsid w:val="00DB390B"/>
    <w:rsid w:val="00DB3977"/>
    <w:rsid w:val="00DB4E72"/>
    <w:rsid w:val="00DB64D5"/>
    <w:rsid w:val="00DB7D8E"/>
    <w:rsid w:val="00DC06A9"/>
    <w:rsid w:val="00DC4E1A"/>
    <w:rsid w:val="00DC6C02"/>
    <w:rsid w:val="00DD37E4"/>
    <w:rsid w:val="00DD5ADF"/>
    <w:rsid w:val="00DD7A69"/>
    <w:rsid w:val="00DE0B1D"/>
    <w:rsid w:val="00DE197A"/>
    <w:rsid w:val="00DE4833"/>
    <w:rsid w:val="00DE4DB7"/>
    <w:rsid w:val="00DE5DA4"/>
    <w:rsid w:val="00DF360B"/>
    <w:rsid w:val="00DF36D7"/>
    <w:rsid w:val="00DF629E"/>
    <w:rsid w:val="00E01C03"/>
    <w:rsid w:val="00E0302B"/>
    <w:rsid w:val="00E03C2F"/>
    <w:rsid w:val="00E062BC"/>
    <w:rsid w:val="00E10922"/>
    <w:rsid w:val="00E111A3"/>
    <w:rsid w:val="00E11EF6"/>
    <w:rsid w:val="00E1243C"/>
    <w:rsid w:val="00E12716"/>
    <w:rsid w:val="00E13BFA"/>
    <w:rsid w:val="00E166BC"/>
    <w:rsid w:val="00E16A10"/>
    <w:rsid w:val="00E171D4"/>
    <w:rsid w:val="00E201C1"/>
    <w:rsid w:val="00E210B2"/>
    <w:rsid w:val="00E218FC"/>
    <w:rsid w:val="00E25FAC"/>
    <w:rsid w:val="00E260F4"/>
    <w:rsid w:val="00E263A7"/>
    <w:rsid w:val="00E306FD"/>
    <w:rsid w:val="00E43C70"/>
    <w:rsid w:val="00E43FD4"/>
    <w:rsid w:val="00E5072A"/>
    <w:rsid w:val="00E532BD"/>
    <w:rsid w:val="00E53599"/>
    <w:rsid w:val="00E54294"/>
    <w:rsid w:val="00E54911"/>
    <w:rsid w:val="00E55E1D"/>
    <w:rsid w:val="00E60205"/>
    <w:rsid w:val="00E661F7"/>
    <w:rsid w:val="00E72255"/>
    <w:rsid w:val="00E7346D"/>
    <w:rsid w:val="00E76565"/>
    <w:rsid w:val="00E772CE"/>
    <w:rsid w:val="00E77C4B"/>
    <w:rsid w:val="00E8064B"/>
    <w:rsid w:val="00E85108"/>
    <w:rsid w:val="00E85FA6"/>
    <w:rsid w:val="00E878FD"/>
    <w:rsid w:val="00E87C19"/>
    <w:rsid w:val="00E87D9F"/>
    <w:rsid w:val="00E914FE"/>
    <w:rsid w:val="00E94F32"/>
    <w:rsid w:val="00E96559"/>
    <w:rsid w:val="00E973A1"/>
    <w:rsid w:val="00E9757F"/>
    <w:rsid w:val="00EA1D0A"/>
    <w:rsid w:val="00EA4DB2"/>
    <w:rsid w:val="00EA55F0"/>
    <w:rsid w:val="00EA76C6"/>
    <w:rsid w:val="00EB0CB3"/>
    <w:rsid w:val="00EB11D6"/>
    <w:rsid w:val="00EB5A4E"/>
    <w:rsid w:val="00EB6139"/>
    <w:rsid w:val="00EB71CF"/>
    <w:rsid w:val="00EC1438"/>
    <w:rsid w:val="00EC1E1A"/>
    <w:rsid w:val="00EC3115"/>
    <w:rsid w:val="00ED4346"/>
    <w:rsid w:val="00ED45E0"/>
    <w:rsid w:val="00ED5FDB"/>
    <w:rsid w:val="00ED63EE"/>
    <w:rsid w:val="00EE1A29"/>
    <w:rsid w:val="00EE278E"/>
    <w:rsid w:val="00EE3671"/>
    <w:rsid w:val="00EE595D"/>
    <w:rsid w:val="00EE6077"/>
    <w:rsid w:val="00EE6AFA"/>
    <w:rsid w:val="00EF1A84"/>
    <w:rsid w:val="00EF29E6"/>
    <w:rsid w:val="00EF4686"/>
    <w:rsid w:val="00EF5A8C"/>
    <w:rsid w:val="00EF63B3"/>
    <w:rsid w:val="00F0041E"/>
    <w:rsid w:val="00F0086C"/>
    <w:rsid w:val="00F01FB5"/>
    <w:rsid w:val="00F03B3E"/>
    <w:rsid w:val="00F05E56"/>
    <w:rsid w:val="00F10C4D"/>
    <w:rsid w:val="00F11857"/>
    <w:rsid w:val="00F132E8"/>
    <w:rsid w:val="00F1487E"/>
    <w:rsid w:val="00F15081"/>
    <w:rsid w:val="00F2079B"/>
    <w:rsid w:val="00F25329"/>
    <w:rsid w:val="00F2620A"/>
    <w:rsid w:val="00F27EC6"/>
    <w:rsid w:val="00F319FA"/>
    <w:rsid w:val="00F31A12"/>
    <w:rsid w:val="00F31CA5"/>
    <w:rsid w:val="00F32121"/>
    <w:rsid w:val="00F32970"/>
    <w:rsid w:val="00F3299D"/>
    <w:rsid w:val="00F32D85"/>
    <w:rsid w:val="00F331D9"/>
    <w:rsid w:val="00F35E8B"/>
    <w:rsid w:val="00F37DE1"/>
    <w:rsid w:val="00F42ACE"/>
    <w:rsid w:val="00F450CF"/>
    <w:rsid w:val="00F50AC5"/>
    <w:rsid w:val="00F51290"/>
    <w:rsid w:val="00F56172"/>
    <w:rsid w:val="00F62F83"/>
    <w:rsid w:val="00F63C35"/>
    <w:rsid w:val="00F65C85"/>
    <w:rsid w:val="00F65DFF"/>
    <w:rsid w:val="00F65E1C"/>
    <w:rsid w:val="00F664FC"/>
    <w:rsid w:val="00F66FAB"/>
    <w:rsid w:val="00F67938"/>
    <w:rsid w:val="00F706A7"/>
    <w:rsid w:val="00F717E1"/>
    <w:rsid w:val="00F71E32"/>
    <w:rsid w:val="00F727AB"/>
    <w:rsid w:val="00F72EC9"/>
    <w:rsid w:val="00F768D5"/>
    <w:rsid w:val="00F77F25"/>
    <w:rsid w:val="00F81411"/>
    <w:rsid w:val="00F82903"/>
    <w:rsid w:val="00F82992"/>
    <w:rsid w:val="00F82D90"/>
    <w:rsid w:val="00F83869"/>
    <w:rsid w:val="00F83F13"/>
    <w:rsid w:val="00F87463"/>
    <w:rsid w:val="00F90714"/>
    <w:rsid w:val="00F9275D"/>
    <w:rsid w:val="00F92C5A"/>
    <w:rsid w:val="00F948DA"/>
    <w:rsid w:val="00F9554B"/>
    <w:rsid w:val="00F97799"/>
    <w:rsid w:val="00FA4CA0"/>
    <w:rsid w:val="00FA6419"/>
    <w:rsid w:val="00FB0988"/>
    <w:rsid w:val="00FB33FC"/>
    <w:rsid w:val="00FB44F6"/>
    <w:rsid w:val="00FB4F21"/>
    <w:rsid w:val="00FB71C8"/>
    <w:rsid w:val="00FB7FD8"/>
    <w:rsid w:val="00FC0377"/>
    <w:rsid w:val="00FC20AC"/>
    <w:rsid w:val="00FC2FEE"/>
    <w:rsid w:val="00FC4D9A"/>
    <w:rsid w:val="00FC7F85"/>
    <w:rsid w:val="00FD0780"/>
    <w:rsid w:val="00FD1966"/>
    <w:rsid w:val="00FD370F"/>
    <w:rsid w:val="00FD5964"/>
    <w:rsid w:val="00FD5F38"/>
    <w:rsid w:val="00FD6A73"/>
    <w:rsid w:val="00FE0860"/>
    <w:rsid w:val="00FE1B8E"/>
    <w:rsid w:val="00FE4770"/>
    <w:rsid w:val="00FF2DE7"/>
    <w:rsid w:val="00FF2E48"/>
    <w:rsid w:val="00FF4D73"/>
    <w:rsid w:val="00FF59F5"/>
    <w:rsid w:val="3A35C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B4127"/>
  <w15:chartTrackingRefBased/>
  <w15:docId w15:val="{C084F60A-C19C-41AC-BA94-CF63E938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TextChar">
    <w:name w:val="Footnote Text Char"/>
    <w:link w:val="FootnoteText"/>
    <w:semiHidden/>
    <w:rsid w:val="00C449CD"/>
    <w:rPr>
      <w:b/>
      <w:bCs/>
      <w:sz w:val="16"/>
    </w:rPr>
  </w:style>
  <w:style w:type="character" w:customStyle="1" w:styleId="BodyTextChar">
    <w:name w:val="Body Text Char"/>
    <w:link w:val="BodyText"/>
    <w:rsid w:val="00C449CD"/>
    <w:rPr>
      <w:sz w:val="24"/>
    </w:rPr>
  </w:style>
  <w:style w:type="paragraph" w:styleId="ListParagraph">
    <w:name w:val="List Paragraph"/>
    <w:basedOn w:val="Normal"/>
    <w:uiPriority w:val="1"/>
    <w:qFormat/>
    <w:rsid w:val="001773C1"/>
    <w:pPr>
      <w:widowControl/>
      <w:autoSpaceDE/>
      <w:autoSpaceDN/>
      <w:adjustRightInd/>
      <w:spacing w:after="160" w:line="259" w:lineRule="auto"/>
      <w:ind w:left="720"/>
      <w:contextualSpacing/>
    </w:pPr>
    <w:rPr>
      <w:rFonts w:ascii="Calibri" w:eastAsia="Calibri" w:hAnsi="Calibri"/>
      <w:b w:val="0"/>
      <w:bCs w:val="0"/>
      <w:sz w:val="22"/>
      <w:szCs w:val="22"/>
    </w:rPr>
  </w:style>
  <w:style w:type="paragraph" w:styleId="Revision">
    <w:name w:val="Revision"/>
    <w:hidden/>
    <w:uiPriority w:val="99"/>
    <w:semiHidden/>
    <w:rsid w:val="0033053D"/>
    <w:rPr>
      <w:b/>
      <w:bCs/>
    </w:rPr>
  </w:style>
  <w:style w:type="character" w:styleId="CommentReference">
    <w:name w:val="annotation reference"/>
    <w:basedOn w:val="DefaultParagraphFont"/>
    <w:uiPriority w:val="99"/>
    <w:rsid w:val="00BA4B82"/>
    <w:rPr>
      <w:sz w:val="16"/>
      <w:szCs w:val="16"/>
    </w:rPr>
  </w:style>
  <w:style w:type="paragraph" w:styleId="CommentText">
    <w:name w:val="annotation text"/>
    <w:basedOn w:val="Normal"/>
    <w:link w:val="CommentTextChar"/>
    <w:uiPriority w:val="99"/>
    <w:rsid w:val="00BA4B82"/>
  </w:style>
  <w:style w:type="character" w:customStyle="1" w:styleId="CommentTextChar">
    <w:name w:val="Comment Text Char"/>
    <w:basedOn w:val="DefaultParagraphFont"/>
    <w:link w:val="CommentText"/>
    <w:uiPriority w:val="99"/>
    <w:rsid w:val="00BA4B82"/>
    <w:rPr>
      <w:b/>
      <w:bCs/>
    </w:rPr>
  </w:style>
  <w:style w:type="paragraph" w:styleId="CommentSubject">
    <w:name w:val="annotation subject"/>
    <w:basedOn w:val="CommentText"/>
    <w:next w:val="CommentText"/>
    <w:link w:val="CommentSubjectChar"/>
    <w:rsid w:val="00BA4B82"/>
  </w:style>
  <w:style w:type="character" w:customStyle="1" w:styleId="CommentSubjectChar">
    <w:name w:val="Comment Subject Char"/>
    <w:basedOn w:val="CommentTextChar"/>
    <w:link w:val="CommentSubject"/>
    <w:rsid w:val="00BA4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5084">
      <w:bodyDiv w:val="1"/>
      <w:marLeft w:val="0"/>
      <w:marRight w:val="0"/>
      <w:marTop w:val="0"/>
      <w:marBottom w:val="0"/>
      <w:divBdr>
        <w:top w:val="none" w:sz="0" w:space="0" w:color="auto"/>
        <w:left w:val="none" w:sz="0" w:space="0" w:color="auto"/>
        <w:bottom w:val="none" w:sz="0" w:space="0" w:color="auto"/>
        <w:right w:val="none" w:sz="0" w:space="0" w:color="auto"/>
      </w:divBdr>
    </w:div>
    <w:div w:id="291640476">
      <w:bodyDiv w:val="1"/>
      <w:marLeft w:val="0"/>
      <w:marRight w:val="0"/>
      <w:marTop w:val="0"/>
      <w:marBottom w:val="0"/>
      <w:divBdr>
        <w:top w:val="none" w:sz="0" w:space="0" w:color="auto"/>
        <w:left w:val="none" w:sz="0" w:space="0" w:color="auto"/>
        <w:bottom w:val="none" w:sz="0" w:space="0" w:color="auto"/>
        <w:right w:val="none" w:sz="0" w:space="0" w:color="auto"/>
      </w:divBdr>
    </w:div>
    <w:div w:id="377895545">
      <w:bodyDiv w:val="1"/>
      <w:marLeft w:val="0"/>
      <w:marRight w:val="0"/>
      <w:marTop w:val="0"/>
      <w:marBottom w:val="0"/>
      <w:divBdr>
        <w:top w:val="none" w:sz="0" w:space="0" w:color="auto"/>
        <w:left w:val="none" w:sz="0" w:space="0" w:color="auto"/>
        <w:bottom w:val="none" w:sz="0" w:space="0" w:color="auto"/>
        <w:right w:val="none" w:sz="0" w:space="0" w:color="auto"/>
      </w:divBdr>
    </w:div>
    <w:div w:id="423452343">
      <w:bodyDiv w:val="1"/>
      <w:marLeft w:val="0"/>
      <w:marRight w:val="0"/>
      <w:marTop w:val="0"/>
      <w:marBottom w:val="0"/>
      <w:divBdr>
        <w:top w:val="none" w:sz="0" w:space="0" w:color="auto"/>
        <w:left w:val="none" w:sz="0" w:space="0" w:color="auto"/>
        <w:bottom w:val="none" w:sz="0" w:space="0" w:color="auto"/>
        <w:right w:val="none" w:sz="0" w:space="0" w:color="auto"/>
      </w:divBdr>
      <w:divsChild>
        <w:div w:id="431239879">
          <w:marLeft w:val="0"/>
          <w:marRight w:val="0"/>
          <w:marTop w:val="0"/>
          <w:marBottom w:val="0"/>
          <w:divBdr>
            <w:top w:val="none" w:sz="0" w:space="0" w:color="auto"/>
            <w:left w:val="none" w:sz="0" w:space="0" w:color="auto"/>
            <w:bottom w:val="none" w:sz="0" w:space="0" w:color="auto"/>
            <w:right w:val="none" w:sz="0" w:space="0" w:color="auto"/>
          </w:divBdr>
        </w:div>
      </w:divsChild>
    </w:div>
    <w:div w:id="524709289">
      <w:bodyDiv w:val="1"/>
      <w:marLeft w:val="0"/>
      <w:marRight w:val="0"/>
      <w:marTop w:val="0"/>
      <w:marBottom w:val="0"/>
      <w:divBdr>
        <w:top w:val="none" w:sz="0" w:space="0" w:color="auto"/>
        <w:left w:val="none" w:sz="0" w:space="0" w:color="auto"/>
        <w:bottom w:val="none" w:sz="0" w:space="0" w:color="auto"/>
        <w:right w:val="none" w:sz="0" w:space="0" w:color="auto"/>
      </w:divBdr>
    </w:div>
    <w:div w:id="606012027">
      <w:bodyDiv w:val="1"/>
      <w:marLeft w:val="0"/>
      <w:marRight w:val="0"/>
      <w:marTop w:val="0"/>
      <w:marBottom w:val="0"/>
      <w:divBdr>
        <w:top w:val="none" w:sz="0" w:space="0" w:color="auto"/>
        <w:left w:val="none" w:sz="0" w:space="0" w:color="auto"/>
        <w:bottom w:val="none" w:sz="0" w:space="0" w:color="auto"/>
        <w:right w:val="none" w:sz="0" w:space="0" w:color="auto"/>
      </w:divBdr>
    </w:div>
    <w:div w:id="747994750">
      <w:bodyDiv w:val="1"/>
      <w:marLeft w:val="0"/>
      <w:marRight w:val="0"/>
      <w:marTop w:val="0"/>
      <w:marBottom w:val="0"/>
      <w:divBdr>
        <w:top w:val="none" w:sz="0" w:space="0" w:color="auto"/>
        <w:left w:val="none" w:sz="0" w:space="0" w:color="auto"/>
        <w:bottom w:val="none" w:sz="0" w:space="0" w:color="auto"/>
        <w:right w:val="none" w:sz="0" w:space="0" w:color="auto"/>
      </w:divBdr>
    </w:div>
    <w:div w:id="809902515">
      <w:bodyDiv w:val="1"/>
      <w:marLeft w:val="0"/>
      <w:marRight w:val="0"/>
      <w:marTop w:val="0"/>
      <w:marBottom w:val="0"/>
      <w:divBdr>
        <w:top w:val="none" w:sz="0" w:space="0" w:color="auto"/>
        <w:left w:val="none" w:sz="0" w:space="0" w:color="auto"/>
        <w:bottom w:val="none" w:sz="0" w:space="0" w:color="auto"/>
        <w:right w:val="none" w:sz="0" w:space="0" w:color="auto"/>
      </w:divBdr>
    </w:div>
    <w:div w:id="980496995">
      <w:bodyDiv w:val="1"/>
      <w:marLeft w:val="0"/>
      <w:marRight w:val="0"/>
      <w:marTop w:val="0"/>
      <w:marBottom w:val="0"/>
      <w:divBdr>
        <w:top w:val="none" w:sz="0" w:space="0" w:color="auto"/>
        <w:left w:val="none" w:sz="0" w:space="0" w:color="auto"/>
        <w:bottom w:val="none" w:sz="0" w:space="0" w:color="auto"/>
        <w:right w:val="none" w:sz="0" w:space="0" w:color="auto"/>
      </w:divBdr>
      <w:divsChild>
        <w:div w:id="177427490">
          <w:marLeft w:val="0"/>
          <w:marRight w:val="0"/>
          <w:marTop w:val="0"/>
          <w:marBottom w:val="0"/>
          <w:divBdr>
            <w:top w:val="none" w:sz="0" w:space="0" w:color="auto"/>
            <w:left w:val="none" w:sz="0" w:space="0" w:color="auto"/>
            <w:bottom w:val="none" w:sz="0" w:space="0" w:color="auto"/>
            <w:right w:val="none" w:sz="0" w:space="0" w:color="auto"/>
          </w:divBdr>
        </w:div>
      </w:divsChild>
    </w:div>
    <w:div w:id="1098479487">
      <w:bodyDiv w:val="1"/>
      <w:marLeft w:val="0"/>
      <w:marRight w:val="0"/>
      <w:marTop w:val="0"/>
      <w:marBottom w:val="0"/>
      <w:divBdr>
        <w:top w:val="none" w:sz="0" w:space="0" w:color="auto"/>
        <w:left w:val="none" w:sz="0" w:space="0" w:color="auto"/>
        <w:bottom w:val="none" w:sz="0" w:space="0" w:color="auto"/>
        <w:right w:val="none" w:sz="0" w:space="0" w:color="auto"/>
      </w:divBdr>
    </w:div>
    <w:div w:id="1255164429">
      <w:bodyDiv w:val="1"/>
      <w:marLeft w:val="0"/>
      <w:marRight w:val="0"/>
      <w:marTop w:val="0"/>
      <w:marBottom w:val="0"/>
      <w:divBdr>
        <w:top w:val="none" w:sz="0" w:space="0" w:color="auto"/>
        <w:left w:val="none" w:sz="0" w:space="0" w:color="auto"/>
        <w:bottom w:val="none" w:sz="0" w:space="0" w:color="auto"/>
        <w:right w:val="none" w:sz="0" w:space="0" w:color="auto"/>
      </w:divBdr>
    </w:div>
    <w:div w:id="1517308895">
      <w:bodyDiv w:val="1"/>
      <w:marLeft w:val="0"/>
      <w:marRight w:val="0"/>
      <w:marTop w:val="0"/>
      <w:marBottom w:val="0"/>
      <w:divBdr>
        <w:top w:val="none" w:sz="0" w:space="0" w:color="auto"/>
        <w:left w:val="none" w:sz="0" w:space="0" w:color="auto"/>
        <w:bottom w:val="none" w:sz="0" w:space="0" w:color="auto"/>
        <w:right w:val="none" w:sz="0" w:space="0" w:color="auto"/>
      </w:divBdr>
    </w:div>
    <w:div w:id="1674724205">
      <w:bodyDiv w:val="1"/>
      <w:marLeft w:val="0"/>
      <w:marRight w:val="0"/>
      <w:marTop w:val="0"/>
      <w:marBottom w:val="0"/>
      <w:divBdr>
        <w:top w:val="none" w:sz="0" w:space="0" w:color="auto"/>
        <w:left w:val="none" w:sz="0" w:space="0" w:color="auto"/>
        <w:bottom w:val="none" w:sz="0" w:space="0" w:color="auto"/>
        <w:right w:val="none" w:sz="0" w:space="0" w:color="auto"/>
      </w:divBdr>
    </w:div>
    <w:div w:id="1750809804">
      <w:bodyDiv w:val="1"/>
      <w:marLeft w:val="0"/>
      <w:marRight w:val="0"/>
      <w:marTop w:val="0"/>
      <w:marBottom w:val="0"/>
      <w:divBdr>
        <w:top w:val="none" w:sz="0" w:space="0" w:color="auto"/>
        <w:left w:val="none" w:sz="0" w:space="0" w:color="auto"/>
        <w:bottom w:val="none" w:sz="0" w:space="0" w:color="auto"/>
        <w:right w:val="none" w:sz="0" w:space="0" w:color="auto"/>
      </w:divBdr>
    </w:div>
    <w:div w:id="1914969173">
      <w:bodyDiv w:val="1"/>
      <w:marLeft w:val="0"/>
      <w:marRight w:val="0"/>
      <w:marTop w:val="0"/>
      <w:marBottom w:val="0"/>
      <w:divBdr>
        <w:top w:val="none" w:sz="0" w:space="0" w:color="auto"/>
        <w:left w:val="none" w:sz="0" w:space="0" w:color="auto"/>
        <w:bottom w:val="none" w:sz="0" w:space="0" w:color="auto"/>
        <w:right w:val="none" w:sz="0" w:space="0" w:color="auto"/>
      </w:divBdr>
    </w:div>
    <w:div w:id="1991206796">
      <w:bodyDiv w:val="1"/>
      <w:marLeft w:val="0"/>
      <w:marRight w:val="0"/>
      <w:marTop w:val="0"/>
      <w:marBottom w:val="0"/>
      <w:divBdr>
        <w:top w:val="none" w:sz="0" w:space="0" w:color="auto"/>
        <w:left w:val="none" w:sz="0" w:space="0" w:color="auto"/>
        <w:bottom w:val="none" w:sz="0" w:space="0" w:color="auto"/>
        <w:right w:val="none" w:sz="0" w:space="0" w:color="auto"/>
      </w:divBdr>
    </w:div>
    <w:div w:id="1995140534">
      <w:bodyDiv w:val="1"/>
      <w:marLeft w:val="0"/>
      <w:marRight w:val="0"/>
      <w:marTop w:val="0"/>
      <w:marBottom w:val="0"/>
      <w:divBdr>
        <w:top w:val="none" w:sz="0" w:space="0" w:color="auto"/>
        <w:left w:val="none" w:sz="0" w:space="0" w:color="auto"/>
        <w:bottom w:val="none" w:sz="0" w:space="0" w:color="auto"/>
        <w:right w:val="none" w:sz="0" w:space="0" w:color="auto"/>
      </w:divBdr>
    </w:div>
    <w:div w:id="204938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rsreports.congress.gov/product/pdf/R/R40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B79E3-9340-45CA-A40E-EB588C33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7A155-3763-44A5-B534-C8A5563C0909}">
  <ds:schemaRefs>
    <ds:schemaRef ds:uri="http://schemas.microsoft.com/sharepoint/v3/contenttype/forms"/>
  </ds:schemaRefs>
</ds:datastoreItem>
</file>

<file path=customXml/itemProps3.xml><?xml version="1.0" encoding="utf-8"?>
<ds:datastoreItem xmlns:ds="http://schemas.openxmlformats.org/officeDocument/2006/customXml" ds:itemID="{97C15F09-2FC7-41E1-A9B9-0EEFD780EC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679B41-0A26-40D9-99B3-F09A1521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3958</Words>
  <Characters>22565</Characters>
  <Application>Microsoft Office Word</Application>
  <DocSecurity>0</DocSecurity>
  <Lines>188</Lines>
  <Paragraphs>52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SUPPORTING STATEMENT FOR PAPERWORK REDUCTION ACT 1995 SUBMISSIONS</vt:lpstr>
      <vt:lpstr/>
      <vt:lpstr>A.  JUSTIFICATION</vt:lpstr>
      <vt:lpstr/>
      <vt:lpstr>There are no plans to publish the results of this collection of information.</vt:lpstr>
      <vt:lpstr>None.</vt:lpstr>
      <vt:lpstr>        B.	COLLECTIONS OF INFORMATION EMPLOYING STATISTICAL METHODS</vt:lpstr>
    </vt:vector>
  </TitlesOfParts>
  <Company>U.S. Department of Labor</Company>
  <LinksUpToDate>false</LinksUpToDate>
  <CharactersWithSpaces>26471</CharactersWithSpaces>
  <SharedDoc>false</SharedDoc>
  <HLinks>
    <vt:vector size="6" baseType="variant">
      <vt:variant>
        <vt:i4>4259921</vt:i4>
      </vt:variant>
      <vt:variant>
        <vt:i4>0</vt:i4>
      </vt:variant>
      <vt:variant>
        <vt:i4>0</vt:i4>
      </vt:variant>
      <vt:variant>
        <vt:i4>5</vt:i4>
      </vt:variant>
      <vt:variant>
        <vt:lpwstr>http://www.dol.gov/sol/privacy/dol-pwba-4.htm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dc:description/>
  <cp:lastModifiedBy>Butikofer, James</cp:lastModifiedBy>
  <cp:revision>3</cp:revision>
  <cp:lastPrinted>2009-05-15T12:31:00Z</cp:lastPrinted>
  <dcterms:created xsi:type="dcterms:W3CDTF">2021-04-06T17:23:00Z</dcterms:created>
  <dcterms:modified xsi:type="dcterms:W3CDTF">2021-04-06T17:24:00Z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