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A59B6" w:rsidR="00A42C71" w:rsidP="00A42C71" w:rsidRDefault="00A42C71" w14:paraId="70CFD577" w14:textId="77777777">
      <w:pPr>
        <w:spacing w:after="0"/>
        <w:rPr>
          <w:rFonts w:cstheme="minorHAnsi"/>
          <w:b/>
        </w:rPr>
      </w:pPr>
    </w:p>
    <w:p w:rsidRPr="001A59B6" w:rsidR="00A42C71" w:rsidP="00A42C71" w:rsidRDefault="00A42C71" w14:paraId="703D208D" w14:textId="77777777">
      <w:pPr>
        <w:spacing w:after="0"/>
        <w:jc w:val="center"/>
        <w:rPr>
          <w:rFonts w:cstheme="minorHAnsi"/>
          <w:b/>
          <w:sz w:val="40"/>
          <w:highlight w:val="yellow"/>
        </w:rPr>
      </w:pPr>
    </w:p>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EA7C57" w14:paraId="7CB5189A" w14:textId="70446436">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2019 National Survey of Early Care and Education COVID-19 Follow-up</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510B7CF4">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A04062">
        <w:rPr>
          <w:rFonts w:asciiTheme="minorHAnsi" w:hAnsiTheme="minorHAnsi" w:cstheme="minorHAnsi"/>
          <w:color w:val="auto"/>
          <w:sz w:val="32"/>
          <w:szCs w:val="32"/>
        </w:rPr>
        <w:t>0391</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2D32AE" w14:paraId="10D3ADE5" w14:textId="4DD11599">
      <w:pPr>
        <w:pStyle w:val="ReportCover-Date"/>
        <w:spacing w:after="0"/>
        <w:jc w:val="center"/>
        <w:rPr>
          <w:rFonts w:asciiTheme="minorHAnsi" w:hAnsiTheme="minorHAnsi" w:cstheme="minorHAnsi"/>
          <w:color w:val="auto"/>
        </w:rPr>
      </w:pPr>
      <w:r>
        <w:rPr>
          <w:rFonts w:asciiTheme="minorHAnsi" w:hAnsiTheme="minorHAnsi" w:cstheme="minorHAnsi"/>
          <w:color w:val="auto"/>
        </w:rPr>
        <w:t>Octo</w:t>
      </w:r>
      <w:r w:rsidR="00EA7C57">
        <w:rPr>
          <w:rFonts w:asciiTheme="minorHAnsi" w:hAnsiTheme="minorHAnsi" w:cstheme="minorHAnsi"/>
          <w:color w:val="auto"/>
        </w:rPr>
        <w:t>ber 2020</w:t>
      </w:r>
      <w:r w:rsidR="00685630">
        <w:rPr>
          <w:rFonts w:asciiTheme="minorHAnsi" w:hAnsiTheme="minorHAnsi" w:cstheme="minorHAnsi"/>
          <w:color w:val="auto"/>
        </w:rPr>
        <w:t>, revised March 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2D32AE" w:rsidRDefault="00A42C71" w14:paraId="6732C469" w14:textId="77777777">
      <w:pPr>
        <w:pStyle w:val="ReportCover-Date"/>
        <w:spacing w:after="0"/>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16DBDD79">
      <w:pPr>
        <w:spacing w:after="0" w:line="240" w:lineRule="auto"/>
        <w:jc w:val="center"/>
        <w:rPr>
          <w:rFonts w:cstheme="minorHAnsi"/>
        </w:rPr>
      </w:pPr>
      <w:r w:rsidRPr="001A59B6">
        <w:rPr>
          <w:rFonts w:cstheme="minorHAnsi"/>
        </w:rPr>
        <w:t>Project Officers:</w:t>
      </w:r>
      <w:r w:rsidR="00EA7C57">
        <w:rPr>
          <w:rFonts w:cstheme="minorHAnsi"/>
        </w:rPr>
        <w:t xml:space="preserve"> Ivelisse Martinez-Beck, Ann Rivera (OPRE)</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8130DE" w:rsidP="00A42C71" w:rsidRDefault="00140B1E" w14:paraId="61535E62" w14:textId="0459C18E">
      <w:pPr>
        <w:spacing w:after="0" w:line="240" w:lineRule="auto"/>
        <w:rPr>
          <w:rFonts w:cstheme="minorHAnsi"/>
        </w:rPr>
      </w:pPr>
      <w:r w:rsidRPr="00140B1E">
        <w:rPr>
          <w:rFonts w:cstheme="minorHAnsi"/>
        </w:rPr>
        <w:t>The objective of the</w:t>
      </w:r>
      <w:r w:rsidR="003B6B18">
        <w:rPr>
          <w:rFonts w:cstheme="minorHAnsi"/>
        </w:rPr>
        <w:t xml:space="preserve"> National Survey of Early Care and Education</w:t>
      </w:r>
      <w:r w:rsidRPr="00140B1E">
        <w:rPr>
          <w:rFonts w:cstheme="minorHAnsi"/>
        </w:rPr>
        <w:t xml:space="preserve"> </w:t>
      </w:r>
      <w:r w:rsidR="003B6B18">
        <w:rPr>
          <w:rFonts w:cstheme="minorHAnsi"/>
        </w:rPr>
        <w:t>(</w:t>
      </w:r>
      <w:r w:rsidRPr="00140B1E">
        <w:rPr>
          <w:rFonts w:cstheme="minorHAnsi"/>
        </w:rPr>
        <w:t>NSECE</w:t>
      </w:r>
      <w:r w:rsidR="003B6B18">
        <w:rPr>
          <w:rFonts w:cstheme="minorHAnsi"/>
        </w:rPr>
        <w:t>)</w:t>
      </w:r>
      <w:r w:rsidRPr="00140B1E">
        <w:rPr>
          <w:rFonts w:cstheme="minorHAnsi"/>
        </w:rPr>
        <w:t xml:space="preserve"> is to document the nation’s current supply of early care and education (ECE) services</w:t>
      </w:r>
      <w:r>
        <w:rPr>
          <w:rFonts w:cstheme="minorHAnsi"/>
        </w:rPr>
        <w:t>.</w:t>
      </w:r>
      <w:r w:rsidRPr="00140B1E">
        <w:rPr>
          <w:rFonts w:cstheme="minorHAnsi"/>
        </w:rPr>
        <w:t xml:space="preserve"> </w:t>
      </w:r>
      <w:r w:rsidR="00D03BB9">
        <w:rPr>
          <w:rFonts w:cstheme="minorHAnsi"/>
        </w:rPr>
        <w:t xml:space="preserve">Because the COVID-19 pandemic is likely to have had an impact on the ECE supply, and because the availability of ECE services is critical to restoring the U.S. economy, updated data on the ECE supply will be crucial for policy-making and research. </w:t>
      </w:r>
      <w:r>
        <w:rPr>
          <w:rFonts w:cstheme="minorHAnsi"/>
        </w:rPr>
        <w:t>The purpose of t</w:t>
      </w:r>
      <w:r w:rsidRPr="00140B1E">
        <w:rPr>
          <w:rFonts w:cstheme="minorHAnsi"/>
        </w:rPr>
        <w:t xml:space="preserve">he NSECE COVID-19 Follow-up </w:t>
      </w:r>
      <w:r>
        <w:rPr>
          <w:rFonts w:cstheme="minorHAnsi"/>
        </w:rPr>
        <w:t>study is to</w:t>
      </w:r>
      <w:r w:rsidRPr="00140B1E">
        <w:rPr>
          <w:rFonts w:cstheme="minorHAnsi"/>
        </w:rPr>
        <w:t xml:space="preserve"> </w:t>
      </w:r>
      <w:r>
        <w:rPr>
          <w:rFonts w:cstheme="minorHAnsi"/>
        </w:rPr>
        <w:t xml:space="preserve">describe </w:t>
      </w:r>
      <w:r w:rsidR="004E731E">
        <w:rPr>
          <w:rFonts w:cstheme="minorHAnsi"/>
        </w:rPr>
        <w:t xml:space="preserve">the impact of the COVID-19 pandemic on </w:t>
      </w:r>
      <w:r w:rsidR="00FE0013">
        <w:rPr>
          <w:rFonts w:cstheme="minorHAnsi"/>
        </w:rPr>
        <w:t xml:space="preserve">the pre-pandemic </w:t>
      </w:r>
      <w:r w:rsidRPr="00140B1E">
        <w:rPr>
          <w:rFonts w:cstheme="minorHAnsi"/>
        </w:rPr>
        <w:t>ECE supply and the ECE workforce, including changes in supply or departures from and re-entries to the workforce</w:t>
      </w:r>
      <w:r>
        <w:rPr>
          <w:rFonts w:cstheme="minorHAnsi"/>
        </w:rPr>
        <w:t>.</w:t>
      </w:r>
      <w:r w:rsidR="00FF456C">
        <w:rPr>
          <w:rFonts w:cstheme="minorHAnsi"/>
        </w:rPr>
        <w:t xml:space="preserve"> Data from the study can be used to estimate </w:t>
      </w:r>
      <w:r w:rsidRPr="00FF456C" w:rsidR="00FF456C">
        <w:rPr>
          <w:rFonts w:cstheme="minorHAnsi"/>
        </w:rPr>
        <w:t xml:space="preserve">the </w:t>
      </w:r>
      <w:r w:rsidR="005F10C1">
        <w:rPr>
          <w:rFonts w:cstheme="minorHAnsi"/>
        </w:rPr>
        <w:t>impact of the pandemic on ECE supply and the financial health of ECE providers, as well as providers’ experiences during and after the pandemic emergency.</w:t>
      </w:r>
      <w:r w:rsidR="00744DD1">
        <w:rPr>
          <w:rFonts w:cstheme="minorHAnsi"/>
        </w:rPr>
        <w:t xml:space="preserve"> </w:t>
      </w:r>
      <w:r w:rsidR="008130DE">
        <w:rPr>
          <w:rFonts w:cstheme="minorHAnsi"/>
        </w:rPr>
        <w:t xml:space="preserve">Through a two-wave design, the NSECE COVID-19 Follow-up data will trace providers’ and workforce members’ experiences from 2019, through the initial months of the pandemic (to be reported in the Wave 1 interview), and then to the one-year point since the onset of the pandemic (to be reported in the Wave 2 interview).  This design is intended to capture the trajectories of providers and workforce members, for example through recovery back to full or modified participation in ECE supply, or long-term exits from ECE supply.  </w:t>
      </w:r>
      <w:r w:rsidR="00450584">
        <w:rPr>
          <w:rFonts w:cstheme="minorHAnsi"/>
        </w:rPr>
        <w:t>Prospectively collecting these data allows inference about the types of providers and workforce members most likely to have exited or survived in ECE, as well as the programmatic supports received by those who remain in ECE at the time of the second interview.</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00D03BB9" w:rsidP="00A42C71" w:rsidRDefault="005F10C1" w14:paraId="1694AE75" w14:textId="24C52D8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NSECE COVID-19 Follow-up study</w:t>
      </w:r>
      <w:r w:rsidRPr="00FF456C" w:rsidR="00FF456C">
        <w:rPr>
          <w:rFonts w:eastAsia="Times New Roman" w:cstheme="minorHAnsi"/>
          <w:color w:val="000000"/>
        </w:rPr>
        <w:t xml:space="preserve"> is intended to produce nationally-</w:t>
      </w:r>
      <w:r w:rsidR="00FF456C">
        <w:rPr>
          <w:rFonts w:eastAsia="Times New Roman" w:cstheme="minorHAnsi"/>
          <w:color w:val="000000"/>
        </w:rPr>
        <w:t>representative estimates of the characteristics of the following groups of providers:</w:t>
      </w:r>
    </w:p>
    <w:p w:rsidR="00D03BB9" w:rsidP="00D03BB9" w:rsidRDefault="00FF456C" w14:paraId="6DFD5A8C" w14:textId="77777777">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individuals who provided paid care for children under the age of 13 in a residential setting as of 2019</w:t>
      </w:r>
      <w:r w:rsidRPr="00D03BB9" w:rsidR="00B83C87">
        <w:rPr>
          <w:rFonts w:eastAsia="Times New Roman" w:cstheme="minorHAnsi"/>
          <w:color w:val="000000"/>
        </w:rPr>
        <w:t xml:space="preserve"> (Home-based Providers)</w:t>
      </w:r>
      <w:r w:rsidRPr="00D03BB9">
        <w:rPr>
          <w:rFonts w:eastAsia="Times New Roman" w:cstheme="minorHAnsi"/>
          <w:color w:val="000000"/>
        </w:rPr>
        <w:t xml:space="preserve">; </w:t>
      </w:r>
    </w:p>
    <w:p w:rsidR="00D03BB9" w:rsidP="00D03BB9" w:rsidRDefault="00FF456C" w14:paraId="0E1B5B2B" w14:textId="77777777">
      <w:pPr>
        <w:pStyle w:val="ListParagraph"/>
        <w:numPr>
          <w:ilvl w:val="0"/>
          <w:numId w:val="29"/>
        </w:numPr>
        <w:autoSpaceDE w:val="0"/>
        <w:autoSpaceDN w:val="0"/>
        <w:adjustRightInd w:val="0"/>
        <w:spacing w:after="0" w:line="240" w:lineRule="atLeast"/>
        <w:rPr>
          <w:rFonts w:eastAsia="Times New Roman" w:cstheme="minorHAnsi"/>
          <w:color w:val="000000"/>
        </w:rPr>
      </w:pPr>
      <w:r w:rsidRPr="00D03BB9">
        <w:rPr>
          <w:rFonts w:eastAsia="Times New Roman" w:cstheme="minorHAnsi"/>
          <w:color w:val="000000"/>
        </w:rPr>
        <w:t>providers of care to children ages 0 through 5 years of age (not yet in kindergarten) in a non-residential setting</w:t>
      </w:r>
      <w:r w:rsidRPr="00D03BB9" w:rsidR="00B83C87">
        <w:rPr>
          <w:rFonts w:eastAsia="Times New Roman" w:cstheme="minorHAnsi"/>
          <w:color w:val="000000"/>
        </w:rPr>
        <w:t xml:space="preserve"> as of 2019 (Center-based Providers)</w:t>
      </w:r>
      <w:r w:rsidRPr="00D03BB9">
        <w:rPr>
          <w:rFonts w:eastAsia="Times New Roman" w:cstheme="minorHAnsi"/>
          <w:color w:val="000000"/>
        </w:rPr>
        <w:t>;</w:t>
      </w:r>
      <w:r w:rsidRPr="00D03BB9" w:rsidR="00B83C87">
        <w:rPr>
          <w:rFonts w:eastAsia="Times New Roman" w:cstheme="minorHAnsi"/>
          <w:color w:val="000000"/>
        </w:rPr>
        <w:t xml:space="preserve"> and </w:t>
      </w:r>
    </w:p>
    <w:p w:rsidRPr="00D03BB9" w:rsidR="00A42C71" w:rsidP="00D03BB9" w:rsidRDefault="00B83C87" w14:paraId="4037E45E" w14:textId="4A853346">
      <w:pPr>
        <w:pStyle w:val="ListParagraph"/>
        <w:numPr>
          <w:ilvl w:val="0"/>
          <w:numId w:val="29"/>
        </w:numPr>
        <w:autoSpaceDE w:val="0"/>
        <w:autoSpaceDN w:val="0"/>
        <w:adjustRightInd w:val="0"/>
        <w:spacing w:after="0" w:line="240" w:lineRule="atLeast"/>
        <w:rPr>
          <w:rFonts w:eastAsia="Times New Roman" w:cstheme="minorHAnsi"/>
          <w:color w:val="000000"/>
        </w:rPr>
      </w:pPr>
      <w:proofErr w:type="gramStart"/>
      <w:r w:rsidRPr="00D03BB9">
        <w:rPr>
          <w:rFonts w:eastAsia="Times New Roman" w:cstheme="minorHAnsi"/>
          <w:color w:val="000000"/>
        </w:rPr>
        <w:t>individuals</w:t>
      </w:r>
      <w:proofErr w:type="gramEnd"/>
      <w:r w:rsidRPr="00D03BB9">
        <w:rPr>
          <w:rFonts w:eastAsia="Times New Roman" w:cstheme="minorHAnsi"/>
          <w:color w:val="000000"/>
        </w:rPr>
        <w:t xml:space="preserve"> employed in center-based child care programs working directly with children in classrooms as of 2019 (Center-based Classroom Staff).</w:t>
      </w:r>
    </w:p>
    <w:p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005F10C1" w:rsidP="00A42C71" w:rsidRDefault="005F10C1" w14:paraId="62420B79" w14:textId="0850A2D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This study is not intended to produce estimates of the overall ECE supply as of 2020 or 2021.</w:t>
      </w:r>
    </w:p>
    <w:p w:rsidRPr="001A59B6" w:rsidR="005F10C1" w:rsidP="00A42C71" w:rsidRDefault="005F10C1" w14:paraId="1ABEFA4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5A135E" w:rsidP="00F71C9C" w:rsidRDefault="00D56D82" w14:paraId="7F1C36C1" w14:textId="286E2DD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2019 NSECE used administrative lists of ECE providers and </w:t>
      </w:r>
      <w:r w:rsidR="00D47638">
        <w:rPr>
          <w:rFonts w:asciiTheme="minorHAnsi" w:hAnsiTheme="minorHAnsi" w:cstheme="minorHAnsi"/>
          <w:sz w:val="22"/>
          <w:szCs w:val="22"/>
        </w:rPr>
        <w:t xml:space="preserve">a commercially available list of schools and ECE providers </w:t>
      </w:r>
      <w:r>
        <w:rPr>
          <w:rFonts w:asciiTheme="minorHAnsi" w:hAnsiTheme="minorHAnsi" w:cstheme="minorHAnsi"/>
          <w:sz w:val="22"/>
          <w:szCs w:val="22"/>
        </w:rPr>
        <w:t>to develop the provider sampling frame, from which probability samples of Home-based and Center-based Providers were drawn.</w:t>
      </w:r>
      <w:r w:rsidR="005A135E">
        <w:rPr>
          <w:rFonts w:asciiTheme="minorHAnsi" w:hAnsiTheme="minorHAnsi" w:cstheme="minorHAnsi"/>
          <w:sz w:val="22"/>
          <w:szCs w:val="22"/>
        </w:rPr>
        <w:t xml:space="preserve"> The 2019 NSECE also used its Household survey to identify individuals providing ECE services but who were not present in the provider sampling frame. These individuals were also administered the provider survey.</w:t>
      </w:r>
      <w:r>
        <w:rPr>
          <w:rFonts w:asciiTheme="minorHAnsi" w:hAnsiTheme="minorHAnsi" w:cstheme="minorHAnsi"/>
          <w:sz w:val="22"/>
          <w:szCs w:val="22"/>
        </w:rPr>
        <w:t xml:space="preserve"> The 2019 NSECE was able to collect data from nationally representative sample</w:t>
      </w:r>
      <w:r w:rsidR="006A5846">
        <w:rPr>
          <w:rFonts w:asciiTheme="minorHAnsi" w:hAnsiTheme="minorHAnsi" w:cstheme="minorHAnsi"/>
          <w:sz w:val="22"/>
          <w:szCs w:val="22"/>
        </w:rPr>
        <w:t>s</w:t>
      </w:r>
      <w:r>
        <w:rPr>
          <w:rFonts w:asciiTheme="minorHAnsi" w:hAnsiTheme="minorHAnsi" w:cstheme="minorHAnsi"/>
          <w:sz w:val="22"/>
          <w:szCs w:val="22"/>
        </w:rPr>
        <w:t xml:space="preserve"> </w:t>
      </w:r>
      <w:r w:rsidR="000D3EF4">
        <w:rPr>
          <w:rFonts w:asciiTheme="minorHAnsi" w:hAnsiTheme="minorHAnsi" w:cstheme="minorHAnsi"/>
          <w:sz w:val="22"/>
          <w:szCs w:val="22"/>
        </w:rPr>
        <w:t>totaling</w:t>
      </w:r>
      <w:r>
        <w:rPr>
          <w:rFonts w:asciiTheme="minorHAnsi" w:hAnsiTheme="minorHAnsi" w:cstheme="minorHAnsi"/>
          <w:sz w:val="22"/>
          <w:szCs w:val="22"/>
        </w:rPr>
        <w:t xml:space="preserve"> about 16,000 </w:t>
      </w:r>
      <w:r w:rsidR="006A5846">
        <w:rPr>
          <w:rFonts w:asciiTheme="minorHAnsi" w:hAnsiTheme="minorHAnsi" w:cstheme="minorHAnsi"/>
          <w:sz w:val="22"/>
          <w:szCs w:val="22"/>
        </w:rPr>
        <w:t xml:space="preserve">across three types of </w:t>
      </w:r>
      <w:r>
        <w:rPr>
          <w:rFonts w:asciiTheme="minorHAnsi" w:hAnsiTheme="minorHAnsi" w:cstheme="minorHAnsi"/>
          <w:sz w:val="22"/>
          <w:szCs w:val="22"/>
        </w:rPr>
        <w:t xml:space="preserve">ECE providers and workforce members who were providing ECE services as of </w:t>
      </w:r>
      <w:r w:rsidR="009F3308">
        <w:rPr>
          <w:rFonts w:asciiTheme="minorHAnsi" w:hAnsiTheme="minorHAnsi" w:cstheme="minorHAnsi"/>
          <w:sz w:val="22"/>
          <w:szCs w:val="22"/>
        </w:rPr>
        <w:t xml:space="preserve">January - </w:t>
      </w:r>
      <w:r w:rsidR="002D32AE">
        <w:rPr>
          <w:rFonts w:asciiTheme="minorHAnsi" w:hAnsiTheme="minorHAnsi" w:cstheme="minorHAnsi"/>
          <w:sz w:val="22"/>
          <w:szCs w:val="22"/>
        </w:rPr>
        <w:t>July</w:t>
      </w:r>
      <w:r w:rsidR="009F3308">
        <w:rPr>
          <w:rFonts w:asciiTheme="minorHAnsi" w:hAnsiTheme="minorHAnsi" w:cstheme="minorHAnsi"/>
          <w:sz w:val="22"/>
          <w:szCs w:val="22"/>
        </w:rPr>
        <w:t xml:space="preserve"> </w:t>
      </w:r>
      <w:r>
        <w:rPr>
          <w:rFonts w:asciiTheme="minorHAnsi" w:hAnsiTheme="minorHAnsi" w:cstheme="minorHAnsi"/>
          <w:sz w:val="22"/>
          <w:szCs w:val="22"/>
        </w:rPr>
        <w:t xml:space="preserve">2019.  </w:t>
      </w:r>
    </w:p>
    <w:p w:rsidR="005A135E" w:rsidP="00F71C9C" w:rsidRDefault="005A135E" w14:paraId="1F799F11" w14:textId="77777777">
      <w:pPr>
        <w:pStyle w:val="NormalWeb"/>
        <w:spacing w:before="0" w:beforeAutospacing="0" w:after="0" w:afterAutospacing="0"/>
        <w:rPr>
          <w:rFonts w:asciiTheme="minorHAnsi" w:hAnsiTheme="minorHAnsi" w:cstheme="minorHAnsi"/>
          <w:sz w:val="22"/>
          <w:szCs w:val="22"/>
        </w:rPr>
      </w:pPr>
    </w:p>
    <w:p w:rsidR="00F71C9C" w:rsidP="00F71C9C" w:rsidRDefault="00F71C9C" w14:paraId="35322DDD" w14:textId="3222453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goal of the NSECE COVID-19 Follow-up study is to </w:t>
      </w:r>
      <w:r w:rsidR="00D56D82">
        <w:rPr>
          <w:rFonts w:asciiTheme="minorHAnsi" w:hAnsiTheme="minorHAnsi" w:cstheme="minorHAnsi"/>
          <w:sz w:val="22"/>
          <w:szCs w:val="22"/>
        </w:rPr>
        <w:t xml:space="preserve">describe the impact of COVID-19 on the 2019 ECE supply. To do so, the Follow-up study will </w:t>
      </w:r>
      <w:r>
        <w:rPr>
          <w:rFonts w:asciiTheme="minorHAnsi" w:hAnsiTheme="minorHAnsi" w:cstheme="minorHAnsi"/>
          <w:sz w:val="22"/>
          <w:szCs w:val="22"/>
        </w:rPr>
        <w:t xml:space="preserve">re-interview </w:t>
      </w:r>
      <w:r w:rsidR="00D56D82">
        <w:rPr>
          <w:rFonts w:asciiTheme="minorHAnsi" w:hAnsiTheme="minorHAnsi" w:cstheme="minorHAnsi"/>
          <w:sz w:val="22"/>
          <w:szCs w:val="22"/>
        </w:rPr>
        <w:t xml:space="preserve">providers </w:t>
      </w:r>
      <w:r w:rsidR="00DD5C17">
        <w:rPr>
          <w:rFonts w:asciiTheme="minorHAnsi" w:hAnsiTheme="minorHAnsi" w:cstheme="minorHAnsi"/>
          <w:sz w:val="22"/>
          <w:szCs w:val="22"/>
        </w:rPr>
        <w:t>that</w:t>
      </w:r>
      <w:r w:rsidR="00BB2E67">
        <w:rPr>
          <w:rFonts w:asciiTheme="minorHAnsi" w:hAnsiTheme="minorHAnsi" w:cstheme="minorHAnsi"/>
          <w:sz w:val="22"/>
          <w:szCs w:val="22"/>
        </w:rPr>
        <w:t xml:space="preserve"> completed interviews</w:t>
      </w:r>
      <w:r w:rsidR="00D56D82">
        <w:rPr>
          <w:rFonts w:asciiTheme="minorHAnsi" w:hAnsiTheme="minorHAnsi" w:cstheme="minorHAnsi"/>
          <w:sz w:val="22"/>
          <w:szCs w:val="22"/>
        </w:rPr>
        <w:t xml:space="preserve"> in the 2019 </w:t>
      </w:r>
      <w:r w:rsidR="00D56D82">
        <w:rPr>
          <w:rFonts w:asciiTheme="minorHAnsi" w:hAnsiTheme="minorHAnsi" w:cstheme="minorHAnsi"/>
          <w:sz w:val="22"/>
          <w:szCs w:val="22"/>
        </w:rPr>
        <w:lastRenderedPageBreak/>
        <w:t>study</w:t>
      </w:r>
      <w:r w:rsidR="00777474">
        <w:rPr>
          <w:rFonts w:asciiTheme="minorHAnsi" w:hAnsiTheme="minorHAnsi" w:cstheme="minorHAnsi"/>
          <w:sz w:val="22"/>
          <w:szCs w:val="22"/>
        </w:rPr>
        <w:t xml:space="preserve"> (with some exceptions: see section B2)</w:t>
      </w:r>
      <w:r w:rsidR="0071576B">
        <w:rPr>
          <w:rFonts w:asciiTheme="minorHAnsi" w:hAnsiTheme="minorHAnsi" w:cstheme="minorHAnsi"/>
          <w:sz w:val="22"/>
          <w:szCs w:val="22"/>
        </w:rPr>
        <w:t>, regardless of whether or not they are still in the ECE sector at the time of the follow-up surveys</w:t>
      </w:r>
      <w:r>
        <w:rPr>
          <w:rFonts w:asciiTheme="minorHAnsi" w:hAnsiTheme="minorHAnsi" w:cstheme="minorHAnsi"/>
          <w:sz w:val="22"/>
          <w:szCs w:val="22"/>
        </w:rPr>
        <w:t>.</w:t>
      </w:r>
      <w:r w:rsidR="00D56D82">
        <w:rPr>
          <w:rFonts w:asciiTheme="minorHAnsi" w:hAnsiTheme="minorHAnsi" w:cstheme="minorHAnsi"/>
          <w:sz w:val="22"/>
          <w:szCs w:val="22"/>
        </w:rPr>
        <w:t xml:space="preserve"> It is </w:t>
      </w:r>
      <w:r w:rsidR="0071576B">
        <w:rPr>
          <w:rFonts w:asciiTheme="minorHAnsi" w:hAnsiTheme="minorHAnsi" w:cstheme="minorHAnsi"/>
          <w:sz w:val="22"/>
          <w:szCs w:val="22"/>
        </w:rPr>
        <w:t xml:space="preserve">also </w:t>
      </w:r>
      <w:r w:rsidR="00D56D82">
        <w:rPr>
          <w:rFonts w:asciiTheme="minorHAnsi" w:hAnsiTheme="minorHAnsi" w:cstheme="minorHAnsi"/>
          <w:sz w:val="22"/>
          <w:szCs w:val="22"/>
        </w:rPr>
        <w:t>important to note</w:t>
      </w:r>
      <w:r w:rsidR="0071576B">
        <w:rPr>
          <w:rFonts w:asciiTheme="minorHAnsi" w:hAnsiTheme="minorHAnsi" w:cstheme="minorHAnsi"/>
          <w:sz w:val="22"/>
          <w:szCs w:val="22"/>
        </w:rPr>
        <w:t xml:space="preserve"> </w:t>
      </w:r>
      <w:r w:rsidR="00D56D82">
        <w:rPr>
          <w:rFonts w:asciiTheme="minorHAnsi" w:hAnsiTheme="minorHAnsi" w:cstheme="minorHAnsi"/>
          <w:sz w:val="22"/>
          <w:szCs w:val="22"/>
        </w:rPr>
        <w:t>that the Follow-up study does not include providers who entered the ECE sector</w:t>
      </w:r>
      <w:r w:rsidR="007B0AC2">
        <w:rPr>
          <w:rFonts w:asciiTheme="minorHAnsi" w:hAnsiTheme="minorHAnsi" w:cstheme="minorHAnsi"/>
          <w:sz w:val="22"/>
          <w:szCs w:val="22"/>
        </w:rPr>
        <w:t xml:space="preserve"> after </w:t>
      </w:r>
      <w:r w:rsidR="004E731E">
        <w:rPr>
          <w:rFonts w:asciiTheme="minorHAnsi" w:hAnsiTheme="minorHAnsi" w:cstheme="minorHAnsi"/>
          <w:sz w:val="22"/>
          <w:szCs w:val="22"/>
        </w:rPr>
        <w:t xml:space="preserve">the summer of </w:t>
      </w:r>
      <w:r w:rsidR="007B0AC2">
        <w:rPr>
          <w:rFonts w:asciiTheme="minorHAnsi" w:hAnsiTheme="minorHAnsi" w:cstheme="minorHAnsi"/>
          <w:sz w:val="22"/>
          <w:szCs w:val="22"/>
        </w:rPr>
        <w:t>2019.</w:t>
      </w:r>
      <w:r w:rsidR="005F10C1">
        <w:rPr>
          <w:rFonts w:asciiTheme="minorHAnsi" w:hAnsiTheme="minorHAnsi" w:cstheme="minorHAnsi"/>
          <w:sz w:val="22"/>
          <w:szCs w:val="22"/>
        </w:rPr>
        <w:t xml:space="preserve"> </w:t>
      </w:r>
      <w:r w:rsidR="00DD5C17">
        <w:rPr>
          <w:rFonts w:asciiTheme="minorHAnsi" w:hAnsiTheme="minorHAnsi" w:cstheme="minorHAnsi"/>
          <w:sz w:val="22"/>
          <w:szCs w:val="22"/>
        </w:rPr>
        <w:t>Therefore, t</w:t>
      </w:r>
      <w:r w:rsidRPr="00DD5C17" w:rsidR="00DD5C17">
        <w:rPr>
          <w:rFonts w:asciiTheme="minorHAnsi" w:hAnsiTheme="minorHAnsi" w:cstheme="minorHAnsi"/>
          <w:sz w:val="22"/>
          <w:szCs w:val="22"/>
        </w:rPr>
        <w:t xml:space="preserve">his study is not intended to </w:t>
      </w:r>
      <w:r w:rsidR="00DD5C17">
        <w:rPr>
          <w:rFonts w:asciiTheme="minorHAnsi" w:hAnsiTheme="minorHAnsi" w:cstheme="minorHAnsi"/>
          <w:sz w:val="22"/>
          <w:szCs w:val="22"/>
        </w:rPr>
        <w:t>describe</w:t>
      </w:r>
      <w:r w:rsidRPr="00DD5C17" w:rsidR="00DD5C17">
        <w:rPr>
          <w:rFonts w:asciiTheme="minorHAnsi" w:hAnsiTheme="minorHAnsi" w:cstheme="minorHAnsi"/>
          <w:sz w:val="22"/>
          <w:szCs w:val="22"/>
        </w:rPr>
        <w:t xml:space="preserve"> the overall ECE supply as of 2020 or 2021</w:t>
      </w:r>
      <w:r w:rsidR="00DD5C17">
        <w:rPr>
          <w:rFonts w:asciiTheme="minorHAnsi" w:hAnsiTheme="minorHAnsi" w:cstheme="minorHAnsi"/>
          <w:sz w:val="22"/>
          <w:szCs w:val="22"/>
        </w:rPr>
        <w:t xml:space="preserve">. </w:t>
      </w:r>
      <w:r w:rsidR="005F10C1">
        <w:rPr>
          <w:rFonts w:asciiTheme="minorHAnsi" w:hAnsiTheme="minorHAnsi" w:cstheme="minorHAnsi"/>
          <w:sz w:val="22"/>
          <w:szCs w:val="22"/>
        </w:rPr>
        <w:t>This and other limitations of the Follow-up study will be included in written products associated with the study.</w:t>
      </w:r>
    </w:p>
    <w:p w:rsidR="00F71C9C" w:rsidP="00A42C71" w:rsidRDefault="00F71C9C" w14:paraId="6116588A" w14:textId="2B5A3309">
      <w:pPr>
        <w:pStyle w:val="NormalWeb"/>
        <w:spacing w:before="0" w:beforeAutospacing="0" w:after="0" w:afterAutospacing="0"/>
        <w:rPr>
          <w:rFonts w:asciiTheme="minorHAnsi" w:hAnsiTheme="minorHAnsi" w:cstheme="minorHAnsi"/>
          <w:sz w:val="22"/>
          <w:szCs w:val="22"/>
        </w:rPr>
      </w:pPr>
    </w:p>
    <w:p w:rsidRPr="001A59B6" w:rsidR="00A42C71" w:rsidP="00A42C71" w:rsidRDefault="00A42C71" w14:paraId="21886270" w14:textId="52BE26D9">
      <w:pPr>
        <w:pStyle w:val="NormalWeb"/>
        <w:spacing w:before="0" w:beforeAutospacing="0" w:after="0" w:afterAutospacing="0"/>
        <w:rPr>
          <w:rFonts w:asciiTheme="minorHAnsi" w:hAnsiTheme="minorHAnsi" w:cstheme="minorHAnsi"/>
          <w:b/>
          <w:i/>
          <w:strike/>
          <w:sz w:val="22"/>
          <w:szCs w:val="22"/>
        </w:rPr>
      </w:pPr>
      <w:r w:rsidRPr="002D32AE">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63E53A02">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1A59B6" w:rsidR="00A42C71" w:rsidP="00A42C71" w:rsidRDefault="00A42C71" w14:paraId="4C77B3BD" w14:textId="77777777">
      <w:pPr>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71576B" w:rsidP="009563F3" w:rsidRDefault="00836ADB" w14:paraId="2F2927DA" w14:textId="4EC92BF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w:t>
      </w:r>
      <w:r w:rsidR="007F6CE0">
        <w:rPr>
          <w:rFonts w:eastAsia="Times New Roman" w:cstheme="minorHAnsi"/>
          <w:color w:val="000000"/>
        </w:rPr>
        <w:t xml:space="preserve">2019 NSECE </w:t>
      </w:r>
      <w:r>
        <w:rPr>
          <w:rFonts w:eastAsia="Times New Roman" w:cstheme="minorHAnsi"/>
          <w:color w:val="000000"/>
        </w:rPr>
        <w:t>study collect</w:t>
      </w:r>
      <w:r w:rsidR="007F6CE0">
        <w:rPr>
          <w:rFonts w:eastAsia="Times New Roman" w:cstheme="minorHAnsi"/>
          <w:color w:val="000000"/>
        </w:rPr>
        <w:t>ed</w:t>
      </w:r>
      <w:r>
        <w:rPr>
          <w:rFonts w:eastAsia="Times New Roman" w:cstheme="minorHAnsi"/>
          <w:color w:val="000000"/>
        </w:rPr>
        <w:t xml:space="preserve"> data on three distinct populations, as </w:t>
      </w:r>
      <w:r w:rsidR="007F6CE0">
        <w:rPr>
          <w:rFonts w:eastAsia="Times New Roman" w:cstheme="minorHAnsi"/>
          <w:color w:val="000000"/>
        </w:rPr>
        <w:t>described</w:t>
      </w:r>
      <w:r>
        <w:rPr>
          <w:rFonts w:eastAsia="Times New Roman" w:cstheme="minorHAnsi"/>
          <w:color w:val="000000"/>
        </w:rPr>
        <w:t xml:space="preserve"> in Section B1.</w:t>
      </w:r>
      <w:r w:rsidR="007F6CE0">
        <w:rPr>
          <w:rFonts w:eastAsia="Times New Roman" w:cstheme="minorHAnsi"/>
          <w:color w:val="000000"/>
        </w:rPr>
        <w:t xml:space="preserve"> Based on figures from the 2012 NSECE, estimated population sizes are 1 million individuals for paid Home-based Providers; 129,000 programs for Center-based Providers; and about 1 million individuals for Center-based Classroom Staff.</w:t>
      </w:r>
      <w:r w:rsidR="0071576B">
        <w:rPr>
          <w:rFonts w:eastAsia="Times New Roman" w:cstheme="minorHAnsi"/>
          <w:color w:val="000000"/>
        </w:rPr>
        <w:t xml:space="preserve"> </w:t>
      </w:r>
      <w:r w:rsidR="005A005F">
        <w:rPr>
          <w:rFonts w:eastAsia="Times New Roman" w:cstheme="minorHAnsi"/>
          <w:color w:val="000000"/>
        </w:rPr>
        <w:t xml:space="preserve">In addition, the NSECE distinguishes between two types of paid Home-based Providers: </w:t>
      </w:r>
      <w:r w:rsidR="009563F3">
        <w:rPr>
          <w:rFonts w:eastAsia="Times New Roman" w:cstheme="minorHAnsi"/>
          <w:color w:val="000000"/>
        </w:rPr>
        <w:t>(</w:t>
      </w:r>
      <w:proofErr w:type="spellStart"/>
      <w:r w:rsidR="009563F3">
        <w:rPr>
          <w:rFonts w:eastAsia="Times New Roman" w:cstheme="minorHAnsi"/>
          <w:color w:val="000000"/>
        </w:rPr>
        <w:t>i</w:t>
      </w:r>
      <w:proofErr w:type="spellEnd"/>
      <w:r w:rsidR="009563F3">
        <w:rPr>
          <w:rFonts w:eastAsia="Times New Roman" w:cstheme="minorHAnsi"/>
          <w:color w:val="000000"/>
        </w:rPr>
        <w:t xml:space="preserve">) </w:t>
      </w:r>
      <w:r w:rsidR="005A005F">
        <w:rPr>
          <w:rFonts w:eastAsia="Times New Roman" w:cstheme="minorHAnsi"/>
          <w:color w:val="000000"/>
        </w:rPr>
        <w:t xml:space="preserve">listed Home-based Providers, who are </w:t>
      </w:r>
      <w:r w:rsidR="009563F3">
        <w:rPr>
          <w:rFonts w:eastAsia="Times New Roman" w:cstheme="minorHAnsi"/>
          <w:color w:val="000000"/>
        </w:rPr>
        <w:t xml:space="preserve">licensed, </w:t>
      </w:r>
      <w:r w:rsidRPr="009563F3" w:rsidR="009563F3">
        <w:rPr>
          <w:rFonts w:eastAsia="Times New Roman" w:cstheme="minorHAnsi"/>
          <w:color w:val="000000"/>
        </w:rPr>
        <w:t>license-exempt, registered, regulated, and otherwise listed home-based ECE providers identified</w:t>
      </w:r>
      <w:r w:rsidR="009563F3">
        <w:rPr>
          <w:rFonts w:eastAsia="Times New Roman" w:cstheme="minorHAnsi"/>
          <w:color w:val="000000"/>
        </w:rPr>
        <w:t xml:space="preserve"> </w:t>
      </w:r>
      <w:r w:rsidRPr="009563F3" w:rsidR="009563F3">
        <w:rPr>
          <w:rFonts w:eastAsia="Times New Roman" w:cstheme="minorHAnsi"/>
          <w:color w:val="000000"/>
        </w:rPr>
        <w:t>from state or national administrative lists</w:t>
      </w:r>
      <w:r w:rsidR="009563F3">
        <w:rPr>
          <w:rFonts w:eastAsia="Times New Roman" w:cstheme="minorHAnsi"/>
          <w:color w:val="000000"/>
        </w:rPr>
        <w:t>, and (ii) unlisted Home-based Providers, who do not appear on any administrative lists and are identified from the household screener in the NSECE survey. Of the estimated 1 million paid Home-based Providers, about 120,000 were listed Home-based Providers, and about 920,000 were unlisted Providers.</w:t>
      </w:r>
    </w:p>
    <w:p w:rsidR="0071576B" w:rsidP="00A42C71" w:rsidRDefault="0071576B" w14:paraId="3D7BC5EF" w14:textId="77777777">
      <w:pPr>
        <w:autoSpaceDE w:val="0"/>
        <w:autoSpaceDN w:val="0"/>
        <w:adjustRightInd w:val="0"/>
        <w:spacing w:after="0" w:line="240" w:lineRule="atLeast"/>
        <w:contextualSpacing/>
        <w:rPr>
          <w:rFonts w:eastAsia="Times New Roman" w:cstheme="minorHAnsi"/>
          <w:color w:val="000000"/>
        </w:rPr>
      </w:pPr>
    </w:p>
    <w:p w:rsidRPr="001A59B6" w:rsidR="00A42C71" w:rsidP="00A42C71" w:rsidRDefault="0071576B" w14:paraId="273747A8" w14:textId="75C819D8">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Follow-up study aims to collect data from programs and individuals </w:t>
      </w:r>
      <w:r w:rsidR="00DD5C17">
        <w:rPr>
          <w:rFonts w:eastAsia="Times New Roman" w:cstheme="minorHAnsi"/>
          <w:color w:val="000000"/>
        </w:rPr>
        <w:t>that completed interviews</w:t>
      </w:r>
      <w:r>
        <w:rPr>
          <w:rFonts w:eastAsia="Times New Roman" w:cstheme="minorHAnsi"/>
          <w:color w:val="000000"/>
        </w:rPr>
        <w:t xml:space="preserve"> in the 2019 study</w:t>
      </w:r>
      <w:r>
        <w:rPr>
          <w:rFonts w:cstheme="minorHAnsi"/>
        </w:rPr>
        <w:t>, regardless of whether or not they are still providing ECE services at the time of the follow-up surveys</w:t>
      </w:r>
      <w:r w:rsidR="00777474">
        <w:rPr>
          <w:rFonts w:cstheme="minorHAnsi"/>
        </w:rPr>
        <w:t xml:space="preserve">, with some exceptions (see </w:t>
      </w:r>
      <w:proofErr w:type="gramStart"/>
      <w:r w:rsidR="00777474">
        <w:rPr>
          <w:rFonts w:cstheme="minorHAnsi"/>
          <w:i/>
        </w:rPr>
        <w:t>Sampling</w:t>
      </w:r>
      <w:proofErr w:type="gramEnd"/>
      <w:r w:rsidR="00777474">
        <w:rPr>
          <w:rFonts w:cstheme="minorHAnsi"/>
        </w:rPr>
        <w:t xml:space="preserve"> subsection below). </w:t>
      </w:r>
      <w:r w:rsidR="00786FFB">
        <w:rPr>
          <w:rFonts w:cstheme="minorHAnsi"/>
        </w:rPr>
        <w:t>The study has a two-wave design, with surveys to be fielded in Fall</w:t>
      </w:r>
      <w:r w:rsidR="002D32AE">
        <w:rPr>
          <w:rFonts w:cstheme="minorHAnsi"/>
        </w:rPr>
        <w:t>/Winter</w:t>
      </w:r>
      <w:r w:rsidR="00786FFB">
        <w:rPr>
          <w:rFonts w:cstheme="minorHAnsi"/>
        </w:rPr>
        <w:t xml:space="preserve"> 2020 and </w:t>
      </w:r>
      <w:proofErr w:type="gramStart"/>
      <w:r w:rsidR="00786FFB">
        <w:rPr>
          <w:rFonts w:cstheme="minorHAnsi"/>
        </w:rPr>
        <w:t>Spring</w:t>
      </w:r>
      <w:proofErr w:type="gramEnd"/>
      <w:r w:rsidR="00786FFB">
        <w:rPr>
          <w:rFonts w:cstheme="minorHAnsi"/>
        </w:rPr>
        <w:t xml:space="preserve"> 2021.  Wave 1 of the study includes all providers that completed interviews in 2019. F</w:t>
      </w:r>
      <w:r w:rsidR="00BB2E67">
        <w:rPr>
          <w:rFonts w:cstheme="minorHAnsi"/>
        </w:rPr>
        <w:t xml:space="preserve">or Home-based Providers and Center-based Classroom Staff, </w:t>
      </w:r>
      <w:r w:rsidR="00786FFB">
        <w:rPr>
          <w:rFonts w:cstheme="minorHAnsi"/>
        </w:rPr>
        <w:t xml:space="preserve">Wave 1 of </w:t>
      </w:r>
      <w:r w:rsidR="00BB2E67">
        <w:rPr>
          <w:rFonts w:cstheme="minorHAnsi"/>
        </w:rPr>
        <w:t xml:space="preserve">the study will collect data from the same individuals interviewed in 2019. For Center-based Providers, </w:t>
      </w:r>
      <w:r w:rsidR="00786FFB">
        <w:rPr>
          <w:rFonts w:cstheme="minorHAnsi"/>
        </w:rPr>
        <w:t xml:space="preserve">Wave 1 of </w:t>
      </w:r>
      <w:r w:rsidR="00DD5C17">
        <w:rPr>
          <w:rFonts w:cstheme="minorHAnsi"/>
        </w:rPr>
        <w:t>the study will collect data from center directors interviewed in 2019 or, if they are unavailable, other individuals knowledgeable about the center’s operations.</w:t>
      </w:r>
      <w:r w:rsidR="00786FFB">
        <w:rPr>
          <w:rFonts w:cstheme="minorHAnsi"/>
        </w:rPr>
        <w:t xml:space="preserve"> Wave 1 of the study will collect data on whether providers were still providing ECE services in February 2020, that is, prior to the pandemic emergency. Providers </w:t>
      </w:r>
      <w:r w:rsidR="00450584">
        <w:rPr>
          <w:rFonts w:cstheme="minorHAnsi"/>
        </w:rPr>
        <w:t xml:space="preserve">or workforce members </w:t>
      </w:r>
      <w:r w:rsidR="00786FFB">
        <w:rPr>
          <w:rFonts w:cstheme="minorHAnsi"/>
        </w:rPr>
        <w:t xml:space="preserve">that had permanently ceased ECE services </w:t>
      </w:r>
      <w:r w:rsidR="00450584">
        <w:rPr>
          <w:rFonts w:cstheme="minorHAnsi"/>
        </w:rPr>
        <w:t>prior to</w:t>
      </w:r>
      <w:r w:rsidR="00786FFB">
        <w:rPr>
          <w:rFonts w:cstheme="minorHAnsi"/>
        </w:rPr>
        <w:t xml:space="preserve"> February 2020 would not be fielded for Wave 2.</w:t>
      </w:r>
      <w:r w:rsidR="00744DD1">
        <w:rPr>
          <w:rFonts w:cstheme="minorHAnsi"/>
        </w:rPr>
        <w:t xml:space="preserve"> </w:t>
      </w:r>
      <w:r w:rsidR="00450584">
        <w:rPr>
          <w:rFonts w:cstheme="minorHAnsi"/>
        </w:rPr>
        <w:t xml:space="preserve">Any providers or workforce members who were participating in ECE provision at the onset of the pandemic </w:t>
      </w:r>
      <w:r w:rsidR="00685630">
        <w:rPr>
          <w:rFonts w:cstheme="minorHAnsi"/>
          <w:i/>
        </w:rPr>
        <w:t xml:space="preserve">and had not permanently exited ECE at the time of the Wave 1 interview </w:t>
      </w:r>
      <w:r w:rsidR="00450584">
        <w:rPr>
          <w:rFonts w:cstheme="minorHAnsi"/>
        </w:rPr>
        <w:t xml:space="preserve">will be fielded for Wave 2, so that trajectories of ECE participation, including temporary closures as well as permanent exits, can be identified in the Wave 2 interview.  </w:t>
      </w:r>
      <w:r w:rsidR="00744DD1">
        <w:t>We note that home-based provider survey respondents are both ECE providers as well as members of the ECE workforce.</w:t>
      </w:r>
    </w:p>
    <w:p w:rsidRPr="001A59B6" w:rsidR="007F6CE0" w:rsidP="00A42C71" w:rsidRDefault="007F6CE0" w14:paraId="5E99B70B" w14:textId="77777777">
      <w:pPr>
        <w:autoSpaceDE w:val="0"/>
        <w:autoSpaceDN w:val="0"/>
        <w:adjustRightInd w:val="0"/>
        <w:spacing w:after="0" w:line="240" w:lineRule="atLeast"/>
        <w:contextualSpacing/>
        <w:rPr>
          <w:rFonts w:eastAsia="Times New Roman" w:cstheme="minorHAnsi"/>
          <w:color w:val="000000"/>
        </w:rPr>
      </w:pPr>
    </w:p>
    <w:p w:rsidRPr="001A59B6" w:rsidR="00A42C71" w:rsidP="00A42C71" w:rsidRDefault="00A42C71" w14:paraId="242D83A5" w14:textId="19CC1028">
      <w:pPr>
        <w:autoSpaceDE w:val="0"/>
        <w:autoSpaceDN w:val="0"/>
        <w:adjustRightInd w:val="0"/>
        <w:spacing w:after="60" w:line="240" w:lineRule="atLeast"/>
        <w:contextualSpacing/>
        <w:rPr>
          <w:rFonts w:eastAsia="Times New Roman" w:cstheme="minorHAnsi"/>
          <w:i/>
          <w:color w:val="000000"/>
        </w:rPr>
      </w:pPr>
      <w:r w:rsidRPr="001A59B6">
        <w:rPr>
          <w:rFonts w:eastAsia="Times New Roman" w:cstheme="minorHAnsi"/>
          <w:i/>
          <w:color w:val="000000"/>
        </w:rPr>
        <w:t>Sampling</w:t>
      </w:r>
    </w:p>
    <w:p w:rsidR="00C82905" w:rsidP="00A42C71" w:rsidRDefault="00A21103" w14:paraId="55008821" w14:textId="5B81DD65">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Follow-up study will re-interview programs and individuals that completed interviews in the 2019 </w:t>
      </w:r>
      <w:r w:rsidR="00F4564F">
        <w:rPr>
          <w:rFonts w:eastAsia="Times New Roman" w:cstheme="minorHAnsi"/>
          <w:color w:val="000000"/>
        </w:rPr>
        <w:t xml:space="preserve">NSECE </w:t>
      </w:r>
      <w:r>
        <w:rPr>
          <w:rFonts w:eastAsia="Times New Roman" w:cstheme="minorHAnsi"/>
          <w:color w:val="000000"/>
        </w:rPr>
        <w:t xml:space="preserve">study. </w:t>
      </w:r>
      <w:r w:rsidR="009563F3">
        <w:rPr>
          <w:rFonts w:eastAsia="Times New Roman" w:cstheme="minorHAnsi"/>
          <w:color w:val="000000"/>
        </w:rPr>
        <w:t xml:space="preserve">Listed </w:t>
      </w:r>
      <w:r w:rsidR="00C82905">
        <w:rPr>
          <w:rFonts w:eastAsia="Times New Roman" w:cstheme="minorHAnsi"/>
          <w:color w:val="000000"/>
        </w:rPr>
        <w:t>Home-based Provider and Center-based Provider respondents were included in a sample of providers originally drawn in 2018 using a multi-stage sampling design.</w:t>
      </w:r>
      <w:r w:rsidR="009563F3">
        <w:rPr>
          <w:rFonts w:eastAsia="Times New Roman" w:cstheme="minorHAnsi"/>
          <w:color w:val="000000"/>
        </w:rPr>
        <w:t xml:space="preserve"> Unlisted Home-based Providers were identified from a sample of households, also drawn using a multi-stage sampling design. </w:t>
      </w:r>
      <w:r w:rsidR="00C82905">
        <w:rPr>
          <w:rFonts w:eastAsia="Times New Roman" w:cstheme="minorHAnsi"/>
          <w:color w:val="000000"/>
        </w:rPr>
        <w:t xml:space="preserve">Center-based classroom staff were randomly selected from staff members belonging to randomly </w:t>
      </w:r>
      <w:r w:rsidR="00C82905">
        <w:rPr>
          <w:rFonts w:eastAsia="Times New Roman" w:cstheme="minorHAnsi"/>
          <w:color w:val="000000"/>
        </w:rPr>
        <w:lastRenderedPageBreak/>
        <w:t xml:space="preserve">selected classrooms at a Center-based Provider respondent. The survey designs </w:t>
      </w:r>
      <w:r w:rsidR="00F4564F">
        <w:rPr>
          <w:rFonts w:eastAsia="Times New Roman" w:cstheme="minorHAnsi"/>
          <w:color w:val="000000"/>
        </w:rPr>
        <w:t>for the 2019 study are</w:t>
      </w:r>
      <w:r w:rsidR="00C82905">
        <w:rPr>
          <w:rFonts w:eastAsia="Times New Roman" w:cstheme="minorHAnsi"/>
          <w:color w:val="000000"/>
        </w:rPr>
        <w:t xml:space="preserve"> described in the supporting materials for the information collection </w:t>
      </w:r>
      <w:r w:rsidR="00777474">
        <w:rPr>
          <w:rFonts w:eastAsia="Times New Roman" w:cstheme="minorHAnsi"/>
          <w:color w:val="000000"/>
        </w:rPr>
        <w:t xml:space="preserve">under </w:t>
      </w:r>
      <w:r w:rsidR="00C82905">
        <w:rPr>
          <w:rFonts w:eastAsia="Times New Roman" w:cstheme="minorHAnsi"/>
          <w:color w:val="000000"/>
        </w:rPr>
        <w:t xml:space="preserve">OMB </w:t>
      </w:r>
      <w:r w:rsidR="00777474">
        <w:rPr>
          <w:rFonts w:eastAsia="Times New Roman" w:cstheme="minorHAnsi"/>
          <w:color w:val="000000"/>
        </w:rPr>
        <w:t xml:space="preserve"># </w:t>
      </w:r>
      <w:r w:rsidR="00C82905">
        <w:rPr>
          <w:rFonts w:eastAsia="Times New Roman" w:cstheme="minorHAnsi"/>
          <w:color w:val="000000"/>
        </w:rPr>
        <w:t>0970-0391.</w:t>
      </w:r>
    </w:p>
    <w:p w:rsidR="00C82905" w:rsidP="00A42C71" w:rsidRDefault="00C82905" w14:paraId="32BCCDF8" w14:textId="77777777">
      <w:pPr>
        <w:autoSpaceDE w:val="0"/>
        <w:autoSpaceDN w:val="0"/>
        <w:adjustRightInd w:val="0"/>
        <w:spacing w:after="0" w:line="240" w:lineRule="atLeast"/>
        <w:contextualSpacing/>
        <w:rPr>
          <w:rFonts w:eastAsia="Times New Roman" w:cstheme="minorHAnsi"/>
          <w:color w:val="000000"/>
        </w:rPr>
      </w:pPr>
    </w:p>
    <w:p w:rsidR="00A21103" w:rsidP="00A42C71" w:rsidRDefault="00A21103" w14:paraId="0D496D45" w14:textId="44B09ED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number of programs and individuals that the study will attempt to contact are approximately:</w:t>
      </w:r>
    </w:p>
    <w:p w:rsidR="00A21103" w:rsidP="00A21103" w:rsidRDefault="00A21103" w14:paraId="23882C02" w14:textId="20174083">
      <w:pPr>
        <w:pStyle w:val="ListParagraph"/>
        <w:numPr>
          <w:ilvl w:val="0"/>
          <w:numId w:val="29"/>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Home-based Providers: 4,</w:t>
      </w:r>
      <w:r w:rsidR="00777474">
        <w:rPr>
          <w:rFonts w:eastAsia="Times New Roman" w:cstheme="minorHAnsi"/>
          <w:color w:val="000000"/>
        </w:rPr>
        <w:t>6</w:t>
      </w:r>
      <w:r>
        <w:rPr>
          <w:rFonts w:eastAsia="Times New Roman" w:cstheme="minorHAnsi"/>
          <w:color w:val="000000"/>
        </w:rPr>
        <w:t>00</w:t>
      </w:r>
      <w:r w:rsidR="009563F3">
        <w:rPr>
          <w:rFonts w:eastAsia="Times New Roman" w:cstheme="minorHAnsi"/>
          <w:color w:val="000000"/>
        </w:rPr>
        <w:t xml:space="preserve"> (of which 4,</w:t>
      </w:r>
      <w:r w:rsidR="00777474">
        <w:rPr>
          <w:rFonts w:eastAsia="Times New Roman" w:cstheme="minorHAnsi"/>
          <w:color w:val="000000"/>
        </w:rPr>
        <w:t>2</w:t>
      </w:r>
      <w:r w:rsidR="009563F3">
        <w:rPr>
          <w:rFonts w:eastAsia="Times New Roman" w:cstheme="minorHAnsi"/>
          <w:color w:val="000000"/>
        </w:rPr>
        <w:t>00 are Listed, and 400 are paid unlisted Home-based providers)</w:t>
      </w:r>
    </w:p>
    <w:p w:rsidRPr="00A04062" w:rsidR="00A21103" w:rsidP="00A21103" w:rsidRDefault="00A21103" w14:paraId="2AF11D53" w14:textId="3712ACBE">
      <w:pPr>
        <w:pStyle w:val="ListParagraph"/>
        <w:numPr>
          <w:ilvl w:val="0"/>
          <w:numId w:val="29"/>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Center-based Providers: </w:t>
      </w:r>
      <w:r w:rsidRPr="00A04062">
        <w:rPr>
          <w:rFonts w:eastAsia="Times New Roman" w:cstheme="minorHAnsi"/>
          <w:color w:val="000000"/>
        </w:rPr>
        <w:t>6,</w:t>
      </w:r>
      <w:r w:rsidRPr="00A04062" w:rsidR="00777474">
        <w:rPr>
          <w:rFonts w:eastAsia="Times New Roman" w:cstheme="minorHAnsi"/>
          <w:color w:val="000000"/>
        </w:rPr>
        <w:t>1</w:t>
      </w:r>
      <w:r w:rsidRPr="00A04062">
        <w:rPr>
          <w:rFonts w:eastAsia="Times New Roman" w:cstheme="minorHAnsi"/>
          <w:color w:val="000000"/>
        </w:rPr>
        <w:t>00</w:t>
      </w:r>
    </w:p>
    <w:p w:rsidRPr="00A04062" w:rsidR="00A21103" w:rsidP="00A21103" w:rsidRDefault="00A21103" w14:paraId="0CBE1C51" w14:textId="6279D5FB">
      <w:pPr>
        <w:pStyle w:val="ListParagraph"/>
        <w:numPr>
          <w:ilvl w:val="0"/>
          <w:numId w:val="29"/>
        </w:numPr>
        <w:autoSpaceDE w:val="0"/>
        <w:autoSpaceDN w:val="0"/>
        <w:adjustRightInd w:val="0"/>
        <w:spacing w:after="0" w:line="240" w:lineRule="atLeast"/>
        <w:rPr>
          <w:rFonts w:eastAsia="Times New Roman" w:cstheme="minorHAnsi"/>
          <w:color w:val="000000"/>
        </w:rPr>
      </w:pPr>
      <w:r w:rsidRPr="00A04062">
        <w:rPr>
          <w:rFonts w:eastAsia="Times New Roman" w:cstheme="minorHAnsi"/>
          <w:color w:val="000000"/>
        </w:rPr>
        <w:t>Center-based Classroom Staff: 4,</w:t>
      </w:r>
      <w:r w:rsidRPr="00A04062" w:rsidR="00777474">
        <w:rPr>
          <w:rFonts w:eastAsia="Times New Roman" w:cstheme="minorHAnsi"/>
          <w:color w:val="000000"/>
        </w:rPr>
        <w:t>5</w:t>
      </w:r>
      <w:r w:rsidRPr="00A04062">
        <w:rPr>
          <w:rFonts w:eastAsia="Times New Roman" w:cstheme="minorHAnsi"/>
          <w:color w:val="000000"/>
        </w:rPr>
        <w:t>00</w:t>
      </w:r>
    </w:p>
    <w:p w:rsidR="00A42C71" w:rsidP="00A42C71" w:rsidRDefault="00A42C71" w14:paraId="705CF94B" w14:textId="77777777">
      <w:pPr>
        <w:pStyle w:val="ListParagraph"/>
        <w:spacing w:after="0" w:line="240" w:lineRule="auto"/>
        <w:ind w:left="0"/>
        <w:rPr>
          <w:rFonts w:cstheme="minorHAnsi"/>
        </w:rPr>
      </w:pPr>
    </w:p>
    <w:p w:rsidR="0083236A" w:rsidP="00A42C71" w:rsidRDefault="0083236A" w14:paraId="57A4981B" w14:textId="7900F759">
      <w:pPr>
        <w:pStyle w:val="ListParagraph"/>
        <w:spacing w:after="0" w:line="240" w:lineRule="auto"/>
        <w:ind w:left="0"/>
        <w:rPr>
          <w:rFonts w:cstheme="minorHAnsi"/>
        </w:rPr>
      </w:pPr>
      <w:r>
        <w:rPr>
          <w:rFonts w:cstheme="minorHAnsi"/>
        </w:rPr>
        <w:t xml:space="preserve">The 2019 NSECE also collected data from an additional 800 Center-based Providers and 700 Center-based Classroom Staff that will not be re-contacted for the Follow-up study. Institutional approvals are required to interview </w:t>
      </w:r>
      <w:r w:rsidR="003D2061">
        <w:rPr>
          <w:rFonts w:cstheme="minorHAnsi"/>
        </w:rPr>
        <w:t>these providers</w:t>
      </w:r>
      <w:r w:rsidR="008B3FB9">
        <w:rPr>
          <w:rFonts w:cstheme="minorHAnsi"/>
        </w:rPr>
        <w:t>.</w:t>
      </w:r>
      <w:r>
        <w:rPr>
          <w:rFonts w:cstheme="minorHAnsi"/>
        </w:rPr>
        <w:t xml:space="preserve"> </w:t>
      </w:r>
      <w:r w:rsidR="008B3FB9">
        <w:rPr>
          <w:rFonts w:cstheme="minorHAnsi"/>
        </w:rPr>
        <w:t>B</w:t>
      </w:r>
      <w:r w:rsidR="003D2061">
        <w:rPr>
          <w:rFonts w:cstheme="minorHAnsi"/>
        </w:rPr>
        <w:t>ecause the Follow-up study is prioritizing timely data collection and dissemination</w:t>
      </w:r>
      <w:r w:rsidR="008B3FB9">
        <w:rPr>
          <w:rFonts w:cstheme="minorHAnsi"/>
        </w:rPr>
        <w:t xml:space="preserve"> in order to better understand and address the impact of COVID-19 on ECE supply</w:t>
      </w:r>
      <w:r w:rsidR="003D2061">
        <w:rPr>
          <w:rFonts w:cstheme="minorHAnsi"/>
        </w:rPr>
        <w:t xml:space="preserve">, </w:t>
      </w:r>
      <w:r>
        <w:rPr>
          <w:rFonts w:cstheme="minorHAnsi"/>
        </w:rPr>
        <w:t>the abbreviated timeline of the study precludes obtaining these approvals.</w:t>
      </w:r>
      <w:r w:rsidR="003D2061">
        <w:rPr>
          <w:rFonts w:cstheme="minorHAnsi"/>
        </w:rPr>
        <w:t xml:space="preserve"> Administrative data, where available, will be used to supplement primary data collection.</w:t>
      </w:r>
    </w:p>
    <w:p w:rsidRPr="001A59B6" w:rsidR="0083236A" w:rsidP="00A42C71" w:rsidRDefault="0083236A" w14:paraId="606C17EA"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014E58" w:rsidR="00F30475" w:rsidP="00014E58" w:rsidRDefault="00F30475" w14:paraId="2B27F97F" w14:textId="153948AE">
      <w:pPr>
        <w:spacing w:after="0" w:line="240" w:lineRule="auto"/>
      </w:pPr>
      <w:r w:rsidRPr="00014E58">
        <w:t>The vast majority of items proposed for the three questionnaires come from other studies that have successfully fielded the items to understand ECE supply</w:t>
      </w:r>
      <w:r w:rsidR="00576596">
        <w:t xml:space="preserve"> or with comparable populations</w:t>
      </w:r>
      <w:r w:rsidR="00014E58">
        <w:t>, especially including the 2019 and 2012 NSECE instruments themselves</w:t>
      </w:r>
      <w:r w:rsidRPr="00014E58">
        <w:t>.</w:t>
      </w:r>
      <w:r>
        <w:t xml:space="preserve"> In addition, we received feedback on the submitted questionnaires from several individuals who have conducted surveys with ECE provider populations (regarding the appropriateness of questionnaire design for collecting high quality data), as well as from ACF program staff (regarding the relevance of questionnaire design to achieve the agency’s goals).  We also conducted cognitive interviews with </w:t>
      </w:r>
      <w:r w:rsidR="00576596">
        <w:t xml:space="preserve">members of the target population to understand issues such as ability to recall requested information or to populate </w:t>
      </w:r>
      <w:proofErr w:type="spellStart"/>
      <w:r w:rsidR="00576596">
        <w:t>codeframes</w:t>
      </w:r>
      <w:proofErr w:type="spellEnd"/>
      <w:r w:rsidR="00576596">
        <w:t xml:space="preserve"> within the questionnaire.</w:t>
      </w:r>
    </w:p>
    <w:p w:rsidRPr="00014E58" w:rsidR="00F30475" w:rsidP="00014E58" w:rsidRDefault="00F30475" w14:paraId="12B3A553" w14:textId="77777777">
      <w:pPr>
        <w:spacing w:after="0" w:line="240" w:lineRule="auto"/>
      </w:pPr>
    </w:p>
    <w:p w:rsidRPr="001A59B6" w:rsidR="00A42C71" w:rsidP="00F30475" w:rsidRDefault="00576596" w14:paraId="07375F14" w14:textId="088B8763">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design takes a multi-layered approach to identifying and minimizing measurement error, beginning with using well-tested questions with high-quality benchmarking data wherever possible.  This ensure</w:t>
      </w:r>
      <w:r w:rsidR="00AD59B1">
        <w:rPr>
          <w:rFonts w:eastAsia="Times New Roman" w:cstheme="minorHAnsi"/>
          <w:color w:val="000000"/>
        </w:rPr>
        <w:t>s</w:t>
      </w:r>
      <w:r>
        <w:rPr>
          <w:rFonts w:eastAsia="Times New Roman" w:cstheme="minorHAnsi"/>
          <w:color w:val="000000"/>
        </w:rPr>
        <w:t xml:space="preserve"> that questions are well-functioning and that collected data can be compared with other sources, including the 2012 and 2019 NSECE data, as well as the 2020 Household Pulse surveys from the U.S. Census Bureau.  Questionnaire functioning will be monitored during data collection for evidence of respondent </w:t>
      </w:r>
      <w:proofErr w:type="spellStart"/>
      <w:r>
        <w:rPr>
          <w:rFonts w:eastAsia="Times New Roman" w:cstheme="minorHAnsi"/>
          <w:color w:val="000000"/>
        </w:rPr>
        <w:t>mis</w:t>
      </w:r>
      <w:proofErr w:type="spellEnd"/>
      <w:r>
        <w:rPr>
          <w:rFonts w:eastAsia="Times New Roman" w:cstheme="minorHAnsi"/>
          <w:color w:val="000000"/>
        </w:rPr>
        <w:t>-comprehension, such as misplaced decimals, high incidence of break-offs at individual items, or unusual distributions on key variables. We will also monitor data collection for evidence of systematic patterns of non-response, and for internal consistency of responses.</w:t>
      </w:r>
    </w:p>
    <w:p w:rsidRPr="001A59B6" w:rsidR="00A42C71" w:rsidP="00A42C71" w:rsidRDefault="00A42C71" w14:paraId="724733CA"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F46E37" w:rsidP="002D32AE" w:rsidRDefault="00F46E37" w14:paraId="73979733" w14:textId="2394E9A0">
      <w:pPr>
        <w:spacing w:after="160" w:line="240" w:lineRule="auto"/>
      </w:pPr>
      <w:r>
        <w:t>NORC at the University of Chicago, a contractor, will be collecting data from the center-based providers, home-based providers (listed and unlisted paid),and classroom staff who participated in the 2019 NSECE for both waves of the NSECE</w:t>
      </w:r>
      <w:r w:rsidR="006F0503">
        <w:t xml:space="preserve"> 2019 COVID-19 Follow-up Study. Below we describe t</w:t>
      </w:r>
      <w:r>
        <w:t>he proposed</w:t>
      </w:r>
      <w:r w:rsidR="00DF1F9D">
        <w:t xml:space="preserve"> contacting approach</w:t>
      </w:r>
      <w:r>
        <w:t xml:space="preserve"> </w:t>
      </w:r>
      <w:r w:rsidR="006F0503">
        <w:t>which is similar to the one we employed successfully in the 2012 and 20</w:t>
      </w:r>
      <w:r w:rsidR="00DF1F9D">
        <w:t>19</w:t>
      </w:r>
      <w:r w:rsidR="006F0503">
        <w:t xml:space="preserve"> NSECE data collection efforts. </w:t>
      </w:r>
      <w:r>
        <w:t>While we will not be visiting provider locations in person because of the pandemic, we managed to complete a number of cases in 2012 and 2019</w:t>
      </w:r>
      <w:r w:rsidR="00DF1F9D">
        <w:t xml:space="preserve"> </w:t>
      </w:r>
      <w:r>
        <w:t xml:space="preserve">through phone, mail, and email outreach alone. We anticipate that the contact information collected in 2019 and the recognition of the study name will help compensate to some extent for our inability to make in-person visits. </w:t>
      </w:r>
    </w:p>
    <w:p w:rsidR="00F46E37" w:rsidP="002D32AE" w:rsidRDefault="00F46E37" w14:paraId="5ECD25A9" w14:textId="40C852CB">
      <w:pPr>
        <w:spacing w:line="240" w:lineRule="auto"/>
      </w:pPr>
      <w:r>
        <w:lastRenderedPageBreak/>
        <w:t xml:space="preserve">The three study questionnaires will </w:t>
      </w:r>
      <w:r w:rsidR="004D7687">
        <w:t xml:space="preserve">be </w:t>
      </w:r>
      <w:r>
        <w:t>programmed for completion online by the respondent or by phone with an interviewer.</w:t>
      </w:r>
      <w:r w:rsidR="00AD59B1">
        <w:t xml:space="preserve"> </w:t>
      </w:r>
      <w:r w:rsidR="00672A61">
        <w:t xml:space="preserve">The home-based and workforce questionnaires will be available in English or Spanish. </w:t>
      </w:r>
      <w:r>
        <w:t xml:space="preserve">Providers and classroom staff will be contacted first by mail and email (when available). </w:t>
      </w:r>
      <w:r w:rsidR="00655B42">
        <w:t>Because eligibility for the study has already been established</w:t>
      </w:r>
      <w:r w:rsidR="004D7687">
        <w:t xml:space="preserve"> through the 2019 NSECE</w:t>
      </w:r>
      <w:r w:rsidR="00655B42">
        <w:t>, our contact</w:t>
      </w:r>
      <w:r w:rsidR="00672A61">
        <w:t xml:space="preserve"> materials and </w:t>
      </w:r>
      <w:r w:rsidR="009A25B4">
        <w:t>approaches</w:t>
      </w:r>
      <w:r w:rsidR="00655B42">
        <w:t xml:space="preserve"> can focus on motivating </w:t>
      </w:r>
      <w:r w:rsidR="007C6BD0">
        <w:t>the sample to participate from the outset</w:t>
      </w:r>
      <w:r w:rsidR="004D7687">
        <w:t>.</w:t>
      </w:r>
      <w:r w:rsidR="00672A61">
        <w:t xml:space="preserve"> </w:t>
      </w:r>
    </w:p>
    <w:p w:rsidR="00F46E37" w:rsidP="00960FA2" w:rsidRDefault="00F46E37" w14:paraId="58B1ACF8" w14:textId="3EEC44C7">
      <w:pPr>
        <w:spacing w:line="240" w:lineRule="auto"/>
      </w:pPr>
      <w:r>
        <w:t xml:space="preserve">The initial outreach series will consist of three contacts: a survey invitation letter or email, a thank you/reminder postcard sent a week later, and a follow-up letter, mailed two weeks after the postcard. These contacts will invite providers and classroom staff to complete the </w:t>
      </w:r>
      <w:r w:rsidR="00A04062">
        <w:t xml:space="preserve">questionnaire </w:t>
      </w:r>
      <w:r>
        <w:t>online.</w:t>
      </w:r>
      <w:r w:rsidR="00A04062">
        <w:t xml:space="preserve"> </w:t>
      </w:r>
      <w:r>
        <w:t>After the initial contact, field interviewers will follow up with providers and classroom staff by phone. The interviewers will answer questions about the study, encourage people to complete the follow-up survey, and provide any technical assistance that respondents may need to access and complete the online questionnaire. Interviewers will also be able to complete the interview by phone if needed. For providers and classroom staff who do not have a good mailing address, interviewers will make contact by phone first to introduce the follow-up study and attempt to collect new contact information to send study materials.  Additional mailings and emails may be sent during data collection to address common reasons for refusal or other barriers to participation.</w:t>
      </w:r>
    </w:p>
    <w:p w:rsidR="00F46E37" w:rsidP="00960FA2" w:rsidRDefault="00F46E37" w14:paraId="10CA71A4" w14:textId="6CE8A0F5">
      <w:pPr>
        <w:spacing w:line="240" w:lineRule="auto"/>
      </w:pPr>
      <w:r>
        <w:t>A</w:t>
      </w:r>
      <w:r>
        <w:rPr>
          <w:spacing w:val="-1"/>
        </w:rPr>
        <w:t xml:space="preserve"> series</w:t>
      </w:r>
      <w:r>
        <w:t xml:space="preserve"> </w:t>
      </w:r>
      <w:r>
        <w:rPr>
          <w:spacing w:val="-1"/>
        </w:rPr>
        <w:t>of</w:t>
      </w:r>
      <w:r>
        <w:rPr>
          <w:spacing w:val="50"/>
        </w:rPr>
        <w:t xml:space="preserve"> </w:t>
      </w:r>
      <w:r>
        <w:rPr>
          <w:spacing w:val="-1"/>
        </w:rPr>
        <w:t>consistency and</w:t>
      </w:r>
      <w:r>
        <w:t xml:space="preserve"> </w:t>
      </w:r>
      <w:r>
        <w:rPr>
          <w:spacing w:val="-1"/>
        </w:rPr>
        <w:t>range</w:t>
      </w:r>
      <w:r>
        <w:t xml:space="preserve"> </w:t>
      </w:r>
      <w:r>
        <w:rPr>
          <w:spacing w:val="-1"/>
        </w:rPr>
        <w:t>checks will be</w:t>
      </w:r>
      <w:r>
        <w:t xml:space="preserve"> </w:t>
      </w:r>
      <w:r>
        <w:rPr>
          <w:spacing w:val="-1"/>
        </w:rPr>
        <w:t>built</w:t>
      </w:r>
      <w:r>
        <w:t xml:space="preserve"> </w:t>
      </w:r>
      <w:r>
        <w:rPr>
          <w:spacing w:val="-1"/>
        </w:rPr>
        <w:t>into the</w:t>
      </w:r>
      <w:r>
        <w:t xml:space="preserve"> </w:t>
      </w:r>
      <w:r>
        <w:rPr>
          <w:spacing w:val="-1"/>
        </w:rPr>
        <w:t>questionnaires</w:t>
      </w:r>
      <w:r>
        <w:t xml:space="preserve"> to </w:t>
      </w:r>
      <w:r>
        <w:rPr>
          <w:spacing w:val="-1"/>
        </w:rPr>
        <w:t>prevent invalid</w:t>
      </w:r>
      <w:r>
        <w:t xml:space="preserve"> </w:t>
      </w:r>
      <w:r>
        <w:rPr>
          <w:spacing w:val="-1"/>
        </w:rPr>
        <w:t>responses from being</w:t>
      </w:r>
      <w:r>
        <w:t xml:space="preserve"> </w:t>
      </w:r>
      <w:r>
        <w:rPr>
          <w:spacing w:val="-1"/>
        </w:rPr>
        <w:t xml:space="preserve">recorded. </w:t>
      </w:r>
      <w:r>
        <w:t xml:space="preserve"> The data collection team will thoroughly test programmed questionnaires prior to the start of data collection. This testing will include a review of the data to confirm that responses are being recorded as expected. Throughout data collection, we monitor the functioning of the questionnaire to detect potential technical issues and possible </w:t>
      </w:r>
      <w:proofErr w:type="spellStart"/>
      <w:r>
        <w:t>mis</w:t>
      </w:r>
      <w:proofErr w:type="spellEnd"/>
      <w:r>
        <w:t xml:space="preserve">-interpretation of questions by respondents. </w:t>
      </w:r>
      <w:r>
        <w:rPr>
          <w:spacing w:val="-1"/>
        </w:rPr>
        <w:t xml:space="preserve">We will produce regular data quality assurance reports that collate questionnaire data across variables of high analytic value to help identify such issues and allow us to take corrective action. </w:t>
      </w:r>
    </w:p>
    <w:p w:rsidR="00F46E37" w:rsidP="00960FA2" w:rsidRDefault="00F46E37" w14:paraId="417650AF" w14:textId="245E1590">
      <w:pPr>
        <w:spacing w:line="240" w:lineRule="auto"/>
      </w:pPr>
      <w:r>
        <w:t xml:space="preserve">In addition to questionnaire functioning, NORC monitors data collection progress carefully throughout the field period to achieve good response rates and representative data. Daily production reports will show how data collection is progressing across each sample and enable us to identify problem areas and take remedial action quickly when needed. These reports will also allow us to monitor completion rates by sample subgroups in order to protect against bias in the sample. When we detect that a subgroup is completing surveys at lower rates, we will adjust our field procedures </w:t>
      </w:r>
      <w:r w:rsidR="00AD59B1">
        <w:t xml:space="preserve">to </w:t>
      </w:r>
      <w:r>
        <w:t xml:space="preserve">boost completion among that group. </w:t>
      </w:r>
    </w:p>
    <w:p w:rsidR="00F46E37" w:rsidP="00960FA2" w:rsidRDefault="00F46E37" w14:paraId="73021493" w14:textId="5B338B70">
      <w:pPr>
        <w:spacing w:line="240" w:lineRule="auto"/>
        <w:rPr>
          <w:spacing w:val="-1"/>
        </w:rPr>
      </w:pPr>
      <w:r>
        <w:t>To monitor field interviewer performance specifically, the NSECE team will develop a</w:t>
      </w:r>
      <w:r>
        <w:rPr>
          <w:spacing w:val="-1"/>
        </w:rPr>
        <w:t xml:space="preserve"> series of</w:t>
      </w:r>
      <w:r>
        <w:t xml:space="preserve"> </w:t>
      </w:r>
      <w:r>
        <w:rPr>
          <w:spacing w:val="-1"/>
        </w:rPr>
        <w:t>performance</w:t>
      </w:r>
      <w:r>
        <w:rPr>
          <w:spacing w:val="-2"/>
        </w:rPr>
        <w:t xml:space="preserve"> </w:t>
      </w:r>
      <w:r>
        <w:rPr>
          <w:spacing w:val="-1"/>
        </w:rPr>
        <w:t>metrics built</w:t>
      </w:r>
      <w:r>
        <w:t xml:space="preserve"> </w:t>
      </w:r>
      <w:r>
        <w:rPr>
          <w:spacing w:val="-1"/>
        </w:rPr>
        <w:t>from</w:t>
      </w:r>
      <w:r>
        <w:rPr>
          <w:spacing w:val="-2"/>
        </w:rPr>
        <w:t xml:space="preserve"> </w:t>
      </w:r>
      <w:r>
        <w:rPr>
          <w:spacing w:val="-1"/>
        </w:rPr>
        <w:t>multiple data</w:t>
      </w:r>
      <w:r>
        <w:t xml:space="preserve"> </w:t>
      </w:r>
      <w:r>
        <w:rPr>
          <w:spacing w:val="-1"/>
        </w:rPr>
        <w:t>sources (e.g., item non-response rates, questionnaire completion rates, case prompting rates).</w:t>
      </w:r>
      <w:r w:rsidR="00014E58">
        <w:rPr>
          <w:spacing w:val="-1"/>
        </w:rPr>
        <w:t xml:space="preserve"> </w:t>
      </w:r>
      <w:r>
        <w:rPr>
          <w:spacing w:val="-1"/>
        </w:rPr>
        <w:t xml:space="preserve">These metrics, produced weekly, show where interviewers are deviating from the norm on key performance measures, thereby revealing areas where re-training or special coaching may be needed. </w:t>
      </w:r>
    </w:p>
    <w:p w:rsidRPr="001A59B6" w:rsidR="00A42C71" w:rsidP="00A42C71" w:rsidRDefault="00A42C71" w14:paraId="1167930B"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983485" w:rsidP="00A42C71" w:rsidRDefault="007E1CC6" w14:paraId="443B1D41" w14:textId="31DFCC0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are targeting </w:t>
      </w:r>
      <w:r w:rsidR="00983485">
        <w:rPr>
          <w:rFonts w:eastAsia="Times New Roman" w:cstheme="minorHAnsi"/>
          <w:color w:val="000000"/>
        </w:rPr>
        <w:t>COVID follow-up interview completion rates</w:t>
      </w:r>
      <w:r>
        <w:rPr>
          <w:rFonts w:eastAsia="Times New Roman" w:cstheme="minorHAnsi"/>
          <w:color w:val="000000"/>
        </w:rPr>
        <w:t xml:space="preserve"> of 75 percent for each sample type and have presented burden estimates assuming 75 percent of the eligible sample participates in each wave of data collection, with some sample members participating in only wave 1 or only wave 2, but the majority of completed interviews corresponding to sample members completing both waves.  Ensuring </w:t>
      </w:r>
      <w:r>
        <w:rPr>
          <w:rFonts w:eastAsia="Times New Roman" w:cstheme="minorHAnsi"/>
          <w:color w:val="000000"/>
        </w:rPr>
        <w:lastRenderedPageBreak/>
        <w:t xml:space="preserve">that the achieved sample is representative based on 2019 characteristics will be even more important than </w:t>
      </w:r>
      <w:r w:rsidR="00983485">
        <w:rPr>
          <w:rFonts w:eastAsia="Times New Roman" w:cstheme="minorHAnsi"/>
          <w:color w:val="000000"/>
        </w:rPr>
        <w:t>interview completion</w:t>
      </w:r>
      <w:r>
        <w:rPr>
          <w:rFonts w:eastAsia="Times New Roman" w:cstheme="minorHAnsi"/>
          <w:color w:val="000000"/>
        </w:rPr>
        <w:t xml:space="preserve"> rates in ensuring that representative estimates can be generated from collected data.</w:t>
      </w:r>
      <w:r w:rsidR="00983485">
        <w:rPr>
          <w:rFonts w:eastAsia="Times New Roman" w:cstheme="minorHAnsi"/>
          <w:color w:val="000000"/>
        </w:rPr>
        <w:t xml:space="preserve">  Since our goal is to interview sample members par</w:t>
      </w:r>
      <w:r w:rsidR="00AD59B1">
        <w:rPr>
          <w:rFonts w:eastAsia="Times New Roman" w:cstheme="minorHAnsi"/>
          <w:color w:val="000000"/>
        </w:rPr>
        <w:t>t</w:t>
      </w:r>
      <w:r w:rsidR="00983485">
        <w:rPr>
          <w:rFonts w:eastAsia="Times New Roman" w:cstheme="minorHAnsi"/>
          <w:color w:val="000000"/>
        </w:rPr>
        <w:t>icipating in the 2019 NSECE, we do not propose to include as stages of response the participation rates in the 2019 NSECE.</w:t>
      </w:r>
    </w:p>
    <w:p w:rsidR="00983485" w:rsidP="00A42C71" w:rsidRDefault="00983485" w14:paraId="7E3AF358" w14:textId="77777777">
      <w:pPr>
        <w:autoSpaceDE w:val="0"/>
        <w:autoSpaceDN w:val="0"/>
        <w:adjustRightInd w:val="0"/>
        <w:spacing w:after="0" w:line="240" w:lineRule="atLeast"/>
        <w:rPr>
          <w:rFonts w:eastAsia="Times New Roman" w:cstheme="minorHAnsi"/>
          <w:color w:val="000000"/>
        </w:rPr>
      </w:pPr>
    </w:p>
    <w:p w:rsidR="00983485" w:rsidP="00983485" w:rsidRDefault="00983485" w14:paraId="44D12B75" w14:textId="10CB1534">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 xml:space="preserve">Wave I interview completion </w:t>
      </w:r>
      <w:proofErr w:type="gramStart"/>
      <w:r>
        <w:rPr>
          <w:rFonts w:eastAsia="Times New Roman" w:cstheme="minorHAnsi"/>
          <w:color w:val="000000"/>
        </w:rPr>
        <w:t>rate  =</w:t>
      </w:r>
      <w:proofErr w:type="gramEnd"/>
      <w:r>
        <w:rPr>
          <w:rFonts w:eastAsia="Times New Roman" w:cstheme="minorHAnsi"/>
          <w:color w:val="000000"/>
        </w:rPr>
        <w:t xml:space="preserve"> </w:t>
      </w:r>
      <w:r w:rsidRPr="00983485">
        <w:rPr>
          <w:rFonts w:eastAsia="Times New Roman" w:cstheme="minorHAnsi"/>
          <w:color w:val="000000"/>
          <w:u w:val="single"/>
        </w:rPr>
        <w:t># of completed interviews</w:t>
      </w:r>
    </w:p>
    <w:p w:rsidR="00983485" w:rsidP="00983485" w:rsidRDefault="00983485" w14:paraId="20E5F1BB" w14:textId="2D3F11B8">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t>(# of 2019 completed interviews)</w:t>
      </w:r>
    </w:p>
    <w:p w:rsidR="00983485" w:rsidP="00983485" w:rsidRDefault="00983485" w14:paraId="7ABD5952" w14:textId="77777777">
      <w:pPr>
        <w:autoSpaceDE w:val="0"/>
        <w:autoSpaceDN w:val="0"/>
        <w:adjustRightInd w:val="0"/>
        <w:spacing w:after="0" w:line="240" w:lineRule="atLeast"/>
        <w:ind w:firstLine="720"/>
        <w:rPr>
          <w:rFonts w:eastAsia="Times New Roman" w:cstheme="minorHAnsi"/>
          <w:color w:val="000000"/>
        </w:rPr>
      </w:pPr>
    </w:p>
    <w:p w:rsidR="00983485" w:rsidP="00983485" w:rsidRDefault="00983485" w14:paraId="34760ADF" w14:textId="77777777">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 xml:space="preserve">Wave II interview completion rate = </w:t>
      </w:r>
      <w:r w:rsidRPr="00363A5C">
        <w:rPr>
          <w:rFonts w:eastAsia="Times New Roman" w:cstheme="minorHAnsi"/>
          <w:color w:val="000000"/>
          <w:u w:val="single"/>
        </w:rPr>
        <w:t># of completed interviews</w:t>
      </w:r>
    </w:p>
    <w:p w:rsidR="00983485" w:rsidP="00983485" w:rsidRDefault="00983485" w14:paraId="4D18A2BD" w14:textId="601D1235">
      <w:pPr>
        <w:autoSpaceDE w:val="0"/>
        <w:autoSpaceDN w:val="0"/>
        <w:adjustRightInd w:val="0"/>
        <w:spacing w:after="0" w:line="240" w:lineRule="atLeast"/>
        <w:ind w:firstLine="720"/>
        <w:rPr>
          <w:rFonts w:eastAsia="Times New Roman" w:cstheme="minorHAnsi"/>
          <w:color w:val="000000"/>
        </w:rPr>
      </w:pPr>
      <w:r>
        <w:rPr>
          <w:rFonts w:eastAsia="Times New Roman" w:cstheme="minorHAnsi"/>
          <w:color w:val="000000"/>
        </w:rPr>
        <w:tab/>
      </w:r>
      <w:r>
        <w:rPr>
          <w:rFonts w:eastAsia="Times New Roman" w:cstheme="minorHAnsi"/>
          <w:color w:val="000000"/>
        </w:rPr>
        <w:tab/>
        <w:t xml:space="preserve">(# of 2019 completed interviews - # of W1 cases having </w:t>
      </w:r>
      <w:r w:rsidR="00F12E1F">
        <w:rPr>
          <w:rFonts w:eastAsia="Times New Roman" w:cstheme="minorHAnsi"/>
          <w:color w:val="000000"/>
        </w:rPr>
        <w:t xml:space="preserve">permanently </w:t>
      </w:r>
      <w:r>
        <w:rPr>
          <w:rFonts w:eastAsia="Times New Roman" w:cstheme="minorHAnsi"/>
          <w:color w:val="000000"/>
        </w:rPr>
        <w:t xml:space="preserve">exited ECE prior to </w:t>
      </w:r>
      <w:r w:rsidR="00F12E1F">
        <w:rPr>
          <w:rFonts w:eastAsia="Times New Roman" w:cstheme="minorHAnsi"/>
          <w:color w:val="000000"/>
        </w:rPr>
        <w:t>Wave 1 interview</w:t>
      </w:r>
      <w:r>
        <w:rPr>
          <w:rFonts w:eastAsia="Times New Roman" w:cstheme="minorHAnsi"/>
          <w:color w:val="000000"/>
        </w:rPr>
        <w:t>)</w:t>
      </w:r>
    </w:p>
    <w:p w:rsidR="00983485" w:rsidP="00983485" w:rsidRDefault="00983485" w14:paraId="200AC59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983485" w14:paraId="0A239E18" w14:textId="7D3623C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note that we are not proposing to interview center-based providers who required research review as part of the 2019 NSECE fielding. We will seek to collect administrative data on these providers where possible, but exclude them from the center-based completion rate and will treat them separately in analyses.</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00EA7C57" w:rsidP="00A42C71" w:rsidRDefault="00EA7C57" w14:paraId="0BCC166B" w14:textId="6344FD0F">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Because the COVID Follow-up will involve a longitudinal sample, extensive data will be available from the 2019 NSECE to assess and potentially correct for non-response to the COVID Follow-up.  Sampling weights incorporating non-response adjustments will allow estimation of the full population from 2019.  Monitoring during data collection will allow identification of subgroups of interest that may be lagging in cooperation so that remedial actions can be taken to encourage their response. If these are not successful, and if non-response adjustments during data collection are not adequate, then multiple imputation may be undertaken for key variables.  </w:t>
      </w:r>
      <w:r w:rsidR="00576596">
        <w:rPr>
          <w:rFonts w:eastAsia="Times New Roman" w:cstheme="minorHAnsi"/>
          <w:color w:val="000000"/>
        </w:rPr>
        <w:t xml:space="preserve">All eligible individuals will be fielded for both Wave 1 and Wave 2, regardless of participation in Wave 1, allowing some Wave 1 non-respondents to return in Wave 2.  </w:t>
      </w:r>
    </w:p>
    <w:p w:rsidR="00744DD1" w:rsidP="00A42C71" w:rsidRDefault="00744DD1" w14:paraId="631EA530" w14:textId="77777777">
      <w:pPr>
        <w:autoSpaceDE w:val="0"/>
        <w:autoSpaceDN w:val="0"/>
        <w:adjustRightInd w:val="0"/>
        <w:spacing w:after="60" w:line="240" w:lineRule="atLeast"/>
        <w:rPr>
          <w:rFonts w:eastAsia="Times New Roman" w:cstheme="minorHAnsi"/>
          <w:color w:val="000000"/>
        </w:rPr>
      </w:pPr>
    </w:p>
    <w:p w:rsidR="002D32AE" w:rsidP="00A42C71" w:rsidRDefault="002D32AE" w14:paraId="6411C3A3" w14:textId="6B1EBE1B">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We have devised a data collection approach that does not require in-person outreach, given the uncertainty of the current pandemic and associated social distancing requirements.  We are expecting that some center-based providers may be closed due to the pandemic, and therefore it may be more difficult to locate and gain cooperation from respondents representing those centers.  We also anticipate that some workforce members or home-based providers may have discontinued internet or cell-phone service due to financial difficulties, which may diminish our ability to reach them using contact information that was valid in spring of 2019.  In contrast, the strong salience of being able to report the impact of the pandemic on providers’ and workforce members’ personal lives and ability to provide ECE may be a strong motivator that compensates at least somewhat for increased operational challenges in fielding the data collection.</w:t>
      </w:r>
    </w:p>
    <w:p w:rsidR="002D32AE" w:rsidP="00A42C71" w:rsidRDefault="002D32AE" w14:paraId="69F1AB7E" w14:textId="77777777">
      <w:pPr>
        <w:autoSpaceDE w:val="0"/>
        <w:autoSpaceDN w:val="0"/>
        <w:adjustRightInd w:val="0"/>
        <w:spacing w:after="60" w:line="240" w:lineRule="atLeast"/>
        <w:rPr>
          <w:rFonts w:eastAsia="Times New Roman" w:cstheme="minorHAnsi"/>
          <w:color w:val="000000"/>
        </w:rPr>
      </w:pPr>
    </w:p>
    <w:p w:rsidRPr="00014E58" w:rsidR="00983485" w:rsidP="00A42C71" w:rsidRDefault="00983485" w14:paraId="3C68B1D6" w14:textId="32F7C85D">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Questionnaires are designed to minimize item-non response based on design work completed prior to the 2012 NSECE as well as further work for the 2019 NSECE. For example, financial questions often have a follow-up for those who decline, asking them to report ranges rather than exact values. These methods significantly reduced item non-response for selected items in the 2019 NSECE relative to the 2012 NSECE, although overall item non-response in both years was very low.</w:t>
      </w:r>
    </w:p>
    <w:p w:rsidRPr="001A59B6" w:rsidR="00A42C71" w:rsidP="00A42C71" w:rsidRDefault="00A42C71" w14:paraId="531BE280"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6FCD249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777474" w:rsidRDefault="00777474" w14:paraId="37D2A590" w14:textId="69F0499C">
      <w:pPr>
        <w:spacing w:after="0" w:line="240" w:lineRule="auto"/>
        <w:rPr>
          <w:rFonts w:eastAsia="Times New Roman" w:cstheme="minorHAnsi"/>
        </w:rPr>
      </w:pPr>
      <w:r>
        <w:rPr>
          <w:rFonts w:eastAsia="Times New Roman" w:cstheme="minorHAnsi"/>
        </w:rPr>
        <w:t xml:space="preserve">Estimates will be produced for </w:t>
      </w:r>
      <w:r w:rsidRPr="00214F94" w:rsidR="00214F94">
        <w:rPr>
          <w:rFonts w:eastAsia="Times New Roman" w:cstheme="minorHAnsi"/>
        </w:rPr>
        <w:t xml:space="preserve">official external release by </w:t>
      </w:r>
      <w:r>
        <w:rPr>
          <w:rFonts w:eastAsia="Times New Roman" w:cstheme="minorHAnsi"/>
        </w:rPr>
        <w:t xml:space="preserve">OPRE, and are intended to be generalizable to the three groups of ECE providers described in section B1. </w:t>
      </w:r>
      <w:r w:rsidR="00F865D4">
        <w:rPr>
          <w:rFonts w:eastAsia="Times New Roman" w:cstheme="minorHAnsi"/>
        </w:rPr>
        <w:t>Sampling weights for the Follow-up study will be based on the weights developed for the 2019 NSECE</w:t>
      </w:r>
      <w:r w:rsidRPr="002D32AE" w:rsidR="00F865D4">
        <w:rPr>
          <w:rFonts w:eastAsia="Times New Roman" w:cstheme="minorHAnsi"/>
        </w:rPr>
        <w:t xml:space="preserve">, with adjustments made </w:t>
      </w:r>
      <w:r w:rsidR="002D32AE">
        <w:rPr>
          <w:rFonts w:eastAsia="Times New Roman" w:cstheme="minorHAnsi"/>
        </w:rPr>
        <w:t>for non-response</w:t>
      </w:r>
      <w:r w:rsidRPr="002D32AE" w:rsidR="001C4C69">
        <w:rPr>
          <w:rFonts w:eastAsia="Times New Roman" w:cstheme="minorHAnsi"/>
        </w:rPr>
        <w:t xml:space="preserve"> </w:t>
      </w:r>
      <w:r w:rsidRPr="002D32AE" w:rsidR="00E74F4E">
        <w:rPr>
          <w:rFonts w:eastAsia="Times New Roman" w:cstheme="minorHAnsi"/>
        </w:rPr>
        <w:t>in each of the two waves</w:t>
      </w:r>
      <w:r w:rsidRPr="002D32AE" w:rsidR="00F865D4">
        <w:rPr>
          <w:rFonts w:eastAsia="Times New Roman" w:cstheme="minorHAnsi"/>
        </w:rPr>
        <w:t>.</w:t>
      </w:r>
      <w:r w:rsidR="00F865D4">
        <w:rPr>
          <w:rFonts w:eastAsia="Times New Roman" w:cstheme="minorHAnsi"/>
        </w:rPr>
        <w:t xml:space="preserve"> Because the Follow-up study re-interviews respondents from the 2019 NSECE, it will be able to draw on a rich set of provider characteristics collected in the 2019 study</w:t>
      </w:r>
      <w:r w:rsidR="007C79A6">
        <w:rPr>
          <w:rFonts w:eastAsia="Times New Roman" w:cstheme="minorHAnsi"/>
        </w:rPr>
        <w:t xml:space="preserve"> – in addition to design variables such as strata and clusters – </w:t>
      </w:r>
      <w:r w:rsidR="00F865D4">
        <w:rPr>
          <w:rFonts w:eastAsia="Times New Roman" w:cstheme="minorHAnsi"/>
        </w:rPr>
        <w:t xml:space="preserve">to correct for </w:t>
      </w:r>
      <w:r w:rsidR="007C79A6">
        <w:rPr>
          <w:rFonts w:eastAsia="Times New Roman" w:cstheme="minorHAnsi"/>
        </w:rPr>
        <w:t>panel attrition</w:t>
      </w:r>
      <w:r w:rsidR="00F865D4">
        <w:rPr>
          <w:rFonts w:eastAsia="Times New Roman" w:cstheme="minorHAnsi"/>
        </w:rPr>
        <w:t>.</w:t>
      </w:r>
      <w:r w:rsidR="007C79A6">
        <w:rPr>
          <w:rFonts w:eastAsia="Times New Roman" w:cstheme="minorHAnsi"/>
        </w:rPr>
        <w:t xml:space="preserve"> </w:t>
      </w:r>
      <w:r w:rsidR="00E30359">
        <w:rPr>
          <w:rFonts w:eastAsia="Times New Roman" w:cstheme="minorHAnsi"/>
        </w:rPr>
        <w:t xml:space="preserve">These auxiliary variables will be used to form weighting adjustment cells comprising both respondents and non-respondents. The weighting adjustment is then the inverse of the response rate in each cell. </w:t>
      </w:r>
      <w:r w:rsidR="007C79A6">
        <w:rPr>
          <w:rFonts w:eastAsia="Times New Roman" w:cstheme="minorHAnsi"/>
        </w:rPr>
        <w:t>Use of the sampling weights will enable unbiased estimation of the descriptive statistics for each of the three population of providers. Strata and cluster variables will be used in conjunction with the sampling weights to produce design-corrected standard errors.</w:t>
      </w:r>
    </w:p>
    <w:p w:rsidR="00777474" w:rsidRDefault="00777474" w14:paraId="03A7A92B" w14:textId="77777777">
      <w:pPr>
        <w:spacing w:after="0" w:line="240" w:lineRule="auto"/>
        <w:rPr>
          <w:rFonts w:eastAsia="Times New Roman" w:cstheme="minorHAnsi"/>
        </w:rPr>
      </w:pPr>
    </w:p>
    <w:p w:rsidR="007C79A6" w:rsidRDefault="00E30359" w14:paraId="44B0F885" w14:textId="0936915D">
      <w:pPr>
        <w:spacing w:after="0" w:line="240" w:lineRule="auto"/>
        <w:rPr>
          <w:rFonts w:eastAsia="Times New Roman" w:cstheme="minorHAnsi"/>
        </w:rPr>
      </w:pPr>
      <w:r>
        <w:rPr>
          <w:rFonts w:eastAsia="Times New Roman" w:cstheme="minorHAnsi"/>
        </w:rPr>
        <w:t>As with the 2019 NSECE, selected data from the information collection will be made available to the public for secondary analysis. Datasets will include sampling weights as well as strata and cluster variables to allow analysts to produce design-corrected standard errors for their analysis. Study documentation will describe how these variables can be used with commonly available statistical software to produce valid population estimates.</w:t>
      </w: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7E1CC6" w:rsidP="00A42C71" w:rsidRDefault="007E1CC6" w14:paraId="5DFA9D7A" w14:textId="3D4F516A">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Procedures to minimize errors in the data begin with designing a questionnaire which will collect accurate data and which has skip patterns that minimize situations where respondents are unable to navigate appropriately. Questionnaire programming builds on this through techniques such as ranges for numeric items, presenting in words any numbers entered</w:t>
      </w:r>
      <w:proofErr w:type="gramStart"/>
      <w:r>
        <w:rPr>
          <w:rFonts w:eastAsia="Times New Roman" w:cstheme="minorHAnsi"/>
          <w:bCs/>
          <w:color w:val="000000"/>
        </w:rPr>
        <w:t>,  and</w:t>
      </w:r>
      <w:proofErr w:type="gramEnd"/>
      <w:r>
        <w:rPr>
          <w:rFonts w:eastAsia="Times New Roman" w:cstheme="minorHAnsi"/>
          <w:bCs/>
          <w:color w:val="000000"/>
        </w:rPr>
        <w:t xml:space="preserve"> the inability of data entry of invalid codes for fixed-coded items.  Coding of verbatim responses undergoes 100 percent double blind coding with reconciliation, and error rates exceeding 3 percent trigger a second round of more expert coding. Variable creation and analysis also have strict quality assurance </w:t>
      </w:r>
      <w:proofErr w:type="gramStart"/>
      <w:r>
        <w:rPr>
          <w:rFonts w:eastAsia="Times New Roman" w:cstheme="minorHAnsi"/>
          <w:bCs/>
          <w:color w:val="000000"/>
        </w:rPr>
        <w:t>protocols  with</w:t>
      </w:r>
      <w:proofErr w:type="gramEnd"/>
      <w:r>
        <w:rPr>
          <w:rFonts w:eastAsia="Times New Roman" w:cstheme="minorHAnsi"/>
          <w:bCs/>
          <w:color w:val="000000"/>
        </w:rPr>
        <w:t xml:space="preserve"> review at a specifications development stage, review of statistical programming code, and then verification of analytic output (including against comparison data when available).</w:t>
      </w:r>
    </w:p>
    <w:p w:rsidR="007E1CC6" w:rsidP="00A42C71" w:rsidRDefault="007E1CC6" w14:paraId="72784382"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E43C69" w14:paraId="272B92F2" w14:textId="3CDC1C5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NSECE data files are </w:t>
      </w:r>
      <w:r w:rsidR="007E1CC6">
        <w:rPr>
          <w:rFonts w:eastAsia="Times New Roman" w:cstheme="minorHAnsi"/>
          <w:bCs/>
          <w:color w:val="000000"/>
        </w:rPr>
        <w:t xml:space="preserve">developed with a strong commitment to transparency.  Raw data, prior to any edits or imputation are always available to interested data users, potentially through restricted use mechanisms provided by the agency.  </w:t>
      </w:r>
      <w:r>
        <w:rPr>
          <w:rFonts w:eastAsia="Times New Roman" w:cstheme="minorHAnsi"/>
          <w:bCs/>
          <w:color w:val="000000"/>
        </w:rPr>
        <w:t xml:space="preserve"> </w:t>
      </w:r>
      <w:r w:rsidR="007E1CC6">
        <w:rPr>
          <w:rFonts w:eastAsia="Times New Roman" w:cstheme="minorHAnsi"/>
          <w:bCs/>
          <w:color w:val="000000"/>
        </w:rPr>
        <w:t>If editing or imputation are elected for specific variables, the contributions of those edits or imputations are easily visible to data users who might wish to critique or replicate the edits.  We will not impute raw data (such as reports of income) but may impute created variables (such as estimated HH income to poverty ratio) for completeness.</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2F18B6" w:rsidP="00E30359" w:rsidRDefault="00797228" w14:paraId="32DFF9C5" w14:textId="60EC17AA">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An analytic focus of the</w:t>
      </w:r>
      <w:r w:rsidR="00130407">
        <w:rPr>
          <w:rFonts w:eastAsia="Times New Roman" w:cstheme="minorHAnsi"/>
          <w:bCs/>
          <w:color w:val="000000"/>
        </w:rPr>
        <w:t xml:space="preserve"> Follow-up study </w:t>
      </w:r>
      <w:r>
        <w:rPr>
          <w:rFonts w:eastAsia="Times New Roman" w:cstheme="minorHAnsi"/>
          <w:bCs/>
          <w:color w:val="000000"/>
        </w:rPr>
        <w:t xml:space="preserve">is to </w:t>
      </w:r>
      <w:r w:rsidR="00130407">
        <w:rPr>
          <w:rFonts w:eastAsia="Times New Roman" w:cstheme="minorHAnsi"/>
          <w:bCs/>
          <w:color w:val="000000"/>
        </w:rPr>
        <w:t xml:space="preserve">document the impact of COVID-19 on 2019 NSECE </w:t>
      </w:r>
      <w:r w:rsidR="001349D1">
        <w:rPr>
          <w:rFonts w:eastAsia="Times New Roman" w:cstheme="minorHAnsi"/>
          <w:bCs/>
          <w:color w:val="000000"/>
        </w:rPr>
        <w:t xml:space="preserve">providers </w:t>
      </w:r>
      <w:r w:rsidR="00130407">
        <w:rPr>
          <w:rFonts w:eastAsia="Times New Roman" w:cstheme="minorHAnsi"/>
          <w:bCs/>
          <w:color w:val="000000"/>
        </w:rPr>
        <w:t xml:space="preserve">that were still active in February 2020, i.e. prior to the pandemic emergency. </w:t>
      </w:r>
      <w:r w:rsidR="002F18B6">
        <w:rPr>
          <w:rFonts w:eastAsia="Times New Roman" w:cstheme="minorHAnsi"/>
          <w:bCs/>
          <w:color w:val="000000"/>
        </w:rPr>
        <w:t xml:space="preserve">A number of analyses </w:t>
      </w:r>
      <w:r w:rsidR="00947DD7">
        <w:rPr>
          <w:rFonts w:eastAsia="Times New Roman" w:cstheme="minorHAnsi"/>
          <w:bCs/>
          <w:color w:val="000000"/>
        </w:rPr>
        <w:t>will thus compare statistics generated from</w:t>
      </w:r>
      <w:r>
        <w:rPr>
          <w:rFonts w:eastAsia="Times New Roman" w:cstheme="minorHAnsi"/>
          <w:bCs/>
          <w:color w:val="000000"/>
        </w:rPr>
        <w:t xml:space="preserve"> the same survey items across</w:t>
      </w:r>
      <w:r w:rsidR="00947DD7">
        <w:rPr>
          <w:rFonts w:eastAsia="Times New Roman" w:cstheme="minorHAnsi"/>
          <w:bCs/>
          <w:color w:val="000000"/>
        </w:rPr>
        <w:t xml:space="preserve"> three sets of data: the 2019 NSECE, Wave 1 of the Follow-up study, and Wave 2 of the Follow-up study. </w:t>
      </w:r>
      <w:r w:rsidR="00290803">
        <w:rPr>
          <w:rFonts w:eastAsia="Times New Roman" w:cstheme="minorHAnsi"/>
          <w:bCs/>
          <w:color w:val="000000"/>
        </w:rPr>
        <w:t xml:space="preserve">Such items may describe program characteristics, such as </w:t>
      </w:r>
      <w:r w:rsidR="00014E33">
        <w:rPr>
          <w:rFonts w:eastAsia="Times New Roman" w:cstheme="minorHAnsi"/>
          <w:bCs/>
          <w:color w:val="000000"/>
        </w:rPr>
        <w:t xml:space="preserve">whether a program was in operation or </w:t>
      </w:r>
      <w:r w:rsidR="00290803">
        <w:rPr>
          <w:rFonts w:eastAsia="Times New Roman" w:cstheme="minorHAnsi"/>
          <w:bCs/>
          <w:color w:val="000000"/>
        </w:rPr>
        <w:t xml:space="preserve">the number and ages of children served, or provider characteristics, such as providers’ income or insurance coverage. </w:t>
      </w:r>
      <w:r w:rsidR="00130407">
        <w:rPr>
          <w:rFonts w:eastAsia="Times New Roman" w:cstheme="minorHAnsi"/>
          <w:bCs/>
          <w:color w:val="000000"/>
        </w:rPr>
        <w:t xml:space="preserve">In order </w:t>
      </w:r>
      <w:r w:rsidR="00130407">
        <w:rPr>
          <w:rFonts w:eastAsia="Times New Roman" w:cstheme="minorHAnsi"/>
          <w:bCs/>
          <w:color w:val="000000"/>
        </w:rPr>
        <w:lastRenderedPageBreak/>
        <w:t>to validate the use of 2019 NSECE data as a baseline against which data from the Follow-up study can be compared</w:t>
      </w:r>
      <w:r w:rsidR="001349D1">
        <w:rPr>
          <w:rFonts w:eastAsia="Times New Roman" w:cstheme="minorHAnsi"/>
          <w:bCs/>
          <w:color w:val="000000"/>
        </w:rPr>
        <w:t xml:space="preserve">, the study will collect data on whether 2019 respondents were still providing ECE in February 2020, and if so, their total enrollment of children age 5-years and under, not in kindergarten. </w:t>
      </w:r>
      <w:r w:rsidR="00154ABE">
        <w:rPr>
          <w:rFonts w:eastAsia="Times New Roman" w:cstheme="minorHAnsi"/>
          <w:bCs/>
          <w:color w:val="000000"/>
        </w:rPr>
        <w:t xml:space="preserve">If a large </w:t>
      </w:r>
      <w:r w:rsidR="001349D1">
        <w:rPr>
          <w:rFonts w:eastAsia="Times New Roman" w:cstheme="minorHAnsi"/>
          <w:bCs/>
          <w:color w:val="000000"/>
        </w:rPr>
        <w:t xml:space="preserve">proportion of providers from 2019 were still active in February 2020, </w:t>
      </w:r>
      <w:r w:rsidR="00154ABE">
        <w:rPr>
          <w:rFonts w:eastAsia="Times New Roman" w:cstheme="minorHAnsi"/>
          <w:bCs/>
          <w:color w:val="000000"/>
        </w:rPr>
        <w:t>then the 2019 NSECE can be used as a baseline for comparison against estimates from the two Follow-up waves.</w:t>
      </w:r>
    </w:p>
    <w:p w:rsidR="00130407" w:rsidP="00E30359" w:rsidRDefault="00130407" w14:paraId="0B42EADA" w14:textId="77777777">
      <w:pPr>
        <w:autoSpaceDE w:val="0"/>
        <w:autoSpaceDN w:val="0"/>
        <w:adjustRightInd w:val="0"/>
        <w:spacing w:after="0" w:line="240" w:lineRule="atLeast"/>
        <w:rPr>
          <w:rFonts w:eastAsia="Times New Roman" w:cstheme="minorHAnsi"/>
          <w:bCs/>
          <w:color w:val="000000"/>
        </w:rPr>
      </w:pPr>
    </w:p>
    <w:p w:rsidR="00154ABE" w:rsidP="00E30359" w:rsidRDefault="00154ABE" w14:paraId="5C54BA36" w14:textId="03F6FD2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In addition, the Follow-up study will introduce new items to track the financial, administrative, and operational experiences of providers through the course of th</w:t>
      </w:r>
      <w:r w:rsidR="00C06D0C">
        <w:rPr>
          <w:rFonts w:eastAsia="Times New Roman" w:cstheme="minorHAnsi"/>
          <w:bCs/>
          <w:color w:val="000000"/>
        </w:rPr>
        <w:t>e pandemic. Because the main analytic objective is</w:t>
      </w:r>
      <w:r>
        <w:rPr>
          <w:rFonts w:eastAsia="Times New Roman" w:cstheme="minorHAnsi"/>
          <w:bCs/>
          <w:color w:val="000000"/>
        </w:rPr>
        <w:t xml:space="preserve"> descriptive</w:t>
      </w:r>
      <w:r w:rsidR="00C06D0C">
        <w:rPr>
          <w:rFonts w:eastAsia="Times New Roman" w:cstheme="minorHAnsi"/>
          <w:bCs/>
          <w:color w:val="000000"/>
        </w:rPr>
        <w:t xml:space="preserve"> in nature</w:t>
      </w:r>
      <w:r>
        <w:rPr>
          <w:rFonts w:eastAsia="Times New Roman" w:cstheme="minorHAnsi"/>
          <w:bCs/>
          <w:color w:val="000000"/>
        </w:rPr>
        <w:t xml:space="preserve">, </w:t>
      </w:r>
      <w:r w:rsidR="00C06D0C">
        <w:rPr>
          <w:rFonts w:eastAsia="Times New Roman" w:cstheme="minorHAnsi"/>
          <w:bCs/>
          <w:color w:val="000000"/>
        </w:rPr>
        <w:t>statistics will be focused on weighted frequencies, means, and proportions.</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9B5C55" w:rsidP="00A42C71" w:rsidRDefault="00A42C71" w14:paraId="741A8BC6" w14:textId="4244CA4D">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94522F" w:rsidRDefault="00E43C69" w14:paraId="3569E449" w14:textId="741FB22F">
      <w:pPr>
        <w:autoSpaceDE w:val="0"/>
        <w:autoSpaceDN w:val="0"/>
        <w:adjustRightInd w:val="0"/>
        <w:spacing w:after="60" w:line="240" w:lineRule="atLeast"/>
        <w:rPr>
          <w:rFonts w:eastAsia="Times New Roman" w:cstheme="minorHAnsi"/>
        </w:rPr>
      </w:pPr>
      <w:r>
        <w:rPr>
          <w:rFonts w:eastAsia="Times New Roman" w:cstheme="minorHAnsi"/>
        </w:rPr>
        <w:t>The NSECE has established a deep library of tools for data users and others to understand how to properly interpret, analyze and evaluate information from the collection. These include user guides, tutorials on how best to use the data, and analytic products that describe key findings.  All materials will be posted on the Child and Family Data Archive funded by ACF, in conjunction with existing NSECE materials.</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014E58" w:rsidR="00A42C71" w:rsidP="00A42C71" w:rsidRDefault="00EA7C57" w14:paraId="3F327361" w14:textId="5A84CD11">
      <w:pPr>
        <w:pStyle w:val="ListParagraph"/>
        <w:spacing w:after="0" w:line="240" w:lineRule="auto"/>
        <w:ind w:left="0"/>
        <w:rPr>
          <w:rFonts w:cstheme="minorHAnsi"/>
        </w:rPr>
      </w:pPr>
      <w:r w:rsidRPr="00014E58">
        <w:rPr>
          <w:rFonts w:cstheme="minorHAnsi"/>
        </w:rPr>
        <w:t xml:space="preserve">Kirk </w:t>
      </w:r>
      <w:proofErr w:type="spellStart"/>
      <w:r w:rsidRPr="00014E58">
        <w:rPr>
          <w:rFonts w:cstheme="minorHAnsi"/>
        </w:rPr>
        <w:t>Wolter</w:t>
      </w:r>
      <w:proofErr w:type="spellEnd"/>
      <w:r>
        <w:rPr>
          <w:rFonts w:cstheme="minorHAnsi"/>
        </w:rPr>
        <w:t xml:space="preserve">, Principal Statistical Advisor </w:t>
      </w:r>
      <w:hyperlink w:history="1" r:id="rId11">
        <w:r w:rsidRPr="00DF4B42">
          <w:rPr>
            <w:rStyle w:val="Hyperlink"/>
            <w:rFonts w:cstheme="minorHAnsi"/>
          </w:rPr>
          <w:t>wolter-kirk@norc.org</w:t>
        </w:r>
      </w:hyperlink>
      <w:r>
        <w:rPr>
          <w:rFonts w:cstheme="minorHAnsi"/>
        </w:rPr>
        <w:t xml:space="preserve"> can answer questions about statistical aspects of the survey.  A Rupa Datta, </w:t>
      </w:r>
      <w:r w:rsidR="00F12E1F">
        <w:rPr>
          <w:rFonts w:cstheme="minorHAnsi"/>
        </w:rPr>
        <w:t xml:space="preserve">Distinguished </w:t>
      </w:r>
      <w:r>
        <w:rPr>
          <w:rFonts w:cstheme="minorHAnsi"/>
        </w:rPr>
        <w:t xml:space="preserve">Senior Fellow </w:t>
      </w:r>
      <w:hyperlink w:history="1" r:id="rId12">
        <w:r w:rsidRPr="00DF4B42">
          <w:rPr>
            <w:rStyle w:val="Hyperlink"/>
            <w:rFonts w:cstheme="minorHAnsi"/>
          </w:rPr>
          <w:t>datta-rupa@norc.uchicago.edu</w:t>
        </w:r>
      </w:hyperlink>
      <w:r>
        <w:rPr>
          <w:rFonts w:cstheme="minorHAnsi"/>
        </w:rPr>
        <w:t xml:space="preserve"> will supervise the collection, processing and analysis of data for OPRE.  </w:t>
      </w:r>
      <w:proofErr w:type="spellStart"/>
      <w:r>
        <w:rPr>
          <w:rFonts w:cstheme="minorHAnsi"/>
        </w:rPr>
        <w:t>Wolter</w:t>
      </w:r>
      <w:proofErr w:type="spellEnd"/>
      <w:r>
        <w:rPr>
          <w:rFonts w:cstheme="minorHAnsi"/>
        </w:rPr>
        <w:t xml:space="preserve"> and </w:t>
      </w:r>
      <w:proofErr w:type="spellStart"/>
      <w:r>
        <w:rPr>
          <w:rFonts w:cstheme="minorHAnsi"/>
        </w:rPr>
        <w:t>Datta</w:t>
      </w:r>
      <w:proofErr w:type="spellEnd"/>
      <w:r>
        <w:rPr>
          <w:rFonts w:cstheme="minorHAnsi"/>
        </w:rPr>
        <w:t xml:space="preserve"> both work at NORC at the University of Chicago, the contractor for the NSECE COVID-19 Follow-up.</w:t>
      </w:r>
      <w:r w:rsidRPr="00014E58">
        <w:rPr>
          <w:rFonts w:cstheme="minorHAnsi"/>
        </w:rPr>
        <w:t xml:space="preserve"> </w:t>
      </w:r>
    </w:p>
    <w:p w:rsidRPr="001A59B6" w:rsidR="00A42C71" w:rsidP="00A42C71" w:rsidRDefault="00A42C71" w14:paraId="0D8125A9" w14:textId="77777777">
      <w:pPr>
        <w:pStyle w:val="ListParagraph"/>
        <w:spacing w:after="0" w:line="240" w:lineRule="auto"/>
        <w:ind w:left="0"/>
        <w:rPr>
          <w:rFonts w:cstheme="minorHAnsi"/>
          <w:b/>
        </w:rPr>
      </w:pPr>
    </w:p>
    <w:p w:rsidRPr="001A59B6" w:rsidR="00A42C71" w:rsidP="00A42C71" w:rsidRDefault="00A42C71" w14:paraId="2E8E7A92"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00082128" w:rsidP="00082128" w:rsidRDefault="00082128" w14:paraId="4FEEA22C" w14:textId="77777777">
      <w:pPr>
        <w:spacing w:after="0" w:line="240" w:lineRule="auto"/>
      </w:pPr>
      <w:r>
        <w:t xml:space="preserve">Instrument 1: </w:t>
      </w:r>
      <w:r>
        <w:rPr>
          <w:rFonts w:ascii="Calibri" w:hAnsi="Calibri" w:cs="Calibri"/>
          <w:color w:val="000000"/>
        </w:rPr>
        <w:t>NSECE COVID-19 Follow-up Home-based Provider Questionnaire</w:t>
      </w:r>
      <w:r>
        <w:t xml:space="preserve"> Wave 2</w:t>
      </w:r>
    </w:p>
    <w:p w:rsidR="00082128" w:rsidP="00082128" w:rsidRDefault="00082128" w14:paraId="10D05E2F" w14:textId="77777777">
      <w:pPr>
        <w:spacing w:after="0" w:line="240" w:lineRule="auto"/>
      </w:pPr>
      <w:r>
        <w:t xml:space="preserve">Instrument 2: </w:t>
      </w:r>
      <w:r>
        <w:rPr>
          <w:rFonts w:ascii="Calibri" w:hAnsi="Calibri" w:cs="Calibri"/>
          <w:color w:val="000000"/>
        </w:rPr>
        <w:t xml:space="preserve">NSECE COVID-19 Follow-up </w:t>
      </w:r>
      <w:r>
        <w:t>Center-based Provider Questionnaire Wave 2</w:t>
      </w:r>
    </w:p>
    <w:p w:rsidR="00082128" w:rsidP="00082128" w:rsidRDefault="00082128" w14:paraId="24B9EFA4" w14:textId="77777777">
      <w:pPr>
        <w:spacing w:after="0" w:line="240" w:lineRule="auto"/>
      </w:pPr>
      <w:r>
        <w:t xml:space="preserve">Instrument 3: </w:t>
      </w:r>
      <w:r>
        <w:rPr>
          <w:rFonts w:ascii="Calibri" w:hAnsi="Calibri" w:cs="Calibri"/>
          <w:color w:val="000000"/>
        </w:rPr>
        <w:t xml:space="preserve">NSECE COVID-19 Follow-up </w:t>
      </w:r>
      <w:r>
        <w:t>Workforce Questionnaire Wave 2</w:t>
      </w:r>
    </w:p>
    <w:p w:rsidR="00744DD1" w:rsidP="00744DD1" w:rsidRDefault="00744DD1" w14:paraId="20507775" w14:textId="5741D755">
      <w:pPr>
        <w:spacing w:after="0" w:line="240" w:lineRule="auto"/>
      </w:pPr>
      <w:bookmarkStart w:name="_GoBack" w:id="0"/>
      <w:bookmarkEnd w:id="0"/>
      <w:r>
        <w:t>Appendix A: NSECE COVID-19 Follow-up Study Research Questions</w:t>
      </w:r>
    </w:p>
    <w:p w:rsidR="00744DD1" w:rsidP="00744DD1" w:rsidRDefault="00744DD1" w14:paraId="4A039866" w14:textId="5581743D">
      <w:pPr>
        <w:spacing w:after="0" w:line="240" w:lineRule="auto"/>
      </w:pPr>
      <w:r>
        <w:t>Appendix B: Center-based Provider COVID-19 Follow-up Survey Contact Materials</w:t>
      </w:r>
    </w:p>
    <w:p w:rsidR="00744DD1" w:rsidP="00744DD1" w:rsidRDefault="00744DD1" w14:paraId="06FA532E" w14:textId="0B36240F">
      <w:pPr>
        <w:spacing w:after="0" w:line="240" w:lineRule="auto"/>
      </w:pPr>
      <w:r>
        <w:t>Appendix C: Home-based Provider COVID-19 Follow-up Survey Contact Materials</w:t>
      </w:r>
    </w:p>
    <w:p w:rsidR="00744DD1" w:rsidP="00744DD1" w:rsidRDefault="00744DD1" w14:paraId="4C55C22F" w14:textId="371203A1">
      <w:pPr>
        <w:spacing w:after="0" w:line="240" w:lineRule="auto"/>
      </w:pPr>
      <w:r>
        <w:t>Appendix D: Workforce COVID-19 Follow-up Survey Contact Materials</w:t>
      </w:r>
    </w:p>
    <w:p w:rsidRPr="006B53F1" w:rsidR="00083227" w:rsidP="00744DD1" w:rsidRDefault="00083227" w14:paraId="1E574BF6" w14:textId="7305DFB7"/>
    <w:sectPr w:rsidRPr="006B53F1" w:rsidR="00083227"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2EEC0" w14:textId="77777777" w:rsidR="008D2C71" w:rsidRDefault="008D2C71" w:rsidP="0004063C">
      <w:pPr>
        <w:spacing w:after="0" w:line="240" w:lineRule="auto"/>
      </w:pPr>
      <w:r>
        <w:separator/>
      </w:r>
    </w:p>
  </w:endnote>
  <w:endnote w:type="continuationSeparator" w:id="0">
    <w:p w14:paraId="2638D142" w14:textId="77777777" w:rsidR="008D2C71" w:rsidRDefault="008D2C7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741737"/>
      <w:docPartObj>
        <w:docPartGallery w:val="Page Numbers (Bottom of Page)"/>
        <w:docPartUnique/>
      </w:docPartObj>
    </w:sdtPr>
    <w:sdtEndPr>
      <w:rPr>
        <w:noProof/>
      </w:rPr>
    </w:sdtEndPr>
    <w:sdtContent>
      <w:p w14:paraId="03A5A331" w14:textId="33B7EB7E" w:rsidR="00BD702B" w:rsidRDefault="00BD702B">
        <w:pPr>
          <w:pStyle w:val="Footer"/>
          <w:jc w:val="right"/>
        </w:pPr>
        <w:r>
          <w:fldChar w:fldCharType="begin"/>
        </w:r>
        <w:r>
          <w:instrText xml:space="preserve"> PAGE   \* MERGEFORMAT </w:instrText>
        </w:r>
        <w:r>
          <w:fldChar w:fldCharType="separate"/>
        </w:r>
        <w:r w:rsidR="00082128">
          <w:rPr>
            <w:noProof/>
          </w:rPr>
          <w:t>7</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D88F7" w14:textId="77777777" w:rsidR="008D2C71" w:rsidRDefault="008D2C71" w:rsidP="0004063C">
      <w:pPr>
        <w:spacing w:after="0" w:line="240" w:lineRule="auto"/>
      </w:pPr>
      <w:r>
        <w:separator/>
      </w:r>
    </w:p>
  </w:footnote>
  <w:footnote w:type="continuationSeparator" w:id="0">
    <w:p w14:paraId="7370E7EB" w14:textId="77777777" w:rsidR="008D2C71" w:rsidRDefault="008D2C71" w:rsidP="00040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D3DC4"/>
    <w:multiLevelType w:val="hybridMultilevel"/>
    <w:tmpl w:val="AC8AD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02CDB"/>
    <w:multiLevelType w:val="hybridMultilevel"/>
    <w:tmpl w:val="45F8B8F0"/>
    <w:lvl w:ilvl="0" w:tplc="4B240852">
      <w:start w:val="1"/>
      <w:numFmt w:val="decimal"/>
      <w:lvlText w:val="%1."/>
      <w:lvlJc w:val="left"/>
      <w:pPr>
        <w:ind w:left="990" w:hanging="360"/>
      </w:pPr>
      <w:rPr>
        <w:rFonts w:asciiTheme="minorHAnsi" w:eastAsiaTheme="minorHAnsi" w:hAnsiTheme="minorHAnsi" w:cstheme="minorBid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271E55"/>
    <w:multiLevelType w:val="hybridMultilevel"/>
    <w:tmpl w:val="D3589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4"/>
  </w:num>
  <w:num w:numId="5">
    <w:abstractNumId w:val="13"/>
  </w:num>
  <w:num w:numId="6">
    <w:abstractNumId w:val="29"/>
  </w:num>
  <w:num w:numId="7">
    <w:abstractNumId w:val="3"/>
  </w:num>
  <w:num w:numId="8">
    <w:abstractNumId w:val="9"/>
  </w:num>
  <w:num w:numId="9">
    <w:abstractNumId w:val="12"/>
  </w:num>
  <w:num w:numId="10">
    <w:abstractNumId w:val="28"/>
  </w:num>
  <w:num w:numId="11">
    <w:abstractNumId w:val="31"/>
  </w:num>
  <w:num w:numId="12">
    <w:abstractNumId w:val="26"/>
  </w:num>
  <w:num w:numId="13">
    <w:abstractNumId w:val="23"/>
  </w:num>
  <w:num w:numId="14">
    <w:abstractNumId w:val="27"/>
  </w:num>
  <w:num w:numId="15">
    <w:abstractNumId w:val="14"/>
  </w:num>
  <w:num w:numId="16">
    <w:abstractNumId w:val="22"/>
  </w:num>
  <w:num w:numId="17">
    <w:abstractNumId w:val="11"/>
  </w:num>
  <w:num w:numId="18">
    <w:abstractNumId w:val="8"/>
  </w:num>
  <w:num w:numId="19">
    <w:abstractNumId w:val="7"/>
  </w:num>
  <w:num w:numId="20">
    <w:abstractNumId w:val="21"/>
  </w:num>
  <w:num w:numId="21">
    <w:abstractNumId w:val="0"/>
  </w:num>
  <w:num w:numId="22">
    <w:abstractNumId w:val="1"/>
  </w:num>
  <w:num w:numId="23">
    <w:abstractNumId w:val="16"/>
  </w:num>
  <w:num w:numId="24">
    <w:abstractNumId w:val="2"/>
  </w:num>
  <w:num w:numId="25">
    <w:abstractNumId w:val="10"/>
  </w:num>
  <w:num w:numId="26">
    <w:abstractNumId w:val="20"/>
  </w:num>
  <w:num w:numId="27">
    <w:abstractNumId w:val="30"/>
  </w:num>
  <w:num w:numId="28">
    <w:abstractNumId w:val="25"/>
  </w:num>
  <w:num w:numId="29">
    <w:abstractNumId w:val="18"/>
  </w:num>
  <w:num w:numId="30">
    <w:abstractNumId w:val="15"/>
  </w:num>
  <w:num w:numId="31">
    <w:abstractNumId w:val="6"/>
  </w:num>
  <w:num w:numId="3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7887"/>
    <w:rsid w:val="0001255D"/>
    <w:rsid w:val="00014E33"/>
    <w:rsid w:val="00014E58"/>
    <w:rsid w:val="00027E79"/>
    <w:rsid w:val="0004063C"/>
    <w:rsid w:val="0004247F"/>
    <w:rsid w:val="00062AFB"/>
    <w:rsid w:val="000655DD"/>
    <w:rsid w:val="00071F79"/>
    <w:rsid w:val="0007251B"/>
    <w:rsid w:val="000733A5"/>
    <w:rsid w:val="00082128"/>
    <w:rsid w:val="00082C5B"/>
    <w:rsid w:val="00083227"/>
    <w:rsid w:val="00086CBE"/>
    <w:rsid w:val="00090812"/>
    <w:rsid w:val="000921F0"/>
    <w:rsid w:val="00097560"/>
    <w:rsid w:val="000A012A"/>
    <w:rsid w:val="000D3EF4"/>
    <w:rsid w:val="000D4E9A"/>
    <w:rsid w:val="000D7D44"/>
    <w:rsid w:val="000F1E4A"/>
    <w:rsid w:val="00100D34"/>
    <w:rsid w:val="00103EFD"/>
    <w:rsid w:val="00107D87"/>
    <w:rsid w:val="001253F4"/>
    <w:rsid w:val="00130407"/>
    <w:rsid w:val="001349D1"/>
    <w:rsid w:val="00140B1E"/>
    <w:rsid w:val="00154ABE"/>
    <w:rsid w:val="001562D2"/>
    <w:rsid w:val="00157482"/>
    <w:rsid w:val="001707D8"/>
    <w:rsid w:val="00196A24"/>
    <w:rsid w:val="001B0A76"/>
    <w:rsid w:val="001C4C69"/>
    <w:rsid w:val="001F57F5"/>
    <w:rsid w:val="0020401C"/>
    <w:rsid w:val="0020629A"/>
    <w:rsid w:val="00206E11"/>
    <w:rsid w:val="00206FE3"/>
    <w:rsid w:val="00207554"/>
    <w:rsid w:val="00211261"/>
    <w:rsid w:val="00211F42"/>
    <w:rsid w:val="00214F94"/>
    <w:rsid w:val="002517BB"/>
    <w:rsid w:val="00256E24"/>
    <w:rsid w:val="00262753"/>
    <w:rsid w:val="00265491"/>
    <w:rsid w:val="00276CE2"/>
    <w:rsid w:val="00287AF1"/>
    <w:rsid w:val="00290803"/>
    <w:rsid w:val="002A41C6"/>
    <w:rsid w:val="002B785B"/>
    <w:rsid w:val="002D32AE"/>
    <w:rsid w:val="002E6CCF"/>
    <w:rsid w:val="002F18B6"/>
    <w:rsid w:val="002F33D0"/>
    <w:rsid w:val="002F754B"/>
    <w:rsid w:val="00300722"/>
    <w:rsid w:val="0030316D"/>
    <w:rsid w:val="00327277"/>
    <w:rsid w:val="00373D2F"/>
    <w:rsid w:val="00390F85"/>
    <w:rsid w:val="003A7774"/>
    <w:rsid w:val="003B57FC"/>
    <w:rsid w:val="003B6B18"/>
    <w:rsid w:val="003C7358"/>
    <w:rsid w:val="003D2061"/>
    <w:rsid w:val="003E61F6"/>
    <w:rsid w:val="003E7ADE"/>
    <w:rsid w:val="003F277D"/>
    <w:rsid w:val="00407537"/>
    <w:rsid w:val="004165BD"/>
    <w:rsid w:val="0042220D"/>
    <w:rsid w:val="0043377A"/>
    <w:rsid w:val="00437489"/>
    <w:rsid w:val="004379B6"/>
    <w:rsid w:val="0044428E"/>
    <w:rsid w:val="00446465"/>
    <w:rsid w:val="00450584"/>
    <w:rsid w:val="00455AD8"/>
    <w:rsid w:val="00460D54"/>
    <w:rsid w:val="00461D3E"/>
    <w:rsid w:val="004706CC"/>
    <w:rsid w:val="004B75AC"/>
    <w:rsid w:val="004C3644"/>
    <w:rsid w:val="004D12DD"/>
    <w:rsid w:val="004D7687"/>
    <w:rsid w:val="004E5778"/>
    <w:rsid w:val="004E731E"/>
    <w:rsid w:val="004E7ED8"/>
    <w:rsid w:val="0050376D"/>
    <w:rsid w:val="00512C25"/>
    <w:rsid w:val="005302CB"/>
    <w:rsid w:val="00533FDB"/>
    <w:rsid w:val="0055434C"/>
    <w:rsid w:val="00576596"/>
    <w:rsid w:val="00591283"/>
    <w:rsid w:val="005A005F"/>
    <w:rsid w:val="005A135E"/>
    <w:rsid w:val="005A3DDD"/>
    <w:rsid w:val="005A61CE"/>
    <w:rsid w:val="005A7E5A"/>
    <w:rsid w:val="005B1285"/>
    <w:rsid w:val="005B1410"/>
    <w:rsid w:val="005B2465"/>
    <w:rsid w:val="005D4A40"/>
    <w:rsid w:val="005E493B"/>
    <w:rsid w:val="005F10C1"/>
    <w:rsid w:val="005F2951"/>
    <w:rsid w:val="00624DDC"/>
    <w:rsid w:val="006253B6"/>
    <w:rsid w:val="006257ED"/>
    <w:rsid w:val="0062686E"/>
    <w:rsid w:val="00630B30"/>
    <w:rsid w:val="006416D9"/>
    <w:rsid w:val="00651FF6"/>
    <w:rsid w:val="00655B42"/>
    <w:rsid w:val="0066013F"/>
    <w:rsid w:val="00672A61"/>
    <w:rsid w:val="0068303E"/>
    <w:rsid w:val="0068383E"/>
    <w:rsid w:val="00685630"/>
    <w:rsid w:val="006A2261"/>
    <w:rsid w:val="006A4D02"/>
    <w:rsid w:val="006A5846"/>
    <w:rsid w:val="006B1BF9"/>
    <w:rsid w:val="006B31DA"/>
    <w:rsid w:val="006B53F1"/>
    <w:rsid w:val="006B6037"/>
    <w:rsid w:val="006B6E12"/>
    <w:rsid w:val="006C0E56"/>
    <w:rsid w:val="006C766B"/>
    <w:rsid w:val="006E4F82"/>
    <w:rsid w:val="006F0503"/>
    <w:rsid w:val="0071576B"/>
    <w:rsid w:val="00716419"/>
    <w:rsid w:val="00717BDC"/>
    <w:rsid w:val="00723A28"/>
    <w:rsid w:val="00736B62"/>
    <w:rsid w:val="00744DD1"/>
    <w:rsid w:val="00764C85"/>
    <w:rsid w:val="007733D5"/>
    <w:rsid w:val="00777474"/>
    <w:rsid w:val="00786FFB"/>
    <w:rsid w:val="00793E3E"/>
    <w:rsid w:val="00797228"/>
    <w:rsid w:val="007A29C5"/>
    <w:rsid w:val="007B0AC2"/>
    <w:rsid w:val="007C6BD0"/>
    <w:rsid w:val="007C79A6"/>
    <w:rsid w:val="007C7B4B"/>
    <w:rsid w:val="007E1CC6"/>
    <w:rsid w:val="007F6CE0"/>
    <w:rsid w:val="00800B78"/>
    <w:rsid w:val="008130DE"/>
    <w:rsid w:val="00823428"/>
    <w:rsid w:val="0083236A"/>
    <w:rsid w:val="008369BA"/>
    <w:rsid w:val="00836ADB"/>
    <w:rsid w:val="00840D32"/>
    <w:rsid w:val="00843933"/>
    <w:rsid w:val="0084670F"/>
    <w:rsid w:val="00864C1F"/>
    <w:rsid w:val="00870FA1"/>
    <w:rsid w:val="00875220"/>
    <w:rsid w:val="00891CD9"/>
    <w:rsid w:val="008B3FB9"/>
    <w:rsid w:val="008D2C71"/>
    <w:rsid w:val="008D5D26"/>
    <w:rsid w:val="008E0239"/>
    <w:rsid w:val="008E274D"/>
    <w:rsid w:val="008E4718"/>
    <w:rsid w:val="008F2446"/>
    <w:rsid w:val="00901040"/>
    <w:rsid w:val="00923F25"/>
    <w:rsid w:val="0094522F"/>
    <w:rsid w:val="00947DD7"/>
    <w:rsid w:val="009563F3"/>
    <w:rsid w:val="00960FA2"/>
    <w:rsid w:val="00962E73"/>
    <w:rsid w:val="00963503"/>
    <w:rsid w:val="00965DBD"/>
    <w:rsid w:val="00971944"/>
    <w:rsid w:val="009815C6"/>
    <w:rsid w:val="00983485"/>
    <w:rsid w:val="009912A0"/>
    <w:rsid w:val="00995A71"/>
    <w:rsid w:val="00996201"/>
    <w:rsid w:val="009A25B4"/>
    <w:rsid w:val="009A39E1"/>
    <w:rsid w:val="009A3AD8"/>
    <w:rsid w:val="009A6EE8"/>
    <w:rsid w:val="009B0F58"/>
    <w:rsid w:val="009B5C55"/>
    <w:rsid w:val="009C3380"/>
    <w:rsid w:val="009E0A7E"/>
    <w:rsid w:val="009E2935"/>
    <w:rsid w:val="009E7E38"/>
    <w:rsid w:val="009F265B"/>
    <w:rsid w:val="009F3308"/>
    <w:rsid w:val="009F482C"/>
    <w:rsid w:val="009F68DB"/>
    <w:rsid w:val="00A03E3F"/>
    <w:rsid w:val="00A04062"/>
    <w:rsid w:val="00A1108E"/>
    <w:rsid w:val="00A21103"/>
    <w:rsid w:val="00A27CD0"/>
    <w:rsid w:val="00A362B6"/>
    <w:rsid w:val="00A42C71"/>
    <w:rsid w:val="00A47BF0"/>
    <w:rsid w:val="00A67DFF"/>
    <w:rsid w:val="00A71475"/>
    <w:rsid w:val="00A714DC"/>
    <w:rsid w:val="00A7179C"/>
    <w:rsid w:val="00A761CB"/>
    <w:rsid w:val="00A85701"/>
    <w:rsid w:val="00AD3261"/>
    <w:rsid w:val="00AD4355"/>
    <w:rsid w:val="00AD59B1"/>
    <w:rsid w:val="00AE3F5F"/>
    <w:rsid w:val="00B13DC4"/>
    <w:rsid w:val="00B140A2"/>
    <w:rsid w:val="00B17B7C"/>
    <w:rsid w:val="00B23277"/>
    <w:rsid w:val="00B245AD"/>
    <w:rsid w:val="00B4182B"/>
    <w:rsid w:val="00B55E54"/>
    <w:rsid w:val="00B56589"/>
    <w:rsid w:val="00B64D05"/>
    <w:rsid w:val="00B671A4"/>
    <w:rsid w:val="00B70460"/>
    <w:rsid w:val="00B72C64"/>
    <w:rsid w:val="00B83C87"/>
    <w:rsid w:val="00B9441B"/>
    <w:rsid w:val="00B95ADD"/>
    <w:rsid w:val="00BA5034"/>
    <w:rsid w:val="00BB2E67"/>
    <w:rsid w:val="00BB4BF8"/>
    <w:rsid w:val="00BD702B"/>
    <w:rsid w:val="00BD7B78"/>
    <w:rsid w:val="00BE45BC"/>
    <w:rsid w:val="00BE773B"/>
    <w:rsid w:val="00C05352"/>
    <w:rsid w:val="00C06D0C"/>
    <w:rsid w:val="00C32404"/>
    <w:rsid w:val="00C32C8A"/>
    <w:rsid w:val="00C73360"/>
    <w:rsid w:val="00C8176F"/>
    <w:rsid w:val="00C82905"/>
    <w:rsid w:val="00C86CB2"/>
    <w:rsid w:val="00C91C71"/>
    <w:rsid w:val="00C95126"/>
    <w:rsid w:val="00CA72A5"/>
    <w:rsid w:val="00CC07BF"/>
    <w:rsid w:val="00CC4651"/>
    <w:rsid w:val="00CC6120"/>
    <w:rsid w:val="00CE018E"/>
    <w:rsid w:val="00CE1A52"/>
    <w:rsid w:val="00CE7A4A"/>
    <w:rsid w:val="00D03BB9"/>
    <w:rsid w:val="00D04C57"/>
    <w:rsid w:val="00D1343F"/>
    <w:rsid w:val="00D13AA8"/>
    <w:rsid w:val="00D239B5"/>
    <w:rsid w:val="00D32B72"/>
    <w:rsid w:val="00D4033C"/>
    <w:rsid w:val="00D45504"/>
    <w:rsid w:val="00D47638"/>
    <w:rsid w:val="00D5346A"/>
    <w:rsid w:val="00D55767"/>
    <w:rsid w:val="00D56D82"/>
    <w:rsid w:val="00D71BA0"/>
    <w:rsid w:val="00D749DF"/>
    <w:rsid w:val="00D81DE6"/>
    <w:rsid w:val="00D82755"/>
    <w:rsid w:val="00D82E67"/>
    <w:rsid w:val="00D831AC"/>
    <w:rsid w:val="00D87E56"/>
    <w:rsid w:val="00D95E35"/>
    <w:rsid w:val="00D97926"/>
    <w:rsid w:val="00DA3557"/>
    <w:rsid w:val="00DA4701"/>
    <w:rsid w:val="00DC3C3E"/>
    <w:rsid w:val="00DC65F2"/>
    <w:rsid w:val="00DC7876"/>
    <w:rsid w:val="00DC7DD5"/>
    <w:rsid w:val="00DD5C17"/>
    <w:rsid w:val="00DE3ED7"/>
    <w:rsid w:val="00DF1291"/>
    <w:rsid w:val="00DF1F9D"/>
    <w:rsid w:val="00E1392C"/>
    <w:rsid w:val="00E22AC6"/>
    <w:rsid w:val="00E2356C"/>
    <w:rsid w:val="00E24830"/>
    <w:rsid w:val="00E30359"/>
    <w:rsid w:val="00E318A6"/>
    <w:rsid w:val="00E41C62"/>
    <w:rsid w:val="00E41EE9"/>
    <w:rsid w:val="00E43C69"/>
    <w:rsid w:val="00E461D4"/>
    <w:rsid w:val="00E62285"/>
    <w:rsid w:val="00E62819"/>
    <w:rsid w:val="00E70E27"/>
    <w:rsid w:val="00E71E25"/>
    <w:rsid w:val="00E74F4E"/>
    <w:rsid w:val="00E9045F"/>
    <w:rsid w:val="00EA0D4F"/>
    <w:rsid w:val="00EA405B"/>
    <w:rsid w:val="00EA730E"/>
    <w:rsid w:val="00EA7C57"/>
    <w:rsid w:val="00EB4C26"/>
    <w:rsid w:val="00EB6134"/>
    <w:rsid w:val="00EC1A6C"/>
    <w:rsid w:val="00EC4A12"/>
    <w:rsid w:val="00ED7509"/>
    <w:rsid w:val="00EE38AF"/>
    <w:rsid w:val="00EF254B"/>
    <w:rsid w:val="00EF4FF2"/>
    <w:rsid w:val="00F071DE"/>
    <w:rsid w:val="00F12E1F"/>
    <w:rsid w:val="00F30475"/>
    <w:rsid w:val="00F42246"/>
    <w:rsid w:val="00F4564F"/>
    <w:rsid w:val="00F46E37"/>
    <w:rsid w:val="00F479AB"/>
    <w:rsid w:val="00F71C9C"/>
    <w:rsid w:val="00F74630"/>
    <w:rsid w:val="00F865D4"/>
    <w:rsid w:val="00F9122A"/>
    <w:rsid w:val="00FA6D2C"/>
    <w:rsid w:val="00FB5BF6"/>
    <w:rsid w:val="00FC3429"/>
    <w:rsid w:val="00FC779A"/>
    <w:rsid w:val="00FE0013"/>
    <w:rsid w:val="00FF456C"/>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ta-rupa@norc.uchicag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lter-kirk@no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6764F60-74EA-4812-8CA6-C8B60F6D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Ivelisse Martinez-Beck</dc:creator>
  <cp:lastModifiedBy>Jill Connelly</cp:lastModifiedBy>
  <cp:revision>4</cp:revision>
  <dcterms:created xsi:type="dcterms:W3CDTF">2021-03-29T21:06:00Z</dcterms:created>
  <dcterms:modified xsi:type="dcterms:W3CDTF">2021-03-30T17:02:00Z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