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39090C9B" w14:textId="77777777">
      <w:pPr>
        <w:ind w:left="-90"/>
        <w:jc w:val="center"/>
        <w:rPr>
          <w:b/>
          <w:bCs/>
        </w:rPr>
      </w:pPr>
      <w:r w:rsidRPr="00702B07">
        <w:rPr>
          <w:b/>
          <w:bCs/>
        </w:rPr>
        <w:t>SUPPORTING STATEMENT</w:t>
      </w:r>
    </w:p>
    <w:p w:rsidRPr="00702B07" w:rsidR="00BE5210" w:rsidP="00695940" w:rsidRDefault="00BE5210" w14:paraId="2B356D01" w14:textId="77777777">
      <w:pPr>
        <w:ind w:left="-90"/>
        <w:jc w:val="center"/>
        <w:rPr>
          <w:bCs/>
        </w:rPr>
      </w:pPr>
      <w:r w:rsidRPr="00702B07">
        <w:rPr>
          <w:bCs/>
        </w:rPr>
        <w:t>Internal Revenue Service</w:t>
      </w:r>
    </w:p>
    <w:p w:rsidR="00611928" w:rsidP="000004CA" w:rsidRDefault="00611928" w14:paraId="3BA378E9" w14:textId="77777777">
      <w:pPr>
        <w:ind w:left="-90"/>
        <w:jc w:val="center"/>
        <w:rPr>
          <w:bCs/>
        </w:rPr>
      </w:pPr>
      <w:r w:rsidRPr="00611928">
        <w:rPr>
          <w:bCs/>
        </w:rPr>
        <w:t>Employee Representative's Quarterly Railroad Tax Return</w:t>
      </w:r>
    </w:p>
    <w:p w:rsidRPr="00702B07" w:rsidR="00636B94" w:rsidP="000004CA" w:rsidRDefault="00636B94" w14:paraId="0962494E"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611928">
        <w:rPr>
          <w:b/>
          <w:bCs/>
        </w:rPr>
        <w:t>0002</w:t>
      </w:r>
    </w:p>
    <w:p w:rsidRPr="00702B07" w:rsidR="00C573C8" w:rsidP="00BE5210" w:rsidRDefault="00C573C8" w14:paraId="1AA2F3D4" w14:textId="77777777">
      <w:pPr>
        <w:ind w:left="-90"/>
      </w:pPr>
      <w:r w:rsidRPr="00702B07">
        <w:t xml:space="preserve">                           </w:t>
      </w:r>
    </w:p>
    <w:p w:rsidRPr="00702B07" w:rsidR="00C573C8" w:rsidP="00AA539A" w:rsidRDefault="00C573C8" w14:paraId="7870D238"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1B3DB61E" w14:textId="77777777">
      <w:pPr>
        <w:ind w:left="-72" w:right="-72"/>
      </w:pPr>
    </w:p>
    <w:p w:rsidR="00DD554A" w:rsidP="00DD554A" w:rsidRDefault="00DD554A" w14:paraId="29805579" w14:textId="77777777">
      <w:pPr>
        <w:ind w:left="360" w:right="-72"/>
        <w:rPr>
          <w:lang w:val="en"/>
        </w:rPr>
      </w:pPr>
      <w:r w:rsidRPr="00DD554A">
        <w:rPr>
          <w:lang w:val="en"/>
        </w:rPr>
        <w:t>The Railroad Retirement Tax Act imposes taxes on an employee representative, which are based on compensation.</w:t>
      </w:r>
      <w:r>
        <w:rPr>
          <w:lang w:val="en"/>
        </w:rPr>
        <w:t xml:space="preserve">  </w:t>
      </w:r>
      <w:r w:rsidRPr="00DD554A">
        <w:rPr>
          <w:lang w:val="en"/>
        </w:rPr>
        <w:t>These taxes are comprised of Tier 1 and Tier 2 taxes. The amount of compensation subject to each tax is different.</w:t>
      </w:r>
    </w:p>
    <w:p w:rsidRPr="00DD554A" w:rsidR="00DD554A" w:rsidP="00DD554A" w:rsidRDefault="00DD554A" w14:paraId="3B5BBBC1" w14:textId="77777777">
      <w:pPr>
        <w:ind w:left="360" w:right="-72"/>
        <w:rPr>
          <w:lang w:val="en"/>
        </w:rPr>
      </w:pPr>
    </w:p>
    <w:p w:rsidR="00DD554A" w:rsidP="00DD554A" w:rsidRDefault="00DD554A" w14:paraId="493EA8D0" w14:textId="77777777">
      <w:pPr>
        <w:ind w:left="360" w:right="-72"/>
        <w:rPr>
          <w:lang w:val="en"/>
        </w:rPr>
      </w:pPr>
      <w:r w:rsidRPr="00DD554A">
        <w:rPr>
          <w:lang w:val="en"/>
        </w:rPr>
        <w:t>The Tier 1 tax rate is 12.4%. It applies only to the first $137,700 paid to you during 2020 for services performed as an employee representative. The Tier 1 Medicare tax rate is 2.9%. It applies to all compensation paid to you during 2020 for services performed as an employee representative. The Tier 1 Additional Medicare Tax is 0.9%. It applies to compensation paid to you during 2020 that exceeds $200,000 for services performed as an employee representative.</w:t>
      </w:r>
    </w:p>
    <w:p w:rsidRPr="00DD554A" w:rsidR="00DD554A" w:rsidP="00DD554A" w:rsidRDefault="00DD554A" w14:paraId="03DF1B44" w14:textId="77777777">
      <w:pPr>
        <w:ind w:left="360" w:right="-72"/>
        <w:rPr>
          <w:lang w:val="en"/>
        </w:rPr>
      </w:pPr>
    </w:p>
    <w:p w:rsidR="00DD554A" w:rsidP="000D603F" w:rsidRDefault="00DD554A" w14:paraId="2125C22B" w14:textId="77777777">
      <w:pPr>
        <w:ind w:left="360" w:right="-72"/>
        <w:rPr>
          <w:lang w:val="en"/>
        </w:rPr>
      </w:pPr>
      <w:r w:rsidRPr="00DD554A">
        <w:rPr>
          <w:lang w:val="en"/>
        </w:rPr>
        <w:t>The Tier 2 tax rate on employee representatives is 13.1%. It applies only to the first $102,300 paid to you during 2020 for services performed as an employee representative.</w:t>
      </w:r>
    </w:p>
    <w:p w:rsidR="00DD554A" w:rsidP="000D603F" w:rsidRDefault="00DD554A" w14:paraId="4096A385" w14:textId="77777777">
      <w:pPr>
        <w:ind w:left="360" w:right="-72"/>
        <w:rPr>
          <w:lang w:val="en"/>
        </w:rPr>
      </w:pPr>
    </w:p>
    <w:p w:rsidRPr="00DD554A" w:rsidR="00DD554A" w:rsidP="00DD554A" w:rsidRDefault="005922C6" w14:paraId="6E0BEC1F" w14:textId="77777777">
      <w:pPr>
        <w:ind w:left="360" w:right="-72"/>
        <w:rPr>
          <w:lang w:val="en"/>
        </w:rPr>
      </w:pPr>
      <w:r w:rsidRPr="005922C6">
        <w:rPr>
          <w:lang w:val="en"/>
        </w:rPr>
        <w:t>Internal Revenue Code section 3211 imposes three taxes on the compensation received by employee representatives.  Section 31.6011(a)-2 of the Employment Tax Regulations requires the employee representative to fil</w:t>
      </w:r>
      <w:r>
        <w:rPr>
          <w:lang w:val="en"/>
        </w:rPr>
        <w:t>e the return quarterly</w:t>
      </w:r>
      <w:r w:rsidR="002E7C70">
        <w:rPr>
          <w:lang w:val="en"/>
        </w:rPr>
        <w:t>.</w:t>
      </w:r>
      <w:r w:rsidR="00DD554A">
        <w:rPr>
          <w:lang w:val="en"/>
        </w:rPr>
        <w:t xml:space="preserve">  Form CT-2 is used </w:t>
      </w:r>
      <w:r w:rsidRPr="00DD554A" w:rsidR="00DD554A">
        <w:rPr>
          <w:lang w:val="en"/>
        </w:rPr>
        <w:t>to report railroad retirement taxes imposed on compensation received by employee representatives.</w:t>
      </w:r>
    </w:p>
    <w:p w:rsidR="000D603F" w:rsidP="00B46341" w:rsidRDefault="000D603F" w14:paraId="5A6E540D" w14:textId="77777777">
      <w:pPr>
        <w:ind w:right="-72"/>
        <w:rPr>
          <w:lang w:val="en"/>
        </w:rPr>
      </w:pPr>
    </w:p>
    <w:p w:rsidRPr="00702B07" w:rsidR="00C573C8" w:rsidP="00AA539A" w:rsidRDefault="00C573C8" w14:paraId="559B5B0D"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4400E3E1" w14:textId="77777777"/>
    <w:p w:rsidR="00C573C8" w:rsidP="000004CA" w:rsidRDefault="005922C6" w14:paraId="713306A0" w14:textId="77777777">
      <w:pPr>
        <w:ind w:left="360" w:right="-72"/>
      </w:pPr>
      <w:r w:rsidRPr="005922C6">
        <w:t>IRS uses the data to ensure that the correct taxes are paid.  IRS sends the duplicate copy of Form CT-2 to the Railroad Retirement Board for their use in reconciling amounts of earnings credited to earnings records against the amounts of earnings reported as taxable</w:t>
      </w:r>
      <w:r w:rsidRPr="002E7C70" w:rsidR="002E7C70">
        <w:t xml:space="preserve">. </w:t>
      </w:r>
    </w:p>
    <w:p w:rsidRPr="00702B07" w:rsidR="0009423B" w:rsidP="0009423B" w:rsidRDefault="0009423B" w14:paraId="4D922ACD" w14:textId="77777777">
      <w:pPr>
        <w:ind w:left="360" w:right="-72"/>
      </w:pPr>
    </w:p>
    <w:p w:rsidRPr="00702B07" w:rsidR="00C573C8" w:rsidP="00AA539A" w:rsidRDefault="00C573C8" w14:paraId="7B80CBEB"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171BE139" w14:textId="77777777">
      <w:pPr>
        <w:ind w:left="-72" w:right="-72"/>
      </w:pPr>
    </w:p>
    <w:p w:rsidRPr="00CC2F66" w:rsidR="000115AC" w:rsidP="00CC2F66" w:rsidRDefault="00D65AC6" w14:paraId="239BFC15" w14:textId="2051D6A7">
      <w:pPr>
        <w:ind w:left="360" w:right="-72" w:hanging="18"/>
        <w:rPr>
          <w:iCs/>
        </w:rPr>
      </w:pPr>
      <w:r w:rsidRPr="00D65AC6">
        <w:rPr>
          <w:iCs/>
        </w:rPr>
        <w:t>Due to the low number of filers, the IRS has no plans to offer electronic filing for this collection</w:t>
      </w:r>
      <w:r w:rsidRPr="00702B07" w:rsidR="00C573C8">
        <w:t>.</w:t>
      </w:r>
    </w:p>
    <w:p w:rsidRPr="00702B07" w:rsidR="000115AC" w:rsidRDefault="000115AC" w14:paraId="32228A32" w14:textId="77777777">
      <w:pPr>
        <w:ind w:left="-72" w:right="-72"/>
      </w:pPr>
    </w:p>
    <w:p w:rsidRPr="00702B07" w:rsidR="00C573C8" w:rsidP="00AA539A" w:rsidRDefault="00C573C8" w14:paraId="721C6E76" w14:textId="77777777">
      <w:pPr>
        <w:ind w:right="-72"/>
        <w:rPr>
          <w:bCs/>
        </w:rPr>
      </w:pPr>
      <w:r w:rsidRPr="00702B07">
        <w:rPr>
          <w:bCs/>
        </w:rPr>
        <w:t xml:space="preserve">4.   </w:t>
      </w:r>
      <w:r w:rsidRPr="00702B07">
        <w:rPr>
          <w:bCs/>
          <w:u w:val="single"/>
        </w:rPr>
        <w:t>EFFORTS TO IDENTIFY DUPLICATION</w:t>
      </w:r>
    </w:p>
    <w:p w:rsidRPr="00702B07" w:rsidR="00C573C8" w:rsidRDefault="00C573C8" w14:paraId="47C69DF3" w14:textId="77777777">
      <w:pPr>
        <w:ind w:left="-72" w:right="-72"/>
      </w:pPr>
    </w:p>
    <w:p w:rsidR="00C573C8" w:rsidP="0033329E" w:rsidRDefault="00856248" w14:paraId="29A66180" w14:textId="77777777">
      <w:pPr>
        <w:ind w:left="360" w:right="-72"/>
      </w:pPr>
      <w:r>
        <w:rPr>
          <w:iCs/>
        </w:rPr>
        <w:t>The information obtained through this collection is unique and is not already available for use or adaptation from another source</w:t>
      </w:r>
      <w:r w:rsidRPr="00702B07" w:rsidR="00C573C8">
        <w:t xml:space="preserve">.  </w:t>
      </w:r>
    </w:p>
    <w:p w:rsidRPr="00702B07" w:rsidR="00C573C8" w:rsidRDefault="00C573C8" w14:paraId="17C80A6E" w14:textId="77777777">
      <w:pPr>
        <w:ind w:left="-72" w:right="-72"/>
      </w:pPr>
    </w:p>
    <w:p w:rsidRPr="00702B07" w:rsidR="00C573C8" w:rsidP="00AA539A" w:rsidRDefault="00C573C8" w14:paraId="7044E238"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1DA76A65" w14:textId="77777777">
      <w:pPr>
        <w:ind w:left="-72" w:right="-72"/>
      </w:pPr>
    </w:p>
    <w:p w:rsidR="00D05E8B" w:rsidP="0033329E" w:rsidRDefault="00695D49" w14:paraId="3AA95578" w14:textId="77777777">
      <w:pPr>
        <w:ind w:left="360" w:right="-72"/>
      </w:pPr>
      <w:r w:rsidRPr="00695D49">
        <w:t>There are no small entities affected by this collection.</w:t>
      </w:r>
    </w:p>
    <w:p w:rsidR="00695D49" w:rsidP="0033329E" w:rsidRDefault="00695D49" w14:paraId="0D40BFF4" w14:textId="77777777">
      <w:pPr>
        <w:ind w:left="360" w:right="-72"/>
      </w:pPr>
    </w:p>
    <w:p w:rsidRPr="00702B07" w:rsidR="00C573C8" w:rsidP="00AA539A" w:rsidRDefault="00C573C8" w14:paraId="0810A193"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01134525" w14:textId="77777777">
      <w:pPr>
        <w:ind w:left="-72" w:right="-72"/>
      </w:pPr>
    </w:p>
    <w:p w:rsidRPr="00B94324" w:rsidR="003F2C5D" w:rsidP="00B94324" w:rsidRDefault="00B94324" w14:paraId="5B504D85" w14:textId="77777777">
      <w:pPr>
        <w:ind w:left="360" w:right="-72"/>
        <w:rPr>
          <w:lang w:val="en"/>
        </w:rPr>
      </w:pPr>
      <w:r>
        <w:rPr>
          <w:lang w:val="en"/>
        </w:rPr>
        <w:t>T</w:t>
      </w:r>
      <w:r w:rsidRPr="00B94324">
        <w:rPr>
          <w:lang w:val="en"/>
        </w:rPr>
        <w:t xml:space="preserve">his form </w:t>
      </w:r>
      <w:r>
        <w:rPr>
          <w:lang w:val="en"/>
        </w:rPr>
        <w:t xml:space="preserve">is used </w:t>
      </w:r>
      <w:r w:rsidRPr="00B94324">
        <w:rPr>
          <w:lang w:val="en"/>
        </w:rPr>
        <w:t>to report railroad retirement taxes imposed on compensation received by employee representatives</w:t>
      </w:r>
      <w:r w:rsidR="0012653A">
        <w:rPr>
          <w:lang w:val="en"/>
        </w:rPr>
        <w:t xml:space="preserve">.  </w:t>
      </w:r>
      <w:r w:rsidR="00D83591">
        <w:rPr>
          <w:lang w:val="en"/>
        </w:rPr>
        <w:t xml:space="preserve">Less frequent collections of this information could create inconsistencies in reporting and verifying the proper amount of tax due on the compensation received.   </w:t>
      </w:r>
      <w:r w:rsidR="00E44F22">
        <w:rPr>
          <w:lang w:val="en"/>
        </w:rPr>
        <w:t xml:space="preserve"> </w:t>
      </w:r>
    </w:p>
    <w:p w:rsidRPr="00702B07" w:rsidR="00B94324" w:rsidP="00D85B57" w:rsidRDefault="00B94324" w14:paraId="32BAC02F" w14:textId="77777777">
      <w:pPr>
        <w:ind w:left="720" w:right="-72"/>
      </w:pPr>
    </w:p>
    <w:p w:rsidRPr="00702B07" w:rsidR="00C573C8" w:rsidP="00AA539A" w:rsidRDefault="00AA539A" w14:paraId="416B9A59"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580D28EA" w14:textId="77777777">
      <w:pPr>
        <w:ind w:left="-72" w:right="-72" w:firstLine="7920"/>
      </w:pPr>
    </w:p>
    <w:p w:rsidR="00C573C8" w:rsidP="00E47B4F" w:rsidRDefault="00E47B4F" w14:paraId="0BE77805"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49F41795" w14:textId="77777777">
      <w:pPr>
        <w:ind w:left="360" w:right="-72" w:hanging="18"/>
      </w:pPr>
    </w:p>
    <w:p w:rsidRPr="00702B07" w:rsidR="00C573C8" w:rsidP="00AA539A" w:rsidRDefault="00C573C8" w14:paraId="343978B6"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BD89FD5" w14:textId="77777777">
      <w:pPr>
        <w:ind w:left="-72" w:right="-72"/>
      </w:pPr>
    </w:p>
    <w:p w:rsidRPr="00702B07" w:rsidR="00C573C8" w:rsidRDefault="00C573C8" w14:paraId="60786D51" w14:textId="77777777">
      <w:pPr>
        <w:ind w:left="-72" w:right="-72"/>
        <w:sectPr w:rsidRPr="00702B07" w:rsidR="00C573C8" w:rsidSect="006D1A18">
          <w:pgSz w:w="12240" w:h="15840"/>
          <w:pgMar w:top="1368" w:right="1440" w:bottom="1710" w:left="1440" w:header="1368" w:footer="1368" w:gutter="0"/>
          <w:cols w:space="720"/>
          <w:noEndnote/>
        </w:sectPr>
      </w:pPr>
    </w:p>
    <w:p w:rsidR="007811F7" w:rsidP="007811F7" w:rsidRDefault="002E7C70" w14:paraId="0706AC73" w14:textId="77777777">
      <w:pPr>
        <w:ind w:left="450"/>
      </w:pPr>
      <w:r w:rsidRPr="002E7C70">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 there is an opportunity for those attending to make comments regarding Form </w:t>
      </w:r>
      <w:r w:rsidR="002A0C32">
        <w:t>CT-2</w:t>
      </w:r>
      <w:r>
        <w:t>.</w:t>
      </w:r>
    </w:p>
    <w:p w:rsidR="00B73C86" w:rsidP="007811F7" w:rsidRDefault="00B73C86" w14:paraId="26125A19" w14:textId="77777777">
      <w:pPr>
        <w:ind w:left="450"/>
      </w:pPr>
    </w:p>
    <w:p w:rsidR="00145362" w:rsidP="00D33035" w:rsidRDefault="00C573C8" w14:paraId="29172BE7" w14:textId="77777777">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DD554A">
        <w:t>December</w:t>
      </w:r>
      <w:r w:rsidR="003F2C5D">
        <w:t xml:space="preserve"> </w:t>
      </w:r>
      <w:r w:rsidR="00446EC1">
        <w:t>7</w:t>
      </w:r>
      <w:r w:rsidR="003F2C5D">
        <w:t>, 20</w:t>
      </w:r>
      <w:r w:rsidR="00DD554A">
        <w:t>20</w:t>
      </w:r>
      <w:r w:rsidRPr="00702B07" w:rsidR="00A84CA1">
        <w:t xml:space="preserve"> (</w:t>
      </w:r>
      <w:r w:rsidR="00DD554A">
        <w:t>85</w:t>
      </w:r>
      <w:r w:rsidRPr="00702B07" w:rsidR="00A84CA1">
        <w:t xml:space="preserve"> FR </w:t>
      </w:r>
      <w:r w:rsidR="00446EC1">
        <w:t>78936</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Pr="00702B07" w:rsidR="00C573C8" w:rsidP="00D33035" w:rsidRDefault="00C573C8" w14:paraId="78FC06F2" w14:textId="77777777">
      <w:pPr>
        <w:ind w:left="450"/>
      </w:pPr>
      <w:r w:rsidRPr="00702B07">
        <w:t xml:space="preserve">  </w:t>
      </w:r>
    </w:p>
    <w:p w:rsidRPr="00702B07" w:rsidR="00C573C8" w:rsidP="00AA539A" w:rsidRDefault="00C573C8" w14:paraId="77A35D6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51445E57" w14:textId="77777777"/>
    <w:p w:rsidR="00C573C8" w:rsidP="00D33035" w:rsidRDefault="00D85B57" w14:paraId="46E4028D"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3442B7FC" w14:textId="77777777"/>
    <w:p w:rsidRPr="00702B07" w:rsidR="00C573C8" w:rsidRDefault="00C573C8" w14:paraId="7E991370" w14:textId="77777777">
      <w:pPr>
        <w:rPr>
          <w:bCs/>
        </w:rPr>
      </w:pPr>
      <w:r w:rsidRPr="00702B07">
        <w:rPr>
          <w:bCs/>
        </w:rPr>
        <w:t xml:space="preserve">10.  </w:t>
      </w:r>
      <w:r w:rsidRPr="00702B07">
        <w:rPr>
          <w:bCs/>
          <w:u w:val="single"/>
        </w:rPr>
        <w:t>ASSURANCE OF CONFIDENTIALITY OF RESPONSES</w:t>
      </w:r>
    </w:p>
    <w:p w:rsidRPr="00702B07" w:rsidR="00C573C8" w:rsidRDefault="00C573C8" w14:paraId="518BA82C" w14:textId="77777777"/>
    <w:p w:rsidRPr="00702B07" w:rsidR="00C573C8" w:rsidP="00D33035" w:rsidRDefault="00C573C8" w14:paraId="75BF7CD1" w14:textId="77777777">
      <w:pPr>
        <w:ind w:left="450"/>
      </w:pPr>
      <w:r w:rsidRPr="00702B07">
        <w:t>Generally, tax returns and tax return information are confidential as required by 26 USC 6103.</w:t>
      </w:r>
    </w:p>
    <w:p w:rsidRPr="00702B07" w:rsidR="00C573C8" w:rsidRDefault="00C573C8" w14:paraId="4E246027" w14:textId="77777777">
      <w:r w:rsidRPr="00702B07">
        <w:t xml:space="preserve">     </w:t>
      </w:r>
    </w:p>
    <w:p w:rsidRPr="00702B07" w:rsidR="00C573C8" w:rsidRDefault="00C573C8" w14:paraId="64898651"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0AF2BC94" w14:textId="77777777">
      <w:pPr>
        <w:rPr>
          <w:u w:val="single"/>
        </w:rPr>
      </w:pPr>
    </w:p>
    <w:p w:rsidRPr="00B94324" w:rsidR="00C85FC1" w:rsidP="00C85FC1" w:rsidRDefault="00B94324" w14:paraId="1D392381" w14:textId="77777777">
      <w:pPr>
        <w:ind w:left="450"/>
      </w:pPr>
      <w:r w:rsidRPr="00B94324">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B94324">
          <w:rPr>
            <w:rStyle w:val="Hyperlink"/>
          </w:rPr>
          <w:t>http://www.irs.gov/uac/Privacy-Impact-Assessments-PIA</w:t>
        </w:r>
      </w:hyperlink>
      <w:r w:rsidRPr="00B94324">
        <w:t xml:space="preserve">. </w:t>
      </w:r>
      <w:r w:rsidRPr="00B94324" w:rsidR="00C85FC1">
        <w:t xml:space="preserve">  </w:t>
      </w:r>
    </w:p>
    <w:p w:rsidRPr="00C85FC1" w:rsidR="00C85FC1" w:rsidP="00C85FC1" w:rsidRDefault="00C85FC1" w14:paraId="3413C602" w14:textId="77777777">
      <w:pPr>
        <w:ind w:left="450"/>
      </w:pPr>
    </w:p>
    <w:p w:rsidRPr="00C85FC1" w:rsidR="00C85FC1" w:rsidP="00C85FC1" w:rsidRDefault="00C85FC1" w14:paraId="75A012C4"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18FCD374" w14:textId="77777777"/>
    <w:p w:rsidRPr="00702B07" w:rsidR="00C573C8" w:rsidRDefault="00C573C8" w14:paraId="3648D27F" w14:textId="77777777">
      <w:pPr>
        <w:rPr>
          <w:bCs/>
          <w:u w:val="single"/>
        </w:rPr>
      </w:pPr>
      <w:r w:rsidRPr="00702B07">
        <w:rPr>
          <w:bCs/>
        </w:rPr>
        <w:t xml:space="preserve">12.  </w:t>
      </w:r>
      <w:r w:rsidRPr="00702B07">
        <w:rPr>
          <w:bCs/>
          <w:u w:val="single"/>
        </w:rPr>
        <w:t>ESTIMATED BURDEN OF INFORMATION COLLECTION</w:t>
      </w:r>
    </w:p>
    <w:p w:rsidR="00C573C8" w:rsidRDefault="00C573C8" w14:paraId="22C0254F" w14:textId="77777777">
      <w:pPr>
        <w:rPr>
          <w:u w:val="single"/>
        </w:rPr>
      </w:pPr>
    </w:p>
    <w:p w:rsidR="00571458" w:rsidP="00DD554A" w:rsidRDefault="00DD554A" w14:paraId="40641301" w14:textId="77777777">
      <w:pPr>
        <w:ind w:left="450" w:right="-72"/>
      </w:pPr>
      <w:r>
        <w:rPr>
          <w:lang w:val="en"/>
        </w:rPr>
        <w:t xml:space="preserve">Form CT-2 is used </w:t>
      </w:r>
      <w:r w:rsidRPr="00DD554A">
        <w:rPr>
          <w:lang w:val="en"/>
        </w:rPr>
        <w:t>to report railroad retirement taxes imposed on compensation received by employee representatives.</w:t>
      </w:r>
      <w:r>
        <w:rPr>
          <w:lang w:val="en"/>
        </w:rPr>
        <w:t xml:space="preserve">  </w:t>
      </w:r>
      <w:r w:rsidR="00571458">
        <w:t xml:space="preserve">We estimate that the total burden for this requirement is </w:t>
      </w:r>
      <w:r w:rsidR="002A0C32">
        <w:t>132</w:t>
      </w:r>
      <w:r w:rsidR="00571458">
        <w:t xml:space="preserve"> hours, based on </w:t>
      </w:r>
      <w:r w:rsidR="002A0C32">
        <w:t>112</w:t>
      </w:r>
      <w:r w:rsidR="00571458">
        <w:t xml:space="preserve"> respondents and </w:t>
      </w:r>
      <w:r w:rsidR="002A0C32">
        <w:t>1</w:t>
      </w:r>
      <w:r w:rsidR="00571458">
        <w:t>.</w:t>
      </w:r>
      <w:r w:rsidR="002A0C32">
        <w:t>17</w:t>
      </w:r>
      <w:r w:rsidR="00571458">
        <w:t xml:space="preserve"> hour per </w:t>
      </w:r>
      <w:r w:rsidR="00686923">
        <w:t>response</w:t>
      </w:r>
      <w:r w:rsidR="00571458">
        <w:t>.</w:t>
      </w:r>
    </w:p>
    <w:p w:rsidR="00A17EEF" w:rsidP="00571458" w:rsidRDefault="00A17EEF" w14:paraId="5A39D5E5" w14:textId="77777777">
      <w:pPr>
        <w:ind w:left="450"/>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6"/>
        <w:gridCol w:w="1621"/>
        <w:gridCol w:w="1207"/>
        <w:gridCol w:w="1466"/>
        <w:gridCol w:w="1255"/>
        <w:gridCol w:w="1415"/>
      </w:tblGrid>
      <w:tr w:rsidRPr="0075193A" w:rsidR="00D85B57" w:rsidTr="00571458" w14:paraId="6277E61D" w14:textId="77777777">
        <w:tc>
          <w:tcPr>
            <w:tcW w:w="1256"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77CF856F" w14:textId="77777777">
            <w:pPr>
              <w:keepNext/>
              <w:keepLines/>
              <w:numPr>
                <w:ilvl w:val="12"/>
                <w:numId w:val="0"/>
              </w:numPr>
              <w:jc w:val="center"/>
              <w:rPr>
                <w:b/>
              </w:rPr>
            </w:pPr>
            <w:r w:rsidRPr="0075193A">
              <w:rPr>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6F3EEBF5" w14:textId="77777777">
            <w:pPr>
              <w:keepNext/>
              <w:keepLines/>
              <w:numPr>
                <w:ilvl w:val="12"/>
                <w:numId w:val="0"/>
              </w:numPr>
              <w:jc w:val="center"/>
              <w:rPr>
                <w:b/>
              </w:rPr>
            </w:pPr>
            <w:r w:rsidRPr="0075193A">
              <w:rPr>
                <w:b/>
              </w:rPr>
              <w:t>Authority</w:t>
            </w:r>
          </w:p>
        </w:tc>
        <w:tc>
          <w:tcPr>
            <w:tcW w:w="120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5BEF00ED" w14:textId="77777777">
            <w:pPr>
              <w:keepNext/>
              <w:keepLines/>
              <w:numPr>
                <w:ilvl w:val="12"/>
                <w:numId w:val="0"/>
              </w:numPr>
              <w:jc w:val="center"/>
              <w:rPr>
                <w:b/>
              </w:rPr>
            </w:pPr>
            <w:r w:rsidRPr="0075193A">
              <w:rPr>
                <w:b/>
              </w:rPr>
              <w:t>Form</w:t>
            </w:r>
          </w:p>
        </w:tc>
        <w:tc>
          <w:tcPr>
            <w:tcW w:w="1466"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7B0365BA" w14:textId="77777777">
            <w:pPr>
              <w:keepNext/>
              <w:keepLines/>
              <w:numPr>
                <w:ilvl w:val="12"/>
                <w:numId w:val="0"/>
              </w:numPr>
              <w:jc w:val="center"/>
              <w:rPr>
                <w:b/>
              </w:rPr>
            </w:pPr>
            <w:r w:rsidRPr="0075193A">
              <w:rPr>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C628469" w14:textId="77777777">
            <w:pPr>
              <w:keepNext/>
              <w:keepLines/>
              <w:numPr>
                <w:ilvl w:val="12"/>
                <w:numId w:val="0"/>
              </w:numPr>
              <w:jc w:val="center"/>
              <w:rPr>
                <w:b/>
              </w:rPr>
            </w:pPr>
            <w:r w:rsidRPr="0075193A">
              <w:rPr>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7A7E8316" w14:textId="77777777">
            <w:pPr>
              <w:keepNext/>
              <w:keepLines/>
              <w:numPr>
                <w:ilvl w:val="12"/>
                <w:numId w:val="0"/>
              </w:numPr>
              <w:jc w:val="center"/>
              <w:rPr>
                <w:b/>
              </w:rPr>
            </w:pPr>
            <w:r w:rsidRPr="0075193A">
              <w:rPr>
                <w:b/>
              </w:rPr>
              <w:t>Total Burden</w:t>
            </w:r>
          </w:p>
        </w:tc>
      </w:tr>
      <w:tr w:rsidRPr="0075193A" w:rsidR="00D85B57" w:rsidTr="00571458" w14:paraId="70BB6704" w14:textId="77777777">
        <w:tc>
          <w:tcPr>
            <w:tcW w:w="1256" w:type="dxa"/>
            <w:tcBorders>
              <w:top w:val="single" w:color="auto" w:sz="4" w:space="0"/>
              <w:left w:val="single" w:color="auto" w:sz="4" w:space="0"/>
              <w:bottom w:val="single" w:color="auto" w:sz="4" w:space="0"/>
              <w:right w:val="single" w:color="auto" w:sz="4" w:space="0"/>
            </w:tcBorders>
          </w:tcPr>
          <w:p w:rsidRPr="0075193A" w:rsidR="00D85B57" w:rsidP="00D85B57" w:rsidRDefault="00D85B57" w14:paraId="2CC3E1F2" w14:textId="77777777">
            <w:pPr>
              <w:keepNext/>
              <w:keepLines/>
              <w:numPr>
                <w:ilvl w:val="12"/>
                <w:numId w:val="0"/>
              </w:numPr>
              <w:jc w:val="center"/>
            </w:pPr>
          </w:p>
        </w:tc>
        <w:tc>
          <w:tcPr>
            <w:tcW w:w="1621" w:type="dxa"/>
            <w:tcBorders>
              <w:top w:val="single" w:color="auto" w:sz="4" w:space="0"/>
              <w:left w:val="single" w:color="auto" w:sz="4" w:space="0"/>
              <w:bottom w:val="single" w:color="auto" w:sz="4" w:space="0"/>
              <w:right w:val="single" w:color="auto" w:sz="4" w:space="0"/>
            </w:tcBorders>
            <w:vAlign w:val="bottom"/>
          </w:tcPr>
          <w:p w:rsidRPr="0075193A" w:rsidR="00D85B57" w:rsidP="00B03E6E" w:rsidRDefault="00D85B57" w14:paraId="71BFBA9B" w14:textId="77777777">
            <w:pPr>
              <w:keepNext/>
              <w:keepLines/>
              <w:numPr>
                <w:ilvl w:val="12"/>
                <w:numId w:val="0"/>
              </w:numPr>
              <w:jc w:val="center"/>
            </w:pPr>
          </w:p>
        </w:tc>
        <w:tc>
          <w:tcPr>
            <w:tcW w:w="1207"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6366C744" w14:textId="77777777">
            <w:pPr>
              <w:keepNext/>
              <w:keepLines/>
              <w:numPr>
                <w:ilvl w:val="12"/>
                <w:numId w:val="0"/>
              </w:numPr>
              <w:jc w:val="center"/>
            </w:pPr>
          </w:p>
        </w:tc>
        <w:tc>
          <w:tcPr>
            <w:tcW w:w="1466"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78F75863" w14:textId="77777777">
            <w:pPr>
              <w:keepNext/>
              <w:keepLines/>
              <w:numPr>
                <w:ilvl w:val="12"/>
                <w:numId w:val="0"/>
              </w:numPr>
              <w:jc w:val="center"/>
            </w:pPr>
          </w:p>
        </w:tc>
        <w:tc>
          <w:tcPr>
            <w:tcW w:w="125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4406C241" w14:textId="77777777">
            <w:pPr>
              <w:keepNext/>
              <w:keepLines/>
              <w:numPr>
                <w:ilvl w:val="12"/>
                <w:numId w:val="0"/>
              </w:numPr>
              <w:jc w:val="center"/>
            </w:pPr>
          </w:p>
        </w:tc>
        <w:tc>
          <w:tcPr>
            <w:tcW w:w="141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52570DDB" w14:textId="77777777">
            <w:pPr>
              <w:keepNext/>
              <w:keepLines/>
              <w:numPr>
                <w:ilvl w:val="12"/>
                <w:numId w:val="0"/>
              </w:numPr>
              <w:jc w:val="center"/>
            </w:pPr>
          </w:p>
        </w:tc>
      </w:tr>
      <w:tr w:rsidRPr="0075193A" w:rsidR="00007D7B" w:rsidTr="00571458" w14:paraId="701C34E0" w14:textId="77777777">
        <w:tc>
          <w:tcPr>
            <w:tcW w:w="1256" w:type="dxa"/>
            <w:tcBorders>
              <w:top w:val="single" w:color="auto" w:sz="4" w:space="0"/>
              <w:left w:val="single" w:color="auto" w:sz="4" w:space="0"/>
              <w:bottom w:val="single" w:color="auto" w:sz="4" w:space="0"/>
              <w:right w:val="single" w:color="auto" w:sz="4" w:space="0"/>
            </w:tcBorders>
          </w:tcPr>
          <w:p w:rsidRPr="0075193A" w:rsidR="00007D7B" w:rsidP="003B7275" w:rsidRDefault="00007D7B" w14:paraId="606C0A33" w14:textId="77777777">
            <w:pPr>
              <w:keepNext/>
              <w:keepLines/>
              <w:numPr>
                <w:ilvl w:val="12"/>
                <w:numId w:val="0"/>
              </w:numPr>
              <w:jc w:val="center"/>
            </w:pPr>
            <w:r>
              <w:t>1545-</w:t>
            </w:r>
            <w:r w:rsidR="002A0C32">
              <w:t>0002</w:t>
            </w:r>
          </w:p>
        </w:tc>
        <w:tc>
          <w:tcPr>
            <w:tcW w:w="1621" w:type="dxa"/>
            <w:tcBorders>
              <w:top w:val="single" w:color="auto" w:sz="4" w:space="0"/>
              <w:left w:val="single" w:color="auto" w:sz="4" w:space="0"/>
              <w:bottom w:val="single" w:color="auto" w:sz="4" w:space="0"/>
              <w:right w:val="single" w:color="auto" w:sz="4" w:space="0"/>
            </w:tcBorders>
            <w:vAlign w:val="bottom"/>
          </w:tcPr>
          <w:p w:rsidRPr="006D1A18" w:rsidR="00007D7B" w:rsidP="00D85B57" w:rsidRDefault="006D1A18" w14:paraId="2BD02936" w14:textId="77777777">
            <w:pPr>
              <w:keepNext/>
              <w:keepLines/>
              <w:numPr>
                <w:ilvl w:val="12"/>
                <w:numId w:val="0"/>
              </w:numPr>
              <w:jc w:val="center"/>
            </w:pPr>
            <w:r w:rsidRPr="006D1A18">
              <w:t>31.6011</w:t>
            </w:r>
          </w:p>
        </w:tc>
        <w:tc>
          <w:tcPr>
            <w:tcW w:w="1207" w:type="dxa"/>
            <w:tcBorders>
              <w:top w:val="single" w:color="auto" w:sz="4" w:space="0"/>
              <w:left w:val="single" w:color="auto" w:sz="4" w:space="0"/>
              <w:bottom w:val="single" w:color="auto" w:sz="4" w:space="0"/>
              <w:right w:val="single" w:color="auto" w:sz="4" w:space="0"/>
            </w:tcBorders>
            <w:vAlign w:val="bottom"/>
          </w:tcPr>
          <w:p w:rsidR="00007D7B" w:rsidP="003B7275" w:rsidRDefault="002A0C32" w14:paraId="6BC9B88F" w14:textId="77777777">
            <w:pPr>
              <w:keepNext/>
              <w:keepLines/>
              <w:numPr>
                <w:ilvl w:val="12"/>
                <w:numId w:val="0"/>
              </w:numPr>
              <w:jc w:val="center"/>
            </w:pPr>
            <w:r>
              <w:t>CT-2</w:t>
            </w:r>
          </w:p>
        </w:tc>
        <w:tc>
          <w:tcPr>
            <w:tcW w:w="1466" w:type="dxa"/>
            <w:tcBorders>
              <w:top w:val="single" w:color="auto" w:sz="4" w:space="0"/>
              <w:left w:val="single" w:color="auto" w:sz="4" w:space="0"/>
              <w:bottom w:val="single" w:color="auto" w:sz="4" w:space="0"/>
              <w:right w:val="single" w:color="auto" w:sz="4" w:space="0"/>
            </w:tcBorders>
            <w:vAlign w:val="bottom"/>
          </w:tcPr>
          <w:p w:rsidR="00007D7B" w:rsidP="003B7275" w:rsidRDefault="002A0C32" w14:paraId="34BA2BC7" w14:textId="77777777">
            <w:pPr>
              <w:keepNext/>
              <w:keepLines/>
              <w:numPr>
                <w:ilvl w:val="12"/>
                <w:numId w:val="0"/>
              </w:numPr>
              <w:jc w:val="center"/>
            </w:pPr>
            <w:r>
              <w:t>112</w:t>
            </w:r>
          </w:p>
        </w:tc>
        <w:tc>
          <w:tcPr>
            <w:tcW w:w="1255" w:type="dxa"/>
            <w:tcBorders>
              <w:top w:val="single" w:color="auto" w:sz="4" w:space="0"/>
              <w:left w:val="single" w:color="auto" w:sz="4" w:space="0"/>
              <w:bottom w:val="single" w:color="auto" w:sz="4" w:space="0"/>
              <w:right w:val="single" w:color="auto" w:sz="4" w:space="0"/>
            </w:tcBorders>
            <w:vAlign w:val="bottom"/>
          </w:tcPr>
          <w:p w:rsidR="00007D7B" w:rsidP="003B7275" w:rsidRDefault="002A0C32" w14:paraId="652E456F" w14:textId="77777777">
            <w:pPr>
              <w:keepNext/>
              <w:keepLines/>
              <w:numPr>
                <w:ilvl w:val="12"/>
                <w:numId w:val="0"/>
              </w:numPr>
              <w:jc w:val="center"/>
            </w:pPr>
            <w:r>
              <w:t>1.17</w:t>
            </w:r>
          </w:p>
        </w:tc>
        <w:tc>
          <w:tcPr>
            <w:tcW w:w="1415" w:type="dxa"/>
            <w:tcBorders>
              <w:top w:val="single" w:color="auto" w:sz="4" w:space="0"/>
              <w:left w:val="single" w:color="auto" w:sz="4" w:space="0"/>
              <w:bottom w:val="single" w:color="auto" w:sz="4" w:space="0"/>
              <w:right w:val="single" w:color="auto" w:sz="4" w:space="0"/>
            </w:tcBorders>
            <w:vAlign w:val="bottom"/>
          </w:tcPr>
          <w:p w:rsidR="00007D7B" w:rsidP="003B7275" w:rsidRDefault="002A0C32" w14:paraId="3B2AB2DA" w14:textId="77777777">
            <w:pPr>
              <w:keepNext/>
              <w:keepLines/>
              <w:numPr>
                <w:ilvl w:val="12"/>
                <w:numId w:val="0"/>
              </w:numPr>
              <w:jc w:val="center"/>
            </w:pPr>
            <w:r>
              <w:t>132</w:t>
            </w:r>
          </w:p>
        </w:tc>
      </w:tr>
      <w:tr w:rsidRPr="0075193A" w:rsidR="00571458" w:rsidTr="00571458" w14:paraId="130A8026" w14:textId="77777777">
        <w:tc>
          <w:tcPr>
            <w:tcW w:w="1256" w:type="dxa"/>
            <w:tcBorders>
              <w:top w:val="single" w:color="auto" w:sz="4" w:space="0"/>
              <w:left w:val="single" w:color="auto" w:sz="4" w:space="0"/>
              <w:bottom w:val="single" w:color="auto" w:sz="4" w:space="0"/>
              <w:right w:val="single" w:color="auto" w:sz="4" w:space="0"/>
            </w:tcBorders>
          </w:tcPr>
          <w:p w:rsidRPr="0075193A" w:rsidR="00571458" w:rsidP="00571458" w:rsidRDefault="00571458" w14:paraId="052573DC" w14:textId="77777777">
            <w:pPr>
              <w:keepNext/>
              <w:keepLines/>
              <w:numPr>
                <w:ilvl w:val="12"/>
                <w:numId w:val="0"/>
              </w:numPr>
              <w:jc w:val="center"/>
              <w:rPr>
                <w:b/>
              </w:rPr>
            </w:pPr>
          </w:p>
        </w:tc>
        <w:tc>
          <w:tcPr>
            <w:tcW w:w="1621" w:type="dxa"/>
            <w:tcBorders>
              <w:top w:val="single" w:color="auto" w:sz="4" w:space="0"/>
              <w:left w:val="single" w:color="auto" w:sz="4" w:space="0"/>
              <w:bottom w:val="single" w:color="auto" w:sz="4" w:space="0"/>
              <w:right w:val="single" w:color="auto" w:sz="4" w:space="0"/>
            </w:tcBorders>
            <w:vAlign w:val="bottom"/>
          </w:tcPr>
          <w:p w:rsidRPr="0075193A" w:rsidR="00571458" w:rsidP="00571458" w:rsidRDefault="00571458" w14:paraId="08DA636A" w14:textId="77777777">
            <w:pPr>
              <w:keepNext/>
              <w:keepLines/>
              <w:numPr>
                <w:ilvl w:val="12"/>
                <w:numId w:val="0"/>
              </w:numPr>
              <w:jc w:val="center"/>
              <w:rPr>
                <w:b/>
              </w:rPr>
            </w:pPr>
            <w:r w:rsidRPr="0075193A">
              <w:rPr>
                <w:b/>
              </w:rPr>
              <w:t>IRS TOTAL</w:t>
            </w:r>
          </w:p>
        </w:tc>
        <w:tc>
          <w:tcPr>
            <w:tcW w:w="1207" w:type="dxa"/>
            <w:tcBorders>
              <w:top w:val="single" w:color="auto" w:sz="4" w:space="0"/>
              <w:left w:val="single" w:color="auto" w:sz="4" w:space="0"/>
              <w:bottom w:val="single" w:color="auto" w:sz="4" w:space="0"/>
              <w:right w:val="single" w:color="auto" w:sz="4" w:space="0"/>
            </w:tcBorders>
            <w:vAlign w:val="bottom"/>
          </w:tcPr>
          <w:p w:rsidRPr="0075193A" w:rsidR="00571458" w:rsidP="00571458" w:rsidRDefault="00571458" w14:paraId="3D249E98" w14:textId="77777777">
            <w:pPr>
              <w:keepNext/>
              <w:keepLines/>
              <w:numPr>
                <w:ilvl w:val="12"/>
                <w:numId w:val="0"/>
              </w:numPr>
              <w:jc w:val="center"/>
              <w:rPr>
                <w:b/>
              </w:rPr>
            </w:pPr>
          </w:p>
        </w:tc>
        <w:tc>
          <w:tcPr>
            <w:tcW w:w="1466" w:type="dxa"/>
            <w:tcBorders>
              <w:top w:val="single" w:color="auto" w:sz="4" w:space="0"/>
              <w:left w:val="single" w:color="auto" w:sz="4" w:space="0"/>
              <w:bottom w:val="single" w:color="auto" w:sz="4" w:space="0"/>
              <w:right w:val="single" w:color="auto" w:sz="4" w:space="0"/>
            </w:tcBorders>
            <w:vAlign w:val="bottom"/>
          </w:tcPr>
          <w:p w:rsidRPr="0075193A" w:rsidR="00571458" w:rsidP="00571458" w:rsidRDefault="002A0C32" w14:paraId="40E4F2D4" w14:textId="77777777">
            <w:pPr>
              <w:keepNext/>
              <w:keepLines/>
              <w:numPr>
                <w:ilvl w:val="12"/>
                <w:numId w:val="0"/>
              </w:numPr>
              <w:jc w:val="center"/>
              <w:rPr>
                <w:b/>
              </w:rPr>
            </w:pPr>
            <w:r>
              <w:rPr>
                <w:b/>
              </w:rPr>
              <w:t>112</w:t>
            </w:r>
          </w:p>
        </w:tc>
        <w:tc>
          <w:tcPr>
            <w:tcW w:w="1255" w:type="dxa"/>
            <w:tcBorders>
              <w:top w:val="single" w:color="auto" w:sz="4" w:space="0"/>
              <w:left w:val="single" w:color="auto" w:sz="4" w:space="0"/>
              <w:bottom w:val="single" w:color="auto" w:sz="4" w:space="0"/>
              <w:right w:val="single" w:color="auto" w:sz="4" w:space="0"/>
            </w:tcBorders>
            <w:vAlign w:val="bottom"/>
          </w:tcPr>
          <w:p w:rsidRPr="0075193A" w:rsidR="00571458" w:rsidP="00571458" w:rsidRDefault="00571458" w14:paraId="2A447F0A" w14:textId="77777777">
            <w:pPr>
              <w:keepNext/>
              <w:keepLines/>
              <w:numPr>
                <w:ilvl w:val="12"/>
                <w:numId w:val="0"/>
              </w:numPr>
              <w:jc w:val="center"/>
              <w:rPr>
                <w:b/>
              </w:rPr>
            </w:pPr>
          </w:p>
        </w:tc>
        <w:tc>
          <w:tcPr>
            <w:tcW w:w="1415" w:type="dxa"/>
            <w:tcBorders>
              <w:top w:val="single" w:color="auto" w:sz="4" w:space="0"/>
              <w:left w:val="single" w:color="auto" w:sz="4" w:space="0"/>
              <w:bottom w:val="single" w:color="auto" w:sz="4" w:space="0"/>
              <w:right w:val="single" w:color="auto" w:sz="4" w:space="0"/>
            </w:tcBorders>
            <w:vAlign w:val="bottom"/>
          </w:tcPr>
          <w:p w:rsidRPr="0075193A" w:rsidR="00571458" w:rsidP="00571458" w:rsidRDefault="002A0C32" w14:paraId="20CA7C2D" w14:textId="77777777">
            <w:pPr>
              <w:keepNext/>
              <w:keepLines/>
              <w:numPr>
                <w:ilvl w:val="12"/>
                <w:numId w:val="0"/>
              </w:numPr>
              <w:jc w:val="center"/>
              <w:rPr>
                <w:b/>
              </w:rPr>
            </w:pPr>
            <w:r>
              <w:rPr>
                <w:b/>
              </w:rPr>
              <w:t>132</w:t>
            </w:r>
          </w:p>
        </w:tc>
      </w:tr>
    </w:tbl>
    <w:p w:rsidR="00C573C8" w:rsidRDefault="00C573C8" w14:paraId="14E2F551" w14:textId="77777777">
      <w:r w:rsidRPr="00702B07">
        <w:t xml:space="preserve">  </w:t>
      </w:r>
    </w:p>
    <w:p w:rsidR="00DD4327" w:rsidP="00DD4327" w:rsidRDefault="00DD4327" w14:paraId="61E9F127" w14:textId="77777777">
      <w:pPr>
        <w:pStyle w:val="SupportingStatementSTANDARD"/>
        <w:ind w:firstLine="0"/>
      </w:pPr>
      <w:r>
        <w:t>Please continue to assign OMB number 1545-</w:t>
      </w:r>
      <w:r w:rsidR="002A0C32">
        <w:t>0002</w:t>
      </w:r>
      <w:r>
        <w:t xml:space="preserve"> to these regulations.</w:t>
      </w:r>
    </w:p>
    <w:p w:rsidR="00DD4327" w:rsidP="00DD4327" w:rsidRDefault="00DD4327" w14:paraId="66D53F01" w14:textId="77777777">
      <w:pPr>
        <w:pStyle w:val="SupportingStatementSTANDARD"/>
        <w:ind w:firstLine="0"/>
      </w:pPr>
    </w:p>
    <w:p w:rsidRPr="00D83591" w:rsidR="0063596E" w:rsidP="00DF682E" w:rsidRDefault="00D83591" w14:paraId="1DDF0167" w14:textId="77777777">
      <w:pPr>
        <w:ind w:left="720"/>
      </w:pPr>
      <w:r w:rsidRPr="00D83591">
        <w:t>31.6011(a)-2</w:t>
      </w:r>
    </w:p>
    <w:p w:rsidRPr="00702B07" w:rsidR="00DF682E" w:rsidRDefault="00DF682E" w14:paraId="0F457F73" w14:textId="77777777"/>
    <w:p w:rsidRPr="00702B07" w:rsidR="00C573C8" w:rsidRDefault="00C573C8" w14:paraId="783706A3"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72068D54" w14:textId="77777777"/>
    <w:p w:rsidR="00C573C8" w:rsidP="00145362" w:rsidRDefault="00856248" w14:paraId="0068C1EF" w14:textId="77777777">
      <w:pPr>
        <w:tabs>
          <w:tab w:val="left" w:pos="-1440"/>
        </w:tabs>
        <w:ind w:left="450"/>
      </w:pPr>
      <w: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702B07" w:rsidR="00C573C8">
        <w:t>.</w:t>
      </w:r>
    </w:p>
    <w:p w:rsidR="00882F02" w:rsidRDefault="00882F02" w14:paraId="0555C31A" w14:textId="77777777">
      <w:pPr>
        <w:rPr>
          <w:bCs/>
        </w:rPr>
      </w:pPr>
    </w:p>
    <w:p w:rsidRPr="00702B07" w:rsidR="00C573C8" w:rsidRDefault="00C573C8" w14:paraId="30DB8075" w14:textId="16097EE5">
      <w:pPr>
        <w:rPr>
          <w:bCs/>
        </w:rPr>
      </w:pPr>
      <w:r w:rsidRPr="00702B07">
        <w:rPr>
          <w:bCs/>
        </w:rPr>
        <w:t xml:space="preserve">14.  </w:t>
      </w:r>
      <w:r w:rsidRPr="00702B07">
        <w:rPr>
          <w:bCs/>
          <w:u w:val="single"/>
        </w:rPr>
        <w:t>ESTIMATED ANNUALIZED COST TO THE FEDERAL GOVERNMENT</w:t>
      </w:r>
    </w:p>
    <w:p w:rsidRPr="00702B07" w:rsidR="00C573C8" w:rsidRDefault="00C573C8" w14:paraId="6FDBE5B6" w14:textId="77777777"/>
    <w:p w:rsidR="008E333A" w:rsidP="008E333A" w:rsidRDefault="00DD554A" w14:paraId="620875D2" w14:textId="77777777">
      <w:pPr>
        <w:ind w:left="450"/>
      </w:pPr>
      <w:r w:rsidRPr="00DD554A">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cost of printing to be $</w:t>
      </w:r>
      <w:r w:rsidR="00D40827">
        <w:t>42,649</w:t>
      </w:r>
      <w:r w:rsidRPr="00DD554A">
        <w:t xml:space="preserve">.  </w:t>
      </w:r>
    </w:p>
    <w:p w:rsidRPr="00DD554A" w:rsidR="008E333A" w:rsidP="00DD554A" w:rsidRDefault="008E333A" w14:paraId="799CD91F" w14:textId="77777777"/>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DD554A" w:rsidR="00DD554A" w:rsidTr="00117559" w14:paraId="18273DC7"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11426051" w14:textId="77777777">
            <w:pPr>
              <w:rPr>
                <w:b/>
                <w:u w:val="single"/>
              </w:rPr>
            </w:pPr>
            <w:r w:rsidRPr="00DD554A">
              <w:rPr>
                <w:b/>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3A75C630" w14:textId="77777777">
            <w:pPr>
              <w:rPr>
                <w:b/>
                <w:u w:val="single"/>
              </w:rPr>
            </w:pPr>
            <w:r w:rsidRPr="00DD554A">
              <w:rPr>
                <w:b/>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5340F335" w14:textId="77777777">
            <w:pPr>
              <w:rPr>
                <w:b/>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7DBF14F0" w14:textId="77777777">
            <w:pPr>
              <w:rPr>
                <w:b/>
                <w:u w:val="single"/>
              </w:rPr>
            </w:pPr>
            <w:r w:rsidRPr="00DD554A">
              <w:rPr>
                <w:b/>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26932F7A" w14:textId="77777777">
            <w:pPr>
              <w:rPr>
                <w:b/>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7791318F" w14:textId="77777777">
            <w:pPr>
              <w:rPr>
                <w:b/>
                <w:u w:val="single"/>
              </w:rPr>
            </w:pPr>
            <w:r w:rsidRPr="00DD554A">
              <w:rPr>
                <w:b/>
                <w:u w:val="single"/>
              </w:rPr>
              <w:t>Government Cost Estimate per Product</w:t>
            </w:r>
          </w:p>
        </w:tc>
      </w:tr>
      <w:tr w:rsidRPr="00DD554A" w:rsidR="00DD554A" w:rsidTr="00117559" w14:paraId="6D01A4B8"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3479B477" w14:textId="77777777">
            <w:r w:rsidRPr="00DD554A">
              <w:t>CT-</w:t>
            </w:r>
            <w:r>
              <w:t>2</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3C0D0369" w14:textId="77777777">
            <w:r w:rsidRPr="00DD554A">
              <w:t xml:space="preserve">$ </w:t>
            </w:r>
            <w:r w:rsidR="00D40827">
              <w:t>42,649</w:t>
            </w:r>
          </w:p>
        </w:tc>
        <w:tc>
          <w:tcPr>
            <w:tcW w:w="283"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5A48A63D" w14:textId="77777777"/>
        </w:tc>
        <w:tc>
          <w:tcPr>
            <w:tcW w:w="1742" w:type="dxa"/>
            <w:tcBorders>
              <w:top w:val="single" w:color="auto" w:sz="4" w:space="0"/>
              <w:left w:val="single" w:color="auto" w:sz="4" w:space="0"/>
              <w:bottom w:val="single" w:color="auto" w:sz="4" w:space="0"/>
              <w:right w:val="single" w:color="auto" w:sz="4" w:space="0"/>
            </w:tcBorders>
            <w:hideMark/>
          </w:tcPr>
          <w:p w:rsidRPr="00DD554A" w:rsidR="00DD554A" w:rsidP="00DD554A" w:rsidRDefault="00DD554A" w14:paraId="301E5CDC" w14:textId="77777777"/>
          <w:p w:rsidRPr="00DD554A" w:rsidR="00DD554A" w:rsidP="00DD554A" w:rsidRDefault="00DD554A" w14:paraId="17DD3094" w14:textId="77777777">
            <w:r w:rsidRPr="00DD554A">
              <w:t>$ 0</w:t>
            </w:r>
          </w:p>
        </w:tc>
        <w:tc>
          <w:tcPr>
            <w:tcW w:w="347"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1B9D4A47" w14:textId="77777777"/>
        </w:tc>
        <w:tc>
          <w:tcPr>
            <w:tcW w:w="1935" w:type="dxa"/>
            <w:tcBorders>
              <w:top w:val="single" w:color="auto" w:sz="4" w:space="0"/>
              <w:left w:val="single" w:color="auto" w:sz="4" w:space="0"/>
              <w:bottom w:val="single" w:color="auto" w:sz="4" w:space="0"/>
              <w:right w:val="single" w:color="auto" w:sz="4" w:space="0"/>
            </w:tcBorders>
            <w:vAlign w:val="bottom"/>
            <w:hideMark/>
          </w:tcPr>
          <w:p w:rsidRPr="00DD554A" w:rsidR="00DD554A" w:rsidP="00DD554A" w:rsidRDefault="00DD554A" w14:paraId="7C373538" w14:textId="77777777">
            <w:r w:rsidRPr="00DD554A">
              <w:t>$</w:t>
            </w:r>
            <w:r w:rsidR="00D40827">
              <w:t>42,649</w:t>
            </w:r>
          </w:p>
        </w:tc>
      </w:tr>
      <w:tr w:rsidRPr="00DD554A" w:rsidR="00DD554A" w:rsidTr="00117559" w14:paraId="6B002892" w14:textId="77777777">
        <w:tc>
          <w:tcPr>
            <w:tcW w:w="2091" w:type="dxa"/>
            <w:tcBorders>
              <w:top w:val="single" w:color="auto" w:sz="4" w:space="0"/>
              <w:left w:val="single" w:color="auto" w:sz="4" w:space="0"/>
              <w:bottom w:val="single" w:color="auto" w:sz="4" w:space="0"/>
              <w:right w:val="single" w:color="auto" w:sz="4" w:space="0"/>
            </w:tcBorders>
            <w:hideMark/>
          </w:tcPr>
          <w:p w:rsidRPr="00DD554A" w:rsidR="00DD554A" w:rsidP="00DD554A" w:rsidRDefault="00DD554A" w14:paraId="73191EF3" w14:textId="77777777">
            <w:pPr>
              <w:rPr>
                <w:b/>
              </w:rPr>
            </w:pPr>
          </w:p>
          <w:p w:rsidRPr="00DD554A" w:rsidR="00DD554A" w:rsidP="00DD554A" w:rsidRDefault="00DD554A" w14:paraId="25C55713" w14:textId="77777777">
            <w:pPr>
              <w:rPr>
                <w:b/>
              </w:rPr>
            </w:pPr>
            <w:r w:rsidRPr="00DD554A">
              <w:rPr>
                <w:b/>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DD554A" w:rsidR="00DD554A" w:rsidP="00DD554A" w:rsidRDefault="00DD554A" w14:paraId="1EAA450D" w14:textId="77777777">
            <w:pPr>
              <w:rPr>
                <w:b/>
              </w:rPr>
            </w:pPr>
          </w:p>
          <w:p w:rsidRPr="00DD554A" w:rsidR="00DD554A" w:rsidP="00DD554A" w:rsidRDefault="00DD554A" w14:paraId="0527D2B3" w14:textId="77777777">
            <w:pPr>
              <w:rPr>
                <w:b/>
              </w:rPr>
            </w:pPr>
            <w:r w:rsidRPr="00DD554A">
              <w:rPr>
                <w:b/>
              </w:rPr>
              <w:t xml:space="preserve">$ </w:t>
            </w:r>
            <w:r w:rsidR="00D40827">
              <w:rPr>
                <w:b/>
              </w:rPr>
              <w:t>42,649</w:t>
            </w:r>
          </w:p>
        </w:tc>
        <w:tc>
          <w:tcPr>
            <w:tcW w:w="283"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63CAE1BC" w14:textId="77777777">
            <w:pPr>
              <w:rPr>
                <w:b/>
              </w:rPr>
            </w:pPr>
          </w:p>
        </w:tc>
        <w:tc>
          <w:tcPr>
            <w:tcW w:w="1742"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7942D8C9" w14:textId="77777777">
            <w:pPr>
              <w:rPr>
                <w:b/>
              </w:rPr>
            </w:pPr>
          </w:p>
          <w:p w:rsidRPr="00DD554A" w:rsidR="00DD554A" w:rsidP="00DD554A" w:rsidRDefault="00DD554A" w14:paraId="1483A204" w14:textId="77777777">
            <w:pPr>
              <w:rPr>
                <w:b/>
              </w:rPr>
            </w:pPr>
            <w:r w:rsidRPr="00DD554A">
              <w:rPr>
                <w:b/>
              </w:rPr>
              <w:t>$ 0</w:t>
            </w:r>
          </w:p>
        </w:tc>
        <w:tc>
          <w:tcPr>
            <w:tcW w:w="347" w:type="dxa"/>
            <w:tcBorders>
              <w:top w:val="single" w:color="auto" w:sz="4" w:space="0"/>
              <w:left w:val="single" w:color="auto" w:sz="4" w:space="0"/>
              <w:bottom w:val="single" w:color="auto" w:sz="4" w:space="0"/>
              <w:right w:val="single" w:color="auto" w:sz="4" w:space="0"/>
            </w:tcBorders>
          </w:tcPr>
          <w:p w:rsidRPr="00DD554A" w:rsidR="00DD554A" w:rsidP="00DD554A" w:rsidRDefault="00DD554A" w14:paraId="18EB24D5" w14:textId="77777777">
            <w:pPr>
              <w:rPr>
                <w:b/>
              </w:rPr>
            </w:pPr>
          </w:p>
        </w:tc>
        <w:tc>
          <w:tcPr>
            <w:tcW w:w="1935" w:type="dxa"/>
            <w:tcBorders>
              <w:top w:val="single" w:color="auto" w:sz="4" w:space="0"/>
              <w:left w:val="single" w:color="auto" w:sz="4" w:space="0"/>
              <w:bottom w:val="single" w:color="auto" w:sz="4" w:space="0"/>
              <w:right w:val="single" w:color="auto" w:sz="4" w:space="0"/>
            </w:tcBorders>
            <w:hideMark/>
          </w:tcPr>
          <w:p w:rsidRPr="00DD554A" w:rsidR="00DD554A" w:rsidP="00DD554A" w:rsidRDefault="00DD554A" w14:paraId="0FF0CDC2" w14:textId="77777777">
            <w:pPr>
              <w:rPr>
                <w:b/>
              </w:rPr>
            </w:pPr>
          </w:p>
          <w:p w:rsidRPr="00DD554A" w:rsidR="00DD554A" w:rsidP="00DD554A" w:rsidRDefault="00DD554A" w14:paraId="24123ECE" w14:textId="77777777">
            <w:pPr>
              <w:rPr>
                <w:b/>
              </w:rPr>
            </w:pPr>
            <w:r w:rsidRPr="00DD554A">
              <w:rPr>
                <w:b/>
              </w:rPr>
              <w:t>$</w:t>
            </w:r>
            <w:r w:rsidR="00D40827">
              <w:rPr>
                <w:b/>
              </w:rPr>
              <w:t>42,649</w:t>
            </w:r>
          </w:p>
        </w:tc>
      </w:tr>
    </w:tbl>
    <w:p w:rsidRPr="00702B07" w:rsidR="00153A01" w:rsidRDefault="00153A01" w14:paraId="00214AAD" w14:textId="77777777"/>
    <w:p w:rsidRPr="00702B07" w:rsidR="00C573C8" w:rsidRDefault="00C573C8" w14:paraId="183A760A" w14:textId="77777777">
      <w:r w:rsidRPr="00702B07">
        <w:rPr>
          <w:bCs/>
        </w:rPr>
        <w:lastRenderedPageBreak/>
        <w:t xml:space="preserve">15.  </w:t>
      </w:r>
      <w:r w:rsidRPr="00702B07">
        <w:rPr>
          <w:bCs/>
          <w:u w:val="single"/>
        </w:rPr>
        <w:t>REASONS FOR CHANGE IN BURDEN</w:t>
      </w:r>
    </w:p>
    <w:p w:rsidRPr="00702B07" w:rsidR="00C573C8" w:rsidRDefault="00C573C8" w14:paraId="15CF110A" w14:textId="77777777">
      <w:pPr>
        <w:ind w:left="720" w:hanging="720"/>
        <w:rPr>
          <w:bCs/>
        </w:rPr>
      </w:pPr>
      <w:r w:rsidRPr="00702B07">
        <w:t xml:space="preserve">    </w:t>
      </w:r>
    </w:p>
    <w:p w:rsidR="003F2C5D" w:rsidP="00D33035" w:rsidRDefault="003F2C5D" w14:paraId="43CD5F57" w14:textId="77777777">
      <w:pPr>
        <w:ind w:left="450"/>
      </w:pPr>
      <w:r>
        <w:t>T</w:t>
      </w:r>
      <w:r w:rsidRPr="00702B07" w:rsidR="00C573C8">
        <w:t xml:space="preserve">here are no changes being made to </w:t>
      </w:r>
      <w:r w:rsidR="00153A01">
        <w:t>the burden previously approved.</w:t>
      </w:r>
      <w:r w:rsidRPr="00702B07" w:rsidR="00CC6C32">
        <w:t xml:space="preserve">  </w:t>
      </w:r>
    </w:p>
    <w:p w:rsidR="003F2C5D" w:rsidP="00CC6C32" w:rsidRDefault="003F2C5D" w14:paraId="38CF6D2C" w14:textId="77777777">
      <w:pPr>
        <w:ind w:left="720"/>
      </w:pPr>
    </w:p>
    <w:p w:rsidRPr="00702B07" w:rsidR="00C573C8" w:rsidP="00D33035" w:rsidRDefault="00E3396B" w14:paraId="089BF180" w14:textId="77777777">
      <w:pPr>
        <w:ind w:left="450"/>
      </w:pPr>
      <w:r w:rsidRPr="00702B07">
        <w:t>T</w:t>
      </w:r>
      <w:r w:rsidRPr="00702B07" w:rsidR="00C573C8">
        <w:t>his submission is being made for renewal purposes.</w:t>
      </w:r>
    </w:p>
    <w:p w:rsidRPr="00702B07" w:rsidR="00C573C8" w:rsidRDefault="00C573C8" w14:paraId="618C7E09" w14:textId="77777777">
      <w:pPr>
        <w:rPr>
          <w:bCs/>
        </w:rPr>
      </w:pPr>
    </w:p>
    <w:p w:rsidRPr="00702B07" w:rsidR="00C573C8" w:rsidRDefault="00C573C8" w14:paraId="65CC047F" w14:textId="77777777">
      <w:r w:rsidRPr="00702B07">
        <w:rPr>
          <w:bCs/>
        </w:rPr>
        <w:t xml:space="preserve">16.  </w:t>
      </w:r>
      <w:r w:rsidRPr="00702B07">
        <w:rPr>
          <w:bCs/>
          <w:u w:val="single"/>
        </w:rPr>
        <w:t>PLANS FOR TABULATION, STATISTICAL ANALYSIS AND PUBLICATION</w:t>
      </w:r>
    </w:p>
    <w:p w:rsidRPr="00702B07" w:rsidR="00C573C8" w:rsidRDefault="00C573C8" w14:paraId="5ED5652F" w14:textId="77777777"/>
    <w:p w:rsidRPr="00702B07" w:rsidR="00C573C8" w:rsidP="00D33035" w:rsidRDefault="003F2C5D" w14:paraId="3B97AF3D" w14:textId="77777777">
      <w:pPr>
        <w:ind w:left="450"/>
      </w:pPr>
      <w:r w:rsidRPr="003F2C5D">
        <w:t>There are no plans for tabulation, statistical analysis and publication</w:t>
      </w:r>
      <w:r w:rsidRPr="00702B07" w:rsidR="00C573C8">
        <w:t>.</w:t>
      </w:r>
    </w:p>
    <w:p w:rsidRPr="00702B07" w:rsidR="00C573C8" w:rsidRDefault="00C573C8" w14:paraId="452A97F8" w14:textId="77777777">
      <w:pPr>
        <w:rPr>
          <w:bCs/>
        </w:rPr>
      </w:pPr>
    </w:p>
    <w:p w:rsidRPr="00702B07" w:rsidR="00C573C8" w:rsidP="00AA539A" w:rsidRDefault="00C573C8" w14:paraId="0E14D2A6"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4FE1DDB4" w14:textId="77777777"/>
    <w:p w:rsidRPr="00702B07" w:rsidR="00C573C8" w:rsidP="00D33035" w:rsidRDefault="00856248" w14:paraId="27033376" w14:textId="77777777">
      <w:pPr>
        <w:ind w:left="450"/>
      </w:pPr>
      <w:r>
        <w:t>IRS believes that displaying the OMB expiration date is inappropriate because it could cause confusion by leading taxpayers to believe that the form and / or regulation sunsets as of the expiration date.  Taxpayers are not likely to be aware that the Service intends to request renewal of the OMB approval and obtain a new expiration date before the old one expires</w:t>
      </w:r>
      <w:r w:rsidRPr="00702B07" w:rsidR="00C573C8">
        <w:t>.</w:t>
      </w:r>
    </w:p>
    <w:p w:rsidRPr="00702B07" w:rsidR="00C573C8" w:rsidRDefault="00C573C8" w14:paraId="40D9ED04" w14:textId="77777777">
      <w:pPr>
        <w:rPr>
          <w:bCs/>
        </w:rPr>
      </w:pPr>
    </w:p>
    <w:p w:rsidR="00C573C8" w:rsidRDefault="00C573C8" w14:paraId="0366804F"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0E54FF9D" w14:textId="77777777"/>
    <w:p w:rsidRPr="00702B07" w:rsidR="00C573C8" w:rsidP="006642C2" w:rsidRDefault="006642C2" w14:paraId="6DDEE441"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1AE770A0" w14:textId="77777777"/>
    <w:p w:rsidRPr="00702B07" w:rsidR="00C573C8" w:rsidP="006642C2" w:rsidRDefault="00C573C8" w14:paraId="3BD869E4"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78631968" w14:textId="77777777"/>
    <w:p w:rsidRPr="00702B07" w:rsidR="00C573C8" w:rsidP="006642C2" w:rsidRDefault="00C573C8" w14:paraId="0CD292DC"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0558C0F1" w14:textId="77777777"/>
    <w:p w:rsidR="00702B07" w:rsidRDefault="00702B07" w14:paraId="38EE87D0" w14:textId="77777777">
      <w:pPr>
        <w:ind w:firstLine="720"/>
      </w:pPr>
    </w:p>
    <w:sectPr w:rsidR="00702B07"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04CA"/>
    <w:rsid w:val="00007D7B"/>
    <w:rsid w:val="000115AC"/>
    <w:rsid w:val="0009423B"/>
    <w:rsid w:val="000A1B91"/>
    <w:rsid w:val="000A2988"/>
    <w:rsid w:val="000D603F"/>
    <w:rsid w:val="000F1134"/>
    <w:rsid w:val="00117559"/>
    <w:rsid w:val="0012653A"/>
    <w:rsid w:val="00143064"/>
    <w:rsid w:val="00145362"/>
    <w:rsid w:val="00153A01"/>
    <w:rsid w:val="001A5F9F"/>
    <w:rsid w:val="001F12FB"/>
    <w:rsid w:val="00204931"/>
    <w:rsid w:val="00222F8C"/>
    <w:rsid w:val="0024297E"/>
    <w:rsid w:val="0028041B"/>
    <w:rsid w:val="002A0C32"/>
    <w:rsid w:val="002E351A"/>
    <w:rsid w:val="002E7C70"/>
    <w:rsid w:val="002F69D6"/>
    <w:rsid w:val="0033329E"/>
    <w:rsid w:val="003A2AC7"/>
    <w:rsid w:val="003B5334"/>
    <w:rsid w:val="003B5891"/>
    <w:rsid w:val="003B7275"/>
    <w:rsid w:val="003F2C5D"/>
    <w:rsid w:val="00427EF7"/>
    <w:rsid w:val="00445B87"/>
    <w:rsid w:val="00446EC1"/>
    <w:rsid w:val="00460F0B"/>
    <w:rsid w:val="00467A74"/>
    <w:rsid w:val="004A04AA"/>
    <w:rsid w:val="004E06B1"/>
    <w:rsid w:val="004E4007"/>
    <w:rsid w:val="005238E8"/>
    <w:rsid w:val="00571458"/>
    <w:rsid w:val="00576081"/>
    <w:rsid w:val="005853BC"/>
    <w:rsid w:val="00591B4A"/>
    <w:rsid w:val="005922C6"/>
    <w:rsid w:val="005A19EF"/>
    <w:rsid w:val="00611928"/>
    <w:rsid w:val="006149C7"/>
    <w:rsid w:val="0063596E"/>
    <w:rsid w:val="00636B94"/>
    <w:rsid w:val="006642C2"/>
    <w:rsid w:val="006711B3"/>
    <w:rsid w:val="006830ED"/>
    <w:rsid w:val="00686923"/>
    <w:rsid w:val="00695940"/>
    <w:rsid w:val="00695D49"/>
    <w:rsid w:val="006D1A18"/>
    <w:rsid w:val="006E0A4D"/>
    <w:rsid w:val="00702B07"/>
    <w:rsid w:val="00720D3E"/>
    <w:rsid w:val="007453AC"/>
    <w:rsid w:val="007811F7"/>
    <w:rsid w:val="00792586"/>
    <w:rsid w:val="00856248"/>
    <w:rsid w:val="008708F6"/>
    <w:rsid w:val="008808E9"/>
    <w:rsid w:val="00882F02"/>
    <w:rsid w:val="00895AED"/>
    <w:rsid w:val="008E333A"/>
    <w:rsid w:val="00910116"/>
    <w:rsid w:val="00923919"/>
    <w:rsid w:val="0096082C"/>
    <w:rsid w:val="009C6B4D"/>
    <w:rsid w:val="00A00E60"/>
    <w:rsid w:val="00A17EEF"/>
    <w:rsid w:val="00A34C7C"/>
    <w:rsid w:val="00A84CA1"/>
    <w:rsid w:val="00A9193B"/>
    <w:rsid w:val="00A91E00"/>
    <w:rsid w:val="00A9451E"/>
    <w:rsid w:val="00AA539A"/>
    <w:rsid w:val="00B03E6E"/>
    <w:rsid w:val="00B3392C"/>
    <w:rsid w:val="00B46341"/>
    <w:rsid w:val="00B54DC7"/>
    <w:rsid w:val="00B55912"/>
    <w:rsid w:val="00B73C86"/>
    <w:rsid w:val="00B77265"/>
    <w:rsid w:val="00B81690"/>
    <w:rsid w:val="00B94324"/>
    <w:rsid w:val="00B971AF"/>
    <w:rsid w:val="00BC2563"/>
    <w:rsid w:val="00BC7235"/>
    <w:rsid w:val="00BE2174"/>
    <w:rsid w:val="00BE5210"/>
    <w:rsid w:val="00BF3A51"/>
    <w:rsid w:val="00C358CE"/>
    <w:rsid w:val="00C53DF5"/>
    <w:rsid w:val="00C573C8"/>
    <w:rsid w:val="00C8357C"/>
    <w:rsid w:val="00C85FC1"/>
    <w:rsid w:val="00CC2F66"/>
    <w:rsid w:val="00CC6C32"/>
    <w:rsid w:val="00CE5344"/>
    <w:rsid w:val="00CF20D2"/>
    <w:rsid w:val="00D05E8B"/>
    <w:rsid w:val="00D26DC6"/>
    <w:rsid w:val="00D33035"/>
    <w:rsid w:val="00D40827"/>
    <w:rsid w:val="00D65AC6"/>
    <w:rsid w:val="00D83591"/>
    <w:rsid w:val="00D84A35"/>
    <w:rsid w:val="00D85B57"/>
    <w:rsid w:val="00DA48D6"/>
    <w:rsid w:val="00DD4327"/>
    <w:rsid w:val="00DD554A"/>
    <w:rsid w:val="00DE7D8D"/>
    <w:rsid w:val="00DF682E"/>
    <w:rsid w:val="00E20592"/>
    <w:rsid w:val="00E3396B"/>
    <w:rsid w:val="00E44F22"/>
    <w:rsid w:val="00E47B4F"/>
    <w:rsid w:val="00E50D9A"/>
    <w:rsid w:val="00E56009"/>
    <w:rsid w:val="00E86D28"/>
    <w:rsid w:val="00F2351F"/>
    <w:rsid w:val="00F54DAA"/>
    <w:rsid w:val="00FA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AB5D2"/>
  <w15:chartTrackingRefBased/>
  <w15:docId w15:val="{A57F1A61-C1ED-4192-936C-107FAA17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CommentReference">
    <w:name w:val="annotation reference"/>
    <w:basedOn w:val="DefaultParagraphFont"/>
    <w:rsid w:val="006711B3"/>
    <w:rPr>
      <w:sz w:val="16"/>
      <w:szCs w:val="16"/>
    </w:rPr>
  </w:style>
  <w:style w:type="paragraph" w:styleId="CommentText">
    <w:name w:val="annotation text"/>
    <w:basedOn w:val="Normal"/>
    <w:link w:val="CommentTextChar"/>
    <w:rsid w:val="006711B3"/>
    <w:rPr>
      <w:sz w:val="20"/>
      <w:szCs w:val="20"/>
    </w:rPr>
  </w:style>
  <w:style w:type="character" w:customStyle="1" w:styleId="CommentTextChar">
    <w:name w:val="Comment Text Char"/>
    <w:basedOn w:val="DefaultParagraphFont"/>
    <w:link w:val="CommentText"/>
    <w:rsid w:val="006711B3"/>
  </w:style>
  <w:style w:type="paragraph" w:styleId="CommentSubject">
    <w:name w:val="annotation subject"/>
    <w:basedOn w:val="CommentText"/>
    <w:next w:val="CommentText"/>
    <w:link w:val="CommentSubjectChar"/>
    <w:rsid w:val="006711B3"/>
    <w:rPr>
      <w:b/>
      <w:bCs/>
    </w:rPr>
  </w:style>
  <w:style w:type="character" w:customStyle="1" w:styleId="CommentSubjectChar">
    <w:name w:val="Comment Subject Char"/>
    <w:basedOn w:val="CommentTextChar"/>
    <w:link w:val="CommentSubject"/>
    <w:rsid w:val="006711B3"/>
    <w:rPr>
      <w:b/>
      <w:bCs/>
    </w:rPr>
  </w:style>
  <w:style w:type="paragraph" w:styleId="BalloonText">
    <w:name w:val="Balloon Text"/>
    <w:basedOn w:val="Normal"/>
    <w:link w:val="BalloonTextChar"/>
    <w:rsid w:val="006711B3"/>
    <w:rPr>
      <w:rFonts w:ascii="Segoe UI" w:hAnsi="Segoe UI" w:cs="Segoe UI"/>
      <w:sz w:val="18"/>
      <w:szCs w:val="18"/>
    </w:rPr>
  </w:style>
  <w:style w:type="character" w:customStyle="1" w:styleId="BalloonTextChar">
    <w:name w:val="Balloon Text Char"/>
    <w:basedOn w:val="DefaultParagraphFont"/>
    <w:link w:val="BalloonText"/>
    <w:rsid w:val="006711B3"/>
    <w:rPr>
      <w:rFonts w:ascii="Segoe UI" w:hAnsi="Segoe UI" w:cs="Segoe UI"/>
      <w:sz w:val="18"/>
      <w:szCs w:val="18"/>
    </w:rPr>
  </w:style>
  <w:style w:type="character" w:styleId="FollowedHyperlink">
    <w:name w:val="FollowedHyperlink"/>
    <w:basedOn w:val="DefaultParagraphFont"/>
    <w:rsid w:val="00DA4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7555</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Brewington Kinna</cp:lastModifiedBy>
  <cp:revision>4</cp:revision>
  <cp:lastPrinted>2005-05-18T14:13:00Z</cp:lastPrinted>
  <dcterms:created xsi:type="dcterms:W3CDTF">2021-05-28T19:21:00Z</dcterms:created>
  <dcterms:modified xsi:type="dcterms:W3CDTF">2021-05-28T19:23:00Z</dcterms:modified>
</cp:coreProperties>
</file>