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7421" w:rsidR="008F4F6B" w:rsidP="008F4F6B" w:rsidRDefault="008F4F6B" w14:paraId="7FAC1ABB" w14:textId="77777777">
      <w:pPr>
        <w:spacing w:after="0" w:line="240" w:lineRule="auto"/>
        <w:jc w:val="center"/>
        <w:rPr>
          <w:rFonts w:ascii="Times New Roman" w:hAnsi="Times New Roman" w:eastAsia="Times New Roman" w:cs="Times New Roman"/>
          <w:b/>
          <w:bCs/>
          <w:sz w:val="24"/>
          <w:szCs w:val="24"/>
        </w:rPr>
      </w:pPr>
      <w:r w:rsidRPr="00197421">
        <w:rPr>
          <w:rFonts w:ascii="Times New Roman" w:hAnsi="Times New Roman" w:eastAsia="Times New Roman" w:cs="Times New Roman"/>
          <w:b/>
          <w:bCs/>
          <w:iCs/>
          <w:sz w:val="24"/>
          <w:szCs w:val="24"/>
        </w:rPr>
        <w:t>Department of Commerce</w:t>
      </w:r>
    </w:p>
    <w:p w:rsidRPr="00197421" w:rsidR="008F4F6B" w:rsidP="008F4F6B" w:rsidRDefault="008F4F6B" w14:paraId="088A8481" w14:textId="77777777">
      <w:pPr>
        <w:spacing w:after="0" w:line="240" w:lineRule="auto"/>
        <w:jc w:val="center"/>
        <w:rPr>
          <w:rFonts w:ascii="Times New Roman" w:hAnsi="Times New Roman" w:eastAsia="Times New Roman" w:cs="Times New Roman"/>
          <w:b/>
          <w:bCs/>
          <w:sz w:val="24"/>
          <w:szCs w:val="24"/>
        </w:rPr>
      </w:pPr>
      <w:r w:rsidRPr="00197421">
        <w:rPr>
          <w:rFonts w:ascii="Times New Roman" w:hAnsi="Times New Roman" w:eastAsia="Times New Roman" w:cs="Times New Roman"/>
          <w:b/>
          <w:bCs/>
          <w:sz w:val="24"/>
          <w:szCs w:val="24"/>
        </w:rPr>
        <w:t>U.S. Census Bureau</w:t>
      </w:r>
    </w:p>
    <w:p w:rsidRPr="00197421" w:rsidR="008F4F6B" w:rsidP="008F4F6B" w:rsidRDefault="008F4F6B" w14:paraId="4509F30C" w14:textId="77777777">
      <w:pPr>
        <w:spacing w:after="0" w:line="240" w:lineRule="auto"/>
        <w:jc w:val="center"/>
        <w:rPr>
          <w:rFonts w:ascii="Times New Roman" w:hAnsi="Times New Roman" w:eastAsia="Times New Roman" w:cs="Times New Roman"/>
          <w:b/>
          <w:bCs/>
          <w:sz w:val="24"/>
          <w:szCs w:val="24"/>
        </w:rPr>
      </w:pPr>
      <w:r w:rsidRPr="00197421">
        <w:rPr>
          <w:rFonts w:ascii="Times New Roman" w:hAnsi="Times New Roman" w:eastAsia="Times New Roman" w:cs="Times New Roman"/>
          <w:b/>
          <w:bCs/>
          <w:sz w:val="24"/>
          <w:szCs w:val="24"/>
        </w:rPr>
        <w:t>OMB Information Collection Request</w:t>
      </w:r>
    </w:p>
    <w:p w:rsidRPr="00197421" w:rsidR="003777EA" w:rsidP="008F4F6B" w:rsidRDefault="002265A5" w14:paraId="48AC617A" w14:textId="77777777">
      <w:pPr>
        <w:spacing w:after="0" w:line="240" w:lineRule="auto"/>
        <w:jc w:val="center"/>
        <w:rPr>
          <w:rFonts w:ascii="Times New Roman" w:hAnsi="Times New Roman" w:eastAsia="Times New Roman" w:cs="Times New Roman"/>
          <w:b/>
          <w:bCs/>
          <w:sz w:val="24"/>
          <w:szCs w:val="24"/>
        </w:rPr>
      </w:pPr>
      <w:r w:rsidRPr="00197421">
        <w:rPr>
          <w:rFonts w:ascii="Times New Roman" w:hAnsi="Times New Roman" w:eastAsia="Times New Roman" w:cs="Times New Roman"/>
          <w:b/>
          <w:bCs/>
          <w:sz w:val="24"/>
          <w:szCs w:val="24"/>
        </w:rPr>
        <w:t>Management and Organizational Practices Survey-Hospitals</w:t>
      </w:r>
      <w:r w:rsidRPr="00197421" w:rsidDel="002265A5">
        <w:rPr>
          <w:rFonts w:ascii="Times New Roman" w:hAnsi="Times New Roman" w:eastAsia="Times New Roman" w:cs="Times New Roman"/>
          <w:b/>
          <w:bCs/>
          <w:sz w:val="24"/>
          <w:szCs w:val="24"/>
        </w:rPr>
        <w:t xml:space="preserve"> </w:t>
      </w:r>
    </w:p>
    <w:p w:rsidRPr="00197421" w:rsidR="008F4F6B" w:rsidP="008F4F6B" w:rsidRDefault="008F4F6B" w14:paraId="77C59DBD" w14:textId="77E5DF17">
      <w:pPr>
        <w:spacing w:after="0" w:line="240" w:lineRule="auto"/>
        <w:jc w:val="center"/>
        <w:rPr>
          <w:rFonts w:ascii="Times New Roman" w:hAnsi="Times New Roman" w:eastAsia="Times New Roman" w:cs="Times New Roman"/>
          <w:sz w:val="24"/>
          <w:szCs w:val="24"/>
        </w:rPr>
      </w:pPr>
      <w:r w:rsidRPr="00197421">
        <w:rPr>
          <w:rFonts w:ascii="Times New Roman" w:hAnsi="Times New Roman" w:eastAsia="Times New Roman" w:cs="Times New Roman"/>
          <w:b/>
          <w:bCs/>
          <w:sz w:val="24"/>
          <w:szCs w:val="24"/>
        </w:rPr>
        <w:t>OMB Control Number 0607-&lt;XXXX&gt;</w:t>
      </w:r>
    </w:p>
    <w:p w:rsidRPr="00197421" w:rsidR="001B327B" w:rsidP="008F4F6B" w:rsidRDefault="001B327B" w14:paraId="34F2ED7B" w14:textId="77777777">
      <w:pPr>
        <w:keepNext/>
        <w:keepLines/>
        <w:spacing w:before="40" w:after="0" w:line="240" w:lineRule="auto"/>
        <w:outlineLvl w:val="3"/>
        <w:rPr>
          <w:rFonts w:ascii="Times New Roman" w:hAnsi="Times New Roman" w:cs="Times New Roman" w:eastAsiaTheme="majorEastAsia"/>
          <w:b/>
          <w:iCs/>
          <w:sz w:val="24"/>
          <w:szCs w:val="24"/>
        </w:rPr>
      </w:pPr>
    </w:p>
    <w:p w:rsidRPr="00197421" w:rsidR="008F4F6B" w:rsidP="008F4F6B" w:rsidRDefault="008F4F6B" w14:paraId="73414827" w14:textId="77D4ACB7">
      <w:pPr>
        <w:keepNext/>
        <w:keepLines/>
        <w:spacing w:before="40" w:after="0" w:line="240" w:lineRule="auto"/>
        <w:outlineLvl w:val="3"/>
        <w:rPr>
          <w:rFonts w:ascii="Times New Roman" w:hAnsi="Times New Roman" w:cs="Times New Roman" w:eastAsiaTheme="majorEastAsia"/>
          <w:b/>
          <w:iCs/>
          <w:sz w:val="24"/>
          <w:szCs w:val="24"/>
        </w:rPr>
      </w:pPr>
      <w:r w:rsidRPr="00197421">
        <w:rPr>
          <w:rFonts w:ascii="Times New Roman" w:hAnsi="Times New Roman" w:cs="Times New Roman" w:eastAsiaTheme="majorEastAsia"/>
          <w:b/>
          <w:iCs/>
          <w:sz w:val="24"/>
          <w:szCs w:val="24"/>
        </w:rPr>
        <w:t>Part A – Justification</w:t>
      </w:r>
    </w:p>
    <w:p w:rsidRPr="00197421" w:rsidR="001B327B" w:rsidP="008F4F6B" w:rsidRDefault="001B327B" w14:paraId="5584CA26" w14:textId="77777777">
      <w:pPr>
        <w:spacing w:before="100" w:beforeAutospacing="1" w:after="100" w:afterAutospacing="1" w:line="240" w:lineRule="auto"/>
        <w:rPr>
          <w:rFonts w:ascii="Times New Roman" w:hAnsi="Times New Roman" w:eastAsia="Times New Roman" w:cs="Times New Roman"/>
          <w:sz w:val="24"/>
          <w:szCs w:val="24"/>
          <w:u w:val="single"/>
        </w:rPr>
      </w:pPr>
    </w:p>
    <w:p w:rsidRPr="00197421" w:rsidR="008F4F6B" w:rsidP="008F4F6B" w:rsidRDefault="008F4F6B" w14:paraId="2A7A00F9" w14:textId="668D4B0B">
      <w:pPr>
        <w:spacing w:before="100" w:beforeAutospacing="1" w:after="100" w:afterAutospacing="1" w:line="240" w:lineRule="auto"/>
        <w:rPr>
          <w:rFonts w:ascii="Times New Roman" w:hAnsi="Times New Roman" w:eastAsia="Times New Roman" w:cs="Times New Roman"/>
          <w:sz w:val="24"/>
          <w:szCs w:val="24"/>
        </w:rPr>
      </w:pPr>
      <w:r w:rsidRPr="00197421">
        <w:rPr>
          <w:rFonts w:ascii="Times New Roman" w:hAnsi="Times New Roman" w:eastAsia="Times New Roman" w:cs="Times New Roman"/>
          <w:sz w:val="24"/>
          <w:szCs w:val="24"/>
          <w:u w:val="single"/>
        </w:rPr>
        <w:t>Question 1. Necessity of the Information Collection</w:t>
      </w:r>
    </w:p>
    <w:p w:rsidRPr="00197421" w:rsidR="00300AED" w:rsidP="00300AED" w:rsidRDefault="06A81255" w14:paraId="69AC2B7B" w14:textId="7970555A">
      <w:pPr>
        <w:rPr>
          <w:rFonts w:ascii="Times New Roman" w:hAnsi="Times New Roman" w:cs="Times New Roman"/>
          <w:sz w:val="24"/>
          <w:szCs w:val="24"/>
        </w:rPr>
      </w:pPr>
      <w:r w:rsidRPr="00197421">
        <w:rPr>
          <w:rFonts w:ascii="Times New Roman" w:hAnsi="Times New Roman" w:cs="Times New Roman"/>
          <w:sz w:val="24"/>
          <w:szCs w:val="24"/>
        </w:rPr>
        <w:t xml:space="preserve">The Census Bureau proposes conducting the Management and Organizational Practices Survey-Hospitals (MOPS-HP) in order to provide critical information on the health sector to our many stakeholders in support of our mission to serve as “the leading source of quality data about the nation’s people and economy.” The MOPS-HP will collect information on the use of structured management practices from Chief Nursing Officers (CNOs) at approximately </w:t>
      </w:r>
      <w:r w:rsidRPr="009670C6">
        <w:rPr>
          <w:rFonts w:ascii="Times New Roman" w:hAnsi="Times New Roman" w:cs="Times New Roman"/>
          <w:sz w:val="24"/>
          <w:szCs w:val="24"/>
          <w:highlight w:val="yellow"/>
        </w:rPr>
        <w:t>3,200</w:t>
      </w:r>
      <w:r w:rsidRPr="00197421">
        <w:rPr>
          <w:rFonts w:ascii="Times New Roman" w:hAnsi="Times New Roman" w:cs="Times New Roman"/>
          <w:sz w:val="24"/>
          <w:szCs w:val="24"/>
        </w:rPr>
        <w:t xml:space="preserve"> hospitals with the goal of producing four </w:t>
      </w:r>
      <w:proofErr w:type="gramStart"/>
      <w:r w:rsidRPr="00197421">
        <w:rPr>
          <w:rFonts w:ascii="Times New Roman" w:hAnsi="Times New Roman" w:cs="Times New Roman"/>
          <w:sz w:val="24"/>
          <w:szCs w:val="24"/>
        </w:rPr>
        <w:t>publicly-available</w:t>
      </w:r>
      <w:proofErr w:type="gramEnd"/>
      <w:r w:rsidRPr="00197421">
        <w:rPr>
          <w:rFonts w:ascii="Times New Roman" w:hAnsi="Times New Roman" w:cs="Times New Roman"/>
          <w:sz w:val="24"/>
          <w:szCs w:val="24"/>
        </w:rPr>
        <w:t xml:space="preserve"> indices that measure key characteristics of these structured management practices. </w:t>
      </w:r>
      <w:r w:rsidRPr="009670C6">
        <w:rPr>
          <w:rFonts w:ascii="Times New Roman" w:hAnsi="Times New Roman" w:cs="Times New Roman"/>
          <w:sz w:val="24"/>
          <w:szCs w:val="24"/>
          <w:highlight w:val="yellow"/>
        </w:rPr>
        <w:t>The proposed MOPS-HP will be collected for reference years 2020 and 2019.</w:t>
      </w:r>
      <w:r w:rsidRPr="00197421">
        <w:rPr>
          <w:rFonts w:ascii="Times New Roman" w:hAnsi="Times New Roman" w:cs="Times New Roman"/>
          <w:sz w:val="24"/>
          <w:szCs w:val="24"/>
        </w:rPr>
        <w:t xml:space="preserve"> Content, which can be seen in Attachment A, includes performance monitoring, goals, staff management, the use of standardized clinical protocols, and medical record documentation. Some questions are adapted from the Management and Organizational Practices Survey (MOPS) (OMB Approval Number 0607-0963), conducted in the manufacturing sector, allowing for inter-sectoral comparisons. </w:t>
      </w:r>
    </w:p>
    <w:p w:rsidRPr="00197421" w:rsidR="008313B7" w:rsidP="00300AED" w:rsidRDefault="00300AED" w14:paraId="3859A776" w14:textId="770300D9">
      <w:pPr>
        <w:rPr>
          <w:rFonts w:ascii="Times New Roman" w:hAnsi="Times New Roman" w:cs="Times New Roman"/>
          <w:sz w:val="24"/>
          <w:szCs w:val="24"/>
        </w:rPr>
      </w:pPr>
      <w:r w:rsidRPr="00197421">
        <w:rPr>
          <w:rFonts w:ascii="Times New Roman" w:hAnsi="Times New Roman" w:cs="Times New Roman"/>
          <w:sz w:val="24"/>
          <w:szCs w:val="24"/>
        </w:rPr>
        <w:t>The MOPS-HP will provide a deeper understanding of the business processes which impact an increasingly important sector of the economy; total national health expenditures represented almost 18 percent of U.S. gross domestic product in 2017 (National Center for Health Statistics). The MOPS-HP will provide a nationally representative sample</w:t>
      </w:r>
      <w:r w:rsidRPr="00197421" w:rsidR="00102CAD">
        <w:rPr>
          <w:rFonts w:ascii="Times New Roman" w:hAnsi="Times New Roman" w:cs="Times New Roman"/>
          <w:sz w:val="24"/>
          <w:szCs w:val="24"/>
        </w:rPr>
        <w:t>,</w:t>
      </w:r>
      <w:r w:rsidRPr="00197421">
        <w:rPr>
          <w:rFonts w:ascii="Times New Roman" w:hAnsi="Times New Roman" w:cs="Times New Roman"/>
          <w:sz w:val="24"/>
          <w:szCs w:val="24"/>
        </w:rPr>
        <w:t xml:space="preserve"> enabling stakeholders to understand the role of structured management practices in financial and clinical outcomes in U.S. hospitals. In much the same way that the </w:t>
      </w:r>
      <w:r w:rsidRPr="00197421" w:rsidR="00407D75">
        <w:rPr>
          <w:rFonts w:ascii="Times New Roman" w:hAnsi="Times New Roman" w:cs="Times New Roman"/>
          <w:sz w:val="24"/>
          <w:szCs w:val="24"/>
        </w:rPr>
        <w:t xml:space="preserve">MOPS </w:t>
      </w:r>
      <w:r w:rsidRPr="00197421">
        <w:rPr>
          <w:rFonts w:ascii="Times New Roman" w:hAnsi="Times New Roman" w:cs="Times New Roman"/>
          <w:sz w:val="24"/>
          <w:szCs w:val="24"/>
        </w:rPr>
        <w:t>allowed for the measurement of the importance of these structured management practices for productivity and growth in the manufactur</w:t>
      </w:r>
      <w:r w:rsidRPr="00197421" w:rsidR="00694398">
        <w:rPr>
          <w:rFonts w:ascii="Times New Roman" w:hAnsi="Times New Roman" w:cs="Times New Roman"/>
          <w:sz w:val="24"/>
          <w:szCs w:val="24"/>
        </w:rPr>
        <w:t>ing sector</w:t>
      </w:r>
      <w:r w:rsidRPr="00197421">
        <w:rPr>
          <w:rFonts w:ascii="Times New Roman" w:hAnsi="Times New Roman" w:cs="Times New Roman"/>
          <w:sz w:val="24"/>
          <w:szCs w:val="24"/>
        </w:rPr>
        <w:t>,</w:t>
      </w:r>
      <w:r w:rsidRPr="00197421" w:rsidR="00EC400C">
        <w:rPr>
          <w:rStyle w:val="FootnoteReference"/>
          <w:rFonts w:ascii="Times New Roman" w:hAnsi="Times New Roman" w:cs="Times New Roman"/>
          <w:sz w:val="24"/>
          <w:szCs w:val="24"/>
        </w:rPr>
        <w:footnoteReference w:id="1"/>
      </w:r>
      <w:r w:rsidRPr="00197421">
        <w:rPr>
          <w:rFonts w:ascii="Times New Roman" w:hAnsi="Times New Roman" w:cs="Times New Roman"/>
          <w:sz w:val="24"/>
          <w:szCs w:val="24"/>
        </w:rPr>
        <w:t xml:space="preserve"> the MOPS-HP will inform our understanding of hospitals.</w:t>
      </w:r>
      <w:r w:rsidRPr="00197421" w:rsidR="002D58A9">
        <w:rPr>
          <w:rFonts w:ascii="Times New Roman" w:hAnsi="Times New Roman" w:cs="Times New Roman"/>
          <w:sz w:val="24"/>
          <w:szCs w:val="24"/>
        </w:rPr>
        <w:t xml:space="preserve"> </w:t>
      </w:r>
      <w:r w:rsidRPr="009670C6" w:rsidR="00F23EFE">
        <w:rPr>
          <w:rFonts w:ascii="Times New Roman" w:hAnsi="Times New Roman" w:cs="Times New Roman"/>
          <w:sz w:val="24"/>
          <w:szCs w:val="24"/>
          <w:highlight w:val="yellow"/>
        </w:rPr>
        <w:t>This understanding is of increasing importance with the COVID-19 pandemic, where the overwhelming number of hospitalizations at varying points has stretched staff and resources to capacity.</w:t>
      </w:r>
      <w:r w:rsidRPr="00197421" w:rsidR="00F23EFE">
        <w:rPr>
          <w:rFonts w:ascii="Times New Roman" w:hAnsi="Times New Roman" w:cs="Times New Roman"/>
          <w:sz w:val="24"/>
          <w:szCs w:val="24"/>
        </w:rPr>
        <w:t xml:space="preserve"> </w:t>
      </w:r>
      <w:r w:rsidRPr="00197421" w:rsidR="008313B7">
        <w:rPr>
          <w:rFonts w:ascii="Times New Roman" w:hAnsi="Times New Roman" w:cs="Times New Roman"/>
          <w:sz w:val="24"/>
          <w:szCs w:val="24"/>
        </w:rPr>
        <w:t>Questions developed and tested for the MOPS-HP instrument are adapted from the 2015 MOPS and the 2009 World Management Surv</w:t>
      </w:r>
      <w:r w:rsidRPr="00197421" w:rsidR="00694398">
        <w:rPr>
          <w:rFonts w:ascii="Times New Roman" w:hAnsi="Times New Roman" w:cs="Times New Roman"/>
          <w:sz w:val="24"/>
          <w:szCs w:val="24"/>
        </w:rPr>
        <w:t>ey’s (WMS) healthcare instrument</w:t>
      </w:r>
      <w:r w:rsidRPr="00197421" w:rsidR="008313B7">
        <w:rPr>
          <w:rFonts w:ascii="Times New Roman" w:hAnsi="Times New Roman" w:cs="Times New Roman"/>
          <w:sz w:val="24"/>
          <w:szCs w:val="24"/>
        </w:rPr>
        <w:t>.</w:t>
      </w:r>
      <w:r w:rsidRPr="00197421" w:rsidR="008313B7">
        <w:rPr>
          <w:rFonts w:ascii="Times New Roman" w:hAnsi="Times New Roman" w:cs="Times New Roman"/>
          <w:sz w:val="24"/>
          <w:szCs w:val="24"/>
          <w:vertAlign w:val="superscript"/>
        </w:rPr>
        <w:footnoteReference w:id="2"/>
      </w:r>
      <w:r w:rsidRPr="00197421" w:rsidR="008313B7">
        <w:rPr>
          <w:rFonts w:ascii="Times New Roman" w:hAnsi="Times New Roman" w:cs="Times New Roman"/>
          <w:sz w:val="24"/>
          <w:szCs w:val="24"/>
          <w:vertAlign w:val="superscript"/>
        </w:rPr>
        <w:t>,</w:t>
      </w:r>
      <w:r w:rsidRPr="00197421" w:rsidR="008313B7">
        <w:rPr>
          <w:rFonts w:ascii="Times New Roman" w:hAnsi="Times New Roman" w:cs="Times New Roman"/>
          <w:sz w:val="24"/>
          <w:szCs w:val="24"/>
          <w:vertAlign w:val="superscript"/>
        </w:rPr>
        <w:footnoteReference w:id="3"/>
      </w:r>
      <w:r w:rsidRPr="00197421" w:rsidR="008313B7">
        <w:rPr>
          <w:rFonts w:ascii="Times New Roman" w:hAnsi="Times New Roman" w:cs="Times New Roman"/>
          <w:sz w:val="24"/>
          <w:szCs w:val="24"/>
        </w:rPr>
        <w:t xml:space="preserve"> The Census Bureau conducted the MOPS in 2010 and 2015 with approximately 35,000 manufacturing plants to </w:t>
      </w:r>
      <w:r w:rsidRPr="00197421" w:rsidR="008313B7">
        <w:rPr>
          <w:rFonts w:ascii="Times New Roman" w:hAnsi="Times New Roman" w:cs="Times New Roman"/>
          <w:sz w:val="24"/>
          <w:szCs w:val="24"/>
        </w:rPr>
        <w:lastRenderedPageBreak/>
        <w:t>measure management pra</w:t>
      </w:r>
      <w:r w:rsidRPr="00197421" w:rsidR="00694398">
        <w:rPr>
          <w:rFonts w:ascii="Times New Roman" w:hAnsi="Times New Roman" w:cs="Times New Roman"/>
          <w:sz w:val="24"/>
          <w:szCs w:val="24"/>
        </w:rPr>
        <w:t>ctices</w:t>
      </w:r>
      <w:r w:rsidRPr="00197421" w:rsidR="008313B7">
        <w:rPr>
          <w:rFonts w:ascii="Times New Roman" w:hAnsi="Times New Roman" w:cs="Times New Roman"/>
          <w:sz w:val="24"/>
          <w:szCs w:val="24"/>
        </w:rPr>
        <w:t>.</w:t>
      </w:r>
      <w:r w:rsidRPr="00197421" w:rsidR="008313B7">
        <w:rPr>
          <w:rFonts w:ascii="Times New Roman" w:hAnsi="Times New Roman" w:cs="Times New Roman"/>
          <w:sz w:val="24"/>
          <w:szCs w:val="24"/>
          <w:vertAlign w:val="superscript"/>
        </w:rPr>
        <w:footnoteReference w:id="4"/>
      </w:r>
      <w:r w:rsidRPr="00197421" w:rsidR="00EC400C">
        <w:rPr>
          <w:rFonts w:ascii="Times New Roman" w:hAnsi="Times New Roman" w:cs="Times New Roman"/>
          <w:sz w:val="24"/>
          <w:szCs w:val="24"/>
          <w:vertAlign w:val="superscript"/>
        </w:rPr>
        <w:t>,</w:t>
      </w:r>
      <w:r w:rsidRPr="00197421" w:rsidR="00EC400C">
        <w:rPr>
          <w:rStyle w:val="FootnoteReference"/>
          <w:rFonts w:ascii="Times New Roman" w:hAnsi="Times New Roman" w:cs="Times New Roman"/>
          <w:sz w:val="24"/>
          <w:szCs w:val="24"/>
        </w:rPr>
        <w:footnoteReference w:id="5"/>
      </w:r>
      <w:r w:rsidRPr="00197421" w:rsidR="008313B7">
        <w:rPr>
          <w:rFonts w:ascii="Times New Roman" w:hAnsi="Times New Roman" w:cs="Times New Roman"/>
          <w:sz w:val="24"/>
          <w:szCs w:val="24"/>
        </w:rPr>
        <w:t xml:space="preserve">  These data show that management practices are strongly correlated with plant profitability and pr</w:t>
      </w:r>
      <w:r w:rsidRPr="00197421" w:rsidR="00694398">
        <w:rPr>
          <w:rFonts w:ascii="Times New Roman" w:hAnsi="Times New Roman" w:cs="Times New Roman"/>
          <w:sz w:val="24"/>
          <w:szCs w:val="24"/>
        </w:rPr>
        <w:t>oductivity</w:t>
      </w:r>
      <w:r w:rsidRPr="00197421" w:rsidR="008313B7">
        <w:rPr>
          <w:rFonts w:ascii="Times New Roman" w:hAnsi="Times New Roman" w:cs="Times New Roman"/>
          <w:sz w:val="24"/>
          <w:szCs w:val="24"/>
        </w:rPr>
        <w:t>.</w:t>
      </w:r>
      <w:r w:rsidRPr="00197421" w:rsidR="00EC400C">
        <w:rPr>
          <w:rStyle w:val="FootnoteReference"/>
          <w:rFonts w:ascii="Times New Roman" w:hAnsi="Times New Roman" w:cs="Times New Roman"/>
          <w:sz w:val="24"/>
          <w:szCs w:val="24"/>
        </w:rPr>
        <w:footnoteReference w:id="6"/>
      </w:r>
      <w:r w:rsidRPr="00197421" w:rsidR="008313B7">
        <w:rPr>
          <w:rFonts w:ascii="Times New Roman" w:hAnsi="Times New Roman" w:cs="Times New Roman"/>
          <w:sz w:val="24"/>
          <w:szCs w:val="24"/>
        </w:rPr>
        <w:t xml:space="preserve"> The WMS has collected data on 20 basic management practices for approximately 2,000 hospitals in nine countries, including 307 i</w:t>
      </w:r>
      <w:r w:rsidRPr="00197421" w:rsidR="00694398">
        <w:rPr>
          <w:rFonts w:ascii="Times New Roman" w:hAnsi="Times New Roman" w:cs="Times New Roman"/>
          <w:sz w:val="24"/>
          <w:szCs w:val="24"/>
        </w:rPr>
        <w:t>n the U.S</w:t>
      </w:r>
      <w:r w:rsidRPr="00197421" w:rsidR="008313B7">
        <w:rPr>
          <w:rFonts w:ascii="Times New Roman" w:hAnsi="Times New Roman" w:cs="Times New Roman"/>
          <w:sz w:val="24"/>
          <w:szCs w:val="24"/>
        </w:rPr>
        <w:t>.</w:t>
      </w:r>
      <w:r w:rsidRPr="00197421" w:rsidR="00EC400C">
        <w:rPr>
          <w:rStyle w:val="FootnoteReference"/>
          <w:rFonts w:ascii="Times New Roman" w:hAnsi="Times New Roman" w:cs="Times New Roman"/>
          <w:sz w:val="24"/>
          <w:szCs w:val="24"/>
        </w:rPr>
        <w:footnoteReference w:id="7"/>
      </w:r>
      <w:r w:rsidRPr="00197421" w:rsidR="008313B7">
        <w:rPr>
          <w:rFonts w:ascii="Times New Roman" w:hAnsi="Times New Roman" w:cs="Times New Roman"/>
          <w:sz w:val="24"/>
          <w:szCs w:val="24"/>
        </w:rPr>
        <w:t xml:space="preserve"> Interviewers ask open-ended questions and rate responses to indicate whether the management practices are more or </w:t>
      </w:r>
      <w:r w:rsidRPr="00197421" w:rsidR="00694398">
        <w:rPr>
          <w:rFonts w:ascii="Times New Roman" w:hAnsi="Times New Roman" w:cs="Times New Roman"/>
          <w:sz w:val="24"/>
          <w:szCs w:val="24"/>
        </w:rPr>
        <w:t>less structured</w:t>
      </w:r>
      <w:r w:rsidRPr="00197421" w:rsidR="008313B7">
        <w:rPr>
          <w:rFonts w:ascii="Times New Roman" w:hAnsi="Times New Roman" w:cs="Times New Roman"/>
          <w:sz w:val="24"/>
          <w:szCs w:val="24"/>
        </w:rPr>
        <w:t>.</w:t>
      </w:r>
      <w:r w:rsidRPr="00197421" w:rsidR="00EC400C">
        <w:rPr>
          <w:rStyle w:val="FootnoteReference"/>
          <w:rFonts w:ascii="Times New Roman" w:hAnsi="Times New Roman" w:cs="Times New Roman"/>
          <w:sz w:val="24"/>
          <w:szCs w:val="24"/>
        </w:rPr>
        <w:footnoteReference w:id="8"/>
      </w:r>
      <w:r w:rsidRPr="00197421" w:rsidR="000C7802">
        <w:rPr>
          <w:rFonts w:ascii="Times New Roman" w:hAnsi="Times New Roman" w:cs="Times New Roman"/>
          <w:sz w:val="24"/>
          <w:szCs w:val="24"/>
          <w:vertAlign w:val="superscript"/>
        </w:rPr>
        <w:t>,</w:t>
      </w:r>
      <w:r w:rsidRPr="00197421" w:rsidR="00EC400C">
        <w:rPr>
          <w:rStyle w:val="FootnoteReference"/>
          <w:rFonts w:ascii="Times New Roman" w:hAnsi="Times New Roman" w:cs="Times New Roman"/>
          <w:sz w:val="24"/>
          <w:szCs w:val="24"/>
        </w:rPr>
        <w:footnoteReference w:id="9"/>
      </w:r>
      <w:r w:rsidRPr="00197421" w:rsidR="008313B7">
        <w:rPr>
          <w:rFonts w:ascii="Times New Roman" w:hAnsi="Times New Roman" w:cs="Times New Roman"/>
          <w:sz w:val="24"/>
          <w:szCs w:val="24"/>
        </w:rPr>
        <w:t xml:space="preserve"> Data from the WMS show large variations in these practices and their systematic relationship with clinical outcomes such as mortality rates from hea</w:t>
      </w:r>
      <w:r w:rsidRPr="00197421" w:rsidR="00694398">
        <w:rPr>
          <w:rFonts w:ascii="Times New Roman" w:hAnsi="Times New Roman" w:cs="Times New Roman"/>
          <w:sz w:val="24"/>
          <w:szCs w:val="24"/>
        </w:rPr>
        <w:t>rt attacks</w:t>
      </w:r>
      <w:r w:rsidRPr="00197421" w:rsidR="008313B7">
        <w:rPr>
          <w:rFonts w:ascii="Times New Roman" w:hAnsi="Times New Roman" w:cs="Times New Roman"/>
          <w:sz w:val="24"/>
          <w:szCs w:val="24"/>
        </w:rPr>
        <w:t>.</w:t>
      </w:r>
      <w:r w:rsidRPr="00197421" w:rsidR="000C7802">
        <w:rPr>
          <w:rStyle w:val="FootnoteReference"/>
          <w:rFonts w:ascii="Times New Roman" w:hAnsi="Times New Roman" w:cs="Times New Roman"/>
          <w:sz w:val="24"/>
          <w:szCs w:val="24"/>
        </w:rPr>
        <w:footnoteReference w:id="10"/>
      </w:r>
      <w:r w:rsidRPr="00197421" w:rsidR="008313B7">
        <w:rPr>
          <w:rFonts w:ascii="Times New Roman" w:hAnsi="Times New Roman" w:cs="Times New Roman"/>
          <w:sz w:val="24"/>
          <w:szCs w:val="24"/>
        </w:rPr>
        <w:t xml:space="preserve"> The justifications for the MOPS-HP’s content </w:t>
      </w:r>
      <w:r w:rsidRPr="00197421" w:rsidR="00D61EC2">
        <w:rPr>
          <w:rFonts w:ascii="Times New Roman" w:hAnsi="Times New Roman" w:cs="Times New Roman"/>
          <w:sz w:val="24"/>
          <w:szCs w:val="24"/>
        </w:rPr>
        <w:t>seen in Attachment B</w:t>
      </w:r>
      <w:r w:rsidRPr="00197421" w:rsidR="008313B7">
        <w:rPr>
          <w:rFonts w:ascii="Times New Roman" w:hAnsi="Times New Roman" w:cs="Times New Roman"/>
          <w:sz w:val="24"/>
          <w:szCs w:val="24"/>
        </w:rPr>
        <w:t xml:space="preserve"> </w:t>
      </w:r>
      <w:r w:rsidRPr="00197421" w:rsidR="00925160">
        <w:rPr>
          <w:rFonts w:ascii="Times New Roman" w:hAnsi="Times New Roman" w:cs="Times New Roman"/>
          <w:sz w:val="24"/>
          <w:szCs w:val="24"/>
        </w:rPr>
        <w:t xml:space="preserve">reference </w:t>
      </w:r>
      <w:r w:rsidRPr="00197421" w:rsidR="008313B7">
        <w:rPr>
          <w:rFonts w:ascii="Times New Roman" w:hAnsi="Times New Roman" w:cs="Times New Roman"/>
          <w:sz w:val="24"/>
          <w:szCs w:val="24"/>
        </w:rPr>
        <w:t>adaptations of</w:t>
      </w:r>
      <w:r w:rsidRPr="00197421" w:rsidR="00925160">
        <w:rPr>
          <w:rFonts w:ascii="Times New Roman" w:hAnsi="Times New Roman" w:cs="Times New Roman"/>
          <w:sz w:val="24"/>
          <w:szCs w:val="24"/>
        </w:rPr>
        <w:t xml:space="preserve"> the</w:t>
      </w:r>
      <w:r w:rsidRPr="00197421" w:rsidR="008313B7">
        <w:rPr>
          <w:rFonts w:ascii="Times New Roman" w:hAnsi="Times New Roman" w:cs="Times New Roman"/>
          <w:sz w:val="24"/>
          <w:szCs w:val="24"/>
        </w:rPr>
        <w:t xml:space="preserve"> questions asked in the 2015 MOPS and 2009 WMS. </w:t>
      </w:r>
    </w:p>
    <w:p w:rsidRPr="00197421" w:rsidR="00056E9D" w:rsidP="00300AED" w:rsidRDefault="06A81255" w14:paraId="2BAD2C3F" w14:textId="105DC761">
      <w:pPr>
        <w:rPr>
          <w:rFonts w:ascii="Times New Roman" w:hAnsi="Times New Roman" w:cs="Times New Roman"/>
          <w:sz w:val="24"/>
          <w:szCs w:val="24"/>
        </w:rPr>
      </w:pPr>
      <w:r w:rsidRPr="009670C6">
        <w:rPr>
          <w:rFonts w:ascii="Times New Roman" w:hAnsi="Times New Roman" w:cs="Times New Roman"/>
          <w:sz w:val="24"/>
          <w:szCs w:val="24"/>
          <w:highlight w:val="yellow"/>
        </w:rPr>
        <w:t xml:space="preserve">The COVID-19 pandemic highlights the relevance of hospital management practices, especially as they relate to hospitals’ ability to respond to shocks to their organization and the health care system. </w:t>
      </w:r>
      <w:proofErr w:type="gramStart"/>
      <w:r w:rsidRPr="009670C6">
        <w:rPr>
          <w:rFonts w:ascii="Times New Roman" w:hAnsi="Times New Roman" w:cs="Times New Roman"/>
          <w:sz w:val="24"/>
          <w:szCs w:val="24"/>
          <w:highlight w:val="yellow"/>
        </w:rPr>
        <w:t>In light of</w:t>
      </w:r>
      <w:proofErr w:type="gramEnd"/>
      <w:r w:rsidRPr="009670C6">
        <w:rPr>
          <w:rFonts w:ascii="Times New Roman" w:hAnsi="Times New Roman" w:cs="Times New Roman"/>
          <w:sz w:val="24"/>
          <w:szCs w:val="24"/>
          <w:highlight w:val="yellow"/>
        </w:rPr>
        <w:t xml:space="preserve"> this, the Census Bureau has modified the survey proposal to collect data for reference years 2020 and 2019. This change seeks to directly measure management practices and protocols before and during the pandemic to gain a better understanding of how hospitals have had to adjust and pivot operations during this public health emergency.</w:t>
      </w:r>
      <w:r w:rsidRPr="00197421">
        <w:rPr>
          <w:rFonts w:ascii="Times New Roman" w:hAnsi="Times New Roman" w:cs="Times New Roman"/>
          <w:sz w:val="24"/>
          <w:szCs w:val="24"/>
        </w:rPr>
        <w:t xml:space="preserve"> The Census Bureau has also included two questions in the MOPS-HP content to help improve measurement of hospital preparedness. These questions, numbered 30 and 36 as seen in Attachment A, will provide information on two elements of responsiveness, hospitals’ coordinated deployment of frontline clinical workers and hospitals’ ability to quickly respond to needed changes in standardized clinical protocols. Attachment H summarizes the development process for these questions. </w:t>
      </w:r>
      <w:proofErr w:type="gramStart"/>
      <w:r w:rsidRPr="00197421">
        <w:rPr>
          <w:rFonts w:ascii="Times New Roman" w:hAnsi="Times New Roman" w:cs="Times New Roman"/>
          <w:sz w:val="24"/>
          <w:szCs w:val="24"/>
        </w:rPr>
        <w:t>In an effort to</w:t>
      </w:r>
      <w:proofErr w:type="gramEnd"/>
      <w:r w:rsidRPr="00197421">
        <w:rPr>
          <w:rFonts w:ascii="Times New Roman" w:hAnsi="Times New Roman" w:cs="Times New Roman"/>
          <w:sz w:val="24"/>
          <w:szCs w:val="24"/>
        </w:rPr>
        <w:t xml:space="preserve"> limit respondent burden while adding this content, adjustments were made to keep the total number of questions and estimated burden per response unchanged. </w:t>
      </w:r>
      <w:r w:rsidRPr="009670C6">
        <w:rPr>
          <w:rFonts w:ascii="Times New Roman" w:hAnsi="Times New Roman" w:cs="Times New Roman"/>
          <w:sz w:val="24"/>
          <w:szCs w:val="24"/>
          <w:highlight w:val="yellow"/>
        </w:rPr>
        <w:t xml:space="preserve">Because the content changes were developed in response to the current pandemic, they were made after the pre-submission notice for the MOPS-HP was published in the </w:t>
      </w:r>
      <w:r w:rsidRPr="009670C6">
        <w:rPr>
          <w:rFonts w:ascii="Times New Roman" w:hAnsi="Times New Roman" w:cs="Times New Roman"/>
          <w:i/>
          <w:iCs/>
          <w:sz w:val="24"/>
          <w:szCs w:val="24"/>
          <w:highlight w:val="yellow"/>
        </w:rPr>
        <w:t>Federal Register</w:t>
      </w:r>
      <w:r w:rsidRPr="009670C6">
        <w:rPr>
          <w:rFonts w:ascii="Times New Roman" w:hAnsi="Times New Roman" w:cs="Times New Roman"/>
          <w:sz w:val="24"/>
          <w:szCs w:val="24"/>
          <w:highlight w:val="yellow"/>
        </w:rPr>
        <w:t>.</w:t>
      </w:r>
      <w:r w:rsidRPr="00197421">
        <w:rPr>
          <w:rFonts w:ascii="Times New Roman" w:hAnsi="Times New Roman" w:cs="Times New Roman"/>
          <w:sz w:val="24"/>
          <w:szCs w:val="24"/>
        </w:rPr>
        <w:t xml:space="preserve"> </w:t>
      </w:r>
    </w:p>
    <w:p w:rsidRPr="00197421" w:rsidR="00F95C47" w:rsidP="009E69B8" w:rsidRDefault="008F4F6B" w14:paraId="7D4CCD38" w14:textId="77777777">
      <w:pPr>
        <w:pStyle w:val="CommentText"/>
        <w:spacing w:after="0"/>
      </w:pPr>
      <w:r w:rsidRPr="00197421">
        <w:rPr>
          <w:rFonts w:ascii="Times New Roman" w:hAnsi="Times New Roman" w:cs="Times New Roman"/>
          <w:sz w:val="24"/>
          <w:szCs w:val="24"/>
        </w:rPr>
        <w:t>The MOPS-HP will</w:t>
      </w:r>
      <w:r w:rsidRPr="00197421" w:rsidR="00012F0C">
        <w:rPr>
          <w:rFonts w:ascii="Times New Roman" w:hAnsi="Times New Roman" w:cs="Times New Roman"/>
          <w:sz w:val="24"/>
          <w:szCs w:val="24"/>
        </w:rPr>
        <w:t xml:space="preserve"> be a supplement to</w:t>
      </w:r>
      <w:r w:rsidRPr="00197421">
        <w:rPr>
          <w:rFonts w:ascii="Times New Roman" w:hAnsi="Times New Roman" w:cs="Times New Roman"/>
          <w:sz w:val="24"/>
          <w:szCs w:val="24"/>
        </w:rPr>
        <w:t xml:space="preserve"> the Service Annual Survey</w:t>
      </w:r>
      <w:r w:rsidRPr="00197421" w:rsidR="00674057">
        <w:rPr>
          <w:rFonts w:ascii="Times New Roman" w:hAnsi="Times New Roman" w:cs="Times New Roman"/>
          <w:sz w:val="24"/>
          <w:szCs w:val="24"/>
        </w:rPr>
        <w:t xml:space="preserve"> (SAS)</w:t>
      </w:r>
      <w:r w:rsidRPr="00197421">
        <w:rPr>
          <w:rFonts w:ascii="Times New Roman" w:hAnsi="Times New Roman" w:cs="Times New Roman"/>
          <w:sz w:val="24"/>
          <w:szCs w:val="24"/>
        </w:rPr>
        <w:t xml:space="preserve"> </w:t>
      </w:r>
      <w:r w:rsidRPr="00197421" w:rsidR="00012F0C">
        <w:rPr>
          <w:rFonts w:ascii="Times New Roman" w:hAnsi="Times New Roman" w:cs="Times New Roman"/>
          <w:sz w:val="24"/>
          <w:szCs w:val="24"/>
        </w:rPr>
        <w:t xml:space="preserve">and will utilize a </w:t>
      </w:r>
    </w:p>
    <w:p w:rsidRPr="00197421" w:rsidR="008F4F6B" w:rsidP="00A70220" w:rsidRDefault="00012F0C" w14:paraId="787185A9" w14:textId="49321F9E">
      <w:pPr>
        <w:rPr>
          <w:rFonts w:ascii="Times New Roman" w:hAnsi="Times New Roman" w:cs="Times New Roman"/>
          <w:sz w:val="24"/>
          <w:szCs w:val="24"/>
        </w:rPr>
      </w:pPr>
      <w:r w:rsidRPr="00197421">
        <w:rPr>
          <w:rFonts w:ascii="Times New Roman" w:hAnsi="Times New Roman" w:cs="Times New Roman"/>
          <w:sz w:val="24"/>
          <w:szCs w:val="24"/>
        </w:rPr>
        <w:t xml:space="preserve">subset of </w:t>
      </w:r>
      <w:r w:rsidRPr="00197421" w:rsidR="0067665C">
        <w:rPr>
          <w:rFonts w:ascii="Times New Roman" w:hAnsi="Times New Roman" w:cs="Times New Roman"/>
          <w:sz w:val="24"/>
          <w:szCs w:val="24"/>
        </w:rPr>
        <w:t xml:space="preserve">its </w:t>
      </w:r>
      <w:r w:rsidRPr="00197421" w:rsidR="008F4F6B">
        <w:rPr>
          <w:rFonts w:ascii="Times New Roman" w:hAnsi="Times New Roman" w:cs="Times New Roman"/>
          <w:sz w:val="24"/>
          <w:szCs w:val="24"/>
        </w:rPr>
        <w:t>mail-out sample</w:t>
      </w:r>
      <w:r w:rsidRPr="00197421">
        <w:rPr>
          <w:rFonts w:ascii="Times New Roman" w:hAnsi="Times New Roman" w:cs="Times New Roman"/>
          <w:sz w:val="24"/>
          <w:szCs w:val="24"/>
        </w:rPr>
        <w:t>.</w:t>
      </w:r>
      <w:r w:rsidRPr="00197421" w:rsidR="00CA6A46">
        <w:rPr>
          <w:rFonts w:ascii="Times New Roman" w:hAnsi="Times New Roman" w:cs="Times New Roman"/>
          <w:sz w:val="24"/>
          <w:szCs w:val="24"/>
        </w:rPr>
        <w:t xml:space="preserve"> </w:t>
      </w:r>
      <w:r w:rsidRPr="00197421" w:rsidR="00A70220">
        <w:rPr>
          <w:rFonts w:ascii="Times New Roman" w:hAnsi="Times New Roman" w:cs="Times New Roman"/>
          <w:sz w:val="24"/>
          <w:szCs w:val="24"/>
        </w:rPr>
        <w:t xml:space="preserve">Its </w:t>
      </w:r>
      <w:r w:rsidRPr="00197421" w:rsidR="008F4F6B">
        <w:rPr>
          <w:rFonts w:ascii="Times New Roman" w:hAnsi="Times New Roman" w:cs="Times New Roman"/>
          <w:sz w:val="24"/>
          <w:szCs w:val="24"/>
        </w:rPr>
        <w:t>sample will consist of hospital locations for enterprises classified under General Medical and Surgical Hospitals (NAICS 6221) and sampled in the S</w:t>
      </w:r>
      <w:r w:rsidRPr="00197421" w:rsidR="00674057">
        <w:rPr>
          <w:rFonts w:ascii="Times New Roman" w:hAnsi="Times New Roman" w:cs="Times New Roman"/>
          <w:sz w:val="24"/>
          <w:szCs w:val="24"/>
        </w:rPr>
        <w:t>AS</w:t>
      </w:r>
      <w:r w:rsidRPr="00197421" w:rsidR="008F4F6B">
        <w:rPr>
          <w:rFonts w:ascii="Times New Roman" w:hAnsi="Times New Roman" w:cs="Times New Roman"/>
          <w:sz w:val="24"/>
          <w:szCs w:val="24"/>
        </w:rPr>
        <w:t>. The survey will be mailed separately from the SAS and collected electronically through the Census Bureau’s Centurion online reporting system. Respondents will be sent an initial letter with instructions detailing how to log into the instrument and report their information. These letters</w:t>
      </w:r>
      <w:r w:rsidRPr="00197421" w:rsidR="005371A1">
        <w:rPr>
          <w:rFonts w:ascii="Times New Roman" w:hAnsi="Times New Roman" w:cs="Times New Roman"/>
          <w:sz w:val="24"/>
          <w:szCs w:val="24"/>
        </w:rPr>
        <w:t>, which can be</w:t>
      </w:r>
      <w:r w:rsidRPr="00197421" w:rsidR="00264050">
        <w:rPr>
          <w:rFonts w:ascii="Times New Roman" w:hAnsi="Times New Roman" w:cs="Times New Roman"/>
          <w:sz w:val="24"/>
          <w:szCs w:val="24"/>
        </w:rPr>
        <w:t xml:space="preserve"> seen in Attachment</w:t>
      </w:r>
      <w:r w:rsidRPr="00197421" w:rsidR="00715C82">
        <w:rPr>
          <w:rFonts w:ascii="Times New Roman" w:hAnsi="Times New Roman" w:cs="Times New Roman"/>
          <w:sz w:val="24"/>
          <w:szCs w:val="24"/>
        </w:rPr>
        <w:t>s</w:t>
      </w:r>
      <w:r w:rsidRPr="00197421" w:rsidR="00264050">
        <w:rPr>
          <w:rFonts w:ascii="Times New Roman" w:hAnsi="Times New Roman" w:cs="Times New Roman"/>
          <w:sz w:val="24"/>
          <w:szCs w:val="24"/>
        </w:rPr>
        <w:t xml:space="preserve"> </w:t>
      </w:r>
      <w:r w:rsidRPr="00197421" w:rsidR="00D61EC2">
        <w:rPr>
          <w:rFonts w:ascii="Times New Roman" w:hAnsi="Times New Roman" w:cs="Times New Roman"/>
          <w:sz w:val="24"/>
          <w:szCs w:val="24"/>
        </w:rPr>
        <w:t>C</w:t>
      </w:r>
      <w:r w:rsidRPr="00197421" w:rsidR="00715C82">
        <w:rPr>
          <w:rFonts w:ascii="Times New Roman" w:hAnsi="Times New Roman" w:cs="Times New Roman"/>
          <w:sz w:val="24"/>
          <w:szCs w:val="24"/>
        </w:rPr>
        <w:t>, D, and E,</w:t>
      </w:r>
      <w:r w:rsidRPr="00197421" w:rsidR="008F4F6B">
        <w:rPr>
          <w:rFonts w:ascii="Times New Roman" w:hAnsi="Times New Roman" w:cs="Times New Roman"/>
          <w:sz w:val="24"/>
          <w:szCs w:val="24"/>
        </w:rPr>
        <w:t xml:space="preserve"> will be addressed to the location’s Chief </w:t>
      </w:r>
      <w:r w:rsidRPr="00197421" w:rsidR="008F4F6B">
        <w:rPr>
          <w:rFonts w:ascii="Times New Roman" w:hAnsi="Times New Roman" w:cs="Times New Roman"/>
          <w:sz w:val="24"/>
          <w:szCs w:val="24"/>
        </w:rPr>
        <w:lastRenderedPageBreak/>
        <w:t>Nursing Officer (CNO).</w:t>
      </w:r>
      <w:r w:rsidRPr="00197421" w:rsidR="00DB2D8A">
        <w:rPr>
          <w:rFonts w:ascii="Times New Roman" w:hAnsi="Times New Roman" w:cs="Times New Roman"/>
          <w:sz w:val="24"/>
          <w:szCs w:val="24"/>
        </w:rPr>
        <w:t xml:space="preserve"> The letters that are attached to this package are drafts</w:t>
      </w:r>
      <w:r w:rsidRPr="00197421" w:rsidR="00674057">
        <w:rPr>
          <w:rFonts w:ascii="Times New Roman" w:hAnsi="Times New Roman" w:cs="Times New Roman"/>
          <w:sz w:val="24"/>
          <w:szCs w:val="24"/>
        </w:rPr>
        <w:t>;</w:t>
      </w:r>
      <w:r w:rsidRPr="00197421" w:rsidR="00DB2D8A">
        <w:rPr>
          <w:rFonts w:ascii="Times New Roman" w:hAnsi="Times New Roman" w:cs="Times New Roman"/>
          <w:sz w:val="24"/>
          <w:szCs w:val="24"/>
        </w:rPr>
        <w:t xml:space="preserve"> </w:t>
      </w:r>
      <w:r w:rsidRPr="00197421" w:rsidR="00674057">
        <w:rPr>
          <w:rFonts w:ascii="Times New Roman" w:hAnsi="Times New Roman" w:cs="Times New Roman"/>
          <w:sz w:val="24"/>
          <w:szCs w:val="24"/>
        </w:rPr>
        <w:t>h</w:t>
      </w:r>
      <w:r w:rsidRPr="00197421" w:rsidR="005371A1">
        <w:rPr>
          <w:rFonts w:ascii="Times New Roman" w:hAnsi="Times New Roman" w:cs="Times New Roman"/>
          <w:sz w:val="24"/>
          <w:szCs w:val="24"/>
        </w:rPr>
        <w:t xml:space="preserve">owever, we do not expect any substantial changes. </w:t>
      </w:r>
      <w:r w:rsidRPr="009670C6" w:rsidR="005371A1">
        <w:rPr>
          <w:rFonts w:ascii="Times New Roman" w:hAnsi="Times New Roman" w:cs="Times New Roman"/>
          <w:sz w:val="24"/>
          <w:szCs w:val="24"/>
          <w:highlight w:val="yellow"/>
        </w:rPr>
        <w:t xml:space="preserve">Collection is scheduled to begin in </w:t>
      </w:r>
      <w:r w:rsidRPr="009670C6" w:rsidR="00A928D3">
        <w:rPr>
          <w:rFonts w:ascii="Times New Roman" w:hAnsi="Times New Roman" w:cs="Times New Roman"/>
          <w:sz w:val="24"/>
          <w:szCs w:val="24"/>
          <w:highlight w:val="yellow"/>
        </w:rPr>
        <w:t>April</w:t>
      </w:r>
      <w:r w:rsidRPr="009670C6" w:rsidR="00267B05">
        <w:rPr>
          <w:rFonts w:ascii="Times New Roman" w:hAnsi="Times New Roman" w:cs="Times New Roman"/>
          <w:sz w:val="24"/>
          <w:szCs w:val="24"/>
          <w:highlight w:val="yellow"/>
        </w:rPr>
        <w:t xml:space="preserve"> 2021</w:t>
      </w:r>
      <w:r w:rsidRPr="009670C6" w:rsidR="005371A1">
        <w:rPr>
          <w:rFonts w:ascii="Times New Roman" w:hAnsi="Times New Roman" w:cs="Times New Roman"/>
          <w:sz w:val="24"/>
          <w:szCs w:val="24"/>
          <w:highlight w:val="yellow"/>
        </w:rPr>
        <w:t xml:space="preserve"> and end in </w:t>
      </w:r>
      <w:r w:rsidRPr="009670C6" w:rsidR="00A928D3">
        <w:rPr>
          <w:rFonts w:ascii="Times New Roman" w:hAnsi="Times New Roman" w:cs="Times New Roman"/>
          <w:sz w:val="24"/>
          <w:szCs w:val="24"/>
          <w:highlight w:val="yellow"/>
        </w:rPr>
        <w:t>October</w:t>
      </w:r>
      <w:r w:rsidRPr="009670C6" w:rsidR="007425F7">
        <w:rPr>
          <w:rFonts w:ascii="Times New Roman" w:hAnsi="Times New Roman" w:cs="Times New Roman"/>
          <w:sz w:val="24"/>
          <w:szCs w:val="24"/>
          <w:highlight w:val="yellow"/>
        </w:rPr>
        <w:t xml:space="preserve"> </w:t>
      </w:r>
      <w:r w:rsidRPr="009670C6" w:rsidR="005371A1">
        <w:rPr>
          <w:rFonts w:ascii="Times New Roman" w:hAnsi="Times New Roman" w:cs="Times New Roman"/>
          <w:sz w:val="24"/>
          <w:szCs w:val="24"/>
          <w:highlight w:val="yellow"/>
        </w:rPr>
        <w:t>2021.</w:t>
      </w:r>
      <w:r w:rsidRPr="00197421" w:rsidR="007F731D">
        <w:rPr>
          <w:rFonts w:ascii="Times New Roman" w:hAnsi="Times New Roman" w:cs="Times New Roman"/>
          <w:sz w:val="24"/>
          <w:szCs w:val="24"/>
        </w:rPr>
        <w:t xml:space="preserve"> Due to the nature of the respondents, t</w:t>
      </w:r>
      <w:r w:rsidRPr="00197421" w:rsidR="00081FD7">
        <w:rPr>
          <w:rFonts w:ascii="Times New Roman" w:hAnsi="Times New Roman" w:cs="Times New Roman"/>
          <w:sz w:val="24"/>
          <w:szCs w:val="24"/>
        </w:rPr>
        <w:t>his schedule may be impacted by the effects of COVID-19. The Census Bureau is monitoring the ongoing situation and will adjust dates as necessary as the collection start date approaches</w:t>
      </w:r>
      <w:r w:rsidRPr="00197421" w:rsidR="007D63A8">
        <w:rPr>
          <w:rFonts w:ascii="Times New Roman" w:hAnsi="Times New Roman" w:cs="Times New Roman"/>
          <w:sz w:val="24"/>
          <w:szCs w:val="24"/>
        </w:rPr>
        <w:t xml:space="preserve"> as we do not want to add burden to an overly burdened sector of the economy.</w:t>
      </w:r>
    </w:p>
    <w:p w:rsidRPr="00197421" w:rsidR="00452886" w:rsidP="008F4F6B" w:rsidRDefault="00124E90" w14:paraId="02958F69" w14:textId="17B2D865">
      <w:pPr>
        <w:rPr>
          <w:rFonts w:ascii="Times New Roman" w:hAnsi="Times New Roman" w:cs="Times New Roman"/>
          <w:sz w:val="24"/>
          <w:szCs w:val="24"/>
        </w:rPr>
      </w:pPr>
      <w:r w:rsidRPr="00197421">
        <w:rPr>
          <w:rFonts w:ascii="Times New Roman" w:hAnsi="Times New Roman" w:cs="Times New Roman"/>
          <w:sz w:val="24"/>
          <w:szCs w:val="24"/>
        </w:rPr>
        <w:t xml:space="preserve">The Census Bureau will conduct the MOPS-HP on a mandatory basis under authority of </w:t>
      </w:r>
      <w:r w:rsidRPr="00197421" w:rsidR="00452886">
        <w:rPr>
          <w:rFonts w:ascii="Times New Roman" w:hAnsi="Times New Roman" w:cs="Times New Roman"/>
          <w:sz w:val="24"/>
          <w:szCs w:val="24"/>
        </w:rPr>
        <w:t>Title 13, U</w:t>
      </w:r>
      <w:r w:rsidRPr="00197421">
        <w:rPr>
          <w:rFonts w:ascii="Times New Roman" w:hAnsi="Times New Roman" w:cs="Times New Roman"/>
          <w:sz w:val="24"/>
          <w:szCs w:val="24"/>
        </w:rPr>
        <w:t xml:space="preserve">nited States Code, Sections 131, </w:t>
      </w:r>
      <w:r w:rsidRPr="00197421" w:rsidR="00452886">
        <w:rPr>
          <w:rFonts w:ascii="Times New Roman" w:hAnsi="Times New Roman" w:cs="Times New Roman"/>
          <w:sz w:val="24"/>
          <w:szCs w:val="24"/>
        </w:rPr>
        <w:t>182</w:t>
      </w:r>
      <w:r w:rsidRPr="00197421">
        <w:rPr>
          <w:rFonts w:ascii="Times New Roman" w:hAnsi="Times New Roman" w:cs="Times New Roman"/>
          <w:sz w:val="24"/>
          <w:szCs w:val="24"/>
        </w:rPr>
        <w:t>, 224, and 225</w:t>
      </w:r>
      <w:r w:rsidRPr="00197421" w:rsidR="00452886">
        <w:rPr>
          <w:rFonts w:ascii="Times New Roman" w:hAnsi="Times New Roman" w:cs="Times New Roman"/>
          <w:sz w:val="24"/>
          <w:szCs w:val="24"/>
        </w:rPr>
        <w:t xml:space="preserve">. </w:t>
      </w:r>
      <w:r w:rsidRPr="00197421" w:rsidR="001A5A82">
        <w:rPr>
          <w:rFonts w:ascii="Times New Roman" w:hAnsi="Times New Roman" w:cs="Times New Roman"/>
          <w:sz w:val="24"/>
          <w:szCs w:val="24"/>
        </w:rPr>
        <w:t>The cited authorities can be seen in Attachment I.</w:t>
      </w:r>
    </w:p>
    <w:p w:rsidRPr="00197421" w:rsidR="004A3093" w:rsidP="008F4F6B" w:rsidRDefault="004A3093" w14:paraId="09E54981" w14:textId="77777777">
      <w:pPr>
        <w:rPr>
          <w:rFonts w:ascii="Times New Roman" w:hAnsi="Times New Roman" w:cs="Times New Roman"/>
          <w:sz w:val="24"/>
          <w:szCs w:val="24"/>
        </w:rPr>
      </w:pPr>
    </w:p>
    <w:p w:rsidRPr="00197421" w:rsidR="008F4F6B" w:rsidP="008F4F6B" w:rsidRDefault="06A81255" w14:paraId="3621ADE4" w14:textId="77777777">
      <w:pPr>
        <w:pStyle w:val="NormalWeb"/>
        <w:rPr>
          <w:color w:val="auto"/>
        </w:rPr>
      </w:pPr>
      <w:r w:rsidRPr="00197421">
        <w:rPr>
          <w:color w:val="auto"/>
          <w:u w:val="single"/>
        </w:rPr>
        <w:t>Question 2. Needs and Uses</w:t>
      </w:r>
    </w:p>
    <w:p w:rsidRPr="00197421" w:rsidR="00445A5D" w:rsidP="008F4F6B" w:rsidRDefault="00EA4524" w14:paraId="706FF319" w14:textId="4AD50AEF">
      <w:pPr>
        <w:rPr>
          <w:rFonts w:ascii="Times New Roman" w:hAnsi="Times New Roman" w:cs="Times New Roman"/>
          <w:sz w:val="24"/>
          <w:szCs w:val="24"/>
        </w:rPr>
      </w:pPr>
      <w:r w:rsidRPr="00197421">
        <w:rPr>
          <w:rFonts w:ascii="Times New Roman" w:hAnsi="Times New Roman" w:cs="Times New Roman"/>
          <w:sz w:val="24"/>
          <w:szCs w:val="24"/>
        </w:rPr>
        <w:t xml:space="preserve">The Census Bureau will produce a </w:t>
      </w:r>
      <w:proofErr w:type="gramStart"/>
      <w:r w:rsidRPr="00197421">
        <w:rPr>
          <w:rFonts w:ascii="Times New Roman" w:hAnsi="Times New Roman" w:cs="Times New Roman"/>
          <w:sz w:val="24"/>
          <w:szCs w:val="24"/>
        </w:rPr>
        <w:t>publicly-available</w:t>
      </w:r>
      <w:proofErr w:type="gramEnd"/>
      <w:r w:rsidRPr="00197421">
        <w:rPr>
          <w:rFonts w:ascii="Times New Roman" w:hAnsi="Times New Roman" w:cs="Times New Roman"/>
          <w:sz w:val="24"/>
          <w:szCs w:val="24"/>
        </w:rPr>
        <w:t xml:space="preserve"> press release to describe the survey and discuss the results. The Census Bureau will also write at least one research paper describing the MOPS-HP collection, processing, and data findings.  </w:t>
      </w:r>
      <w:r w:rsidRPr="00197421" w:rsidR="005069E5">
        <w:rPr>
          <w:rFonts w:ascii="Times New Roman" w:hAnsi="Times New Roman" w:cs="Times New Roman"/>
          <w:sz w:val="24"/>
          <w:szCs w:val="24"/>
        </w:rPr>
        <w:t>Conditional on quality,</w:t>
      </w:r>
      <w:r w:rsidRPr="00197421" w:rsidR="009E3AA9">
        <w:rPr>
          <w:rFonts w:ascii="Times New Roman" w:hAnsi="Times New Roman" w:cs="Times New Roman"/>
          <w:sz w:val="24"/>
          <w:szCs w:val="24"/>
        </w:rPr>
        <w:t xml:space="preserve"> the</w:t>
      </w:r>
      <w:r w:rsidRPr="00197421" w:rsidR="005069E5">
        <w:rPr>
          <w:rFonts w:ascii="Times New Roman" w:hAnsi="Times New Roman" w:cs="Times New Roman"/>
          <w:sz w:val="24"/>
          <w:szCs w:val="24"/>
        </w:rPr>
        <w:t xml:space="preserve"> </w:t>
      </w:r>
      <w:r w:rsidRPr="00197421" w:rsidR="009E3AA9">
        <w:rPr>
          <w:rFonts w:ascii="Times New Roman" w:hAnsi="Times New Roman" w:cs="Times New Roman"/>
          <w:sz w:val="24"/>
          <w:szCs w:val="24"/>
        </w:rPr>
        <w:t>Census Bureau will</w:t>
      </w:r>
      <w:r w:rsidRPr="00197421" w:rsidR="001929F9">
        <w:rPr>
          <w:rFonts w:ascii="Times New Roman" w:hAnsi="Times New Roman" w:cs="Times New Roman"/>
          <w:sz w:val="24"/>
          <w:szCs w:val="24"/>
        </w:rPr>
        <w:t xml:space="preserve"> construct</w:t>
      </w:r>
      <w:r w:rsidRPr="00197421" w:rsidR="009E3AA9">
        <w:rPr>
          <w:rFonts w:ascii="Times New Roman" w:hAnsi="Times New Roman" w:cs="Times New Roman"/>
          <w:sz w:val="24"/>
          <w:szCs w:val="24"/>
        </w:rPr>
        <w:t xml:space="preserve"> and publish in a research paper </w:t>
      </w:r>
      <w:r w:rsidRPr="00197421" w:rsidR="001929F9">
        <w:rPr>
          <w:rFonts w:ascii="Times New Roman" w:hAnsi="Times New Roman" w:cs="Times New Roman"/>
          <w:sz w:val="24"/>
          <w:szCs w:val="24"/>
        </w:rPr>
        <w:t>indices o</w:t>
      </w:r>
      <w:r w:rsidRPr="00197421" w:rsidR="009E3AA9">
        <w:rPr>
          <w:rFonts w:ascii="Times New Roman" w:hAnsi="Times New Roman" w:cs="Times New Roman"/>
          <w:sz w:val="24"/>
          <w:szCs w:val="24"/>
        </w:rPr>
        <w:t>f</w:t>
      </w:r>
      <w:r w:rsidRPr="00197421" w:rsidR="00343F2D">
        <w:rPr>
          <w:rFonts w:ascii="Times New Roman" w:hAnsi="Times New Roman" w:cs="Times New Roman"/>
          <w:sz w:val="24"/>
          <w:szCs w:val="24"/>
        </w:rPr>
        <w:t xml:space="preserve"> </w:t>
      </w:r>
      <w:r w:rsidRPr="00197421" w:rsidR="001929F9">
        <w:rPr>
          <w:rFonts w:ascii="Times New Roman" w:hAnsi="Times New Roman" w:cs="Times New Roman"/>
          <w:sz w:val="24"/>
          <w:szCs w:val="24"/>
        </w:rPr>
        <w:t xml:space="preserve">management practices, which can be used in tabulations and empirical analyses for potential use by the public, clinicians, hospitals, and researchers. These </w:t>
      </w:r>
      <w:r w:rsidRPr="00197421" w:rsidR="00343F2D">
        <w:rPr>
          <w:rFonts w:ascii="Times New Roman" w:hAnsi="Times New Roman" w:cs="Times New Roman"/>
          <w:sz w:val="24"/>
          <w:szCs w:val="24"/>
        </w:rPr>
        <w:t xml:space="preserve">indices </w:t>
      </w:r>
      <w:r w:rsidRPr="00197421" w:rsidR="001929F9">
        <w:rPr>
          <w:rFonts w:ascii="Times New Roman" w:hAnsi="Times New Roman" w:cs="Times New Roman"/>
          <w:sz w:val="24"/>
          <w:szCs w:val="24"/>
        </w:rPr>
        <w:t xml:space="preserve">as well as microdata will be available to approved Federal Statistical Research Data Centers (FSRDC) users and will provide benefits to other Federal agencies and the public.  </w:t>
      </w:r>
    </w:p>
    <w:p w:rsidRPr="00197421" w:rsidR="00EA1101" w:rsidP="008F4F6B" w:rsidRDefault="00EA1101" w14:paraId="4C6FEE36" w14:textId="0A828D6A">
      <w:pPr>
        <w:rPr>
          <w:rFonts w:ascii="Times New Roman" w:hAnsi="Times New Roman" w:cs="Times New Roman"/>
          <w:sz w:val="24"/>
          <w:szCs w:val="24"/>
        </w:rPr>
      </w:pPr>
      <w:r w:rsidRPr="00197421">
        <w:rPr>
          <w:rFonts w:ascii="Times New Roman" w:hAnsi="Times New Roman" w:cs="Times New Roman"/>
          <w:sz w:val="24"/>
          <w:szCs w:val="24"/>
        </w:rPr>
        <w:t xml:space="preserve">Examining factors </w:t>
      </w:r>
      <w:r w:rsidRPr="00197421" w:rsidR="00E94546">
        <w:rPr>
          <w:rFonts w:ascii="Times New Roman" w:hAnsi="Times New Roman" w:cs="Times New Roman"/>
          <w:sz w:val="24"/>
          <w:szCs w:val="24"/>
        </w:rPr>
        <w:t xml:space="preserve">that impact </w:t>
      </w:r>
      <w:r w:rsidRPr="00197421">
        <w:rPr>
          <w:rFonts w:ascii="Times New Roman" w:hAnsi="Times New Roman" w:cs="Times New Roman"/>
          <w:sz w:val="24"/>
          <w:szCs w:val="24"/>
        </w:rPr>
        <w:t>clinical and financial outcomes is essential to understanding the health care industry, which makes up a large portion of the U.S. economy. The MOPS-HP will provide unique national-level estimates on management and organizational practices in hospitals</w:t>
      </w:r>
      <w:r w:rsidRPr="00197421" w:rsidR="00984700">
        <w:rPr>
          <w:rFonts w:ascii="Times New Roman" w:hAnsi="Times New Roman" w:cs="Times New Roman"/>
          <w:sz w:val="24"/>
          <w:szCs w:val="24"/>
        </w:rPr>
        <w:t xml:space="preserve"> </w:t>
      </w:r>
      <w:r w:rsidRPr="009670C6" w:rsidR="00984700">
        <w:rPr>
          <w:rFonts w:ascii="Times New Roman" w:hAnsi="Times New Roman" w:cs="Times New Roman"/>
          <w:sz w:val="24"/>
          <w:szCs w:val="24"/>
          <w:highlight w:val="yellow"/>
        </w:rPr>
        <w:t>prior to and during the COVID-19</w:t>
      </w:r>
      <w:r w:rsidRPr="00197421" w:rsidR="00984700">
        <w:rPr>
          <w:rFonts w:ascii="Times New Roman" w:hAnsi="Times New Roman" w:cs="Times New Roman"/>
          <w:sz w:val="24"/>
          <w:szCs w:val="24"/>
        </w:rPr>
        <w:t xml:space="preserve"> pandemic</w:t>
      </w:r>
      <w:r w:rsidRPr="00197421" w:rsidR="001E4CAA">
        <w:rPr>
          <w:rFonts w:ascii="Times New Roman" w:hAnsi="Times New Roman" w:cs="Times New Roman"/>
          <w:sz w:val="24"/>
          <w:szCs w:val="24"/>
        </w:rPr>
        <w:t xml:space="preserve"> that </w:t>
      </w:r>
      <w:r w:rsidRPr="00197421" w:rsidR="000B3C61">
        <w:rPr>
          <w:rFonts w:ascii="Times New Roman" w:hAnsi="Times New Roman" w:cs="Times New Roman"/>
          <w:sz w:val="24"/>
          <w:szCs w:val="24"/>
        </w:rPr>
        <w:t>could</w:t>
      </w:r>
      <w:r w:rsidRPr="00197421" w:rsidR="001E4CAA">
        <w:rPr>
          <w:rFonts w:ascii="Times New Roman" w:hAnsi="Times New Roman" w:cs="Times New Roman"/>
          <w:sz w:val="24"/>
          <w:szCs w:val="24"/>
        </w:rPr>
        <w:t xml:space="preserve"> improve our understanding of </w:t>
      </w:r>
      <w:r w:rsidRPr="00197421" w:rsidR="0016370F">
        <w:rPr>
          <w:rFonts w:ascii="Times New Roman" w:hAnsi="Times New Roman" w:cs="Times New Roman"/>
          <w:sz w:val="24"/>
          <w:szCs w:val="24"/>
        </w:rPr>
        <w:t>the hospital industry:</w:t>
      </w:r>
    </w:p>
    <w:p w:rsidRPr="00197421" w:rsidR="00EA1101" w:rsidP="00EA1101" w:rsidRDefault="00C75992" w14:paraId="3FD2DE90" w14:textId="05508AC6">
      <w:pPr>
        <w:pStyle w:val="ListParagraph"/>
        <w:numPr>
          <w:ilvl w:val="0"/>
          <w:numId w:val="8"/>
        </w:numPr>
        <w:rPr>
          <w:rFonts w:ascii="Times New Roman" w:hAnsi="Times New Roman" w:cs="Times New Roman"/>
          <w:sz w:val="24"/>
          <w:szCs w:val="24"/>
        </w:rPr>
      </w:pPr>
      <w:r w:rsidRPr="00197421">
        <w:rPr>
          <w:rFonts w:ascii="Times New Roman" w:hAnsi="Times New Roman" w:cs="Times New Roman"/>
          <w:sz w:val="24"/>
          <w:szCs w:val="24"/>
        </w:rPr>
        <w:t>The</w:t>
      </w:r>
      <w:r w:rsidRPr="00197421" w:rsidR="008F4F6B">
        <w:rPr>
          <w:rFonts w:ascii="Times New Roman" w:hAnsi="Times New Roman" w:cs="Times New Roman"/>
          <w:sz w:val="24"/>
          <w:szCs w:val="24"/>
        </w:rPr>
        <w:t xml:space="preserve"> Centers for Medicare and Medicaid</w:t>
      </w:r>
      <w:r w:rsidRPr="00197421" w:rsidR="00A77EFE">
        <w:rPr>
          <w:rFonts w:ascii="Times New Roman" w:hAnsi="Times New Roman" w:cs="Times New Roman"/>
          <w:sz w:val="24"/>
          <w:szCs w:val="24"/>
        </w:rPr>
        <w:t xml:space="preserve"> Services’</w:t>
      </w:r>
      <w:r w:rsidRPr="00197421" w:rsidR="008F4F6B">
        <w:rPr>
          <w:rFonts w:ascii="Times New Roman" w:hAnsi="Times New Roman" w:cs="Times New Roman"/>
          <w:sz w:val="24"/>
          <w:szCs w:val="24"/>
        </w:rPr>
        <w:t xml:space="preserve"> Hospital Compare data or the Hospital Consumer Assessment of Healthcare Providers and Systems (HCAHPS) survey</w:t>
      </w:r>
      <w:r w:rsidRPr="00197421">
        <w:rPr>
          <w:rFonts w:ascii="Times New Roman" w:hAnsi="Times New Roman" w:cs="Times New Roman"/>
          <w:sz w:val="24"/>
          <w:szCs w:val="24"/>
        </w:rPr>
        <w:t xml:space="preserve"> </w:t>
      </w:r>
      <w:r w:rsidRPr="00197421" w:rsidR="004E4A0E">
        <w:rPr>
          <w:rFonts w:ascii="Times New Roman" w:hAnsi="Times New Roman" w:cs="Times New Roman"/>
          <w:sz w:val="24"/>
          <w:szCs w:val="24"/>
        </w:rPr>
        <w:t>could</w:t>
      </w:r>
      <w:r w:rsidRPr="00197421">
        <w:rPr>
          <w:rFonts w:ascii="Times New Roman" w:hAnsi="Times New Roman" w:cs="Times New Roman"/>
          <w:sz w:val="24"/>
          <w:szCs w:val="24"/>
        </w:rPr>
        <w:t xml:space="preserve"> be used in conjunction with </w:t>
      </w:r>
      <w:r w:rsidRPr="00197421" w:rsidR="00803AAE">
        <w:rPr>
          <w:rFonts w:ascii="Times New Roman" w:hAnsi="Times New Roman" w:cs="Times New Roman"/>
          <w:sz w:val="24"/>
          <w:szCs w:val="24"/>
        </w:rPr>
        <w:t xml:space="preserve">the </w:t>
      </w:r>
      <w:r w:rsidRPr="00197421">
        <w:rPr>
          <w:rFonts w:ascii="Times New Roman" w:hAnsi="Times New Roman" w:cs="Times New Roman"/>
          <w:sz w:val="24"/>
          <w:szCs w:val="24"/>
        </w:rPr>
        <w:t>MOPS-HP to</w:t>
      </w:r>
      <w:r w:rsidRPr="00197421" w:rsidR="008F4F6B">
        <w:rPr>
          <w:rFonts w:ascii="Times New Roman" w:hAnsi="Times New Roman" w:cs="Times New Roman"/>
          <w:sz w:val="24"/>
          <w:szCs w:val="24"/>
        </w:rPr>
        <w:t xml:space="preserve"> </w:t>
      </w:r>
      <w:r w:rsidRPr="00197421">
        <w:rPr>
          <w:rFonts w:ascii="Times New Roman" w:hAnsi="Times New Roman" w:cs="Times New Roman"/>
          <w:sz w:val="24"/>
          <w:szCs w:val="24"/>
        </w:rPr>
        <w:t>determine</w:t>
      </w:r>
      <w:r w:rsidRPr="00197421" w:rsidR="008F4F6B">
        <w:rPr>
          <w:rFonts w:ascii="Times New Roman" w:hAnsi="Times New Roman" w:cs="Times New Roman"/>
          <w:sz w:val="24"/>
          <w:szCs w:val="24"/>
        </w:rPr>
        <w:t xml:space="preserve"> whether hospitals with more structured management practices have higher overall patient ratings and are more likely to be recommended.</w:t>
      </w:r>
      <w:r w:rsidRPr="00197421" w:rsidR="00792C13">
        <w:rPr>
          <w:rStyle w:val="FootnoteReference"/>
          <w:rFonts w:ascii="Times New Roman" w:hAnsi="Times New Roman" w:cs="Times New Roman"/>
          <w:sz w:val="24"/>
          <w:szCs w:val="24"/>
        </w:rPr>
        <w:footnoteReference w:id="11"/>
      </w:r>
      <w:r w:rsidRPr="00197421" w:rsidR="008F4F6B">
        <w:rPr>
          <w:rFonts w:ascii="Times New Roman" w:hAnsi="Times New Roman" w:cs="Times New Roman"/>
          <w:sz w:val="24"/>
          <w:szCs w:val="24"/>
        </w:rPr>
        <w:t xml:space="preserve">   </w:t>
      </w:r>
    </w:p>
    <w:p w:rsidRPr="00197421" w:rsidR="00EA1101" w:rsidP="00EA1101" w:rsidRDefault="008F4F6B" w14:paraId="630E2207" w14:textId="469BBB17">
      <w:pPr>
        <w:pStyle w:val="ListParagraph"/>
        <w:numPr>
          <w:ilvl w:val="0"/>
          <w:numId w:val="8"/>
        </w:numPr>
        <w:rPr>
          <w:rFonts w:ascii="Times New Roman" w:hAnsi="Times New Roman" w:cs="Times New Roman"/>
          <w:sz w:val="24"/>
          <w:szCs w:val="24"/>
        </w:rPr>
      </w:pPr>
      <w:r w:rsidRPr="00197421">
        <w:rPr>
          <w:rFonts w:ascii="Times New Roman" w:hAnsi="Times New Roman" w:cs="Times New Roman"/>
          <w:sz w:val="24"/>
          <w:szCs w:val="24"/>
        </w:rPr>
        <w:t xml:space="preserve">The National Hospital Care Survey from the National Center for Health Statistics </w:t>
      </w:r>
      <w:r w:rsidRPr="00197421" w:rsidR="004E4A0E">
        <w:rPr>
          <w:rFonts w:ascii="Times New Roman" w:hAnsi="Times New Roman" w:cs="Times New Roman"/>
          <w:sz w:val="24"/>
          <w:szCs w:val="24"/>
        </w:rPr>
        <w:t>could</w:t>
      </w:r>
      <w:r w:rsidRPr="00197421">
        <w:rPr>
          <w:rFonts w:ascii="Times New Roman" w:hAnsi="Times New Roman" w:cs="Times New Roman"/>
          <w:sz w:val="24"/>
          <w:szCs w:val="24"/>
        </w:rPr>
        <w:t xml:space="preserve"> be used in combination with the MOPS-HP’s index to evaluate how management practices relate t</w:t>
      </w:r>
      <w:r w:rsidRPr="00197421" w:rsidR="00EA1101">
        <w:rPr>
          <w:rFonts w:ascii="Times New Roman" w:hAnsi="Times New Roman" w:cs="Times New Roman"/>
          <w:sz w:val="24"/>
          <w:szCs w:val="24"/>
        </w:rPr>
        <w:t xml:space="preserve">o </w:t>
      </w:r>
      <w:r w:rsidRPr="00197421" w:rsidR="000B3C61">
        <w:rPr>
          <w:rFonts w:ascii="Times New Roman" w:hAnsi="Times New Roman" w:cs="Times New Roman"/>
          <w:sz w:val="24"/>
          <w:szCs w:val="24"/>
        </w:rPr>
        <w:t xml:space="preserve">hospital </w:t>
      </w:r>
      <w:r w:rsidRPr="00197421" w:rsidR="00EA1101">
        <w:rPr>
          <w:rFonts w:ascii="Times New Roman" w:hAnsi="Times New Roman" w:cs="Times New Roman"/>
          <w:sz w:val="24"/>
          <w:szCs w:val="24"/>
        </w:rPr>
        <w:t>utilization and patient care.</w:t>
      </w:r>
      <w:r w:rsidRPr="00197421">
        <w:rPr>
          <w:rFonts w:ascii="Times New Roman" w:hAnsi="Times New Roman" w:cs="Times New Roman"/>
          <w:sz w:val="24"/>
          <w:szCs w:val="24"/>
        </w:rPr>
        <w:t xml:space="preserve"> </w:t>
      </w:r>
    </w:p>
    <w:p w:rsidRPr="00197421" w:rsidR="00EA1101" w:rsidP="008F4F6B" w:rsidRDefault="65928E0C" w14:paraId="5A6BDF82" w14:textId="3C04DF55">
      <w:pPr>
        <w:pStyle w:val="ListParagraph"/>
        <w:numPr>
          <w:ilvl w:val="0"/>
          <w:numId w:val="8"/>
        </w:numPr>
        <w:rPr>
          <w:rFonts w:ascii="Times New Roman" w:hAnsi="Times New Roman" w:cs="Times New Roman"/>
          <w:sz w:val="24"/>
          <w:szCs w:val="24"/>
        </w:rPr>
      </w:pPr>
      <w:r w:rsidRPr="00197421">
        <w:rPr>
          <w:rFonts w:ascii="Times New Roman" w:hAnsi="Times New Roman" w:cs="Times New Roman"/>
          <w:sz w:val="24"/>
          <w:szCs w:val="24"/>
        </w:rPr>
        <w:lastRenderedPageBreak/>
        <w:t xml:space="preserve">Data from the Surveys on Patient Safety Culture-Hospital Survey from the Agency for Healthcare Research and Quality could be used to study whether hospitals with more structured management practices have fewer patient safety events.  </w:t>
      </w:r>
    </w:p>
    <w:p w:rsidRPr="00197421" w:rsidR="00D55C64" w:rsidP="00D55C64" w:rsidRDefault="00EA1101" w14:paraId="5704FC2A" w14:textId="01366E54">
      <w:pPr>
        <w:pStyle w:val="ListParagraph"/>
        <w:numPr>
          <w:ilvl w:val="0"/>
          <w:numId w:val="8"/>
        </w:numPr>
        <w:rPr>
          <w:rFonts w:ascii="Times New Roman" w:hAnsi="Times New Roman" w:cs="Times New Roman"/>
          <w:sz w:val="24"/>
          <w:szCs w:val="24"/>
        </w:rPr>
      </w:pPr>
      <w:r w:rsidRPr="00197421">
        <w:rPr>
          <w:rFonts w:ascii="Times New Roman" w:hAnsi="Times New Roman" w:cs="Times New Roman"/>
          <w:sz w:val="24"/>
          <w:szCs w:val="24"/>
        </w:rPr>
        <w:t xml:space="preserve">Policymakers </w:t>
      </w:r>
      <w:r w:rsidRPr="00197421" w:rsidR="004E4A0E">
        <w:rPr>
          <w:rFonts w:ascii="Times New Roman" w:hAnsi="Times New Roman" w:cs="Times New Roman"/>
          <w:sz w:val="24"/>
          <w:szCs w:val="24"/>
        </w:rPr>
        <w:t>could</w:t>
      </w:r>
      <w:r w:rsidRPr="00197421">
        <w:rPr>
          <w:rFonts w:ascii="Times New Roman" w:hAnsi="Times New Roman" w:cs="Times New Roman"/>
          <w:sz w:val="24"/>
          <w:szCs w:val="24"/>
        </w:rPr>
        <w:t xml:space="preserve"> use the data</w:t>
      </w:r>
      <w:r w:rsidRPr="00197421" w:rsidR="0029607C">
        <w:rPr>
          <w:rFonts w:ascii="Times New Roman" w:hAnsi="Times New Roman" w:cs="Times New Roman"/>
          <w:sz w:val="24"/>
          <w:szCs w:val="24"/>
        </w:rPr>
        <w:t xml:space="preserve"> </w:t>
      </w:r>
      <w:r w:rsidRPr="00197421" w:rsidR="005069E5">
        <w:rPr>
          <w:rFonts w:ascii="Times New Roman" w:hAnsi="Times New Roman" w:cs="Times New Roman"/>
          <w:sz w:val="24"/>
          <w:szCs w:val="24"/>
        </w:rPr>
        <w:t>to understand how management and organizational practices are evolving</w:t>
      </w:r>
      <w:r w:rsidRPr="00197421" w:rsidR="0029607C">
        <w:rPr>
          <w:rFonts w:ascii="Times New Roman" w:hAnsi="Times New Roman" w:cs="Times New Roman"/>
          <w:sz w:val="24"/>
          <w:szCs w:val="24"/>
        </w:rPr>
        <w:t xml:space="preserve"> in hospitals, which can help </w:t>
      </w:r>
      <w:r w:rsidRPr="00197421" w:rsidR="007F6022">
        <w:rPr>
          <w:rFonts w:ascii="Times New Roman" w:hAnsi="Times New Roman" w:cs="Times New Roman"/>
          <w:sz w:val="24"/>
          <w:szCs w:val="24"/>
        </w:rPr>
        <w:t>understand changes</w:t>
      </w:r>
      <w:r w:rsidRPr="00197421" w:rsidR="0029607C">
        <w:rPr>
          <w:rFonts w:ascii="Times New Roman" w:hAnsi="Times New Roman" w:cs="Times New Roman"/>
          <w:sz w:val="24"/>
          <w:szCs w:val="24"/>
        </w:rPr>
        <w:t xml:space="preserve"> in the industry.</w:t>
      </w:r>
      <w:r w:rsidRPr="00197421" w:rsidR="000B3C61">
        <w:rPr>
          <w:rStyle w:val="FootnoteReference"/>
          <w:rFonts w:ascii="Times New Roman" w:hAnsi="Times New Roman" w:cs="Times New Roman"/>
          <w:sz w:val="24"/>
          <w:szCs w:val="24"/>
        </w:rPr>
        <w:footnoteReference w:id="12"/>
      </w:r>
      <w:r w:rsidRPr="00197421" w:rsidR="0029607C">
        <w:rPr>
          <w:rFonts w:ascii="Times New Roman" w:hAnsi="Times New Roman" w:cs="Times New Roman"/>
          <w:sz w:val="24"/>
          <w:szCs w:val="24"/>
        </w:rPr>
        <w:t xml:space="preserve"> </w:t>
      </w:r>
      <w:r w:rsidRPr="00197421" w:rsidR="00F43E5F">
        <w:rPr>
          <w:rFonts w:ascii="Times New Roman" w:hAnsi="Times New Roman" w:cs="Times New Roman"/>
          <w:sz w:val="24"/>
          <w:szCs w:val="24"/>
        </w:rPr>
        <w:t xml:space="preserve">The Census Bureau plans to use the data collected from the MOPS-HP’s questions on medical record documentation to construct an index measuring the management of multiple objectives – clinical and financial – that would inform policymakers concerned with both aspects of hospital performance. By examining any links between the survey’s measures of management practices and clinical outcomes, the survey may help </w:t>
      </w:r>
      <w:r w:rsidRPr="00197421" w:rsidR="005D2A39">
        <w:rPr>
          <w:rFonts w:ascii="Times New Roman" w:hAnsi="Times New Roman" w:cs="Times New Roman"/>
          <w:sz w:val="24"/>
          <w:szCs w:val="24"/>
        </w:rPr>
        <w:t xml:space="preserve">to </w:t>
      </w:r>
      <w:r w:rsidRPr="00197421" w:rsidR="00F43E5F">
        <w:rPr>
          <w:rFonts w:ascii="Times New Roman" w:hAnsi="Times New Roman" w:cs="Times New Roman"/>
          <w:sz w:val="24"/>
          <w:szCs w:val="24"/>
        </w:rPr>
        <w:t xml:space="preserve">inform policymakers </w:t>
      </w:r>
      <w:r w:rsidRPr="00197421" w:rsidR="005D2A39">
        <w:rPr>
          <w:rFonts w:ascii="Times New Roman" w:hAnsi="Times New Roman" w:cs="Times New Roman"/>
          <w:sz w:val="24"/>
          <w:szCs w:val="24"/>
        </w:rPr>
        <w:t xml:space="preserve">and </w:t>
      </w:r>
      <w:r w:rsidRPr="00197421" w:rsidR="0029607C">
        <w:rPr>
          <w:rFonts w:ascii="Times New Roman" w:hAnsi="Times New Roman" w:cs="Times New Roman"/>
          <w:sz w:val="24"/>
          <w:szCs w:val="24"/>
        </w:rPr>
        <w:t xml:space="preserve">to </w:t>
      </w:r>
      <w:r w:rsidRPr="00197421" w:rsidR="00C62806">
        <w:rPr>
          <w:rFonts w:ascii="Times New Roman" w:hAnsi="Times New Roman" w:cs="Times New Roman"/>
          <w:sz w:val="24"/>
          <w:szCs w:val="24"/>
        </w:rPr>
        <w:t xml:space="preserve">encourage practices that are beneficial to patients and our </w:t>
      </w:r>
      <w:proofErr w:type="gramStart"/>
      <w:r w:rsidRPr="00197421" w:rsidR="00C62806">
        <w:rPr>
          <w:rFonts w:ascii="Times New Roman" w:hAnsi="Times New Roman" w:cs="Times New Roman"/>
          <w:sz w:val="24"/>
          <w:szCs w:val="24"/>
        </w:rPr>
        <w:t>population as a whole</w:t>
      </w:r>
      <w:proofErr w:type="gramEnd"/>
      <w:r w:rsidRPr="00197421" w:rsidR="00C62806">
        <w:rPr>
          <w:rFonts w:ascii="Times New Roman" w:hAnsi="Times New Roman" w:cs="Times New Roman"/>
          <w:sz w:val="24"/>
          <w:szCs w:val="24"/>
        </w:rPr>
        <w:t>.</w:t>
      </w:r>
    </w:p>
    <w:p w:rsidRPr="00197421" w:rsidR="008530DD" w:rsidP="00D55C64" w:rsidRDefault="00D55C64" w14:paraId="764FCEC3" w14:textId="418F97E2">
      <w:pPr>
        <w:pStyle w:val="ListParagraph"/>
        <w:numPr>
          <w:ilvl w:val="0"/>
          <w:numId w:val="8"/>
        </w:numPr>
        <w:rPr>
          <w:rFonts w:ascii="Times New Roman" w:hAnsi="Times New Roman" w:cs="Times New Roman"/>
          <w:sz w:val="24"/>
          <w:szCs w:val="24"/>
        </w:rPr>
      </w:pPr>
      <w:r w:rsidRPr="00197421">
        <w:rPr>
          <w:rFonts w:ascii="Times New Roman" w:hAnsi="Times New Roman" w:cs="Times New Roman"/>
          <w:sz w:val="24"/>
          <w:szCs w:val="24"/>
        </w:rPr>
        <w:t>H</w:t>
      </w:r>
      <w:r w:rsidRPr="00197421" w:rsidR="0060086B">
        <w:rPr>
          <w:rFonts w:ascii="Times New Roman" w:hAnsi="Times New Roman" w:cs="Times New Roman"/>
          <w:sz w:val="24"/>
          <w:szCs w:val="24"/>
        </w:rPr>
        <w:t xml:space="preserve">ospital administrators </w:t>
      </w:r>
      <w:r w:rsidRPr="00197421">
        <w:rPr>
          <w:rFonts w:ascii="Times New Roman" w:hAnsi="Times New Roman" w:cs="Times New Roman"/>
          <w:sz w:val="24"/>
          <w:szCs w:val="24"/>
        </w:rPr>
        <w:t xml:space="preserve">could utilize planned public </w:t>
      </w:r>
      <w:r w:rsidRPr="00197421" w:rsidR="00EA4524">
        <w:rPr>
          <w:rFonts w:ascii="Times New Roman" w:hAnsi="Times New Roman" w:cs="Times New Roman"/>
          <w:sz w:val="24"/>
          <w:szCs w:val="24"/>
        </w:rPr>
        <w:t xml:space="preserve">indices </w:t>
      </w:r>
      <w:r w:rsidRPr="00197421">
        <w:rPr>
          <w:rFonts w:ascii="Times New Roman" w:hAnsi="Times New Roman" w:cs="Times New Roman"/>
          <w:sz w:val="24"/>
          <w:szCs w:val="24"/>
        </w:rPr>
        <w:t xml:space="preserve">to benchmark their own practices, and subsequently </w:t>
      </w:r>
      <w:r w:rsidRPr="00197421" w:rsidR="0060086B">
        <w:rPr>
          <w:rFonts w:ascii="Times New Roman" w:hAnsi="Times New Roman" w:cs="Times New Roman"/>
          <w:sz w:val="24"/>
          <w:szCs w:val="24"/>
        </w:rPr>
        <w:t xml:space="preserve">make decisions </w:t>
      </w:r>
      <w:r w:rsidRPr="00197421">
        <w:rPr>
          <w:rFonts w:ascii="Times New Roman" w:hAnsi="Times New Roman" w:cs="Times New Roman"/>
          <w:sz w:val="24"/>
          <w:szCs w:val="24"/>
        </w:rPr>
        <w:t>or</w:t>
      </w:r>
      <w:r w:rsidRPr="00197421" w:rsidR="0060086B">
        <w:rPr>
          <w:rFonts w:ascii="Times New Roman" w:hAnsi="Times New Roman" w:cs="Times New Roman"/>
          <w:sz w:val="24"/>
          <w:szCs w:val="24"/>
        </w:rPr>
        <w:t xml:space="preserve"> set policies to improve their financial and clinical outcomes.</w:t>
      </w:r>
    </w:p>
    <w:p w:rsidRPr="00197421" w:rsidR="002020C1" w:rsidP="00D55C64" w:rsidRDefault="65928E0C" w14:paraId="759A8326" w14:textId="32FC1805">
      <w:pPr>
        <w:pStyle w:val="ListParagraph"/>
        <w:numPr>
          <w:ilvl w:val="0"/>
          <w:numId w:val="8"/>
        </w:numPr>
        <w:rPr>
          <w:rFonts w:ascii="Times New Roman" w:hAnsi="Times New Roman" w:cs="Times New Roman"/>
          <w:sz w:val="24"/>
          <w:szCs w:val="24"/>
        </w:rPr>
      </w:pPr>
      <w:r w:rsidRPr="00197421">
        <w:rPr>
          <w:rFonts w:ascii="Times New Roman" w:hAnsi="Times New Roman" w:cs="Times New Roman"/>
          <w:sz w:val="24"/>
          <w:szCs w:val="24"/>
        </w:rPr>
        <w:t xml:space="preserve">The MOPS-HP data </w:t>
      </w:r>
      <w:r w:rsidRPr="00197421" w:rsidR="007425F7">
        <w:rPr>
          <w:rFonts w:ascii="Times New Roman" w:hAnsi="Times New Roman" w:cs="Times New Roman"/>
          <w:sz w:val="24"/>
          <w:szCs w:val="24"/>
        </w:rPr>
        <w:t>could be</w:t>
      </w:r>
      <w:r w:rsidRPr="00197421">
        <w:rPr>
          <w:rFonts w:ascii="Times New Roman" w:hAnsi="Times New Roman" w:cs="Times New Roman"/>
          <w:sz w:val="24"/>
          <w:szCs w:val="24"/>
        </w:rPr>
        <w:t xml:space="preserve"> used in combination with the Census Bureau’s collected data on hospital finances, including revenues and expenses, to improve our understanding on how management practices may impact financial performance. </w:t>
      </w:r>
    </w:p>
    <w:p w:rsidRPr="009670C6" w:rsidR="00984700" w:rsidP="00984700" w:rsidRDefault="00312A19" w14:paraId="6986F39A" w14:textId="725D16F1">
      <w:pPr>
        <w:pStyle w:val="ListParagraph"/>
        <w:numPr>
          <w:ilvl w:val="0"/>
          <w:numId w:val="8"/>
        </w:numPr>
        <w:rPr>
          <w:rFonts w:ascii="Times New Roman" w:hAnsi="Times New Roman" w:cs="Times New Roman"/>
          <w:sz w:val="24"/>
          <w:szCs w:val="24"/>
          <w:highlight w:val="yellow"/>
        </w:rPr>
      </w:pPr>
      <w:r w:rsidRPr="009670C6">
        <w:rPr>
          <w:rFonts w:ascii="Times New Roman" w:hAnsi="Times New Roman" w:cs="Times New Roman"/>
          <w:sz w:val="24"/>
          <w:szCs w:val="24"/>
          <w:highlight w:val="yellow"/>
        </w:rPr>
        <w:t>E</w:t>
      </w:r>
      <w:r w:rsidRPr="009670C6" w:rsidR="00984700">
        <w:rPr>
          <w:rFonts w:ascii="Times New Roman" w:hAnsi="Times New Roman" w:cs="Times New Roman"/>
          <w:sz w:val="24"/>
          <w:szCs w:val="24"/>
          <w:highlight w:val="yellow"/>
        </w:rPr>
        <w:t>xisting literature shows that management practices are related to clinical outcomes, such as survival from heart attacks.</w:t>
      </w:r>
      <w:r w:rsidRPr="009670C6">
        <w:rPr>
          <w:rStyle w:val="FootnoteReference"/>
          <w:rFonts w:ascii="Times New Roman" w:hAnsi="Times New Roman" w:cs="Times New Roman"/>
          <w:sz w:val="24"/>
          <w:szCs w:val="24"/>
          <w:highlight w:val="yellow"/>
        </w:rPr>
        <w:footnoteReference w:id="13"/>
      </w:r>
      <w:r w:rsidRPr="009670C6" w:rsidR="00B9562B">
        <w:rPr>
          <w:rFonts w:ascii="Times New Roman" w:hAnsi="Times New Roman" w:cs="Times New Roman"/>
          <w:sz w:val="20"/>
          <w:szCs w:val="20"/>
          <w:highlight w:val="yellow"/>
          <w:vertAlign w:val="superscript"/>
        </w:rPr>
        <w:t>,</w:t>
      </w:r>
      <w:r w:rsidRPr="009670C6" w:rsidR="00B9562B">
        <w:rPr>
          <w:rStyle w:val="FootnoteReference"/>
          <w:rFonts w:ascii="Times New Roman" w:hAnsi="Times New Roman" w:cs="Times New Roman"/>
          <w:sz w:val="24"/>
          <w:szCs w:val="24"/>
          <w:highlight w:val="yellow"/>
        </w:rPr>
        <w:footnoteReference w:id="14"/>
      </w:r>
      <w:r w:rsidRPr="009670C6" w:rsidR="004D7631">
        <w:rPr>
          <w:rFonts w:ascii="Times New Roman" w:hAnsi="Times New Roman" w:cs="Times New Roman"/>
          <w:sz w:val="20"/>
          <w:szCs w:val="20"/>
          <w:highlight w:val="yellow"/>
          <w:vertAlign w:val="superscript"/>
        </w:rPr>
        <w:t>,</w:t>
      </w:r>
      <w:r w:rsidRPr="009670C6" w:rsidR="00B9562B">
        <w:rPr>
          <w:rStyle w:val="FootnoteReference"/>
          <w:rFonts w:ascii="Times New Roman" w:hAnsi="Times New Roman" w:cs="Times New Roman"/>
          <w:sz w:val="24"/>
          <w:szCs w:val="24"/>
          <w:highlight w:val="yellow"/>
        </w:rPr>
        <w:footnoteReference w:id="15"/>
      </w:r>
      <w:r w:rsidRPr="009670C6" w:rsidR="004D7631">
        <w:rPr>
          <w:rFonts w:ascii="Times New Roman" w:hAnsi="Times New Roman" w:cs="Times New Roman"/>
          <w:sz w:val="20"/>
          <w:szCs w:val="20"/>
          <w:highlight w:val="yellow"/>
          <w:vertAlign w:val="superscript"/>
        </w:rPr>
        <w:t>,</w:t>
      </w:r>
      <w:r w:rsidRPr="009670C6" w:rsidR="00B9562B">
        <w:rPr>
          <w:rStyle w:val="FootnoteReference"/>
          <w:rFonts w:ascii="Times New Roman" w:hAnsi="Times New Roman" w:cs="Times New Roman"/>
          <w:sz w:val="24"/>
          <w:szCs w:val="24"/>
          <w:highlight w:val="yellow"/>
        </w:rPr>
        <w:footnoteReference w:id="16"/>
      </w:r>
      <w:r w:rsidRPr="009670C6" w:rsidR="00984700">
        <w:rPr>
          <w:rFonts w:ascii="Times New Roman" w:hAnsi="Times New Roman" w:cs="Times New Roman"/>
          <w:sz w:val="24"/>
          <w:szCs w:val="24"/>
          <w:highlight w:val="yellow"/>
        </w:rPr>
        <w:t xml:space="preserve"> The MOPS-HP data would support evaluation of whether more structured management practices in 2019 and 2020 are associated with COVID-19 outcomes including survival rates using non-Census data sources. Examples of more structured management practices include hospitals reviewing performance more frequently versus less frequently, adjusting clinical protocols after identifying the need to do so within one week rather than waiting six months, and coordinated movement of frontline clinical workers between hospital units to meet patient demand or understaffing rather than not moving these workers.</w:t>
      </w:r>
      <w:r w:rsidRPr="009670C6" w:rsidR="004D7631">
        <w:rPr>
          <w:rStyle w:val="FootnoteReference"/>
          <w:rFonts w:ascii="Times New Roman" w:hAnsi="Times New Roman" w:cs="Times New Roman"/>
          <w:sz w:val="24"/>
          <w:szCs w:val="24"/>
          <w:highlight w:val="yellow"/>
        </w:rPr>
        <w:footnoteReference w:id="17"/>
      </w:r>
      <w:r w:rsidRPr="009670C6" w:rsidR="004D7631">
        <w:rPr>
          <w:rFonts w:ascii="Times New Roman" w:hAnsi="Times New Roman" w:cs="Times New Roman"/>
          <w:sz w:val="20"/>
          <w:szCs w:val="24"/>
          <w:highlight w:val="yellow"/>
          <w:vertAlign w:val="superscript"/>
        </w:rPr>
        <w:t xml:space="preserve">, </w:t>
      </w:r>
      <w:r w:rsidRPr="009670C6" w:rsidR="00A44977">
        <w:rPr>
          <w:rStyle w:val="FootnoteReference"/>
          <w:rFonts w:ascii="Times New Roman" w:hAnsi="Times New Roman" w:cs="Times New Roman"/>
          <w:sz w:val="20"/>
          <w:szCs w:val="24"/>
          <w:highlight w:val="yellow"/>
        </w:rPr>
        <w:footnoteReference w:id="18"/>
      </w:r>
    </w:p>
    <w:p w:rsidRPr="009670C6" w:rsidR="00984700" w:rsidP="00984700" w:rsidRDefault="00984700" w14:paraId="793C54C7" w14:textId="2030839D">
      <w:pPr>
        <w:pStyle w:val="ListParagraph"/>
        <w:numPr>
          <w:ilvl w:val="0"/>
          <w:numId w:val="8"/>
        </w:numPr>
        <w:rPr>
          <w:rFonts w:ascii="Times New Roman" w:hAnsi="Times New Roman" w:cs="Times New Roman"/>
          <w:sz w:val="24"/>
          <w:szCs w:val="24"/>
          <w:highlight w:val="yellow"/>
        </w:rPr>
      </w:pPr>
      <w:r w:rsidRPr="009670C6">
        <w:rPr>
          <w:rFonts w:ascii="Times New Roman" w:hAnsi="Times New Roman" w:cs="Times New Roman"/>
          <w:sz w:val="24"/>
          <w:szCs w:val="24"/>
          <w:highlight w:val="yellow"/>
        </w:rPr>
        <w:lastRenderedPageBreak/>
        <w:t xml:space="preserve">Collecting 2019 pre-pandemic data along with data from 2020 will allow analysis of whether hospitals increased the structure of their 2019 management practices in 2020 in response to the ongoing pandemic. </w:t>
      </w:r>
    </w:p>
    <w:p w:rsidRPr="009670C6" w:rsidR="00984700" w:rsidP="00984700" w:rsidRDefault="00412F71" w14:paraId="0C323449" w14:textId="71DEE803">
      <w:pPr>
        <w:pStyle w:val="ListParagraph"/>
        <w:numPr>
          <w:ilvl w:val="0"/>
          <w:numId w:val="8"/>
        </w:numPr>
        <w:rPr>
          <w:rFonts w:ascii="Times New Roman" w:hAnsi="Times New Roman" w:cs="Times New Roman"/>
          <w:sz w:val="24"/>
          <w:szCs w:val="24"/>
          <w:highlight w:val="yellow"/>
        </w:rPr>
      </w:pPr>
      <w:r w:rsidRPr="009670C6">
        <w:rPr>
          <w:rFonts w:ascii="Times New Roman" w:hAnsi="Times New Roman" w:cs="Times New Roman"/>
          <w:sz w:val="24"/>
          <w:szCs w:val="24"/>
          <w:highlight w:val="yellow"/>
        </w:rPr>
        <w:t>Literature</w:t>
      </w:r>
      <w:r w:rsidRPr="009670C6" w:rsidR="00984700">
        <w:rPr>
          <w:rFonts w:ascii="Times New Roman" w:hAnsi="Times New Roman" w:cs="Times New Roman"/>
          <w:sz w:val="24"/>
          <w:szCs w:val="24"/>
          <w:highlight w:val="yellow"/>
        </w:rPr>
        <w:t xml:space="preserve"> also shows that management practices are related to financial outcomes.</w:t>
      </w:r>
      <w:r w:rsidRPr="009670C6" w:rsidR="00A44977">
        <w:rPr>
          <w:rStyle w:val="FootnoteReference"/>
          <w:rFonts w:cstheme="minorHAnsi"/>
          <w:sz w:val="20"/>
          <w:szCs w:val="20"/>
          <w:highlight w:val="yellow"/>
        </w:rPr>
        <w:footnoteReference w:id="19"/>
      </w:r>
      <w:r w:rsidRPr="009670C6" w:rsidR="00A44977">
        <w:rPr>
          <w:rFonts w:cstheme="minorHAnsi"/>
          <w:sz w:val="20"/>
          <w:szCs w:val="20"/>
          <w:highlight w:val="yellow"/>
          <w:vertAlign w:val="superscript"/>
        </w:rPr>
        <w:t>,</w:t>
      </w:r>
      <w:r w:rsidRPr="009670C6" w:rsidR="00A44977">
        <w:rPr>
          <w:rStyle w:val="FootnoteReference"/>
          <w:rFonts w:cstheme="minorHAnsi"/>
          <w:sz w:val="20"/>
          <w:szCs w:val="20"/>
          <w:highlight w:val="yellow"/>
        </w:rPr>
        <w:footnoteReference w:id="20"/>
      </w:r>
      <w:r w:rsidRPr="009670C6" w:rsidR="00984700">
        <w:rPr>
          <w:rFonts w:cstheme="minorHAnsi"/>
          <w:sz w:val="20"/>
          <w:szCs w:val="20"/>
          <w:highlight w:val="yellow"/>
        </w:rPr>
        <w:t xml:space="preserve"> </w:t>
      </w:r>
      <w:r w:rsidRPr="009670C6" w:rsidR="00984700">
        <w:rPr>
          <w:rFonts w:ascii="Times New Roman" w:hAnsi="Times New Roman" w:cs="Times New Roman"/>
          <w:sz w:val="24"/>
          <w:szCs w:val="24"/>
          <w:highlight w:val="yellow"/>
        </w:rPr>
        <w:t>Concerns about hospital closures</w:t>
      </w:r>
      <w:r w:rsidRPr="009670C6">
        <w:rPr>
          <w:rFonts w:ascii="Times New Roman" w:hAnsi="Times New Roman" w:cs="Times New Roman"/>
          <w:sz w:val="24"/>
          <w:szCs w:val="24"/>
          <w:highlight w:val="yellow"/>
        </w:rPr>
        <w:t>,</w:t>
      </w:r>
      <w:r w:rsidRPr="009670C6" w:rsidR="00984700">
        <w:rPr>
          <w:rFonts w:ascii="Times New Roman" w:hAnsi="Times New Roman" w:cs="Times New Roman"/>
          <w:sz w:val="24"/>
          <w:szCs w:val="24"/>
          <w:highlight w:val="yellow"/>
        </w:rPr>
        <w:t xml:space="preserve"> especially in rural underserved locations were a concern prior to the pandemic and are ongoing. By combining the MOPS-HP data with Census Bureau business data, the financial performance </w:t>
      </w:r>
      <w:r w:rsidRPr="009670C6">
        <w:rPr>
          <w:rFonts w:ascii="Times New Roman" w:hAnsi="Times New Roman" w:cs="Times New Roman"/>
          <w:sz w:val="24"/>
          <w:szCs w:val="24"/>
          <w:highlight w:val="yellow"/>
        </w:rPr>
        <w:t xml:space="preserve">of hospitals </w:t>
      </w:r>
      <w:r w:rsidRPr="009670C6" w:rsidR="00984700">
        <w:rPr>
          <w:rFonts w:ascii="Times New Roman" w:hAnsi="Times New Roman" w:cs="Times New Roman"/>
          <w:sz w:val="24"/>
          <w:szCs w:val="24"/>
          <w:highlight w:val="yellow"/>
        </w:rPr>
        <w:t xml:space="preserve">relative to their management practices prior to and during the pandemic can be examined.  </w:t>
      </w:r>
    </w:p>
    <w:p w:rsidRPr="00197421" w:rsidR="00490211" w:rsidP="00E91314" w:rsidRDefault="00073675" w14:paraId="3AAFF696" w14:textId="7F74B917">
      <w:pPr>
        <w:pStyle w:val="ListParagraph"/>
        <w:numPr>
          <w:ilvl w:val="0"/>
          <w:numId w:val="8"/>
        </w:numPr>
        <w:rPr>
          <w:rFonts w:ascii="Times New Roman" w:hAnsi="Times New Roman" w:cs="Times New Roman"/>
          <w:sz w:val="24"/>
          <w:szCs w:val="24"/>
        </w:rPr>
      </w:pPr>
      <w:r w:rsidRPr="00197421">
        <w:rPr>
          <w:rFonts w:ascii="Times New Roman" w:hAnsi="Times New Roman" w:cs="Times New Roman"/>
          <w:sz w:val="24"/>
          <w:szCs w:val="24"/>
        </w:rPr>
        <w:t>In a letter of</w:t>
      </w:r>
      <w:r w:rsidRPr="00197421" w:rsidR="00490211">
        <w:rPr>
          <w:rFonts w:ascii="Times New Roman" w:hAnsi="Times New Roman" w:cs="Times New Roman"/>
          <w:sz w:val="24"/>
          <w:szCs w:val="24"/>
        </w:rPr>
        <w:t xml:space="preserve"> support (Attachment G), the Bureau of Economic Analysis (BEA) expressed their </w:t>
      </w:r>
      <w:r w:rsidRPr="00197421" w:rsidR="00C050AF">
        <w:rPr>
          <w:rFonts w:ascii="Times New Roman" w:hAnsi="Times New Roman" w:cs="Times New Roman"/>
          <w:sz w:val="24"/>
          <w:szCs w:val="24"/>
        </w:rPr>
        <w:t>interest in</w:t>
      </w:r>
      <w:r w:rsidRPr="00197421" w:rsidR="00E35C87">
        <w:rPr>
          <w:rFonts w:ascii="Times New Roman" w:hAnsi="Times New Roman" w:cs="Times New Roman"/>
          <w:sz w:val="24"/>
          <w:szCs w:val="24"/>
        </w:rPr>
        <w:t xml:space="preserve"> the</w:t>
      </w:r>
      <w:r w:rsidRPr="00197421" w:rsidR="00C050AF">
        <w:rPr>
          <w:rFonts w:ascii="Times New Roman" w:hAnsi="Times New Roman" w:cs="Times New Roman"/>
          <w:sz w:val="24"/>
          <w:szCs w:val="24"/>
        </w:rPr>
        <w:t xml:space="preserve"> MOPS-HP </w:t>
      </w:r>
      <w:r w:rsidRPr="00197421" w:rsidR="00490211">
        <w:rPr>
          <w:rFonts w:ascii="Times New Roman" w:hAnsi="Times New Roman" w:cs="Times New Roman"/>
          <w:sz w:val="24"/>
          <w:szCs w:val="24"/>
        </w:rPr>
        <w:t xml:space="preserve">and noted that </w:t>
      </w:r>
      <w:r w:rsidRPr="00197421" w:rsidR="00C050AF">
        <w:rPr>
          <w:rFonts w:ascii="Times New Roman" w:hAnsi="Times New Roman" w:cs="Times New Roman"/>
          <w:sz w:val="24"/>
          <w:szCs w:val="24"/>
        </w:rPr>
        <w:t>it</w:t>
      </w:r>
      <w:r w:rsidRPr="00197421" w:rsidR="00490211">
        <w:rPr>
          <w:rFonts w:ascii="Times New Roman" w:hAnsi="Times New Roman" w:cs="Times New Roman"/>
          <w:sz w:val="24"/>
          <w:szCs w:val="24"/>
        </w:rPr>
        <w:t xml:space="preserve"> will help aid their mission to promote “</w:t>
      </w:r>
      <w:r w:rsidRPr="00197421" w:rsidR="00E35C87">
        <w:rPr>
          <w:rFonts w:ascii="Times New Roman" w:hAnsi="Times New Roman" w:cs="Times New Roman"/>
          <w:sz w:val="24"/>
          <w:szCs w:val="24"/>
        </w:rPr>
        <w:t>’</w:t>
      </w:r>
      <w:r w:rsidRPr="00197421" w:rsidR="00C050AF">
        <w:rPr>
          <w:rFonts w:ascii="Times New Roman" w:hAnsi="Times New Roman" w:cs="Times New Roman"/>
          <w:sz w:val="24"/>
          <w:szCs w:val="24"/>
        </w:rPr>
        <w:t>… a better understa</w:t>
      </w:r>
      <w:r w:rsidRPr="00197421" w:rsidR="00490211">
        <w:rPr>
          <w:rFonts w:ascii="Times New Roman" w:hAnsi="Times New Roman" w:cs="Times New Roman"/>
          <w:sz w:val="24"/>
          <w:szCs w:val="24"/>
        </w:rPr>
        <w:t xml:space="preserve">nding of the U.S. economy </w:t>
      </w:r>
      <w:r w:rsidRPr="00197421" w:rsidR="00C050AF">
        <w:rPr>
          <w:rFonts w:ascii="Times New Roman" w:hAnsi="Times New Roman" w:cs="Times New Roman"/>
          <w:sz w:val="24"/>
          <w:szCs w:val="24"/>
        </w:rPr>
        <w:t>…</w:t>
      </w:r>
      <w:r w:rsidRPr="00197421" w:rsidR="00E35C87">
        <w:rPr>
          <w:rFonts w:ascii="Times New Roman" w:hAnsi="Times New Roman" w:cs="Times New Roman"/>
          <w:sz w:val="24"/>
          <w:szCs w:val="24"/>
        </w:rPr>
        <w:t>’</w:t>
      </w:r>
      <w:r w:rsidRPr="00197421" w:rsidR="00C050AF">
        <w:rPr>
          <w:rFonts w:ascii="Times New Roman" w:hAnsi="Times New Roman" w:cs="Times New Roman"/>
          <w:sz w:val="24"/>
          <w:szCs w:val="24"/>
        </w:rPr>
        <w:t xml:space="preserve">” </w:t>
      </w:r>
      <w:r w:rsidRPr="00197421" w:rsidR="00490211">
        <w:rPr>
          <w:rFonts w:ascii="Times New Roman" w:hAnsi="Times New Roman" w:cs="Times New Roman"/>
          <w:sz w:val="24"/>
          <w:szCs w:val="24"/>
        </w:rPr>
        <w:t xml:space="preserve"> </w:t>
      </w:r>
      <w:r w:rsidRPr="00197421" w:rsidR="00C050AF">
        <w:rPr>
          <w:rFonts w:ascii="Times New Roman" w:hAnsi="Times New Roman" w:cs="Times New Roman"/>
          <w:sz w:val="24"/>
          <w:szCs w:val="24"/>
        </w:rPr>
        <w:t xml:space="preserve">The letter states that the MOPS-HP will </w:t>
      </w:r>
      <w:r w:rsidRPr="00197421" w:rsidR="00E91314">
        <w:rPr>
          <w:rFonts w:ascii="Times New Roman" w:hAnsi="Times New Roman" w:cs="Times New Roman"/>
          <w:sz w:val="24"/>
          <w:szCs w:val="24"/>
        </w:rPr>
        <w:t>“fill a critical gap in our current understanding of how management systems affect patient health outcomes and healthcare expenditures.”</w:t>
      </w:r>
    </w:p>
    <w:p w:rsidRPr="00197421" w:rsidR="003823FB" w:rsidP="008F4F6B" w:rsidRDefault="65928E0C" w14:paraId="49B8DAF3" w14:textId="425E1508">
      <w:pPr>
        <w:rPr>
          <w:rFonts w:ascii="Times New Roman" w:hAnsi="Times New Roman" w:cs="Times New Roman"/>
          <w:sz w:val="24"/>
          <w:szCs w:val="24"/>
        </w:rPr>
      </w:pPr>
      <w:r w:rsidRPr="00197421">
        <w:rPr>
          <w:rFonts w:ascii="Times New Roman" w:hAnsi="Times New Roman" w:cs="Times New Roman"/>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197421" w:rsidR="003823FB" w:rsidP="003823FB" w:rsidRDefault="003823FB" w14:paraId="3303F760" w14:textId="77777777">
      <w:pPr>
        <w:pStyle w:val="NormalWeb"/>
        <w:rPr>
          <w:color w:val="auto"/>
        </w:rPr>
      </w:pPr>
      <w:r w:rsidRPr="00197421">
        <w:rPr>
          <w:color w:val="auto"/>
          <w:u w:val="single"/>
        </w:rPr>
        <w:t>Question 3. Use of Information Technology</w:t>
      </w:r>
    </w:p>
    <w:p w:rsidRPr="00197421" w:rsidR="003823FB" w:rsidP="008F4F6B" w:rsidRDefault="003823FB" w14:paraId="4EE49A65" w14:textId="6DC11829">
      <w:pPr>
        <w:rPr>
          <w:rFonts w:ascii="Times New Roman" w:hAnsi="Times New Roman" w:cs="Times New Roman"/>
          <w:sz w:val="24"/>
          <w:szCs w:val="24"/>
        </w:rPr>
      </w:pPr>
      <w:r w:rsidRPr="00197421">
        <w:rPr>
          <w:rFonts w:ascii="Times New Roman" w:hAnsi="Times New Roman" w:cs="Times New Roman"/>
          <w:sz w:val="24"/>
          <w:szCs w:val="24"/>
        </w:rPr>
        <w:t xml:space="preserve">The MOPS-HP will be collected electronically through the Census Bureau’s Centurion online reporting system. Respondents will be sent an initial letter with instructions detailing how to log into the </w:t>
      </w:r>
      <w:r w:rsidRPr="00197421" w:rsidR="00F03C8F">
        <w:rPr>
          <w:rFonts w:ascii="Times New Roman" w:hAnsi="Times New Roman" w:cs="Times New Roman"/>
          <w:sz w:val="24"/>
          <w:szCs w:val="24"/>
        </w:rPr>
        <w:t xml:space="preserve">collection </w:t>
      </w:r>
      <w:r w:rsidRPr="00197421">
        <w:rPr>
          <w:rFonts w:ascii="Times New Roman" w:hAnsi="Times New Roman" w:cs="Times New Roman"/>
          <w:sz w:val="24"/>
          <w:szCs w:val="24"/>
        </w:rPr>
        <w:t>instrument and report their information.</w:t>
      </w:r>
      <w:r w:rsidRPr="00197421" w:rsidR="00D1058D">
        <w:rPr>
          <w:rFonts w:ascii="Times New Roman" w:hAnsi="Times New Roman" w:cs="Times New Roman"/>
          <w:sz w:val="24"/>
          <w:szCs w:val="24"/>
        </w:rPr>
        <w:t xml:space="preserve"> This letter can be viewed in Attachment </w:t>
      </w:r>
      <w:r w:rsidRPr="00197421" w:rsidR="00715C82">
        <w:rPr>
          <w:rFonts w:ascii="Times New Roman" w:hAnsi="Times New Roman" w:cs="Times New Roman"/>
          <w:sz w:val="24"/>
          <w:szCs w:val="24"/>
        </w:rPr>
        <w:t>C</w:t>
      </w:r>
      <w:r w:rsidRPr="00197421" w:rsidR="00012F0C">
        <w:rPr>
          <w:rFonts w:ascii="Times New Roman" w:hAnsi="Times New Roman" w:cs="Times New Roman"/>
          <w:sz w:val="24"/>
          <w:szCs w:val="24"/>
        </w:rPr>
        <w:t>.</w:t>
      </w:r>
      <w:r w:rsidRPr="00197421">
        <w:rPr>
          <w:rFonts w:ascii="Times New Roman" w:hAnsi="Times New Roman" w:cs="Times New Roman"/>
          <w:sz w:val="24"/>
          <w:szCs w:val="24"/>
        </w:rPr>
        <w:t xml:space="preserve"> </w:t>
      </w:r>
      <w:r w:rsidRPr="00197421" w:rsidR="0085294D">
        <w:rPr>
          <w:rFonts w:ascii="Times New Roman" w:hAnsi="Times New Roman" w:cs="Times New Roman"/>
          <w:sz w:val="24"/>
          <w:szCs w:val="24"/>
        </w:rPr>
        <w:t xml:space="preserve">This </w:t>
      </w:r>
      <w:r w:rsidRPr="00197421" w:rsidR="00AA2819">
        <w:rPr>
          <w:rFonts w:ascii="Times New Roman" w:hAnsi="Times New Roman" w:cs="Times New Roman"/>
          <w:sz w:val="24"/>
          <w:szCs w:val="24"/>
        </w:rPr>
        <w:t>process</w:t>
      </w:r>
      <w:r w:rsidRPr="00197421" w:rsidR="0085294D">
        <w:rPr>
          <w:rFonts w:ascii="Times New Roman" w:hAnsi="Times New Roman" w:cs="Times New Roman"/>
          <w:sz w:val="24"/>
          <w:szCs w:val="24"/>
        </w:rPr>
        <w:t xml:space="preserve"> </w:t>
      </w:r>
      <w:r w:rsidRPr="00197421" w:rsidR="005B74B3">
        <w:rPr>
          <w:rFonts w:ascii="Times New Roman" w:hAnsi="Times New Roman" w:cs="Times New Roman"/>
          <w:sz w:val="24"/>
          <w:szCs w:val="24"/>
        </w:rPr>
        <w:t xml:space="preserve">follows the same model that the </w:t>
      </w:r>
      <w:r w:rsidRPr="00197421" w:rsidR="005053A6">
        <w:rPr>
          <w:rFonts w:ascii="Times New Roman" w:hAnsi="Times New Roman" w:cs="Times New Roman"/>
          <w:sz w:val="24"/>
          <w:szCs w:val="24"/>
        </w:rPr>
        <w:t>SAS</w:t>
      </w:r>
      <w:r w:rsidRPr="00197421" w:rsidR="005B74B3">
        <w:rPr>
          <w:rFonts w:ascii="Times New Roman" w:hAnsi="Times New Roman" w:cs="Times New Roman"/>
          <w:sz w:val="24"/>
          <w:szCs w:val="24"/>
        </w:rPr>
        <w:t xml:space="preserve"> uses to collect </w:t>
      </w:r>
      <w:r w:rsidRPr="00197421" w:rsidR="00E4009A">
        <w:rPr>
          <w:rFonts w:ascii="Times New Roman" w:hAnsi="Times New Roman" w:cs="Times New Roman"/>
          <w:sz w:val="24"/>
          <w:szCs w:val="24"/>
        </w:rPr>
        <w:t>its data</w:t>
      </w:r>
      <w:r w:rsidRPr="00197421" w:rsidR="005B74B3">
        <w:rPr>
          <w:rFonts w:ascii="Times New Roman" w:hAnsi="Times New Roman" w:cs="Times New Roman"/>
          <w:sz w:val="24"/>
          <w:szCs w:val="24"/>
        </w:rPr>
        <w:t xml:space="preserve"> and </w:t>
      </w:r>
      <w:r w:rsidRPr="00197421" w:rsidR="0085294D">
        <w:rPr>
          <w:rFonts w:ascii="Times New Roman" w:hAnsi="Times New Roman" w:cs="Times New Roman"/>
          <w:sz w:val="24"/>
          <w:szCs w:val="24"/>
        </w:rPr>
        <w:t xml:space="preserve">was confirmed as </w:t>
      </w:r>
      <w:r w:rsidRPr="00197421" w:rsidR="00AA2819">
        <w:rPr>
          <w:rFonts w:ascii="Times New Roman" w:hAnsi="Times New Roman" w:cs="Times New Roman"/>
          <w:sz w:val="24"/>
          <w:szCs w:val="24"/>
        </w:rPr>
        <w:t xml:space="preserve">the </w:t>
      </w:r>
      <w:r w:rsidRPr="00197421" w:rsidR="0085294D">
        <w:rPr>
          <w:rFonts w:ascii="Times New Roman" w:hAnsi="Times New Roman" w:cs="Times New Roman"/>
          <w:sz w:val="24"/>
          <w:szCs w:val="24"/>
        </w:rPr>
        <w:t xml:space="preserve">optimal </w:t>
      </w:r>
      <w:r w:rsidRPr="00197421" w:rsidR="00AA2819">
        <w:rPr>
          <w:rFonts w:ascii="Times New Roman" w:hAnsi="Times New Roman" w:cs="Times New Roman"/>
          <w:sz w:val="24"/>
          <w:szCs w:val="24"/>
        </w:rPr>
        <w:t xml:space="preserve">method </w:t>
      </w:r>
      <w:r w:rsidRPr="00197421" w:rsidR="005B74B3">
        <w:rPr>
          <w:rFonts w:ascii="Times New Roman" w:hAnsi="Times New Roman" w:cs="Times New Roman"/>
          <w:sz w:val="24"/>
          <w:szCs w:val="24"/>
        </w:rPr>
        <w:t>when the MOPS-HP’s</w:t>
      </w:r>
      <w:r w:rsidRPr="00197421" w:rsidR="0085294D">
        <w:rPr>
          <w:rFonts w:ascii="Times New Roman" w:hAnsi="Times New Roman" w:cs="Times New Roman"/>
          <w:sz w:val="24"/>
          <w:szCs w:val="24"/>
        </w:rPr>
        <w:t xml:space="preserve"> content was tested with potential respondents.</w:t>
      </w:r>
    </w:p>
    <w:p w:rsidRPr="00197421" w:rsidR="00CE6740" w:rsidP="008F4F6B" w:rsidRDefault="00CE6740" w14:paraId="6ABE3A35" w14:textId="190617DF">
      <w:pPr>
        <w:rPr>
          <w:rFonts w:ascii="Times New Roman" w:hAnsi="Times New Roman" w:cs="Times New Roman"/>
          <w:sz w:val="24"/>
          <w:szCs w:val="24"/>
        </w:rPr>
      </w:pPr>
      <w:r w:rsidRPr="00197421">
        <w:rPr>
          <w:rFonts w:ascii="Times New Roman" w:hAnsi="Times New Roman" w:cs="Times New Roman"/>
          <w:sz w:val="24"/>
          <w:szCs w:val="24"/>
        </w:rPr>
        <w:t xml:space="preserve">Respondents will utilize a portal to register for their account and create their own User ID and Password. They can then add the MOPS-HP to their account using the ‘Authentication Code’ provided in the initial and follow-up </w:t>
      </w:r>
      <w:proofErr w:type="gramStart"/>
      <w:r w:rsidRPr="00197421">
        <w:rPr>
          <w:rFonts w:ascii="Times New Roman" w:hAnsi="Times New Roman" w:cs="Times New Roman"/>
          <w:sz w:val="24"/>
          <w:szCs w:val="24"/>
        </w:rPr>
        <w:t>mailings, and</w:t>
      </w:r>
      <w:proofErr w:type="gramEnd"/>
      <w:r w:rsidRPr="00197421">
        <w:rPr>
          <w:rFonts w:ascii="Times New Roman" w:hAnsi="Times New Roman" w:cs="Times New Roman"/>
          <w:sz w:val="24"/>
          <w:szCs w:val="24"/>
        </w:rPr>
        <w:t xml:space="preserve"> share access with others. This same account can be used to manage all Census Bureau surveys.</w:t>
      </w:r>
    </w:p>
    <w:p w:rsidRPr="00197421" w:rsidR="00CE6740" w:rsidP="00CE6740" w:rsidRDefault="00CE6740" w14:paraId="237BC68A" w14:textId="77777777">
      <w:pPr>
        <w:rPr>
          <w:rFonts w:ascii="Times New Roman" w:hAnsi="Times New Roman" w:cs="Times New Roman"/>
          <w:sz w:val="24"/>
          <w:szCs w:val="24"/>
        </w:rPr>
      </w:pPr>
      <w:r w:rsidRPr="00197421">
        <w:rPr>
          <w:rFonts w:ascii="Times New Roman" w:hAnsi="Times New Roman" w:cs="Times New Roman"/>
          <w:sz w:val="24"/>
          <w:szCs w:val="24"/>
        </w:rPr>
        <w:t xml:space="preserve">Once inside the portal, respondents can perform </w:t>
      </w:r>
      <w:proofErr w:type="gramStart"/>
      <w:r w:rsidRPr="00197421">
        <w:rPr>
          <w:rFonts w:ascii="Times New Roman" w:hAnsi="Times New Roman" w:cs="Times New Roman"/>
          <w:sz w:val="24"/>
          <w:szCs w:val="24"/>
        </w:rPr>
        <w:t>a number of</w:t>
      </w:r>
      <w:proofErr w:type="gramEnd"/>
      <w:r w:rsidRPr="00197421">
        <w:rPr>
          <w:rFonts w:ascii="Times New Roman" w:hAnsi="Times New Roman" w:cs="Times New Roman"/>
          <w:sz w:val="24"/>
          <w:szCs w:val="24"/>
        </w:rPr>
        <w:t xml:space="preserve"> self-service options and communicate more easily with Census Bureau staff. They can also view their survey and company information and begin reporting. Menu options allow respondents to request extensions, share survey access, check their filing status, view survey FAQs, communicate </w:t>
      </w:r>
      <w:r w:rsidRPr="00197421">
        <w:rPr>
          <w:rFonts w:ascii="Times New Roman" w:hAnsi="Times New Roman" w:cs="Times New Roman"/>
          <w:sz w:val="24"/>
          <w:szCs w:val="24"/>
        </w:rPr>
        <w:lastRenderedPageBreak/>
        <w:t xml:space="preserve">securely with survey representatives, and view the survey toll-free contact number if further assistance is needed. </w:t>
      </w:r>
    </w:p>
    <w:p w:rsidRPr="00197421" w:rsidR="00CE6740" w:rsidP="008F4F6B" w:rsidRDefault="00CE6740" w14:paraId="19CE8973" w14:textId="15E7566E">
      <w:pPr>
        <w:rPr>
          <w:rFonts w:ascii="Times New Roman" w:hAnsi="Times New Roman" w:cs="Times New Roman"/>
          <w:sz w:val="24"/>
          <w:szCs w:val="24"/>
        </w:rPr>
      </w:pPr>
      <w:r w:rsidRPr="00197421">
        <w:rPr>
          <w:rFonts w:ascii="Times New Roman" w:hAnsi="Times New Roman" w:cs="Times New Roman"/>
          <w:sz w:val="24"/>
          <w:szCs w:val="24"/>
        </w:rPr>
        <w:t xml:space="preserve">After respondents select “Report Now”, they will be in the Centurion system and can begin completing their form(s). Respondents have the option of printing out a worksheet, which they can use as a guide for completing the electronic instrument. </w:t>
      </w:r>
    </w:p>
    <w:p w:rsidRPr="00197421" w:rsidR="001B327B" w:rsidP="005F3F73" w:rsidRDefault="00D1058D" w14:paraId="29E53283" w14:textId="191B3E21">
      <w:pPr>
        <w:rPr>
          <w:rFonts w:ascii="Times New Roman" w:hAnsi="Times New Roman" w:cs="Times New Roman"/>
          <w:sz w:val="24"/>
          <w:szCs w:val="24"/>
        </w:rPr>
      </w:pPr>
      <w:r w:rsidRPr="00197421">
        <w:rPr>
          <w:rFonts w:ascii="Times New Roman" w:hAnsi="Times New Roman" w:cs="Times New Roman"/>
          <w:sz w:val="24"/>
          <w:szCs w:val="24"/>
        </w:rPr>
        <w:t xml:space="preserve">The Centurion system is designed to be secure and </w:t>
      </w:r>
      <w:r w:rsidRPr="00197421" w:rsidR="00CE6740">
        <w:rPr>
          <w:rFonts w:ascii="Times New Roman" w:hAnsi="Times New Roman" w:cs="Times New Roman"/>
          <w:sz w:val="24"/>
          <w:szCs w:val="24"/>
        </w:rPr>
        <w:t>user friendly</w:t>
      </w:r>
      <w:r w:rsidRPr="00197421">
        <w:rPr>
          <w:rFonts w:ascii="Times New Roman" w:hAnsi="Times New Roman" w:cs="Times New Roman"/>
          <w:sz w:val="24"/>
          <w:szCs w:val="24"/>
        </w:rPr>
        <w:t xml:space="preserve">. </w:t>
      </w:r>
      <w:r w:rsidRPr="00197421" w:rsidR="003823FB">
        <w:rPr>
          <w:rFonts w:ascii="Times New Roman" w:hAnsi="Times New Roman" w:cs="Times New Roman"/>
          <w:sz w:val="24"/>
          <w:szCs w:val="24"/>
        </w:rPr>
        <w:t xml:space="preserve">Respondent burden will be reduced </w:t>
      </w:r>
      <w:proofErr w:type="gramStart"/>
      <w:r w:rsidRPr="00197421" w:rsidR="003823FB">
        <w:rPr>
          <w:rFonts w:ascii="Times New Roman" w:hAnsi="Times New Roman" w:cs="Times New Roman"/>
          <w:sz w:val="24"/>
          <w:szCs w:val="24"/>
        </w:rPr>
        <w:t>as a result of</w:t>
      </w:r>
      <w:proofErr w:type="gramEnd"/>
      <w:r w:rsidRPr="00197421" w:rsidR="003823FB">
        <w:rPr>
          <w:rFonts w:ascii="Times New Roman" w:hAnsi="Times New Roman" w:cs="Times New Roman"/>
          <w:sz w:val="24"/>
          <w:szCs w:val="24"/>
        </w:rPr>
        <w:t xml:space="preserve"> </w:t>
      </w:r>
      <w:r w:rsidRPr="00197421" w:rsidR="00F75109">
        <w:rPr>
          <w:rFonts w:ascii="Times New Roman" w:hAnsi="Times New Roman" w:cs="Times New Roman"/>
          <w:sz w:val="24"/>
          <w:szCs w:val="24"/>
        </w:rPr>
        <w:t>the</w:t>
      </w:r>
      <w:r w:rsidRPr="00197421" w:rsidR="003823FB">
        <w:rPr>
          <w:rFonts w:ascii="Times New Roman" w:hAnsi="Times New Roman" w:cs="Times New Roman"/>
          <w:sz w:val="24"/>
          <w:szCs w:val="24"/>
        </w:rPr>
        <w:t xml:space="preserve"> fully electronic collection strategy. </w:t>
      </w:r>
      <w:r w:rsidRPr="00197421">
        <w:rPr>
          <w:rFonts w:ascii="Times New Roman" w:hAnsi="Times New Roman" w:cs="Times New Roman"/>
          <w:sz w:val="24"/>
          <w:szCs w:val="24"/>
        </w:rPr>
        <w:t xml:space="preserve">This system will allow respondents to complete and file in one session or to save and return over multiple sessions. </w:t>
      </w:r>
      <w:r w:rsidRPr="00197421" w:rsidR="003823FB">
        <w:rPr>
          <w:rFonts w:ascii="Times New Roman" w:hAnsi="Times New Roman" w:cs="Times New Roman"/>
          <w:sz w:val="24"/>
          <w:szCs w:val="24"/>
        </w:rPr>
        <w:t xml:space="preserve">The instrument will </w:t>
      </w:r>
      <w:r w:rsidRPr="00197421">
        <w:rPr>
          <w:rFonts w:ascii="Times New Roman" w:hAnsi="Times New Roman" w:cs="Times New Roman"/>
          <w:sz w:val="24"/>
          <w:szCs w:val="24"/>
        </w:rPr>
        <w:t xml:space="preserve">also </w:t>
      </w:r>
      <w:r w:rsidRPr="00197421" w:rsidR="003823FB">
        <w:rPr>
          <w:rFonts w:ascii="Times New Roman" w:hAnsi="Times New Roman" w:cs="Times New Roman"/>
          <w:sz w:val="24"/>
          <w:szCs w:val="24"/>
        </w:rPr>
        <w:t xml:space="preserve">remove questions and response options for respondents when they are irrelevant based on the respondent’s selections </w:t>
      </w:r>
      <w:r w:rsidRPr="00197421" w:rsidR="0085294D">
        <w:rPr>
          <w:rFonts w:ascii="Times New Roman" w:hAnsi="Times New Roman" w:cs="Times New Roman"/>
          <w:sz w:val="24"/>
          <w:szCs w:val="24"/>
        </w:rPr>
        <w:t>to</w:t>
      </w:r>
      <w:r w:rsidRPr="00197421" w:rsidR="00F75109">
        <w:rPr>
          <w:rFonts w:ascii="Times New Roman" w:hAnsi="Times New Roman" w:cs="Times New Roman"/>
          <w:sz w:val="24"/>
          <w:szCs w:val="24"/>
        </w:rPr>
        <w:t xml:space="preserve"> previous questions.</w:t>
      </w:r>
      <w:r w:rsidRPr="00197421" w:rsidR="00E4009A">
        <w:rPr>
          <w:rFonts w:ascii="Times New Roman" w:hAnsi="Times New Roman" w:cs="Times New Roman"/>
          <w:sz w:val="24"/>
          <w:szCs w:val="24"/>
        </w:rPr>
        <w:t xml:space="preserve"> This will prevent the respondent from reading and attempting to answer questions that are not applicable to them.</w:t>
      </w:r>
      <w:r w:rsidRPr="00197421" w:rsidR="00F75109">
        <w:rPr>
          <w:rFonts w:ascii="Times New Roman" w:hAnsi="Times New Roman" w:cs="Times New Roman"/>
          <w:sz w:val="24"/>
          <w:szCs w:val="24"/>
        </w:rPr>
        <w:t xml:space="preserve"> </w:t>
      </w:r>
      <w:r w:rsidRPr="00197421" w:rsidR="005F3F73">
        <w:rPr>
          <w:rFonts w:ascii="Times New Roman" w:hAnsi="Times New Roman" w:cs="Times New Roman"/>
          <w:sz w:val="24"/>
          <w:szCs w:val="24"/>
        </w:rPr>
        <w:t>The nightly loading of the</w:t>
      </w:r>
      <w:r w:rsidRPr="00197421" w:rsidR="00CE6740">
        <w:rPr>
          <w:rFonts w:ascii="Times New Roman" w:hAnsi="Times New Roman" w:cs="Times New Roman"/>
          <w:sz w:val="24"/>
          <w:szCs w:val="24"/>
        </w:rPr>
        <w:t xml:space="preserve"> electronic responses</w:t>
      </w:r>
      <w:r w:rsidRPr="00197421" w:rsidR="005F3F73">
        <w:rPr>
          <w:rFonts w:ascii="Times New Roman" w:hAnsi="Times New Roman" w:cs="Times New Roman"/>
          <w:sz w:val="24"/>
          <w:szCs w:val="24"/>
        </w:rPr>
        <w:t xml:space="preserve"> allows for timelier identification of completed que</w:t>
      </w:r>
      <w:r w:rsidRPr="00197421" w:rsidR="00CE6740">
        <w:rPr>
          <w:rFonts w:ascii="Times New Roman" w:hAnsi="Times New Roman" w:cs="Times New Roman"/>
          <w:sz w:val="24"/>
          <w:szCs w:val="24"/>
        </w:rPr>
        <w:t xml:space="preserve">stionnaires and fewer follow-ups </w:t>
      </w:r>
      <w:r w:rsidRPr="00197421" w:rsidR="005F3F73">
        <w:rPr>
          <w:rFonts w:ascii="Times New Roman" w:hAnsi="Times New Roman" w:cs="Times New Roman"/>
          <w:sz w:val="24"/>
          <w:szCs w:val="24"/>
        </w:rPr>
        <w:t>to respondents.</w:t>
      </w:r>
    </w:p>
    <w:p w:rsidRPr="00197421" w:rsidR="002445EB" w:rsidP="002445EB" w:rsidRDefault="06A81255" w14:paraId="09C50491" w14:textId="77777777">
      <w:pPr>
        <w:pStyle w:val="NormalWeb"/>
        <w:rPr>
          <w:color w:val="auto"/>
        </w:rPr>
      </w:pPr>
      <w:r w:rsidRPr="00197421">
        <w:rPr>
          <w:color w:val="auto"/>
          <w:u w:val="single"/>
        </w:rPr>
        <w:t>Question 4. Efforts to Identify Duplication</w:t>
      </w:r>
    </w:p>
    <w:p w:rsidRPr="00197421" w:rsidR="0026076D" w:rsidP="0026076D" w:rsidRDefault="0026076D" w14:paraId="6A9842FE" w14:textId="2DEBDF23">
      <w:pPr>
        <w:rPr>
          <w:rFonts w:ascii="Times New Roman" w:hAnsi="Times New Roman" w:cs="Times New Roman"/>
          <w:sz w:val="24"/>
          <w:szCs w:val="24"/>
        </w:rPr>
      </w:pPr>
      <w:r w:rsidRPr="00197421">
        <w:rPr>
          <w:rFonts w:ascii="Times New Roman" w:hAnsi="Times New Roman" w:cs="Times New Roman"/>
          <w:sz w:val="24"/>
          <w:szCs w:val="24"/>
        </w:rPr>
        <w:t>The Census Bureau makes a concerted effort on a continuing basis to investigate possible duplications both within the agency and outside the agency to eliminate duplication when possible. The MOPS-HP will be the only source of management</w:t>
      </w:r>
      <w:r w:rsidRPr="00197421" w:rsidR="001C3FBD">
        <w:rPr>
          <w:rFonts w:ascii="Times New Roman" w:hAnsi="Times New Roman" w:cs="Times New Roman"/>
          <w:sz w:val="24"/>
          <w:szCs w:val="24"/>
        </w:rPr>
        <w:t xml:space="preserve"> and</w:t>
      </w:r>
      <w:r w:rsidRPr="00197421">
        <w:rPr>
          <w:rFonts w:ascii="Times New Roman" w:hAnsi="Times New Roman" w:cs="Times New Roman"/>
          <w:sz w:val="24"/>
          <w:szCs w:val="24"/>
        </w:rPr>
        <w:t xml:space="preserve"> organizational practices data for hospitals.  There is no other source for this data collection.</w:t>
      </w:r>
    </w:p>
    <w:p w:rsidRPr="00197421" w:rsidR="00021540" w:rsidP="00021540" w:rsidRDefault="002D5FF4" w14:paraId="090B541A" w14:textId="4CDBFEC8">
      <w:pPr>
        <w:rPr>
          <w:rFonts w:ascii="Times New Roman" w:hAnsi="Times New Roman" w:cs="Times New Roman"/>
          <w:sz w:val="24"/>
          <w:szCs w:val="24"/>
        </w:rPr>
      </w:pPr>
      <w:r w:rsidRPr="00197421">
        <w:rPr>
          <w:rFonts w:ascii="Times New Roman" w:hAnsi="Times New Roman" w:cs="Times New Roman"/>
          <w:sz w:val="24"/>
          <w:szCs w:val="24"/>
        </w:rPr>
        <w:t>Data products from</w:t>
      </w:r>
      <w:r w:rsidRPr="00197421" w:rsidR="001A38DB">
        <w:rPr>
          <w:rFonts w:ascii="Times New Roman" w:hAnsi="Times New Roman" w:cs="Times New Roman"/>
          <w:sz w:val="24"/>
          <w:szCs w:val="24"/>
        </w:rPr>
        <w:t xml:space="preserve"> other organizations and agencies, including the</w:t>
      </w:r>
      <w:r w:rsidRPr="00197421">
        <w:rPr>
          <w:rFonts w:ascii="Times New Roman" w:hAnsi="Times New Roman" w:cs="Times New Roman"/>
          <w:sz w:val="24"/>
          <w:szCs w:val="24"/>
        </w:rPr>
        <w:t xml:space="preserve"> </w:t>
      </w:r>
      <w:r w:rsidRPr="00197421" w:rsidR="00465185">
        <w:rPr>
          <w:rFonts w:ascii="Times New Roman" w:hAnsi="Times New Roman" w:cs="Times New Roman"/>
          <w:sz w:val="24"/>
          <w:szCs w:val="24"/>
        </w:rPr>
        <w:t>Centers for Medicare and Medicaid Services (</w:t>
      </w:r>
      <w:r w:rsidRPr="00197421" w:rsidR="00A77EFE">
        <w:rPr>
          <w:rFonts w:ascii="Times New Roman" w:hAnsi="Times New Roman" w:cs="Times New Roman"/>
          <w:sz w:val="24"/>
          <w:szCs w:val="24"/>
        </w:rPr>
        <w:t>CMS</w:t>
      </w:r>
      <w:r w:rsidRPr="00197421" w:rsidR="00465185">
        <w:rPr>
          <w:rFonts w:ascii="Times New Roman" w:hAnsi="Times New Roman" w:cs="Times New Roman"/>
          <w:sz w:val="24"/>
          <w:szCs w:val="24"/>
        </w:rPr>
        <w:t>)</w:t>
      </w:r>
      <w:r w:rsidRPr="00197421" w:rsidR="00A77EFE">
        <w:rPr>
          <w:rFonts w:ascii="Times New Roman" w:hAnsi="Times New Roman" w:cs="Times New Roman"/>
          <w:sz w:val="24"/>
          <w:szCs w:val="24"/>
        </w:rPr>
        <w:t xml:space="preserve"> and</w:t>
      </w:r>
      <w:r w:rsidRPr="00197421" w:rsidR="006B7A79">
        <w:rPr>
          <w:rFonts w:ascii="Times New Roman" w:hAnsi="Times New Roman" w:cs="Times New Roman"/>
          <w:sz w:val="24"/>
          <w:szCs w:val="24"/>
        </w:rPr>
        <w:t xml:space="preserve"> the National Center for Health Statistics</w:t>
      </w:r>
      <w:r w:rsidRPr="00197421" w:rsidR="00A77EFE">
        <w:rPr>
          <w:rFonts w:ascii="Times New Roman" w:hAnsi="Times New Roman" w:cs="Times New Roman"/>
          <w:sz w:val="24"/>
          <w:szCs w:val="24"/>
        </w:rPr>
        <w:t xml:space="preserve"> </w:t>
      </w:r>
      <w:r w:rsidRPr="00197421" w:rsidR="006B7A79">
        <w:rPr>
          <w:rFonts w:ascii="Times New Roman" w:hAnsi="Times New Roman" w:cs="Times New Roman"/>
          <w:sz w:val="24"/>
          <w:szCs w:val="24"/>
        </w:rPr>
        <w:t>(</w:t>
      </w:r>
      <w:r w:rsidRPr="00197421" w:rsidR="00A77EFE">
        <w:rPr>
          <w:rFonts w:ascii="Times New Roman" w:hAnsi="Times New Roman" w:cs="Times New Roman"/>
          <w:sz w:val="24"/>
          <w:szCs w:val="24"/>
        </w:rPr>
        <w:t>NCHS</w:t>
      </w:r>
      <w:r w:rsidRPr="00197421" w:rsidR="006B7A79">
        <w:rPr>
          <w:rFonts w:ascii="Times New Roman" w:hAnsi="Times New Roman" w:cs="Times New Roman"/>
          <w:sz w:val="24"/>
          <w:szCs w:val="24"/>
        </w:rPr>
        <w:t>)</w:t>
      </w:r>
      <w:r w:rsidRPr="00197421" w:rsidR="001C3FBD">
        <w:rPr>
          <w:rFonts w:ascii="Times New Roman" w:hAnsi="Times New Roman" w:cs="Times New Roman"/>
          <w:sz w:val="24"/>
          <w:szCs w:val="24"/>
        </w:rPr>
        <w:t>,</w:t>
      </w:r>
      <w:r w:rsidRPr="00197421" w:rsidR="00BB3F14">
        <w:rPr>
          <w:rFonts w:ascii="Times New Roman" w:hAnsi="Times New Roman" w:cs="Times New Roman"/>
          <w:sz w:val="24"/>
          <w:szCs w:val="24"/>
        </w:rPr>
        <w:t xml:space="preserve"> have been examined to ensure no duplication. </w:t>
      </w:r>
      <w:r w:rsidRPr="00197421" w:rsidR="00021540">
        <w:rPr>
          <w:rFonts w:ascii="Times New Roman" w:hAnsi="Times New Roman" w:cs="Times New Roman"/>
          <w:sz w:val="24"/>
          <w:szCs w:val="24"/>
        </w:rPr>
        <w:t xml:space="preserve">Surveys such as the Hospital Consumer Assessment of Healthcare Providers and Systems Survey (HCAHPS) at CMS and </w:t>
      </w:r>
      <w:r w:rsidRPr="00197421" w:rsidR="00721694">
        <w:rPr>
          <w:rFonts w:ascii="Times New Roman" w:hAnsi="Times New Roman" w:cs="Times New Roman"/>
          <w:sz w:val="24"/>
          <w:szCs w:val="24"/>
        </w:rPr>
        <w:t xml:space="preserve">the </w:t>
      </w:r>
      <w:r w:rsidRPr="00197421" w:rsidR="00021540">
        <w:rPr>
          <w:rFonts w:ascii="Times New Roman" w:hAnsi="Times New Roman" w:cs="Times New Roman"/>
          <w:sz w:val="24"/>
          <w:szCs w:val="24"/>
        </w:rPr>
        <w:t xml:space="preserve">National Hospital Ambulatory Medical Care Survey (NHAMCS) at NCHS </w:t>
      </w:r>
      <w:r w:rsidRPr="00197421" w:rsidR="00F32474">
        <w:rPr>
          <w:rFonts w:ascii="Times New Roman" w:hAnsi="Times New Roman" w:cs="Times New Roman"/>
          <w:sz w:val="24"/>
          <w:szCs w:val="24"/>
        </w:rPr>
        <w:t xml:space="preserve">provide data on patient experiences and assessments, but do not collect data from clinical managers at the hospital </w:t>
      </w:r>
      <w:r w:rsidRPr="00197421" w:rsidR="00021540">
        <w:rPr>
          <w:rFonts w:ascii="Times New Roman" w:hAnsi="Times New Roman" w:cs="Times New Roman"/>
          <w:sz w:val="24"/>
          <w:szCs w:val="24"/>
        </w:rPr>
        <w:t>about their practices.</w:t>
      </w:r>
    </w:p>
    <w:p w:rsidRPr="00197421" w:rsidR="005513C9" w:rsidP="008F4F6B" w:rsidRDefault="005513C9" w14:paraId="53AC700E" w14:textId="1E1410CB">
      <w:pPr>
        <w:rPr>
          <w:rFonts w:ascii="Times New Roman" w:hAnsi="Times New Roman" w:cs="Times New Roman"/>
          <w:sz w:val="24"/>
          <w:szCs w:val="24"/>
        </w:rPr>
      </w:pPr>
      <w:r w:rsidRPr="00197421">
        <w:rPr>
          <w:rFonts w:ascii="Times New Roman" w:hAnsi="Times New Roman" w:cs="Times New Roman"/>
          <w:sz w:val="24"/>
          <w:szCs w:val="24"/>
        </w:rPr>
        <w:t>The Surveys on Patient Safety Culture</w:t>
      </w:r>
      <w:r w:rsidRPr="00197421" w:rsidR="006B7A79">
        <w:rPr>
          <w:rFonts w:ascii="Times New Roman" w:hAnsi="Times New Roman" w:cs="Times New Roman"/>
          <w:sz w:val="24"/>
          <w:szCs w:val="24"/>
        </w:rPr>
        <w:t xml:space="preserve"> (SOPS)</w:t>
      </w:r>
      <w:r w:rsidRPr="00197421" w:rsidR="00C73577">
        <w:rPr>
          <w:rFonts w:ascii="Times New Roman" w:hAnsi="Times New Roman" w:cs="Times New Roman"/>
          <w:sz w:val="24"/>
          <w:szCs w:val="24"/>
        </w:rPr>
        <w:t xml:space="preserve"> </w:t>
      </w:r>
      <w:r w:rsidRPr="00197421" w:rsidR="006C01F9">
        <w:rPr>
          <w:rFonts w:ascii="Times New Roman" w:hAnsi="Times New Roman" w:cs="Times New Roman"/>
          <w:sz w:val="24"/>
          <w:szCs w:val="24"/>
        </w:rPr>
        <w:t xml:space="preserve">for hospitals </w:t>
      </w:r>
      <w:r w:rsidRPr="00197421" w:rsidR="00C73577">
        <w:rPr>
          <w:rFonts w:ascii="Times New Roman" w:hAnsi="Times New Roman" w:cs="Times New Roman"/>
          <w:sz w:val="24"/>
          <w:szCs w:val="24"/>
        </w:rPr>
        <w:t>managed by</w:t>
      </w:r>
      <w:r w:rsidRPr="00197421">
        <w:rPr>
          <w:rFonts w:ascii="Times New Roman" w:hAnsi="Times New Roman" w:cs="Times New Roman"/>
          <w:sz w:val="24"/>
          <w:szCs w:val="24"/>
        </w:rPr>
        <w:t xml:space="preserve"> the Agency for Healthcare Research and Quality (AHRQ)</w:t>
      </w:r>
      <w:r w:rsidRPr="00197421" w:rsidR="001A38DB">
        <w:rPr>
          <w:rFonts w:ascii="Times New Roman" w:hAnsi="Times New Roman" w:cs="Times New Roman"/>
          <w:sz w:val="24"/>
          <w:szCs w:val="24"/>
        </w:rPr>
        <w:t xml:space="preserve"> at the United States Department of Health and Human Services</w:t>
      </w:r>
      <w:r w:rsidRPr="00197421" w:rsidR="00C73577">
        <w:rPr>
          <w:rFonts w:ascii="Times New Roman" w:hAnsi="Times New Roman" w:cs="Times New Roman"/>
          <w:sz w:val="24"/>
          <w:szCs w:val="24"/>
        </w:rPr>
        <w:t xml:space="preserve"> </w:t>
      </w:r>
      <w:r w:rsidRPr="00197421" w:rsidR="006C01F9">
        <w:rPr>
          <w:rFonts w:ascii="Times New Roman" w:hAnsi="Times New Roman" w:cs="Times New Roman"/>
          <w:sz w:val="24"/>
          <w:szCs w:val="24"/>
        </w:rPr>
        <w:t>is a survey that hospitals may</w:t>
      </w:r>
      <w:r w:rsidRPr="00197421" w:rsidR="00C73577">
        <w:rPr>
          <w:rFonts w:ascii="Times New Roman" w:hAnsi="Times New Roman" w:cs="Times New Roman"/>
          <w:sz w:val="24"/>
          <w:szCs w:val="24"/>
        </w:rPr>
        <w:t xml:space="preserve"> </w:t>
      </w:r>
      <w:r w:rsidRPr="00197421" w:rsidR="008B371F">
        <w:rPr>
          <w:rFonts w:ascii="Times New Roman" w:hAnsi="Times New Roman" w:cs="Times New Roman"/>
          <w:sz w:val="24"/>
          <w:szCs w:val="24"/>
        </w:rPr>
        <w:t xml:space="preserve">elect to </w:t>
      </w:r>
      <w:r w:rsidRPr="00197421" w:rsidR="00C73577">
        <w:rPr>
          <w:rFonts w:ascii="Times New Roman" w:hAnsi="Times New Roman" w:cs="Times New Roman"/>
          <w:sz w:val="24"/>
          <w:szCs w:val="24"/>
        </w:rPr>
        <w:t xml:space="preserve">self-administer at their facilities. </w:t>
      </w:r>
      <w:r w:rsidRPr="00197421" w:rsidR="006C01F9">
        <w:rPr>
          <w:rFonts w:ascii="Times New Roman" w:hAnsi="Times New Roman" w:cs="Times New Roman"/>
          <w:sz w:val="24"/>
          <w:szCs w:val="24"/>
        </w:rPr>
        <w:t>S</w:t>
      </w:r>
      <w:r w:rsidRPr="00197421" w:rsidR="008B371F">
        <w:rPr>
          <w:rFonts w:ascii="Times New Roman" w:hAnsi="Times New Roman" w:cs="Times New Roman"/>
          <w:sz w:val="24"/>
          <w:szCs w:val="24"/>
        </w:rPr>
        <w:t>taff respond to</w:t>
      </w:r>
      <w:r w:rsidRPr="00197421" w:rsidR="00C73577">
        <w:rPr>
          <w:rFonts w:ascii="Times New Roman" w:hAnsi="Times New Roman" w:cs="Times New Roman"/>
          <w:sz w:val="24"/>
          <w:szCs w:val="24"/>
        </w:rPr>
        <w:t xml:space="preserve"> questions </w:t>
      </w:r>
      <w:r w:rsidRPr="00197421" w:rsidR="008B371F">
        <w:rPr>
          <w:rFonts w:ascii="Times New Roman" w:hAnsi="Times New Roman" w:cs="Times New Roman"/>
          <w:sz w:val="24"/>
          <w:szCs w:val="24"/>
        </w:rPr>
        <w:t>covering</w:t>
      </w:r>
      <w:r w:rsidRPr="00197421" w:rsidR="00C73577">
        <w:rPr>
          <w:rFonts w:ascii="Times New Roman" w:hAnsi="Times New Roman" w:cs="Times New Roman"/>
          <w:sz w:val="24"/>
          <w:szCs w:val="24"/>
        </w:rPr>
        <w:t xml:space="preserve"> </w:t>
      </w:r>
      <w:r w:rsidRPr="00197421" w:rsidR="008B371F">
        <w:rPr>
          <w:rFonts w:ascii="Times New Roman" w:hAnsi="Times New Roman" w:cs="Times New Roman"/>
          <w:sz w:val="24"/>
          <w:szCs w:val="24"/>
        </w:rPr>
        <w:t xml:space="preserve">aspects of </w:t>
      </w:r>
      <w:r w:rsidRPr="00197421" w:rsidR="005475AA">
        <w:rPr>
          <w:rFonts w:ascii="Times New Roman" w:hAnsi="Times New Roman" w:cs="Times New Roman"/>
          <w:sz w:val="24"/>
          <w:szCs w:val="24"/>
        </w:rPr>
        <w:t>management and organizational practice</w:t>
      </w:r>
      <w:r w:rsidRPr="00197421" w:rsidR="006B7A79">
        <w:rPr>
          <w:rFonts w:ascii="Times New Roman" w:hAnsi="Times New Roman" w:cs="Times New Roman"/>
          <w:sz w:val="24"/>
          <w:szCs w:val="24"/>
        </w:rPr>
        <w:t>s</w:t>
      </w:r>
      <w:r w:rsidRPr="00197421" w:rsidR="00C73577">
        <w:rPr>
          <w:rFonts w:ascii="Times New Roman" w:hAnsi="Times New Roman" w:cs="Times New Roman"/>
          <w:sz w:val="24"/>
          <w:szCs w:val="24"/>
        </w:rPr>
        <w:t xml:space="preserve"> but</w:t>
      </w:r>
      <w:r w:rsidRPr="00197421" w:rsidR="008F0620">
        <w:rPr>
          <w:rFonts w:ascii="Times New Roman" w:hAnsi="Times New Roman" w:cs="Times New Roman"/>
          <w:sz w:val="24"/>
          <w:szCs w:val="24"/>
        </w:rPr>
        <w:t xml:space="preserve"> </w:t>
      </w:r>
      <w:r w:rsidRPr="00197421" w:rsidR="008B371F">
        <w:rPr>
          <w:rFonts w:ascii="Times New Roman" w:hAnsi="Times New Roman" w:cs="Times New Roman"/>
          <w:sz w:val="24"/>
          <w:szCs w:val="24"/>
        </w:rPr>
        <w:t xml:space="preserve">with a focus </w:t>
      </w:r>
      <w:r w:rsidRPr="00197421" w:rsidR="008F0620">
        <w:rPr>
          <w:rFonts w:ascii="Times New Roman" w:hAnsi="Times New Roman" w:cs="Times New Roman"/>
          <w:sz w:val="24"/>
          <w:szCs w:val="24"/>
        </w:rPr>
        <w:t>on patient safety</w:t>
      </w:r>
      <w:r w:rsidRPr="00197421" w:rsidR="00C73577">
        <w:rPr>
          <w:rFonts w:ascii="Times New Roman" w:hAnsi="Times New Roman" w:cs="Times New Roman"/>
          <w:sz w:val="24"/>
          <w:szCs w:val="24"/>
        </w:rPr>
        <w:t>. The</w:t>
      </w:r>
      <w:r w:rsidRPr="00197421" w:rsidR="008F0620">
        <w:rPr>
          <w:rFonts w:ascii="Times New Roman" w:hAnsi="Times New Roman" w:cs="Times New Roman"/>
          <w:sz w:val="24"/>
          <w:szCs w:val="24"/>
        </w:rPr>
        <w:t xml:space="preserve"> </w:t>
      </w:r>
      <w:r w:rsidRPr="00197421" w:rsidR="002F6999">
        <w:rPr>
          <w:rFonts w:ascii="Times New Roman" w:hAnsi="Times New Roman" w:cs="Times New Roman"/>
          <w:sz w:val="24"/>
          <w:szCs w:val="24"/>
        </w:rPr>
        <w:t xml:space="preserve">MOPS-HP is more comprehensive in its questioning about </w:t>
      </w:r>
      <w:r w:rsidRPr="00197421" w:rsidR="008F0620">
        <w:rPr>
          <w:rFonts w:ascii="Times New Roman" w:hAnsi="Times New Roman" w:cs="Times New Roman"/>
          <w:sz w:val="24"/>
          <w:szCs w:val="24"/>
        </w:rPr>
        <w:t>overall management</w:t>
      </w:r>
      <w:r w:rsidRPr="00197421" w:rsidR="002F6999">
        <w:rPr>
          <w:rFonts w:ascii="Times New Roman" w:hAnsi="Times New Roman" w:cs="Times New Roman"/>
          <w:sz w:val="24"/>
          <w:szCs w:val="24"/>
        </w:rPr>
        <w:t xml:space="preserve"> </w:t>
      </w:r>
      <w:r w:rsidRPr="00197421" w:rsidR="00C73577">
        <w:rPr>
          <w:rFonts w:ascii="Times New Roman" w:hAnsi="Times New Roman" w:cs="Times New Roman"/>
          <w:sz w:val="24"/>
          <w:szCs w:val="24"/>
        </w:rPr>
        <w:t xml:space="preserve">and organizational </w:t>
      </w:r>
      <w:r w:rsidRPr="00197421" w:rsidR="002F6999">
        <w:rPr>
          <w:rFonts w:ascii="Times New Roman" w:hAnsi="Times New Roman" w:cs="Times New Roman"/>
          <w:sz w:val="24"/>
          <w:szCs w:val="24"/>
        </w:rPr>
        <w:t>practices</w:t>
      </w:r>
      <w:r w:rsidRPr="00197421" w:rsidR="008F0620">
        <w:rPr>
          <w:rFonts w:ascii="Times New Roman" w:hAnsi="Times New Roman" w:cs="Times New Roman"/>
          <w:sz w:val="24"/>
          <w:szCs w:val="24"/>
        </w:rPr>
        <w:t xml:space="preserve"> </w:t>
      </w:r>
      <w:r w:rsidRPr="00197421" w:rsidR="008B371F">
        <w:rPr>
          <w:rFonts w:ascii="Times New Roman" w:hAnsi="Times New Roman" w:cs="Times New Roman"/>
          <w:sz w:val="24"/>
          <w:szCs w:val="24"/>
        </w:rPr>
        <w:t>that are relevant to the hospital’s</w:t>
      </w:r>
      <w:r w:rsidRPr="00197421" w:rsidR="008F0620">
        <w:rPr>
          <w:rFonts w:ascii="Times New Roman" w:hAnsi="Times New Roman" w:cs="Times New Roman"/>
          <w:sz w:val="24"/>
          <w:szCs w:val="24"/>
        </w:rPr>
        <w:t xml:space="preserve"> clinical and financial </w:t>
      </w:r>
      <w:r w:rsidRPr="00197421" w:rsidR="00B35CA3">
        <w:rPr>
          <w:rFonts w:ascii="Times New Roman" w:hAnsi="Times New Roman" w:cs="Times New Roman"/>
          <w:sz w:val="24"/>
          <w:szCs w:val="24"/>
        </w:rPr>
        <w:t>performance</w:t>
      </w:r>
      <w:r w:rsidRPr="00197421" w:rsidR="002F6999">
        <w:rPr>
          <w:rFonts w:ascii="Times New Roman" w:hAnsi="Times New Roman" w:cs="Times New Roman"/>
          <w:sz w:val="24"/>
          <w:szCs w:val="24"/>
        </w:rPr>
        <w:t xml:space="preserve">. </w:t>
      </w:r>
      <w:r w:rsidRPr="00197421" w:rsidR="006B7A79">
        <w:rPr>
          <w:rFonts w:ascii="Times New Roman" w:hAnsi="Times New Roman" w:cs="Times New Roman"/>
          <w:sz w:val="24"/>
          <w:szCs w:val="24"/>
        </w:rPr>
        <w:t xml:space="preserve">In addition, </w:t>
      </w:r>
      <w:r w:rsidRPr="00197421" w:rsidR="002F6999">
        <w:rPr>
          <w:rFonts w:ascii="Times New Roman" w:hAnsi="Times New Roman" w:cs="Times New Roman"/>
          <w:sz w:val="24"/>
          <w:szCs w:val="24"/>
        </w:rPr>
        <w:t xml:space="preserve">the samples for the SOPS is </w:t>
      </w:r>
      <w:r w:rsidRPr="00197421" w:rsidR="008F0620">
        <w:rPr>
          <w:rFonts w:ascii="Times New Roman" w:hAnsi="Times New Roman" w:cs="Times New Roman"/>
          <w:sz w:val="24"/>
          <w:szCs w:val="24"/>
        </w:rPr>
        <w:t>voluntary and has a smaller sample</w:t>
      </w:r>
      <w:r w:rsidRPr="00197421" w:rsidR="002F6999">
        <w:rPr>
          <w:rFonts w:ascii="Times New Roman" w:hAnsi="Times New Roman" w:cs="Times New Roman"/>
          <w:sz w:val="24"/>
          <w:szCs w:val="24"/>
        </w:rPr>
        <w:t xml:space="preserve"> with 630 hospitals </w:t>
      </w:r>
      <w:r w:rsidRPr="00197421" w:rsidR="00F32474">
        <w:rPr>
          <w:rFonts w:ascii="Times New Roman" w:hAnsi="Times New Roman" w:cs="Times New Roman"/>
          <w:sz w:val="24"/>
          <w:szCs w:val="24"/>
        </w:rPr>
        <w:t>self-</w:t>
      </w:r>
      <w:r w:rsidRPr="00197421" w:rsidR="002F6999">
        <w:rPr>
          <w:rFonts w:ascii="Times New Roman" w:hAnsi="Times New Roman" w:cs="Times New Roman"/>
          <w:sz w:val="24"/>
          <w:szCs w:val="24"/>
        </w:rPr>
        <w:t>adm</w:t>
      </w:r>
      <w:r w:rsidRPr="00197421" w:rsidR="008F0620">
        <w:rPr>
          <w:rFonts w:ascii="Times New Roman" w:hAnsi="Times New Roman" w:cs="Times New Roman"/>
          <w:sz w:val="24"/>
          <w:szCs w:val="24"/>
        </w:rPr>
        <w:t>inistering the survey in 2018. In contrast, t</w:t>
      </w:r>
      <w:r w:rsidRPr="00197421" w:rsidR="002F6999">
        <w:rPr>
          <w:rFonts w:ascii="Times New Roman" w:hAnsi="Times New Roman" w:cs="Times New Roman"/>
          <w:sz w:val="24"/>
          <w:szCs w:val="24"/>
        </w:rPr>
        <w:t>he MOPS-HP plans to surve</w:t>
      </w:r>
      <w:r w:rsidRPr="00197421" w:rsidR="002E6649">
        <w:rPr>
          <w:rFonts w:ascii="Times New Roman" w:hAnsi="Times New Roman" w:cs="Times New Roman"/>
          <w:sz w:val="24"/>
          <w:szCs w:val="24"/>
        </w:rPr>
        <w:t xml:space="preserve">y approximately </w:t>
      </w:r>
      <w:r w:rsidRPr="00197421" w:rsidR="00E41FBE">
        <w:rPr>
          <w:rFonts w:ascii="Times New Roman" w:hAnsi="Times New Roman" w:cs="Times New Roman"/>
          <w:sz w:val="24"/>
          <w:szCs w:val="24"/>
        </w:rPr>
        <w:t>3,</w:t>
      </w:r>
      <w:r w:rsidRPr="00197421" w:rsidR="002557FF">
        <w:rPr>
          <w:rFonts w:ascii="Times New Roman" w:hAnsi="Times New Roman" w:cs="Times New Roman"/>
          <w:sz w:val="24"/>
          <w:szCs w:val="24"/>
        </w:rPr>
        <w:t>2</w:t>
      </w:r>
      <w:r w:rsidRPr="00197421" w:rsidR="00E41FBE">
        <w:rPr>
          <w:rFonts w:ascii="Times New Roman" w:hAnsi="Times New Roman" w:cs="Times New Roman"/>
          <w:sz w:val="24"/>
          <w:szCs w:val="24"/>
        </w:rPr>
        <w:t xml:space="preserve">00 </w:t>
      </w:r>
      <w:r w:rsidRPr="00197421" w:rsidR="002E6649">
        <w:rPr>
          <w:rFonts w:ascii="Times New Roman" w:hAnsi="Times New Roman" w:cs="Times New Roman"/>
          <w:sz w:val="24"/>
          <w:szCs w:val="24"/>
        </w:rPr>
        <w:t xml:space="preserve">hospitals. Finally, the </w:t>
      </w:r>
      <w:r w:rsidRPr="00197421" w:rsidR="006B7A79">
        <w:rPr>
          <w:rFonts w:ascii="Times New Roman" w:hAnsi="Times New Roman" w:cs="Times New Roman"/>
          <w:sz w:val="24"/>
          <w:szCs w:val="24"/>
        </w:rPr>
        <w:t>MOPS-HP will have</w:t>
      </w:r>
      <w:r w:rsidRPr="00197421" w:rsidR="0026076D">
        <w:rPr>
          <w:rFonts w:ascii="Times New Roman" w:hAnsi="Times New Roman" w:cs="Times New Roman"/>
          <w:sz w:val="24"/>
          <w:szCs w:val="24"/>
        </w:rPr>
        <w:t xml:space="preserve"> firm</w:t>
      </w:r>
      <w:r w:rsidRPr="00197421" w:rsidR="00274878">
        <w:rPr>
          <w:rFonts w:ascii="Times New Roman" w:hAnsi="Times New Roman" w:cs="Times New Roman"/>
          <w:sz w:val="24"/>
          <w:szCs w:val="24"/>
        </w:rPr>
        <w:t>-level</w:t>
      </w:r>
      <w:r w:rsidRPr="00197421" w:rsidR="0026076D">
        <w:rPr>
          <w:rFonts w:ascii="Times New Roman" w:hAnsi="Times New Roman" w:cs="Times New Roman"/>
          <w:sz w:val="24"/>
          <w:szCs w:val="24"/>
        </w:rPr>
        <w:t xml:space="preserve"> revenue data for </w:t>
      </w:r>
      <w:r w:rsidRPr="00197421" w:rsidR="006B7A79">
        <w:rPr>
          <w:rFonts w:ascii="Times New Roman" w:hAnsi="Times New Roman" w:cs="Times New Roman"/>
          <w:sz w:val="24"/>
          <w:szCs w:val="24"/>
        </w:rPr>
        <w:t>participa</w:t>
      </w:r>
      <w:r w:rsidRPr="00197421" w:rsidR="002E6649">
        <w:rPr>
          <w:rFonts w:ascii="Times New Roman" w:hAnsi="Times New Roman" w:cs="Times New Roman"/>
          <w:sz w:val="24"/>
          <w:szCs w:val="24"/>
        </w:rPr>
        <w:t xml:space="preserve">ting hospitals through the SAS. This link </w:t>
      </w:r>
      <w:r w:rsidRPr="00197421" w:rsidR="009E5D4D">
        <w:rPr>
          <w:rFonts w:ascii="Times New Roman" w:hAnsi="Times New Roman" w:cs="Times New Roman"/>
          <w:sz w:val="24"/>
          <w:szCs w:val="24"/>
        </w:rPr>
        <w:t xml:space="preserve">between these two </w:t>
      </w:r>
      <w:r w:rsidRPr="00197421" w:rsidR="0026076D">
        <w:rPr>
          <w:rFonts w:ascii="Times New Roman" w:hAnsi="Times New Roman" w:cs="Times New Roman"/>
          <w:sz w:val="24"/>
          <w:szCs w:val="24"/>
        </w:rPr>
        <w:t>data points</w:t>
      </w:r>
      <w:r w:rsidRPr="00197421" w:rsidR="009E5D4D">
        <w:rPr>
          <w:rFonts w:ascii="Times New Roman" w:hAnsi="Times New Roman" w:cs="Times New Roman"/>
          <w:sz w:val="24"/>
          <w:szCs w:val="24"/>
        </w:rPr>
        <w:t xml:space="preserve"> </w:t>
      </w:r>
      <w:r w:rsidRPr="00197421" w:rsidR="002E6649">
        <w:rPr>
          <w:rFonts w:ascii="Times New Roman" w:hAnsi="Times New Roman" w:cs="Times New Roman"/>
          <w:sz w:val="24"/>
          <w:szCs w:val="24"/>
        </w:rPr>
        <w:t>is unique to the MOPS-HP.</w:t>
      </w:r>
    </w:p>
    <w:p w:rsidRPr="00197421" w:rsidR="00021540" w:rsidP="008F4F6B" w:rsidRDefault="00021540" w14:paraId="25F21566" w14:textId="45D745D7">
      <w:pPr>
        <w:rPr>
          <w:rFonts w:ascii="Times New Roman" w:hAnsi="Times New Roman" w:cs="Times New Roman"/>
          <w:sz w:val="24"/>
          <w:szCs w:val="24"/>
        </w:rPr>
      </w:pPr>
      <w:r w:rsidRPr="00197421">
        <w:rPr>
          <w:rFonts w:ascii="Times New Roman" w:hAnsi="Times New Roman" w:cs="Times New Roman"/>
          <w:sz w:val="24"/>
          <w:szCs w:val="24"/>
        </w:rPr>
        <w:t>The Census Bureau collects data on management practices in the manufacturing sector in the</w:t>
      </w:r>
      <w:r w:rsidRPr="00197421" w:rsidR="00E32406">
        <w:rPr>
          <w:rFonts w:ascii="Times New Roman" w:hAnsi="Times New Roman" w:cs="Times New Roman"/>
          <w:sz w:val="24"/>
          <w:szCs w:val="24"/>
        </w:rPr>
        <w:t xml:space="preserve"> MOPS</w:t>
      </w:r>
      <w:r w:rsidRPr="00197421">
        <w:rPr>
          <w:rFonts w:ascii="Times New Roman" w:hAnsi="Times New Roman" w:cs="Times New Roman"/>
          <w:sz w:val="24"/>
          <w:szCs w:val="24"/>
        </w:rPr>
        <w:t xml:space="preserve">, but the industries covered in that survey do not overlap with hospitals. Additionally, the MOPS-HP covers topics specific to hospitals that are not </w:t>
      </w:r>
      <w:r w:rsidRPr="00197421" w:rsidR="00060958">
        <w:rPr>
          <w:rFonts w:ascii="Times New Roman" w:hAnsi="Times New Roman" w:cs="Times New Roman"/>
          <w:sz w:val="24"/>
          <w:szCs w:val="24"/>
        </w:rPr>
        <w:t xml:space="preserve">relevant </w:t>
      </w:r>
      <w:r w:rsidRPr="00197421">
        <w:rPr>
          <w:rFonts w:ascii="Times New Roman" w:hAnsi="Times New Roman" w:cs="Times New Roman"/>
          <w:sz w:val="24"/>
          <w:szCs w:val="24"/>
        </w:rPr>
        <w:t>on the MOPS</w:t>
      </w:r>
      <w:r w:rsidRPr="00197421" w:rsidR="00060958">
        <w:rPr>
          <w:rFonts w:ascii="Times New Roman" w:hAnsi="Times New Roman" w:cs="Times New Roman"/>
          <w:sz w:val="24"/>
          <w:szCs w:val="24"/>
        </w:rPr>
        <w:t xml:space="preserve"> such as the use of standardized clinical protocols or medical record documentation</w:t>
      </w:r>
      <w:r w:rsidRPr="00197421">
        <w:rPr>
          <w:rFonts w:ascii="Times New Roman" w:hAnsi="Times New Roman" w:cs="Times New Roman"/>
          <w:sz w:val="24"/>
          <w:szCs w:val="24"/>
        </w:rPr>
        <w:t>.</w:t>
      </w:r>
    </w:p>
    <w:p w:rsidRPr="00197421" w:rsidR="001B327B" w:rsidP="008F4F6B" w:rsidRDefault="001B327B" w14:paraId="6E9F275D" w14:textId="77777777">
      <w:pPr>
        <w:rPr>
          <w:rFonts w:ascii="Times New Roman" w:hAnsi="Times New Roman" w:cs="Times New Roman"/>
          <w:sz w:val="24"/>
          <w:szCs w:val="24"/>
        </w:rPr>
      </w:pPr>
    </w:p>
    <w:p w:rsidRPr="00197421" w:rsidR="005475AA" w:rsidP="005475AA" w:rsidRDefault="06A81255" w14:paraId="22942B45" w14:textId="77777777">
      <w:pPr>
        <w:pStyle w:val="NormalWeb"/>
        <w:rPr>
          <w:color w:val="auto"/>
        </w:rPr>
      </w:pPr>
      <w:r w:rsidRPr="00197421">
        <w:rPr>
          <w:color w:val="auto"/>
          <w:u w:val="single"/>
        </w:rPr>
        <w:t>Question 5. Minimizing Burden</w:t>
      </w:r>
    </w:p>
    <w:p w:rsidRPr="00197421" w:rsidR="005475AA" w:rsidP="008F4F6B" w:rsidRDefault="005475AA" w14:paraId="3DDABE20" w14:textId="7A85E6B9">
      <w:pPr>
        <w:rPr>
          <w:rFonts w:ascii="Times New Roman" w:hAnsi="Times New Roman" w:cs="Times New Roman"/>
          <w:sz w:val="24"/>
          <w:szCs w:val="24"/>
        </w:rPr>
      </w:pPr>
      <w:r w:rsidRPr="00197421">
        <w:rPr>
          <w:rFonts w:ascii="Times New Roman" w:hAnsi="Times New Roman" w:cs="Times New Roman"/>
          <w:sz w:val="24"/>
          <w:szCs w:val="24"/>
        </w:rPr>
        <w:t>Small businesses or other small entities are not asked to report information.</w:t>
      </w:r>
    </w:p>
    <w:p w:rsidRPr="00197421" w:rsidR="00FF177C" w:rsidP="008F4F6B" w:rsidRDefault="65928E0C" w14:paraId="2294336E" w14:textId="2E599FCF">
      <w:pPr>
        <w:rPr>
          <w:rFonts w:ascii="Times New Roman" w:hAnsi="Times New Roman" w:cs="Times New Roman"/>
          <w:sz w:val="24"/>
          <w:szCs w:val="24"/>
        </w:rPr>
      </w:pPr>
      <w:r w:rsidRPr="00197421">
        <w:rPr>
          <w:rFonts w:ascii="Times New Roman" w:hAnsi="Times New Roman" w:cs="Times New Roman"/>
          <w:sz w:val="24"/>
          <w:szCs w:val="24"/>
        </w:rPr>
        <w:t xml:space="preserve">Respondent burden is reduced </w:t>
      </w:r>
      <w:proofErr w:type="gramStart"/>
      <w:r w:rsidRPr="00197421">
        <w:rPr>
          <w:rFonts w:ascii="Times New Roman" w:hAnsi="Times New Roman" w:cs="Times New Roman"/>
          <w:sz w:val="24"/>
          <w:szCs w:val="24"/>
        </w:rPr>
        <w:t>as a result of</w:t>
      </w:r>
      <w:proofErr w:type="gramEnd"/>
      <w:r w:rsidRPr="00197421">
        <w:rPr>
          <w:rFonts w:ascii="Times New Roman" w:hAnsi="Times New Roman" w:cs="Times New Roman"/>
          <w:sz w:val="24"/>
          <w:szCs w:val="24"/>
        </w:rPr>
        <w:t xml:space="preserve"> the fully electronic collection strategy. The Respondent Portal will give the respondent the ability to easily communicate with survey representatives as well as perform other actions such as requesting an extension to the due date. The Centurion instrument will allow respondents to complete and file in one session or to save and return over multiple sessions. The instrument will also remove questions and response options for respondents when they are irrelevant based on the respondent’s selections to previous questions. This will prevent the respondent from reading and attempting to answer questions that are not applicable to them. </w:t>
      </w:r>
    </w:p>
    <w:p w:rsidRPr="00197421" w:rsidR="00FF177C" w:rsidP="008F4F6B" w:rsidRDefault="65928E0C" w14:paraId="699FA75E" w14:textId="10A5929F">
      <w:pPr>
        <w:rPr>
          <w:rFonts w:ascii="Times New Roman" w:hAnsi="Times New Roman" w:cs="Times New Roman"/>
          <w:sz w:val="24"/>
          <w:szCs w:val="24"/>
        </w:rPr>
      </w:pPr>
      <w:r w:rsidRPr="00197421">
        <w:rPr>
          <w:rFonts w:ascii="Times New Roman" w:hAnsi="Times New Roman" w:cs="Times New Roman"/>
          <w:sz w:val="24"/>
          <w:szCs w:val="24"/>
        </w:rPr>
        <w:t xml:space="preserve">The MOPS-HP surveys at the establishment level while the SAS is administered at the company level; therefore, these respondents will not overlap.  In addition, the intended respondent for the MOPS-HP, the CNO, is likely not the same person responding to the SAS questionnaire since </w:t>
      </w:r>
      <w:proofErr w:type="gramStart"/>
      <w:r w:rsidRPr="00197421">
        <w:rPr>
          <w:rFonts w:ascii="Times New Roman" w:hAnsi="Times New Roman" w:cs="Times New Roman"/>
          <w:sz w:val="24"/>
          <w:szCs w:val="24"/>
        </w:rPr>
        <w:t>the majority of</w:t>
      </w:r>
      <w:proofErr w:type="gramEnd"/>
      <w:r w:rsidRPr="00197421">
        <w:rPr>
          <w:rFonts w:ascii="Times New Roman" w:hAnsi="Times New Roman" w:cs="Times New Roman"/>
          <w:sz w:val="24"/>
          <w:szCs w:val="24"/>
        </w:rPr>
        <w:t xml:space="preserve"> the SAS questions concern financial items. </w:t>
      </w:r>
    </w:p>
    <w:p w:rsidRPr="00197421" w:rsidR="005475AA" w:rsidP="008F4F6B" w:rsidRDefault="0022586A" w14:paraId="6E087F28" w14:textId="3A7319DD">
      <w:pPr>
        <w:rPr>
          <w:rFonts w:ascii="Times New Roman" w:hAnsi="Times New Roman" w:cs="Times New Roman"/>
          <w:sz w:val="24"/>
          <w:szCs w:val="24"/>
        </w:rPr>
      </w:pPr>
      <w:r w:rsidRPr="00197421">
        <w:rPr>
          <w:rFonts w:ascii="Times New Roman" w:hAnsi="Times New Roman" w:cs="Times New Roman"/>
          <w:sz w:val="24"/>
          <w:szCs w:val="24"/>
        </w:rPr>
        <w:t>Finding ways to reduce burden was a priority</w:t>
      </w:r>
      <w:r w:rsidRPr="00197421" w:rsidR="00EA5A7D">
        <w:rPr>
          <w:rFonts w:ascii="Times New Roman" w:hAnsi="Times New Roman" w:cs="Times New Roman"/>
          <w:sz w:val="24"/>
          <w:szCs w:val="24"/>
        </w:rPr>
        <w:t xml:space="preserve"> during cognitive testing</w:t>
      </w:r>
      <w:r w:rsidRPr="00197421">
        <w:rPr>
          <w:rFonts w:ascii="Times New Roman" w:hAnsi="Times New Roman" w:cs="Times New Roman"/>
          <w:sz w:val="24"/>
          <w:szCs w:val="24"/>
        </w:rPr>
        <w:t xml:space="preserve"> of the content</w:t>
      </w:r>
      <w:r w:rsidRPr="00197421" w:rsidR="00EA5A7D">
        <w:rPr>
          <w:rFonts w:ascii="Times New Roman" w:hAnsi="Times New Roman" w:cs="Times New Roman"/>
          <w:sz w:val="24"/>
          <w:szCs w:val="24"/>
        </w:rPr>
        <w:t xml:space="preserve">. </w:t>
      </w:r>
      <w:r w:rsidRPr="00197421" w:rsidR="00773D0C">
        <w:rPr>
          <w:rFonts w:ascii="Times New Roman" w:hAnsi="Times New Roman" w:cs="Times New Roman"/>
          <w:sz w:val="24"/>
          <w:szCs w:val="24"/>
        </w:rPr>
        <w:t xml:space="preserve">Potential respondents provided feedback on various aspects of the collection, including ease of providing the information being asked. </w:t>
      </w:r>
      <w:r w:rsidRPr="00197421" w:rsidR="00EA5A7D">
        <w:rPr>
          <w:rFonts w:ascii="Times New Roman" w:hAnsi="Times New Roman" w:cs="Times New Roman"/>
          <w:sz w:val="24"/>
          <w:szCs w:val="24"/>
        </w:rPr>
        <w:t xml:space="preserve">The content was tested to be administered </w:t>
      </w:r>
      <w:r w:rsidRPr="00197421" w:rsidR="00801D24">
        <w:rPr>
          <w:rFonts w:ascii="Times New Roman" w:hAnsi="Times New Roman" w:cs="Times New Roman"/>
          <w:sz w:val="24"/>
          <w:szCs w:val="24"/>
        </w:rPr>
        <w:t>with both</w:t>
      </w:r>
      <w:r w:rsidRPr="00197421" w:rsidR="00EA5A7D">
        <w:rPr>
          <w:rFonts w:ascii="Times New Roman" w:hAnsi="Times New Roman" w:cs="Times New Roman"/>
          <w:sz w:val="24"/>
          <w:szCs w:val="24"/>
        </w:rPr>
        <w:t xml:space="preserve"> CNO</w:t>
      </w:r>
      <w:r w:rsidRPr="00197421" w:rsidR="00801D24">
        <w:rPr>
          <w:rFonts w:ascii="Times New Roman" w:hAnsi="Times New Roman" w:cs="Times New Roman"/>
          <w:sz w:val="24"/>
          <w:szCs w:val="24"/>
        </w:rPr>
        <w:t>s</w:t>
      </w:r>
      <w:r w:rsidRPr="00197421" w:rsidR="00EA5A7D">
        <w:rPr>
          <w:rFonts w:ascii="Times New Roman" w:hAnsi="Times New Roman" w:cs="Times New Roman"/>
          <w:sz w:val="24"/>
          <w:szCs w:val="24"/>
        </w:rPr>
        <w:t xml:space="preserve"> and Chief Financial Officer</w:t>
      </w:r>
      <w:r w:rsidRPr="00197421" w:rsidR="00801D24">
        <w:rPr>
          <w:rFonts w:ascii="Times New Roman" w:hAnsi="Times New Roman" w:cs="Times New Roman"/>
          <w:sz w:val="24"/>
          <w:szCs w:val="24"/>
        </w:rPr>
        <w:t>s</w:t>
      </w:r>
      <w:r w:rsidRPr="00197421">
        <w:rPr>
          <w:rFonts w:ascii="Times New Roman" w:hAnsi="Times New Roman" w:cs="Times New Roman"/>
          <w:sz w:val="24"/>
          <w:szCs w:val="24"/>
        </w:rPr>
        <w:t xml:space="preserve"> (CFO) at each location sampled. Based on feedback, </w:t>
      </w:r>
      <w:r w:rsidRPr="00197421" w:rsidR="00801D24">
        <w:rPr>
          <w:rFonts w:ascii="Times New Roman" w:hAnsi="Times New Roman" w:cs="Times New Roman"/>
          <w:sz w:val="24"/>
          <w:szCs w:val="24"/>
        </w:rPr>
        <w:t xml:space="preserve">it was determined that CNOs would be the most appropriate respondent to the MOPS-HP. </w:t>
      </w:r>
      <w:r w:rsidRPr="00197421" w:rsidR="00520810">
        <w:rPr>
          <w:rFonts w:ascii="Times New Roman" w:hAnsi="Times New Roman" w:cs="Times New Roman"/>
          <w:sz w:val="24"/>
          <w:szCs w:val="24"/>
        </w:rPr>
        <w:t xml:space="preserve">Additionally, individual questions were </w:t>
      </w:r>
      <w:r w:rsidRPr="00197421">
        <w:rPr>
          <w:rFonts w:ascii="Times New Roman" w:hAnsi="Times New Roman" w:cs="Times New Roman"/>
          <w:sz w:val="24"/>
          <w:szCs w:val="24"/>
        </w:rPr>
        <w:t>improved</w:t>
      </w:r>
      <w:r w:rsidRPr="00197421" w:rsidR="00520810">
        <w:rPr>
          <w:rFonts w:ascii="Times New Roman" w:hAnsi="Times New Roman" w:cs="Times New Roman"/>
          <w:sz w:val="24"/>
          <w:szCs w:val="24"/>
        </w:rPr>
        <w:t xml:space="preserve"> to </w:t>
      </w:r>
      <w:r w:rsidRPr="00197421">
        <w:rPr>
          <w:rFonts w:ascii="Times New Roman" w:hAnsi="Times New Roman" w:cs="Times New Roman"/>
          <w:sz w:val="24"/>
          <w:szCs w:val="24"/>
        </w:rPr>
        <w:t>remove any ambiguity</w:t>
      </w:r>
      <w:r w:rsidRPr="00197421" w:rsidR="00520810">
        <w:rPr>
          <w:rFonts w:ascii="Times New Roman" w:hAnsi="Times New Roman" w:cs="Times New Roman"/>
          <w:sz w:val="24"/>
          <w:szCs w:val="24"/>
        </w:rPr>
        <w:t xml:space="preserve"> and </w:t>
      </w:r>
      <w:r w:rsidRPr="00197421" w:rsidR="006840C3">
        <w:rPr>
          <w:rFonts w:ascii="Times New Roman" w:hAnsi="Times New Roman" w:cs="Times New Roman"/>
          <w:sz w:val="24"/>
          <w:szCs w:val="24"/>
        </w:rPr>
        <w:t xml:space="preserve">to </w:t>
      </w:r>
      <w:r w:rsidRPr="00197421" w:rsidR="00520810">
        <w:rPr>
          <w:rFonts w:ascii="Times New Roman" w:hAnsi="Times New Roman" w:cs="Times New Roman"/>
          <w:sz w:val="24"/>
          <w:szCs w:val="24"/>
        </w:rPr>
        <w:t xml:space="preserve">require less time from the respondent. Definitions of frequently used terms were also </w:t>
      </w:r>
      <w:r w:rsidRPr="00197421" w:rsidR="00801D24">
        <w:rPr>
          <w:rFonts w:ascii="Times New Roman" w:hAnsi="Times New Roman" w:cs="Times New Roman"/>
          <w:sz w:val="24"/>
          <w:szCs w:val="24"/>
        </w:rPr>
        <w:t xml:space="preserve">edited and/or </w:t>
      </w:r>
      <w:r w:rsidRPr="00197421" w:rsidR="00520810">
        <w:rPr>
          <w:rFonts w:ascii="Times New Roman" w:hAnsi="Times New Roman" w:cs="Times New Roman"/>
          <w:sz w:val="24"/>
          <w:szCs w:val="24"/>
        </w:rPr>
        <w:t xml:space="preserve">added to the </w:t>
      </w:r>
      <w:r w:rsidRPr="00197421" w:rsidR="00801D24">
        <w:rPr>
          <w:rFonts w:ascii="Times New Roman" w:hAnsi="Times New Roman" w:cs="Times New Roman"/>
          <w:sz w:val="24"/>
          <w:szCs w:val="24"/>
        </w:rPr>
        <w:t xml:space="preserve">survey </w:t>
      </w:r>
      <w:r w:rsidRPr="00197421" w:rsidR="002265A5">
        <w:rPr>
          <w:rFonts w:ascii="Times New Roman" w:hAnsi="Times New Roman" w:cs="Times New Roman"/>
          <w:sz w:val="24"/>
          <w:szCs w:val="24"/>
        </w:rPr>
        <w:t xml:space="preserve">worksheet and electronic collection instrument </w:t>
      </w:r>
      <w:r w:rsidRPr="00197421" w:rsidR="00520810">
        <w:rPr>
          <w:rFonts w:ascii="Times New Roman" w:hAnsi="Times New Roman" w:cs="Times New Roman"/>
          <w:sz w:val="24"/>
          <w:szCs w:val="24"/>
        </w:rPr>
        <w:t>to make the questions clearer.</w:t>
      </w:r>
      <w:r w:rsidRPr="00197421" w:rsidR="00A31AC8">
        <w:rPr>
          <w:rFonts w:ascii="Times New Roman" w:hAnsi="Times New Roman" w:cs="Times New Roman"/>
          <w:sz w:val="24"/>
          <w:szCs w:val="24"/>
        </w:rPr>
        <w:t xml:space="preserve"> </w:t>
      </w:r>
      <w:r w:rsidRPr="009670C6" w:rsidR="00DB6D08">
        <w:rPr>
          <w:rFonts w:ascii="Times New Roman" w:hAnsi="Times New Roman" w:cs="Times New Roman"/>
          <w:sz w:val="24"/>
          <w:szCs w:val="24"/>
          <w:highlight w:val="yellow"/>
        </w:rPr>
        <w:t xml:space="preserve">In addition to reducing burden due to content, a delay in survey timing from the initially scheduled dates will reduce burden on hospitals and CNOs. </w:t>
      </w:r>
      <w:r w:rsidRPr="009670C6" w:rsidR="00B55820">
        <w:rPr>
          <w:rFonts w:ascii="Times New Roman" w:hAnsi="Times New Roman" w:cs="Times New Roman"/>
          <w:sz w:val="24"/>
          <w:szCs w:val="24"/>
          <w:highlight w:val="yellow"/>
        </w:rPr>
        <w:t>This allows r</w:t>
      </w:r>
      <w:r w:rsidRPr="009670C6" w:rsidR="00DB6D08">
        <w:rPr>
          <w:rFonts w:ascii="Times New Roman" w:hAnsi="Times New Roman" w:cs="Times New Roman"/>
          <w:sz w:val="24"/>
          <w:szCs w:val="24"/>
          <w:highlight w:val="yellow"/>
        </w:rPr>
        <w:t xml:space="preserve">ecent surges of cases </w:t>
      </w:r>
      <w:r w:rsidRPr="009670C6" w:rsidR="00B55820">
        <w:rPr>
          <w:rFonts w:ascii="Times New Roman" w:hAnsi="Times New Roman" w:cs="Times New Roman"/>
          <w:sz w:val="24"/>
          <w:szCs w:val="24"/>
          <w:highlight w:val="yellow"/>
        </w:rPr>
        <w:t>to be</w:t>
      </w:r>
      <w:r w:rsidRPr="009670C6" w:rsidR="00DB6D08">
        <w:rPr>
          <w:rFonts w:ascii="Times New Roman" w:hAnsi="Times New Roman" w:cs="Times New Roman"/>
          <w:sz w:val="24"/>
          <w:szCs w:val="24"/>
          <w:highlight w:val="yellow"/>
        </w:rPr>
        <w:t xml:space="preserve"> avoided, </w:t>
      </w:r>
      <w:r w:rsidRPr="009670C6" w:rsidR="00015C5C">
        <w:rPr>
          <w:rFonts w:ascii="Times New Roman" w:hAnsi="Times New Roman" w:cs="Times New Roman"/>
          <w:sz w:val="24"/>
          <w:szCs w:val="24"/>
          <w:highlight w:val="yellow"/>
        </w:rPr>
        <w:t xml:space="preserve">allowing </w:t>
      </w:r>
      <w:r w:rsidRPr="009670C6" w:rsidR="003D2079">
        <w:rPr>
          <w:rFonts w:ascii="Times New Roman" w:hAnsi="Times New Roman" w:cs="Times New Roman"/>
          <w:sz w:val="24"/>
          <w:szCs w:val="24"/>
          <w:highlight w:val="yellow"/>
        </w:rPr>
        <w:t>respondents</w:t>
      </w:r>
      <w:r w:rsidRPr="009670C6" w:rsidR="00015C5C">
        <w:rPr>
          <w:rFonts w:ascii="Times New Roman" w:hAnsi="Times New Roman" w:cs="Times New Roman"/>
          <w:sz w:val="24"/>
          <w:szCs w:val="24"/>
          <w:highlight w:val="yellow"/>
        </w:rPr>
        <w:t xml:space="preserve"> </w:t>
      </w:r>
      <w:r w:rsidRPr="009670C6" w:rsidR="00B55820">
        <w:rPr>
          <w:rFonts w:ascii="Times New Roman" w:hAnsi="Times New Roman" w:cs="Times New Roman"/>
          <w:sz w:val="24"/>
          <w:szCs w:val="24"/>
          <w:highlight w:val="yellow"/>
        </w:rPr>
        <w:t>more capacity for the survey</w:t>
      </w:r>
      <w:r w:rsidRPr="009670C6" w:rsidR="00015C5C">
        <w:rPr>
          <w:rFonts w:ascii="Times New Roman" w:hAnsi="Times New Roman" w:cs="Times New Roman"/>
          <w:sz w:val="24"/>
          <w:szCs w:val="24"/>
          <w:highlight w:val="yellow"/>
        </w:rPr>
        <w:t>.</w:t>
      </w:r>
    </w:p>
    <w:p w:rsidRPr="00197421" w:rsidR="001B327B" w:rsidP="008F4F6B" w:rsidRDefault="001B327B" w14:paraId="2EC878A1" w14:textId="77777777">
      <w:pPr>
        <w:rPr>
          <w:rFonts w:ascii="Times New Roman" w:hAnsi="Times New Roman" w:cs="Times New Roman"/>
          <w:sz w:val="24"/>
          <w:szCs w:val="24"/>
        </w:rPr>
      </w:pPr>
    </w:p>
    <w:p w:rsidRPr="00197421" w:rsidR="005475AA" w:rsidP="005475AA" w:rsidRDefault="005475AA" w14:paraId="73EA4F02" w14:textId="77777777">
      <w:pPr>
        <w:pStyle w:val="NormalWeb"/>
        <w:rPr>
          <w:color w:val="auto"/>
        </w:rPr>
      </w:pPr>
      <w:r w:rsidRPr="00197421">
        <w:rPr>
          <w:color w:val="auto"/>
          <w:u w:val="single"/>
        </w:rPr>
        <w:t>Question 6. Consequences of Less Frequent Collection</w:t>
      </w:r>
    </w:p>
    <w:p w:rsidRPr="00197421" w:rsidR="005475AA" w:rsidP="008F4F6B" w:rsidRDefault="65928E0C" w14:paraId="2D07087F" w14:textId="1E7F763C">
      <w:pPr>
        <w:rPr>
          <w:rFonts w:ascii="Times New Roman" w:hAnsi="Times New Roman" w:cs="Times New Roman"/>
          <w:sz w:val="24"/>
          <w:szCs w:val="24"/>
        </w:rPr>
      </w:pPr>
      <w:r w:rsidRPr="00197421">
        <w:rPr>
          <w:rFonts w:ascii="Times New Roman" w:hAnsi="Times New Roman" w:cs="Times New Roman"/>
          <w:sz w:val="24"/>
          <w:szCs w:val="24"/>
        </w:rPr>
        <w:t>The MOPS-HP is a one-time collection with future data collection to be evaluated upon success and availability of funding. If the MOPS-HP is not conducted, the lack of data on hospital management practices will negatively impact obtaining a full understanding of hospitals and the health care industry. Hospital management practices have been</w:t>
      </w:r>
      <w:r w:rsidRPr="00197421" w:rsidR="00073675">
        <w:rPr>
          <w:rFonts w:ascii="Times New Roman" w:hAnsi="Times New Roman" w:cs="Times New Roman"/>
          <w:sz w:val="24"/>
          <w:szCs w:val="24"/>
        </w:rPr>
        <w:t xml:space="preserve"> </w:t>
      </w:r>
      <w:r w:rsidRPr="00197421">
        <w:rPr>
          <w:rFonts w:ascii="Times New Roman" w:hAnsi="Times New Roman" w:cs="Times New Roman"/>
          <w:sz w:val="24"/>
          <w:szCs w:val="24"/>
        </w:rPr>
        <w:t>shown to be related to both financial and clinical outcomes. This gap in data would prevent the Census Bureau from delivering products that would help other Federal Agencies, policymakers, and the public.</w:t>
      </w:r>
    </w:p>
    <w:p w:rsidRPr="00197421" w:rsidR="001B327B" w:rsidP="008F4F6B" w:rsidRDefault="001B327B" w14:paraId="36386DFE" w14:textId="77777777">
      <w:pPr>
        <w:rPr>
          <w:rFonts w:ascii="Times New Roman" w:hAnsi="Times New Roman" w:cs="Times New Roman"/>
          <w:sz w:val="24"/>
          <w:szCs w:val="24"/>
        </w:rPr>
      </w:pPr>
    </w:p>
    <w:p w:rsidRPr="00197421" w:rsidR="00164F35" w:rsidP="00164F35" w:rsidRDefault="00164F35" w14:paraId="347F2DC3" w14:textId="77777777">
      <w:pPr>
        <w:pStyle w:val="NormalWeb"/>
        <w:rPr>
          <w:color w:val="auto"/>
        </w:rPr>
      </w:pPr>
      <w:r w:rsidRPr="00197421">
        <w:rPr>
          <w:color w:val="auto"/>
          <w:u w:val="single"/>
        </w:rPr>
        <w:t>Question 7. Special Circumstances</w:t>
      </w:r>
    </w:p>
    <w:p w:rsidRPr="00197421" w:rsidR="00164F35" w:rsidP="008F4F6B" w:rsidRDefault="00FA1133" w14:paraId="0B541A3C" w14:textId="2E726209">
      <w:pPr>
        <w:rPr>
          <w:rFonts w:ascii="Times New Roman" w:hAnsi="Times New Roman" w:cs="Times New Roman"/>
          <w:sz w:val="24"/>
          <w:szCs w:val="24"/>
        </w:rPr>
      </w:pPr>
      <w:r w:rsidRPr="00197421">
        <w:rPr>
          <w:rFonts w:ascii="Times New Roman" w:hAnsi="Times New Roman" w:cs="Times New Roman"/>
          <w:sz w:val="24"/>
          <w:szCs w:val="24"/>
        </w:rPr>
        <w:lastRenderedPageBreak/>
        <w:t xml:space="preserve">The </w:t>
      </w:r>
      <w:r w:rsidRPr="00197421" w:rsidR="00164F35">
        <w:rPr>
          <w:rFonts w:ascii="Times New Roman" w:hAnsi="Times New Roman" w:cs="Times New Roman"/>
          <w:sz w:val="24"/>
          <w:szCs w:val="24"/>
        </w:rPr>
        <w:t>MOPS-HP will not have any special circumstances.</w:t>
      </w:r>
    </w:p>
    <w:p w:rsidRPr="00197421" w:rsidR="002F105F" w:rsidP="008F4F6B" w:rsidRDefault="002F105F" w14:paraId="7527CF8A" w14:textId="77777777">
      <w:pPr>
        <w:rPr>
          <w:rFonts w:ascii="Times New Roman" w:hAnsi="Times New Roman" w:cs="Times New Roman"/>
          <w:sz w:val="24"/>
          <w:szCs w:val="24"/>
        </w:rPr>
      </w:pPr>
    </w:p>
    <w:p w:rsidRPr="00197421" w:rsidR="00164F35" w:rsidP="00164F35" w:rsidRDefault="00164F35" w14:paraId="15840784" w14:textId="77777777">
      <w:pPr>
        <w:pStyle w:val="NormalWeb"/>
        <w:rPr>
          <w:color w:val="auto"/>
        </w:rPr>
      </w:pPr>
      <w:r w:rsidRPr="00197421">
        <w:rPr>
          <w:color w:val="auto"/>
          <w:u w:val="single"/>
        </w:rPr>
        <w:t>Question 8. Consultations Outside the Agency</w:t>
      </w:r>
    </w:p>
    <w:p w:rsidRPr="00197421" w:rsidR="00B1312F" w:rsidP="00164F35" w:rsidRDefault="004C4BB9" w14:paraId="2B8CA322" w14:textId="2D1B60C9">
      <w:pPr>
        <w:pStyle w:val="NormalWeb"/>
        <w:rPr>
          <w:color w:val="auto"/>
        </w:rPr>
      </w:pPr>
      <w:r w:rsidRPr="00197421">
        <w:rPr>
          <w:color w:val="auto"/>
        </w:rPr>
        <w:t xml:space="preserve">The MOPS-HP content was </w:t>
      </w:r>
      <w:r w:rsidRPr="00197421" w:rsidR="00EF3671">
        <w:rPr>
          <w:color w:val="auto"/>
        </w:rPr>
        <w:t>developed</w:t>
      </w:r>
      <w:r w:rsidRPr="00197421" w:rsidR="00030A67">
        <w:rPr>
          <w:color w:val="auto"/>
        </w:rPr>
        <w:t xml:space="preserve"> </w:t>
      </w:r>
      <w:r w:rsidRPr="00197421" w:rsidR="00EF3671">
        <w:rPr>
          <w:color w:val="auto"/>
        </w:rPr>
        <w:t>by the Census Bureau</w:t>
      </w:r>
      <w:r w:rsidRPr="00197421" w:rsidR="00030A67">
        <w:rPr>
          <w:color w:val="auto"/>
        </w:rPr>
        <w:t xml:space="preserve"> </w:t>
      </w:r>
      <w:r w:rsidRPr="00197421" w:rsidR="001E3AC2">
        <w:rPr>
          <w:color w:val="auto"/>
        </w:rPr>
        <w:t xml:space="preserve">in collaboration </w:t>
      </w:r>
      <w:r w:rsidRPr="00197421" w:rsidR="00030A67">
        <w:rPr>
          <w:color w:val="auto"/>
        </w:rPr>
        <w:t>with</w:t>
      </w:r>
      <w:r w:rsidRPr="00197421">
        <w:rPr>
          <w:color w:val="auto"/>
        </w:rPr>
        <w:t xml:space="preserve"> external researchers </w:t>
      </w:r>
      <w:r w:rsidRPr="00197421" w:rsidR="00030A67">
        <w:rPr>
          <w:color w:val="auto"/>
        </w:rPr>
        <w:t>who have</w:t>
      </w:r>
      <w:r w:rsidRPr="00197421">
        <w:rPr>
          <w:color w:val="auto"/>
        </w:rPr>
        <w:t xml:space="preserve"> </w:t>
      </w:r>
      <w:proofErr w:type="gramStart"/>
      <w:r w:rsidRPr="00197421">
        <w:rPr>
          <w:color w:val="auto"/>
        </w:rPr>
        <w:t>past experience</w:t>
      </w:r>
      <w:proofErr w:type="gramEnd"/>
      <w:r w:rsidRPr="00197421">
        <w:rPr>
          <w:color w:val="auto"/>
        </w:rPr>
        <w:t xml:space="preserve"> in surveying hospitals on management practices.</w:t>
      </w:r>
      <w:r w:rsidRPr="00197421" w:rsidR="00773D0C">
        <w:rPr>
          <w:color w:val="auto"/>
        </w:rPr>
        <w:t xml:space="preserve"> </w:t>
      </w:r>
      <w:r w:rsidRPr="00197421" w:rsidR="00030A67">
        <w:rPr>
          <w:color w:val="auto"/>
        </w:rPr>
        <w:t>The</w:t>
      </w:r>
      <w:r w:rsidRPr="00197421" w:rsidR="00B1312F">
        <w:rPr>
          <w:color w:val="auto"/>
        </w:rPr>
        <w:t xml:space="preserve"> content was</w:t>
      </w:r>
      <w:r w:rsidRPr="00197421" w:rsidR="00773D0C">
        <w:rPr>
          <w:color w:val="auto"/>
        </w:rPr>
        <w:t xml:space="preserve"> also</w:t>
      </w:r>
      <w:r w:rsidRPr="00197421" w:rsidR="00B1312F">
        <w:rPr>
          <w:color w:val="auto"/>
        </w:rPr>
        <w:t xml:space="preserve"> thoroughly examined through two rounds of </w:t>
      </w:r>
      <w:r w:rsidRPr="00197421" w:rsidR="00B87CC4">
        <w:rPr>
          <w:color w:val="auto"/>
        </w:rPr>
        <w:t xml:space="preserve">cognitive </w:t>
      </w:r>
      <w:r w:rsidRPr="00197421" w:rsidR="00B1312F">
        <w:rPr>
          <w:color w:val="auto"/>
        </w:rPr>
        <w:t>te</w:t>
      </w:r>
      <w:r w:rsidRPr="00197421" w:rsidR="00E340E3">
        <w:rPr>
          <w:color w:val="auto"/>
        </w:rPr>
        <w:t>sting with potential respondents</w:t>
      </w:r>
      <w:r w:rsidRPr="00197421" w:rsidR="00184E8F">
        <w:rPr>
          <w:color w:val="auto"/>
        </w:rPr>
        <w:t xml:space="preserve"> conducted by the Census Bureau</w:t>
      </w:r>
      <w:r w:rsidRPr="00197421" w:rsidR="00B1312F">
        <w:rPr>
          <w:color w:val="auto"/>
        </w:rPr>
        <w:t xml:space="preserve">. </w:t>
      </w:r>
      <w:r w:rsidRPr="00197421" w:rsidR="00B87CC4">
        <w:rPr>
          <w:color w:val="auto"/>
        </w:rPr>
        <w:t>Participants in the testing</w:t>
      </w:r>
      <w:r w:rsidRPr="00197421" w:rsidR="00B1312F">
        <w:rPr>
          <w:color w:val="auto"/>
        </w:rPr>
        <w:t xml:space="preserve"> provided feedback on various aspects of the collection, including </w:t>
      </w:r>
      <w:r w:rsidRPr="00197421" w:rsidR="001674D3">
        <w:rPr>
          <w:color w:val="auto"/>
        </w:rPr>
        <w:t>the structure of specific questions, the ordering of the questions, the best way to reach the intended respondents, and ease of providing the information being asked.</w:t>
      </w:r>
      <w:r w:rsidRPr="00197421" w:rsidR="00EF3671">
        <w:rPr>
          <w:color w:val="auto"/>
        </w:rPr>
        <w:t xml:space="preserve"> </w:t>
      </w:r>
    </w:p>
    <w:p w:rsidRPr="009670C6" w:rsidR="00BF76C8" w:rsidP="00592F71" w:rsidRDefault="00BF76C8" w14:paraId="724EC29B" w14:textId="7F863EA9">
      <w:pPr>
        <w:pStyle w:val="NormalWeb"/>
        <w:rPr>
          <w:color w:val="auto"/>
          <w:highlight w:val="yellow"/>
        </w:rPr>
      </w:pPr>
      <w:r w:rsidRPr="009670C6">
        <w:rPr>
          <w:color w:val="auto"/>
          <w:highlight w:val="yellow"/>
        </w:rPr>
        <w:t xml:space="preserve">The </w:t>
      </w:r>
      <w:r w:rsidRPr="009670C6" w:rsidR="00592904">
        <w:rPr>
          <w:color w:val="auto"/>
          <w:highlight w:val="yellow"/>
        </w:rPr>
        <w:t xml:space="preserve">Census Bureau initially published a </w:t>
      </w:r>
      <w:r w:rsidRPr="009670C6" w:rsidR="00637827">
        <w:rPr>
          <w:color w:val="auto"/>
          <w:highlight w:val="yellow"/>
        </w:rPr>
        <w:t xml:space="preserve">60-day </w:t>
      </w:r>
      <w:r w:rsidRPr="009670C6" w:rsidR="00592904">
        <w:rPr>
          <w:color w:val="auto"/>
          <w:highlight w:val="yellow"/>
        </w:rPr>
        <w:t>notice for comment</w:t>
      </w:r>
      <w:r w:rsidRPr="009670C6">
        <w:rPr>
          <w:color w:val="auto"/>
          <w:highlight w:val="yellow"/>
        </w:rPr>
        <w:t xml:space="preserve"> </w:t>
      </w:r>
      <w:r w:rsidRPr="009670C6" w:rsidR="00BB03D3">
        <w:rPr>
          <w:color w:val="auto"/>
          <w:highlight w:val="yellow"/>
        </w:rPr>
        <w:t xml:space="preserve">in the </w:t>
      </w:r>
      <w:r w:rsidRPr="009670C6" w:rsidR="00BB03D3">
        <w:rPr>
          <w:i/>
          <w:color w:val="auto"/>
          <w:highlight w:val="yellow"/>
        </w:rPr>
        <w:t>Federal Register</w:t>
      </w:r>
      <w:r w:rsidRPr="009670C6">
        <w:rPr>
          <w:color w:val="auto"/>
          <w:highlight w:val="yellow"/>
        </w:rPr>
        <w:t xml:space="preserve"> on </w:t>
      </w:r>
      <w:r w:rsidRPr="009670C6" w:rsidR="00637827">
        <w:rPr>
          <w:color w:val="auto"/>
          <w:highlight w:val="yellow"/>
        </w:rPr>
        <w:t>January 27, 2020 (Vol 85, pg. 4623-4624)</w:t>
      </w:r>
      <w:r w:rsidRPr="009670C6">
        <w:rPr>
          <w:color w:val="auto"/>
          <w:highlight w:val="yellow"/>
        </w:rPr>
        <w:t xml:space="preserve">. </w:t>
      </w:r>
      <w:r w:rsidRPr="009670C6" w:rsidR="00592F71">
        <w:rPr>
          <w:color w:val="auto"/>
          <w:highlight w:val="yellow"/>
        </w:rPr>
        <w:t xml:space="preserve">That notice proposed collecting data for survey years 2019 and 2014. </w:t>
      </w:r>
      <w:r w:rsidRPr="009670C6" w:rsidR="00950949">
        <w:rPr>
          <w:color w:val="auto"/>
          <w:highlight w:val="yellow"/>
        </w:rPr>
        <w:t xml:space="preserve">The Census Bureau </w:t>
      </w:r>
      <w:r w:rsidRPr="009670C6" w:rsidR="00EB265B">
        <w:rPr>
          <w:color w:val="auto"/>
          <w:highlight w:val="yellow"/>
        </w:rPr>
        <w:t xml:space="preserve">received one comment in opposition to collecting these data annually. </w:t>
      </w:r>
      <w:r w:rsidRPr="009670C6" w:rsidR="004841F2">
        <w:rPr>
          <w:color w:val="auto"/>
          <w:highlight w:val="yellow"/>
        </w:rPr>
        <w:t>This survey is not planned as an annual collection</w:t>
      </w:r>
      <w:r w:rsidRPr="009670C6" w:rsidR="00EB265B">
        <w:rPr>
          <w:color w:val="auto"/>
          <w:highlight w:val="yellow"/>
        </w:rPr>
        <w:t xml:space="preserve">; it is a one-time collection.  The commenter also wanted to know whether we had coordinated this survey with the </w:t>
      </w:r>
      <w:r w:rsidRPr="009670C6" w:rsidR="00DD24BB">
        <w:rPr>
          <w:color w:val="auto"/>
          <w:highlight w:val="yellow"/>
        </w:rPr>
        <w:t>“…us dept of health [sic]…”</w:t>
      </w:r>
      <w:r w:rsidRPr="009670C6" w:rsidR="00EB265B">
        <w:rPr>
          <w:color w:val="auto"/>
          <w:highlight w:val="yellow"/>
        </w:rPr>
        <w:t xml:space="preserve"> to av</w:t>
      </w:r>
      <w:r w:rsidRPr="009670C6" w:rsidR="009759EC">
        <w:rPr>
          <w:color w:val="auto"/>
          <w:highlight w:val="yellow"/>
        </w:rPr>
        <w:t>oid unnecessary duplication. These data do</w:t>
      </w:r>
      <w:r w:rsidRPr="009670C6" w:rsidR="00EB265B">
        <w:rPr>
          <w:color w:val="auto"/>
          <w:highlight w:val="yellow"/>
        </w:rPr>
        <w:t xml:space="preserve"> not currently</w:t>
      </w:r>
      <w:r w:rsidRPr="009670C6" w:rsidR="002C3AB8">
        <w:rPr>
          <w:color w:val="auto"/>
          <w:highlight w:val="yellow"/>
        </w:rPr>
        <w:t xml:space="preserve"> exist </w:t>
      </w:r>
      <w:r w:rsidRPr="009670C6" w:rsidR="009759EC">
        <w:rPr>
          <w:color w:val="auto"/>
          <w:highlight w:val="yellow"/>
        </w:rPr>
        <w:t>and are</w:t>
      </w:r>
      <w:r w:rsidRPr="009670C6" w:rsidR="00EB265B">
        <w:rPr>
          <w:color w:val="auto"/>
          <w:highlight w:val="yellow"/>
        </w:rPr>
        <w:t xml:space="preserve"> not collected </w:t>
      </w:r>
      <w:r w:rsidRPr="009670C6" w:rsidR="00DD24BB">
        <w:rPr>
          <w:color w:val="auto"/>
          <w:highlight w:val="yellow"/>
        </w:rPr>
        <w:t>elsewhere</w:t>
      </w:r>
      <w:r w:rsidRPr="009670C6" w:rsidR="00EB265B">
        <w:rPr>
          <w:color w:val="auto"/>
          <w:highlight w:val="yellow"/>
        </w:rPr>
        <w:t>.</w:t>
      </w:r>
      <w:r w:rsidRPr="009670C6" w:rsidR="00924FCE">
        <w:rPr>
          <w:highlight w:val="yellow"/>
        </w:rPr>
        <w:t xml:space="preserve"> </w:t>
      </w:r>
      <w:r w:rsidRPr="009670C6" w:rsidR="00924FCE">
        <w:rPr>
          <w:color w:val="auto"/>
          <w:highlight w:val="yellow"/>
        </w:rPr>
        <w:t>Additionally, the Census Bureau received a letter of support for the MOPS-HP from the Bureau of Economic Analysis</w:t>
      </w:r>
      <w:r w:rsidRPr="009670C6" w:rsidR="00F70AF9">
        <w:rPr>
          <w:color w:val="auto"/>
          <w:highlight w:val="yellow"/>
        </w:rPr>
        <w:t xml:space="preserve"> (Attachment G)</w:t>
      </w:r>
      <w:r w:rsidRPr="009670C6" w:rsidR="00924FCE">
        <w:rPr>
          <w:color w:val="auto"/>
          <w:highlight w:val="yellow"/>
        </w:rPr>
        <w:t>. We thank them for their support.</w:t>
      </w:r>
    </w:p>
    <w:p w:rsidRPr="00197421" w:rsidR="00592F71" w:rsidP="00592F71" w:rsidRDefault="06A81255" w14:paraId="3F308ABA" w14:textId="4ACD54B0">
      <w:pPr>
        <w:pStyle w:val="NormalWeb"/>
        <w:rPr>
          <w:color w:val="auto"/>
        </w:rPr>
      </w:pPr>
      <w:r w:rsidRPr="009670C6">
        <w:rPr>
          <w:color w:val="auto"/>
          <w:highlight w:val="yellow"/>
        </w:rPr>
        <w:t xml:space="preserve">A second 60-day notice for comment proposing to instead collect data for reference years 2020 and 2019 was published in the </w:t>
      </w:r>
      <w:r w:rsidRPr="009670C6">
        <w:rPr>
          <w:i/>
          <w:iCs/>
          <w:color w:val="auto"/>
          <w:highlight w:val="yellow"/>
        </w:rPr>
        <w:t>Federal Register</w:t>
      </w:r>
      <w:r w:rsidRPr="009670C6">
        <w:rPr>
          <w:color w:val="auto"/>
          <w:highlight w:val="yellow"/>
        </w:rPr>
        <w:t xml:space="preserve"> on November 19, 2020 (vol 85, pg. 73,673-73,674.  We received no </w:t>
      </w:r>
      <w:r w:rsidR="001E3968">
        <w:rPr>
          <w:color w:val="auto"/>
          <w:highlight w:val="yellow"/>
        </w:rPr>
        <w:t>noteworthy</w:t>
      </w:r>
      <w:r w:rsidRPr="009670C6" w:rsidR="001E3968">
        <w:rPr>
          <w:color w:val="auto"/>
          <w:highlight w:val="yellow"/>
        </w:rPr>
        <w:t xml:space="preserve"> </w:t>
      </w:r>
      <w:r w:rsidRPr="009670C6">
        <w:rPr>
          <w:color w:val="auto"/>
          <w:highlight w:val="yellow"/>
        </w:rPr>
        <w:t>comments in response to that notice.</w:t>
      </w:r>
    </w:p>
    <w:p w:rsidRPr="00197421" w:rsidR="001B327B" w:rsidP="00F570AE" w:rsidRDefault="001B327B" w14:paraId="198E5BA6" w14:textId="77777777"/>
    <w:p w:rsidRPr="00197421" w:rsidR="00164F35" w:rsidP="00164F35" w:rsidRDefault="00164F35" w14:paraId="61F0BFCA" w14:textId="77777777">
      <w:pPr>
        <w:pStyle w:val="NormalWeb"/>
        <w:rPr>
          <w:color w:val="auto"/>
        </w:rPr>
      </w:pPr>
      <w:r w:rsidRPr="00197421">
        <w:rPr>
          <w:color w:val="auto"/>
          <w:u w:val="single"/>
        </w:rPr>
        <w:t>Question 9. Paying Respondents</w:t>
      </w:r>
    </w:p>
    <w:p w:rsidRPr="00197421" w:rsidR="00EE2582" w:rsidP="00164F35" w:rsidRDefault="65928E0C" w14:paraId="6FFEBA77" w14:textId="26E93933">
      <w:pPr>
        <w:pStyle w:val="NormalWeb"/>
        <w:rPr>
          <w:color w:val="auto"/>
        </w:rPr>
      </w:pPr>
      <w:r w:rsidRPr="00197421">
        <w:rPr>
          <w:color w:val="auto"/>
        </w:rPr>
        <w:t>The Census Bureau will not pay respondents or provide gifts in return for complying with the MOPS-HP.</w:t>
      </w:r>
    </w:p>
    <w:p w:rsidRPr="00197421" w:rsidR="65928E0C" w:rsidP="65928E0C" w:rsidRDefault="65928E0C" w14:paraId="2D0A3950" w14:textId="1A39F9B8">
      <w:pPr>
        <w:pStyle w:val="NormalWeb"/>
        <w:rPr>
          <w:color w:val="auto"/>
        </w:rPr>
      </w:pPr>
    </w:p>
    <w:p w:rsidRPr="00197421" w:rsidR="00164F35" w:rsidP="00164F35" w:rsidRDefault="00164F35" w14:paraId="3ECEB6CB" w14:textId="4396170A">
      <w:pPr>
        <w:pStyle w:val="NormalWeb"/>
        <w:rPr>
          <w:color w:val="auto"/>
        </w:rPr>
      </w:pPr>
      <w:r w:rsidRPr="00197421">
        <w:rPr>
          <w:color w:val="auto"/>
          <w:u w:val="single"/>
        </w:rPr>
        <w:t>Question 10. Assurance of Confidentiality</w:t>
      </w:r>
    </w:p>
    <w:p w:rsidRPr="00197421" w:rsidR="007E1F77" w:rsidP="007E1F77" w:rsidRDefault="65928E0C" w14:paraId="233D8FF4" w14:textId="30531680">
      <w:pPr>
        <w:pStyle w:val="NormalWeb"/>
        <w:rPr>
          <w:color w:val="auto"/>
        </w:rPr>
      </w:pPr>
      <w:r w:rsidRPr="00197421">
        <w:rPr>
          <w:color w:val="auto"/>
        </w:rPr>
        <w:t>Data collected in this survey are maintained in strictest confidence under the authority of an Act of Congress, Title 13, United States Code, Section 9. An assurance of confidentiality and the fact that response is required is conveyed to the respondent via the Centurion welcome screen (Attachment F) and the initial letter (Attachment C) that they receive to provide them with important information regarding the MOPS-HP. The letters that are attached to this package are drafts;</w:t>
      </w:r>
      <w:r w:rsidRPr="00197421" w:rsidR="00F570AE">
        <w:rPr>
          <w:color w:val="auto"/>
        </w:rPr>
        <w:t xml:space="preserve"> </w:t>
      </w:r>
      <w:r w:rsidRPr="00197421">
        <w:rPr>
          <w:color w:val="auto"/>
        </w:rPr>
        <w:t xml:space="preserve">however, we do not expect any substantial changes. </w:t>
      </w:r>
    </w:p>
    <w:p w:rsidRPr="00197421" w:rsidR="001B327B" w:rsidP="65928E0C" w:rsidRDefault="001B327B" w14:paraId="1CB6EBE3" w14:textId="77777777">
      <w:pPr>
        <w:pStyle w:val="NormalWeb"/>
        <w:rPr>
          <w:color w:val="auto"/>
        </w:rPr>
      </w:pPr>
    </w:p>
    <w:p w:rsidRPr="00197421" w:rsidR="00164F35" w:rsidP="00164F35" w:rsidRDefault="00164F35" w14:paraId="1BAD6FB6" w14:textId="77777777">
      <w:pPr>
        <w:pStyle w:val="NormalWeb"/>
        <w:rPr>
          <w:color w:val="auto"/>
        </w:rPr>
      </w:pPr>
      <w:r w:rsidRPr="00197421">
        <w:rPr>
          <w:color w:val="auto"/>
          <w:u w:val="single"/>
        </w:rPr>
        <w:lastRenderedPageBreak/>
        <w:t>Question 11. Justification for Sensitive Questions</w:t>
      </w:r>
    </w:p>
    <w:p w:rsidRPr="00197421" w:rsidR="65928E0C" w:rsidP="65928E0C" w:rsidRDefault="65928E0C" w14:paraId="47274B64" w14:textId="09E19DB2">
      <w:pPr>
        <w:pStyle w:val="NormalWeb"/>
      </w:pPr>
      <w:r w:rsidRPr="00197421">
        <w:rPr>
          <w:color w:val="auto"/>
        </w:rPr>
        <w:t>The MOPS-HP does not ask any sensitive questions. It only requests information about the hospitals’ management and organizational practices, tenure of the respondents, and the number of licensed beds at the location.</w:t>
      </w:r>
    </w:p>
    <w:p w:rsidRPr="00197421" w:rsidR="00164F35" w:rsidP="00164F35" w:rsidRDefault="00164F35" w14:paraId="0116F9DE" w14:textId="77777777">
      <w:pPr>
        <w:pStyle w:val="NormalWeb"/>
        <w:rPr>
          <w:color w:val="auto"/>
        </w:rPr>
      </w:pPr>
      <w:r w:rsidRPr="00197421">
        <w:rPr>
          <w:color w:val="auto"/>
          <w:u w:val="single"/>
        </w:rPr>
        <w:t>Question 12. Estimate of Hour Burden</w:t>
      </w:r>
    </w:p>
    <w:p w:rsidRPr="00197421" w:rsidR="00FA1133" w:rsidP="00164F35" w:rsidRDefault="65928E0C" w14:paraId="44A9AE86" w14:textId="31197EE8">
      <w:pPr>
        <w:pStyle w:val="NormalWeb"/>
        <w:rPr>
          <w:color w:val="auto"/>
        </w:rPr>
      </w:pPr>
      <w:r w:rsidRPr="00197421">
        <w:rPr>
          <w:color w:val="auto"/>
        </w:rPr>
        <w:t xml:space="preserve">The number of respondents will be approximately </w:t>
      </w:r>
      <w:r w:rsidRPr="009670C6" w:rsidR="00E41FBE">
        <w:rPr>
          <w:color w:val="auto"/>
          <w:highlight w:val="yellow"/>
        </w:rPr>
        <w:t>3,</w:t>
      </w:r>
      <w:r w:rsidRPr="009670C6" w:rsidR="002557FF">
        <w:rPr>
          <w:color w:val="auto"/>
          <w:highlight w:val="yellow"/>
        </w:rPr>
        <w:t>2</w:t>
      </w:r>
      <w:r w:rsidRPr="009670C6" w:rsidR="00E41FBE">
        <w:rPr>
          <w:color w:val="auto"/>
          <w:highlight w:val="yellow"/>
        </w:rPr>
        <w:t>00</w:t>
      </w:r>
      <w:r w:rsidRPr="00197421">
        <w:rPr>
          <w:color w:val="auto"/>
        </w:rPr>
        <w:t xml:space="preserve">. The MOPS-HP is a one-time collection. The estimated burden per response is 45 minutes, bringing the total respondent burden to </w:t>
      </w:r>
      <w:r w:rsidRPr="00197421" w:rsidR="00575C83">
        <w:rPr>
          <w:color w:val="auto"/>
        </w:rPr>
        <w:t>2,400</w:t>
      </w:r>
      <w:r w:rsidRPr="00197421">
        <w:rPr>
          <w:color w:val="auto"/>
        </w:rPr>
        <w:t xml:space="preserve"> hours. The questionnaire contains 39 questions, 36 of which are checkboxes and do not require a numerical value. Most of these questions are not anticipated to take longer than one minute to answer. As the survey is intended for Chief Nursing Officers, it is expected that respondents will know most of the answers to the questions without extensive research.</w:t>
      </w:r>
      <w:r w:rsidRPr="00197421" w:rsidR="00A26947">
        <w:rPr>
          <w:color w:val="auto"/>
        </w:rPr>
        <w:t xml:space="preserve"> Cognitive testing of the survey content </w:t>
      </w:r>
      <w:r w:rsidRPr="00197421" w:rsidR="003466AF">
        <w:rPr>
          <w:color w:val="auto"/>
        </w:rPr>
        <w:t xml:space="preserve">concluded that the time to complete the survey was between 30 minutes to an hour. </w:t>
      </w:r>
      <w:r w:rsidRPr="00197421" w:rsidR="0068072D">
        <w:rPr>
          <w:color w:val="auto"/>
        </w:rPr>
        <w:t>Based on feedback obtained through testing, survey questions were improved to reduce the amount of time required from the respondent.</w:t>
      </w:r>
      <w:r w:rsidRPr="00197421">
        <w:rPr>
          <w:color w:val="auto"/>
        </w:rPr>
        <w:t xml:space="preserve"> Th</w:t>
      </w:r>
      <w:r w:rsidRPr="00197421" w:rsidR="003466AF">
        <w:rPr>
          <w:color w:val="auto"/>
        </w:rPr>
        <w:t>e</w:t>
      </w:r>
      <w:r w:rsidRPr="00197421">
        <w:rPr>
          <w:color w:val="auto"/>
        </w:rPr>
        <w:t xml:space="preserve"> burden estimate </w:t>
      </w:r>
      <w:r w:rsidRPr="00197421" w:rsidR="003466AF">
        <w:rPr>
          <w:color w:val="auto"/>
        </w:rPr>
        <w:t xml:space="preserve">of 45 minutes </w:t>
      </w:r>
      <w:r w:rsidRPr="00197421">
        <w:rPr>
          <w:color w:val="auto"/>
        </w:rPr>
        <w:t xml:space="preserve">per respondent is equal to what was estimated for the 2015 MOPS conducted in the manufacturing sector, which contains similar content and a similar number of questions. </w:t>
      </w:r>
    </w:p>
    <w:tbl>
      <w:tblPr>
        <w:tblStyle w:val="TableGrid"/>
        <w:tblW w:w="0" w:type="auto"/>
        <w:tblLook w:val="04A0" w:firstRow="1" w:lastRow="0" w:firstColumn="1" w:lastColumn="0" w:noHBand="0" w:noVBand="1"/>
      </w:tblPr>
      <w:tblGrid>
        <w:gridCol w:w="1870"/>
        <w:gridCol w:w="1870"/>
        <w:gridCol w:w="1870"/>
        <w:gridCol w:w="1870"/>
        <w:gridCol w:w="1870"/>
      </w:tblGrid>
      <w:tr w:rsidRPr="00197421" w:rsidR="00EE687F" w:rsidTr="00EE687F" w14:paraId="61B5DC3F" w14:textId="77777777">
        <w:tc>
          <w:tcPr>
            <w:tcW w:w="1870" w:type="dxa"/>
          </w:tcPr>
          <w:p w:rsidRPr="009670C6" w:rsidR="00EE687F" w:rsidP="00164F35" w:rsidRDefault="00EE687F" w14:paraId="3BEB3360" w14:textId="463612A4">
            <w:pPr>
              <w:pStyle w:val="NormalWeb"/>
              <w:rPr>
                <w:color w:val="auto"/>
                <w:highlight w:val="yellow"/>
              </w:rPr>
            </w:pPr>
            <w:r w:rsidRPr="009670C6">
              <w:rPr>
                <w:color w:val="auto"/>
                <w:highlight w:val="yellow"/>
              </w:rPr>
              <w:t>Respondents</w:t>
            </w:r>
          </w:p>
        </w:tc>
        <w:tc>
          <w:tcPr>
            <w:tcW w:w="1870" w:type="dxa"/>
          </w:tcPr>
          <w:p w:rsidRPr="009670C6" w:rsidR="00EE687F" w:rsidP="00164F35" w:rsidRDefault="00EE687F" w14:paraId="491EBB9F" w14:textId="14B89413">
            <w:pPr>
              <w:pStyle w:val="NormalWeb"/>
              <w:rPr>
                <w:color w:val="auto"/>
                <w:highlight w:val="yellow"/>
              </w:rPr>
            </w:pPr>
            <w:r w:rsidRPr="009670C6">
              <w:rPr>
                <w:color w:val="auto"/>
                <w:highlight w:val="yellow"/>
              </w:rPr>
              <w:t>Responses per Respondent</w:t>
            </w:r>
          </w:p>
        </w:tc>
        <w:tc>
          <w:tcPr>
            <w:tcW w:w="1870" w:type="dxa"/>
          </w:tcPr>
          <w:p w:rsidRPr="009670C6" w:rsidR="00EE687F" w:rsidP="00164F35" w:rsidRDefault="00EE687F" w14:paraId="3B10A31F" w14:textId="596DB51D">
            <w:pPr>
              <w:pStyle w:val="NormalWeb"/>
              <w:rPr>
                <w:color w:val="auto"/>
                <w:highlight w:val="yellow"/>
              </w:rPr>
            </w:pPr>
            <w:r w:rsidRPr="009670C6">
              <w:rPr>
                <w:color w:val="auto"/>
                <w:highlight w:val="yellow"/>
              </w:rPr>
              <w:t>Total Responses</w:t>
            </w:r>
          </w:p>
        </w:tc>
        <w:tc>
          <w:tcPr>
            <w:tcW w:w="1870" w:type="dxa"/>
          </w:tcPr>
          <w:p w:rsidRPr="009670C6" w:rsidR="00EE687F" w:rsidP="00164F35" w:rsidRDefault="00EE687F" w14:paraId="084EA65F" w14:textId="1164AD96">
            <w:pPr>
              <w:pStyle w:val="NormalWeb"/>
              <w:rPr>
                <w:color w:val="auto"/>
                <w:highlight w:val="yellow"/>
              </w:rPr>
            </w:pPr>
            <w:r w:rsidRPr="009670C6">
              <w:rPr>
                <w:color w:val="auto"/>
                <w:highlight w:val="yellow"/>
              </w:rPr>
              <w:t>Burden per respondent</w:t>
            </w:r>
          </w:p>
        </w:tc>
        <w:tc>
          <w:tcPr>
            <w:tcW w:w="1870" w:type="dxa"/>
          </w:tcPr>
          <w:p w:rsidRPr="009670C6" w:rsidR="00EE687F" w:rsidP="00164F35" w:rsidRDefault="00EE687F" w14:paraId="4C513046" w14:textId="14E53261">
            <w:pPr>
              <w:pStyle w:val="NormalWeb"/>
              <w:rPr>
                <w:color w:val="auto"/>
                <w:highlight w:val="yellow"/>
              </w:rPr>
            </w:pPr>
            <w:r w:rsidRPr="009670C6">
              <w:rPr>
                <w:color w:val="auto"/>
                <w:highlight w:val="yellow"/>
              </w:rPr>
              <w:t>Total Burden</w:t>
            </w:r>
          </w:p>
        </w:tc>
      </w:tr>
      <w:tr w:rsidRPr="00197421" w:rsidR="00EE687F" w:rsidTr="00EE687F" w14:paraId="0A06B93C" w14:textId="77777777">
        <w:tc>
          <w:tcPr>
            <w:tcW w:w="1870" w:type="dxa"/>
          </w:tcPr>
          <w:p w:rsidRPr="009670C6" w:rsidR="00EE687F" w:rsidP="00164F35" w:rsidRDefault="00E41FBE" w14:paraId="18CF4F88" w14:textId="3A264733">
            <w:pPr>
              <w:pStyle w:val="NormalWeb"/>
              <w:rPr>
                <w:color w:val="auto"/>
                <w:highlight w:val="yellow"/>
              </w:rPr>
            </w:pPr>
            <w:r w:rsidRPr="009670C6">
              <w:rPr>
                <w:color w:val="auto"/>
                <w:highlight w:val="yellow"/>
              </w:rPr>
              <w:t>3,</w:t>
            </w:r>
            <w:r w:rsidRPr="009670C6" w:rsidR="002557FF">
              <w:rPr>
                <w:color w:val="auto"/>
                <w:highlight w:val="yellow"/>
              </w:rPr>
              <w:t>2</w:t>
            </w:r>
            <w:r w:rsidRPr="009670C6">
              <w:rPr>
                <w:color w:val="auto"/>
                <w:highlight w:val="yellow"/>
              </w:rPr>
              <w:t>00</w:t>
            </w:r>
          </w:p>
        </w:tc>
        <w:tc>
          <w:tcPr>
            <w:tcW w:w="1870" w:type="dxa"/>
          </w:tcPr>
          <w:p w:rsidRPr="009670C6" w:rsidR="00EE687F" w:rsidP="00164F35" w:rsidRDefault="00EE687F" w14:paraId="642AC46F" w14:textId="6DA8B167">
            <w:pPr>
              <w:pStyle w:val="NormalWeb"/>
              <w:rPr>
                <w:color w:val="auto"/>
                <w:highlight w:val="yellow"/>
              </w:rPr>
            </w:pPr>
            <w:r w:rsidRPr="009670C6">
              <w:rPr>
                <w:color w:val="auto"/>
                <w:highlight w:val="yellow"/>
              </w:rPr>
              <w:t>1</w:t>
            </w:r>
          </w:p>
        </w:tc>
        <w:tc>
          <w:tcPr>
            <w:tcW w:w="1870" w:type="dxa"/>
          </w:tcPr>
          <w:p w:rsidRPr="009670C6" w:rsidR="00EE687F" w:rsidP="00164F35" w:rsidRDefault="00E41FBE" w14:paraId="57BEC0B9" w14:textId="69863CDA">
            <w:pPr>
              <w:pStyle w:val="NormalWeb"/>
              <w:rPr>
                <w:color w:val="auto"/>
                <w:highlight w:val="yellow"/>
              </w:rPr>
            </w:pPr>
            <w:r w:rsidRPr="009670C6">
              <w:rPr>
                <w:color w:val="auto"/>
                <w:highlight w:val="yellow"/>
              </w:rPr>
              <w:t>3,</w:t>
            </w:r>
            <w:r w:rsidRPr="009670C6" w:rsidR="002557FF">
              <w:rPr>
                <w:color w:val="auto"/>
                <w:highlight w:val="yellow"/>
              </w:rPr>
              <w:t>2</w:t>
            </w:r>
            <w:r w:rsidRPr="009670C6">
              <w:rPr>
                <w:color w:val="auto"/>
                <w:highlight w:val="yellow"/>
              </w:rPr>
              <w:t>00</w:t>
            </w:r>
          </w:p>
        </w:tc>
        <w:tc>
          <w:tcPr>
            <w:tcW w:w="1870" w:type="dxa"/>
          </w:tcPr>
          <w:p w:rsidRPr="009670C6" w:rsidR="00EE687F" w:rsidP="00164F35" w:rsidRDefault="00EE687F" w14:paraId="4BF45059" w14:textId="7081424B">
            <w:pPr>
              <w:pStyle w:val="NormalWeb"/>
              <w:rPr>
                <w:color w:val="auto"/>
                <w:highlight w:val="yellow"/>
              </w:rPr>
            </w:pPr>
            <w:r w:rsidRPr="009670C6">
              <w:rPr>
                <w:color w:val="auto"/>
                <w:highlight w:val="yellow"/>
              </w:rPr>
              <w:t>45 min.</w:t>
            </w:r>
          </w:p>
        </w:tc>
        <w:tc>
          <w:tcPr>
            <w:tcW w:w="1870" w:type="dxa"/>
          </w:tcPr>
          <w:p w:rsidRPr="009670C6" w:rsidR="00EE687F" w:rsidP="00164F35" w:rsidRDefault="00575C83" w14:paraId="76BB49AF" w14:textId="08CFC894">
            <w:pPr>
              <w:pStyle w:val="NormalWeb"/>
              <w:rPr>
                <w:color w:val="auto"/>
                <w:highlight w:val="yellow"/>
              </w:rPr>
            </w:pPr>
            <w:r w:rsidRPr="009670C6">
              <w:rPr>
                <w:color w:val="auto"/>
                <w:highlight w:val="yellow"/>
              </w:rPr>
              <w:t>2,400</w:t>
            </w:r>
          </w:p>
        </w:tc>
      </w:tr>
    </w:tbl>
    <w:p w:rsidRPr="00197421" w:rsidR="00AE6044" w:rsidP="00164F35" w:rsidRDefault="00AE6044" w14:paraId="21903516" w14:textId="77777777">
      <w:pPr>
        <w:pStyle w:val="NormalWeb"/>
        <w:rPr>
          <w:color w:val="auto"/>
        </w:rPr>
      </w:pPr>
    </w:p>
    <w:p w:rsidRPr="00197421" w:rsidR="00E864DC" w:rsidP="00164F35" w:rsidRDefault="00E864DC" w14:paraId="1D2A64EA" w14:textId="00A168F4">
      <w:pPr>
        <w:pStyle w:val="NormalWeb"/>
        <w:rPr>
          <w:color w:val="auto"/>
        </w:rPr>
      </w:pPr>
      <w:r w:rsidRPr="009670C6">
        <w:rPr>
          <w:color w:val="auto"/>
          <w:highlight w:val="yellow"/>
        </w:rPr>
        <w:t>The total cost to the respondents</w:t>
      </w:r>
      <w:r w:rsidRPr="009670C6" w:rsidR="00176017">
        <w:rPr>
          <w:color w:val="auto"/>
          <w:highlight w:val="yellow"/>
        </w:rPr>
        <w:t xml:space="preserve"> in terms of their time to respond</w:t>
      </w:r>
      <w:r w:rsidRPr="009670C6">
        <w:rPr>
          <w:color w:val="auto"/>
          <w:highlight w:val="yellow"/>
        </w:rPr>
        <w:t xml:space="preserve"> is approximately $</w:t>
      </w:r>
      <w:r w:rsidRPr="009670C6" w:rsidR="00D24BA8">
        <w:rPr>
          <w:color w:val="auto"/>
          <w:highlight w:val="yellow"/>
        </w:rPr>
        <w:t>192,011</w:t>
      </w:r>
      <w:r w:rsidRPr="009670C6">
        <w:rPr>
          <w:color w:val="auto"/>
          <w:highlight w:val="yellow"/>
        </w:rPr>
        <w:t xml:space="preserve"> or about $</w:t>
      </w:r>
      <w:r w:rsidRPr="009670C6" w:rsidR="008E6AC6">
        <w:rPr>
          <w:color w:val="auto"/>
          <w:highlight w:val="yellow"/>
        </w:rPr>
        <w:t>6</w:t>
      </w:r>
      <w:r w:rsidRPr="009670C6" w:rsidR="00D24BA8">
        <w:rPr>
          <w:color w:val="auto"/>
          <w:highlight w:val="yellow"/>
        </w:rPr>
        <w:t>0.00</w:t>
      </w:r>
      <w:r w:rsidRPr="009670C6">
        <w:rPr>
          <w:color w:val="auto"/>
          <w:highlight w:val="yellow"/>
        </w:rPr>
        <w:t xml:space="preserve"> per respondent. This was calculated using the Bureau of Labor Statistics’ Occupational Outlook Handbook, which lists </w:t>
      </w:r>
      <w:r w:rsidRPr="009670C6" w:rsidR="0049604A">
        <w:rPr>
          <w:color w:val="auto"/>
          <w:highlight w:val="yellow"/>
        </w:rPr>
        <w:t xml:space="preserve">the median annual wages for </w:t>
      </w:r>
      <w:r w:rsidRPr="009670C6" w:rsidR="008E6AC6">
        <w:rPr>
          <w:color w:val="auto"/>
          <w:highlight w:val="yellow"/>
        </w:rPr>
        <w:t>top executives in the healthcare and social assistance industries</w:t>
      </w:r>
      <w:r w:rsidRPr="009670C6" w:rsidR="0049604A">
        <w:rPr>
          <w:color w:val="auto"/>
          <w:highlight w:val="yellow"/>
        </w:rPr>
        <w:t xml:space="preserve"> as $</w:t>
      </w:r>
      <w:r w:rsidRPr="009670C6" w:rsidR="00CC5825">
        <w:rPr>
          <w:color w:val="auto"/>
          <w:highlight w:val="yellow"/>
        </w:rPr>
        <w:t>166,410</w:t>
      </w:r>
      <w:r w:rsidRPr="009670C6" w:rsidR="007A1B93">
        <w:rPr>
          <w:color w:val="auto"/>
          <w:highlight w:val="yellow"/>
        </w:rPr>
        <w:t xml:space="preserve"> in May 201</w:t>
      </w:r>
      <w:r w:rsidRPr="009670C6" w:rsidR="00CC5825">
        <w:rPr>
          <w:color w:val="auto"/>
          <w:highlight w:val="yellow"/>
        </w:rPr>
        <w:t>9</w:t>
      </w:r>
      <w:r w:rsidRPr="009670C6" w:rsidR="0049604A">
        <w:rPr>
          <w:color w:val="auto"/>
          <w:highlight w:val="yellow"/>
        </w:rPr>
        <w:t>.</w:t>
      </w:r>
      <w:r w:rsidRPr="009670C6" w:rsidR="00A7574C">
        <w:rPr>
          <w:rStyle w:val="FootnoteReference"/>
          <w:color w:val="auto"/>
          <w:highlight w:val="yellow"/>
        </w:rPr>
        <w:t xml:space="preserve"> </w:t>
      </w:r>
      <w:r w:rsidRPr="009670C6" w:rsidR="00A7574C">
        <w:rPr>
          <w:rStyle w:val="FootnoteReference"/>
          <w:color w:val="auto"/>
          <w:highlight w:val="yellow"/>
        </w:rPr>
        <w:footnoteReference w:id="21"/>
      </w:r>
      <w:r w:rsidRPr="009670C6" w:rsidR="0049604A">
        <w:rPr>
          <w:color w:val="auto"/>
          <w:highlight w:val="yellow"/>
        </w:rPr>
        <w:t xml:space="preserve"> Using this figure, an hourly wage of approximately $</w:t>
      </w:r>
      <w:r w:rsidRPr="009670C6" w:rsidR="008E6AC6">
        <w:rPr>
          <w:color w:val="auto"/>
          <w:highlight w:val="yellow"/>
        </w:rPr>
        <w:t>8</w:t>
      </w:r>
      <w:r w:rsidRPr="009670C6" w:rsidR="00CC5825">
        <w:rPr>
          <w:color w:val="auto"/>
          <w:highlight w:val="yellow"/>
        </w:rPr>
        <w:t>0.00</w:t>
      </w:r>
      <w:r w:rsidRPr="009670C6" w:rsidR="0049604A">
        <w:rPr>
          <w:color w:val="auto"/>
          <w:highlight w:val="yellow"/>
        </w:rPr>
        <w:t xml:space="preserve"> was estimated assuming 40 hours of work per week for 52 weeks in the year.</w:t>
      </w:r>
    </w:p>
    <w:p w:rsidRPr="00197421" w:rsidR="00164F35" w:rsidP="00164F35" w:rsidRDefault="00164F35" w14:paraId="47FF2CA4" w14:textId="77777777">
      <w:pPr>
        <w:pStyle w:val="NormalWeb"/>
        <w:rPr>
          <w:color w:val="auto"/>
        </w:rPr>
      </w:pPr>
      <w:r w:rsidRPr="00197421">
        <w:rPr>
          <w:color w:val="auto"/>
          <w:u w:val="single"/>
        </w:rPr>
        <w:t>Question 13. Estimate of Cost Burden</w:t>
      </w:r>
    </w:p>
    <w:p w:rsidRPr="00197421" w:rsidR="0031503F" w:rsidP="65928E0C" w:rsidRDefault="65928E0C" w14:paraId="6CEBB7A1" w14:textId="10B0A9DA">
      <w:pPr>
        <w:spacing w:before="100" w:beforeAutospacing="1" w:after="100" w:afterAutospacing="1"/>
        <w:ind w:right="720"/>
        <w:rPr>
          <w:rFonts w:ascii="Times New Roman" w:hAnsi="Times New Roman" w:cs="Times New Roman"/>
          <w:sz w:val="24"/>
          <w:szCs w:val="24"/>
        </w:rPr>
      </w:pPr>
      <w:r w:rsidRPr="00197421">
        <w:rPr>
          <w:rFonts w:ascii="Times New Roman" w:hAnsi="Times New Roman" w:cs="Times New Roman"/>
          <w:sz w:val="24"/>
          <w:szCs w:val="24"/>
        </w:rPr>
        <w:t>We do not expect respondents to incur any costs other than that of their time to respond. The information requested is of the type and scope</w:t>
      </w:r>
      <w:r w:rsidRPr="00197421" w:rsidR="00002B27">
        <w:rPr>
          <w:rFonts w:ascii="Times New Roman" w:hAnsi="Times New Roman" w:cs="Times New Roman"/>
          <w:sz w:val="24"/>
          <w:szCs w:val="24"/>
        </w:rPr>
        <w:t xml:space="preserve"> that the respondent should be able to recall it easily. </w:t>
      </w:r>
      <w:r w:rsidRPr="00197421" w:rsidR="00FA753B">
        <w:rPr>
          <w:rFonts w:ascii="Times New Roman" w:hAnsi="Times New Roman" w:cs="Times New Roman"/>
          <w:sz w:val="24"/>
          <w:szCs w:val="24"/>
        </w:rPr>
        <w:t>No</w:t>
      </w:r>
      <w:r w:rsidRPr="00197421">
        <w:rPr>
          <w:rFonts w:ascii="Times New Roman" w:hAnsi="Times New Roman" w:cs="Times New Roman"/>
          <w:sz w:val="24"/>
          <w:szCs w:val="24"/>
        </w:rPr>
        <w:t xml:space="preserve"> special hardware</w:t>
      </w:r>
      <w:r w:rsidRPr="00197421" w:rsidR="00002B27">
        <w:rPr>
          <w:rFonts w:ascii="Times New Roman" w:hAnsi="Times New Roman" w:cs="Times New Roman"/>
          <w:sz w:val="24"/>
          <w:szCs w:val="24"/>
        </w:rPr>
        <w:t>,</w:t>
      </w:r>
      <w:r w:rsidRPr="00197421">
        <w:rPr>
          <w:rFonts w:ascii="Times New Roman" w:hAnsi="Times New Roman" w:cs="Times New Roman"/>
          <w:sz w:val="24"/>
          <w:szCs w:val="24"/>
        </w:rPr>
        <w:t xml:space="preserve"> software</w:t>
      </w:r>
      <w:r w:rsidRPr="00197421" w:rsidR="00002B27">
        <w:rPr>
          <w:rFonts w:ascii="Times New Roman" w:hAnsi="Times New Roman" w:cs="Times New Roman"/>
          <w:sz w:val="24"/>
          <w:szCs w:val="24"/>
        </w:rPr>
        <w:t>,</w:t>
      </w:r>
      <w:r w:rsidRPr="00197421">
        <w:rPr>
          <w:rFonts w:ascii="Times New Roman" w:hAnsi="Times New Roman" w:cs="Times New Roman"/>
          <w:sz w:val="24"/>
          <w:szCs w:val="24"/>
        </w:rPr>
        <w:t xml:space="preserve"> or system is necessary to provide answers to this information collection. Therefore, respondents are not expected to incur any capital and start-up costs or system maintenance costs in responding.</w:t>
      </w:r>
    </w:p>
    <w:p w:rsidRPr="00197421" w:rsidR="0031503F" w:rsidP="00164F35" w:rsidRDefault="0031503F" w14:paraId="43CB64ED" w14:textId="77777777">
      <w:pPr>
        <w:pStyle w:val="NormalWeb"/>
        <w:rPr>
          <w:color w:val="auto"/>
        </w:rPr>
      </w:pPr>
    </w:p>
    <w:p w:rsidRPr="00197421" w:rsidR="00164F35" w:rsidP="00164F35" w:rsidRDefault="00164F35" w14:paraId="5FD9E3FF" w14:textId="77777777">
      <w:pPr>
        <w:pStyle w:val="NormalWeb"/>
        <w:rPr>
          <w:color w:val="auto"/>
        </w:rPr>
      </w:pPr>
      <w:r w:rsidRPr="00197421">
        <w:rPr>
          <w:color w:val="auto"/>
          <w:u w:val="single"/>
        </w:rPr>
        <w:lastRenderedPageBreak/>
        <w:t>Question 14. Cost to Federal Government</w:t>
      </w:r>
    </w:p>
    <w:p w:rsidRPr="00197421" w:rsidR="007E3399" w:rsidP="00164F35" w:rsidRDefault="65928E0C" w14:paraId="09DD476A" w14:textId="6BB6D212">
      <w:pPr>
        <w:pStyle w:val="NormalWeb"/>
        <w:rPr>
          <w:color w:val="auto"/>
        </w:rPr>
      </w:pPr>
      <w:r w:rsidRPr="00197421">
        <w:rPr>
          <w:color w:val="auto"/>
        </w:rPr>
        <w:t xml:space="preserve">The total cost of this information collection to the Federal Government is $134,288, to be incurred by the Census Bureau. The cost for activities in fiscal year 2020 will be $73,122. The remaining $61,166 will be incurred mostly in fiscal year 2021, with a minimal share being incurred in fiscal year 2022. The activities covered in the cost to the federal government include coordination of survey operations, creation of processing and collection requirements, and mail costs. </w:t>
      </w:r>
      <w:r w:rsidRPr="00197421" w:rsidR="00ED014C">
        <w:rPr>
          <w:color w:val="auto"/>
        </w:rPr>
        <w:t xml:space="preserve">This is a joint statistical project with Harvard Business School, who will cover the remaining cost of $1,208,579. </w:t>
      </w:r>
    </w:p>
    <w:p w:rsidRPr="00197421" w:rsidR="65928E0C" w:rsidP="65928E0C" w:rsidRDefault="65928E0C" w14:paraId="763B01BC" w14:textId="23CCAB0D">
      <w:pPr>
        <w:pStyle w:val="NormalWeb"/>
        <w:rPr>
          <w:color w:val="auto"/>
        </w:rPr>
      </w:pPr>
    </w:p>
    <w:p w:rsidRPr="00197421" w:rsidR="65928E0C" w:rsidP="65928E0C" w:rsidRDefault="65928E0C" w14:paraId="0E73580F" w14:textId="0E4ADB9B">
      <w:pPr>
        <w:pStyle w:val="NormalWeb"/>
        <w:rPr>
          <w:color w:val="auto"/>
        </w:rPr>
      </w:pPr>
      <w:r w:rsidRPr="00197421">
        <w:rPr>
          <w:color w:val="auto"/>
          <w:u w:val="single"/>
        </w:rPr>
        <w:t>Question 15. Reason for Change in Burden</w:t>
      </w:r>
    </w:p>
    <w:p w:rsidRPr="00197421" w:rsidR="00295D67" w:rsidP="00164F35" w:rsidRDefault="65928E0C" w14:paraId="0921E008" w14:textId="420F60C5">
      <w:pPr>
        <w:pStyle w:val="NormalWeb"/>
        <w:rPr>
          <w:color w:val="auto"/>
        </w:rPr>
      </w:pPr>
      <w:r w:rsidRPr="00197421">
        <w:rPr>
          <w:color w:val="auto"/>
        </w:rPr>
        <w:t>The increase in burden is attributable to the information collection being submitted as new.</w:t>
      </w:r>
    </w:p>
    <w:p w:rsidRPr="00197421" w:rsidR="65928E0C" w:rsidP="65928E0C" w:rsidRDefault="65928E0C" w14:paraId="64BBA2D6" w14:textId="25C50453">
      <w:pPr>
        <w:pStyle w:val="NormalWeb"/>
        <w:rPr>
          <w:color w:val="auto"/>
        </w:rPr>
      </w:pPr>
    </w:p>
    <w:p w:rsidRPr="00197421" w:rsidR="00164F35" w:rsidP="65928E0C" w:rsidRDefault="65928E0C" w14:paraId="0340BB7D" w14:textId="77777777">
      <w:pPr>
        <w:pStyle w:val="NormalWeb"/>
        <w:rPr>
          <w:color w:val="auto"/>
          <w:u w:val="single"/>
        </w:rPr>
      </w:pPr>
      <w:r w:rsidRPr="00197421">
        <w:rPr>
          <w:color w:val="auto"/>
          <w:u w:val="single"/>
        </w:rPr>
        <w:t>Question 16. Project Schedule</w:t>
      </w:r>
    </w:p>
    <w:p w:rsidRPr="00197421" w:rsidR="65928E0C" w:rsidP="65928E0C" w:rsidRDefault="65928E0C" w14:paraId="12DCB721" w14:textId="23FBCF62">
      <w:pPr>
        <w:pStyle w:val="NormalWeb"/>
        <w:rPr>
          <w:color w:val="auto"/>
          <w:u w:val="single"/>
        </w:rPr>
      </w:pPr>
    </w:p>
    <w:p w:rsidRPr="00197421" w:rsidR="00C054F1" w:rsidP="00164F35" w:rsidRDefault="00C054F1" w14:paraId="2CDDD1D3" w14:textId="32CC6A29">
      <w:pPr>
        <w:pStyle w:val="NormalWeb"/>
        <w:rPr>
          <w:color w:val="auto"/>
        </w:rPr>
      </w:pPr>
      <w:r w:rsidRPr="00197421">
        <w:rPr>
          <w:color w:val="auto"/>
        </w:rPr>
        <w:t>The schedule for the</w:t>
      </w:r>
      <w:r w:rsidRPr="00197421" w:rsidR="009F6CAC">
        <w:rPr>
          <w:color w:val="auto"/>
        </w:rPr>
        <w:t xml:space="preserve"> entire</w:t>
      </w:r>
      <w:r w:rsidRPr="00197421">
        <w:rPr>
          <w:color w:val="auto"/>
        </w:rPr>
        <w:t xml:space="preserve"> MOPS-HP</w:t>
      </w:r>
      <w:r w:rsidRPr="00197421" w:rsidR="009F6CAC">
        <w:rPr>
          <w:color w:val="auto"/>
        </w:rPr>
        <w:t xml:space="preserve"> project</w:t>
      </w:r>
      <w:r w:rsidRPr="00197421">
        <w:rPr>
          <w:color w:val="auto"/>
        </w:rPr>
        <w:t xml:space="preserve"> is as follows:</w:t>
      </w:r>
    </w:p>
    <w:tbl>
      <w:tblPr>
        <w:tblStyle w:val="ListTable3-Accent5"/>
        <w:tblW w:w="0" w:type="auto"/>
        <w:tblInd w:w="1371" w:type="dxa"/>
        <w:tblLook w:val="04A0" w:firstRow="1" w:lastRow="0" w:firstColumn="1" w:lastColumn="0" w:noHBand="0" w:noVBand="1"/>
      </w:tblPr>
      <w:tblGrid>
        <w:gridCol w:w="3484"/>
        <w:gridCol w:w="1191"/>
        <w:gridCol w:w="2499"/>
      </w:tblGrid>
      <w:tr w:rsidRPr="00197421" w:rsidR="00284818" w:rsidTr="00F570AE" w14:paraId="6E810CA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gridSpan w:val="2"/>
            <w:tcBorders>
              <w:bottom w:val="single" w:color="4472C4" w:themeColor="accent5" w:sz="4" w:space="0"/>
            </w:tcBorders>
            <w:vAlign w:val="center"/>
          </w:tcPr>
          <w:p w:rsidRPr="00197421" w:rsidR="00284818" w:rsidP="00167DBD" w:rsidRDefault="00284818" w14:paraId="7BE470B6" w14:textId="77777777">
            <w:pPr>
              <w:autoSpaceDE w:val="0"/>
              <w:autoSpaceDN w:val="0"/>
              <w:adjustRightInd w:val="0"/>
              <w:jc w:val="center"/>
              <w:rPr>
                <w:rFonts w:ascii="Times New Roman" w:hAnsi="Times New Roman" w:cs="Times New Roman"/>
                <w:sz w:val="24"/>
                <w:szCs w:val="24"/>
              </w:rPr>
            </w:pPr>
          </w:p>
        </w:tc>
        <w:tc>
          <w:tcPr>
            <w:tcW w:w="2499" w:type="dxa"/>
          </w:tcPr>
          <w:p w:rsidRPr="00197421" w:rsidR="00284818" w:rsidP="00167DBD" w:rsidRDefault="00284818" w14:paraId="05C4EB3C"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197421" w:rsidR="00284818" w:rsidTr="00F570AE" w14:paraId="66D1F2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Borders>
              <w:right w:val="single" w:color="auto" w:sz="4" w:space="0"/>
            </w:tcBorders>
          </w:tcPr>
          <w:p w:rsidRPr="009670C6" w:rsidR="00284818" w:rsidP="00167DBD" w:rsidRDefault="00284818" w14:paraId="67D0254F" w14:textId="77777777">
            <w:pPr>
              <w:autoSpaceDE w:val="0"/>
              <w:autoSpaceDN w:val="0"/>
              <w:adjustRightInd w:val="0"/>
              <w:rPr>
                <w:b w:val="0"/>
                <w:highlight w:val="yellow"/>
              </w:rPr>
            </w:pPr>
            <w:r w:rsidRPr="009670C6">
              <w:rPr>
                <w:rFonts w:ascii="Times New Roman" w:hAnsi="Times New Roman" w:cs="Times New Roman"/>
                <w:sz w:val="24"/>
                <w:szCs w:val="24"/>
                <w:highlight w:val="yellow"/>
              </w:rPr>
              <w:t xml:space="preserve">Initial mail out </w:t>
            </w:r>
            <w:r w:rsidRPr="009670C6">
              <w:rPr>
                <w:rFonts w:ascii="Times New Roman" w:hAnsi="Times New Roman" w:cs="Times New Roman"/>
                <w:sz w:val="24"/>
                <w:szCs w:val="24"/>
                <w:highlight w:val="yellow"/>
              </w:rPr>
              <w:tab/>
            </w:r>
            <w:r w:rsidRPr="009670C6">
              <w:rPr>
                <w:rFonts w:ascii="Times New Roman" w:hAnsi="Times New Roman" w:cs="Times New Roman"/>
                <w:sz w:val="24"/>
                <w:szCs w:val="24"/>
                <w:highlight w:val="yellow"/>
              </w:rPr>
              <w:tab/>
            </w:r>
          </w:p>
        </w:tc>
        <w:tc>
          <w:tcPr>
            <w:tcW w:w="3690" w:type="dxa"/>
            <w:gridSpan w:val="2"/>
            <w:tcBorders>
              <w:left w:val="single" w:color="auto" w:sz="4" w:space="0"/>
            </w:tcBorders>
          </w:tcPr>
          <w:p w:rsidRPr="009670C6" w:rsidR="00284818" w:rsidP="00167DBD" w:rsidRDefault="009E2C8F" w14:paraId="3734273C" w14:textId="1CCF31E5">
            <w:pPr>
              <w:autoSpaceDE w:val="0"/>
              <w:autoSpaceDN w:val="0"/>
              <w:adjustRightInd w:val="0"/>
              <w:cnfStyle w:val="000000100000" w:firstRow="0" w:lastRow="0" w:firstColumn="0" w:lastColumn="0" w:oddVBand="0" w:evenVBand="0" w:oddHBand="1" w:evenHBand="0" w:firstRowFirstColumn="0" w:firstRowLastColumn="0" w:lastRowFirstColumn="0" w:lastRowLastColumn="0"/>
              <w:rPr>
                <w:highlight w:val="yellow"/>
              </w:rPr>
            </w:pPr>
            <w:r w:rsidRPr="009670C6">
              <w:rPr>
                <w:rFonts w:ascii="Times New Roman" w:hAnsi="Times New Roman" w:cs="Times New Roman"/>
                <w:sz w:val="24"/>
                <w:szCs w:val="24"/>
                <w:highlight w:val="yellow"/>
              </w:rPr>
              <w:t>April 2021</w:t>
            </w:r>
          </w:p>
        </w:tc>
      </w:tr>
      <w:tr w:rsidRPr="00197421" w:rsidR="00284818" w:rsidTr="00F570AE" w14:paraId="09622669" w14:textId="77777777">
        <w:tc>
          <w:tcPr>
            <w:cnfStyle w:val="001000000000" w:firstRow="0" w:lastRow="0" w:firstColumn="1" w:lastColumn="0" w:oddVBand="0" w:evenVBand="0" w:oddHBand="0" w:evenHBand="0" w:firstRowFirstColumn="0" w:firstRowLastColumn="0" w:lastRowFirstColumn="0" w:lastRowLastColumn="0"/>
            <w:tcW w:w="3484" w:type="dxa"/>
            <w:tcBorders>
              <w:top w:val="single" w:color="4472C4" w:themeColor="accent5" w:sz="4" w:space="0"/>
              <w:bottom w:val="single" w:color="4472C4" w:themeColor="accent5" w:sz="4" w:space="0"/>
              <w:right w:val="single" w:color="auto" w:sz="4" w:space="0"/>
            </w:tcBorders>
          </w:tcPr>
          <w:p w:rsidRPr="009670C6" w:rsidR="00284818" w:rsidP="00167DBD" w:rsidRDefault="007F731D" w14:paraId="1F6333EB" w14:textId="260A5428">
            <w:pPr>
              <w:autoSpaceDE w:val="0"/>
              <w:autoSpaceDN w:val="0"/>
              <w:adjustRightInd w:val="0"/>
              <w:rPr>
                <w:b w:val="0"/>
                <w:highlight w:val="yellow"/>
              </w:rPr>
            </w:pPr>
            <w:r w:rsidRPr="009670C6">
              <w:rPr>
                <w:rFonts w:ascii="Times New Roman" w:hAnsi="Times New Roman" w:cs="Times New Roman"/>
                <w:sz w:val="24"/>
                <w:szCs w:val="24"/>
                <w:highlight w:val="yellow"/>
              </w:rPr>
              <w:t>Respondent follow-ups</w:t>
            </w:r>
          </w:p>
        </w:tc>
        <w:tc>
          <w:tcPr>
            <w:tcW w:w="3690" w:type="dxa"/>
            <w:gridSpan w:val="2"/>
            <w:tcBorders>
              <w:left w:val="single" w:color="auto" w:sz="4" w:space="0"/>
            </w:tcBorders>
          </w:tcPr>
          <w:p w:rsidRPr="009670C6" w:rsidR="00284818" w:rsidP="00684273" w:rsidRDefault="009E2C8F" w14:paraId="3BCB82B5" w14:textId="798C3E71">
            <w:pPr>
              <w:autoSpaceDE w:val="0"/>
              <w:autoSpaceDN w:val="0"/>
              <w:adjustRightInd w:val="0"/>
              <w:cnfStyle w:val="000000000000" w:firstRow="0" w:lastRow="0" w:firstColumn="0" w:lastColumn="0" w:oddVBand="0" w:evenVBand="0" w:oddHBand="0" w:evenHBand="0" w:firstRowFirstColumn="0" w:firstRowLastColumn="0" w:lastRowFirstColumn="0" w:lastRowLastColumn="0"/>
              <w:rPr>
                <w:highlight w:val="yellow"/>
              </w:rPr>
            </w:pPr>
            <w:r w:rsidRPr="009670C6">
              <w:rPr>
                <w:rFonts w:ascii="Times New Roman" w:hAnsi="Times New Roman" w:cs="Times New Roman"/>
                <w:sz w:val="24"/>
                <w:szCs w:val="24"/>
                <w:highlight w:val="yellow"/>
              </w:rPr>
              <w:t>May 2021 – August 2021</w:t>
            </w:r>
          </w:p>
        </w:tc>
      </w:tr>
      <w:tr w:rsidRPr="00197421" w:rsidR="00284818" w:rsidTr="00F570AE" w14:paraId="1F37D9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Borders>
              <w:right w:val="single" w:color="auto" w:sz="4" w:space="0"/>
            </w:tcBorders>
          </w:tcPr>
          <w:p w:rsidRPr="009670C6" w:rsidR="00284818" w:rsidP="00167DBD" w:rsidRDefault="00FA753B" w14:paraId="156836A8" w14:textId="754B5BB1">
            <w:pPr>
              <w:autoSpaceDE w:val="0"/>
              <w:autoSpaceDN w:val="0"/>
              <w:adjustRightInd w:val="0"/>
              <w:rPr>
                <w:b w:val="0"/>
                <w:highlight w:val="yellow"/>
              </w:rPr>
            </w:pPr>
            <w:r w:rsidRPr="009670C6">
              <w:rPr>
                <w:rFonts w:ascii="Times New Roman" w:hAnsi="Times New Roman" w:cs="Times New Roman"/>
                <w:sz w:val="24"/>
                <w:szCs w:val="24"/>
                <w:highlight w:val="yellow"/>
              </w:rPr>
              <w:t>Data c</w:t>
            </w:r>
            <w:r w:rsidRPr="009670C6" w:rsidR="007F731D">
              <w:rPr>
                <w:rFonts w:ascii="Times New Roman" w:hAnsi="Times New Roman" w:cs="Times New Roman"/>
                <w:sz w:val="24"/>
                <w:szCs w:val="24"/>
                <w:highlight w:val="yellow"/>
              </w:rPr>
              <w:t>ollection</w:t>
            </w:r>
            <w:r w:rsidRPr="009670C6" w:rsidR="00F61F35">
              <w:rPr>
                <w:rFonts w:ascii="Times New Roman" w:hAnsi="Times New Roman" w:cs="Times New Roman"/>
                <w:sz w:val="24"/>
                <w:szCs w:val="24"/>
                <w:highlight w:val="yellow"/>
              </w:rPr>
              <w:t xml:space="preserve"> instrument</w:t>
            </w:r>
            <w:r w:rsidRPr="009670C6" w:rsidR="007F731D">
              <w:rPr>
                <w:rFonts w:ascii="Times New Roman" w:hAnsi="Times New Roman" w:cs="Times New Roman"/>
                <w:sz w:val="24"/>
                <w:szCs w:val="24"/>
                <w:highlight w:val="yellow"/>
              </w:rPr>
              <w:t xml:space="preserve"> closeout</w:t>
            </w:r>
            <w:r w:rsidRPr="009670C6" w:rsidR="00284818">
              <w:rPr>
                <w:rFonts w:ascii="Times New Roman" w:hAnsi="Times New Roman" w:cs="Times New Roman"/>
                <w:sz w:val="24"/>
                <w:szCs w:val="24"/>
                <w:highlight w:val="yellow"/>
              </w:rPr>
              <w:tab/>
            </w:r>
            <w:r w:rsidRPr="009670C6" w:rsidR="00284818">
              <w:rPr>
                <w:rFonts w:ascii="Times New Roman" w:hAnsi="Times New Roman" w:cs="Times New Roman"/>
                <w:sz w:val="24"/>
                <w:szCs w:val="24"/>
                <w:highlight w:val="yellow"/>
              </w:rPr>
              <w:tab/>
            </w:r>
          </w:p>
        </w:tc>
        <w:tc>
          <w:tcPr>
            <w:tcW w:w="3690" w:type="dxa"/>
            <w:gridSpan w:val="2"/>
            <w:tcBorders>
              <w:left w:val="single" w:color="auto" w:sz="4" w:space="0"/>
            </w:tcBorders>
          </w:tcPr>
          <w:p w:rsidRPr="009670C6" w:rsidR="00284818" w:rsidP="00167DBD" w:rsidRDefault="009E2C8F" w14:paraId="5A057A76" w14:textId="2286A299">
            <w:pPr>
              <w:autoSpaceDE w:val="0"/>
              <w:autoSpaceDN w:val="0"/>
              <w:adjustRightInd w:val="0"/>
              <w:cnfStyle w:val="000000100000" w:firstRow="0" w:lastRow="0" w:firstColumn="0" w:lastColumn="0" w:oddVBand="0" w:evenVBand="0" w:oddHBand="1" w:evenHBand="0" w:firstRowFirstColumn="0" w:firstRowLastColumn="0" w:lastRowFirstColumn="0" w:lastRowLastColumn="0"/>
              <w:rPr>
                <w:highlight w:val="yellow"/>
              </w:rPr>
            </w:pPr>
            <w:r w:rsidRPr="009670C6">
              <w:rPr>
                <w:rFonts w:ascii="Times New Roman" w:hAnsi="Times New Roman" w:cs="Times New Roman"/>
                <w:sz w:val="24"/>
                <w:szCs w:val="24"/>
                <w:highlight w:val="yellow"/>
              </w:rPr>
              <w:t>October 2021</w:t>
            </w:r>
          </w:p>
        </w:tc>
      </w:tr>
      <w:tr w:rsidRPr="00197421" w:rsidR="00284818" w:rsidTr="00F570AE" w14:paraId="300976E8" w14:textId="77777777">
        <w:tc>
          <w:tcPr>
            <w:cnfStyle w:val="001000000000" w:firstRow="0" w:lastRow="0" w:firstColumn="1" w:lastColumn="0" w:oddVBand="0" w:evenVBand="0" w:oddHBand="0" w:evenHBand="0" w:firstRowFirstColumn="0" w:firstRowLastColumn="0" w:lastRowFirstColumn="0" w:lastRowLastColumn="0"/>
            <w:tcW w:w="3484" w:type="dxa"/>
            <w:tcBorders>
              <w:top w:val="single" w:color="4472C4" w:themeColor="accent5" w:sz="4" w:space="0"/>
              <w:bottom w:val="single" w:color="4472C4" w:themeColor="accent5" w:sz="4" w:space="0"/>
              <w:right w:val="single" w:color="auto" w:sz="4" w:space="0"/>
            </w:tcBorders>
          </w:tcPr>
          <w:p w:rsidRPr="009670C6" w:rsidR="00284818" w:rsidP="00167DBD" w:rsidRDefault="007F731D" w14:paraId="3CAE84D9" w14:textId="43A5009C">
            <w:pPr>
              <w:autoSpaceDE w:val="0"/>
              <w:autoSpaceDN w:val="0"/>
              <w:adjustRightInd w:val="0"/>
              <w:rPr>
                <w:b w:val="0"/>
                <w:highlight w:val="yellow"/>
              </w:rPr>
            </w:pPr>
            <w:r w:rsidRPr="009670C6">
              <w:rPr>
                <w:rFonts w:ascii="Times New Roman" w:hAnsi="Times New Roman" w:cs="Times New Roman"/>
                <w:sz w:val="24"/>
                <w:szCs w:val="24"/>
                <w:highlight w:val="yellow"/>
              </w:rPr>
              <w:t>Data analysis</w:t>
            </w:r>
            <w:r w:rsidRPr="009670C6" w:rsidR="00684273">
              <w:rPr>
                <w:rFonts w:ascii="Times New Roman" w:hAnsi="Times New Roman" w:cs="Times New Roman"/>
                <w:sz w:val="24"/>
                <w:szCs w:val="24"/>
                <w:highlight w:val="yellow"/>
              </w:rPr>
              <w:t xml:space="preserve"> and tabulation</w:t>
            </w:r>
          </w:p>
        </w:tc>
        <w:tc>
          <w:tcPr>
            <w:tcW w:w="3690" w:type="dxa"/>
            <w:gridSpan w:val="2"/>
            <w:tcBorders>
              <w:left w:val="single" w:color="auto" w:sz="4" w:space="0"/>
            </w:tcBorders>
          </w:tcPr>
          <w:p w:rsidRPr="009670C6" w:rsidR="00284818" w:rsidP="001E4104" w:rsidRDefault="009E2C8F" w14:paraId="0E2B5931" w14:textId="63D7D4A7">
            <w:pPr>
              <w:autoSpaceDE w:val="0"/>
              <w:autoSpaceDN w:val="0"/>
              <w:adjustRightInd w:val="0"/>
              <w:cnfStyle w:val="000000000000" w:firstRow="0" w:lastRow="0" w:firstColumn="0" w:lastColumn="0" w:oddVBand="0" w:evenVBand="0" w:oddHBand="0" w:evenHBand="0" w:firstRowFirstColumn="0" w:firstRowLastColumn="0" w:lastRowFirstColumn="0" w:lastRowLastColumn="0"/>
              <w:rPr>
                <w:highlight w:val="yellow"/>
              </w:rPr>
            </w:pPr>
            <w:r w:rsidRPr="009670C6">
              <w:rPr>
                <w:rFonts w:ascii="Times New Roman" w:hAnsi="Times New Roman" w:cs="Times New Roman"/>
                <w:sz w:val="24"/>
                <w:szCs w:val="24"/>
                <w:highlight w:val="yellow"/>
              </w:rPr>
              <w:t xml:space="preserve">October </w:t>
            </w:r>
            <w:r w:rsidRPr="009670C6" w:rsidR="007F731D">
              <w:rPr>
                <w:rFonts w:ascii="Times New Roman" w:hAnsi="Times New Roman" w:cs="Times New Roman"/>
                <w:sz w:val="24"/>
                <w:szCs w:val="24"/>
                <w:highlight w:val="yellow"/>
              </w:rPr>
              <w:t xml:space="preserve">2021 – </w:t>
            </w:r>
            <w:r w:rsidRPr="009670C6">
              <w:rPr>
                <w:rFonts w:ascii="Times New Roman" w:hAnsi="Times New Roman" w:cs="Times New Roman"/>
                <w:sz w:val="24"/>
                <w:szCs w:val="24"/>
                <w:highlight w:val="yellow"/>
              </w:rPr>
              <w:t>May 2022</w:t>
            </w:r>
          </w:p>
        </w:tc>
      </w:tr>
      <w:tr w:rsidRPr="00197421" w:rsidR="00284818" w:rsidTr="00F570AE" w14:paraId="2C1F32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Borders>
              <w:right w:val="single" w:color="auto" w:sz="4" w:space="0"/>
            </w:tcBorders>
          </w:tcPr>
          <w:p w:rsidRPr="009670C6" w:rsidR="00284818" w:rsidP="00167DBD" w:rsidRDefault="007F731D" w14:paraId="76236E68" w14:textId="0B03C8D4">
            <w:pPr>
              <w:autoSpaceDE w:val="0"/>
              <w:autoSpaceDN w:val="0"/>
              <w:adjustRightInd w:val="0"/>
              <w:rPr>
                <w:b w:val="0"/>
                <w:highlight w:val="yellow"/>
              </w:rPr>
            </w:pPr>
            <w:r w:rsidRPr="009670C6">
              <w:rPr>
                <w:rFonts w:ascii="Times New Roman" w:hAnsi="Times New Roman" w:cs="Times New Roman"/>
                <w:sz w:val="24"/>
                <w:szCs w:val="24"/>
                <w:highlight w:val="yellow"/>
              </w:rPr>
              <w:t>Publication of press release</w:t>
            </w:r>
          </w:p>
        </w:tc>
        <w:tc>
          <w:tcPr>
            <w:tcW w:w="3690" w:type="dxa"/>
            <w:gridSpan w:val="2"/>
            <w:tcBorders>
              <w:left w:val="single" w:color="auto" w:sz="4" w:space="0"/>
            </w:tcBorders>
          </w:tcPr>
          <w:p w:rsidRPr="009670C6" w:rsidR="00284818" w:rsidP="00167DBD" w:rsidRDefault="009E2C8F" w14:paraId="484F7A9A" w14:textId="561062FF">
            <w:pPr>
              <w:autoSpaceDE w:val="0"/>
              <w:autoSpaceDN w:val="0"/>
              <w:adjustRightInd w:val="0"/>
              <w:cnfStyle w:val="000000100000" w:firstRow="0" w:lastRow="0" w:firstColumn="0" w:lastColumn="0" w:oddVBand="0" w:evenVBand="0" w:oddHBand="1" w:evenHBand="0" w:firstRowFirstColumn="0" w:firstRowLastColumn="0" w:lastRowFirstColumn="0" w:lastRowLastColumn="0"/>
              <w:rPr>
                <w:highlight w:val="yellow"/>
              </w:rPr>
            </w:pPr>
            <w:r w:rsidRPr="009670C6">
              <w:rPr>
                <w:rFonts w:ascii="Times New Roman" w:hAnsi="Times New Roman" w:cs="Times New Roman"/>
                <w:sz w:val="24"/>
                <w:szCs w:val="24"/>
                <w:highlight w:val="yellow"/>
              </w:rPr>
              <w:t>June 2022</w:t>
            </w:r>
          </w:p>
        </w:tc>
      </w:tr>
    </w:tbl>
    <w:p w:rsidRPr="00197421" w:rsidR="00A26947" w:rsidP="00E135E5" w:rsidRDefault="00A26947" w14:paraId="072A2ABD" w14:textId="77777777">
      <w:pPr>
        <w:autoSpaceDE w:val="0"/>
        <w:autoSpaceDN w:val="0"/>
        <w:adjustRightInd w:val="0"/>
        <w:spacing w:after="0" w:line="240" w:lineRule="auto"/>
        <w:ind w:left="270"/>
        <w:rPr>
          <w:rFonts w:ascii="Times New Roman" w:hAnsi="Times New Roman" w:cs="Times New Roman"/>
          <w:sz w:val="24"/>
          <w:szCs w:val="24"/>
        </w:rPr>
      </w:pPr>
    </w:p>
    <w:p w:rsidRPr="00197421" w:rsidR="007E190C" w:rsidP="007E190C" w:rsidRDefault="007E190C" w14:paraId="73F7B174" w14:textId="5D84767C">
      <w:pPr>
        <w:autoSpaceDE w:val="0"/>
        <w:autoSpaceDN w:val="0"/>
        <w:spacing w:after="0" w:line="240" w:lineRule="auto"/>
        <w:rPr>
          <w:rFonts w:ascii="Times New Roman" w:hAnsi="Times New Roman" w:cs="Times New Roman"/>
          <w:sz w:val="24"/>
          <w:szCs w:val="24"/>
        </w:rPr>
      </w:pPr>
      <w:r w:rsidRPr="00197421">
        <w:rPr>
          <w:rFonts w:ascii="Times New Roman" w:hAnsi="Times New Roman" w:cs="Times New Roman"/>
          <w:sz w:val="24"/>
          <w:szCs w:val="24"/>
        </w:rPr>
        <w:t>This schedule may be impacted by the effects of COVID-19.  The Census Bureau is cognizant and respectful of the survey’s timing and related burden for CNOs when their time and resources are needed elsewhere. The ongoing situation is being monitored and dates will be adjusted as necessary as the collection start date approaches</w:t>
      </w:r>
      <w:r w:rsidRPr="00197421" w:rsidR="007D63A8">
        <w:rPr>
          <w:rFonts w:ascii="Times New Roman" w:hAnsi="Times New Roman" w:cs="Times New Roman"/>
          <w:sz w:val="24"/>
          <w:szCs w:val="24"/>
        </w:rPr>
        <w:t xml:space="preserve"> as we do not want to add burden to an overly burdened sector of the economy</w:t>
      </w:r>
      <w:r w:rsidRPr="00197421">
        <w:rPr>
          <w:rFonts w:ascii="Times New Roman" w:hAnsi="Times New Roman" w:cs="Times New Roman"/>
          <w:sz w:val="24"/>
          <w:szCs w:val="24"/>
        </w:rPr>
        <w:t>.</w:t>
      </w:r>
    </w:p>
    <w:p w:rsidRPr="00197421" w:rsidR="65928E0C" w:rsidP="65928E0C" w:rsidRDefault="65928E0C" w14:paraId="452BCFA6" w14:textId="3084313E">
      <w:pPr>
        <w:spacing w:after="0" w:line="240" w:lineRule="auto"/>
        <w:ind w:left="270"/>
        <w:rPr>
          <w:rFonts w:ascii="Times New Roman" w:hAnsi="Times New Roman" w:cs="Times New Roman"/>
          <w:sz w:val="24"/>
          <w:szCs w:val="24"/>
        </w:rPr>
      </w:pPr>
    </w:p>
    <w:p w:rsidRPr="00197421" w:rsidR="001B327B" w:rsidP="65928E0C" w:rsidRDefault="001B327B" w14:paraId="5A61DFD4" w14:textId="77777777">
      <w:pPr>
        <w:spacing w:after="0" w:line="240" w:lineRule="auto"/>
        <w:ind w:left="270"/>
        <w:rPr>
          <w:rFonts w:ascii="Times New Roman" w:hAnsi="Times New Roman" w:cs="Times New Roman"/>
          <w:sz w:val="24"/>
          <w:szCs w:val="24"/>
        </w:rPr>
      </w:pPr>
    </w:p>
    <w:p w:rsidRPr="00197421" w:rsidR="00164F35" w:rsidP="00164F35" w:rsidRDefault="00164F35" w14:paraId="7DAFD50C" w14:textId="77777777">
      <w:pPr>
        <w:pStyle w:val="NormalWeb"/>
        <w:rPr>
          <w:color w:val="auto"/>
        </w:rPr>
      </w:pPr>
      <w:r w:rsidRPr="00197421">
        <w:rPr>
          <w:color w:val="auto"/>
          <w:u w:val="single"/>
        </w:rPr>
        <w:t>Question 17. Request to Not Display Expiration Date</w:t>
      </w:r>
    </w:p>
    <w:p w:rsidRPr="00197421" w:rsidR="007E1F77" w:rsidP="00164F35" w:rsidRDefault="65928E0C" w14:paraId="6C09C351" w14:textId="14B8A94C">
      <w:pPr>
        <w:pStyle w:val="NormalWeb"/>
        <w:rPr>
          <w:color w:val="auto"/>
        </w:rPr>
      </w:pPr>
      <w:r w:rsidRPr="00197421">
        <w:rPr>
          <w:color w:val="auto"/>
        </w:rPr>
        <w:t>The assigned expiration date will be displayed on the information collection instrument.</w:t>
      </w:r>
    </w:p>
    <w:p w:rsidRPr="00197421" w:rsidR="65928E0C" w:rsidP="65928E0C" w:rsidRDefault="65928E0C" w14:paraId="233E4182" w14:textId="26FAE29B">
      <w:pPr>
        <w:pStyle w:val="NormalWeb"/>
        <w:rPr>
          <w:color w:val="auto"/>
        </w:rPr>
      </w:pPr>
    </w:p>
    <w:p w:rsidRPr="00197421" w:rsidR="00F570AE" w:rsidP="00164F35" w:rsidRDefault="65928E0C" w14:paraId="4F52258E" w14:textId="77777777">
      <w:pPr>
        <w:pStyle w:val="NormalWeb"/>
        <w:rPr>
          <w:color w:val="auto"/>
          <w:u w:val="single"/>
        </w:rPr>
      </w:pPr>
      <w:r w:rsidRPr="00197421">
        <w:rPr>
          <w:color w:val="auto"/>
          <w:u w:val="single"/>
        </w:rPr>
        <w:lastRenderedPageBreak/>
        <w:t>Question 18. Exceptions to the Certification</w:t>
      </w:r>
    </w:p>
    <w:p w:rsidRPr="00197421" w:rsidR="001A18DF" w:rsidP="00164F35" w:rsidRDefault="65928E0C" w14:paraId="4540BB7F" w14:textId="747533D3">
      <w:pPr>
        <w:pStyle w:val="NormalWeb"/>
        <w:rPr>
          <w:color w:val="auto"/>
        </w:rPr>
      </w:pPr>
      <w:r w:rsidRPr="00197421">
        <w:rPr>
          <w:color w:val="auto"/>
        </w:rPr>
        <w:t>There are no exceptions to the certification.</w:t>
      </w:r>
    </w:p>
    <w:p w:rsidRPr="00197421" w:rsidR="65928E0C" w:rsidP="65928E0C" w:rsidRDefault="65928E0C" w14:paraId="0D27B69C" w14:textId="46D320F3">
      <w:pPr>
        <w:pStyle w:val="NormalWeb"/>
        <w:rPr>
          <w:color w:val="auto"/>
        </w:rPr>
      </w:pPr>
    </w:p>
    <w:p w:rsidRPr="00197421" w:rsidR="00164F35" w:rsidP="00164F35" w:rsidRDefault="00164F35" w14:paraId="00A9F8E5" w14:textId="77777777">
      <w:pPr>
        <w:pStyle w:val="NormalWeb"/>
        <w:rPr>
          <w:color w:val="auto"/>
        </w:rPr>
      </w:pPr>
      <w:r w:rsidRPr="00197421">
        <w:rPr>
          <w:color w:val="auto"/>
          <w:u w:val="single"/>
        </w:rPr>
        <w:t>Question 19. SIC Codes Affected</w:t>
      </w:r>
    </w:p>
    <w:p w:rsidRPr="002A3935" w:rsidR="00205052" w:rsidP="002A3935" w:rsidRDefault="00034F8E" w14:paraId="4D030A3D" w14:textId="075552DA">
      <w:pPr>
        <w:pStyle w:val="NormalWeb"/>
        <w:rPr>
          <w:color w:val="auto"/>
        </w:rPr>
      </w:pPr>
      <w:r w:rsidRPr="00197421">
        <w:rPr>
          <w:color w:val="auto"/>
        </w:rPr>
        <w:t xml:space="preserve">The MOPS-HP will affect </w:t>
      </w:r>
      <w:r w:rsidRPr="00197421" w:rsidR="00655A37">
        <w:rPr>
          <w:color w:val="auto"/>
        </w:rPr>
        <w:t>NAICS</w:t>
      </w:r>
      <w:r w:rsidRPr="00197421" w:rsidR="00B63573">
        <w:rPr>
          <w:color w:val="auto"/>
        </w:rPr>
        <w:t xml:space="preserve"> code</w:t>
      </w:r>
      <w:r w:rsidRPr="00197421" w:rsidR="00655A37">
        <w:rPr>
          <w:color w:val="auto"/>
        </w:rPr>
        <w:t xml:space="preserve"> 6221, General Medical and Surgical Hospitals.</w:t>
      </w:r>
    </w:p>
    <w:sectPr w:rsidRPr="002A3935" w:rsidR="0020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7A952" w14:textId="77777777" w:rsidR="005009A6" w:rsidRDefault="005009A6" w:rsidP="008262C5">
      <w:pPr>
        <w:spacing w:after="0" w:line="240" w:lineRule="auto"/>
      </w:pPr>
      <w:r>
        <w:separator/>
      </w:r>
    </w:p>
  </w:endnote>
  <w:endnote w:type="continuationSeparator" w:id="0">
    <w:p w14:paraId="0D2119D9" w14:textId="77777777" w:rsidR="005009A6" w:rsidRDefault="005009A6" w:rsidP="0082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F43EB" w14:textId="77777777" w:rsidR="005009A6" w:rsidRDefault="005009A6" w:rsidP="008262C5">
      <w:pPr>
        <w:spacing w:after="0" w:line="240" w:lineRule="auto"/>
      </w:pPr>
      <w:r>
        <w:separator/>
      </w:r>
    </w:p>
  </w:footnote>
  <w:footnote w:type="continuationSeparator" w:id="0">
    <w:p w14:paraId="1995CE51" w14:textId="77777777" w:rsidR="005009A6" w:rsidRDefault="005009A6" w:rsidP="008262C5">
      <w:pPr>
        <w:spacing w:after="0" w:line="240" w:lineRule="auto"/>
      </w:pPr>
      <w:r>
        <w:continuationSeparator/>
      </w:r>
    </w:p>
  </w:footnote>
  <w:footnote w:id="1">
    <w:p w14:paraId="2CC8657C" w14:textId="0A6F575E" w:rsidR="00EC400C" w:rsidRDefault="00EC400C">
      <w:pPr>
        <w:pStyle w:val="FootnoteText"/>
      </w:pPr>
      <w:r>
        <w:rPr>
          <w:rStyle w:val="FootnoteReference"/>
        </w:rPr>
        <w:footnoteRef/>
      </w:r>
      <w:r>
        <w:t xml:space="preserve"> </w:t>
      </w:r>
      <w:r w:rsidRPr="00EC400C">
        <w:t xml:space="preserve">Bloom, N., E. Brynjolfsson, L. Foster, R. </w:t>
      </w:r>
      <w:proofErr w:type="spellStart"/>
      <w:r w:rsidRPr="00EC400C">
        <w:t>Jarmin</w:t>
      </w:r>
      <w:proofErr w:type="spellEnd"/>
      <w:r w:rsidRPr="00EC400C">
        <w:t xml:space="preserve">, M. Patnaik, I. Saporta </w:t>
      </w:r>
      <w:proofErr w:type="spellStart"/>
      <w:r w:rsidRPr="00EC400C">
        <w:t>Eksten</w:t>
      </w:r>
      <w:proofErr w:type="spellEnd"/>
      <w:r w:rsidRPr="00EC400C">
        <w:t xml:space="preserve"> and J. </w:t>
      </w:r>
      <w:proofErr w:type="gramStart"/>
      <w:r w:rsidRPr="00EC400C">
        <w:t>Van</w:t>
      </w:r>
      <w:proofErr w:type="gramEnd"/>
      <w:r w:rsidRPr="00EC400C">
        <w:t xml:space="preserve"> Reenen. 2019. “What Drives Differences in Management Practices?” </w:t>
      </w:r>
      <w:r w:rsidRPr="009129EF">
        <w:rPr>
          <w:i/>
        </w:rPr>
        <w:t>American Economic Review</w:t>
      </w:r>
      <w:r w:rsidRPr="00EC400C">
        <w:t>.</w:t>
      </w:r>
    </w:p>
  </w:footnote>
  <w:footnote w:id="2">
    <w:p w14:paraId="4BDE0700" w14:textId="77777777" w:rsidR="008313B7" w:rsidRPr="00E815F2" w:rsidRDefault="008313B7" w:rsidP="008313B7">
      <w:pPr>
        <w:pStyle w:val="FootnoteText"/>
      </w:pPr>
      <w:r>
        <w:rPr>
          <w:rStyle w:val="FootnoteReference"/>
        </w:rPr>
        <w:footnoteRef/>
      </w:r>
      <w:r>
        <w:t xml:space="preserve"> </w:t>
      </w:r>
      <w:r w:rsidRPr="00E815F2">
        <w:t>2015 MOPS</w:t>
      </w:r>
      <w:r>
        <w:t>’</w:t>
      </w:r>
      <w:r w:rsidRPr="00E815F2">
        <w:t xml:space="preserve"> </w:t>
      </w:r>
      <w:hyperlink r:id="rId1" w:history="1">
        <w:r w:rsidRPr="00E815F2">
          <w:rPr>
            <w:rStyle w:val="Hyperlink"/>
          </w:rPr>
          <w:t>Questionnaire</w:t>
        </w:r>
      </w:hyperlink>
      <w:r w:rsidRPr="00E815F2">
        <w:t xml:space="preserve"> and an </w:t>
      </w:r>
      <w:hyperlink r:id="rId2" w:history="1">
        <w:r w:rsidRPr="00E815F2">
          <w:rPr>
            <w:rStyle w:val="Hyperlink"/>
          </w:rPr>
          <w:t>overview</w:t>
        </w:r>
      </w:hyperlink>
      <w:r>
        <w:t xml:space="preserve">. </w:t>
      </w:r>
    </w:p>
  </w:footnote>
  <w:footnote w:id="3">
    <w:p w14:paraId="1FBF6AFC" w14:textId="77777777" w:rsidR="008313B7" w:rsidRPr="00E815F2" w:rsidRDefault="008313B7" w:rsidP="00EC400C">
      <w:pPr>
        <w:spacing w:after="0"/>
        <w:rPr>
          <w:color w:val="FF0000"/>
          <w:sz w:val="20"/>
          <w:szCs w:val="20"/>
        </w:rPr>
      </w:pPr>
      <w:r w:rsidRPr="00E815F2">
        <w:rPr>
          <w:rStyle w:val="FootnoteReference"/>
          <w:sz w:val="20"/>
          <w:szCs w:val="20"/>
        </w:rPr>
        <w:footnoteRef/>
      </w:r>
      <w:r w:rsidRPr="00E815F2">
        <w:rPr>
          <w:sz w:val="20"/>
          <w:szCs w:val="20"/>
        </w:rPr>
        <w:t xml:space="preserve"> WMS</w:t>
      </w:r>
      <w:r>
        <w:rPr>
          <w:sz w:val="20"/>
          <w:szCs w:val="20"/>
        </w:rPr>
        <w:t>’</w:t>
      </w:r>
      <w:r w:rsidRPr="00E815F2">
        <w:rPr>
          <w:sz w:val="20"/>
          <w:szCs w:val="20"/>
        </w:rPr>
        <w:t xml:space="preserve"> </w:t>
      </w:r>
      <w:hyperlink r:id="rId3" w:history="1">
        <w:r w:rsidRPr="00E815F2">
          <w:rPr>
            <w:rStyle w:val="Hyperlink"/>
            <w:sz w:val="20"/>
            <w:szCs w:val="20"/>
          </w:rPr>
          <w:t>2009 instrument for healthcare</w:t>
        </w:r>
      </w:hyperlink>
      <w:r w:rsidRPr="00E815F2">
        <w:rPr>
          <w:sz w:val="20"/>
          <w:szCs w:val="20"/>
        </w:rPr>
        <w:t xml:space="preserve"> </w:t>
      </w:r>
      <w:r w:rsidRPr="00E815F2">
        <w:rPr>
          <w:rStyle w:val="Hyperlink"/>
          <w:sz w:val="20"/>
          <w:szCs w:val="20"/>
        </w:rPr>
        <w:t xml:space="preserve">and </w:t>
      </w:r>
      <w:hyperlink r:id="rId4" w:history="1">
        <w:r w:rsidRPr="00E815F2">
          <w:rPr>
            <w:rStyle w:val="Hyperlink"/>
            <w:sz w:val="20"/>
            <w:szCs w:val="20"/>
          </w:rPr>
          <w:t xml:space="preserve">academic research papers </w:t>
        </w:r>
      </w:hyperlink>
    </w:p>
  </w:footnote>
  <w:footnote w:id="4">
    <w:p w14:paraId="0D78132D" w14:textId="77777777" w:rsidR="008313B7" w:rsidRPr="00671ED1" w:rsidRDefault="008313B7" w:rsidP="00EC400C">
      <w:pPr>
        <w:pStyle w:val="FootnoteText"/>
      </w:pPr>
      <w:r w:rsidRPr="00671ED1">
        <w:rPr>
          <w:rStyle w:val="FootnoteReference"/>
        </w:rPr>
        <w:footnoteRef/>
      </w:r>
      <w:r w:rsidRPr="00671ED1">
        <w:t xml:space="preserve"> Throughout this </w:t>
      </w:r>
      <w:r>
        <w:t>document</w:t>
      </w:r>
      <w:r w:rsidRPr="00671ED1">
        <w:t>, any reference to the “MOPS” refers to the surveys conducted for the manufacturing sector, while the hospital survey will always be denoted as the “MOPS-HP.”</w:t>
      </w:r>
    </w:p>
  </w:footnote>
  <w:footnote w:id="5">
    <w:p w14:paraId="03AD3A06" w14:textId="4DD520FB" w:rsidR="00EC400C" w:rsidRDefault="00EC400C" w:rsidP="00EC400C">
      <w:pPr>
        <w:pStyle w:val="FootnoteText"/>
      </w:pPr>
      <w:r>
        <w:rPr>
          <w:rStyle w:val="FootnoteReference"/>
        </w:rPr>
        <w:footnoteRef/>
      </w:r>
      <w:r>
        <w:t xml:space="preserve"> Buffington, C., L. Foster, R. </w:t>
      </w:r>
      <w:proofErr w:type="spellStart"/>
      <w:r>
        <w:t>Jarmin</w:t>
      </w:r>
      <w:proofErr w:type="spellEnd"/>
      <w:r>
        <w:t xml:space="preserve">, and S. Ohlmacher. 2017. “The Management and Organizational Practices Survey (MOPS): An Overview.” </w:t>
      </w:r>
      <w:r w:rsidRPr="009129EF">
        <w:rPr>
          <w:i/>
        </w:rPr>
        <w:t>Journal of Economic and Social Measurement</w:t>
      </w:r>
      <w:r>
        <w:t>, 42(1), 1-26.</w:t>
      </w:r>
    </w:p>
  </w:footnote>
  <w:footnote w:id="6">
    <w:p w14:paraId="110DD5F2" w14:textId="6C775C01" w:rsidR="00EC400C" w:rsidRDefault="00EC400C">
      <w:pPr>
        <w:pStyle w:val="FootnoteText"/>
      </w:pPr>
      <w:r>
        <w:rPr>
          <w:rStyle w:val="FootnoteReference"/>
        </w:rPr>
        <w:footnoteRef/>
      </w:r>
      <w:r>
        <w:t xml:space="preserve"> </w:t>
      </w:r>
      <w:r w:rsidRPr="00EC400C">
        <w:t xml:space="preserve">Bloom, N., E. Brynjolfsson, L. Foster, R. </w:t>
      </w:r>
      <w:proofErr w:type="spellStart"/>
      <w:r w:rsidRPr="00EC400C">
        <w:t>Jarmin</w:t>
      </w:r>
      <w:proofErr w:type="spellEnd"/>
      <w:r w:rsidRPr="00EC400C">
        <w:t xml:space="preserve">, M. Patnaik, I. Saporta </w:t>
      </w:r>
      <w:proofErr w:type="spellStart"/>
      <w:r w:rsidRPr="00EC400C">
        <w:t>Eksten</w:t>
      </w:r>
      <w:proofErr w:type="spellEnd"/>
      <w:r w:rsidRPr="00EC400C">
        <w:t xml:space="preserve"> and J. </w:t>
      </w:r>
      <w:proofErr w:type="gramStart"/>
      <w:r w:rsidRPr="00EC400C">
        <w:t>Van</w:t>
      </w:r>
      <w:proofErr w:type="gramEnd"/>
      <w:r w:rsidRPr="00EC400C">
        <w:t xml:space="preserve"> Reenen. 2019. “What Drives Differences in Management Practices?” </w:t>
      </w:r>
      <w:r w:rsidRPr="009129EF">
        <w:rPr>
          <w:i/>
        </w:rPr>
        <w:t>American Economic Review</w:t>
      </w:r>
      <w:r w:rsidRPr="00EC400C">
        <w:t>.</w:t>
      </w:r>
    </w:p>
  </w:footnote>
  <w:footnote w:id="7">
    <w:p w14:paraId="786E0E70" w14:textId="3A118EAC" w:rsidR="00EC400C" w:rsidRDefault="00EC400C">
      <w:pPr>
        <w:pStyle w:val="FootnoteText"/>
      </w:pPr>
      <w:r>
        <w:rPr>
          <w:rStyle w:val="FootnoteReference"/>
        </w:rPr>
        <w:footnoteRef/>
      </w:r>
      <w:r>
        <w:t xml:space="preserve"> </w:t>
      </w:r>
      <w:r w:rsidRPr="00EC400C">
        <w:t xml:space="preserve">Bloom, N., R. </w:t>
      </w:r>
      <w:proofErr w:type="spellStart"/>
      <w:r w:rsidRPr="00EC400C">
        <w:t>Lemos</w:t>
      </w:r>
      <w:proofErr w:type="spellEnd"/>
      <w:r w:rsidRPr="00EC400C">
        <w:t xml:space="preserve">, R. </w:t>
      </w:r>
      <w:proofErr w:type="spellStart"/>
      <w:r w:rsidRPr="00EC400C">
        <w:t>Sadun</w:t>
      </w:r>
      <w:proofErr w:type="spellEnd"/>
      <w:r w:rsidRPr="00EC400C">
        <w:t xml:space="preserve"> and J. </w:t>
      </w:r>
      <w:proofErr w:type="gramStart"/>
      <w:r w:rsidRPr="00EC400C">
        <w:t>Van</w:t>
      </w:r>
      <w:proofErr w:type="gramEnd"/>
      <w:r w:rsidRPr="00EC400C">
        <w:t xml:space="preserve"> Reenen. 2019. “Healthy Business? Managerial Education and Management in Healthcare.” </w:t>
      </w:r>
      <w:r w:rsidRPr="009129EF">
        <w:rPr>
          <w:i/>
        </w:rPr>
        <w:t>Review of Economics and Statistics</w:t>
      </w:r>
      <w:r w:rsidRPr="00EC400C">
        <w:t>, forthcoming.</w:t>
      </w:r>
    </w:p>
  </w:footnote>
  <w:footnote w:id="8">
    <w:p w14:paraId="4B399205" w14:textId="724E330C" w:rsidR="00EC400C" w:rsidRPr="00EC400C" w:rsidRDefault="00EC400C">
      <w:pPr>
        <w:pStyle w:val="FootnoteText"/>
      </w:pPr>
      <w:r>
        <w:rPr>
          <w:rStyle w:val="FootnoteReference"/>
        </w:rPr>
        <w:footnoteRef/>
      </w:r>
      <w:r>
        <w:t xml:space="preserve"> </w:t>
      </w:r>
      <w:r w:rsidRPr="00EC400C">
        <w:t xml:space="preserve">Bloom, N. and J. </w:t>
      </w:r>
      <w:proofErr w:type="gramStart"/>
      <w:r w:rsidRPr="00EC400C">
        <w:t>Van</w:t>
      </w:r>
      <w:proofErr w:type="gramEnd"/>
      <w:r w:rsidRPr="00EC400C">
        <w:t xml:space="preserve"> Reenen. 2007. “Measuring and Explaining Management Practices Across Firms and Countries.” </w:t>
      </w:r>
      <w:r w:rsidRPr="009129EF">
        <w:rPr>
          <w:i/>
        </w:rPr>
        <w:t>The Quarterly Journal of Economics</w:t>
      </w:r>
      <w:r w:rsidRPr="00EC400C">
        <w:t xml:space="preserve"> 122(4): 1351–1408.</w:t>
      </w:r>
    </w:p>
  </w:footnote>
  <w:footnote w:id="9">
    <w:p w14:paraId="51561815" w14:textId="308B7A05" w:rsidR="00EC400C" w:rsidRDefault="00EC400C">
      <w:pPr>
        <w:pStyle w:val="FootnoteText"/>
      </w:pPr>
      <w:r>
        <w:rPr>
          <w:rStyle w:val="FootnoteReference"/>
        </w:rPr>
        <w:footnoteRef/>
      </w:r>
      <w:r>
        <w:t xml:space="preserve"> </w:t>
      </w:r>
      <w:r w:rsidRPr="00EC400C">
        <w:t xml:space="preserve">Bloom, N., R. </w:t>
      </w:r>
      <w:proofErr w:type="spellStart"/>
      <w:r w:rsidRPr="00EC400C">
        <w:t>Lemos</w:t>
      </w:r>
      <w:proofErr w:type="spellEnd"/>
      <w:r w:rsidRPr="00EC400C">
        <w:t xml:space="preserve">, R. </w:t>
      </w:r>
      <w:proofErr w:type="spellStart"/>
      <w:r w:rsidRPr="00EC400C">
        <w:t>Sadun</w:t>
      </w:r>
      <w:proofErr w:type="spellEnd"/>
      <w:r w:rsidRPr="00EC400C">
        <w:t xml:space="preserve">, D. Scur and J. </w:t>
      </w:r>
      <w:proofErr w:type="gramStart"/>
      <w:r w:rsidRPr="00EC400C">
        <w:t>Van</w:t>
      </w:r>
      <w:proofErr w:type="gramEnd"/>
      <w:r w:rsidRPr="00EC400C">
        <w:t xml:space="preserve"> Reenen. 2014. “The New Empirical Economics of Management.” </w:t>
      </w:r>
      <w:r w:rsidRPr="009129EF">
        <w:rPr>
          <w:i/>
        </w:rPr>
        <w:t>Journal of the European Economics Association</w:t>
      </w:r>
      <w:r w:rsidRPr="00EC400C">
        <w:t>.</w:t>
      </w:r>
    </w:p>
  </w:footnote>
  <w:footnote w:id="10">
    <w:p w14:paraId="6B672D2B" w14:textId="4E9B1D26" w:rsidR="000C7802" w:rsidRDefault="000C7802">
      <w:pPr>
        <w:pStyle w:val="FootnoteText"/>
      </w:pPr>
      <w:r>
        <w:rPr>
          <w:rStyle w:val="FootnoteReference"/>
        </w:rPr>
        <w:footnoteRef/>
      </w:r>
      <w:r>
        <w:t xml:space="preserve"> </w:t>
      </w:r>
      <w:r w:rsidRPr="000C7802">
        <w:t xml:space="preserve">Bloom, N., R. </w:t>
      </w:r>
      <w:proofErr w:type="spellStart"/>
      <w:r w:rsidRPr="000C7802">
        <w:t>Lemos</w:t>
      </w:r>
      <w:proofErr w:type="spellEnd"/>
      <w:r w:rsidRPr="000C7802">
        <w:t xml:space="preserve">, R. </w:t>
      </w:r>
      <w:proofErr w:type="spellStart"/>
      <w:r w:rsidRPr="000C7802">
        <w:t>Sadun</w:t>
      </w:r>
      <w:proofErr w:type="spellEnd"/>
      <w:r w:rsidRPr="000C7802">
        <w:t xml:space="preserve"> and J. </w:t>
      </w:r>
      <w:proofErr w:type="gramStart"/>
      <w:r w:rsidRPr="000C7802">
        <w:t>Van</w:t>
      </w:r>
      <w:proofErr w:type="gramEnd"/>
      <w:r w:rsidRPr="000C7802">
        <w:t xml:space="preserve"> Reenen. 2019. “Healthy Business? Managerial Education and Management in Healthcare.” </w:t>
      </w:r>
      <w:r w:rsidRPr="009129EF">
        <w:rPr>
          <w:i/>
        </w:rPr>
        <w:t>Review of Economics and Statistics</w:t>
      </w:r>
      <w:r w:rsidRPr="000C7802">
        <w:t>, forthcoming.</w:t>
      </w:r>
    </w:p>
  </w:footnote>
  <w:footnote w:id="11">
    <w:p w14:paraId="7DE86F58" w14:textId="273EEC6B" w:rsidR="00792C13" w:rsidRDefault="00792C13">
      <w:pPr>
        <w:pStyle w:val="FootnoteText"/>
      </w:pPr>
      <w:r>
        <w:rPr>
          <w:rStyle w:val="FootnoteReference"/>
        </w:rPr>
        <w:footnoteRef/>
      </w:r>
      <w:r>
        <w:t xml:space="preserve"> More structured management practices are associated with more rather than less frequent reviews of performance, communication with all levels of staff and not just senior staff, and promotions based on performance and ability and not just tenure. See Question 2.c. in the Supporting Statement B for more details on measuring whether management practices </w:t>
      </w:r>
      <w:proofErr w:type="gramStart"/>
      <w:r>
        <w:t>are more or less</w:t>
      </w:r>
      <w:proofErr w:type="gramEnd"/>
      <w:r>
        <w:t xml:space="preserve"> structured.</w:t>
      </w:r>
    </w:p>
  </w:footnote>
  <w:footnote w:id="12">
    <w:p w14:paraId="4C26619C" w14:textId="5DB92AD1" w:rsidR="000B3C61" w:rsidRPr="009670C6" w:rsidRDefault="000B3C61">
      <w:pPr>
        <w:pStyle w:val="FootnoteText"/>
        <w:rPr>
          <w:highlight w:val="yellow"/>
        </w:rPr>
      </w:pPr>
      <w:r w:rsidRPr="009670C6">
        <w:rPr>
          <w:rStyle w:val="FootnoteReference"/>
          <w:highlight w:val="yellow"/>
        </w:rPr>
        <w:footnoteRef/>
      </w:r>
      <w:r w:rsidRPr="009670C6">
        <w:rPr>
          <w:highlight w:val="yellow"/>
        </w:rPr>
        <w:t xml:space="preserve"> By collecting data for both 20</w:t>
      </w:r>
      <w:r w:rsidR="007425F7" w:rsidRPr="009670C6">
        <w:rPr>
          <w:highlight w:val="yellow"/>
        </w:rPr>
        <w:t>20</w:t>
      </w:r>
      <w:r w:rsidRPr="009670C6">
        <w:rPr>
          <w:highlight w:val="yellow"/>
        </w:rPr>
        <w:t xml:space="preserve"> and 201</w:t>
      </w:r>
      <w:r w:rsidR="007425F7" w:rsidRPr="009670C6">
        <w:rPr>
          <w:highlight w:val="yellow"/>
        </w:rPr>
        <w:t>9</w:t>
      </w:r>
      <w:r w:rsidRPr="009670C6">
        <w:rPr>
          <w:highlight w:val="yellow"/>
        </w:rPr>
        <w:t>, the MOPS-HP will help measure the evolution of management practices in hospitals</w:t>
      </w:r>
      <w:r w:rsidR="007425F7" w:rsidRPr="009670C6">
        <w:rPr>
          <w:highlight w:val="yellow"/>
        </w:rPr>
        <w:t xml:space="preserve"> before and during the pandemic</w:t>
      </w:r>
      <w:r w:rsidRPr="009670C6">
        <w:rPr>
          <w:highlight w:val="yellow"/>
        </w:rPr>
        <w:t>.</w:t>
      </w:r>
    </w:p>
  </w:footnote>
  <w:footnote w:id="13">
    <w:p w14:paraId="732A90C1" w14:textId="4D6E87B1" w:rsidR="00312A19" w:rsidRPr="009670C6" w:rsidRDefault="00312A19">
      <w:pPr>
        <w:pStyle w:val="FootnoteText"/>
        <w:rPr>
          <w:highlight w:val="yellow"/>
        </w:rPr>
      </w:pPr>
      <w:r w:rsidRPr="009670C6">
        <w:rPr>
          <w:rStyle w:val="FootnoteReference"/>
          <w:highlight w:val="yellow"/>
        </w:rPr>
        <w:footnoteRef/>
      </w:r>
      <w:r w:rsidRPr="009670C6">
        <w:rPr>
          <w:highlight w:val="yellow"/>
        </w:rPr>
        <w:t xml:space="preserve"> Bloom, N., E. Brynjolfsson, L. Foster, R. </w:t>
      </w:r>
      <w:proofErr w:type="spellStart"/>
      <w:r w:rsidRPr="009670C6">
        <w:rPr>
          <w:highlight w:val="yellow"/>
        </w:rPr>
        <w:t>Jarmin</w:t>
      </w:r>
      <w:proofErr w:type="spellEnd"/>
      <w:r w:rsidRPr="009670C6">
        <w:rPr>
          <w:highlight w:val="yellow"/>
        </w:rPr>
        <w:t xml:space="preserve">, M. Patnaik, I. Saporta </w:t>
      </w:r>
      <w:proofErr w:type="spellStart"/>
      <w:r w:rsidRPr="009670C6">
        <w:rPr>
          <w:highlight w:val="yellow"/>
        </w:rPr>
        <w:t>Eksten</w:t>
      </w:r>
      <w:proofErr w:type="spellEnd"/>
      <w:r w:rsidRPr="009670C6">
        <w:rPr>
          <w:highlight w:val="yellow"/>
        </w:rPr>
        <w:t xml:space="preserve"> and J. </w:t>
      </w:r>
      <w:proofErr w:type="gramStart"/>
      <w:r w:rsidRPr="009670C6">
        <w:rPr>
          <w:highlight w:val="yellow"/>
        </w:rPr>
        <w:t>Van</w:t>
      </w:r>
      <w:proofErr w:type="gramEnd"/>
      <w:r w:rsidRPr="009670C6">
        <w:rPr>
          <w:highlight w:val="yellow"/>
        </w:rPr>
        <w:t xml:space="preserve"> Reenen. 2019. “What Drives Differences in Management Practices?” </w:t>
      </w:r>
      <w:r w:rsidRPr="009670C6">
        <w:rPr>
          <w:i/>
          <w:highlight w:val="yellow"/>
        </w:rPr>
        <w:t>American Economic Review</w:t>
      </w:r>
      <w:r w:rsidRPr="009670C6">
        <w:rPr>
          <w:highlight w:val="yellow"/>
        </w:rPr>
        <w:t>.</w:t>
      </w:r>
    </w:p>
  </w:footnote>
  <w:footnote w:id="14">
    <w:p w14:paraId="11DD7CDB" w14:textId="4CB1787A" w:rsidR="00B9562B" w:rsidRPr="009670C6" w:rsidRDefault="00B9562B" w:rsidP="00197421">
      <w:pPr>
        <w:autoSpaceDE w:val="0"/>
        <w:autoSpaceDN w:val="0"/>
        <w:adjustRightInd w:val="0"/>
        <w:spacing w:after="0"/>
        <w:rPr>
          <w:rFonts w:cstheme="minorHAnsi"/>
          <w:i/>
          <w:iCs/>
          <w:sz w:val="20"/>
          <w:szCs w:val="20"/>
          <w:highlight w:val="yellow"/>
        </w:rPr>
      </w:pPr>
      <w:r w:rsidRPr="009670C6">
        <w:rPr>
          <w:rStyle w:val="FootnoteReference"/>
          <w:rFonts w:cstheme="minorHAnsi"/>
          <w:sz w:val="20"/>
          <w:szCs w:val="20"/>
          <w:highlight w:val="yellow"/>
        </w:rPr>
        <w:footnoteRef/>
      </w:r>
      <w:r w:rsidRPr="009670C6">
        <w:rPr>
          <w:rFonts w:cstheme="minorHAnsi"/>
          <w:sz w:val="20"/>
          <w:szCs w:val="20"/>
          <w:highlight w:val="yellow"/>
        </w:rPr>
        <w:t xml:space="preserve"> Bloom, N., R. </w:t>
      </w:r>
      <w:proofErr w:type="spellStart"/>
      <w:r w:rsidRPr="009670C6">
        <w:rPr>
          <w:rFonts w:cstheme="minorHAnsi"/>
          <w:sz w:val="20"/>
          <w:szCs w:val="20"/>
          <w:highlight w:val="yellow"/>
        </w:rPr>
        <w:t>Lemos</w:t>
      </w:r>
      <w:proofErr w:type="spellEnd"/>
      <w:r w:rsidRPr="009670C6">
        <w:rPr>
          <w:rFonts w:cstheme="minorHAnsi"/>
          <w:sz w:val="20"/>
          <w:szCs w:val="20"/>
          <w:highlight w:val="yellow"/>
        </w:rPr>
        <w:t xml:space="preserve">, R. </w:t>
      </w:r>
      <w:proofErr w:type="spellStart"/>
      <w:r w:rsidRPr="009670C6">
        <w:rPr>
          <w:rFonts w:cstheme="minorHAnsi"/>
          <w:sz w:val="20"/>
          <w:szCs w:val="20"/>
          <w:highlight w:val="yellow"/>
        </w:rPr>
        <w:t>Sadun</w:t>
      </w:r>
      <w:proofErr w:type="spellEnd"/>
      <w:r w:rsidRPr="009670C6">
        <w:rPr>
          <w:rFonts w:cstheme="minorHAnsi"/>
          <w:sz w:val="20"/>
          <w:szCs w:val="20"/>
          <w:highlight w:val="yellow"/>
        </w:rPr>
        <w:t xml:space="preserve"> and J. </w:t>
      </w:r>
      <w:proofErr w:type="gramStart"/>
      <w:r w:rsidRPr="009670C6">
        <w:rPr>
          <w:rFonts w:cstheme="minorHAnsi"/>
          <w:sz w:val="20"/>
          <w:szCs w:val="20"/>
          <w:highlight w:val="yellow"/>
        </w:rPr>
        <w:t>Van</w:t>
      </w:r>
      <w:proofErr w:type="gramEnd"/>
      <w:r w:rsidRPr="009670C6">
        <w:rPr>
          <w:rFonts w:cstheme="minorHAnsi"/>
          <w:sz w:val="20"/>
          <w:szCs w:val="20"/>
          <w:highlight w:val="yellow"/>
        </w:rPr>
        <w:t xml:space="preserve"> Reenen. 2019b. “Healthy Business? Managerial Education and Management in Healthcare.” </w:t>
      </w:r>
      <w:r w:rsidRPr="009670C6">
        <w:rPr>
          <w:rFonts w:cstheme="minorHAnsi"/>
          <w:i/>
          <w:iCs/>
          <w:sz w:val="20"/>
          <w:szCs w:val="20"/>
          <w:highlight w:val="yellow"/>
        </w:rPr>
        <w:t>Review of Economics and Statistics, forthcoming.</w:t>
      </w:r>
    </w:p>
  </w:footnote>
  <w:footnote w:id="15">
    <w:p w14:paraId="01D91173" w14:textId="31BC0C12" w:rsidR="00B9562B" w:rsidRPr="009670C6" w:rsidRDefault="00B9562B" w:rsidP="00197421">
      <w:pPr>
        <w:autoSpaceDE w:val="0"/>
        <w:autoSpaceDN w:val="0"/>
        <w:adjustRightInd w:val="0"/>
        <w:spacing w:after="0"/>
        <w:rPr>
          <w:rFonts w:cstheme="minorHAnsi"/>
          <w:sz w:val="20"/>
          <w:szCs w:val="20"/>
          <w:highlight w:val="yellow"/>
        </w:rPr>
      </w:pPr>
      <w:r w:rsidRPr="009670C6">
        <w:rPr>
          <w:rStyle w:val="FootnoteReference"/>
          <w:rFonts w:cstheme="minorHAnsi"/>
          <w:sz w:val="20"/>
          <w:szCs w:val="20"/>
          <w:highlight w:val="yellow"/>
        </w:rPr>
        <w:footnoteRef/>
      </w:r>
      <w:r w:rsidRPr="009670C6">
        <w:rPr>
          <w:rFonts w:cstheme="minorHAnsi"/>
          <w:sz w:val="20"/>
          <w:szCs w:val="20"/>
          <w:highlight w:val="yellow"/>
        </w:rPr>
        <w:t xml:space="preserve"> Bradley, E. H., L. A. Curry, E. S. </w:t>
      </w:r>
      <w:proofErr w:type="spellStart"/>
      <w:r w:rsidRPr="009670C6">
        <w:rPr>
          <w:rFonts w:cstheme="minorHAnsi"/>
          <w:sz w:val="20"/>
          <w:szCs w:val="20"/>
          <w:highlight w:val="yellow"/>
        </w:rPr>
        <w:t>Spatz</w:t>
      </w:r>
      <w:proofErr w:type="spellEnd"/>
      <w:r w:rsidRPr="009670C6">
        <w:rPr>
          <w:rFonts w:cstheme="minorHAnsi"/>
          <w:sz w:val="20"/>
          <w:szCs w:val="20"/>
          <w:highlight w:val="yellow"/>
        </w:rPr>
        <w:t xml:space="preserve">, J. Herrin, E. J. Cherlin, J. P. Curtis, J. W. Thompson, H. H. Ting, Y. </w:t>
      </w:r>
      <w:proofErr w:type="gramStart"/>
      <w:r w:rsidRPr="009670C6">
        <w:rPr>
          <w:rFonts w:cstheme="minorHAnsi"/>
          <w:sz w:val="20"/>
          <w:szCs w:val="20"/>
          <w:highlight w:val="yellow"/>
        </w:rPr>
        <w:t>Wang</w:t>
      </w:r>
      <w:proofErr w:type="gramEnd"/>
      <w:r w:rsidRPr="009670C6">
        <w:rPr>
          <w:rFonts w:cstheme="minorHAnsi"/>
          <w:sz w:val="20"/>
          <w:szCs w:val="20"/>
          <w:highlight w:val="yellow"/>
        </w:rPr>
        <w:t xml:space="preserve"> and H. M. </w:t>
      </w:r>
      <w:proofErr w:type="spellStart"/>
      <w:r w:rsidRPr="009670C6">
        <w:rPr>
          <w:rFonts w:cstheme="minorHAnsi"/>
          <w:sz w:val="20"/>
          <w:szCs w:val="20"/>
          <w:highlight w:val="yellow"/>
        </w:rPr>
        <w:t>Krumholz</w:t>
      </w:r>
      <w:proofErr w:type="spellEnd"/>
      <w:r w:rsidRPr="009670C6">
        <w:rPr>
          <w:rFonts w:cstheme="minorHAnsi"/>
          <w:sz w:val="20"/>
          <w:szCs w:val="20"/>
          <w:highlight w:val="yellow"/>
        </w:rPr>
        <w:t xml:space="preserve">. 2012. “Hospital Strategies for Reducing Risk-standardized Mortality Rates in Acute Myocardial Infarction.” </w:t>
      </w:r>
      <w:r w:rsidRPr="009670C6">
        <w:rPr>
          <w:rFonts w:cstheme="minorHAnsi"/>
          <w:i/>
          <w:iCs/>
          <w:sz w:val="20"/>
          <w:szCs w:val="20"/>
          <w:highlight w:val="yellow"/>
        </w:rPr>
        <w:t xml:space="preserve">Annals of Internal Medicine </w:t>
      </w:r>
      <w:r w:rsidRPr="009670C6">
        <w:rPr>
          <w:rFonts w:cstheme="minorHAnsi"/>
          <w:sz w:val="20"/>
          <w:szCs w:val="20"/>
          <w:highlight w:val="yellow"/>
        </w:rPr>
        <w:t>156(9): 618-626.</w:t>
      </w:r>
    </w:p>
  </w:footnote>
  <w:footnote w:id="16">
    <w:p w14:paraId="403F64DA" w14:textId="39A3A0CE" w:rsidR="00B9562B" w:rsidRPr="009670C6" w:rsidRDefault="00B9562B" w:rsidP="00A44977">
      <w:pPr>
        <w:autoSpaceDE w:val="0"/>
        <w:autoSpaceDN w:val="0"/>
        <w:adjustRightInd w:val="0"/>
        <w:spacing w:after="0"/>
        <w:rPr>
          <w:highlight w:val="yellow"/>
        </w:rPr>
      </w:pPr>
      <w:r w:rsidRPr="009670C6">
        <w:rPr>
          <w:rStyle w:val="FootnoteReference"/>
          <w:rFonts w:cstheme="minorHAnsi"/>
          <w:sz w:val="20"/>
          <w:szCs w:val="20"/>
          <w:highlight w:val="yellow"/>
        </w:rPr>
        <w:footnoteRef/>
      </w:r>
      <w:r w:rsidRPr="009670C6">
        <w:rPr>
          <w:rFonts w:cstheme="minorHAnsi"/>
          <w:sz w:val="20"/>
          <w:szCs w:val="20"/>
          <w:highlight w:val="yellow"/>
        </w:rPr>
        <w:t xml:space="preserve"> Bradley, E. H., E. S. </w:t>
      </w:r>
      <w:proofErr w:type="spellStart"/>
      <w:r w:rsidRPr="009670C6">
        <w:rPr>
          <w:rFonts w:cstheme="minorHAnsi"/>
          <w:sz w:val="20"/>
          <w:szCs w:val="20"/>
          <w:highlight w:val="yellow"/>
        </w:rPr>
        <w:t>Holmboe</w:t>
      </w:r>
      <w:proofErr w:type="spellEnd"/>
      <w:r w:rsidRPr="009670C6">
        <w:rPr>
          <w:rFonts w:cstheme="minorHAnsi"/>
          <w:sz w:val="20"/>
          <w:szCs w:val="20"/>
          <w:highlight w:val="yellow"/>
        </w:rPr>
        <w:t xml:space="preserve"> and J. A. </w:t>
      </w:r>
      <w:proofErr w:type="spellStart"/>
      <w:r w:rsidRPr="009670C6">
        <w:rPr>
          <w:rFonts w:cstheme="minorHAnsi"/>
          <w:sz w:val="20"/>
          <w:szCs w:val="20"/>
          <w:highlight w:val="yellow"/>
        </w:rPr>
        <w:t>Mattera</w:t>
      </w:r>
      <w:proofErr w:type="spellEnd"/>
      <w:r w:rsidRPr="009670C6">
        <w:rPr>
          <w:rFonts w:cstheme="minorHAnsi"/>
          <w:sz w:val="20"/>
          <w:szCs w:val="20"/>
          <w:highlight w:val="yellow"/>
        </w:rPr>
        <w:t xml:space="preserve">. 2001. “A Qualitative Study of Increasing β-Blocker Use after Myocardial Infarction.” </w:t>
      </w:r>
      <w:r w:rsidRPr="009670C6">
        <w:rPr>
          <w:rFonts w:cstheme="minorHAnsi"/>
          <w:i/>
          <w:iCs/>
          <w:sz w:val="20"/>
          <w:szCs w:val="20"/>
          <w:highlight w:val="yellow"/>
        </w:rPr>
        <w:t xml:space="preserve">JAMA </w:t>
      </w:r>
      <w:r w:rsidRPr="009670C6">
        <w:rPr>
          <w:rFonts w:cstheme="minorHAnsi"/>
          <w:sz w:val="20"/>
          <w:szCs w:val="20"/>
          <w:highlight w:val="yellow"/>
        </w:rPr>
        <w:t>285(20): 2604-2611.</w:t>
      </w:r>
    </w:p>
  </w:footnote>
  <w:footnote w:id="17">
    <w:p w14:paraId="33E3EF16" w14:textId="7C03D231" w:rsidR="004D7631" w:rsidRPr="009670C6" w:rsidRDefault="004D7631" w:rsidP="00A44977">
      <w:pPr>
        <w:autoSpaceDE w:val="0"/>
        <w:autoSpaceDN w:val="0"/>
        <w:adjustRightInd w:val="0"/>
        <w:spacing w:after="0"/>
        <w:rPr>
          <w:rFonts w:cstheme="minorHAnsi"/>
          <w:sz w:val="20"/>
          <w:szCs w:val="20"/>
          <w:highlight w:val="yellow"/>
        </w:rPr>
      </w:pPr>
      <w:r w:rsidRPr="009670C6">
        <w:rPr>
          <w:rStyle w:val="FootnoteReference"/>
          <w:rFonts w:cstheme="minorHAnsi"/>
          <w:sz w:val="20"/>
          <w:szCs w:val="20"/>
          <w:highlight w:val="yellow"/>
        </w:rPr>
        <w:footnoteRef/>
      </w:r>
      <w:r w:rsidRPr="009670C6">
        <w:rPr>
          <w:rFonts w:cstheme="minorHAnsi"/>
          <w:sz w:val="20"/>
          <w:szCs w:val="20"/>
          <w:highlight w:val="yellow"/>
        </w:rPr>
        <w:t xml:space="preserve"> Bloom, N. and J. </w:t>
      </w:r>
      <w:proofErr w:type="gramStart"/>
      <w:r w:rsidRPr="009670C6">
        <w:rPr>
          <w:rFonts w:cstheme="minorHAnsi"/>
          <w:sz w:val="20"/>
          <w:szCs w:val="20"/>
          <w:highlight w:val="yellow"/>
        </w:rPr>
        <w:t>Van</w:t>
      </w:r>
      <w:proofErr w:type="gramEnd"/>
      <w:r w:rsidRPr="009670C6">
        <w:rPr>
          <w:rFonts w:cstheme="minorHAnsi"/>
          <w:sz w:val="20"/>
          <w:szCs w:val="20"/>
          <w:highlight w:val="yellow"/>
        </w:rPr>
        <w:t xml:space="preserve"> Reenen. 2007. “Measuring and Explaining Management Practices Across Firms and Countries.” </w:t>
      </w:r>
      <w:r w:rsidRPr="009670C6">
        <w:rPr>
          <w:rFonts w:cstheme="minorHAnsi"/>
          <w:i/>
          <w:iCs/>
          <w:sz w:val="20"/>
          <w:szCs w:val="20"/>
          <w:highlight w:val="yellow"/>
        </w:rPr>
        <w:t xml:space="preserve">The Quarterly Journal of Economics </w:t>
      </w:r>
      <w:r w:rsidRPr="009670C6">
        <w:rPr>
          <w:rFonts w:cstheme="minorHAnsi"/>
          <w:sz w:val="20"/>
          <w:szCs w:val="20"/>
          <w:highlight w:val="yellow"/>
        </w:rPr>
        <w:t>122(4): 1351–1408.</w:t>
      </w:r>
    </w:p>
  </w:footnote>
  <w:footnote w:id="18">
    <w:p w14:paraId="78460BB7" w14:textId="0DCBCCBE" w:rsidR="00A44977" w:rsidRPr="00197421" w:rsidRDefault="00A44977">
      <w:pPr>
        <w:pStyle w:val="FootnoteText"/>
      </w:pPr>
      <w:r w:rsidRPr="009670C6">
        <w:rPr>
          <w:rStyle w:val="FootnoteReference"/>
          <w:rFonts w:cstheme="minorHAnsi"/>
          <w:highlight w:val="yellow"/>
        </w:rPr>
        <w:footnoteRef/>
      </w:r>
      <w:r w:rsidRPr="009670C6">
        <w:rPr>
          <w:rFonts w:cstheme="minorHAnsi"/>
          <w:highlight w:val="yellow"/>
        </w:rPr>
        <w:t xml:space="preserve"> WMS’ </w:t>
      </w:r>
      <w:hyperlink r:id="rId5" w:history="1">
        <w:r w:rsidRPr="009670C6">
          <w:rPr>
            <w:rStyle w:val="Hyperlink"/>
            <w:rFonts w:cstheme="minorHAnsi"/>
            <w:highlight w:val="yellow"/>
          </w:rPr>
          <w:t>2009 instrument for healthcare</w:t>
        </w:r>
      </w:hyperlink>
      <w:r w:rsidRPr="009670C6">
        <w:rPr>
          <w:rFonts w:cstheme="minorHAnsi"/>
          <w:highlight w:val="yellow"/>
        </w:rPr>
        <w:t xml:space="preserve"> </w:t>
      </w:r>
      <w:r w:rsidRPr="009670C6">
        <w:rPr>
          <w:rStyle w:val="Hyperlink"/>
          <w:rFonts w:cstheme="minorHAnsi"/>
          <w:highlight w:val="yellow"/>
        </w:rPr>
        <w:t xml:space="preserve">and </w:t>
      </w:r>
      <w:hyperlink r:id="rId6" w:history="1">
        <w:r w:rsidRPr="009670C6">
          <w:rPr>
            <w:rStyle w:val="Hyperlink"/>
            <w:rFonts w:cstheme="minorHAnsi"/>
            <w:highlight w:val="yellow"/>
          </w:rPr>
          <w:t>academic research papers</w:t>
        </w:r>
        <w:r w:rsidRPr="009670C6">
          <w:rPr>
            <w:rStyle w:val="Hyperlink"/>
            <w:highlight w:val="yellow"/>
          </w:rPr>
          <w:t xml:space="preserve"> </w:t>
        </w:r>
      </w:hyperlink>
    </w:p>
  </w:footnote>
  <w:footnote w:id="19">
    <w:p w14:paraId="42BC54CC" w14:textId="6B2CA812" w:rsidR="00A44977" w:rsidRPr="009670C6" w:rsidRDefault="00A44977" w:rsidP="00197421">
      <w:pPr>
        <w:autoSpaceDE w:val="0"/>
        <w:autoSpaceDN w:val="0"/>
        <w:adjustRightInd w:val="0"/>
        <w:spacing w:after="0"/>
        <w:rPr>
          <w:rFonts w:cstheme="minorHAnsi"/>
          <w:i/>
          <w:iCs/>
          <w:sz w:val="20"/>
          <w:szCs w:val="20"/>
          <w:highlight w:val="yellow"/>
        </w:rPr>
      </w:pPr>
      <w:r w:rsidRPr="009670C6">
        <w:rPr>
          <w:rStyle w:val="FootnoteReference"/>
          <w:rFonts w:cstheme="minorHAnsi"/>
          <w:sz w:val="20"/>
          <w:szCs w:val="20"/>
          <w:highlight w:val="yellow"/>
        </w:rPr>
        <w:footnoteRef/>
      </w:r>
      <w:r w:rsidRPr="009670C6">
        <w:rPr>
          <w:rFonts w:cstheme="minorHAnsi"/>
          <w:sz w:val="20"/>
          <w:szCs w:val="20"/>
          <w:highlight w:val="yellow"/>
        </w:rPr>
        <w:t xml:space="preserve"> Bloom, N., E. Brynjolfsson, L. Foster, R. </w:t>
      </w:r>
      <w:proofErr w:type="spellStart"/>
      <w:r w:rsidRPr="009670C6">
        <w:rPr>
          <w:rFonts w:cstheme="minorHAnsi"/>
          <w:sz w:val="20"/>
          <w:szCs w:val="20"/>
          <w:highlight w:val="yellow"/>
        </w:rPr>
        <w:t>Jarmin</w:t>
      </w:r>
      <w:proofErr w:type="spellEnd"/>
      <w:r w:rsidRPr="009670C6">
        <w:rPr>
          <w:rFonts w:cstheme="minorHAnsi"/>
          <w:sz w:val="20"/>
          <w:szCs w:val="20"/>
          <w:highlight w:val="yellow"/>
        </w:rPr>
        <w:t xml:space="preserve">, M. Patnaik, I. Saporta </w:t>
      </w:r>
      <w:proofErr w:type="spellStart"/>
      <w:r w:rsidRPr="009670C6">
        <w:rPr>
          <w:rFonts w:cstheme="minorHAnsi"/>
          <w:sz w:val="20"/>
          <w:szCs w:val="20"/>
          <w:highlight w:val="yellow"/>
        </w:rPr>
        <w:t>Eksten</w:t>
      </w:r>
      <w:proofErr w:type="spellEnd"/>
      <w:r w:rsidRPr="009670C6">
        <w:rPr>
          <w:rFonts w:cstheme="minorHAnsi"/>
          <w:sz w:val="20"/>
          <w:szCs w:val="20"/>
          <w:highlight w:val="yellow"/>
        </w:rPr>
        <w:t xml:space="preserve"> and J. </w:t>
      </w:r>
      <w:proofErr w:type="gramStart"/>
      <w:r w:rsidRPr="009670C6">
        <w:rPr>
          <w:rFonts w:cstheme="minorHAnsi"/>
          <w:sz w:val="20"/>
          <w:szCs w:val="20"/>
          <w:highlight w:val="yellow"/>
        </w:rPr>
        <w:t>Van</w:t>
      </w:r>
      <w:proofErr w:type="gramEnd"/>
      <w:r w:rsidRPr="009670C6">
        <w:rPr>
          <w:rFonts w:cstheme="minorHAnsi"/>
          <w:sz w:val="20"/>
          <w:szCs w:val="20"/>
          <w:highlight w:val="yellow"/>
        </w:rPr>
        <w:t xml:space="preserve"> Reenen. 2019a. “What Drives Differences in Management Practices?” </w:t>
      </w:r>
      <w:r w:rsidRPr="009670C6">
        <w:rPr>
          <w:rFonts w:cstheme="minorHAnsi"/>
          <w:i/>
          <w:iCs/>
          <w:sz w:val="20"/>
          <w:szCs w:val="20"/>
          <w:highlight w:val="yellow"/>
        </w:rPr>
        <w:t>American Economic Review.</w:t>
      </w:r>
    </w:p>
  </w:footnote>
  <w:footnote w:id="20">
    <w:p w14:paraId="3650E704" w14:textId="43A73DEB" w:rsidR="00A44977" w:rsidRPr="00A44977" w:rsidRDefault="00A44977" w:rsidP="00197421">
      <w:pPr>
        <w:autoSpaceDE w:val="0"/>
        <w:autoSpaceDN w:val="0"/>
        <w:adjustRightInd w:val="0"/>
        <w:spacing w:after="0"/>
        <w:rPr>
          <w:rFonts w:cstheme="minorHAnsi"/>
          <w:i/>
          <w:iCs/>
          <w:sz w:val="20"/>
          <w:szCs w:val="20"/>
        </w:rPr>
      </w:pPr>
      <w:r w:rsidRPr="009670C6">
        <w:rPr>
          <w:rStyle w:val="FootnoteReference"/>
          <w:rFonts w:cstheme="minorHAnsi"/>
          <w:sz w:val="20"/>
          <w:szCs w:val="20"/>
          <w:highlight w:val="yellow"/>
        </w:rPr>
        <w:footnoteRef/>
      </w:r>
      <w:r w:rsidRPr="009670C6">
        <w:rPr>
          <w:rFonts w:cstheme="minorHAnsi"/>
          <w:sz w:val="20"/>
          <w:szCs w:val="20"/>
          <w:highlight w:val="yellow"/>
        </w:rPr>
        <w:t xml:space="preserve"> Bloom, N., R. </w:t>
      </w:r>
      <w:proofErr w:type="spellStart"/>
      <w:r w:rsidRPr="009670C6">
        <w:rPr>
          <w:rFonts w:cstheme="minorHAnsi"/>
          <w:sz w:val="20"/>
          <w:szCs w:val="20"/>
          <w:highlight w:val="yellow"/>
        </w:rPr>
        <w:t>Lemos</w:t>
      </w:r>
      <w:proofErr w:type="spellEnd"/>
      <w:r w:rsidRPr="009670C6">
        <w:rPr>
          <w:rFonts w:cstheme="minorHAnsi"/>
          <w:sz w:val="20"/>
          <w:szCs w:val="20"/>
          <w:highlight w:val="yellow"/>
        </w:rPr>
        <w:t xml:space="preserve">, R. </w:t>
      </w:r>
      <w:proofErr w:type="spellStart"/>
      <w:r w:rsidRPr="009670C6">
        <w:rPr>
          <w:rFonts w:cstheme="minorHAnsi"/>
          <w:sz w:val="20"/>
          <w:szCs w:val="20"/>
          <w:highlight w:val="yellow"/>
        </w:rPr>
        <w:t>Sadun</w:t>
      </w:r>
      <w:proofErr w:type="spellEnd"/>
      <w:r w:rsidRPr="009670C6">
        <w:rPr>
          <w:rFonts w:cstheme="minorHAnsi"/>
          <w:sz w:val="20"/>
          <w:szCs w:val="20"/>
          <w:highlight w:val="yellow"/>
        </w:rPr>
        <w:t xml:space="preserve"> and J. </w:t>
      </w:r>
      <w:proofErr w:type="gramStart"/>
      <w:r w:rsidRPr="009670C6">
        <w:rPr>
          <w:rFonts w:cstheme="minorHAnsi"/>
          <w:sz w:val="20"/>
          <w:szCs w:val="20"/>
          <w:highlight w:val="yellow"/>
        </w:rPr>
        <w:t>Van</w:t>
      </w:r>
      <w:proofErr w:type="gramEnd"/>
      <w:r w:rsidRPr="009670C6">
        <w:rPr>
          <w:rFonts w:cstheme="minorHAnsi"/>
          <w:sz w:val="20"/>
          <w:szCs w:val="20"/>
          <w:highlight w:val="yellow"/>
        </w:rPr>
        <w:t xml:space="preserve"> Reenen. 2019b. “Healthy Business? Managerial Education and Management in Healthcare.” </w:t>
      </w:r>
      <w:r w:rsidRPr="009670C6">
        <w:rPr>
          <w:rFonts w:cstheme="minorHAnsi"/>
          <w:i/>
          <w:iCs/>
          <w:sz w:val="20"/>
          <w:szCs w:val="20"/>
          <w:highlight w:val="yellow"/>
        </w:rPr>
        <w:t>Review of Economics and Statistics, forthcoming.</w:t>
      </w:r>
    </w:p>
    <w:p w14:paraId="03A15DA7" w14:textId="58BB4723" w:rsidR="00A44977" w:rsidRDefault="00A44977">
      <w:pPr>
        <w:pStyle w:val="FootnoteText"/>
      </w:pPr>
    </w:p>
  </w:footnote>
  <w:footnote w:id="21">
    <w:p w14:paraId="3DF235B5" w14:textId="77777777" w:rsidR="00A7574C" w:rsidRDefault="00A7574C" w:rsidP="00A7574C">
      <w:pPr>
        <w:pStyle w:val="FootnoteText"/>
      </w:pPr>
      <w:r>
        <w:rPr>
          <w:rStyle w:val="FootnoteReference"/>
        </w:rPr>
        <w:footnoteRef/>
      </w:r>
      <w:r>
        <w:t xml:space="preserve"> </w:t>
      </w:r>
      <w:r w:rsidRPr="00555E8E">
        <w:t xml:space="preserve">Bureau of Labor Statistics’ </w:t>
      </w:r>
      <w:hyperlink r:id="rId7" w:anchor="tab-5" w:history="1">
        <w:r w:rsidRPr="004B3AFA">
          <w:rPr>
            <w:rStyle w:val="Hyperlink"/>
          </w:rPr>
          <w:t>Occupational Outlook Handbook – Top Executives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CDD"/>
    <w:multiLevelType w:val="hybridMultilevel"/>
    <w:tmpl w:val="862479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977CAF"/>
    <w:multiLevelType w:val="multilevel"/>
    <w:tmpl w:val="0EB22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C1B2F"/>
    <w:multiLevelType w:val="hybridMultilevel"/>
    <w:tmpl w:val="ACEAFF0E"/>
    <w:lvl w:ilvl="0" w:tplc="46BAD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1C682E"/>
    <w:multiLevelType w:val="multilevel"/>
    <w:tmpl w:val="0C50B0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771AC"/>
    <w:multiLevelType w:val="hybridMultilevel"/>
    <w:tmpl w:val="2FE829D0"/>
    <w:lvl w:ilvl="0" w:tplc="DE365CE8">
      <w:start w:val="1"/>
      <w:numFmt w:val="bullet"/>
      <w:lvlText w:val=""/>
      <w:lvlJc w:val="left"/>
      <w:pPr>
        <w:tabs>
          <w:tab w:val="num" w:pos="720"/>
        </w:tabs>
        <w:ind w:left="720" w:hanging="360"/>
      </w:pPr>
      <w:rPr>
        <w:rFonts w:ascii="Symbol" w:hAnsi="Symbol" w:hint="default"/>
        <w:sz w:val="20"/>
      </w:rPr>
    </w:lvl>
    <w:lvl w:ilvl="1" w:tplc="B61024E4">
      <w:start w:val="1"/>
      <w:numFmt w:val="bullet"/>
      <w:lvlText w:val=""/>
      <w:lvlJc w:val="left"/>
      <w:pPr>
        <w:tabs>
          <w:tab w:val="num" w:pos="1440"/>
        </w:tabs>
        <w:ind w:left="1440" w:hanging="360"/>
      </w:pPr>
      <w:rPr>
        <w:rFonts w:ascii="Symbol" w:hAnsi="Symbol" w:hint="default"/>
        <w:sz w:val="20"/>
      </w:rPr>
    </w:lvl>
    <w:lvl w:ilvl="2" w:tplc="8A6A96B6">
      <w:start w:val="1"/>
      <w:numFmt w:val="bullet"/>
      <w:lvlText w:val=""/>
      <w:lvlJc w:val="left"/>
      <w:pPr>
        <w:tabs>
          <w:tab w:val="num" w:pos="2160"/>
        </w:tabs>
        <w:ind w:left="2160" w:hanging="360"/>
      </w:pPr>
      <w:rPr>
        <w:rFonts w:ascii="Symbol" w:hAnsi="Symbol" w:hint="default"/>
        <w:sz w:val="20"/>
      </w:rPr>
    </w:lvl>
    <w:lvl w:ilvl="3" w:tplc="5E3ECB5E">
      <w:start w:val="1"/>
      <w:numFmt w:val="bullet"/>
      <w:lvlText w:val=""/>
      <w:lvlJc w:val="left"/>
      <w:pPr>
        <w:tabs>
          <w:tab w:val="num" w:pos="2880"/>
        </w:tabs>
        <w:ind w:left="2880" w:hanging="360"/>
      </w:pPr>
      <w:rPr>
        <w:rFonts w:ascii="Symbol" w:hAnsi="Symbol" w:hint="default"/>
        <w:sz w:val="20"/>
      </w:rPr>
    </w:lvl>
    <w:lvl w:ilvl="4" w:tplc="4DDC4470">
      <w:start w:val="1"/>
      <w:numFmt w:val="bullet"/>
      <w:lvlText w:val=""/>
      <w:lvlJc w:val="left"/>
      <w:pPr>
        <w:tabs>
          <w:tab w:val="num" w:pos="3600"/>
        </w:tabs>
        <w:ind w:left="3600" w:hanging="360"/>
      </w:pPr>
      <w:rPr>
        <w:rFonts w:ascii="Symbol" w:hAnsi="Symbol" w:hint="default"/>
        <w:sz w:val="20"/>
      </w:rPr>
    </w:lvl>
    <w:lvl w:ilvl="5" w:tplc="F5263F08">
      <w:start w:val="1"/>
      <w:numFmt w:val="bullet"/>
      <w:lvlText w:val=""/>
      <w:lvlJc w:val="left"/>
      <w:pPr>
        <w:tabs>
          <w:tab w:val="num" w:pos="4320"/>
        </w:tabs>
        <w:ind w:left="4320" w:hanging="360"/>
      </w:pPr>
      <w:rPr>
        <w:rFonts w:ascii="Symbol" w:hAnsi="Symbol" w:hint="default"/>
        <w:sz w:val="20"/>
      </w:rPr>
    </w:lvl>
    <w:lvl w:ilvl="6" w:tplc="77D2534A">
      <w:start w:val="1"/>
      <w:numFmt w:val="bullet"/>
      <w:lvlText w:val=""/>
      <w:lvlJc w:val="left"/>
      <w:pPr>
        <w:tabs>
          <w:tab w:val="num" w:pos="5040"/>
        </w:tabs>
        <w:ind w:left="5040" w:hanging="360"/>
      </w:pPr>
      <w:rPr>
        <w:rFonts w:ascii="Symbol" w:hAnsi="Symbol" w:hint="default"/>
        <w:sz w:val="20"/>
      </w:rPr>
    </w:lvl>
    <w:lvl w:ilvl="7" w:tplc="B51A2216">
      <w:start w:val="1"/>
      <w:numFmt w:val="bullet"/>
      <w:lvlText w:val=""/>
      <w:lvlJc w:val="left"/>
      <w:pPr>
        <w:tabs>
          <w:tab w:val="num" w:pos="5760"/>
        </w:tabs>
        <w:ind w:left="5760" w:hanging="360"/>
      </w:pPr>
      <w:rPr>
        <w:rFonts w:ascii="Symbol" w:hAnsi="Symbol" w:hint="default"/>
        <w:sz w:val="20"/>
      </w:rPr>
    </w:lvl>
    <w:lvl w:ilvl="8" w:tplc="0C3CCED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2B667D"/>
    <w:multiLevelType w:val="multilevel"/>
    <w:tmpl w:val="4CF22E2E"/>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6" w15:restartNumberingAfterBreak="0">
    <w:nsid w:val="7993409A"/>
    <w:multiLevelType w:val="hybridMultilevel"/>
    <w:tmpl w:val="4256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266FF"/>
    <w:multiLevelType w:val="hybridMultilevel"/>
    <w:tmpl w:val="ACEAFF0E"/>
    <w:lvl w:ilvl="0" w:tplc="46BAD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29"/>
    <w:rsid w:val="00002B27"/>
    <w:rsid w:val="000049CC"/>
    <w:rsid w:val="00012AA4"/>
    <w:rsid w:val="00012F0C"/>
    <w:rsid w:val="00014ACA"/>
    <w:rsid w:val="00015C5C"/>
    <w:rsid w:val="00021540"/>
    <w:rsid w:val="00030A67"/>
    <w:rsid w:val="00033CA9"/>
    <w:rsid w:val="00034F8E"/>
    <w:rsid w:val="00056E9D"/>
    <w:rsid w:val="00060958"/>
    <w:rsid w:val="00066751"/>
    <w:rsid w:val="00073675"/>
    <w:rsid w:val="00081FD7"/>
    <w:rsid w:val="00084E89"/>
    <w:rsid w:val="00094B1A"/>
    <w:rsid w:val="00094E51"/>
    <w:rsid w:val="00095B61"/>
    <w:rsid w:val="000A2EAF"/>
    <w:rsid w:val="000A5570"/>
    <w:rsid w:val="000B3C61"/>
    <w:rsid w:val="000B66F1"/>
    <w:rsid w:val="000C7802"/>
    <w:rsid w:val="000D4CA4"/>
    <w:rsid w:val="000D66B1"/>
    <w:rsid w:val="000E1E7A"/>
    <w:rsid w:val="000F37C7"/>
    <w:rsid w:val="00102CAD"/>
    <w:rsid w:val="00102DCF"/>
    <w:rsid w:val="00103630"/>
    <w:rsid w:val="001239E2"/>
    <w:rsid w:val="00124E90"/>
    <w:rsid w:val="001329E2"/>
    <w:rsid w:val="00132E6D"/>
    <w:rsid w:val="00141ACD"/>
    <w:rsid w:val="00142F24"/>
    <w:rsid w:val="00150F5D"/>
    <w:rsid w:val="0016370F"/>
    <w:rsid w:val="00164F35"/>
    <w:rsid w:val="001674D3"/>
    <w:rsid w:val="0017166A"/>
    <w:rsid w:val="00176017"/>
    <w:rsid w:val="00184E8F"/>
    <w:rsid w:val="001929F9"/>
    <w:rsid w:val="00197421"/>
    <w:rsid w:val="001A18DF"/>
    <w:rsid w:val="001A38DB"/>
    <w:rsid w:val="001A5A82"/>
    <w:rsid w:val="001B327B"/>
    <w:rsid w:val="001B5E85"/>
    <w:rsid w:val="001B6B5A"/>
    <w:rsid w:val="001C03B8"/>
    <w:rsid w:val="001C224D"/>
    <w:rsid w:val="001C3FBD"/>
    <w:rsid w:val="001C5CC2"/>
    <w:rsid w:val="001D3636"/>
    <w:rsid w:val="001E3968"/>
    <w:rsid w:val="001E3AC2"/>
    <w:rsid w:val="001E4104"/>
    <w:rsid w:val="001E4CAA"/>
    <w:rsid w:val="001E5553"/>
    <w:rsid w:val="002020C1"/>
    <w:rsid w:val="00205052"/>
    <w:rsid w:val="00206C3B"/>
    <w:rsid w:val="0021301C"/>
    <w:rsid w:val="002146B4"/>
    <w:rsid w:val="0022586A"/>
    <w:rsid w:val="002265A5"/>
    <w:rsid w:val="00227253"/>
    <w:rsid w:val="002316E4"/>
    <w:rsid w:val="002326B4"/>
    <w:rsid w:val="002445EB"/>
    <w:rsid w:val="0025249F"/>
    <w:rsid w:val="00253B18"/>
    <w:rsid w:val="00255006"/>
    <w:rsid w:val="002557FF"/>
    <w:rsid w:val="0026076D"/>
    <w:rsid w:val="00264050"/>
    <w:rsid w:val="00267B05"/>
    <w:rsid w:val="00273C4B"/>
    <w:rsid w:val="00274878"/>
    <w:rsid w:val="00284818"/>
    <w:rsid w:val="0028642F"/>
    <w:rsid w:val="00295D67"/>
    <w:rsid w:val="0029607C"/>
    <w:rsid w:val="002A3935"/>
    <w:rsid w:val="002A4AFE"/>
    <w:rsid w:val="002A5F98"/>
    <w:rsid w:val="002A7D9F"/>
    <w:rsid w:val="002C3AB8"/>
    <w:rsid w:val="002C58BD"/>
    <w:rsid w:val="002D2448"/>
    <w:rsid w:val="002D58A9"/>
    <w:rsid w:val="002D5FF4"/>
    <w:rsid w:val="002E6649"/>
    <w:rsid w:val="002E761D"/>
    <w:rsid w:val="002F105F"/>
    <w:rsid w:val="002F6999"/>
    <w:rsid w:val="00300AED"/>
    <w:rsid w:val="00304362"/>
    <w:rsid w:val="003110A6"/>
    <w:rsid w:val="00312A19"/>
    <w:rsid w:val="003131C4"/>
    <w:rsid w:val="0031503F"/>
    <w:rsid w:val="0032328D"/>
    <w:rsid w:val="00325C0B"/>
    <w:rsid w:val="00327956"/>
    <w:rsid w:val="00332410"/>
    <w:rsid w:val="00343F2D"/>
    <w:rsid w:val="00344978"/>
    <w:rsid w:val="003466AF"/>
    <w:rsid w:val="00350507"/>
    <w:rsid w:val="00353887"/>
    <w:rsid w:val="00361F2D"/>
    <w:rsid w:val="00375D20"/>
    <w:rsid w:val="003777EA"/>
    <w:rsid w:val="003823FB"/>
    <w:rsid w:val="00386B14"/>
    <w:rsid w:val="00390919"/>
    <w:rsid w:val="003911D9"/>
    <w:rsid w:val="003A09F5"/>
    <w:rsid w:val="003A21CC"/>
    <w:rsid w:val="003A3F63"/>
    <w:rsid w:val="003B328A"/>
    <w:rsid w:val="003B737C"/>
    <w:rsid w:val="003C4BFC"/>
    <w:rsid w:val="003D2079"/>
    <w:rsid w:val="003D49A2"/>
    <w:rsid w:val="003D4A07"/>
    <w:rsid w:val="003D71B2"/>
    <w:rsid w:val="003E4228"/>
    <w:rsid w:val="003F2615"/>
    <w:rsid w:val="00407D75"/>
    <w:rsid w:val="00412809"/>
    <w:rsid w:val="00412F71"/>
    <w:rsid w:val="00417B36"/>
    <w:rsid w:val="00445A5D"/>
    <w:rsid w:val="00452886"/>
    <w:rsid w:val="00462DCF"/>
    <w:rsid w:val="00465185"/>
    <w:rsid w:val="00480088"/>
    <w:rsid w:val="004841F2"/>
    <w:rsid w:val="00484C0B"/>
    <w:rsid w:val="00490211"/>
    <w:rsid w:val="00490BA2"/>
    <w:rsid w:val="004934CB"/>
    <w:rsid w:val="0049604A"/>
    <w:rsid w:val="0049635F"/>
    <w:rsid w:val="004A3093"/>
    <w:rsid w:val="004A71E7"/>
    <w:rsid w:val="004A7EC8"/>
    <w:rsid w:val="004B1D90"/>
    <w:rsid w:val="004B3AFA"/>
    <w:rsid w:val="004C0F86"/>
    <w:rsid w:val="004C24B8"/>
    <w:rsid w:val="004C2703"/>
    <w:rsid w:val="004C4BB9"/>
    <w:rsid w:val="004D7631"/>
    <w:rsid w:val="004E46C0"/>
    <w:rsid w:val="004E4A0E"/>
    <w:rsid w:val="00500033"/>
    <w:rsid w:val="005009A6"/>
    <w:rsid w:val="005053A6"/>
    <w:rsid w:val="0050588E"/>
    <w:rsid w:val="005069E5"/>
    <w:rsid w:val="00506D3D"/>
    <w:rsid w:val="00520810"/>
    <w:rsid w:val="005307D9"/>
    <w:rsid w:val="00534F65"/>
    <w:rsid w:val="005371A1"/>
    <w:rsid w:val="005459C8"/>
    <w:rsid w:val="005475AA"/>
    <w:rsid w:val="005513C9"/>
    <w:rsid w:val="00555E8E"/>
    <w:rsid w:val="00556D65"/>
    <w:rsid w:val="00567373"/>
    <w:rsid w:val="00567DDC"/>
    <w:rsid w:val="005741A3"/>
    <w:rsid w:val="00575C83"/>
    <w:rsid w:val="005774A2"/>
    <w:rsid w:val="00580FA9"/>
    <w:rsid w:val="00581211"/>
    <w:rsid w:val="00592904"/>
    <w:rsid w:val="00592F71"/>
    <w:rsid w:val="00597E86"/>
    <w:rsid w:val="005A558C"/>
    <w:rsid w:val="005A5CA6"/>
    <w:rsid w:val="005B03F4"/>
    <w:rsid w:val="005B74B3"/>
    <w:rsid w:val="005B7A7F"/>
    <w:rsid w:val="005C08B0"/>
    <w:rsid w:val="005C3117"/>
    <w:rsid w:val="005D2A39"/>
    <w:rsid w:val="005D5932"/>
    <w:rsid w:val="005F3F73"/>
    <w:rsid w:val="0060086B"/>
    <w:rsid w:val="00606255"/>
    <w:rsid w:val="006074E3"/>
    <w:rsid w:val="00614D59"/>
    <w:rsid w:val="006213B9"/>
    <w:rsid w:val="00622BB6"/>
    <w:rsid w:val="00637827"/>
    <w:rsid w:val="0064241F"/>
    <w:rsid w:val="00653A27"/>
    <w:rsid w:val="00655A37"/>
    <w:rsid w:val="00674057"/>
    <w:rsid w:val="0067665C"/>
    <w:rsid w:val="0068072D"/>
    <w:rsid w:val="006840C3"/>
    <w:rsid w:val="00684273"/>
    <w:rsid w:val="00694398"/>
    <w:rsid w:val="006A34AA"/>
    <w:rsid w:val="006A497B"/>
    <w:rsid w:val="006B2D61"/>
    <w:rsid w:val="006B7A79"/>
    <w:rsid w:val="006C01F9"/>
    <w:rsid w:val="006C0AF0"/>
    <w:rsid w:val="006C1D2D"/>
    <w:rsid w:val="006C3293"/>
    <w:rsid w:val="006C49CF"/>
    <w:rsid w:val="006D6763"/>
    <w:rsid w:val="006E7A08"/>
    <w:rsid w:val="006E7E3B"/>
    <w:rsid w:val="0070199F"/>
    <w:rsid w:val="00703297"/>
    <w:rsid w:val="00703E49"/>
    <w:rsid w:val="007049DD"/>
    <w:rsid w:val="00704A86"/>
    <w:rsid w:val="00710635"/>
    <w:rsid w:val="00712EBA"/>
    <w:rsid w:val="00715ACD"/>
    <w:rsid w:val="00715C82"/>
    <w:rsid w:val="00721694"/>
    <w:rsid w:val="0072623E"/>
    <w:rsid w:val="00731408"/>
    <w:rsid w:val="007425F7"/>
    <w:rsid w:val="00745158"/>
    <w:rsid w:val="007562C1"/>
    <w:rsid w:val="007624D7"/>
    <w:rsid w:val="00773D0C"/>
    <w:rsid w:val="007808AF"/>
    <w:rsid w:val="00781B63"/>
    <w:rsid w:val="0078463F"/>
    <w:rsid w:val="00786CAC"/>
    <w:rsid w:val="00787C1C"/>
    <w:rsid w:val="00792C13"/>
    <w:rsid w:val="007A1B93"/>
    <w:rsid w:val="007C30E3"/>
    <w:rsid w:val="007C3C14"/>
    <w:rsid w:val="007D06F1"/>
    <w:rsid w:val="007D63A8"/>
    <w:rsid w:val="007E190C"/>
    <w:rsid w:val="007E1F77"/>
    <w:rsid w:val="007E3399"/>
    <w:rsid w:val="007F6022"/>
    <w:rsid w:val="007F731D"/>
    <w:rsid w:val="00801D24"/>
    <w:rsid w:val="00803AAE"/>
    <w:rsid w:val="0080561B"/>
    <w:rsid w:val="00814228"/>
    <w:rsid w:val="00815F22"/>
    <w:rsid w:val="0082377A"/>
    <w:rsid w:val="008259B5"/>
    <w:rsid w:val="008262C5"/>
    <w:rsid w:val="008269A8"/>
    <w:rsid w:val="00827BF1"/>
    <w:rsid w:val="008313B7"/>
    <w:rsid w:val="008319A5"/>
    <w:rsid w:val="00832A25"/>
    <w:rsid w:val="00835D39"/>
    <w:rsid w:val="008509A2"/>
    <w:rsid w:val="0085294D"/>
    <w:rsid w:val="008530DD"/>
    <w:rsid w:val="008612FD"/>
    <w:rsid w:val="008663FB"/>
    <w:rsid w:val="00872A21"/>
    <w:rsid w:val="00874D60"/>
    <w:rsid w:val="00875C49"/>
    <w:rsid w:val="008841DE"/>
    <w:rsid w:val="00884D6C"/>
    <w:rsid w:val="00885A1D"/>
    <w:rsid w:val="0089031D"/>
    <w:rsid w:val="00891492"/>
    <w:rsid w:val="008A2FA1"/>
    <w:rsid w:val="008B0321"/>
    <w:rsid w:val="008B325F"/>
    <w:rsid w:val="008B371F"/>
    <w:rsid w:val="008C306D"/>
    <w:rsid w:val="008C43DC"/>
    <w:rsid w:val="008E6AC6"/>
    <w:rsid w:val="008F0620"/>
    <w:rsid w:val="008F4F6B"/>
    <w:rsid w:val="00907D17"/>
    <w:rsid w:val="0091274F"/>
    <w:rsid w:val="009129EF"/>
    <w:rsid w:val="00924FCE"/>
    <w:rsid w:val="00925160"/>
    <w:rsid w:val="00927AE7"/>
    <w:rsid w:val="00950949"/>
    <w:rsid w:val="00957DDE"/>
    <w:rsid w:val="009670C6"/>
    <w:rsid w:val="009759EC"/>
    <w:rsid w:val="00980D88"/>
    <w:rsid w:val="00981BE4"/>
    <w:rsid w:val="00984700"/>
    <w:rsid w:val="00992174"/>
    <w:rsid w:val="009C3DB4"/>
    <w:rsid w:val="009C77FF"/>
    <w:rsid w:val="009D72DA"/>
    <w:rsid w:val="009E2C8F"/>
    <w:rsid w:val="009E3AA9"/>
    <w:rsid w:val="009E5D4D"/>
    <w:rsid w:val="009E69B8"/>
    <w:rsid w:val="009F3103"/>
    <w:rsid w:val="009F6CAC"/>
    <w:rsid w:val="00A104B2"/>
    <w:rsid w:val="00A26947"/>
    <w:rsid w:val="00A31AC8"/>
    <w:rsid w:val="00A33DF3"/>
    <w:rsid w:val="00A44977"/>
    <w:rsid w:val="00A46385"/>
    <w:rsid w:val="00A519E9"/>
    <w:rsid w:val="00A674AA"/>
    <w:rsid w:val="00A70220"/>
    <w:rsid w:val="00A7574C"/>
    <w:rsid w:val="00A77EFE"/>
    <w:rsid w:val="00A8358F"/>
    <w:rsid w:val="00A87AD3"/>
    <w:rsid w:val="00A90079"/>
    <w:rsid w:val="00A928D3"/>
    <w:rsid w:val="00AA2819"/>
    <w:rsid w:val="00AA63FE"/>
    <w:rsid w:val="00AA6ED5"/>
    <w:rsid w:val="00AB22DD"/>
    <w:rsid w:val="00AB61B2"/>
    <w:rsid w:val="00AC212E"/>
    <w:rsid w:val="00AC2E86"/>
    <w:rsid w:val="00AD3FA8"/>
    <w:rsid w:val="00AD70F0"/>
    <w:rsid w:val="00AE2E5D"/>
    <w:rsid w:val="00AE2F96"/>
    <w:rsid w:val="00AE6044"/>
    <w:rsid w:val="00AF09E2"/>
    <w:rsid w:val="00AF33B1"/>
    <w:rsid w:val="00B12F46"/>
    <w:rsid w:val="00B1312F"/>
    <w:rsid w:val="00B21C85"/>
    <w:rsid w:val="00B2450E"/>
    <w:rsid w:val="00B35CA3"/>
    <w:rsid w:val="00B40919"/>
    <w:rsid w:val="00B50B45"/>
    <w:rsid w:val="00B5361B"/>
    <w:rsid w:val="00B55820"/>
    <w:rsid w:val="00B63573"/>
    <w:rsid w:val="00B65EFA"/>
    <w:rsid w:val="00B74571"/>
    <w:rsid w:val="00B75AC7"/>
    <w:rsid w:val="00B873CA"/>
    <w:rsid w:val="00B87CC4"/>
    <w:rsid w:val="00B87ECC"/>
    <w:rsid w:val="00B9562B"/>
    <w:rsid w:val="00BA031A"/>
    <w:rsid w:val="00BA5DF2"/>
    <w:rsid w:val="00BB03D3"/>
    <w:rsid w:val="00BB3F14"/>
    <w:rsid w:val="00BB43CC"/>
    <w:rsid w:val="00BC06F3"/>
    <w:rsid w:val="00BE0E36"/>
    <w:rsid w:val="00BE4973"/>
    <w:rsid w:val="00BF106B"/>
    <w:rsid w:val="00BF76C8"/>
    <w:rsid w:val="00C050AF"/>
    <w:rsid w:val="00C054F1"/>
    <w:rsid w:val="00C05A57"/>
    <w:rsid w:val="00C11FC7"/>
    <w:rsid w:val="00C213CD"/>
    <w:rsid w:val="00C22B9C"/>
    <w:rsid w:val="00C37DF1"/>
    <w:rsid w:val="00C410F8"/>
    <w:rsid w:val="00C453A0"/>
    <w:rsid w:val="00C464C6"/>
    <w:rsid w:val="00C613DC"/>
    <w:rsid w:val="00C62806"/>
    <w:rsid w:val="00C73577"/>
    <w:rsid w:val="00C75992"/>
    <w:rsid w:val="00C80A8C"/>
    <w:rsid w:val="00C85C85"/>
    <w:rsid w:val="00C92949"/>
    <w:rsid w:val="00C95FA8"/>
    <w:rsid w:val="00CA6A46"/>
    <w:rsid w:val="00CB16B4"/>
    <w:rsid w:val="00CC5825"/>
    <w:rsid w:val="00CE6740"/>
    <w:rsid w:val="00CF114C"/>
    <w:rsid w:val="00CF2926"/>
    <w:rsid w:val="00D1058D"/>
    <w:rsid w:val="00D24BA8"/>
    <w:rsid w:val="00D44E36"/>
    <w:rsid w:val="00D55700"/>
    <w:rsid w:val="00D55C64"/>
    <w:rsid w:val="00D61EC2"/>
    <w:rsid w:val="00D65174"/>
    <w:rsid w:val="00D81787"/>
    <w:rsid w:val="00D81C93"/>
    <w:rsid w:val="00DB2D8A"/>
    <w:rsid w:val="00DB511F"/>
    <w:rsid w:val="00DB6D08"/>
    <w:rsid w:val="00DC03F8"/>
    <w:rsid w:val="00DC0530"/>
    <w:rsid w:val="00DC7987"/>
    <w:rsid w:val="00DD24BB"/>
    <w:rsid w:val="00DD6F0C"/>
    <w:rsid w:val="00DE0CC9"/>
    <w:rsid w:val="00DE5BBF"/>
    <w:rsid w:val="00DF02EB"/>
    <w:rsid w:val="00E135E5"/>
    <w:rsid w:val="00E2157A"/>
    <w:rsid w:val="00E23917"/>
    <w:rsid w:val="00E26080"/>
    <w:rsid w:val="00E32406"/>
    <w:rsid w:val="00E340E3"/>
    <w:rsid w:val="00E35C87"/>
    <w:rsid w:val="00E4009A"/>
    <w:rsid w:val="00E41FBE"/>
    <w:rsid w:val="00E470B6"/>
    <w:rsid w:val="00E50D65"/>
    <w:rsid w:val="00E60DE2"/>
    <w:rsid w:val="00E82573"/>
    <w:rsid w:val="00E827C9"/>
    <w:rsid w:val="00E82996"/>
    <w:rsid w:val="00E864DC"/>
    <w:rsid w:val="00E91314"/>
    <w:rsid w:val="00E94546"/>
    <w:rsid w:val="00E95B3E"/>
    <w:rsid w:val="00EA1101"/>
    <w:rsid w:val="00EA2FC2"/>
    <w:rsid w:val="00EA4524"/>
    <w:rsid w:val="00EA5A7D"/>
    <w:rsid w:val="00EB265B"/>
    <w:rsid w:val="00EB4529"/>
    <w:rsid w:val="00EB70F1"/>
    <w:rsid w:val="00EC400C"/>
    <w:rsid w:val="00ED014C"/>
    <w:rsid w:val="00ED1E55"/>
    <w:rsid w:val="00ED63BB"/>
    <w:rsid w:val="00EE2582"/>
    <w:rsid w:val="00EE41F5"/>
    <w:rsid w:val="00EE687E"/>
    <w:rsid w:val="00EE687F"/>
    <w:rsid w:val="00EF3671"/>
    <w:rsid w:val="00F00FF8"/>
    <w:rsid w:val="00F023B9"/>
    <w:rsid w:val="00F03C8F"/>
    <w:rsid w:val="00F12611"/>
    <w:rsid w:val="00F14B72"/>
    <w:rsid w:val="00F15CA5"/>
    <w:rsid w:val="00F20BB6"/>
    <w:rsid w:val="00F23EFE"/>
    <w:rsid w:val="00F277E8"/>
    <w:rsid w:val="00F32474"/>
    <w:rsid w:val="00F36DA4"/>
    <w:rsid w:val="00F43E5F"/>
    <w:rsid w:val="00F4446F"/>
    <w:rsid w:val="00F533C0"/>
    <w:rsid w:val="00F570AE"/>
    <w:rsid w:val="00F60464"/>
    <w:rsid w:val="00F61185"/>
    <w:rsid w:val="00F61F35"/>
    <w:rsid w:val="00F70AF9"/>
    <w:rsid w:val="00F75109"/>
    <w:rsid w:val="00F830E9"/>
    <w:rsid w:val="00F85712"/>
    <w:rsid w:val="00F91CFA"/>
    <w:rsid w:val="00F95C47"/>
    <w:rsid w:val="00F9654D"/>
    <w:rsid w:val="00FA1133"/>
    <w:rsid w:val="00FA753B"/>
    <w:rsid w:val="00FB0CC9"/>
    <w:rsid w:val="00FB1BCF"/>
    <w:rsid w:val="00FC5AC3"/>
    <w:rsid w:val="00FD018C"/>
    <w:rsid w:val="00FD24AF"/>
    <w:rsid w:val="00FD4738"/>
    <w:rsid w:val="00FE3562"/>
    <w:rsid w:val="00FF0EF3"/>
    <w:rsid w:val="00FF177C"/>
    <w:rsid w:val="00FF3361"/>
    <w:rsid w:val="06A81255"/>
    <w:rsid w:val="65928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D52A"/>
  <w15:chartTrackingRefBased/>
  <w15:docId w15:val="{C530FC94-93A5-4BD4-A6E8-18965818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164F35"/>
    <w:pPr>
      <w:keepNext/>
      <w:keepLines/>
      <w:spacing w:before="40" w:after="0" w:line="240" w:lineRule="auto"/>
      <w:outlineLvl w:val="3"/>
    </w:pPr>
    <w:rPr>
      <w:rFonts w:ascii="Times New Roman" w:eastAsiaTheme="majorEastAsia" w:hAnsi="Times New Roman"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F6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lockText">
    <w:name w:val="Block Text"/>
    <w:basedOn w:val="Normal"/>
    <w:uiPriority w:val="99"/>
    <w:semiHidden/>
    <w:unhideWhenUsed/>
    <w:rsid w:val="008F4F6B"/>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CommentReference">
    <w:name w:val="annotation reference"/>
    <w:basedOn w:val="DefaultParagraphFont"/>
    <w:uiPriority w:val="99"/>
    <w:semiHidden/>
    <w:unhideWhenUsed/>
    <w:rsid w:val="008F4F6B"/>
    <w:rPr>
      <w:sz w:val="16"/>
      <w:szCs w:val="16"/>
    </w:rPr>
  </w:style>
  <w:style w:type="paragraph" w:styleId="CommentText">
    <w:name w:val="annotation text"/>
    <w:basedOn w:val="Normal"/>
    <w:link w:val="CommentTextChar"/>
    <w:uiPriority w:val="99"/>
    <w:unhideWhenUsed/>
    <w:rsid w:val="008F4F6B"/>
    <w:pPr>
      <w:spacing w:line="240" w:lineRule="auto"/>
    </w:pPr>
    <w:rPr>
      <w:sz w:val="20"/>
      <w:szCs w:val="20"/>
    </w:rPr>
  </w:style>
  <w:style w:type="character" w:customStyle="1" w:styleId="CommentTextChar">
    <w:name w:val="Comment Text Char"/>
    <w:basedOn w:val="DefaultParagraphFont"/>
    <w:link w:val="CommentText"/>
    <w:uiPriority w:val="99"/>
    <w:rsid w:val="008F4F6B"/>
    <w:rPr>
      <w:sz w:val="20"/>
      <w:szCs w:val="20"/>
    </w:rPr>
  </w:style>
  <w:style w:type="paragraph" w:styleId="CommentSubject">
    <w:name w:val="annotation subject"/>
    <w:basedOn w:val="CommentText"/>
    <w:next w:val="CommentText"/>
    <w:link w:val="CommentSubjectChar"/>
    <w:uiPriority w:val="99"/>
    <w:semiHidden/>
    <w:unhideWhenUsed/>
    <w:rsid w:val="008F4F6B"/>
    <w:rPr>
      <w:b/>
      <w:bCs/>
    </w:rPr>
  </w:style>
  <w:style w:type="character" w:customStyle="1" w:styleId="CommentSubjectChar">
    <w:name w:val="Comment Subject Char"/>
    <w:basedOn w:val="CommentTextChar"/>
    <w:link w:val="CommentSubject"/>
    <w:uiPriority w:val="99"/>
    <w:semiHidden/>
    <w:rsid w:val="008F4F6B"/>
    <w:rPr>
      <w:b/>
      <w:bCs/>
      <w:sz w:val="20"/>
      <w:szCs w:val="20"/>
    </w:rPr>
  </w:style>
  <w:style w:type="paragraph" w:styleId="BalloonText">
    <w:name w:val="Balloon Text"/>
    <w:basedOn w:val="Normal"/>
    <w:link w:val="BalloonTextChar"/>
    <w:uiPriority w:val="99"/>
    <w:semiHidden/>
    <w:unhideWhenUsed/>
    <w:rsid w:val="008F4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F6B"/>
    <w:rPr>
      <w:rFonts w:ascii="Segoe UI" w:hAnsi="Segoe UI" w:cs="Segoe UI"/>
      <w:sz w:val="18"/>
      <w:szCs w:val="18"/>
    </w:rPr>
  </w:style>
  <w:style w:type="character" w:styleId="Emphasis">
    <w:name w:val="Emphasis"/>
    <w:basedOn w:val="DefaultParagraphFont"/>
    <w:uiPriority w:val="20"/>
    <w:qFormat/>
    <w:rsid w:val="00164F35"/>
    <w:rPr>
      <w:i/>
      <w:iCs/>
    </w:rPr>
  </w:style>
  <w:style w:type="character" w:customStyle="1" w:styleId="Heading4Char">
    <w:name w:val="Heading 4 Char"/>
    <w:basedOn w:val="DefaultParagraphFont"/>
    <w:link w:val="Heading4"/>
    <w:uiPriority w:val="9"/>
    <w:rsid w:val="00164F35"/>
    <w:rPr>
      <w:rFonts w:ascii="Times New Roman" w:eastAsiaTheme="majorEastAsia" w:hAnsi="Times New Roman" w:cstheme="majorBidi"/>
      <w:b/>
      <w:iCs/>
      <w:sz w:val="24"/>
      <w:szCs w:val="24"/>
    </w:rPr>
  </w:style>
  <w:style w:type="character" w:styleId="Hyperlink">
    <w:name w:val="Hyperlink"/>
    <w:basedOn w:val="DefaultParagraphFont"/>
    <w:uiPriority w:val="99"/>
    <w:unhideWhenUsed/>
    <w:rsid w:val="00164F35"/>
    <w:rPr>
      <w:color w:val="0000FF"/>
      <w:u w:val="single"/>
    </w:rPr>
  </w:style>
  <w:style w:type="character" w:styleId="Strong">
    <w:name w:val="Strong"/>
    <w:basedOn w:val="DefaultParagraphFont"/>
    <w:uiPriority w:val="22"/>
    <w:qFormat/>
    <w:rsid w:val="00164F35"/>
    <w:rPr>
      <w:b/>
      <w:bCs/>
    </w:rPr>
  </w:style>
  <w:style w:type="character" w:styleId="FollowedHyperlink">
    <w:name w:val="FollowedHyperlink"/>
    <w:basedOn w:val="DefaultParagraphFont"/>
    <w:uiPriority w:val="99"/>
    <w:semiHidden/>
    <w:unhideWhenUsed/>
    <w:rsid w:val="00E95B3E"/>
    <w:rPr>
      <w:color w:val="954F72" w:themeColor="followedHyperlink"/>
      <w:u w:val="single"/>
    </w:rPr>
  </w:style>
  <w:style w:type="paragraph" w:styleId="ListParagraph">
    <w:name w:val="List Paragraph"/>
    <w:basedOn w:val="Normal"/>
    <w:uiPriority w:val="34"/>
    <w:qFormat/>
    <w:rsid w:val="00361F2D"/>
    <w:pPr>
      <w:spacing w:after="200" w:line="276" w:lineRule="auto"/>
      <w:ind w:left="720"/>
      <w:contextualSpacing/>
    </w:pPr>
  </w:style>
  <w:style w:type="paragraph" w:styleId="FootnoteText">
    <w:name w:val="footnote text"/>
    <w:basedOn w:val="Normal"/>
    <w:link w:val="FootnoteTextChar"/>
    <w:semiHidden/>
    <w:unhideWhenUsed/>
    <w:rsid w:val="008262C5"/>
    <w:pPr>
      <w:spacing w:after="0" w:line="240" w:lineRule="auto"/>
    </w:pPr>
    <w:rPr>
      <w:sz w:val="20"/>
      <w:szCs w:val="20"/>
    </w:rPr>
  </w:style>
  <w:style w:type="character" w:customStyle="1" w:styleId="FootnoteTextChar">
    <w:name w:val="Footnote Text Char"/>
    <w:basedOn w:val="DefaultParagraphFont"/>
    <w:link w:val="FootnoteText"/>
    <w:semiHidden/>
    <w:rsid w:val="008262C5"/>
    <w:rPr>
      <w:sz w:val="20"/>
      <w:szCs w:val="20"/>
    </w:rPr>
  </w:style>
  <w:style w:type="character" w:styleId="FootnoteReference">
    <w:name w:val="footnote reference"/>
    <w:basedOn w:val="DefaultParagraphFont"/>
    <w:semiHidden/>
    <w:unhideWhenUsed/>
    <w:rsid w:val="008262C5"/>
    <w:rPr>
      <w:vertAlign w:val="superscript"/>
    </w:rPr>
  </w:style>
  <w:style w:type="table" w:styleId="TableGrid">
    <w:name w:val="Table Grid"/>
    <w:basedOn w:val="TableNormal"/>
    <w:uiPriority w:val="39"/>
    <w:rsid w:val="00C3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2848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5">
    <w:name w:val="List Table 3 Accent 5"/>
    <w:basedOn w:val="TableNormal"/>
    <w:uiPriority w:val="48"/>
    <w:rsid w:val="0028481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EndnoteText">
    <w:name w:val="endnote text"/>
    <w:basedOn w:val="Normal"/>
    <w:link w:val="EndnoteTextChar"/>
    <w:uiPriority w:val="99"/>
    <w:semiHidden/>
    <w:unhideWhenUsed/>
    <w:rsid w:val="00312A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2A19"/>
    <w:rPr>
      <w:sz w:val="20"/>
      <w:szCs w:val="20"/>
    </w:rPr>
  </w:style>
  <w:style w:type="character" w:styleId="EndnoteReference">
    <w:name w:val="endnote reference"/>
    <w:basedOn w:val="DefaultParagraphFont"/>
    <w:uiPriority w:val="99"/>
    <w:semiHidden/>
    <w:unhideWhenUsed/>
    <w:rsid w:val="00312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751812">
      <w:bodyDiv w:val="1"/>
      <w:marLeft w:val="0"/>
      <w:marRight w:val="0"/>
      <w:marTop w:val="0"/>
      <w:marBottom w:val="0"/>
      <w:divBdr>
        <w:top w:val="none" w:sz="0" w:space="0" w:color="auto"/>
        <w:left w:val="none" w:sz="0" w:space="0" w:color="auto"/>
        <w:bottom w:val="none" w:sz="0" w:space="0" w:color="auto"/>
        <w:right w:val="none" w:sz="0" w:space="0" w:color="auto"/>
      </w:divBdr>
    </w:div>
    <w:div w:id="17000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orldmanagementsurvey.org/survey-data/methodology/" TargetMode="External"/><Relationship Id="rId7" Type="http://schemas.openxmlformats.org/officeDocument/2006/relationships/hyperlink" Target="https://www.bls.gov/ooh/management/top-executives.htm" TargetMode="External"/><Relationship Id="rId2" Type="http://schemas.openxmlformats.org/officeDocument/2006/relationships/hyperlink" Target="https://www.census.gov/programs-surveys/mops.html" TargetMode="External"/><Relationship Id="rId1" Type="http://schemas.openxmlformats.org/officeDocument/2006/relationships/hyperlink" Target="https://www.census.gov/programs-surveys/mops/technical-documentation/questionnaires.html" TargetMode="External"/><Relationship Id="rId6" Type="http://schemas.openxmlformats.org/officeDocument/2006/relationships/hyperlink" Target="https://worldmanagementsurvey.org/academic-research/healthcare/" TargetMode="External"/><Relationship Id="rId5" Type="http://schemas.openxmlformats.org/officeDocument/2006/relationships/hyperlink" Target="https://worldmanagementsurvey.org/survey-data/methodology/" TargetMode="External"/><Relationship Id="rId4" Type="http://schemas.openxmlformats.org/officeDocument/2006/relationships/hyperlink" Target="https://worldmanagementsurvey.org/academic-research/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FBC5-B7FD-4EA3-A9E5-94C7E5AB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3716</Words>
  <Characters>21183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Savita Sathya (CENSUS/EWD FED)</dc:creator>
  <cp:keywords/>
  <dc:description/>
  <cp:lastModifiedBy>Thomas J Smith (CENSUS/EMD FED)</cp:lastModifiedBy>
  <cp:revision>2</cp:revision>
  <dcterms:created xsi:type="dcterms:W3CDTF">2021-02-22T16:28:00Z</dcterms:created>
  <dcterms:modified xsi:type="dcterms:W3CDTF">2021-02-22T16:28:00Z</dcterms:modified>
</cp:coreProperties>
</file>