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71BC" w:rsidR="001A7555" w:rsidP="005B2766" w:rsidRDefault="001A7555">
      <w:pPr>
        <w:rPr>
          <w:b/>
          <w:noProof/>
          <w:sz w:val="22"/>
          <w:szCs w:val="22"/>
        </w:rPr>
      </w:pPr>
      <w:r w:rsidRPr="00E771BC">
        <w:rPr>
          <w:b/>
          <w:sz w:val="22"/>
          <w:szCs w:val="22"/>
        </w:rPr>
        <w:t>Section</w:t>
      </w:r>
      <w:r w:rsidRPr="00E771BC">
        <w:rPr>
          <w:b/>
          <w:noProof/>
          <w:sz w:val="22"/>
          <w:szCs w:val="22"/>
        </w:rPr>
        <w:t xml:space="preserve"> 90.621,</w:t>
      </w:r>
      <w:r w:rsidR="00A9278C">
        <w:rPr>
          <w:b/>
          <w:noProof/>
          <w:sz w:val="22"/>
          <w:szCs w:val="22"/>
        </w:rPr>
        <w:t xml:space="preserve"> </w:t>
      </w:r>
      <w:r w:rsidRPr="00E771BC">
        <w:rPr>
          <w:b/>
          <w:noProof/>
          <w:sz w:val="22"/>
          <w:szCs w:val="22"/>
        </w:rPr>
        <w:t xml:space="preserve">Selection and Assignment of Frequencies and </w:t>
      </w:r>
      <w:r w:rsidRPr="00E771BC">
        <w:rPr>
          <w:b/>
          <w:noProof/>
          <w:sz w:val="22"/>
          <w:szCs w:val="22"/>
        </w:rPr>
        <w:tab/>
      </w:r>
      <w:r w:rsidRPr="00E771BC">
        <w:rPr>
          <w:b/>
          <w:noProof/>
          <w:sz w:val="22"/>
          <w:szCs w:val="22"/>
        </w:rPr>
        <w:tab/>
      </w:r>
      <w:r w:rsidRPr="00E771BC">
        <w:rPr>
          <w:b/>
          <w:noProof/>
          <w:sz w:val="22"/>
          <w:szCs w:val="22"/>
        </w:rPr>
        <w:tab/>
      </w:r>
      <w:r w:rsidRPr="00E771BC">
        <w:rPr>
          <w:b/>
          <w:sz w:val="22"/>
          <w:szCs w:val="22"/>
        </w:rPr>
        <w:t>3060-0441</w:t>
      </w:r>
    </w:p>
    <w:p w:rsidRPr="00E771BC" w:rsidR="001A2DEC" w:rsidP="005B2766" w:rsidRDefault="001A7555">
      <w:pPr>
        <w:rPr>
          <w:b/>
          <w:sz w:val="22"/>
          <w:szCs w:val="22"/>
        </w:rPr>
      </w:pPr>
      <w:r w:rsidRPr="00E771BC">
        <w:rPr>
          <w:b/>
          <w:noProof/>
          <w:sz w:val="22"/>
          <w:szCs w:val="22"/>
        </w:rPr>
        <w:t>Section 90.693, Grandfathering Provisions for Incumbent Licensees</w:t>
      </w:r>
      <w:r w:rsidRPr="00E771BC">
        <w:rPr>
          <w:b/>
          <w:sz w:val="22"/>
          <w:szCs w:val="22"/>
        </w:rPr>
        <w:t xml:space="preserve">                </w:t>
      </w:r>
      <w:r w:rsidR="00882E48">
        <w:rPr>
          <w:b/>
          <w:sz w:val="22"/>
          <w:szCs w:val="22"/>
        </w:rPr>
        <w:t>January 2021</w:t>
      </w:r>
    </w:p>
    <w:p w:rsidRPr="007A5264" w:rsidR="001A2DEC" w:rsidP="001A2DEC" w:rsidRDefault="001A2DEC">
      <w:pPr>
        <w:jc w:val="right"/>
        <w:rPr>
          <w:sz w:val="22"/>
          <w:szCs w:val="22"/>
        </w:rPr>
      </w:pPr>
    </w:p>
    <w:p w:rsidRPr="007A5264" w:rsidR="001A2DEC" w:rsidP="001A2DEC" w:rsidRDefault="001A2DEC">
      <w:pPr>
        <w:jc w:val="center"/>
      </w:pPr>
      <w:r w:rsidRPr="007A5264">
        <w:rPr>
          <w:sz w:val="22"/>
          <w:szCs w:val="22"/>
        </w:rPr>
        <w:t>SUPPORTING STAT</w:t>
      </w:r>
      <w:r w:rsidRPr="007A5264" w:rsidR="006B397A">
        <w:rPr>
          <w:sz w:val="22"/>
          <w:szCs w:val="22"/>
        </w:rPr>
        <w:t>E</w:t>
      </w:r>
      <w:r w:rsidRPr="007A5264">
        <w:rPr>
          <w:sz w:val="22"/>
          <w:szCs w:val="22"/>
        </w:rPr>
        <w:t>MENT</w:t>
      </w:r>
    </w:p>
    <w:p w:rsidR="00DC4859" w:rsidP="001A2DEC" w:rsidRDefault="00DC4859">
      <w:pPr>
        <w:jc w:val="center"/>
      </w:pPr>
    </w:p>
    <w:p w:rsidR="00F40DBC" w:rsidP="00F40DBC" w:rsidRDefault="001A2DEC">
      <w:pPr>
        <w:pStyle w:val="Heading1"/>
        <w:numPr>
          <w:ilvl w:val="0"/>
          <w:numId w:val="0"/>
        </w:numPr>
        <w:ind w:firstLine="360"/>
        <w:rPr>
          <w:b/>
        </w:rPr>
      </w:pPr>
      <w:r>
        <w:rPr>
          <w:b/>
        </w:rPr>
        <w:t xml:space="preserve">A.  </w:t>
      </w:r>
      <w:r w:rsidRPr="00CB5D75" w:rsidR="00C17676">
        <w:rPr>
          <w:b/>
        </w:rPr>
        <w:t>Justification</w:t>
      </w:r>
      <w:r w:rsidR="00F34111">
        <w:rPr>
          <w:b/>
        </w:rPr>
        <w:t>:</w:t>
      </w:r>
    </w:p>
    <w:p w:rsidR="00F40DBC" w:rsidP="00F40DBC" w:rsidRDefault="00F40DBC">
      <w:pPr>
        <w:pStyle w:val="Heading1"/>
        <w:numPr>
          <w:ilvl w:val="0"/>
          <w:numId w:val="0"/>
        </w:numPr>
        <w:ind w:firstLine="360"/>
        <w:rPr>
          <w:b/>
        </w:rPr>
      </w:pPr>
    </w:p>
    <w:p w:rsidRPr="00F40DBC" w:rsidR="00AB1623" w:rsidP="00F40DBC" w:rsidRDefault="005E5B5F">
      <w:pPr>
        <w:pStyle w:val="Heading1"/>
        <w:numPr>
          <w:ilvl w:val="0"/>
          <w:numId w:val="0"/>
        </w:numPr>
        <w:ind w:firstLine="360"/>
        <w:rPr>
          <w:b/>
          <w:u w:val="none"/>
        </w:rPr>
      </w:pPr>
      <w:r>
        <w:rPr>
          <w:szCs w:val="22"/>
          <w:u w:val="none"/>
        </w:rPr>
        <w:t xml:space="preserve">      </w:t>
      </w:r>
      <w:r w:rsidR="00F40DBC">
        <w:rPr>
          <w:szCs w:val="22"/>
          <w:u w:val="none"/>
        </w:rPr>
        <w:t>1</w:t>
      </w:r>
      <w:r>
        <w:rPr>
          <w:szCs w:val="22"/>
          <w:u w:val="none"/>
        </w:rPr>
        <w:t>. In</w:t>
      </w:r>
      <w:r w:rsidRPr="00F40DBC" w:rsidR="00AB1623">
        <w:rPr>
          <w:szCs w:val="22"/>
          <w:u w:val="none"/>
        </w:rPr>
        <w:t xml:space="preserve"> the </w:t>
      </w:r>
      <w:r w:rsidRPr="00F40DBC" w:rsidR="00AB1623">
        <w:rPr>
          <w:i/>
          <w:szCs w:val="22"/>
          <w:u w:val="none"/>
        </w:rPr>
        <w:t>Memorandum Opinion and Order on Reconsideration</w:t>
      </w:r>
      <w:r w:rsidRPr="00F40DBC" w:rsidR="00AB1623">
        <w:rPr>
          <w:szCs w:val="22"/>
          <w:u w:val="none"/>
        </w:rPr>
        <w:t xml:space="preserve">, published at 64 FR 71042 </w:t>
      </w:r>
      <w:r w:rsidR="00F40DBC">
        <w:rPr>
          <w:szCs w:val="22"/>
          <w:u w:val="none"/>
        </w:rPr>
        <w:tab/>
      </w:r>
      <w:r w:rsidRPr="00F40DBC" w:rsidR="00AB1623">
        <w:rPr>
          <w:szCs w:val="22"/>
          <w:u w:val="none"/>
        </w:rPr>
        <w:t xml:space="preserve">(Dec. 20, 1999), the Commission completed the implementation of a new licensing </w:t>
      </w:r>
      <w:r w:rsidR="00F40DBC">
        <w:rPr>
          <w:szCs w:val="22"/>
          <w:u w:val="none"/>
        </w:rPr>
        <w:tab/>
      </w:r>
      <w:r w:rsidRPr="00F40DBC" w:rsidR="00AB1623">
        <w:rPr>
          <w:szCs w:val="22"/>
          <w:u w:val="none"/>
        </w:rPr>
        <w:t xml:space="preserve">framework for the 800 MHz Specialized Mobile Radio Service (SMR).  Specifically, </w:t>
      </w:r>
      <w:r w:rsidR="00F40DBC">
        <w:rPr>
          <w:szCs w:val="22"/>
          <w:u w:val="none"/>
        </w:rPr>
        <w:tab/>
      </w:r>
      <w:r w:rsidRPr="00F40DBC" w:rsidR="00AB1623">
        <w:rPr>
          <w:szCs w:val="22"/>
          <w:u w:val="none"/>
        </w:rPr>
        <w:t xml:space="preserve">among other things, the Commission clarified its rules concerning system separation, the </w:t>
      </w:r>
      <w:r w:rsidR="00F40DBC">
        <w:rPr>
          <w:szCs w:val="22"/>
          <w:u w:val="none"/>
        </w:rPr>
        <w:tab/>
      </w:r>
      <w:r w:rsidRPr="00F40DBC" w:rsidR="00AB1623">
        <w:rPr>
          <w:szCs w:val="22"/>
          <w:u w:val="none"/>
        </w:rPr>
        <w:t xml:space="preserve">channel plan for General Category channels, the modification of incumbent licensee </w:t>
      </w:r>
      <w:r w:rsidR="00F40DBC">
        <w:rPr>
          <w:szCs w:val="22"/>
          <w:u w:val="none"/>
        </w:rPr>
        <w:tab/>
      </w:r>
      <w:r w:rsidRPr="00F40DBC" w:rsidR="00AB1623">
        <w:rPr>
          <w:szCs w:val="22"/>
          <w:u w:val="none"/>
        </w:rPr>
        <w:t xml:space="preserve">systems, and the mandatory relocation of incumbent licensee systems from the upper 200 </w:t>
      </w:r>
      <w:r>
        <w:rPr>
          <w:szCs w:val="22"/>
          <w:u w:val="none"/>
        </w:rPr>
        <w:tab/>
      </w:r>
      <w:r w:rsidRPr="00F40DBC" w:rsidR="00AB1623">
        <w:rPr>
          <w:szCs w:val="22"/>
          <w:u w:val="none"/>
        </w:rPr>
        <w:t xml:space="preserve">channels to the lower 230 channels. The Commission also retained its current </w:t>
      </w:r>
      <w:r>
        <w:rPr>
          <w:szCs w:val="22"/>
          <w:u w:val="none"/>
        </w:rPr>
        <w:tab/>
      </w:r>
      <w:r w:rsidRPr="00F40DBC" w:rsidR="00AB1623">
        <w:rPr>
          <w:szCs w:val="22"/>
          <w:u w:val="none"/>
        </w:rPr>
        <w:t xml:space="preserve">construction and coverage requirements at that time, and clarified its rules concerning </w:t>
      </w:r>
      <w:r>
        <w:rPr>
          <w:szCs w:val="22"/>
          <w:u w:val="none"/>
        </w:rPr>
        <w:tab/>
      </w:r>
      <w:r w:rsidRPr="00F40DBC" w:rsidR="00AB1623">
        <w:rPr>
          <w:szCs w:val="22"/>
          <w:u w:val="none"/>
        </w:rPr>
        <w:t xml:space="preserve">Commission-channel interference protection in the 800 MHz and 900 MHz SMR </w:t>
      </w:r>
      <w:r>
        <w:rPr>
          <w:szCs w:val="22"/>
          <w:u w:val="none"/>
        </w:rPr>
        <w:tab/>
      </w:r>
      <w:r w:rsidRPr="00F40DBC" w:rsidR="00AB1623">
        <w:rPr>
          <w:szCs w:val="22"/>
          <w:u w:val="none"/>
        </w:rPr>
        <w:t>services.</w:t>
      </w:r>
    </w:p>
    <w:p w:rsidR="005620BD" w:rsidP="00695C47" w:rsidRDefault="005620BD">
      <w:pPr>
        <w:pStyle w:val="ParaNum"/>
        <w:numPr>
          <w:ilvl w:val="0"/>
          <w:numId w:val="0"/>
        </w:numPr>
        <w:tabs>
          <w:tab w:val="clear" w:pos="1440"/>
          <w:tab w:val="left" w:pos="360"/>
        </w:tabs>
        <w:ind w:left="720"/>
        <w:rPr>
          <w:szCs w:val="22"/>
        </w:rPr>
      </w:pPr>
    </w:p>
    <w:p w:rsidR="00440EB3" w:rsidP="00695C47" w:rsidRDefault="00AB1623">
      <w:pPr>
        <w:pStyle w:val="ParaNum"/>
        <w:numPr>
          <w:ilvl w:val="0"/>
          <w:numId w:val="0"/>
        </w:numPr>
        <w:tabs>
          <w:tab w:val="clear" w:pos="1440"/>
          <w:tab w:val="left" w:pos="360"/>
        </w:tabs>
        <w:ind w:left="720"/>
        <w:rPr>
          <w:szCs w:val="22"/>
        </w:rPr>
      </w:pPr>
      <w:r>
        <w:rPr>
          <w:szCs w:val="22"/>
        </w:rPr>
        <w:t>With regard to system separation, i</w:t>
      </w:r>
      <w:r w:rsidRPr="008B62B1">
        <w:rPr>
          <w:szCs w:val="22"/>
        </w:rPr>
        <w:t>n general, section 90.621(b) requires a fixed mileage separation of 113 km (70 miles) between co-channel 800 and 900 MHz systems.</w:t>
      </w:r>
      <w:r>
        <w:rPr>
          <w:szCs w:val="22"/>
        </w:rPr>
        <w:t xml:space="preserve">  </w:t>
      </w:r>
      <w:r w:rsidRPr="008B62B1">
        <w:rPr>
          <w:szCs w:val="22"/>
        </w:rPr>
        <w:t xml:space="preserve">However, section 90.621(b)(4) provides that co-channel stations may be separated by less than 113 km (70 miles) by meeting certain transmitter ERP and antenna height criteria, as listed in the Commission’s “Short-Spacing Separation Table.”  Previously, engineering showings were submitted with applications demonstrating that a certain addition or modification would not cause interference to other licensees, even though the stations would be spaced less than 70 mi (113 km) apart.  Currently, stations meeting the parameters set forth in the Short-Spacing Separation Table need not submit an engineering analysis demonstrating interference protection to co-channel licensees.  </w:t>
      </w:r>
    </w:p>
    <w:p w:rsidR="00AB1623" w:rsidP="00695C47" w:rsidRDefault="00AB1623">
      <w:pPr>
        <w:pStyle w:val="ParaNum"/>
        <w:numPr>
          <w:ilvl w:val="0"/>
          <w:numId w:val="0"/>
        </w:numPr>
        <w:tabs>
          <w:tab w:val="clear" w:pos="1440"/>
          <w:tab w:val="left" w:pos="360"/>
        </w:tabs>
        <w:ind w:left="720"/>
        <w:rPr>
          <w:szCs w:val="22"/>
        </w:rPr>
      </w:pPr>
      <w:r w:rsidRPr="008B62B1">
        <w:rPr>
          <w:szCs w:val="22"/>
        </w:rPr>
        <w:t>Section 90.693 of the Commission’s rules requires that 800 MHz incumbent SMR licensees “notify the Commission within 30 days of any changes in technical parameters or additional stations constructed that fall within the short-spacing criteria.”  It has been standard practice for incumbents to notify the Commission of all changes and additional stations constructed in cases where such stations are in fact located less than the required 70 mile distance separation, and are therefore technically “short-spaced,” but are in fact fully compliant with the parameters of the Commission’s Short-Spacing Separation Table.</w:t>
      </w:r>
    </w:p>
    <w:p w:rsidR="00AB1623" w:rsidP="00695C47" w:rsidRDefault="00AB66A4">
      <w:pPr>
        <w:pStyle w:val="ParaNum"/>
        <w:numPr>
          <w:ilvl w:val="0"/>
          <w:numId w:val="0"/>
        </w:numPr>
        <w:tabs>
          <w:tab w:val="clear" w:pos="1440"/>
          <w:tab w:val="left" w:pos="360"/>
        </w:tabs>
        <w:ind w:left="720"/>
        <w:rPr>
          <w:szCs w:val="22"/>
        </w:rPr>
      </w:pPr>
      <w:r>
        <w:rPr>
          <w:szCs w:val="22"/>
        </w:rPr>
        <w:t xml:space="preserve">In the Streamlining and Harmonization </w:t>
      </w:r>
      <w:r w:rsidRPr="00AB66A4">
        <w:rPr>
          <w:i/>
          <w:szCs w:val="22"/>
        </w:rPr>
        <w:t>Report and Order</w:t>
      </w:r>
      <w:r w:rsidR="00231DAC">
        <w:rPr>
          <w:i/>
          <w:szCs w:val="22"/>
        </w:rPr>
        <w:t xml:space="preserve"> and Further Notice of Proposed Rulemaking</w:t>
      </w:r>
      <w:r>
        <w:rPr>
          <w:szCs w:val="22"/>
        </w:rPr>
        <w:t xml:space="preserve">, published at 70 FR 61049, </w:t>
      </w:r>
      <w:smartTag w:uri="urn:schemas-microsoft-com:office:smarttags" w:element="date">
        <w:smartTagPr>
          <w:attr w:name="Month" w:val="10"/>
          <w:attr w:name="Day" w:val="20"/>
          <w:attr w:name="Year" w:val="2005"/>
        </w:smartTagPr>
        <w:r>
          <w:rPr>
            <w:szCs w:val="22"/>
          </w:rPr>
          <w:t>October 20, 2005</w:t>
        </w:r>
      </w:smartTag>
      <w:r>
        <w:rPr>
          <w:szCs w:val="22"/>
        </w:rPr>
        <w:t>, t</w:t>
      </w:r>
      <w:r w:rsidR="00AB1623">
        <w:rPr>
          <w:szCs w:val="22"/>
        </w:rPr>
        <w:t xml:space="preserve">he Commission </w:t>
      </w:r>
      <w:r w:rsidRPr="008B62B1" w:rsidR="00AB1623">
        <w:rPr>
          <w:szCs w:val="22"/>
        </w:rPr>
        <w:t>delete</w:t>
      </w:r>
      <w:r>
        <w:rPr>
          <w:szCs w:val="22"/>
        </w:rPr>
        <w:t>d</w:t>
      </w:r>
      <w:r w:rsidRPr="008B62B1" w:rsidR="00AB1623">
        <w:rPr>
          <w:szCs w:val="22"/>
        </w:rPr>
        <w:t xml:space="preserve"> Section 90.693’s notification requirement for incumbents wishing to locate stations closer than the minimum </w:t>
      </w:r>
      <w:r w:rsidR="00231DAC">
        <w:rPr>
          <w:szCs w:val="22"/>
        </w:rPr>
        <w:t xml:space="preserve">co-channel separation </w:t>
      </w:r>
      <w:r w:rsidRPr="008B62B1" w:rsidR="00AB1623">
        <w:rPr>
          <w:szCs w:val="22"/>
        </w:rPr>
        <w:t xml:space="preserve">distance, </w:t>
      </w:r>
      <w:r w:rsidR="00231DAC">
        <w:rPr>
          <w:szCs w:val="22"/>
        </w:rPr>
        <w:t xml:space="preserve">where the station’s </w:t>
      </w:r>
      <w:r w:rsidRPr="008B62B1" w:rsidR="00AB1623">
        <w:rPr>
          <w:szCs w:val="22"/>
        </w:rPr>
        <w:t xml:space="preserve">parameters </w:t>
      </w:r>
      <w:r w:rsidR="00231DAC">
        <w:rPr>
          <w:szCs w:val="22"/>
        </w:rPr>
        <w:t>comply with t</w:t>
      </w:r>
      <w:r w:rsidRPr="008B62B1" w:rsidR="00AB1623">
        <w:rPr>
          <w:szCs w:val="22"/>
        </w:rPr>
        <w:t>he Short-Spacing Separation Table under Section 90.621</w:t>
      </w:r>
      <w:r w:rsidR="00231DAC">
        <w:rPr>
          <w:szCs w:val="22"/>
        </w:rPr>
        <w:t>.</w:t>
      </w:r>
      <w:r w:rsidR="00AB1623">
        <w:rPr>
          <w:szCs w:val="22"/>
        </w:rPr>
        <w:t xml:space="preserve">  It noted that </w:t>
      </w:r>
      <w:r w:rsidRPr="00ED15EE" w:rsidR="00AB1623">
        <w:rPr>
          <w:szCs w:val="22"/>
        </w:rPr>
        <w:t>under the Administrative Procedures Act (APA), the Commission may modify procedural rules such as the notification requirement without notice and comment.  See 5 U.S.C. § 553(b).</w:t>
      </w:r>
      <w:r w:rsidRPr="008B62B1" w:rsidR="00AB1623">
        <w:rPr>
          <w:szCs w:val="22"/>
        </w:rPr>
        <w:t xml:space="preserve">  </w:t>
      </w:r>
      <w:r w:rsidR="00AB1623">
        <w:rPr>
          <w:szCs w:val="22"/>
        </w:rPr>
        <w:t>The Commission determined that b</w:t>
      </w:r>
      <w:r w:rsidRPr="008B62B1" w:rsidR="00AB1623">
        <w:rPr>
          <w:szCs w:val="22"/>
        </w:rPr>
        <w:t xml:space="preserve">ecause incumbents are not allowed under the rules to expand their interference contours, </w:t>
      </w:r>
      <w:r w:rsidR="00AB1623">
        <w:rPr>
          <w:szCs w:val="22"/>
        </w:rPr>
        <w:t>deleting the notification requirement</w:t>
      </w:r>
      <w:r w:rsidRPr="008B62B1" w:rsidR="00AB1623">
        <w:rPr>
          <w:szCs w:val="22"/>
        </w:rPr>
        <w:t xml:space="preserve"> w</w:t>
      </w:r>
      <w:r w:rsidR="00AB1623">
        <w:rPr>
          <w:szCs w:val="22"/>
        </w:rPr>
        <w:t>ould</w:t>
      </w:r>
      <w:r w:rsidRPr="008B62B1" w:rsidR="00AB1623">
        <w:rPr>
          <w:szCs w:val="22"/>
        </w:rPr>
        <w:t xml:space="preserve"> not lead to interference among licensees.</w:t>
      </w:r>
    </w:p>
    <w:p w:rsidR="00440EB3" w:rsidP="00695C47" w:rsidRDefault="00AB1623">
      <w:pPr>
        <w:pStyle w:val="ParaNum"/>
        <w:numPr>
          <w:ilvl w:val="0"/>
          <w:numId w:val="0"/>
        </w:numPr>
        <w:tabs>
          <w:tab w:val="clear" w:pos="1440"/>
          <w:tab w:val="left" w:pos="360"/>
        </w:tabs>
        <w:ind w:left="720"/>
      </w:pPr>
      <w:r>
        <w:t>A</w:t>
      </w:r>
      <w:r w:rsidRPr="008B62B1">
        <w:t xml:space="preserve">lthough </w:t>
      </w:r>
      <w:r w:rsidR="004A65E5">
        <w:rPr>
          <w:szCs w:val="22"/>
        </w:rPr>
        <w:t xml:space="preserve">the Streamlining and Harmonization rulemaking </w:t>
      </w:r>
      <w:r w:rsidRPr="008B62B1">
        <w:t>eliminate</w:t>
      </w:r>
      <w:r>
        <w:t>d</w:t>
      </w:r>
      <w:r w:rsidRPr="008B62B1">
        <w:t xml:space="preserve"> a substantial </w:t>
      </w:r>
      <w:r w:rsidRPr="008B62B1">
        <w:lastRenderedPageBreak/>
        <w:t xml:space="preserve">number of filings to reduce burdens on licensees, </w:t>
      </w:r>
      <w:r>
        <w:t xml:space="preserve">the Commission </w:t>
      </w:r>
      <w:r w:rsidRPr="008B62B1">
        <w:t>clarif</w:t>
      </w:r>
      <w:r>
        <w:t>ied</w:t>
      </w:r>
      <w:r w:rsidRPr="008B62B1">
        <w:t xml:space="preserve"> that notification of minor modifications within 30 days will still be required under Section 90.693 in two areas involving short-spaced systems.  </w:t>
      </w:r>
    </w:p>
    <w:p w:rsidR="00440EB3" w:rsidP="00695C47" w:rsidRDefault="00203D25">
      <w:pPr>
        <w:pStyle w:val="ParaNum"/>
        <w:numPr>
          <w:ilvl w:val="0"/>
          <w:numId w:val="0"/>
        </w:numPr>
        <w:tabs>
          <w:tab w:val="clear" w:pos="1440"/>
          <w:tab w:val="left" w:pos="360"/>
        </w:tabs>
        <w:ind w:left="720"/>
      </w:pPr>
      <w:r>
        <w:t>S</w:t>
      </w:r>
      <w:r w:rsidRPr="008B62B1" w:rsidR="00AB1623">
        <w:t xml:space="preserve">ection </w:t>
      </w:r>
      <w:bookmarkStart w:name="OLE_LINK6" w:id="0"/>
      <w:r w:rsidRPr="008B62B1" w:rsidR="00AB1623">
        <w:t xml:space="preserve">90.621(b)(4) </w:t>
      </w:r>
      <w:bookmarkEnd w:id="0"/>
      <w:r w:rsidRPr="008B62B1" w:rsidR="00AB1623">
        <w:t xml:space="preserve">allows stations to be licensed at distances less than those prescribed in the Short-Spacing Separation Table where applicants “secure a waiver.”  </w:t>
      </w:r>
      <w:r w:rsidRPr="001F3860" w:rsidR="00AB1623">
        <w:t xml:space="preserve">Applicants seeking a waiver </w:t>
      </w:r>
      <w:r w:rsidR="00231DAC">
        <w:t>in these circumstance</w:t>
      </w:r>
      <w:r w:rsidR="00545863">
        <w:t>s</w:t>
      </w:r>
      <w:r w:rsidR="00231DAC">
        <w:t xml:space="preserve"> are still required to </w:t>
      </w:r>
      <w:r w:rsidRPr="001F3860" w:rsidR="00AB1623">
        <w:t>submit with their application an interference analysis, based upon any of the generally-accepted terrain-based propagation models, demonstrating that co-channel stations would receive the same or greater interference protection than provided in the Short-Spacing Separation Table.</w:t>
      </w:r>
      <w:r w:rsidR="00AB1623">
        <w:t xml:space="preserve">  </w:t>
      </w:r>
    </w:p>
    <w:p w:rsidR="00AB1623" w:rsidP="00695C47" w:rsidRDefault="00203D25">
      <w:pPr>
        <w:pStyle w:val="ParaNum"/>
        <w:numPr>
          <w:ilvl w:val="0"/>
          <w:numId w:val="0"/>
        </w:numPr>
        <w:tabs>
          <w:tab w:val="clear" w:pos="1440"/>
          <w:tab w:val="left" w:pos="360"/>
        </w:tabs>
        <w:ind w:left="720"/>
      </w:pPr>
      <w:r>
        <w:t>S</w:t>
      </w:r>
      <w:r w:rsidRPr="008B62B1" w:rsidR="00AB1623">
        <w:t xml:space="preserve">ection </w:t>
      </w:r>
      <w:bookmarkStart w:name="OLE_LINK4" w:id="1"/>
      <w:r w:rsidRPr="008B62B1" w:rsidR="00AB1623">
        <w:t xml:space="preserve">90.621(b)(5) </w:t>
      </w:r>
      <w:bookmarkEnd w:id="1"/>
      <w:r w:rsidRPr="008B62B1" w:rsidR="00AB1623">
        <w:t>permits stations to be located closer than the required separation, so long as the applicant provides letters of concurrence indicating that the applicant and each co-channel licensee within the specified separation agree to accept any interference resulting from the reduced separation between systems</w:t>
      </w:r>
      <w:r w:rsidR="00440EB3">
        <w:t xml:space="preserve">. </w:t>
      </w:r>
      <w:r w:rsidRPr="001F3860" w:rsidR="00AB1623">
        <w:t xml:space="preserve">  Applicants are </w:t>
      </w:r>
      <w:r w:rsidR="004A65E5">
        <w:t xml:space="preserve">still </w:t>
      </w:r>
      <w:r w:rsidRPr="001F3860" w:rsidR="00AB1623">
        <w:t>required to file such concurrence letters with the Commission.</w:t>
      </w:r>
      <w:r w:rsidR="00AB1623">
        <w:t xml:space="preserve">  </w:t>
      </w:r>
      <w:r w:rsidRPr="001F3860" w:rsidR="00AB1623">
        <w:t xml:space="preserve">Additionally, </w:t>
      </w:r>
      <w:r w:rsidR="00AB1623">
        <w:t>the Commission did</w:t>
      </w:r>
      <w:r w:rsidRPr="001F3860" w:rsidR="00AB1623">
        <w:t xml:space="preserve"> not eliminate filings required by provisions such as international agreements, </w:t>
      </w:r>
      <w:r w:rsidR="00AB1623">
        <w:t>its</w:t>
      </w:r>
      <w:r w:rsidRPr="001F3860" w:rsidR="00AB1623">
        <w:t xml:space="preserve"> environmental (National Environmental Protection Act (NEPA)) rules, </w:t>
      </w:r>
      <w:r w:rsidR="00AB1623">
        <w:t>its</w:t>
      </w:r>
      <w:r w:rsidRPr="001F3860" w:rsidR="00AB1623">
        <w:t xml:space="preserve"> antenna structure registration rules, or quiet zone notification/filing procedures.</w:t>
      </w:r>
    </w:p>
    <w:p w:rsidRPr="00AB1623" w:rsidR="00AB1623" w:rsidRDefault="00AB1623">
      <w:pPr>
        <w:ind w:left="360"/>
        <w:rPr>
          <w:sz w:val="22"/>
          <w:szCs w:val="22"/>
        </w:rPr>
      </w:pPr>
    </w:p>
    <w:p w:rsidRPr="00CC6CEC" w:rsidR="00D02722" w:rsidP="00D02722" w:rsidRDefault="00D02722">
      <w:pPr>
        <w:pStyle w:val="PlainText"/>
        <w:rPr>
          <w:rFonts w:ascii="Times New Roman" w:hAnsi="Times New Roman" w:cs="Times New Roman"/>
          <w:smallCaps/>
        </w:rPr>
      </w:pPr>
      <w:r w:rsidRPr="00CC6CEC">
        <w:rPr>
          <w:rFonts w:ascii="Times New Roman" w:hAnsi="Times New Roman" w:cs="Times New Roman"/>
        </w:rPr>
        <w:t xml:space="preserve">                       </w:t>
      </w:r>
      <w:r w:rsidRPr="00CC6CEC" w:rsidR="009014CC">
        <w:rPr>
          <w:rFonts w:ascii="Times New Roman" w:hAnsi="Times New Roman" w:cs="Times New Roman"/>
        </w:rPr>
        <w:tab/>
      </w:r>
      <w:r w:rsidRPr="00CC6CEC" w:rsidR="009014CC">
        <w:rPr>
          <w:rFonts w:ascii="Times New Roman" w:hAnsi="Times New Roman" w:cs="Times New Roman"/>
        </w:rPr>
        <w:tab/>
      </w:r>
      <w:r w:rsidRPr="00CC6CEC" w:rsidR="009014CC">
        <w:rPr>
          <w:rFonts w:ascii="Times New Roman" w:hAnsi="Times New Roman" w:cs="Times New Roman"/>
        </w:rPr>
        <w:tab/>
      </w:r>
      <w:r w:rsidRPr="00CC6CEC">
        <w:rPr>
          <w:rFonts w:ascii="Times New Roman" w:hAnsi="Times New Roman" w:cs="Times New Roman"/>
        </w:rPr>
        <w:t xml:space="preserve"> </w:t>
      </w:r>
      <w:r w:rsidRPr="00CC6CEC">
        <w:rPr>
          <w:rFonts w:ascii="Times New Roman" w:hAnsi="Times New Roman" w:cs="Times New Roman"/>
          <w:smallCaps/>
        </w:rPr>
        <w:t>Short-Spacing Separation Table</w:t>
      </w:r>
    </w:p>
    <w:p w:rsidRPr="00CC6CEC" w:rsidR="00D02722" w:rsidP="00D02722" w:rsidRDefault="009014CC">
      <w:pPr>
        <w:pStyle w:val="PlainText"/>
        <w:rPr>
          <w:rFonts w:ascii="Times New Roman" w:hAnsi="Times New Roman" w:cs="Times New Roman"/>
        </w:rPr>
      </w:pPr>
      <w:r w:rsidRPr="00CC6CEC">
        <w:rPr>
          <w:rFonts w:ascii="Times New Roman" w:hAnsi="Times New Roman" w:cs="Times New Roman"/>
        </w:rPr>
        <w:t>----------------------------------</w:t>
      </w:r>
      <w:r w:rsidRPr="00CC6CEC" w:rsidR="00D02722">
        <w:rPr>
          <w:rFonts w:ascii="Times New Roman" w:hAnsi="Times New Roman" w:cs="Times New Roman"/>
        </w:rPr>
        <w:t>-------------------------------------------------------------------------------</w:t>
      </w:r>
      <w:r w:rsidR="00CC6CEC">
        <w:rPr>
          <w:rFonts w:ascii="Times New Roman" w:hAnsi="Times New Roman" w:cs="Times New Roman"/>
        </w:rPr>
        <w:t>----</w:t>
      </w:r>
    </w:p>
    <w:p w:rsidRPr="00CC6CEC" w:rsidR="00D02722" w:rsidP="00D02722" w:rsidRDefault="00D02722">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00CC6CEC">
        <w:rPr>
          <w:rFonts w:ascii="Times New Roman" w:hAnsi="Times New Roman" w:cs="Times New Roman"/>
        </w:rPr>
        <w:tab/>
      </w:r>
      <w:r w:rsidRPr="00CC6CEC">
        <w:rPr>
          <w:rFonts w:ascii="Times New Roman" w:hAnsi="Times New Roman" w:cs="Times New Roman"/>
        </w:rPr>
        <w:t>Distance between stations (km)</w:t>
      </w:r>
      <w:r w:rsidRPr="00CC6CEC" w:rsidR="00324A76">
        <w:rPr>
          <w:rStyle w:val="FootnoteReference"/>
          <w:rFonts w:ascii="Times New Roman" w:hAnsi="Times New Roman" w:cs="Times New Roman"/>
        </w:rPr>
        <w:footnoteReference w:id="1"/>
      </w:r>
      <w:r w:rsidR="00CC6CEC">
        <w:rPr>
          <w:rFonts w:ascii="Times New Roman" w:hAnsi="Times New Roman" w:cs="Times New Roman"/>
        </w:rPr>
        <w:t>,</w:t>
      </w:r>
      <w:r w:rsidRPr="00CC6CEC">
        <w:rPr>
          <w:rFonts w:ascii="Times New Roman" w:hAnsi="Times New Roman" w:cs="Times New Roman"/>
        </w:rPr>
        <w:t xml:space="preserve"> </w:t>
      </w:r>
      <w:r w:rsidRPr="00CC6CEC" w:rsidR="006E6E31">
        <w:rPr>
          <w:rStyle w:val="FootnoteReference"/>
          <w:rFonts w:ascii="Times New Roman" w:hAnsi="Times New Roman" w:cs="Times New Roman"/>
        </w:rPr>
        <w:footnoteReference w:id="2"/>
      </w:r>
    </w:p>
    <w:p w:rsidRPr="00CC6CEC" w:rsidR="00D02722" w:rsidP="00D02722" w:rsidRDefault="00D02722">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w:t>
      </w:r>
      <w:r w:rsidRPr="00CC6CEC">
        <w:rPr>
          <w:rFonts w:ascii="Times New Roman" w:hAnsi="Times New Roman" w:cs="Times New Roman"/>
        </w:rPr>
        <w:t>-----------------------------------------------------</w:t>
      </w:r>
      <w:r w:rsidRPr="00CC6CEC" w:rsidR="009014CC">
        <w:rPr>
          <w:rFonts w:ascii="Times New Roman" w:hAnsi="Times New Roman" w:cs="Times New Roman"/>
        </w:rPr>
        <w:t>-</w:t>
      </w:r>
      <w:r w:rsidRPr="00CC6CEC">
        <w:rPr>
          <w:rFonts w:ascii="Times New Roman" w:hAnsi="Times New Roman" w:cs="Times New Roman"/>
        </w:rPr>
        <w:t>--</w:t>
      </w:r>
    </w:p>
    <w:p w:rsidRPr="00CC6CEC" w:rsidR="00D02722" w:rsidP="00D02722" w:rsidRDefault="00D02722">
      <w:pPr>
        <w:pStyle w:val="PlainText"/>
        <w:rPr>
          <w:rFonts w:ascii="Times New Roman" w:hAnsi="Times New Roman" w:cs="Times New Roman"/>
        </w:rPr>
      </w:pPr>
      <w:r w:rsidRPr="00CC6CEC">
        <w:rPr>
          <w:rFonts w:ascii="Times New Roman" w:hAnsi="Times New Roman" w:cs="Times New Roman"/>
        </w:rPr>
        <w:t>Proposed station ERP</w:t>
      </w:r>
      <w:r w:rsidR="00CC6CEC">
        <w:rPr>
          <w:rFonts w:ascii="Times New Roman" w:hAnsi="Times New Roman" w:cs="Times New Roman"/>
        </w:rPr>
        <w:t>(watts)/DHAAT</w:t>
      </w:r>
      <w:r w:rsidRPr="00CC6CEC" w:rsidR="00CC6CEC">
        <w:rPr>
          <w:rFonts w:ascii="Times New Roman" w:hAnsi="Times New Roman" w:cs="Times New Roman"/>
        </w:rPr>
        <w:t>(m)</w:t>
      </w:r>
      <w:r w:rsidRPr="00CC6CEC" w:rsidR="00CC6CEC">
        <w:rPr>
          <w:rStyle w:val="FootnoteReference"/>
          <w:rFonts w:ascii="Times New Roman" w:hAnsi="Times New Roman" w:cs="Times New Roman"/>
        </w:rPr>
        <w:t xml:space="preserve"> </w:t>
      </w:r>
      <w:r w:rsidR="00CC6CEC">
        <w:rPr>
          <w:rStyle w:val="FootnoteReference"/>
          <w:rFonts w:ascii="Times New Roman" w:hAnsi="Times New Roman" w:cs="Times New Roman"/>
        </w:rPr>
        <w:t>3</w:t>
      </w:r>
      <w:r w:rsidRPr="00CC6CEC">
        <w:rPr>
          <w:rFonts w:ascii="Times New Roman" w:hAnsi="Times New Roman" w:cs="Times New Roman"/>
        </w:rPr>
        <w:t xml:space="preserve">           </w:t>
      </w:r>
      <w:r w:rsidRPr="00CC6CEC">
        <w:rPr>
          <w:rFonts w:ascii="Times New Roman" w:hAnsi="Times New Roman" w:cs="Times New Roman"/>
        </w:rPr>
        <w:tab/>
        <w:t>Existing station DHAAT (meters)</w:t>
      </w:r>
      <w:r w:rsidRPr="00CC6CEC" w:rsidR="006E6E31">
        <w:rPr>
          <w:rStyle w:val="FootnoteReference"/>
          <w:rFonts w:ascii="Times New Roman" w:hAnsi="Times New Roman" w:cs="Times New Roman"/>
        </w:rPr>
        <w:footnoteReference w:id="3"/>
      </w:r>
      <w:r w:rsidRPr="00CC6CEC">
        <w:rPr>
          <w:rFonts w:ascii="Times New Roman" w:hAnsi="Times New Roman" w:cs="Times New Roman"/>
        </w:rPr>
        <w:t xml:space="preserve"> </w:t>
      </w:r>
    </w:p>
    <w:p w:rsidRPr="00CC6CEC" w:rsidR="00D02722" w:rsidP="00D02722" w:rsidRDefault="00D02722">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t>------------------</w:t>
      </w:r>
      <w:r w:rsidRPr="00CC6CEC" w:rsidR="009014CC">
        <w:rPr>
          <w:rFonts w:ascii="Times New Roman" w:hAnsi="Times New Roman" w:cs="Times New Roman"/>
        </w:rPr>
        <w:t>-----------------</w:t>
      </w:r>
      <w:r w:rsidRPr="00CC6CEC">
        <w:rPr>
          <w:rFonts w:ascii="Times New Roman" w:hAnsi="Times New Roman" w:cs="Times New Roman"/>
        </w:rPr>
        <w:t>---------------------------------------</w:t>
      </w:r>
    </w:p>
    <w:p w:rsidRPr="00CC6CEC" w:rsidR="00D02722" w:rsidP="00D02722" w:rsidRDefault="00D02722">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00CC6CEC">
        <w:rPr>
          <w:rFonts w:ascii="Times New Roman" w:hAnsi="Times New Roman" w:cs="Times New Roman"/>
        </w:rPr>
        <w:tab/>
      </w:r>
      <w:r w:rsidRPr="00CC6CEC">
        <w:rPr>
          <w:rFonts w:ascii="Times New Roman" w:hAnsi="Times New Roman" w:cs="Times New Roman"/>
        </w:rPr>
        <w:t>305      215      150     108      75      54      37</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w:t>
      </w:r>
      <w:r w:rsidRPr="00CC6CEC" w:rsidR="009014CC">
        <w:rPr>
          <w:rFonts w:ascii="Times New Roman" w:hAnsi="Times New Roman" w:cs="Times New Roman"/>
        </w:rPr>
        <w:t>-----------------------------------</w:t>
      </w:r>
      <w:r w:rsidRPr="00CC6CEC" w:rsidR="00D02722">
        <w:rPr>
          <w:rFonts w:ascii="Times New Roman" w:hAnsi="Times New Roman" w:cs="Times New Roman"/>
        </w:rPr>
        <w:t>----</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1000/305 ................ </w:t>
      </w:r>
      <w:r w:rsidRPr="00CC6CEC" w:rsidR="00D02722">
        <w:rPr>
          <w:rFonts w:ascii="Times New Roman" w:hAnsi="Times New Roman" w:cs="Times New Roman"/>
        </w:rPr>
        <w:tab/>
      </w:r>
      <w:r w:rsidRPr="00CC6CEC" w:rsidR="00D02722">
        <w:rPr>
          <w:rFonts w:ascii="Times New Roman" w:hAnsi="Times New Roman" w:cs="Times New Roman"/>
        </w:rPr>
        <w:tab/>
        <w:t>113      113      113     113     113     113     113</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1000/215 ................ </w:t>
      </w:r>
      <w:r w:rsidRPr="00CC6CEC" w:rsidR="00D02722">
        <w:rPr>
          <w:rFonts w:ascii="Times New Roman" w:hAnsi="Times New Roman" w:cs="Times New Roman"/>
        </w:rPr>
        <w:tab/>
      </w:r>
      <w:r w:rsidRPr="00CC6CEC" w:rsidR="00D02722">
        <w:rPr>
          <w:rFonts w:ascii="Times New Roman" w:hAnsi="Times New Roman" w:cs="Times New Roman"/>
        </w:rPr>
        <w:tab/>
        <w:t>113      113      113     113     113     113     110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1000/150 ................ </w:t>
      </w:r>
      <w:r w:rsidRPr="00CC6CEC" w:rsidR="00D02722">
        <w:rPr>
          <w:rFonts w:ascii="Times New Roman" w:hAnsi="Times New Roman" w:cs="Times New Roman"/>
        </w:rPr>
        <w:tab/>
      </w:r>
      <w:r w:rsidRPr="00CC6CEC" w:rsidR="00D02722">
        <w:rPr>
          <w:rFonts w:ascii="Times New Roman" w:hAnsi="Times New Roman" w:cs="Times New Roman"/>
        </w:rPr>
        <w:tab/>
        <w:t>113      113      113     113     112     108     103</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1000/108 ................ </w:t>
      </w:r>
      <w:r w:rsidRPr="00CC6CEC" w:rsidR="00D02722">
        <w:rPr>
          <w:rFonts w:ascii="Times New Roman" w:hAnsi="Times New Roman" w:cs="Times New Roman"/>
        </w:rPr>
        <w:tab/>
      </w:r>
      <w:r w:rsidRPr="00CC6CEC" w:rsidR="00D02722">
        <w:rPr>
          <w:rFonts w:ascii="Times New Roman" w:hAnsi="Times New Roman" w:cs="Times New Roman"/>
        </w:rPr>
        <w:tab/>
        <w:t>113      113      113     110     107     103       98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1000/75 ................. </w:t>
      </w:r>
      <w:r w:rsidRPr="00CC6CEC" w:rsidR="00D02722">
        <w:rPr>
          <w:rFonts w:ascii="Times New Roman" w:hAnsi="Times New Roman" w:cs="Times New Roman"/>
        </w:rPr>
        <w:tab/>
      </w:r>
      <w:r w:rsidRPr="00CC6CEC" w:rsidR="00D02722">
        <w:rPr>
          <w:rFonts w:ascii="Times New Roman" w:hAnsi="Times New Roman" w:cs="Times New Roman"/>
        </w:rPr>
        <w:tab/>
        <w:t>113      112      108     103     100       96       91</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1000/54 ................. </w:t>
      </w:r>
      <w:r w:rsidRPr="00CC6CEC" w:rsidR="00D02722">
        <w:rPr>
          <w:rFonts w:ascii="Times New Roman" w:hAnsi="Times New Roman" w:cs="Times New Roman"/>
        </w:rPr>
        <w:tab/>
      </w:r>
      <w:r w:rsidRPr="00CC6CEC" w:rsidR="00D02722">
        <w:rPr>
          <w:rFonts w:ascii="Times New Roman" w:hAnsi="Times New Roman" w:cs="Times New Roman"/>
        </w:rPr>
        <w:tab/>
        <w:t>113      109      105     100       97       93       88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1000/37 ................. </w:t>
      </w:r>
      <w:r w:rsidRPr="00CC6CEC" w:rsidR="00D02722">
        <w:rPr>
          <w:rFonts w:ascii="Times New Roman" w:hAnsi="Times New Roman" w:cs="Times New Roman"/>
        </w:rPr>
        <w:tab/>
      </w:r>
      <w:r w:rsidRPr="00CC6CEC" w:rsidR="00D02722">
        <w:rPr>
          <w:rFonts w:ascii="Times New Roman" w:hAnsi="Times New Roman" w:cs="Times New Roman"/>
        </w:rPr>
        <w:tab/>
        <w:t>109      104      100       95       92       88       88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500/305 ................. </w:t>
      </w:r>
      <w:r w:rsidRPr="00CC6CEC" w:rsidR="00D02722">
        <w:rPr>
          <w:rFonts w:ascii="Times New Roman" w:hAnsi="Times New Roman" w:cs="Times New Roman"/>
        </w:rPr>
        <w:tab/>
      </w:r>
      <w:r w:rsidRPr="00CC6CEC" w:rsidR="00D02722">
        <w:rPr>
          <w:rFonts w:ascii="Times New Roman" w:hAnsi="Times New Roman" w:cs="Times New Roman"/>
        </w:rPr>
        <w:tab/>
        <w:t>113      113      113     113     113     113     110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500/215 ................. </w:t>
      </w:r>
      <w:r w:rsidRPr="00CC6CEC" w:rsidR="00D02722">
        <w:rPr>
          <w:rFonts w:ascii="Times New Roman" w:hAnsi="Times New Roman" w:cs="Times New Roman"/>
        </w:rPr>
        <w:tab/>
      </w:r>
      <w:r w:rsidRPr="00CC6CEC" w:rsidR="00D02722">
        <w:rPr>
          <w:rFonts w:ascii="Times New Roman" w:hAnsi="Times New Roman" w:cs="Times New Roman"/>
        </w:rPr>
        <w:tab/>
        <w:t>113      113      113     112     109     105     100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500/150 ................. </w:t>
      </w:r>
      <w:r w:rsidRPr="00CC6CEC" w:rsidR="00D02722">
        <w:rPr>
          <w:rFonts w:ascii="Times New Roman" w:hAnsi="Times New Roman" w:cs="Times New Roman"/>
        </w:rPr>
        <w:tab/>
      </w:r>
      <w:r w:rsidRPr="00CC6CEC" w:rsidR="00D02722">
        <w:rPr>
          <w:rFonts w:ascii="Times New Roman" w:hAnsi="Times New Roman" w:cs="Times New Roman"/>
        </w:rPr>
        <w:tab/>
        <w:t>113      112      108     103     100       96       91</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500/108 ................. </w:t>
      </w:r>
      <w:r w:rsidRPr="00CC6CEC" w:rsidR="00D02722">
        <w:rPr>
          <w:rFonts w:ascii="Times New Roman" w:hAnsi="Times New Roman" w:cs="Times New Roman"/>
        </w:rPr>
        <w:tab/>
      </w:r>
      <w:r w:rsidRPr="00CC6CEC" w:rsidR="00D02722">
        <w:rPr>
          <w:rFonts w:ascii="Times New Roman" w:hAnsi="Times New Roman" w:cs="Times New Roman"/>
        </w:rPr>
        <w:tab/>
        <w:t>112      107      103       98       95       91       88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500/75 .................. </w:t>
      </w:r>
      <w:r w:rsidRPr="00CC6CEC" w:rsidR="00D02722">
        <w:rPr>
          <w:rFonts w:ascii="Times New Roman" w:hAnsi="Times New Roman" w:cs="Times New Roman"/>
        </w:rPr>
        <w:tab/>
      </w:r>
      <w:r w:rsidRPr="00CC6CEC" w:rsidR="00D02722">
        <w:rPr>
          <w:rFonts w:ascii="Times New Roman" w:hAnsi="Times New Roman" w:cs="Times New Roman"/>
        </w:rPr>
        <w:tab/>
        <w:t>107      102        98       93       90       88       88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lastRenderedPageBreak/>
        <w:tab/>
      </w:r>
      <w:r w:rsidRPr="00CC6CEC" w:rsidR="00D02722">
        <w:rPr>
          <w:rFonts w:ascii="Times New Roman" w:hAnsi="Times New Roman" w:cs="Times New Roman"/>
        </w:rPr>
        <w:t xml:space="preserve">500/54 .................. </w:t>
      </w:r>
      <w:r w:rsidRPr="00CC6CEC" w:rsidR="00D02722">
        <w:rPr>
          <w:rFonts w:ascii="Times New Roman" w:hAnsi="Times New Roman" w:cs="Times New Roman"/>
        </w:rPr>
        <w:tab/>
      </w:r>
      <w:r w:rsidRPr="00CC6CEC" w:rsidR="00D02722">
        <w:rPr>
          <w:rFonts w:ascii="Times New Roman" w:hAnsi="Times New Roman" w:cs="Times New Roman"/>
        </w:rPr>
        <w:tab/>
        <w:t>103        98        94       89       88       88       88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500/37 ...................</w:t>
      </w:r>
      <w:r w:rsidRPr="00CC6CEC" w:rsidR="00D02722">
        <w:rPr>
          <w:rFonts w:ascii="Times New Roman" w:hAnsi="Times New Roman" w:cs="Times New Roman"/>
        </w:rPr>
        <w:tab/>
      </w:r>
      <w:r w:rsidRPr="00CC6CEC" w:rsidR="00D02722">
        <w:rPr>
          <w:rFonts w:ascii="Times New Roman" w:hAnsi="Times New Roman" w:cs="Times New Roman"/>
        </w:rPr>
        <w:tab/>
        <w:t xml:space="preserve">  99        94        90       88       88       88       88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250/305 .................</w:t>
      </w:r>
      <w:r w:rsidRPr="00CC6CEC" w:rsidR="00D02722">
        <w:rPr>
          <w:rFonts w:ascii="Times New Roman" w:hAnsi="Times New Roman" w:cs="Times New Roman"/>
        </w:rPr>
        <w:tab/>
      </w:r>
      <w:r w:rsidRPr="00CC6CEC" w:rsidR="00D02722">
        <w:rPr>
          <w:rFonts w:ascii="Times New Roman" w:hAnsi="Times New Roman" w:cs="Times New Roman"/>
        </w:rPr>
        <w:tab/>
        <w:t>113      113      113     112     109     105     100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250/215 .................</w:t>
      </w:r>
      <w:r w:rsidRPr="00CC6CEC" w:rsidR="00D02722">
        <w:rPr>
          <w:rFonts w:ascii="Times New Roman" w:hAnsi="Times New Roman" w:cs="Times New Roman"/>
        </w:rPr>
        <w:tab/>
      </w:r>
      <w:r w:rsidRPr="00CC6CEC" w:rsidR="00D02722">
        <w:rPr>
          <w:rFonts w:ascii="Times New Roman" w:hAnsi="Times New Roman" w:cs="Times New Roman"/>
        </w:rPr>
        <w:tab/>
        <w:t xml:space="preserve">113      113      107     102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95      </w:t>
      </w:r>
      <w:r w:rsidRPr="00CC6CEC" w:rsidR="009014CC">
        <w:rPr>
          <w:rFonts w:ascii="Times New Roman" w:hAnsi="Times New Roman" w:cs="Times New Roman"/>
        </w:rPr>
        <w:t xml:space="preserve"> </w:t>
      </w:r>
      <w:r w:rsidRPr="00CC6CEC" w:rsidR="00D02722">
        <w:rPr>
          <w:rFonts w:ascii="Times New Roman" w:hAnsi="Times New Roman" w:cs="Times New Roman"/>
        </w:rPr>
        <w:t>90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250/150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1</w:t>
      </w:r>
      <w:r w:rsidRPr="00CC6CEC" w:rsidR="00D02722">
        <w:rPr>
          <w:rFonts w:ascii="Times New Roman" w:hAnsi="Times New Roman" w:cs="Times New Roman"/>
        </w:rPr>
        <w:t xml:space="preserve">09      104      100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95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92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250/108 .................</w:t>
      </w:r>
      <w:r w:rsidRPr="00CC6CEC" w:rsidR="00D02722">
        <w:rPr>
          <w:rFonts w:ascii="Times New Roman" w:hAnsi="Times New Roman" w:cs="Times New Roman"/>
        </w:rPr>
        <w:tab/>
      </w:r>
      <w:r w:rsidRPr="00CC6CEC" w:rsidR="00D02722">
        <w:rPr>
          <w:rFonts w:ascii="Times New Roman" w:hAnsi="Times New Roman" w:cs="Times New Roman"/>
        </w:rPr>
        <w:tab/>
        <w:t xml:space="preserve">105      100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96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91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250/75 ...................</w:t>
      </w:r>
      <w:r w:rsidRPr="00CC6CEC" w:rsidR="00D02722">
        <w:rPr>
          <w:rFonts w:ascii="Times New Roman" w:hAnsi="Times New Roman" w:cs="Times New Roman"/>
        </w:rPr>
        <w:tab/>
      </w:r>
      <w:r w:rsidRPr="00CC6CEC" w:rsidR="00D02722">
        <w:rPr>
          <w:rFonts w:ascii="Times New Roman" w:hAnsi="Times New Roman" w:cs="Times New Roman"/>
        </w:rPr>
        <w:tab/>
        <w:t xml:space="preserve">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94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90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250/54 ...................</w:t>
      </w:r>
      <w:r w:rsidRPr="00CC6CEC" w:rsidR="00D02722">
        <w:rPr>
          <w:rFonts w:ascii="Times New Roman" w:hAnsi="Times New Roman" w:cs="Times New Roman"/>
        </w:rPr>
        <w:tab/>
      </w:r>
      <w:r w:rsidRPr="00CC6CEC" w:rsidR="00D02722">
        <w:rPr>
          <w:rFonts w:ascii="Times New Roman" w:hAnsi="Times New Roman" w:cs="Times New Roman"/>
        </w:rPr>
        <w:tab/>
        <w:t xml:space="preserve">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95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90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250/37 ...................</w:t>
      </w:r>
      <w:r w:rsidRPr="00CC6CEC" w:rsidR="00D02722">
        <w:rPr>
          <w:rFonts w:ascii="Times New Roman" w:hAnsi="Times New Roman" w:cs="Times New Roman"/>
        </w:rPr>
        <w:tab/>
      </w:r>
      <w:r w:rsidRPr="00CC6CEC" w:rsidR="00D02722">
        <w:rPr>
          <w:rFonts w:ascii="Times New Roman" w:hAnsi="Times New Roman" w:cs="Times New Roman"/>
        </w:rPr>
        <w:tab/>
        <w:t xml:space="preserve">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91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125/305 .................</w:t>
      </w:r>
      <w:r w:rsidRPr="00CC6CEC" w:rsidR="00D02722">
        <w:rPr>
          <w:rFonts w:ascii="Times New Roman" w:hAnsi="Times New Roman" w:cs="Times New Roman"/>
        </w:rPr>
        <w:tab/>
      </w:r>
      <w:r w:rsidRPr="00CC6CEC" w:rsidR="00D02722">
        <w:rPr>
          <w:rFonts w:ascii="Times New Roman" w:hAnsi="Times New Roman" w:cs="Times New Roman"/>
        </w:rPr>
        <w:tab/>
        <w:t xml:space="preserve">113      111      107     102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95      </w:t>
      </w:r>
      <w:r w:rsidRPr="00CC6CEC" w:rsidR="009014CC">
        <w:rPr>
          <w:rFonts w:ascii="Times New Roman" w:hAnsi="Times New Roman" w:cs="Times New Roman"/>
        </w:rPr>
        <w:t xml:space="preserve"> </w:t>
      </w:r>
      <w:r w:rsidRPr="00CC6CEC" w:rsidR="00D02722">
        <w:rPr>
          <w:rFonts w:ascii="Times New Roman" w:hAnsi="Times New Roman" w:cs="Times New Roman"/>
        </w:rPr>
        <w:t>90</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125/215 .................</w:t>
      </w:r>
      <w:r w:rsidRPr="00CC6CEC" w:rsidR="00D02722">
        <w:rPr>
          <w:rFonts w:ascii="Times New Roman" w:hAnsi="Times New Roman" w:cs="Times New Roman"/>
        </w:rPr>
        <w:tab/>
      </w:r>
      <w:r w:rsidRPr="00CC6CEC" w:rsidR="00D02722">
        <w:rPr>
          <w:rFonts w:ascii="Times New Roman" w:hAnsi="Times New Roman" w:cs="Times New Roman"/>
        </w:rPr>
        <w:tab/>
        <w:t xml:space="preserve">108      103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94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91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125/150 ................. </w:t>
      </w:r>
      <w:r w:rsidRPr="00CC6CEC" w:rsidR="00D02722">
        <w:rPr>
          <w:rFonts w:ascii="Times New Roman" w:hAnsi="Times New Roman" w:cs="Times New Roman"/>
        </w:rPr>
        <w:tab/>
      </w:r>
      <w:r w:rsidRPr="00CC6CEC" w:rsidR="00D02722">
        <w:rPr>
          <w:rFonts w:ascii="Times New Roman" w:hAnsi="Times New Roman" w:cs="Times New Roman"/>
        </w:rPr>
        <w:tab/>
        <w:t xml:space="preserve">103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94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125/108 ..................</w:t>
      </w:r>
      <w:r w:rsidRPr="00CC6CEC" w:rsidR="00D02722">
        <w:rPr>
          <w:rFonts w:ascii="Times New Roman" w:hAnsi="Times New Roman" w:cs="Times New Roman"/>
        </w:rPr>
        <w:tab/>
      </w:r>
      <w:r w:rsidRPr="00CC6CEC" w:rsidR="00D02722">
        <w:rPr>
          <w:rFonts w:ascii="Times New Roman" w:hAnsi="Times New Roman" w:cs="Times New Roman"/>
        </w:rPr>
        <w:tab/>
        <w:t xml:space="preserve">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125/75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125/54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125/37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62/305 .................. </w:t>
      </w:r>
      <w:r w:rsidRPr="00CC6CEC" w:rsidR="00D02722">
        <w:rPr>
          <w:rFonts w:ascii="Times New Roman" w:hAnsi="Times New Roman" w:cs="Times New Roman"/>
        </w:rPr>
        <w:tab/>
      </w:r>
      <w:r w:rsidRPr="00CC6CEC" w:rsidR="00D02722">
        <w:rPr>
          <w:rFonts w:ascii="Times New Roman" w:hAnsi="Times New Roman" w:cs="Times New Roman"/>
        </w:rPr>
        <w:tab/>
        <w:t xml:space="preserve">108      103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94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91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62/215 .................. </w:t>
      </w:r>
      <w:r w:rsidRPr="00CC6CEC" w:rsidR="00D02722">
        <w:rPr>
          <w:rFonts w:ascii="Times New Roman" w:hAnsi="Times New Roman" w:cs="Times New Roman"/>
        </w:rPr>
        <w:tab/>
      </w:r>
      <w:r w:rsidRPr="00CC6CEC" w:rsidR="00D02722">
        <w:rPr>
          <w:rFonts w:ascii="Times New Roman" w:hAnsi="Times New Roman" w:cs="Times New Roman"/>
        </w:rPr>
        <w:tab/>
        <w:t xml:space="preserve">103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94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89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62/150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97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92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62/108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92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62/75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62/54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 xml:space="preserve">62/37 .................... </w:t>
      </w:r>
      <w:r w:rsidRPr="00CC6CEC" w:rsidR="00D02722">
        <w:rPr>
          <w:rFonts w:ascii="Times New Roman" w:hAnsi="Times New Roman" w:cs="Times New Roman"/>
        </w:rPr>
        <w:tab/>
      </w:r>
      <w:r w:rsidRPr="00CC6CEC" w:rsidR="00D02722">
        <w:rPr>
          <w:rFonts w:ascii="Times New Roman" w:hAnsi="Times New Roman" w:cs="Times New Roman"/>
        </w:rPr>
        <w:tab/>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    </w:t>
      </w:r>
      <w:r w:rsidRPr="00CC6CEC" w:rsidR="009014CC">
        <w:rPr>
          <w:rFonts w:ascii="Times New Roman" w:hAnsi="Times New Roman" w:cs="Times New Roman"/>
        </w:rPr>
        <w:t xml:space="preserve"> </w:t>
      </w:r>
      <w:r w:rsidRPr="00CC6CEC" w:rsidR="00D02722">
        <w:rPr>
          <w:rFonts w:ascii="Times New Roman" w:hAnsi="Times New Roman" w:cs="Times New Roman"/>
        </w:rPr>
        <w:t xml:space="preserve">  88</w:t>
      </w:r>
    </w:p>
    <w:p w:rsidRPr="00CC6CEC" w:rsidR="00D02722" w:rsidP="00D02722" w:rsidRDefault="00CC6CEC">
      <w:pPr>
        <w:pStyle w:val="PlainText"/>
        <w:rPr>
          <w:rFonts w:ascii="Times New Roman" w:hAnsi="Times New Roman" w:cs="Times New Roman"/>
        </w:rPr>
      </w:pPr>
      <w:r>
        <w:rPr>
          <w:rFonts w:ascii="Times New Roman" w:hAnsi="Times New Roman" w:cs="Times New Roman"/>
        </w:rPr>
        <w:tab/>
      </w:r>
      <w:r w:rsidRPr="00CC6CEC" w:rsidR="00D02722">
        <w:rPr>
          <w:rFonts w:ascii="Times New Roman" w:hAnsi="Times New Roman" w:cs="Times New Roman"/>
        </w:rPr>
        <w:t>-----------------------------------------------------------------------</w:t>
      </w:r>
      <w:r w:rsidRPr="00CC6CEC" w:rsidR="009014CC">
        <w:rPr>
          <w:rFonts w:ascii="Times New Roman" w:hAnsi="Times New Roman" w:cs="Times New Roman"/>
        </w:rPr>
        <w:t>-----------------------</w:t>
      </w:r>
      <w:r w:rsidRPr="00CC6CEC" w:rsidR="00D02722">
        <w:rPr>
          <w:rFonts w:ascii="Times New Roman" w:hAnsi="Times New Roman" w:cs="Times New Roman"/>
        </w:rPr>
        <w:t>---</w:t>
      </w:r>
      <w:r w:rsidRPr="00CC6CEC" w:rsidR="009014CC">
        <w:rPr>
          <w:rFonts w:ascii="Times New Roman" w:hAnsi="Times New Roman" w:cs="Times New Roman"/>
        </w:rPr>
        <w:t>-----------</w:t>
      </w:r>
      <w:r w:rsidRPr="00CC6CEC" w:rsidR="00D02722">
        <w:rPr>
          <w:rFonts w:ascii="Times New Roman" w:hAnsi="Times New Roman" w:cs="Times New Roman"/>
        </w:rPr>
        <w:t>-----</w:t>
      </w:r>
    </w:p>
    <w:p w:rsidR="00CC6CEC" w:rsidP="00CC6CEC" w:rsidRDefault="00CC6CEC">
      <w:pPr>
        <w:ind w:left="360"/>
        <w:rPr>
          <w:sz w:val="22"/>
        </w:rPr>
      </w:pPr>
    </w:p>
    <w:p w:rsidRPr="005B2766" w:rsidR="00006E8A" w:rsidP="005B2766" w:rsidRDefault="00006E8A">
      <w:pPr>
        <w:ind w:left="720"/>
        <w:rPr>
          <w:sz w:val="22"/>
        </w:rPr>
      </w:pPr>
      <w:r w:rsidRPr="005B2766">
        <w:rPr>
          <w:sz w:val="22"/>
        </w:rPr>
        <w:t xml:space="preserve">The Commission is submitting this information collection as </w:t>
      </w:r>
      <w:r w:rsidRPr="005B2766" w:rsidR="000A6703">
        <w:rPr>
          <w:sz w:val="22"/>
        </w:rPr>
        <w:t>a</w:t>
      </w:r>
      <w:r w:rsidRPr="005B2766" w:rsidR="0014498E">
        <w:rPr>
          <w:sz w:val="22"/>
        </w:rPr>
        <w:t>n</w:t>
      </w:r>
      <w:r w:rsidRPr="005B2766" w:rsidR="0004335D">
        <w:rPr>
          <w:sz w:val="22"/>
        </w:rPr>
        <w:t xml:space="preserve"> </w:t>
      </w:r>
      <w:r w:rsidRPr="005B2766" w:rsidR="0057719A">
        <w:rPr>
          <w:sz w:val="22"/>
        </w:rPr>
        <w:t>exten</w:t>
      </w:r>
      <w:r w:rsidRPr="005B2766" w:rsidR="00D11CFF">
        <w:rPr>
          <w:sz w:val="22"/>
        </w:rPr>
        <w:t>sion</w:t>
      </w:r>
      <w:r w:rsidRPr="005B2766" w:rsidR="00730852">
        <w:rPr>
          <w:sz w:val="22"/>
        </w:rPr>
        <w:t xml:space="preserve"> </w:t>
      </w:r>
      <w:r w:rsidRPr="005B2766">
        <w:rPr>
          <w:sz w:val="22"/>
        </w:rPr>
        <w:t>to obtain the full thre</w:t>
      </w:r>
      <w:r w:rsidR="009A4C28">
        <w:rPr>
          <w:sz w:val="22"/>
        </w:rPr>
        <w:t>e-</w:t>
      </w:r>
      <w:r w:rsidRPr="005B2766">
        <w:rPr>
          <w:sz w:val="22"/>
        </w:rPr>
        <w:t>year clearance</w:t>
      </w:r>
      <w:r w:rsidR="001A7555">
        <w:rPr>
          <w:sz w:val="22"/>
        </w:rPr>
        <w:t xml:space="preserve"> from the Office of Management and Budget (OMB)</w:t>
      </w:r>
      <w:r w:rsidRPr="005B2766" w:rsidR="001A7555">
        <w:rPr>
          <w:sz w:val="22"/>
        </w:rPr>
        <w:t>.</w:t>
      </w:r>
      <w:r w:rsidRPr="005B2766" w:rsidR="00C11E40">
        <w:rPr>
          <w:sz w:val="22"/>
        </w:rPr>
        <w:t xml:space="preserve">   </w:t>
      </w:r>
    </w:p>
    <w:p w:rsidR="00006E8A" w:rsidP="00CC6CEC" w:rsidRDefault="00006E8A">
      <w:pPr>
        <w:ind w:left="360"/>
        <w:rPr>
          <w:sz w:val="22"/>
        </w:rPr>
      </w:pPr>
    </w:p>
    <w:p w:rsidR="00CC6CEC" w:rsidP="005B2766" w:rsidRDefault="001A7555">
      <w:pPr>
        <w:ind w:left="720"/>
        <w:rPr>
          <w:sz w:val="22"/>
        </w:rPr>
      </w:pPr>
      <w:r>
        <w:rPr>
          <w:sz w:val="22"/>
        </w:rPr>
        <w:t>The s</w:t>
      </w:r>
      <w:r w:rsidR="00CC6CEC">
        <w:rPr>
          <w:sz w:val="22"/>
        </w:rPr>
        <w:t>tatutory authority for this collection of information is contained in 47 U.S.C. Sections 154(</w:t>
      </w:r>
      <w:r w:rsidR="00962082">
        <w:rPr>
          <w:sz w:val="22"/>
        </w:rPr>
        <w:t>i</w:t>
      </w:r>
      <w:r w:rsidR="00CC6CEC">
        <w:rPr>
          <w:sz w:val="22"/>
        </w:rPr>
        <w:t>) and 309(j), as amended.</w:t>
      </w:r>
    </w:p>
    <w:p w:rsidR="004E14BF" w:rsidP="00CC6CEC" w:rsidRDefault="004E14BF">
      <w:pPr>
        <w:ind w:left="360"/>
        <w:rPr>
          <w:sz w:val="22"/>
        </w:rPr>
      </w:pPr>
    </w:p>
    <w:p w:rsidR="005E5B5F" w:rsidP="005E5B5F" w:rsidRDefault="001A7555">
      <w:pPr>
        <w:ind w:left="720"/>
        <w:rPr>
          <w:sz w:val="22"/>
        </w:rPr>
      </w:pPr>
      <w:r>
        <w:rPr>
          <w:sz w:val="22"/>
        </w:rPr>
        <w:t>T</w:t>
      </w:r>
      <w:r w:rsidR="004E14BF">
        <w:rPr>
          <w:sz w:val="22"/>
        </w:rPr>
        <w:t>his information collection does not affect individuals or households; thus, there are no impacts under the Privacy Act.</w:t>
      </w:r>
    </w:p>
    <w:p w:rsidR="005E5B5F" w:rsidP="005E5B5F" w:rsidRDefault="005E5B5F">
      <w:pPr>
        <w:ind w:left="720"/>
        <w:rPr>
          <w:sz w:val="22"/>
        </w:rPr>
      </w:pPr>
    </w:p>
    <w:p w:rsidRPr="005E5B5F" w:rsidR="00C17676" w:rsidP="005E5B5F" w:rsidRDefault="005E5B5F">
      <w:pPr>
        <w:ind w:left="720"/>
        <w:jc w:val="both"/>
        <w:rPr>
          <w:sz w:val="22"/>
        </w:rPr>
      </w:pPr>
      <w:r>
        <w:rPr>
          <w:sz w:val="22"/>
        </w:rPr>
        <w:t xml:space="preserve">2.  </w:t>
      </w:r>
      <w:r w:rsidRPr="002524F2" w:rsidR="0004120E">
        <w:t>T</w:t>
      </w:r>
      <w:r w:rsidRPr="002524F2" w:rsidR="00C17676">
        <w:t>he Commission will</w:t>
      </w:r>
      <w:r w:rsidRPr="002524F2" w:rsidR="0004120E">
        <w:t xml:space="preserve"> continue to</w:t>
      </w:r>
      <w:r w:rsidRPr="002524F2" w:rsidR="00C17676">
        <w:t xml:space="preserve"> use th</w:t>
      </w:r>
      <w:r w:rsidRPr="002524F2" w:rsidR="0004120E">
        <w:t>is</w:t>
      </w:r>
      <w:r w:rsidRPr="002524F2" w:rsidR="00C17676">
        <w:t xml:space="preserve"> information to determine whether to </w:t>
      </w:r>
      <w:r w:rsidR="00CD6384">
        <w:t xml:space="preserve">         </w:t>
      </w:r>
      <w:r w:rsidRPr="002524F2" w:rsidR="00C17676">
        <w:t xml:space="preserve">grant licenses to applicants </w:t>
      </w:r>
      <w:r w:rsidRPr="002524F2" w:rsidR="0004120E">
        <w:t xml:space="preserve">making </w:t>
      </w:r>
      <w:r w:rsidRPr="002524F2" w:rsidR="007733C9">
        <w:t>“</w:t>
      </w:r>
      <w:r w:rsidRPr="002524F2" w:rsidR="0004120E">
        <w:t>m</w:t>
      </w:r>
      <w:r w:rsidR="00AB66A4">
        <w:t>in</w:t>
      </w:r>
      <w:r w:rsidRPr="002524F2" w:rsidR="0004120E">
        <w:t>or modifications</w:t>
      </w:r>
      <w:r w:rsidRPr="002524F2" w:rsidR="007733C9">
        <w:t>”</w:t>
      </w:r>
      <w:r w:rsidRPr="002524F2" w:rsidR="0004120E">
        <w:t xml:space="preserve"> to their </w:t>
      </w:r>
      <w:r w:rsidRPr="002524F2" w:rsidR="00C17676">
        <w:t>systems</w:t>
      </w:r>
      <w:r w:rsidRPr="002524F2" w:rsidR="007733C9">
        <w:t xml:space="preserve"> which do not satisfy mileage separation requirements pursuant to the Short-Spacing Separation Table</w:t>
      </w:r>
      <w:r w:rsidRPr="002524F2" w:rsidR="0004120E">
        <w:t xml:space="preserve">.  </w:t>
      </w:r>
      <w:r w:rsidRPr="002524F2" w:rsidR="00C17676">
        <w:t xml:space="preserve">  </w:t>
      </w:r>
    </w:p>
    <w:p w:rsidR="005E5B5F" w:rsidP="005E5B5F" w:rsidRDefault="005E5B5F">
      <w:pPr>
        <w:pStyle w:val="ParaNum"/>
        <w:numPr>
          <w:ilvl w:val="0"/>
          <w:numId w:val="0"/>
        </w:numPr>
        <w:tabs>
          <w:tab w:val="clear" w:pos="1440"/>
          <w:tab w:val="left" w:pos="360"/>
        </w:tabs>
        <w:ind w:left="720"/>
      </w:pPr>
    </w:p>
    <w:p w:rsidR="00C17676" w:rsidP="005E5B5F" w:rsidRDefault="00CD6384">
      <w:pPr>
        <w:pStyle w:val="ParaNum"/>
        <w:numPr>
          <w:ilvl w:val="0"/>
          <w:numId w:val="0"/>
        </w:numPr>
        <w:tabs>
          <w:tab w:val="clear" w:pos="1440"/>
          <w:tab w:val="left" w:pos="360"/>
        </w:tabs>
        <w:ind w:left="720"/>
      </w:pPr>
      <w:r>
        <w:t xml:space="preserve">3.   </w:t>
      </w:r>
      <w:r w:rsidRPr="00730852" w:rsidR="00C17676">
        <w:t>Th</w:t>
      </w:r>
      <w:r w:rsidRPr="00730852" w:rsidR="0004120E">
        <w:t xml:space="preserve">is information </w:t>
      </w:r>
      <w:r w:rsidRPr="00730852" w:rsidR="00C17676">
        <w:t xml:space="preserve">will </w:t>
      </w:r>
      <w:r w:rsidRPr="00730852" w:rsidR="0004120E">
        <w:t xml:space="preserve">continue to </w:t>
      </w:r>
      <w:r w:rsidRPr="00730852" w:rsidR="00C17676">
        <w:t>be filed electronically to any certified frequency coordinator</w:t>
      </w:r>
      <w:r w:rsidRPr="00730852" w:rsidR="0004120E">
        <w:t xml:space="preserve"> for all major modifications</w:t>
      </w:r>
      <w:r w:rsidRPr="00730852" w:rsidR="00C17676">
        <w:t>.</w:t>
      </w:r>
      <w:r w:rsidR="00C17676">
        <w:t xml:space="preserve">  Prior to finalizing rule makings, the Wireless Telecommunications Bureau (WTB) conducts an analysis to </w:t>
      </w:r>
      <w:r w:rsidR="00A9278C">
        <w:t>e</w:t>
      </w:r>
      <w:r w:rsidR="00C17676">
        <w:t xml:space="preserve">nsure that improved information technology </w:t>
      </w:r>
      <w:r w:rsidR="00D71663">
        <w:t>may</w:t>
      </w:r>
      <w:r w:rsidR="00C17676">
        <w:t xml:space="preserve"> be used to reduce the burden on the public.  This analysis considers the possibility of obtaining and/or computer-generating the required data from existing databases in the Commission or other federal agencies</w:t>
      </w:r>
      <w:r w:rsidR="00AB66A4">
        <w:t>.   100</w:t>
      </w:r>
      <w:r w:rsidR="00C17676">
        <w:t xml:space="preserve">% of </w:t>
      </w:r>
      <w:r w:rsidR="00730852">
        <w:t xml:space="preserve">both </w:t>
      </w:r>
      <w:r w:rsidR="00C17676">
        <w:t xml:space="preserve">the </w:t>
      </w:r>
      <w:r w:rsidR="00D856CC">
        <w:t>applications</w:t>
      </w:r>
      <w:r w:rsidR="00730852">
        <w:t xml:space="preserve"> and letters of concurrence</w:t>
      </w:r>
      <w:r w:rsidR="00AB66A4">
        <w:t xml:space="preserve"> will be</w:t>
      </w:r>
      <w:r w:rsidR="002524F2">
        <w:t xml:space="preserve"> filed electronically</w:t>
      </w:r>
      <w:r w:rsidR="00730852">
        <w:t>.</w:t>
      </w:r>
    </w:p>
    <w:p w:rsidR="00CD6384" w:rsidP="005E5B5F" w:rsidRDefault="00CD6384">
      <w:pPr>
        <w:pStyle w:val="ParaNum"/>
        <w:numPr>
          <w:ilvl w:val="0"/>
          <w:numId w:val="0"/>
        </w:numPr>
        <w:tabs>
          <w:tab w:val="clear" w:pos="1440"/>
          <w:tab w:val="left" w:pos="360"/>
        </w:tabs>
        <w:ind w:left="720"/>
      </w:pPr>
    </w:p>
    <w:p w:rsidR="00CD6384" w:rsidP="005E5B5F" w:rsidRDefault="00CD6384">
      <w:pPr>
        <w:pStyle w:val="ParaNum"/>
        <w:numPr>
          <w:ilvl w:val="0"/>
          <w:numId w:val="0"/>
        </w:numPr>
        <w:tabs>
          <w:tab w:val="clear" w:pos="1440"/>
          <w:tab w:val="left" w:pos="360"/>
        </w:tabs>
        <w:ind w:left="720"/>
      </w:pPr>
    </w:p>
    <w:p w:rsidR="005620BD" w:rsidP="005E5B5F" w:rsidRDefault="005620BD">
      <w:pPr>
        <w:pStyle w:val="ParaNum"/>
        <w:numPr>
          <w:ilvl w:val="0"/>
          <w:numId w:val="0"/>
        </w:numPr>
        <w:tabs>
          <w:tab w:val="clear" w:pos="1440"/>
          <w:tab w:val="left" w:pos="360"/>
        </w:tabs>
        <w:ind w:left="720"/>
      </w:pPr>
    </w:p>
    <w:p w:rsidR="00C17676" w:rsidP="00CD6384" w:rsidRDefault="00C17676">
      <w:pPr>
        <w:pStyle w:val="ParaNum"/>
      </w:pPr>
      <w:r>
        <w:lastRenderedPageBreak/>
        <w:t xml:space="preserve">This agency does not impose a similar collection on the respondent.  There is no </w:t>
      </w:r>
      <w:r w:rsidR="005E5B5F">
        <w:tab/>
      </w:r>
      <w:r>
        <w:t>similar data available.</w:t>
      </w:r>
    </w:p>
    <w:p w:rsidR="00C17676" w:rsidP="005E5B5F" w:rsidRDefault="00C17676">
      <w:pPr>
        <w:pStyle w:val="ParaNum"/>
        <w:numPr>
          <w:ilvl w:val="0"/>
          <w:numId w:val="34"/>
        </w:numPr>
      </w:pPr>
      <w:r>
        <w:t xml:space="preserve">In conformance with the Paperwork Reduction Act of 1995, the Commission is </w:t>
      </w:r>
      <w:r w:rsidR="005E5B5F">
        <w:tab/>
      </w:r>
      <w:proofErr w:type="gramStart"/>
      <w:r>
        <w:t>making</w:t>
      </w:r>
      <w:r w:rsidR="00A9278C">
        <w:t xml:space="preserve"> </w:t>
      </w:r>
      <w:r>
        <w:t>an effort</w:t>
      </w:r>
      <w:proofErr w:type="gramEnd"/>
      <w:r>
        <w:t xml:space="preserve"> to minimize the burden on all respondents, regardless of size.  The </w:t>
      </w:r>
      <w:r w:rsidR="005E5B5F">
        <w:tab/>
      </w:r>
      <w:r>
        <w:t xml:space="preserve">Commission has limited the information requirements to that absolutely necessary for </w:t>
      </w:r>
      <w:r w:rsidR="005E5B5F">
        <w:tab/>
      </w:r>
      <w:r>
        <w:t xml:space="preserve">evaluating and processing the application and to deter against possible abuses of the </w:t>
      </w:r>
      <w:r w:rsidR="005E5B5F">
        <w:tab/>
      </w:r>
      <w:r>
        <w:t>processes.</w:t>
      </w:r>
      <w:r w:rsidR="001A7555">
        <w:t xml:space="preserve">  </w:t>
      </w:r>
      <w:r w:rsidR="008B216E">
        <w:t xml:space="preserve">The information collection requirements will not have a significant </w:t>
      </w:r>
      <w:r w:rsidR="005E5B5F">
        <w:tab/>
      </w:r>
      <w:r w:rsidR="008B216E">
        <w:t>economic impact on small entities or businesses.</w:t>
      </w:r>
    </w:p>
    <w:p w:rsidR="00C17676" w:rsidP="005E5B5F" w:rsidRDefault="00C17676">
      <w:pPr>
        <w:pStyle w:val="ParaNum"/>
        <w:numPr>
          <w:ilvl w:val="0"/>
          <w:numId w:val="33"/>
        </w:numPr>
        <w:tabs>
          <w:tab w:val="clear" w:pos="1440"/>
          <w:tab w:val="left" w:pos="360"/>
        </w:tabs>
      </w:pPr>
      <w:r>
        <w:t xml:space="preserve">This information is required upon the applicant’s request for short spacing.  </w:t>
      </w:r>
      <w:r w:rsidR="005E5B5F">
        <w:tab/>
      </w:r>
      <w:r w:rsidR="005E5B5F">
        <w:tab/>
      </w:r>
      <w:r w:rsidR="005E5B5F">
        <w:tab/>
      </w:r>
      <w:r w:rsidR="005E5B5F">
        <w:tab/>
      </w:r>
      <w:r>
        <w:t>Accordingly, less frequent submissions are not possible.</w:t>
      </w:r>
    </w:p>
    <w:p w:rsidR="00C17676" w:rsidP="005E5B5F" w:rsidRDefault="00C17676">
      <w:pPr>
        <w:pStyle w:val="ParaNum"/>
        <w:numPr>
          <w:ilvl w:val="0"/>
          <w:numId w:val="32"/>
        </w:numPr>
        <w:tabs>
          <w:tab w:val="clear" w:pos="1440"/>
          <w:tab w:val="left" w:pos="360"/>
        </w:tabs>
      </w:pPr>
      <w:r>
        <w:t xml:space="preserve">Respondents would generally only have to make a one-time filing of the requested </w:t>
      </w:r>
      <w:r w:rsidR="005E5B5F">
        <w:tab/>
      </w:r>
      <w:r w:rsidR="005E5B5F">
        <w:tab/>
      </w:r>
      <w:r w:rsidR="005E5B5F">
        <w:tab/>
      </w:r>
      <w:r>
        <w:t>information.  This collection of information is consistent with 5 C.F.R. 1320.</w:t>
      </w:r>
    </w:p>
    <w:p w:rsidR="00354156" w:rsidP="005E5B5F" w:rsidRDefault="008B216E">
      <w:pPr>
        <w:pStyle w:val="ParaNum"/>
        <w:numPr>
          <w:ilvl w:val="0"/>
          <w:numId w:val="31"/>
        </w:numPr>
        <w:tabs>
          <w:tab w:val="clear" w:pos="1440"/>
          <w:tab w:val="left" w:pos="360"/>
        </w:tabs>
      </w:pPr>
      <w:r>
        <w:t xml:space="preserve">A Federal Register </w:t>
      </w:r>
      <w:r w:rsidR="00C17676">
        <w:t xml:space="preserve">Notice </w:t>
      </w:r>
      <w:r>
        <w:t xml:space="preserve">appeared in the Federal Register seeking comment from </w:t>
      </w:r>
      <w:r w:rsidR="005E5B5F">
        <w:tab/>
      </w:r>
      <w:r w:rsidR="005E5B5F">
        <w:tab/>
      </w:r>
      <w:r w:rsidR="005E5B5F">
        <w:tab/>
      </w:r>
      <w:r>
        <w:t xml:space="preserve">the public on the </w:t>
      </w:r>
      <w:r w:rsidR="00C17676">
        <w:t xml:space="preserve">information collection </w:t>
      </w:r>
      <w:r>
        <w:t xml:space="preserve">requirements contained in this collection (see </w:t>
      </w:r>
      <w:r w:rsidR="005E5B5F">
        <w:tab/>
      </w:r>
      <w:r w:rsidR="005E5B5F">
        <w:tab/>
      </w:r>
      <w:r>
        <w:t>8</w:t>
      </w:r>
      <w:r w:rsidR="009A4C28">
        <w:t>5</w:t>
      </w:r>
      <w:r w:rsidR="00D058B8">
        <w:t xml:space="preserve"> FR</w:t>
      </w:r>
      <w:r w:rsidR="00372FC2">
        <w:t xml:space="preserve"> 1650</w:t>
      </w:r>
      <w:r>
        <w:t xml:space="preserve">) on </w:t>
      </w:r>
      <w:r w:rsidR="009A4C28">
        <w:t xml:space="preserve">November </w:t>
      </w:r>
      <w:r w:rsidR="00372FC2">
        <w:t>10, 2</w:t>
      </w:r>
      <w:r w:rsidR="009A4C28">
        <w:t>020</w:t>
      </w:r>
      <w:r w:rsidR="00174CCE">
        <w:t xml:space="preserve"> </w:t>
      </w:r>
      <w:r w:rsidR="00C17676">
        <w:t>in compliance wi</w:t>
      </w:r>
      <w:r w:rsidR="00801B52">
        <w:t xml:space="preserve">th 5 CFR </w:t>
      </w:r>
      <w:r w:rsidR="00C17676">
        <w:t>Section 1320.8</w:t>
      </w:r>
      <w:r w:rsidR="00801B52">
        <w:t>(d)</w:t>
      </w:r>
      <w:r w:rsidR="00C17676">
        <w:t xml:space="preserve">.  </w:t>
      </w:r>
      <w:r w:rsidR="00372FC2">
        <w:tab/>
      </w:r>
      <w:r w:rsidR="00372FC2">
        <w:tab/>
      </w:r>
      <w:r w:rsidR="00372FC2">
        <w:tab/>
      </w:r>
      <w:r w:rsidR="00354156">
        <w:t xml:space="preserve">No </w:t>
      </w:r>
      <w:r w:rsidR="00801B52">
        <w:t xml:space="preserve">PRA </w:t>
      </w:r>
      <w:r w:rsidR="00372FC2">
        <w:t>c</w:t>
      </w:r>
      <w:r w:rsidR="00354156">
        <w:t xml:space="preserve">omments were received as a result of the </w:t>
      </w:r>
      <w:r w:rsidR="00E47955">
        <w:t>Federal Register N</w:t>
      </w:r>
      <w:r w:rsidR="00801B52">
        <w:t>otice</w:t>
      </w:r>
      <w:r>
        <w:t xml:space="preserve"> from the </w:t>
      </w:r>
      <w:r w:rsidR="00372FC2">
        <w:tab/>
      </w:r>
      <w:r w:rsidR="00372FC2">
        <w:tab/>
      </w:r>
      <w:r w:rsidR="00372FC2">
        <w:tab/>
      </w:r>
      <w:r>
        <w:t>public</w:t>
      </w:r>
      <w:r w:rsidR="00801B52">
        <w:t xml:space="preserve">.  </w:t>
      </w:r>
    </w:p>
    <w:p w:rsidR="00C17676" w:rsidP="005E5B5F" w:rsidRDefault="00C17676">
      <w:pPr>
        <w:pStyle w:val="ParaNum"/>
        <w:numPr>
          <w:ilvl w:val="0"/>
          <w:numId w:val="30"/>
        </w:numPr>
        <w:tabs>
          <w:tab w:val="clear" w:pos="1440"/>
          <w:tab w:val="left" w:pos="360"/>
        </w:tabs>
      </w:pPr>
      <w:r>
        <w:t>Respondents will not receive any payments</w:t>
      </w:r>
      <w:r w:rsidR="008B216E">
        <w:t xml:space="preserve"> associated with this collection of </w:t>
      </w:r>
      <w:r w:rsidR="005E5B5F">
        <w:tab/>
      </w:r>
      <w:r w:rsidR="005E5B5F">
        <w:tab/>
      </w:r>
      <w:r w:rsidR="005E5B5F">
        <w:tab/>
      </w:r>
      <w:r w:rsidR="005E5B5F">
        <w:tab/>
      </w:r>
      <w:r w:rsidR="008B216E">
        <w:t>information</w:t>
      </w:r>
      <w:r>
        <w:t>.</w:t>
      </w:r>
    </w:p>
    <w:p w:rsidR="00C17676" w:rsidP="005E5B5F" w:rsidRDefault="00C17676">
      <w:pPr>
        <w:pStyle w:val="ParaNum"/>
        <w:numPr>
          <w:ilvl w:val="0"/>
          <w:numId w:val="29"/>
        </w:numPr>
        <w:tabs>
          <w:tab w:val="clear" w:pos="1440"/>
          <w:tab w:val="left" w:pos="360"/>
        </w:tabs>
      </w:pPr>
      <w:r>
        <w:t>There is no need for confidentiality</w:t>
      </w:r>
      <w:r w:rsidR="008B216E">
        <w:t xml:space="preserve"> with this collection of information</w:t>
      </w:r>
      <w:r>
        <w:t>.</w:t>
      </w:r>
    </w:p>
    <w:p w:rsidR="00C17676" w:rsidP="005E5B5F" w:rsidRDefault="00C17676">
      <w:pPr>
        <w:pStyle w:val="ParaNum"/>
        <w:numPr>
          <w:ilvl w:val="0"/>
          <w:numId w:val="28"/>
        </w:numPr>
        <w:tabs>
          <w:tab w:val="clear" w:pos="1440"/>
          <w:tab w:val="left" w:pos="360"/>
        </w:tabs>
      </w:pPr>
      <w:r>
        <w:t>This collection does not address any private matters of a sensitive nature.</w:t>
      </w:r>
    </w:p>
    <w:p w:rsidR="00C17676" w:rsidP="005E5B5F" w:rsidRDefault="00C17676">
      <w:pPr>
        <w:pStyle w:val="ParaNum"/>
        <w:numPr>
          <w:ilvl w:val="0"/>
          <w:numId w:val="27"/>
        </w:numPr>
        <w:tabs>
          <w:tab w:val="clear" w:pos="1440"/>
          <w:tab w:val="left" w:pos="360"/>
        </w:tabs>
      </w:pPr>
      <w:r w:rsidRPr="00A535A5">
        <w:t>A</w:t>
      </w:r>
      <w:r w:rsidRPr="00A535A5" w:rsidR="00B735D6">
        <w:t xml:space="preserve">ccording to </w:t>
      </w:r>
      <w:r w:rsidR="00D242CA">
        <w:t>Commission licensing records</w:t>
      </w:r>
      <w:r w:rsidR="00C513F6">
        <w:t xml:space="preserve">, </w:t>
      </w:r>
      <w:r w:rsidRPr="00A535A5" w:rsidR="00B735D6">
        <w:t xml:space="preserve">there </w:t>
      </w:r>
      <w:r w:rsidRPr="00A535A5" w:rsidR="00F1599A">
        <w:t>are</w:t>
      </w:r>
      <w:r w:rsidRPr="00A535A5" w:rsidR="00B735D6">
        <w:t xml:space="preserve"> a</w:t>
      </w:r>
      <w:r w:rsidRPr="00A535A5">
        <w:t xml:space="preserve">pproximately </w:t>
      </w:r>
      <w:r w:rsidR="00203D25">
        <w:t>1</w:t>
      </w:r>
      <w:r w:rsidR="00AE6E66">
        <w:t>49</w:t>
      </w:r>
      <w:r w:rsidRPr="00A535A5" w:rsidR="00203D25">
        <w:t xml:space="preserve"> </w:t>
      </w:r>
      <w:r w:rsidRPr="00A535A5" w:rsidR="00F1599A">
        <w:t xml:space="preserve">applicants </w:t>
      </w:r>
      <w:r w:rsidR="005E5B5F">
        <w:tab/>
      </w:r>
      <w:r w:rsidR="005E5B5F">
        <w:tab/>
      </w:r>
      <w:r w:rsidR="005E5B5F">
        <w:tab/>
      </w:r>
      <w:r w:rsidRPr="00A535A5" w:rsidR="00A535A5">
        <w:t xml:space="preserve">that </w:t>
      </w:r>
      <w:r w:rsidRPr="00A535A5" w:rsidR="00F1599A">
        <w:t>request</w:t>
      </w:r>
      <w:r w:rsidRPr="00A535A5" w:rsidR="00A535A5">
        <w:t>ed</w:t>
      </w:r>
      <w:r w:rsidRPr="00A535A5" w:rsidR="00F1599A">
        <w:t xml:space="preserve"> </w:t>
      </w:r>
      <w:r w:rsidRPr="00A535A5" w:rsidR="00A535A5">
        <w:t xml:space="preserve">authorization of systems located less than the required co-channel </w:t>
      </w:r>
      <w:r w:rsidR="005E5B5F">
        <w:tab/>
      </w:r>
      <w:r w:rsidR="005E5B5F">
        <w:tab/>
      </w:r>
      <w:r w:rsidR="005E5B5F">
        <w:tab/>
      </w:r>
      <w:r w:rsidRPr="00A535A5" w:rsidR="00A535A5">
        <w:t xml:space="preserve">separation distance </w:t>
      </w:r>
      <w:r w:rsidRPr="00A535A5" w:rsidR="00F1599A">
        <w:t xml:space="preserve">over the last three years.  We divide </w:t>
      </w:r>
      <w:r w:rsidR="00203D25">
        <w:t>1</w:t>
      </w:r>
      <w:r w:rsidR="00AE6E66">
        <w:t>49</w:t>
      </w:r>
      <w:r w:rsidR="00203D25">
        <w:t xml:space="preserve"> </w:t>
      </w:r>
      <w:r w:rsidRPr="00A535A5" w:rsidR="00F1599A">
        <w:t xml:space="preserve">by 3 to get the number </w:t>
      </w:r>
      <w:r w:rsidR="005E5B5F">
        <w:tab/>
      </w:r>
      <w:r w:rsidR="005E5B5F">
        <w:tab/>
      </w:r>
      <w:r w:rsidR="005E5B5F">
        <w:tab/>
      </w:r>
      <w:r w:rsidRPr="00A535A5" w:rsidR="00F1599A">
        <w:t>of applicants per annum</w:t>
      </w:r>
      <w:r w:rsidRPr="00A535A5" w:rsidR="00A535A5">
        <w:t xml:space="preserve">, which </w:t>
      </w:r>
      <w:r w:rsidR="00203D25">
        <w:t>is approximately</w:t>
      </w:r>
      <w:r w:rsidRPr="00A535A5" w:rsidR="00A535A5">
        <w:t xml:space="preserve"> </w:t>
      </w:r>
      <w:r w:rsidR="00AE6E66">
        <w:t>50</w:t>
      </w:r>
      <w:r w:rsidRPr="00A535A5" w:rsidR="00B735D6">
        <w:t xml:space="preserve"> </w:t>
      </w:r>
      <w:r w:rsidRPr="00A535A5">
        <w:t>applicants</w:t>
      </w:r>
      <w:r w:rsidR="005B2766">
        <w:t xml:space="preserve"> (rounded)</w:t>
      </w:r>
      <w:r w:rsidRPr="00A535A5">
        <w:t xml:space="preserve">.  The </w:t>
      </w:r>
      <w:r w:rsidR="005E5B5F">
        <w:tab/>
      </w:r>
      <w:r w:rsidR="005E5B5F">
        <w:tab/>
      </w:r>
      <w:r w:rsidR="005E5B5F">
        <w:tab/>
      </w:r>
      <w:r w:rsidRPr="00A535A5">
        <w:t xml:space="preserve">average burden on the applicant </w:t>
      </w:r>
      <w:r w:rsidRPr="00A535A5" w:rsidR="00CC3BE5">
        <w:t>remains</w:t>
      </w:r>
      <w:r w:rsidRPr="00A535A5">
        <w:t xml:space="preserve"> 1.5 hours for the information necessary to </w:t>
      </w:r>
      <w:r w:rsidR="005E5B5F">
        <w:tab/>
      </w:r>
      <w:r w:rsidR="005E5B5F">
        <w:tab/>
      </w:r>
      <w:r w:rsidR="005E5B5F">
        <w:tab/>
      </w:r>
      <w:r w:rsidRPr="00A535A5">
        <w:t xml:space="preserve">request </w:t>
      </w:r>
      <w:r w:rsidR="005D55F8">
        <w:t xml:space="preserve">authorization of </w:t>
      </w:r>
      <w:r w:rsidRPr="00A535A5">
        <w:t>the proposed system</w:t>
      </w:r>
      <w:r w:rsidRPr="00A535A5" w:rsidR="00CC3BE5">
        <w:t xml:space="preserve">. </w:t>
      </w:r>
      <w:r w:rsidRPr="00A535A5" w:rsidR="00CA1E23">
        <w:t xml:space="preserve"> </w:t>
      </w:r>
    </w:p>
    <w:p w:rsidR="00A535A5" w:rsidP="00A535A5" w:rsidRDefault="00440EB3">
      <w:pPr>
        <w:ind w:left="1080"/>
        <w:rPr>
          <w:sz w:val="22"/>
        </w:rPr>
      </w:pPr>
      <w:r>
        <w:rPr>
          <w:sz w:val="22"/>
        </w:rPr>
        <w:tab/>
      </w:r>
      <w:r w:rsidR="00AE6E66">
        <w:rPr>
          <w:sz w:val="22"/>
        </w:rPr>
        <w:t>50</w:t>
      </w:r>
      <w:r w:rsidRPr="00CC3BE5" w:rsidR="00203D25">
        <w:rPr>
          <w:sz w:val="22"/>
        </w:rPr>
        <w:t xml:space="preserve"> </w:t>
      </w:r>
      <w:r w:rsidRPr="00CC3BE5" w:rsidR="009971A1">
        <w:rPr>
          <w:sz w:val="22"/>
        </w:rPr>
        <w:t>applicants</w:t>
      </w:r>
      <w:r w:rsidRPr="00CC3BE5" w:rsidR="0030054C">
        <w:rPr>
          <w:sz w:val="22"/>
        </w:rPr>
        <w:t xml:space="preserve"> </w:t>
      </w:r>
      <w:r w:rsidR="00A535A5">
        <w:rPr>
          <w:sz w:val="22"/>
        </w:rPr>
        <w:t>x 1</w:t>
      </w:r>
      <w:r w:rsidRPr="00CC3BE5" w:rsidR="00C17676">
        <w:rPr>
          <w:sz w:val="22"/>
        </w:rPr>
        <w:t>.5 hours</w:t>
      </w:r>
      <w:r w:rsidR="005B2766">
        <w:rPr>
          <w:sz w:val="22"/>
        </w:rPr>
        <w:t>/response</w:t>
      </w:r>
      <w:r w:rsidRPr="00CC3BE5" w:rsidR="00C17676">
        <w:rPr>
          <w:sz w:val="22"/>
        </w:rPr>
        <w:t xml:space="preserve"> = </w:t>
      </w:r>
      <w:r w:rsidR="00AE6E66">
        <w:rPr>
          <w:sz w:val="22"/>
        </w:rPr>
        <w:t>75</w:t>
      </w:r>
      <w:r w:rsidR="00203D25">
        <w:rPr>
          <w:sz w:val="22"/>
        </w:rPr>
        <w:t xml:space="preserve"> </w:t>
      </w:r>
      <w:r w:rsidR="00A535A5">
        <w:rPr>
          <w:sz w:val="22"/>
        </w:rPr>
        <w:t>hours.</w:t>
      </w:r>
    </w:p>
    <w:p w:rsidRPr="00CC3BE5" w:rsidR="00C17676" w:rsidRDefault="00C17676">
      <w:pPr>
        <w:ind w:left="360"/>
        <w:rPr>
          <w:sz w:val="22"/>
        </w:rPr>
      </w:pPr>
    </w:p>
    <w:p w:rsidR="005B2766" w:rsidRDefault="00440EB3">
      <w:pPr>
        <w:pStyle w:val="Heading2"/>
      </w:pPr>
      <w:r>
        <w:tab/>
      </w:r>
      <w:r w:rsidRPr="00CC3BE5" w:rsidR="009971A1">
        <w:t xml:space="preserve">Total </w:t>
      </w:r>
      <w:r w:rsidRPr="00CC3BE5" w:rsidR="007115ED">
        <w:t>Annual B</w:t>
      </w:r>
      <w:r w:rsidRPr="00CC3BE5" w:rsidR="00C17676">
        <w:t>urden</w:t>
      </w:r>
      <w:r w:rsidRPr="00CC3BE5" w:rsidR="009971A1">
        <w:t xml:space="preserve"> Hours</w:t>
      </w:r>
      <w:r w:rsidRPr="00CC3BE5" w:rsidR="00C17676">
        <w:t xml:space="preserve">: </w:t>
      </w:r>
      <w:r w:rsidR="00AE6E66">
        <w:t>75</w:t>
      </w:r>
      <w:r w:rsidRPr="00CC3BE5" w:rsidR="00203D25">
        <w:t xml:space="preserve"> </w:t>
      </w:r>
      <w:r w:rsidRPr="00CC3BE5" w:rsidR="007115ED">
        <w:t>hours</w:t>
      </w:r>
      <w:r w:rsidR="00C11E40">
        <w:t>.</w:t>
      </w:r>
    </w:p>
    <w:p w:rsidR="005B2766" w:rsidRDefault="005B2766">
      <w:pPr>
        <w:pStyle w:val="Heading2"/>
      </w:pPr>
    </w:p>
    <w:p w:rsidR="005B2766" w:rsidRDefault="005B2766">
      <w:pPr>
        <w:pStyle w:val="Heading2"/>
      </w:pPr>
      <w:r>
        <w:tab/>
        <w:t xml:space="preserve">Total Number of Annual Respondents: </w:t>
      </w:r>
      <w:r w:rsidR="00AE6E66">
        <w:t>50</w:t>
      </w:r>
      <w:r>
        <w:t>.</w:t>
      </w:r>
    </w:p>
    <w:p w:rsidR="005B2766" w:rsidRDefault="005B2766">
      <w:pPr>
        <w:pStyle w:val="Heading2"/>
      </w:pPr>
    </w:p>
    <w:p w:rsidR="005B2766" w:rsidRDefault="005B2766">
      <w:pPr>
        <w:pStyle w:val="Heading2"/>
      </w:pPr>
      <w:r>
        <w:tab/>
        <w:t xml:space="preserve">Total Number of Annual Responses:  </w:t>
      </w:r>
      <w:r w:rsidR="00AE6E66">
        <w:t>50</w:t>
      </w:r>
      <w:r>
        <w:t>.</w:t>
      </w:r>
    </w:p>
    <w:p w:rsidR="005B2766" w:rsidRDefault="005B2766">
      <w:pPr>
        <w:pStyle w:val="Heading2"/>
      </w:pPr>
    </w:p>
    <w:p w:rsidR="00C17676" w:rsidRDefault="005B2766">
      <w:pPr>
        <w:pStyle w:val="Heading2"/>
      </w:pPr>
      <w:r>
        <w:tab/>
      </w:r>
      <w:r>
        <w:rPr>
          <w:b w:val="0"/>
        </w:rPr>
        <w:t>There is no in-house cost associated with this collection of information.</w:t>
      </w:r>
      <w:r>
        <w:t xml:space="preserve">  </w:t>
      </w:r>
      <w:r w:rsidR="00C17676">
        <w:t xml:space="preserve"> </w:t>
      </w:r>
    </w:p>
    <w:p w:rsidR="005620BD" w:rsidP="005620BD" w:rsidRDefault="005620BD"/>
    <w:p w:rsidR="00C17676" w:rsidP="005620BD" w:rsidRDefault="005620BD">
      <w:pPr>
        <w:pStyle w:val="ParaNum"/>
        <w:numPr>
          <w:ilvl w:val="0"/>
          <w:numId w:val="0"/>
        </w:numPr>
        <w:tabs>
          <w:tab w:val="clear" w:pos="1440"/>
          <w:tab w:val="left" w:pos="360"/>
        </w:tabs>
        <w:ind w:left="720"/>
      </w:pPr>
      <w:bookmarkStart w:name="_GoBack" w:id="2"/>
      <w:bookmarkEnd w:id="2"/>
      <w:r>
        <w:t xml:space="preserve">13.  </w:t>
      </w:r>
      <w:r w:rsidR="00C17676">
        <w:t xml:space="preserve">Cost to the respondent: </w:t>
      </w:r>
    </w:p>
    <w:p w:rsidR="00C17676" w:rsidP="00695C47" w:rsidRDefault="005E5B5F">
      <w:pPr>
        <w:ind w:firstLine="720"/>
        <w:rPr>
          <w:sz w:val="22"/>
        </w:rPr>
      </w:pPr>
      <w:r>
        <w:rPr>
          <w:sz w:val="22"/>
        </w:rPr>
        <w:tab/>
      </w:r>
      <w:r w:rsidR="00C17676">
        <w:rPr>
          <w:sz w:val="22"/>
        </w:rPr>
        <w:t>a) There are no capital and start-up</w:t>
      </w:r>
      <w:r w:rsidR="009971A1">
        <w:rPr>
          <w:sz w:val="22"/>
        </w:rPr>
        <w:t xml:space="preserve"> costs</w:t>
      </w:r>
      <w:r w:rsidR="00C17676">
        <w:rPr>
          <w:sz w:val="22"/>
        </w:rPr>
        <w:t>.</w:t>
      </w:r>
    </w:p>
    <w:p w:rsidR="00C17676" w:rsidRDefault="00C17676">
      <w:pPr>
        <w:rPr>
          <w:sz w:val="22"/>
        </w:rPr>
      </w:pPr>
    </w:p>
    <w:p w:rsidR="00C17676" w:rsidP="00695C47" w:rsidRDefault="005E5B5F">
      <w:pPr>
        <w:ind w:left="720"/>
        <w:rPr>
          <w:sz w:val="22"/>
        </w:rPr>
      </w:pPr>
      <w:r>
        <w:rPr>
          <w:sz w:val="22"/>
        </w:rPr>
        <w:lastRenderedPageBreak/>
        <w:tab/>
      </w:r>
      <w:r w:rsidR="00C17676">
        <w:rPr>
          <w:sz w:val="22"/>
        </w:rPr>
        <w:t xml:space="preserve">b) We presume that the respondents contracting out the information would use an </w:t>
      </w:r>
      <w:r>
        <w:rPr>
          <w:sz w:val="22"/>
        </w:rPr>
        <w:tab/>
      </w:r>
      <w:r w:rsidR="00E47955">
        <w:rPr>
          <w:sz w:val="22"/>
        </w:rPr>
        <w:t>“</w:t>
      </w:r>
      <w:r w:rsidR="00D23CE5">
        <w:rPr>
          <w:sz w:val="22"/>
        </w:rPr>
        <w:t xml:space="preserve">outside </w:t>
      </w:r>
      <w:r w:rsidR="00C17676">
        <w:rPr>
          <w:sz w:val="22"/>
        </w:rPr>
        <w:t>engineer or attorney</w:t>
      </w:r>
      <w:r w:rsidR="00E47955">
        <w:rPr>
          <w:sz w:val="22"/>
        </w:rPr>
        <w:t>”</w:t>
      </w:r>
      <w:r w:rsidR="00C17676">
        <w:rPr>
          <w:sz w:val="22"/>
        </w:rPr>
        <w:t xml:space="preserve"> (average $2</w:t>
      </w:r>
      <w:r w:rsidR="00D77457">
        <w:rPr>
          <w:sz w:val="22"/>
        </w:rPr>
        <w:t>5</w:t>
      </w:r>
      <w:r w:rsidR="00C17676">
        <w:rPr>
          <w:sz w:val="22"/>
        </w:rPr>
        <w:t xml:space="preserve">0 per hour) to prepare the </w:t>
      </w:r>
      <w:r>
        <w:rPr>
          <w:sz w:val="22"/>
        </w:rPr>
        <w:tab/>
      </w:r>
      <w:r w:rsidR="00C17676">
        <w:rPr>
          <w:sz w:val="22"/>
        </w:rPr>
        <w:t>information.</w:t>
      </w:r>
      <w:r w:rsidR="00F85028">
        <w:rPr>
          <w:sz w:val="22"/>
        </w:rPr>
        <w:t xml:space="preserve">  The information is estimated to take 0.5 per response.</w:t>
      </w:r>
    </w:p>
    <w:p w:rsidR="00A9278C" w:rsidP="00695C47" w:rsidRDefault="00A9278C">
      <w:pPr>
        <w:ind w:left="1080" w:firstLine="360"/>
        <w:rPr>
          <w:sz w:val="22"/>
        </w:rPr>
      </w:pPr>
    </w:p>
    <w:p w:rsidRPr="00D20340" w:rsidR="00C17676" w:rsidP="00695C47" w:rsidRDefault="00AE6E66">
      <w:pPr>
        <w:ind w:left="1080" w:firstLine="360"/>
        <w:rPr>
          <w:b/>
          <w:sz w:val="22"/>
        </w:rPr>
      </w:pPr>
      <w:r>
        <w:rPr>
          <w:sz w:val="22"/>
        </w:rPr>
        <w:t>50</w:t>
      </w:r>
      <w:r w:rsidRPr="00D20340" w:rsidR="00203D25">
        <w:rPr>
          <w:sz w:val="22"/>
        </w:rPr>
        <w:t xml:space="preserve"> </w:t>
      </w:r>
      <w:r w:rsidRPr="00D20340" w:rsidR="009971A1">
        <w:rPr>
          <w:sz w:val="22"/>
        </w:rPr>
        <w:t>respon</w:t>
      </w:r>
      <w:r w:rsidR="00F85028">
        <w:rPr>
          <w:sz w:val="22"/>
        </w:rPr>
        <w:t>ses</w:t>
      </w:r>
      <w:r w:rsidRPr="00D20340" w:rsidR="00C17676">
        <w:rPr>
          <w:sz w:val="22"/>
        </w:rPr>
        <w:t xml:space="preserve"> x $2</w:t>
      </w:r>
      <w:r w:rsidR="00F85028">
        <w:rPr>
          <w:sz w:val="22"/>
        </w:rPr>
        <w:t>5</w:t>
      </w:r>
      <w:r w:rsidRPr="00D20340" w:rsidR="00C17676">
        <w:rPr>
          <w:sz w:val="22"/>
        </w:rPr>
        <w:t xml:space="preserve">0 per hour x </w:t>
      </w:r>
      <w:r w:rsidRPr="00D20340" w:rsidR="009971A1">
        <w:rPr>
          <w:sz w:val="22"/>
        </w:rPr>
        <w:t>0</w:t>
      </w:r>
      <w:r w:rsidRPr="00D20340" w:rsidR="00C17676">
        <w:rPr>
          <w:sz w:val="22"/>
        </w:rPr>
        <w:t>.5 hours</w:t>
      </w:r>
      <w:r w:rsidR="00F85028">
        <w:rPr>
          <w:sz w:val="22"/>
        </w:rPr>
        <w:t>/response</w:t>
      </w:r>
      <w:r w:rsidRPr="00D20340" w:rsidR="00C17676">
        <w:rPr>
          <w:sz w:val="22"/>
        </w:rPr>
        <w:t xml:space="preserve"> = $</w:t>
      </w:r>
      <w:r>
        <w:rPr>
          <w:sz w:val="22"/>
        </w:rPr>
        <w:t>6,25</w:t>
      </w:r>
      <w:r w:rsidR="0049320F">
        <w:rPr>
          <w:sz w:val="22"/>
        </w:rPr>
        <w:t>0</w:t>
      </w:r>
      <w:r w:rsidR="00A535A5">
        <w:rPr>
          <w:sz w:val="22"/>
        </w:rPr>
        <w:t>.00</w:t>
      </w:r>
      <w:r w:rsidR="00B77015">
        <w:rPr>
          <w:sz w:val="22"/>
        </w:rPr>
        <w:t>.</w:t>
      </w:r>
    </w:p>
    <w:p w:rsidRPr="00D20340" w:rsidR="00C17676" w:rsidRDefault="00C17676">
      <w:pPr>
        <w:ind w:left="360"/>
        <w:rPr>
          <w:sz w:val="22"/>
        </w:rPr>
      </w:pPr>
    </w:p>
    <w:p w:rsidR="00C17676" w:rsidP="00695C47" w:rsidRDefault="00C17676">
      <w:pPr>
        <w:ind w:left="720" w:firstLine="720"/>
        <w:rPr>
          <w:b/>
          <w:sz w:val="22"/>
        </w:rPr>
      </w:pPr>
      <w:r w:rsidRPr="00D20340">
        <w:rPr>
          <w:b/>
          <w:sz w:val="22"/>
        </w:rPr>
        <w:t xml:space="preserve">Total </w:t>
      </w:r>
      <w:r w:rsidR="00440EB3">
        <w:rPr>
          <w:b/>
          <w:sz w:val="22"/>
        </w:rPr>
        <w:t xml:space="preserve">Annual </w:t>
      </w:r>
      <w:r w:rsidR="00C11E40">
        <w:rPr>
          <w:b/>
          <w:sz w:val="22"/>
        </w:rPr>
        <w:t xml:space="preserve">Outside Contracting </w:t>
      </w:r>
      <w:r w:rsidR="00440EB3">
        <w:rPr>
          <w:b/>
          <w:sz w:val="22"/>
        </w:rPr>
        <w:t>C</w:t>
      </w:r>
      <w:r w:rsidRPr="00D20340">
        <w:rPr>
          <w:b/>
          <w:sz w:val="22"/>
        </w:rPr>
        <w:t>osts: $</w:t>
      </w:r>
      <w:r w:rsidR="00AE6E66">
        <w:rPr>
          <w:b/>
          <w:sz w:val="22"/>
        </w:rPr>
        <w:t>6,25</w:t>
      </w:r>
      <w:r w:rsidR="00A535A5">
        <w:rPr>
          <w:b/>
          <w:sz w:val="22"/>
        </w:rPr>
        <w:t>0</w:t>
      </w:r>
      <w:r w:rsidRPr="00D20340" w:rsidR="007115ED">
        <w:rPr>
          <w:b/>
          <w:sz w:val="22"/>
        </w:rPr>
        <w:t>.</w:t>
      </w:r>
      <w:r w:rsidRPr="00D20340" w:rsidR="00C341E6">
        <w:rPr>
          <w:b/>
          <w:sz w:val="22"/>
        </w:rPr>
        <w:t>00</w:t>
      </w:r>
      <w:r w:rsidR="00B77015">
        <w:rPr>
          <w:b/>
          <w:sz w:val="22"/>
        </w:rPr>
        <w:t>.</w:t>
      </w:r>
      <w:r w:rsidRPr="00D20340" w:rsidR="00C341E6">
        <w:rPr>
          <w:b/>
          <w:sz w:val="22"/>
        </w:rPr>
        <w:t xml:space="preserve"> </w:t>
      </w:r>
    </w:p>
    <w:p w:rsidR="00F40DBC" w:rsidP="00F40DBC" w:rsidRDefault="00A535A5">
      <w:pPr>
        <w:tabs>
          <w:tab w:val="left" w:pos="5790"/>
        </w:tabs>
        <w:ind w:left="360"/>
        <w:rPr>
          <w:sz w:val="22"/>
        </w:rPr>
      </w:pPr>
      <w:r>
        <w:rPr>
          <w:sz w:val="22"/>
        </w:rPr>
        <w:tab/>
      </w:r>
    </w:p>
    <w:p w:rsidR="00C17676" w:rsidP="00F40DBC" w:rsidRDefault="00F40DBC">
      <w:pPr>
        <w:tabs>
          <w:tab w:val="left" w:pos="5790"/>
        </w:tabs>
        <w:ind w:left="360"/>
      </w:pPr>
      <w:r>
        <w:rPr>
          <w:sz w:val="22"/>
        </w:rPr>
        <w:t xml:space="preserve">14.  </w:t>
      </w:r>
      <w:r w:rsidR="00C17676">
        <w:t xml:space="preserve">Cost to the Federal Government.  The government review time per response for </w:t>
      </w:r>
      <w:r>
        <w:t xml:space="preserve">     </w:t>
      </w:r>
      <w:r w:rsidR="00C17676">
        <w:t>this submission is estimated at 30 minutes with review being done by personnel GS-14</w:t>
      </w:r>
      <w:r w:rsidR="00C341E6">
        <w:t>/5</w:t>
      </w:r>
      <w:r w:rsidR="00C17676">
        <w:t xml:space="preserve"> level</w:t>
      </w:r>
      <w:r w:rsidR="00B77015">
        <w:t xml:space="preserve"> ($</w:t>
      </w:r>
      <w:r w:rsidR="00AE6E66">
        <w:t>6</w:t>
      </w:r>
      <w:r w:rsidR="00372FC2">
        <w:t>6.54</w:t>
      </w:r>
      <w:r w:rsidR="00B77015">
        <w:t>/hour)</w:t>
      </w:r>
      <w:r w:rsidR="00C17676">
        <w:t>.</w:t>
      </w:r>
    </w:p>
    <w:p w:rsidRPr="00F40DBC" w:rsidR="00F40DBC" w:rsidP="00F40DBC" w:rsidRDefault="00F40DBC">
      <w:pPr>
        <w:tabs>
          <w:tab w:val="left" w:pos="5790"/>
        </w:tabs>
        <w:ind w:left="360"/>
        <w:rPr>
          <w:sz w:val="22"/>
        </w:rPr>
      </w:pPr>
    </w:p>
    <w:p w:rsidRPr="008F13EC" w:rsidR="00C17676" w:rsidP="00695C47" w:rsidRDefault="00AE6E66">
      <w:pPr>
        <w:ind w:left="1080" w:firstLine="360"/>
        <w:rPr>
          <w:b/>
          <w:sz w:val="22"/>
        </w:rPr>
      </w:pPr>
      <w:r>
        <w:rPr>
          <w:sz w:val="22"/>
        </w:rPr>
        <w:t>50</w:t>
      </w:r>
      <w:r w:rsidRPr="008F13EC" w:rsidR="00203D25">
        <w:rPr>
          <w:b/>
          <w:sz w:val="22"/>
        </w:rPr>
        <w:t xml:space="preserve"> </w:t>
      </w:r>
      <w:r w:rsidRPr="008F13EC" w:rsidR="00C17676">
        <w:rPr>
          <w:sz w:val="22"/>
        </w:rPr>
        <w:t>applications x 0.5 hours</w:t>
      </w:r>
      <w:r w:rsidR="00B77015">
        <w:rPr>
          <w:sz w:val="22"/>
        </w:rPr>
        <w:t>/application</w:t>
      </w:r>
      <w:r w:rsidRPr="008F13EC" w:rsidR="00C17676">
        <w:rPr>
          <w:sz w:val="22"/>
        </w:rPr>
        <w:t xml:space="preserve"> x $</w:t>
      </w:r>
      <w:r>
        <w:rPr>
          <w:sz w:val="22"/>
        </w:rPr>
        <w:t>6</w:t>
      </w:r>
      <w:r w:rsidR="00372FC2">
        <w:rPr>
          <w:sz w:val="22"/>
        </w:rPr>
        <w:t>6.54</w:t>
      </w:r>
      <w:r w:rsidRPr="008F13EC" w:rsidR="009971A1">
        <w:rPr>
          <w:sz w:val="22"/>
        </w:rPr>
        <w:t>/hr.</w:t>
      </w:r>
      <w:r w:rsidRPr="008F13EC" w:rsidR="00C17676">
        <w:rPr>
          <w:sz w:val="22"/>
        </w:rPr>
        <w:t xml:space="preserve"> = $</w:t>
      </w:r>
      <w:r w:rsidR="00372FC2">
        <w:rPr>
          <w:sz w:val="22"/>
        </w:rPr>
        <w:t>1,663.50</w:t>
      </w:r>
      <w:r w:rsidR="00B77015">
        <w:rPr>
          <w:sz w:val="22"/>
        </w:rPr>
        <w:t>.</w:t>
      </w:r>
    </w:p>
    <w:p w:rsidRPr="008F13EC" w:rsidR="00C17676" w:rsidRDefault="00C17676">
      <w:pPr>
        <w:ind w:left="360"/>
        <w:rPr>
          <w:sz w:val="22"/>
        </w:rPr>
      </w:pPr>
    </w:p>
    <w:p w:rsidRPr="008F13EC" w:rsidR="00C17676" w:rsidP="00695C47" w:rsidRDefault="00C17676">
      <w:pPr>
        <w:pStyle w:val="Heading2"/>
        <w:ind w:left="720" w:firstLine="720"/>
      </w:pPr>
      <w:r w:rsidRPr="008F13EC">
        <w:t>Total cost</w:t>
      </w:r>
      <w:r w:rsidRPr="008F13EC" w:rsidR="009971A1">
        <w:t xml:space="preserve"> to the Federal Government: = $</w:t>
      </w:r>
      <w:r w:rsidR="00B77015">
        <w:t>1,</w:t>
      </w:r>
      <w:r w:rsidR="009A4C28">
        <w:t>6</w:t>
      </w:r>
      <w:r w:rsidR="00372FC2">
        <w:t>63.50</w:t>
      </w:r>
      <w:r w:rsidR="00B77015">
        <w:t>.</w:t>
      </w:r>
    </w:p>
    <w:p w:rsidRPr="008F13EC" w:rsidR="00C17676" w:rsidRDefault="00C17676">
      <w:pPr>
        <w:rPr>
          <w:sz w:val="22"/>
        </w:rPr>
      </w:pPr>
    </w:p>
    <w:p w:rsidR="009A4C28" w:rsidP="009A4C28" w:rsidRDefault="00E47955">
      <w:pPr>
        <w:pStyle w:val="ParaNum"/>
        <w:numPr>
          <w:ilvl w:val="0"/>
          <w:numId w:val="0"/>
        </w:numPr>
        <w:tabs>
          <w:tab w:val="clear" w:pos="1440"/>
          <w:tab w:val="left" w:pos="720"/>
        </w:tabs>
        <w:ind w:left="720" w:hanging="360"/>
      </w:pPr>
      <w:r>
        <w:t>15.  T</w:t>
      </w:r>
      <w:r w:rsidRPr="008F13EC" w:rsidR="00C17676">
        <w:t>h</w:t>
      </w:r>
      <w:r w:rsidRPr="008F13EC" w:rsidR="005E571C">
        <w:t>e</w:t>
      </w:r>
      <w:r w:rsidR="00231515">
        <w:t xml:space="preserve">re are no </w:t>
      </w:r>
      <w:r w:rsidR="00B77015">
        <w:t xml:space="preserve">program </w:t>
      </w:r>
      <w:r w:rsidR="00231515">
        <w:t xml:space="preserve">changes </w:t>
      </w:r>
      <w:r w:rsidR="009A4C28">
        <w:t xml:space="preserve">or adjustments </w:t>
      </w:r>
      <w:r w:rsidR="00231515">
        <w:t xml:space="preserve">to </w:t>
      </w:r>
      <w:r w:rsidR="009A4C28">
        <w:t xml:space="preserve">the </w:t>
      </w:r>
      <w:r w:rsidR="00B77015">
        <w:t xml:space="preserve">collection.  </w:t>
      </w:r>
    </w:p>
    <w:p w:rsidR="009A4C28" w:rsidP="009A4C28" w:rsidRDefault="009A4C28">
      <w:pPr>
        <w:pStyle w:val="ParaNum"/>
        <w:numPr>
          <w:ilvl w:val="0"/>
          <w:numId w:val="0"/>
        </w:numPr>
        <w:tabs>
          <w:tab w:val="clear" w:pos="1440"/>
          <w:tab w:val="left" w:pos="720"/>
        </w:tabs>
        <w:ind w:left="720" w:hanging="360"/>
      </w:pPr>
      <w:r>
        <w:t xml:space="preserve">16.   </w:t>
      </w:r>
      <w:r w:rsidR="00C17676">
        <w:t>This data will not be published for statistical use</w:t>
      </w:r>
    </w:p>
    <w:p w:rsidR="009A4C28" w:rsidP="009A4C28" w:rsidRDefault="009A4C28">
      <w:pPr>
        <w:pStyle w:val="ParaNum"/>
        <w:numPr>
          <w:ilvl w:val="0"/>
          <w:numId w:val="0"/>
        </w:numPr>
        <w:tabs>
          <w:tab w:val="clear" w:pos="1440"/>
          <w:tab w:val="left" w:pos="720"/>
        </w:tabs>
        <w:ind w:left="720" w:hanging="360"/>
      </w:pPr>
      <w:r>
        <w:t xml:space="preserve">17.  </w:t>
      </w:r>
      <w:r w:rsidR="00C17676">
        <w:t xml:space="preserve">We do not seek approval not to display the expiration date for OMB approval of the </w:t>
      </w:r>
      <w:r>
        <w:t xml:space="preserve">                    </w:t>
      </w:r>
      <w:r w:rsidR="00F40DBC">
        <w:t xml:space="preserve">  </w:t>
      </w:r>
      <w:r w:rsidR="00C17676">
        <w:t>information collection.</w:t>
      </w:r>
    </w:p>
    <w:p w:rsidR="001A2DEC" w:rsidP="009A4C28" w:rsidRDefault="009A4C28">
      <w:pPr>
        <w:pStyle w:val="ParaNum"/>
        <w:numPr>
          <w:ilvl w:val="0"/>
          <w:numId w:val="0"/>
        </w:numPr>
        <w:tabs>
          <w:tab w:val="clear" w:pos="1440"/>
          <w:tab w:val="left" w:pos="720"/>
        </w:tabs>
        <w:ind w:left="720" w:hanging="360"/>
      </w:pPr>
      <w:r>
        <w:t xml:space="preserve">18.  </w:t>
      </w:r>
      <w:r w:rsidR="00C17676">
        <w:t xml:space="preserve">There are </w:t>
      </w:r>
      <w:r w:rsidR="004231E2">
        <w:t xml:space="preserve">no </w:t>
      </w:r>
      <w:r w:rsidR="00452854">
        <w:t>e</w:t>
      </w:r>
      <w:r w:rsidR="00D77457">
        <w:t>xceptions to the certification statement</w:t>
      </w:r>
      <w:r w:rsidR="00DA7BC9">
        <w:t xml:space="preserve">.   </w:t>
      </w:r>
    </w:p>
    <w:p w:rsidRPr="001A2DEC" w:rsidR="00C17676" w:rsidP="001A2DEC" w:rsidRDefault="009A4C28">
      <w:pPr>
        <w:pStyle w:val="ParaNum"/>
        <w:numPr>
          <w:ilvl w:val="0"/>
          <w:numId w:val="21"/>
        </w:numPr>
        <w:tabs>
          <w:tab w:val="clear" w:pos="1440"/>
          <w:tab w:val="left" w:pos="360"/>
        </w:tabs>
        <w:rPr>
          <w:b/>
          <w:u w:val="single"/>
        </w:rPr>
      </w:pPr>
      <w:r w:rsidRPr="00F40DBC">
        <w:rPr>
          <w:b/>
        </w:rPr>
        <w:t xml:space="preserve"> </w:t>
      </w:r>
      <w:r w:rsidRPr="001A2DEC" w:rsidR="00C17676">
        <w:rPr>
          <w:b/>
          <w:u w:val="single"/>
        </w:rPr>
        <w:t>Collections of Information Employing Statistical Methods</w:t>
      </w:r>
      <w:r w:rsidRPr="001A2DEC" w:rsidR="00F34111">
        <w:rPr>
          <w:b/>
          <w:u w:val="single"/>
        </w:rPr>
        <w:t>:</w:t>
      </w:r>
    </w:p>
    <w:p w:rsidR="00C17676" w:rsidRDefault="00C17676">
      <w:pPr>
        <w:ind w:left="360"/>
        <w:rPr>
          <w:sz w:val="22"/>
        </w:rPr>
      </w:pPr>
      <w:r>
        <w:rPr>
          <w:sz w:val="22"/>
        </w:rPr>
        <w:t>No statistical methods are employed.</w:t>
      </w:r>
    </w:p>
    <w:sectPr w:rsidR="00C17676" w:rsidSect="001716BC">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46C" w:rsidRDefault="00A6646C">
      <w:r>
        <w:separator/>
      </w:r>
    </w:p>
  </w:endnote>
  <w:endnote w:type="continuationSeparator" w:id="0">
    <w:p w:rsidR="00A6646C" w:rsidRDefault="00A6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EA" w:rsidRDefault="006E6BEA" w:rsidP="00171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BEA" w:rsidRDefault="006E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EA" w:rsidRDefault="006E6BEA" w:rsidP="00171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80C">
      <w:rPr>
        <w:rStyle w:val="PageNumber"/>
        <w:noProof/>
      </w:rPr>
      <w:t>4</w:t>
    </w:r>
    <w:r>
      <w:rPr>
        <w:rStyle w:val="PageNumber"/>
      </w:rPr>
      <w:fldChar w:fldCharType="end"/>
    </w:r>
  </w:p>
  <w:p w:rsidR="006E6BEA" w:rsidRDefault="006E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46C" w:rsidRDefault="00A6646C">
      <w:r>
        <w:separator/>
      </w:r>
    </w:p>
  </w:footnote>
  <w:footnote w:type="continuationSeparator" w:id="0">
    <w:p w:rsidR="00A6646C" w:rsidRDefault="00A6646C">
      <w:r>
        <w:continuationSeparator/>
      </w:r>
    </w:p>
  </w:footnote>
  <w:footnote w:id="1">
    <w:p w:rsidR="006E6BEA" w:rsidRPr="00CC6CEC" w:rsidRDefault="006E6BEA" w:rsidP="006E6E31">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 xml:space="preserve">Separations for stations on Santiago Peak, Sierra Peak, Mount Lukens, and Mount Wilson (CA) and the locations in the State of Washington listed in paragraph(b)(3) of this section are 56 km (35 mi) greater than those listed in the Table above. In the event of conflict between this Table and the table of additional </w:t>
      </w:r>
      <w:smartTag w:uri="urn:schemas-microsoft-com:office:smarttags" w:element="place">
        <w:smartTag w:uri="urn:schemas-microsoft-com:office:smarttags" w:element="State">
          <w:r w:rsidRPr="00CC6CEC">
            <w:rPr>
              <w:rFonts w:ascii="Times New Roman" w:hAnsi="Times New Roman" w:cs="Times New Roman"/>
              <w:sz w:val="16"/>
              <w:szCs w:val="16"/>
            </w:rPr>
            <w:t>California</w:t>
          </w:r>
        </w:smartTag>
      </w:smartTag>
      <w:r w:rsidRPr="00CC6CEC">
        <w:rPr>
          <w:rFonts w:ascii="Times New Roman" w:hAnsi="Times New Roman" w:cs="Times New Roman"/>
          <w:sz w:val="16"/>
          <w:szCs w:val="16"/>
        </w:rPr>
        <w:t xml:space="preserve"> high elevation sites shown in paragraph (b)(2) of this section, the latter will apply.</w:t>
      </w:r>
    </w:p>
    <w:p w:rsidR="006E6BEA" w:rsidRPr="00CC6CEC" w:rsidRDefault="006E6BEA">
      <w:pPr>
        <w:pStyle w:val="FootnoteText"/>
        <w:rPr>
          <w:sz w:val="16"/>
          <w:szCs w:val="16"/>
        </w:rPr>
      </w:pPr>
    </w:p>
  </w:footnote>
  <w:footnote w:id="2">
    <w:p w:rsidR="006E6BEA" w:rsidRPr="00CC6CEC" w:rsidRDefault="006E6BEA" w:rsidP="006E6E31">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Distances shown are derived from the R-6602 curves and are based upon a non-overlap of the 22 dBu (F50,10) interference contour of the proposed station with the 40 dBu (F50,50) contour of the existing station(s). No consideration is given to the 40 dBu service contour of the proposed station and the 22 dBu contour of the existing station(s). The minimum separation of stations will be 88 km (55 mi).</w:t>
      </w:r>
    </w:p>
    <w:p w:rsidR="006E6BEA" w:rsidRPr="00CC6CEC" w:rsidRDefault="006E6BEA">
      <w:pPr>
        <w:pStyle w:val="FootnoteText"/>
        <w:rPr>
          <w:sz w:val="16"/>
          <w:szCs w:val="16"/>
        </w:rPr>
      </w:pPr>
    </w:p>
  </w:footnote>
  <w:footnote w:id="3">
    <w:p w:rsidR="006E6BEA" w:rsidRPr="00CC6CEC" w:rsidRDefault="006E6BEA" w:rsidP="006E6E31">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All existing stations are assumed to operate with 1000 watts ERP. When the</w:t>
      </w:r>
    </w:p>
    <w:p w:rsidR="006E6BEA" w:rsidRPr="00CC6CEC" w:rsidRDefault="006E6BEA" w:rsidP="006E6E31">
      <w:pPr>
        <w:pStyle w:val="PlainText"/>
        <w:rPr>
          <w:rFonts w:ascii="Times New Roman" w:hAnsi="Times New Roman" w:cs="Times New Roman"/>
          <w:sz w:val="16"/>
          <w:szCs w:val="16"/>
        </w:rPr>
      </w:pPr>
      <w:r w:rsidRPr="00CC6CEC">
        <w:rPr>
          <w:rFonts w:ascii="Times New Roman" w:hAnsi="Times New Roman" w:cs="Times New Roman"/>
          <w:sz w:val="16"/>
          <w:szCs w:val="16"/>
        </w:rPr>
        <w:t xml:space="preserve"> ERP and/or DHAAT of a proposed station or the DHAAT of an existing station is</w:t>
      </w:r>
    </w:p>
    <w:p w:rsidR="006E6BEA" w:rsidRPr="00CC6CEC" w:rsidRDefault="006E6BEA" w:rsidP="006E6E31">
      <w:pPr>
        <w:pStyle w:val="PlainText"/>
        <w:rPr>
          <w:rFonts w:ascii="Times New Roman" w:hAnsi="Times New Roman" w:cs="Times New Roman"/>
          <w:sz w:val="16"/>
          <w:szCs w:val="16"/>
        </w:rPr>
      </w:pPr>
      <w:r w:rsidRPr="00CC6CEC">
        <w:rPr>
          <w:rFonts w:ascii="Times New Roman" w:hAnsi="Times New Roman" w:cs="Times New Roman"/>
          <w:sz w:val="16"/>
          <w:szCs w:val="16"/>
        </w:rPr>
        <w:t xml:space="preserve"> not indicated in the Table, the next higher value(s) must be used.</w:t>
      </w:r>
    </w:p>
    <w:p w:rsidR="006E6BEA" w:rsidRDefault="006E6B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7CE2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4627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2CE1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8E8A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80C6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E067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12F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817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7E8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89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F6C0C"/>
    <w:multiLevelType w:val="singleLevel"/>
    <w:tmpl w:val="5142D51A"/>
    <w:lvl w:ilvl="0">
      <w:start w:val="1"/>
      <w:numFmt w:val="decimal"/>
      <w:lvlText w:val="%1."/>
      <w:lvlJc w:val="left"/>
      <w:pPr>
        <w:tabs>
          <w:tab w:val="num" w:pos="360"/>
        </w:tabs>
        <w:ind w:left="360" w:hanging="360"/>
      </w:pPr>
      <w:rPr>
        <w:rFonts w:hint="default"/>
        <w:b w:val="0"/>
        <w:i w:val="0"/>
      </w:rPr>
    </w:lvl>
  </w:abstractNum>
  <w:abstractNum w:abstractNumId="11" w15:restartNumberingAfterBreak="0">
    <w:nsid w:val="202B57E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26123C6"/>
    <w:multiLevelType w:val="singleLevel"/>
    <w:tmpl w:val="D2AED8FC"/>
    <w:lvl w:ilvl="0">
      <w:start w:val="1"/>
      <w:numFmt w:val="upperLetter"/>
      <w:pStyle w:val="Heading1"/>
      <w:lvlText w:val="%1."/>
      <w:lvlJc w:val="left"/>
      <w:pPr>
        <w:tabs>
          <w:tab w:val="num" w:pos="360"/>
        </w:tabs>
        <w:ind w:left="360" w:hanging="360"/>
      </w:pPr>
      <w:rPr>
        <w:rFonts w:hint="default"/>
      </w:rPr>
    </w:lvl>
  </w:abstractNum>
  <w:abstractNum w:abstractNumId="13" w15:restartNumberingAfterBreak="0">
    <w:nsid w:val="3D0F1B3D"/>
    <w:multiLevelType w:val="singleLevel"/>
    <w:tmpl w:val="9C2014DE"/>
    <w:lvl w:ilvl="0">
      <w:start w:val="4"/>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4DB5768"/>
    <w:multiLevelType w:val="hybridMultilevel"/>
    <w:tmpl w:val="8AD0BA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D027A"/>
    <w:multiLevelType w:val="multilevel"/>
    <w:tmpl w:val="813661FE"/>
    <w:lvl w:ilvl="0">
      <w:start w:val="3060"/>
      <w:numFmt w:val="decimal"/>
      <w:lvlText w:val="%1"/>
      <w:lvlJc w:val="left"/>
      <w:pPr>
        <w:tabs>
          <w:tab w:val="num" w:pos="1035"/>
        </w:tabs>
        <w:ind w:left="1035" w:hanging="1035"/>
      </w:pPr>
      <w:rPr>
        <w:rFonts w:hint="default"/>
      </w:rPr>
    </w:lvl>
    <w:lvl w:ilvl="1">
      <w:start w:val="441"/>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5D232C"/>
    <w:multiLevelType w:val="hybridMultilevel"/>
    <w:tmpl w:val="13A85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757B07"/>
    <w:multiLevelType w:val="hybridMultilevel"/>
    <w:tmpl w:val="B434CB00"/>
    <w:lvl w:ilvl="0" w:tplc="F5766F5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102B68"/>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1292141"/>
    <w:multiLevelType w:val="hybridMultilevel"/>
    <w:tmpl w:val="5308AD6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8020DE"/>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79D0900"/>
    <w:multiLevelType w:val="multilevel"/>
    <w:tmpl w:val="ECF4CCC0"/>
    <w:lvl w:ilvl="0">
      <w:start w:val="3060"/>
      <w:numFmt w:val="decimal"/>
      <w:lvlText w:val="%1"/>
      <w:lvlJc w:val="left"/>
      <w:pPr>
        <w:tabs>
          <w:tab w:val="num" w:pos="7200"/>
        </w:tabs>
        <w:ind w:left="7200" w:hanging="7200"/>
      </w:pPr>
      <w:rPr>
        <w:rFonts w:hint="default"/>
      </w:rPr>
    </w:lvl>
    <w:lvl w:ilvl="1">
      <w:start w:val="441"/>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8"/>
  </w:num>
  <w:num w:numId="15">
    <w:abstractNumId w:val="20"/>
  </w:num>
  <w:num w:numId="16">
    <w:abstractNumId w:val="21"/>
  </w:num>
  <w:num w:numId="17">
    <w:abstractNumId w:val="15"/>
  </w:num>
  <w:num w:numId="18">
    <w:abstractNumId w:val="16"/>
  </w:num>
  <w:num w:numId="19">
    <w:abstractNumId w:val="13"/>
  </w:num>
  <w:num w:numId="20">
    <w:abstractNumId w:val="19"/>
  </w:num>
  <w:num w:numId="21">
    <w:abstractNumId w:val="14"/>
  </w:num>
  <w:num w:numId="22">
    <w:abstractNumId w:val="17"/>
  </w:num>
  <w:num w:numId="23">
    <w:abstractNumId w:val="13"/>
    <w:lvlOverride w:ilvl="0">
      <w:startOverride w:val="16"/>
    </w:lvlOverride>
  </w:num>
  <w:num w:numId="24">
    <w:abstractNumId w:val="13"/>
  </w:num>
  <w:num w:numId="25">
    <w:abstractNumId w:val="13"/>
    <w:lvlOverride w:ilvl="0">
      <w:startOverride w:val="17"/>
    </w:lvlOverride>
  </w:num>
  <w:num w:numId="26">
    <w:abstractNumId w:val="13"/>
    <w:lvlOverride w:ilvl="0">
      <w:startOverride w:val="13"/>
    </w:lvlOverride>
  </w:num>
  <w:num w:numId="27">
    <w:abstractNumId w:val="13"/>
    <w:lvlOverride w:ilvl="0">
      <w:startOverride w:val="12"/>
    </w:lvlOverride>
  </w:num>
  <w:num w:numId="28">
    <w:abstractNumId w:val="13"/>
    <w:lvlOverride w:ilvl="0">
      <w:startOverride w:val="11"/>
    </w:lvlOverride>
  </w:num>
  <w:num w:numId="29">
    <w:abstractNumId w:val="13"/>
    <w:lvlOverride w:ilvl="0">
      <w:startOverride w:val="10"/>
    </w:lvlOverride>
  </w:num>
  <w:num w:numId="30">
    <w:abstractNumId w:val="13"/>
    <w:lvlOverride w:ilvl="0">
      <w:startOverride w:val="9"/>
    </w:lvlOverride>
  </w:num>
  <w:num w:numId="31">
    <w:abstractNumId w:val="13"/>
    <w:lvlOverride w:ilvl="0">
      <w:startOverride w:val="8"/>
    </w:lvlOverride>
  </w:num>
  <w:num w:numId="32">
    <w:abstractNumId w:val="13"/>
    <w:lvlOverride w:ilvl="0">
      <w:startOverride w:val="7"/>
    </w:lvlOverride>
  </w:num>
  <w:num w:numId="33">
    <w:abstractNumId w:val="13"/>
    <w:lvlOverride w:ilvl="0">
      <w:startOverride w:val="6"/>
    </w:lvlOverride>
  </w:num>
  <w:num w:numId="34">
    <w:abstractNumId w:val="1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AD"/>
    <w:rsid w:val="00006E8A"/>
    <w:rsid w:val="0004120E"/>
    <w:rsid w:val="0004335D"/>
    <w:rsid w:val="0005617A"/>
    <w:rsid w:val="000862AC"/>
    <w:rsid w:val="00094B4E"/>
    <w:rsid w:val="000A3E25"/>
    <w:rsid w:val="000A6703"/>
    <w:rsid w:val="000C30D6"/>
    <w:rsid w:val="000C5F69"/>
    <w:rsid w:val="000F2E69"/>
    <w:rsid w:val="001043D3"/>
    <w:rsid w:val="00104BD1"/>
    <w:rsid w:val="00140D7A"/>
    <w:rsid w:val="0014498E"/>
    <w:rsid w:val="00156C81"/>
    <w:rsid w:val="0016374F"/>
    <w:rsid w:val="001716BC"/>
    <w:rsid w:val="00174CCE"/>
    <w:rsid w:val="0019002C"/>
    <w:rsid w:val="001A2DEC"/>
    <w:rsid w:val="001A648B"/>
    <w:rsid w:val="001A7555"/>
    <w:rsid w:val="001E34D1"/>
    <w:rsid w:val="001E7802"/>
    <w:rsid w:val="001F23D4"/>
    <w:rsid w:val="00203D25"/>
    <w:rsid w:val="00220599"/>
    <w:rsid w:val="00231515"/>
    <w:rsid w:val="00231DAC"/>
    <w:rsid w:val="002515DC"/>
    <w:rsid w:val="002524F2"/>
    <w:rsid w:val="002552F3"/>
    <w:rsid w:val="002A3FDA"/>
    <w:rsid w:val="002A7684"/>
    <w:rsid w:val="002C6ECA"/>
    <w:rsid w:val="002E2817"/>
    <w:rsid w:val="002E7B99"/>
    <w:rsid w:val="002F4A0E"/>
    <w:rsid w:val="0030054C"/>
    <w:rsid w:val="00324A76"/>
    <w:rsid w:val="00335A85"/>
    <w:rsid w:val="00354156"/>
    <w:rsid w:val="00372FC2"/>
    <w:rsid w:val="00375C16"/>
    <w:rsid w:val="003909A2"/>
    <w:rsid w:val="003952D9"/>
    <w:rsid w:val="003F6169"/>
    <w:rsid w:val="004231E2"/>
    <w:rsid w:val="00440EB3"/>
    <w:rsid w:val="00452854"/>
    <w:rsid w:val="00483721"/>
    <w:rsid w:val="00485333"/>
    <w:rsid w:val="0049194B"/>
    <w:rsid w:val="0049320F"/>
    <w:rsid w:val="004A65E5"/>
    <w:rsid w:val="004C2422"/>
    <w:rsid w:val="004E14BF"/>
    <w:rsid w:val="0050491F"/>
    <w:rsid w:val="005100A8"/>
    <w:rsid w:val="005201E6"/>
    <w:rsid w:val="005239F0"/>
    <w:rsid w:val="0052445A"/>
    <w:rsid w:val="00534B5F"/>
    <w:rsid w:val="00545863"/>
    <w:rsid w:val="005620BD"/>
    <w:rsid w:val="0057719A"/>
    <w:rsid w:val="00583DCD"/>
    <w:rsid w:val="0059351A"/>
    <w:rsid w:val="005B2766"/>
    <w:rsid w:val="005D55F8"/>
    <w:rsid w:val="005E4ECE"/>
    <w:rsid w:val="005E571C"/>
    <w:rsid w:val="005E5B5F"/>
    <w:rsid w:val="00636D8E"/>
    <w:rsid w:val="00643D31"/>
    <w:rsid w:val="00646CF9"/>
    <w:rsid w:val="006806B9"/>
    <w:rsid w:val="00684A14"/>
    <w:rsid w:val="006909F3"/>
    <w:rsid w:val="00695C47"/>
    <w:rsid w:val="006A4585"/>
    <w:rsid w:val="006B397A"/>
    <w:rsid w:val="006B73B7"/>
    <w:rsid w:val="006D0E44"/>
    <w:rsid w:val="006D421F"/>
    <w:rsid w:val="006E3AB0"/>
    <w:rsid w:val="006E6BEA"/>
    <w:rsid w:val="006E6E31"/>
    <w:rsid w:val="006F2B61"/>
    <w:rsid w:val="007115ED"/>
    <w:rsid w:val="00722460"/>
    <w:rsid w:val="00730852"/>
    <w:rsid w:val="00734816"/>
    <w:rsid w:val="007733C9"/>
    <w:rsid w:val="007A4BEC"/>
    <w:rsid w:val="007A5264"/>
    <w:rsid w:val="007D140E"/>
    <w:rsid w:val="0080191C"/>
    <w:rsid w:val="00801B52"/>
    <w:rsid w:val="008064E9"/>
    <w:rsid w:val="0085108E"/>
    <w:rsid w:val="00852F0C"/>
    <w:rsid w:val="00877BA5"/>
    <w:rsid w:val="00882E48"/>
    <w:rsid w:val="008B216E"/>
    <w:rsid w:val="008D5BAD"/>
    <w:rsid w:val="008D7E7C"/>
    <w:rsid w:val="008E365D"/>
    <w:rsid w:val="008E6654"/>
    <w:rsid w:val="008E6F80"/>
    <w:rsid w:val="008F13EC"/>
    <w:rsid w:val="009014CC"/>
    <w:rsid w:val="00912D01"/>
    <w:rsid w:val="00962082"/>
    <w:rsid w:val="009738D5"/>
    <w:rsid w:val="009971A1"/>
    <w:rsid w:val="009A4C28"/>
    <w:rsid w:val="009E4EC7"/>
    <w:rsid w:val="00A105A4"/>
    <w:rsid w:val="00A35E07"/>
    <w:rsid w:val="00A535A5"/>
    <w:rsid w:val="00A6646C"/>
    <w:rsid w:val="00A9070A"/>
    <w:rsid w:val="00A9278C"/>
    <w:rsid w:val="00AA1AB8"/>
    <w:rsid w:val="00AB1623"/>
    <w:rsid w:val="00AB3DA1"/>
    <w:rsid w:val="00AB66A4"/>
    <w:rsid w:val="00AB77FB"/>
    <w:rsid w:val="00AC1932"/>
    <w:rsid w:val="00AE0780"/>
    <w:rsid w:val="00AE6E66"/>
    <w:rsid w:val="00AF79D9"/>
    <w:rsid w:val="00B07090"/>
    <w:rsid w:val="00B1474A"/>
    <w:rsid w:val="00B35D8D"/>
    <w:rsid w:val="00B735D6"/>
    <w:rsid w:val="00B77015"/>
    <w:rsid w:val="00B953AB"/>
    <w:rsid w:val="00BA0E7F"/>
    <w:rsid w:val="00BA5C18"/>
    <w:rsid w:val="00BD4523"/>
    <w:rsid w:val="00C11E40"/>
    <w:rsid w:val="00C17676"/>
    <w:rsid w:val="00C341E6"/>
    <w:rsid w:val="00C34432"/>
    <w:rsid w:val="00C44945"/>
    <w:rsid w:val="00C468D3"/>
    <w:rsid w:val="00C513F6"/>
    <w:rsid w:val="00C653CE"/>
    <w:rsid w:val="00C83BBC"/>
    <w:rsid w:val="00CA1E23"/>
    <w:rsid w:val="00CB5D75"/>
    <w:rsid w:val="00CC0D2F"/>
    <w:rsid w:val="00CC3BE5"/>
    <w:rsid w:val="00CC4B8D"/>
    <w:rsid w:val="00CC6CEC"/>
    <w:rsid w:val="00CD6384"/>
    <w:rsid w:val="00CF6DCB"/>
    <w:rsid w:val="00D02722"/>
    <w:rsid w:val="00D0578E"/>
    <w:rsid w:val="00D058B8"/>
    <w:rsid w:val="00D11CFF"/>
    <w:rsid w:val="00D11EFD"/>
    <w:rsid w:val="00D20340"/>
    <w:rsid w:val="00D23CE5"/>
    <w:rsid w:val="00D242CA"/>
    <w:rsid w:val="00D4680C"/>
    <w:rsid w:val="00D55652"/>
    <w:rsid w:val="00D71663"/>
    <w:rsid w:val="00D722F8"/>
    <w:rsid w:val="00D77457"/>
    <w:rsid w:val="00D856CC"/>
    <w:rsid w:val="00D91213"/>
    <w:rsid w:val="00D93758"/>
    <w:rsid w:val="00DA780C"/>
    <w:rsid w:val="00DA7BC9"/>
    <w:rsid w:val="00DC42D4"/>
    <w:rsid w:val="00DC4859"/>
    <w:rsid w:val="00DD4C97"/>
    <w:rsid w:val="00E47955"/>
    <w:rsid w:val="00E62B62"/>
    <w:rsid w:val="00E76E76"/>
    <w:rsid w:val="00E771BC"/>
    <w:rsid w:val="00E8406D"/>
    <w:rsid w:val="00EB493D"/>
    <w:rsid w:val="00ED56D2"/>
    <w:rsid w:val="00F1599A"/>
    <w:rsid w:val="00F34111"/>
    <w:rsid w:val="00F40DBC"/>
    <w:rsid w:val="00F506F1"/>
    <w:rsid w:val="00F57D76"/>
    <w:rsid w:val="00F71F26"/>
    <w:rsid w:val="00F85028"/>
    <w:rsid w:val="00FD2C27"/>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14:docId w14:val="4FD06C6D"/>
  <w15:chartTrackingRefBased/>
  <w15:docId w15:val="{801C7697-E89D-4F3F-B2FF-19312AD0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2"/>
      </w:numPr>
      <w:outlineLvl w:val="0"/>
    </w:pPr>
    <w:rPr>
      <w:sz w:val="22"/>
      <w:u w:val="single"/>
    </w:rPr>
  </w:style>
  <w:style w:type="paragraph" w:styleId="Heading2">
    <w:name w:val="heading 2"/>
    <w:basedOn w:val="Normal"/>
    <w:next w:val="Normal"/>
    <w:qFormat/>
    <w:pPr>
      <w:keepNext/>
      <w:ind w:left="360" w:firstLine="360"/>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u w:val="single"/>
    </w:rPr>
  </w:style>
  <w:style w:type="paragraph" w:styleId="PlainText">
    <w:name w:val="Plain Text"/>
    <w:basedOn w:val="Normal"/>
    <w:rsid w:val="00D02722"/>
    <w:rPr>
      <w:rFonts w:ascii="Courier New" w:hAnsi="Courier New" w:cs="Courier New"/>
      <w:sz w:val="20"/>
    </w:rPr>
  </w:style>
  <w:style w:type="paragraph" w:styleId="DocumentMap">
    <w:name w:val="Document Map"/>
    <w:basedOn w:val="Normal"/>
    <w:semiHidden/>
    <w:rsid w:val="00324A76"/>
    <w:pPr>
      <w:shd w:val="clear" w:color="auto" w:fill="000080"/>
    </w:pPr>
    <w:rPr>
      <w:rFonts w:ascii="Tahoma" w:hAnsi="Tahoma" w:cs="Tahoma"/>
    </w:rPr>
  </w:style>
  <w:style w:type="paragraph" w:styleId="Header">
    <w:name w:val="header"/>
    <w:basedOn w:val="Normal"/>
    <w:rsid w:val="00324A76"/>
    <w:pPr>
      <w:tabs>
        <w:tab w:val="center" w:pos="4320"/>
        <w:tab w:val="right" w:pos="8640"/>
      </w:tabs>
    </w:pPr>
  </w:style>
  <w:style w:type="paragraph" w:styleId="FootnoteText">
    <w:name w:val="footnote text"/>
    <w:basedOn w:val="Normal"/>
    <w:semiHidden/>
    <w:rsid w:val="00324A76"/>
    <w:rPr>
      <w:sz w:val="20"/>
    </w:rPr>
  </w:style>
  <w:style w:type="character" w:styleId="FootnoteReference">
    <w:name w:val="footnote reference"/>
    <w:semiHidden/>
    <w:rsid w:val="00324A76"/>
    <w:rPr>
      <w:vertAlign w:val="superscript"/>
    </w:rPr>
  </w:style>
  <w:style w:type="paragraph" w:customStyle="1" w:styleId="ParaNum">
    <w:name w:val="ParaNum"/>
    <w:basedOn w:val="Normal"/>
    <w:rsid w:val="00AB1623"/>
    <w:pPr>
      <w:widowControl w:val="0"/>
      <w:numPr>
        <w:numId w:val="24"/>
      </w:numPr>
      <w:tabs>
        <w:tab w:val="left" w:pos="1440"/>
      </w:tabs>
      <w:spacing w:after="220"/>
    </w:pPr>
    <w:rPr>
      <w:sz w:val="22"/>
    </w:rPr>
  </w:style>
  <w:style w:type="paragraph" w:styleId="BalloonText">
    <w:name w:val="Balloon Text"/>
    <w:basedOn w:val="Normal"/>
    <w:link w:val="BalloonTextChar"/>
    <w:rsid w:val="002A3FDA"/>
    <w:rPr>
      <w:rFonts w:ascii="Tahoma" w:hAnsi="Tahoma" w:cs="Tahoma"/>
      <w:sz w:val="16"/>
      <w:szCs w:val="16"/>
    </w:rPr>
  </w:style>
  <w:style w:type="character" w:customStyle="1" w:styleId="BalloonTextChar">
    <w:name w:val="Balloon Text Char"/>
    <w:link w:val="BalloonText"/>
    <w:rsid w:val="002A3FDA"/>
    <w:rPr>
      <w:rFonts w:ascii="Tahoma" w:hAnsi="Tahoma" w:cs="Tahoma"/>
      <w:sz w:val="16"/>
      <w:szCs w:val="16"/>
    </w:rPr>
  </w:style>
  <w:style w:type="character" w:styleId="CommentReference">
    <w:name w:val="annotation reference"/>
    <w:rsid w:val="0014498E"/>
    <w:rPr>
      <w:sz w:val="16"/>
      <w:szCs w:val="16"/>
    </w:rPr>
  </w:style>
  <w:style w:type="paragraph" w:styleId="CommentText">
    <w:name w:val="annotation text"/>
    <w:basedOn w:val="Normal"/>
    <w:link w:val="CommentTextChar"/>
    <w:rsid w:val="0014498E"/>
    <w:rPr>
      <w:sz w:val="20"/>
    </w:rPr>
  </w:style>
  <w:style w:type="character" w:customStyle="1" w:styleId="CommentTextChar">
    <w:name w:val="Comment Text Char"/>
    <w:basedOn w:val="DefaultParagraphFont"/>
    <w:link w:val="CommentText"/>
    <w:rsid w:val="0014498E"/>
  </w:style>
  <w:style w:type="paragraph" w:styleId="CommentSubject">
    <w:name w:val="annotation subject"/>
    <w:basedOn w:val="CommentText"/>
    <w:next w:val="CommentText"/>
    <w:link w:val="CommentSubjectChar"/>
    <w:rsid w:val="0014498E"/>
    <w:rPr>
      <w:b/>
      <w:bCs/>
    </w:rPr>
  </w:style>
  <w:style w:type="character" w:customStyle="1" w:styleId="CommentSubjectChar">
    <w:name w:val="Comment Subject Char"/>
    <w:link w:val="CommentSubject"/>
    <w:rsid w:val="00144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subject/>
  <dc:creator>TConway</dc:creator>
  <cp:keywords/>
  <cp:lastModifiedBy>Cathy Williams</cp:lastModifiedBy>
  <cp:revision>2</cp:revision>
  <cp:lastPrinted>2015-06-22T18:04:00Z</cp:lastPrinted>
  <dcterms:created xsi:type="dcterms:W3CDTF">2021-01-13T16:59:00Z</dcterms:created>
  <dcterms:modified xsi:type="dcterms:W3CDTF">2021-01-13T16:59:00Z</dcterms:modified>
</cp:coreProperties>
</file>