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5908" w:rsidR="00895BCD" w:rsidP="00895BCD" w:rsidRDefault="00895BCD" w14:paraId="14B2FBF2" w14:textId="77777777">
      <w:pPr>
        <w:jc w:val="center"/>
        <w:rPr>
          <w:rFonts w:ascii="Times New Roman" w:hAnsi="Times New Roman" w:eastAsia="SimSun"/>
          <w:b/>
          <w:bCs/>
          <w:szCs w:val="24"/>
          <w:lang w:eastAsia="zh-CN"/>
        </w:rPr>
      </w:pPr>
      <w:r w:rsidRPr="00035908">
        <w:rPr>
          <w:rFonts w:ascii="Times New Roman" w:hAnsi="Times New Roman" w:eastAsia="SimSun"/>
          <w:b/>
          <w:bCs/>
          <w:szCs w:val="24"/>
          <w:lang w:eastAsia="zh-CN"/>
        </w:rPr>
        <w:t>Supporting Statement for State Death Match Collections</w:t>
      </w:r>
    </w:p>
    <w:p w:rsidRPr="00035908" w:rsidR="00895BCD" w:rsidP="00895BCD" w:rsidRDefault="00895BCD" w14:paraId="3178396C" w14:textId="77777777">
      <w:pPr>
        <w:jc w:val="center"/>
        <w:rPr>
          <w:rFonts w:ascii="Times New Roman" w:hAnsi="Times New Roman" w:eastAsia="SimSun"/>
          <w:b/>
          <w:bCs/>
          <w:szCs w:val="24"/>
          <w:lang w:eastAsia="zh-CN"/>
        </w:rPr>
      </w:pPr>
      <w:r w:rsidRPr="00035908">
        <w:rPr>
          <w:rFonts w:ascii="Times New Roman" w:hAnsi="Times New Roman" w:eastAsia="SimSun"/>
          <w:b/>
          <w:bCs/>
          <w:szCs w:val="24"/>
          <w:lang w:eastAsia="zh-CN"/>
        </w:rPr>
        <w:t>20 CFR 404.301</w:t>
      </w:r>
      <w:r w:rsidRPr="00035908" w:rsidR="00035908">
        <w:rPr>
          <w:rFonts w:ascii="Times New Roman" w:hAnsi="Times New Roman" w:eastAsia="SimSun"/>
          <w:b/>
          <w:bCs/>
          <w:szCs w:val="24"/>
          <w:lang w:eastAsia="zh-CN"/>
        </w:rPr>
        <w:t>,</w:t>
      </w:r>
      <w:r w:rsidRPr="00035908">
        <w:rPr>
          <w:rFonts w:ascii="Times New Roman" w:hAnsi="Times New Roman" w:eastAsia="SimSun"/>
          <w:b/>
          <w:bCs/>
          <w:szCs w:val="24"/>
          <w:lang w:eastAsia="zh-CN"/>
        </w:rPr>
        <w:t xml:space="preserve"> 404.310-</w:t>
      </w:r>
      <w:r w:rsidRPr="00035908" w:rsidR="00035908">
        <w:rPr>
          <w:rFonts w:ascii="Times New Roman" w:hAnsi="Times New Roman" w:eastAsia="SimSun"/>
          <w:b/>
          <w:bCs/>
          <w:szCs w:val="24"/>
          <w:lang w:eastAsia="zh-CN"/>
        </w:rPr>
        <w:t>404.</w:t>
      </w:r>
      <w:r w:rsidRPr="00035908">
        <w:rPr>
          <w:rFonts w:ascii="Times New Roman" w:hAnsi="Times New Roman" w:eastAsia="SimSun"/>
          <w:b/>
          <w:bCs/>
          <w:szCs w:val="24"/>
          <w:lang w:eastAsia="zh-CN"/>
        </w:rPr>
        <w:t>311</w:t>
      </w:r>
      <w:r w:rsidRPr="00035908" w:rsidR="00035908">
        <w:rPr>
          <w:rFonts w:ascii="Times New Roman" w:hAnsi="Times New Roman" w:eastAsia="SimSun"/>
          <w:b/>
          <w:bCs/>
          <w:szCs w:val="24"/>
          <w:lang w:eastAsia="zh-CN"/>
        </w:rPr>
        <w:t xml:space="preserve">, </w:t>
      </w:r>
      <w:r w:rsidRPr="00035908">
        <w:rPr>
          <w:rFonts w:ascii="Times New Roman" w:hAnsi="Times New Roman" w:eastAsia="SimSun"/>
          <w:b/>
          <w:bCs/>
          <w:szCs w:val="24"/>
          <w:lang w:eastAsia="zh-CN"/>
        </w:rPr>
        <w:t>404.316</w:t>
      </w:r>
      <w:r w:rsidRPr="00035908" w:rsidR="00035908">
        <w:rPr>
          <w:rFonts w:ascii="Times New Roman" w:hAnsi="Times New Roman" w:eastAsia="SimSun"/>
          <w:b/>
          <w:bCs/>
          <w:szCs w:val="24"/>
          <w:lang w:eastAsia="zh-CN"/>
        </w:rPr>
        <w:t>,</w:t>
      </w:r>
      <w:r w:rsidRPr="00035908">
        <w:rPr>
          <w:rFonts w:ascii="Times New Roman" w:hAnsi="Times New Roman" w:eastAsia="SimSun"/>
          <w:b/>
          <w:bCs/>
          <w:szCs w:val="24"/>
          <w:lang w:eastAsia="zh-CN"/>
        </w:rPr>
        <w:t xml:space="preserve"> 404.330-</w:t>
      </w:r>
      <w:r w:rsidRPr="00035908" w:rsidR="00035908">
        <w:rPr>
          <w:rFonts w:ascii="Times New Roman" w:hAnsi="Times New Roman" w:eastAsia="SimSun"/>
          <w:b/>
          <w:bCs/>
          <w:szCs w:val="24"/>
          <w:lang w:eastAsia="zh-CN"/>
        </w:rPr>
        <w:t>404.</w:t>
      </w:r>
      <w:r w:rsidRPr="00035908">
        <w:rPr>
          <w:rFonts w:ascii="Times New Roman" w:hAnsi="Times New Roman" w:eastAsia="SimSun"/>
          <w:b/>
          <w:bCs/>
          <w:szCs w:val="24"/>
          <w:lang w:eastAsia="zh-CN"/>
        </w:rPr>
        <w:t>341</w:t>
      </w:r>
      <w:r w:rsidRPr="00035908" w:rsidR="00035908">
        <w:rPr>
          <w:rFonts w:ascii="Times New Roman" w:hAnsi="Times New Roman" w:eastAsia="SimSun"/>
          <w:b/>
          <w:bCs/>
          <w:szCs w:val="24"/>
          <w:lang w:eastAsia="zh-CN"/>
        </w:rPr>
        <w:t>,</w:t>
      </w:r>
    </w:p>
    <w:p w:rsidRPr="00035908" w:rsidR="00895BCD" w:rsidP="00895BCD" w:rsidRDefault="00895BCD" w14:paraId="6C3FBB26" w14:textId="77777777">
      <w:pPr>
        <w:jc w:val="center"/>
        <w:rPr>
          <w:rFonts w:ascii="Times New Roman" w:hAnsi="Times New Roman" w:eastAsia="SimSun"/>
          <w:b/>
          <w:bCs/>
          <w:szCs w:val="24"/>
          <w:lang w:eastAsia="zh-CN"/>
        </w:rPr>
      </w:pPr>
      <w:r w:rsidRPr="00035908">
        <w:rPr>
          <w:rFonts w:ascii="Times New Roman" w:hAnsi="Times New Roman" w:eastAsia="SimSun"/>
          <w:b/>
          <w:bCs/>
          <w:szCs w:val="24"/>
          <w:lang w:eastAsia="zh-CN"/>
        </w:rPr>
        <w:t>404.350-</w:t>
      </w:r>
      <w:r w:rsidRPr="00035908" w:rsidR="00035908">
        <w:rPr>
          <w:rFonts w:ascii="Times New Roman" w:hAnsi="Times New Roman" w:eastAsia="SimSun"/>
          <w:b/>
          <w:bCs/>
          <w:szCs w:val="24"/>
          <w:lang w:eastAsia="zh-CN"/>
        </w:rPr>
        <w:t>404.</w:t>
      </w:r>
      <w:r w:rsidRPr="00035908">
        <w:rPr>
          <w:rFonts w:ascii="Times New Roman" w:hAnsi="Times New Roman" w:eastAsia="SimSun"/>
          <w:b/>
          <w:bCs/>
          <w:szCs w:val="24"/>
          <w:lang w:eastAsia="zh-CN"/>
        </w:rPr>
        <w:t>352</w:t>
      </w:r>
      <w:r w:rsidRPr="00035908" w:rsidR="00035908">
        <w:rPr>
          <w:rFonts w:ascii="Times New Roman" w:hAnsi="Times New Roman" w:eastAsia="SimSun"/>
          <w:b/>
          <w:bCs/>
          <w:szCs w:val="24"/>
          <w:lang w:eastAsia="zh-CN"/>
        </w:rPr>
        <w:t>,</w:t>
      </w:r>
      <w:r w:rsidRPr="00035908">
        <w:rPr>
          <w:rFonts w:ascii="Times New Roman" w:hAnsi="Times New Roman" w:eastAsia="SimSun"/>
          <w:b/>
          <w:bCs/>
          <w:szCs w:val="24"/>
          <w:lang w:eastAsia="zh-CN"/>
        </w:rPr>
        <w:t xml:space="preserve"> 404.371, </w:t>
      </w:r>
      <w:r w:rsidRPr="00035908" w:rsidR="00035908">
        <w:rPr>
          <w:rFonts w:ascii="Times New Roman" w:hAnsi="Times New Roman" w:eastAsia="SimSun"/>
          <w:b/>
          <w:bCs/>
          <w:szCs w:val="24"/>
          <w:lang w:eastAsia="zh-CN"/>
        </w:rPr>
        <w:t xml:space="preserve">and </w:t>
      </w:r>
      <w:r w:rsidRPr="00035908">
        <w:rPr>
          <w:rFonts w:ascii="Times New Roman" w:hAnsi="Times New Roman" w:eastAsia="SimSun"/>
          <w:b/>
          <w:bCs/>
          <w:szCs w:val="24"/>
          <w:lang w:eastAsia="zh-CN"/>
        </w:rPr>
        <w:t>416.912</w:t>
      </w:r>
    </w:p>
    <w:p w:rsidRPr="00035908" w:rsidR="00895BCD" w:rsidP="00895BCD" w:rsidRDefault="00895BCD" w14:paraId="63FB959E" w14:textId="77777777">
      <w:pPr>
        <w:jc w:val="center"/>
        <w:rPr>
          <w:rFonts w:ascii="Times New Roman" w:hAnsi="Times New Roman" w:eastAsia="SimSun"/>
          <w:b/>
          <w:bCs/>
          <w:szCs w:val="24"/>
          <w:lang w:eastAsia="zh-CN"/>
        </w:rPr>
      </w:pPr>
      <w:r w:rsidRPr="00035908">
        <w:rPr>
          <w:rFonts w:ascii="Times New Roman" w:hAnsi="Times New Roman" w:eastAsia="SimSun"/>
          <w:b/>
          <w:bCs/>
          <w:szCs w:val="24"/>
          <w:lang w:eastAsia="zh-CN"/>
        </w:rPr>
        <w:t>OMB No. 0960-070</w:t>
      </w:r>
      <w:r w:rsidR="00883B80">
        <w:rPr>
          <w:rFonts w:ascii="Times New Roman" w:hAnsi="Times New Roman" w:eastAsia="SimSun"/>
          <w:b/>
          <w:bCs/>
          <w:szCs w:val="24"/>
          <w:lang w:eastAsia="zh-CN"/>
        </w:rPr>
        <w:t>0</w:t>
      </w:r>
    </w:p>
    <w:p w:rsidRPr="00035908" w:rsidR="00895BCD" w:rsidP="00895BCD" w:rsidRDefault="00895BCD" w14:paraId="45A7AF21" w14:textId="77777777">
      <w:pPr>
        <w:jc w:val="center"/>
        <w:rPr>
          <w:rFonts w:ascii="Times New Roman" w:hAnsi="Times New Roman" w:eastAsia="SimSun"/>
          <w:b/>
          <w:bCs/>
          <w:szCs w:val="24"/>
          <w:lang w:eastAsia="zh-CN"/>
        </w:rPr>
      </w:pPr>
    </w:p>
    <w:p w:rsidRPr="00035908" w:rsidR="00895BCD" w:rsidP="00035908" w:rsidRDefault="00895BCD" w14:paraId="4CF671EF" w14:textId="77777777">
      <w:pPr>
        <w:numPr>
          <w:ilvl w:val="0"/>
          <w:numId w:val="1"/>
        </w:numPr>
        <w:ind w:hanging="540"/>
        <w:rPr>
          <w:rFonts w:ascii="Times New Roman" w:hAnsi="Times New Roman" w:eastAsia="SimSun"/>
          <w:b/>
          <w:bCs/>
          <w:szCs w:val="24"/>
          <w:u w:val="single"/>
          <w:lang w:eastAsia="zh-CN"/>
        </w:rPr>
      </w:pPr>
      <w:r w:rsidRPr="00035908">
        <w:rPr>
          <w:rFonts w:ascii="Times New Roman" w:hAnsi="Times New Roman" w:eastAsia="SimSun"/>
          <w:b/>
          <w:bCs/>
          <w:szCs w:val="24"/>
          <w:u w:val="single"/>
          <w:lang w:eastAsia="zh-CN"/>
        </w:rPr>
        <w:t>Justification</w:t>
      </w:r>
    </w:p>
    <w:p w:rsidRPr="00035908" w:rsidR="00895BCD" w:rsidP="00895BCD" w:rsidRDefault="00895BCD" w14:paraId="257DBBB6" w14:textId="77777777">
      <w:pPr>
        <w:rPr>
          <w:rFonts w:ascii="Times New Roman" w:hAnsi="Times New Roman" w:eastAsia="SimSun"/>
          <w:szCs w:val="24"/>
          <w:u w:val="single"/>
          <w:lang w:eastAsia="zh-CN"/>
        </w:rPr>
      </w:pPr>
    </w:p>
    <w:p w:rsidRPr="00610068" w:rsidR="00895BCD" w:rsidP="00DA6D9A" w:rsidRDefault="00610068" w14:paraId="6396FF72" w14:textId="77777777">
      <w:pPr>
        <w:pStyle w:val="ListParagraph"/>
        <w:numPr>
          <w:ilvl w:val="0"/>
          <w:numId w:val="2"/>
        </w:numPr>
        <w:rPr>
          <w:rFonts w:ascii="Times New Roman" w:hAnsi="Times New Roman" w:eastAsia="SimSun"/>
          <w:b/>
          <w:bCs/>
          <w:szCs w:val="24"/>
          <w:lang w:eastAsia="zh-CN"/>
        </w:rPr>
      </w:pPr>
      <w:r w:rsidRPr="00610068">
        <w:rPr>
          <w:rFonts w:ascii="Times New Roman" w:hAnsi="Times New Roman" w:eastAsia="SimSun"/>
          <w:b/>
          <w:bCs/>
          <w:szCs w:val="24"/>
          <w:lang w:eastAsia="zh-CN"/>
        </w:rPr>
        <w:t>Introduction/Authoring Laws and Regulations</w:t>
      </w:r>
    </w:p>
    <w:p w:rsidRPr="00035908" w:rsidR="00895BCD" w:rsidP="00DA6D9A" w:rsidRDefault="00895BCD" w14:paraId="32D29973" w14:textId="77777777">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 xml:space="preserve">Entitlement to retirement, disability, wife’s, husband’s or parent’s benefits under the provisions of the </w:t>
      </w:r>
      <w:r w:rsidRPr="00035908">
        <w:rPr>
          <w:rFonts w:ascii="Times New Roman" w:hAnsi="Times New Roman" w:eastAsia="SimSun"/>
          <w:i/>
          <w:szCs w:val="24"/>
          <w:lang w:eastAsia="zh-CN"/>
        </w:rPr>
        <w:t>Social Security Act (Act)</w:t>
      </w:r>
      <w:r w:rsidRPr="00035908">
        <w:rPr>
          <w:rFonts w:ascii="Times New Roman" w:hAnsi="Times New Roman" w:eastAsia="SimSun"/>
          <w:szCs w:val="24"/>
          <w:lang w:eastAsia="zh-CN"/>
        </w:rPr>
        <w:t xml:space="preserve"> terminates when the beneficiary dies.  Section</w:t>
      </w:r>
      <w:r w:rsidR="00D20F80">
        <w:rPr>
          <w:rFonts w:ascii="Times New Roman" w:hAnsi="Times New Roman" w:eastAsia="SimSun"/>
          <w:i/>
          <w:szCs w:val="24"/>
          <w:lang w:eastAsia="zh-CN"/>
        </w:rPr>
        <w:t xml:space="preserve"> 205</w:t>
      </w:r>
      <w:r w:rsidRPr="00035908">
        <w:rPr>
          <w:rFonts w:ascii="Times New Roman" w:hAnsi="Times New Roman" w:eastAsia="SimSun"/>
          <w:i/>
          <w:szCs w:val="24"/>
          <w:lang w:eastAsia="zh-CN"/>
        </w:rPr>
        <w:t xml:space="preserve">(r) </w:t>
      </w:r>
      <w:r w:rsidRPr="00035908">
        <w:rPr>
          <w:rFonts w:ascii="Times New Roman" w:hAnsi="Times New Roman" w:eastAsia="SimSun"/>
          <w:szCs w:val="24"/>
          <w:lang w:eastAsia="zh-CN"/>
        </w:rPr>
        <w:t>of the</w:t>
      </w:r>
      <w:r w:rsidRPr="00035908">
        <w:rPr>
          <w:rFonts w:ascii="Times New Roman" w:hAnsi="Times New Roman" w:eastAsia="SimSun"/>
          <w:i/>
          <w:szCs w:val="24"/>
          <w:lang w:eastAsia="zh-CN"/>
        </w:rPr>
        <w:t xml:space="preserve"> Act</w:t>
      </w:r>
      <w:r w:rsidRPr="00035908">
        <w:rPr>
          <w:rFonts w:ascii="Times New Roman" w:hAnsi="Times New Roman" w:eastAsia="SimSun"/>
          <w:szCs w:val="24"/>
          <w:lang w:eastAsia="zh-CN"/>
        </w:rPr>
        <w:t xml:space="preserve"> requires the Commissioner of the Social Security Administration (SSA) to contract with states to obtain death certificate information</w:t>
      </w:r>
      <w:r w:rsidR="00AA5ABC">
        <w:rPr>
          <w:rFonts w:ascii="Times New Roman" w:hAnsi="Times New Roman" w:eastAsia="SimSun"/>
          <w:szCs w:val="24"/>
          <w:lang w:eastAsia="zh-CN"/>
        </w:rPr>
        <w:t xml:space="preserve">, and </w:t>
      </w:r>
      <w:r w:rsidRPr="00035908">
        <w:rPr>
          <w:rFonts w:ascii="Times New Roman" w:hAnsi="Times New Roman" w:eastAsia="SimSun"/>
          <w:szCs w:val="24"/>
          <w:lang w:eastAsia="zh-CN"/>
        </w:rPr>
        <w:t>to compare it to SSA payment files.  This process ensures the accuracy of our payment files by detecting unreported or inaccurate deaths of beneficiaries</w:t>
      </w:r>
      <w:r w:rsidRPr="0018696A">
        <w:rPr>
          <w:rFonts w:ascii="Times New Roman" w:hAnsi="Times New Roman" w:eastAsia="SimSun"/>
          <w:szCs w:val="24"/>
          <w:lang w:eastAsia="zh-CN"/>
        </w:rPr>
        <w:t>.</w:t>
      </w:r>
      <w:r w:rsidRPr="0018696A" w:rsidR="00035908">
        <w:rPr>
          <w:rFonts w:ascii="Times New Roman" w:hAnsi="Times New Roman" w:eastAsia="SimSun"/>
          <w:szCs w:val="24"/>
          <w:lang w:eastAsia="zh-CN"/>
        </w:rPr>
        <w:t xml:space="preserve">  </w:t>
      </w:r>
      <w:r w:rsidRPr="0018696A">
        <w:rPr>
          <w:rFonts w:ascii="Times New Roman" w:hAnsi="Times New Roman" w:eastAsia="SimSun"/>
          <w:szCs w:val="24"/>
          <w:lang w:eastAsia="zh-CN"/>
        </w:rPr>
        <w:t>The</w:t>
      </w:r>
      <w:r w:rsidRPr="00035908">
        <w:rPr>
          <w:rFonts w:ascii="Times New Roman" w:hAnsi="Times New Roman" w:eastAsia="SimSun"/>
          <w:i/>
          <w:szCs w:val="24"/>
          <w:lang w:eastAsia="zh-CN"/>
        </w:rPr>
        <w:t xml:space="preserve"> Code of Federal Regulations, </w:t>
      </w:r>
      <w:r w:rsidRPr="0018696A" w:rsidR="0018696A">
        <w:rPr>
          <w:rFonts w:ascii="Times New Roman" w:hAnsi="Times New Roman" w:eastAsia="SimSun"/>
          <w:i/>
          <w:szCs w:val="24"/>
          <w:lang w:eastAsia="zh-CN"/>
        </w:rPr>
        <w:t>20 CFR 404.301, 404.310</w:t>
      </w:r>
      <w:r w:rsidR="00610068">
        <w:rPr>
          <w:rFonts w:ascii="Times New Roman" w:hAnsi="Times New Roman" w:eastAsia="SimSun"/>
          <w:i/>
          <w:szCs w:val="24"/>
          <w:lang w:eastAsia="zh-CN"/>
        </w:rPr>
        <w:noBreakHyphen/>
      </w:r>
      <w:r w:rsidRPr="0018696A" w:rsidR="0018696A">
        <w:rPr>
          <w:rFonts w:ascii="Times New Roman" w:hAnsi="Times New Roman" w:eastAsia="SimSun"/>
          <w:i/>
          <w:szCs w:val="24"/>
          <w:lang w:eastAsia="zh-CN"/>
        </w:rPr>
        <w:t>404.311, 404.316, 404.330-404.341</w:t>
      </w:r>
      <w:r w:rsidR="0018696A">
        <w:rPr>
          <w:rFonts w:ascii="Times New Roman" w:hAnsi="Times New Roman" w:eastAsia="SimSun"/>
          <w:i/>
          <w:szCs w:val="24"/>
          <w:lang w:eastAsia="zh-CN"/>
        </w:rPr>
        <w:t xml:space="preserve">, </w:t>
      </w:r>
      <w:r w:rsidRPr="0018696A" w:rsidR="0018696A">
        <w:rPr>
          <w:rFonts w:ascii="Times New Roman" w:hAnsi="Times New Roman" w:eastAsia="SimSun"/>
          <w:i/>
          <w:szCs w:val="24"/>
          <w:lang w:eastAsia="zh-CN"/>
        </w:rPr>
        <w:t xml:space="preserve">404.350-404.352, 404.371, </w:t>
      </w:r>
      <w:r w:rsidRPr="0018696A" w:rsidR="0018696A">
        <w:rPr>
          <w:rFonts w:ascii="Times New Roman" w:hAnsi="Times New Roman" w:eastAsia="SimSun"/>
          <w:szCs w:val="24"/>
          <w:lang w:eastAsia="zh-CN"/>
        </w:rPr>
        <w:t xml:space="preserve">and </w:t>
      </w:r>
      <w:r w:rsidRPr="0018696A" w:rsidR="0018696A">
        <w:rPr>
          <w:rFonts w:ascii="Times New Roman" w:hAnsi="Times New Roman" w:eastAsia="SimSun"/>
          <w:i/>
          <w:szCs w:val="24"/>
          <w:lang w:eastAsia="zh-CN"/>
        </w:rPr>
        <w:t>416.912</w:t>
      </w:r>
      <w:r w:rsidRPr="00035908">
        <w:rPr>
          <w:rFonts w:ascii="Times New Roman" w:hAnsi="Times New Roman" w:eastAsia="SimSun"/>
          <w:i/>
          <w:szCs w:val="24"/>
          <w:lang w:eastAsia="zh-CN"/>
        </w:rPr>
        <w:t>,</w:t>
      </w:r>
      <w:r w:rsidRPr="00035908">
        <w:rPr>
          <w:rFonts w:ascii="Times New Roman" w:hAnsi="Times New Roman" w:eastAsia="SimSun"/>
          <w:szCs w:val="24"/>
          <w:lang w:eastAsia="zh-CN"/>
        </w:rPr>
        <w:t xml:space="preserve"> set forth how a Social Security beneficiary’s death affects a person’s entitlement under the </w:t>
      </w:r>
      <w:r w:rsidRPr="00035908">
        <w:rPr>
          <w:rFonts w:ascii="Times New Roman" w:hAnsi="Times New Roman" w:eastAsia="SimSun"/>
          <w:i/>
          <w:szCs w:val="24"/>
          <w:lang w:eastAsia="zh-CN"/>
        </w:rPr>
        <w:t>Act</w:t>
      </w:r>
      <w:r w:rsidRPr="00035908">
        <w:rPr>
          <w:rFonts w:ascii="Times New Roman" w:hAnsi="Times New Roman" w:eastAsia="SimSun"/>
          <w:szCs w:val="24"/>
          <w:lang w:eastAsia="zh-CN"/>
        </w:rPr>
        <w:t xml:space="preserve">. </w:t>
      </w:r>
    </w:p>
    <w:p w:rsidRPr="00035908" w:rsidR="00895BCD" w:rsidP="00DA6D9A" w:rsidRDefault="00895BCD" w14:paraId="54558CDE" w14:textId="77777777">
      <w:pPr>
        <w:tabs>
          <w:tab w:val="num" w:pos="1440"/>
        </w:tabs>
        <w:ind w:left="1440"/>
        <w:rPr>
          <w:rFonts w:ascii="Times New Roman" w:hAnsi="Times New Roman" w:eastAsia="SimSun"/>
          <w:szCs w:val="24"/>
          <w:lang w:eastAsia="zh-CN"/>
        </w:rPr>
      </w:pPr>
    </w:p>
    <w:p w:rsidRPr="00035908" w:rsidR="00895BCD" w:rsidP="00DA6D9A" w:rsidRDefault="00195FB4" w14:paraId="710A1469" w14:textId="77777777">
      <w:pPr>
        <w:widowControl w:val="0"/>
        <w:numPr>
          <w:ilvl w:val="0"/>
          <w:numId w:val="3"/>
        </w:numPr>
        <w:tabs>
          <w:tab w:val="num" w:pos="1440"/>
        </w:tabs>
        <w:ind w:left="1440"/>
        <w:rPr>
          <w:rFonts w:ascii="Times New Roman" w:hAnsi="Times New Roman" w:eastAsia="SimSun"/>
          <w:szCs w:val="24"/>
          <w:lang w:eastAsia="zh-CN"/>
        </w:rPr>
      </w:pPr>
      <w:r>
        <w:rPr>
          <w:rFonts w:ascii="Times New Roman" w:hAnsi="Times New Roman" w:eastAsia="SimSun"/>
          <w:b/>
          <w:szCs w:val="24"/>
          <w:lang w:eastAsia="zh-CN"/>
        </w:rPr>
        <w:tab/>
        <w:t>Description of Collection</w:t>
      </w:r>
    </w:p>
    <w:p w:rsidRPr="00035908" w:rsidR="00895BCD" w:rsidP="00DA6D9A" w:rsidRDefault="00895BCD" w14:paraId="2ABDF256" w14:textId="541CCE15">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A</w:t>
      </w:r>
      <w:r w:rsidR="005B274A">
        <w:rPr>
          <w:rFonts w:ascii="Times New Roman" w:hAnsi="Times New Roman" w:eastAsia="SimSun"/>
          <w:szCs w:val="24"/>
          <w:lang w:eastAsia="zh-CN"/>
        </w:rPr>
        <w:t>pproximately 2.9</w:t>
      </w:r>
      <w:r w:rsidRPr="00035908">
        <w:rPr>
          <w:rFonts w:ascii="Times New Roman" w:hAnsi="Times New Roman" w:eastAsia="SimSun"/>
          <w:szCs w:val="24"/>
          <w:lang w:eastAsia="zh-CN"/>
        </w:rPr>
        <w:t xml:space="preserve"> million people die in the United States each year, approximately 2 million of which are SSA beneficiaries.  The death of a beneficiary is an event that terminates the individual’s entitlement to Social Security benefits.  As regulated, states must furnish death information to SSA to compare to SSA’s payment files.</w:t>
      </w:r>
      <w:r w:rsidR="00610068">
        <w:rPr>
          <w:rFonts w:ascii="Times New Roman" w:hAnsi="Times New Roman" w:eastAsia="SimSun"/>
          <w:szCs w:val="24"/>
          <w:lang w:eastAsia="zh-CN"/>
        </w:rPr>
        <w:t xml:space="preserve">  </w:t>
      </w:r>
      <w:r w:rsidRPr="00035908">
        <w:rPr>
          <w:rFonts w:ascii="Times New Roman" w:hAnsi="Times New Roman" w:eastAsia="SimSun"/>
          <w:szCs w:val="24"/>
          <w:lang w:eastAsia="zh-CN"/>
        </w:rPr>
        <w:t xml:space="preserve">SSA uses the </w:t>
      </w:r>
      <w:r w:rsidR="00610068">
        <w:rPr>
          <w:rFonts w:ascii="Times New Roman" w:hAnsi="Times New Roman" w:eastAsia="SimSun"/>
          <w:szCs w:val="24"/>
          <w:lang w:eastAsia="zh-CN"/>
        </w:rPr>
        <w:t>S</w:t>
      </w:r>
      <w:r w:rsidRPr="00035908">
        <w:rPr>
          <w:rFonts w:ascii="Times New Roman" w:hAnsi="Times New Roman" w:eastAsia="SimSun"/>
          <w:szCs w:val="24"/>
          <w:lang w:eastAsia="zh-CN"/>
        </w:rPr>
        <w:t xml:space="preserve">tate </w:t>
      </w:r>
      <w:r w:rsidR="00610068">
        <w:rPr>
          <w:rFonts w:ascii="Times New Roman" w:hAnsi="Times New Roman" w:eastAsia="SimSun"/>
          <w:szCs w:val="24"/>
          <w:lang w:eastAsia="zh-CN"/>
        </w:rPr>
        <w:t>D</w:t>
      </w:r>
      <w:r w:rsidRPr="00035908">
        <w:rPr>
          <w:rFonts w:ascii="Times New Roman" w:hAnsi="Times New Roman" w:eastAsia="SimSun"/>
          <w:szCs w:val="24"/>
          <w:lang w:eastAsia="zh-CN"/>
        </w:rPr>
        <w:t xml:space="preserve">eath </w:t>
      </w:r>
      <w:r w:rsidR="00610068">
        <w:rPr>
          <w:rFonts w:ascii="Times New Roman" w:hAnsi="Times New Roman" w:eastAsia="SimSun"/>
          <w:szCs w:val="24"/>
          <w:lang w:eastAsia="zh-CN"/>
        </w:rPr>
        <w:t>M</w:t>
      </w:r>
      <w:r w:rsidRPr="00035908">
        <w:rPr>
          <w:rFonts w:ascii="Times New Roman" w:hAnsi="Times New Roman" w:eastAsia="SimSun"/>
          <w:szCs w:val="24"/>
          <w:lang w:eastAsia="zh-CN"/>
        </w:rPr>
        <w:t xml:space="preserve">atch collections to ensure the accuracy of payment files by detecting unreported or inaccurate deaths of beneficiaries.  The states furnish death certificate information to SSA via </w:t>
      </w:r>
      <w:r w:rsidRPr="00035908" w:rsidR="00EC0D43">
        <w:rPr>
          <w:rFonts w:ascii="Times New Roman" w:hAnsi="Times New Roman" w:eastAsia="SimSun"/>
          <w:szCs w:val="24"/>
          <w:lang w:eastAsia="zh-CN"/>
        </w:rPr>
        <w:t>a “manual registration” process</w:t>
      </w:r>
      <w:r w:rsidR="00354681">
        <w:rPr>
          <w:rFonts w:ascii="Times New Roman" w:hAnsi="Times New Roman" w:eastAsia="SimSun"/>
          <w:szCs w:val="24"/>
          <w:lang w:eastAsia="zh-CN"/>
        </w:rPr>
        <w:t>,</w:t>
      </w:r>
      <w:r w:rsidRPr="00035908" w:rsidR="00EC0D43">
        <w:rPr>
          <w:rFonts w:ascii="Times New Roman" w:hAnsi="Times New Roman" w:eastAsia="SimSun"/>
          <w:szCs w:val="24"/>
          <w:lang w:eastAsia="zh-CN"/>
        </w:rPr>
        <w:t xml:space="preserve"> or via the Electronic Death Registration Process (EDR)</w:t>
      </w:r>
      <w:r w:rsidRPr="00035908">
        <w:rPr>
          <w:rFonts w:ascii="Times New Roman" w:hAnsi="Times New Roman" w:eastAsia="SimSun"/>
          <w:szCs w:val="24"/>
          <w:lang w:eastAsia="zh-CN"/>
        </w:rPr>
        <w:t>.  Both death match processes are automated electronic transfe</w:t>
      </w:r>
      <w:r w:rsidR="00354681">
        <w:rPr>
          <w:rFonts w:ascii="Times New Roman" w:hAnsi="Times New Roman" w:eastAsia="SimSun"/>
          <w:szCs w:val="24"/>
          <w:lang w:eastAsia="zh-CN"/>
        </w:rPr>
        <w:t>rs between the states and SSA.</w:t>
      </w:r>
    </w:p>
    <w:p w:rsidRPr="00035908" w:rsidR="00895BCD" w:rsidP="00DA6D9A" w:rsidRDefault="00895BCD" w14:paraId="5406A030" w14:textId="77777777">
      <w:pPr>
        <w:tabs>
          <w:tab w:val="num" w:pos="1440"/>
        </w:tabs>
        <w:ind w:left="1440"/>
        <w:rPr>
          <w:rFonts w:ascii="Times New Roman" w:hAnsi="Times New Roman" w:eastAsia="SimSun"/>
          <w:szCs w:val="24"/>
          <w:lang w:eastAsia="zh-CN"/>
        </w:rPr>
      </w:pPr>
    </w:p>
    <w:p w:rsidRPr="00035908" w:rsidR="00895BCD" w:rsidP="00DA6D9A" w:rsidRDefault="00895BCD" w14:paraId="1D3C2E34" w14:textId="77777777">
      <w:pPr>
        <w:tabs>
          <w:tab w:val="num" w:pos="1440"/>
        </w:tabs>
        <w:ind w:left="1440"/>
        <w:rPr>
          <w:rFonts w:ascii="Times New Roman" w:hAnsi="Times New Roman" w:eastAsia="SimSun"/>
          <w:b/>
          <w:bCs/>
          <w:szCs w:val="24"/>
          <w:lang w:eastAsia="zh-CN"/>
        </w:rPr>
      </w:pPr>
      <w:r w:rsidRPr="00035908">
        <w:rPr>
          <w:rFonts w:ascii="Times New Roman" w:hAnsi="Times New Roman" w:eastAsia="SimSun"/>
          <w:b/>
          <w:bCs/>
          <w:szCs w:val="24"/>
          <w:lang w:eastAsia="zh-CN"/>
        </w:rPr>
        <w:t>Manual Registration Process</w:t>
      </w:r>
    </w:p>
    <w:p w:rsidRPr="007866DD" w:rsidR="00895BCD" w:rsidP="007866DD" w:rsidRDefault="00895BCD" w14:paraId="28C52F6C" w14:textId="6AE36CE8">
      <w:pPr>
        <w:ind w:left="1440"/>
        <w:rPr>
          <w:rFonts w:ascii="Times New Roman" w:hAnsi="Times New Roman"/>
        </w:rPr>
      </w:pPr>
      <w:r w:rsidRPr="0069361F">
        <w:rPr>
          <w:rFonts w:ascii="Times New Roman" w:hAnsi="Times New Roman" w:eastAsia="SimSun"/>
          <w:szCs w:val="24"/>
          <w:lang w:eastAsia="zh-CN"/>
        </w:rPr>
        <w:t>T</w:t>
      </w:r>
      <w:r w:rsidR="0069361F">
        <w:rPr>
          <w:rFonts w:ascii="Times New Roman" w:hAnsi="Times New Roman" w:eastAsia="SimSun"/>
          <w:szCs w:val="24"/>
          <w:lang w:eastAsia="zh-CN"/>
        </w:rPr>
        <w:t xml:space="preserve">he SSA-721, </w:t>
      </w:r>
      <w:r w:rsidRPr="0069361F" w:rsidR="0069361F">
        <w:rPr>
          <w:rFonts w:ascii="Times New Roman" w:hAnsi="Times New Roman"/>
        </w:rPr>
        <w:t>Statement of Death by Funeral Director (</w:t>
      </w:r>
      <w:r w:rsidR="007866DD">
        <w:rPr>
          <w:rFonts w:ascii="Times New Roman" w:hAnsi="Times New Roman"/>
        </w:rPr>
        <w:t>OMB Control No. 0960</w:t>
      </w:r>
      <w:r w:rsidR="007866DD">
        <w:rPr>
          <w:rFonts w:ascii="Times New Roman" w:hAnsi="Times New Roman"/>
        </w:rPr>
        <w:noBreakHyphen/>
      </w:r>
      <w:r w:rsidRPr="0069361F" w:rsidR="0069361F">
        <w:rPr>
          <w:rFonts w:ascii="Times New Roman" w:hAnsi="Times New Roman"/>
        </w:rPr>
        <w:t>0142)</w:t>
      </w:r>
      <w:r w:rsidR="007866DD">
        <w:rPr>
          <w:rFonts w:ascii="Times New Roman" w:hAnsi="Times New Roman"/>
        </w:rPr>
        <w:t xml:space="preserve"> i</w:t>
      </w:r>
      <w:r w:rsidRPr="0069361F" w:rsidR="005F185A">
        <w:rPr>
          <w:rFonts w:ascii="Times New Roman" w:hAnsi="Times New Roman" w:eastAsia="SimSun"/>
          <w:szCs w:val="24"/>
          <w:lang w:eastAsia="zh-CN"/>
        </w:rPr>
        <w:t>s</w:t>
      </w:r>
      <w:r w:rsidRPr="0069361F" w:rsidR="0069361F">
        <w:rPr>
          <w:rFonts w:ascii="Times New Roman" w:hAnsi="Times New Roman" w:eastAsia="SimSun"/>
          <w:szCs w:val="24"/>
          <w:lang w:eastAsia="zh-CN"/>
        </w:rPr>
        <w:t xml:space="preserve"> the </w:t>
      </w:r>
      <w:r w:rsidRPr="0069361F">
        <w:rPr>
          <w:rFonts w:ascii="Times New Roman" w:hAnsi="Times New Roman" w:eastAsia="SimSun"/>
          <w:szCs w:val="24"/>
          <w:lang w:eastAsia="zh-CN"/>
        </w:rPr>
        <w:t>manual</w:t>
      </w:r>
      <w:r w:rsidRPr="00035908">
        <w:rPr>
          <w:rFonts w:ascii="Times New Roman" w:hAnsi="Times New Roman" w:eastAsia="SimSun"/>
          <w:szCs w:val="24"/>
          <w:lang w:eastAsia="zh-CN"/>
        </w:rPr>
        <w:t xml:space="preserve"> registration process</w:t>
      </w:r>
      <w:r w:rsidR="0069361F">
        <w:rPr>
          <w:rFonts w:ascii="Times New Roman" w:hAnsi="Times New Roman" w:eastAsia="SimSun"/>
          <w:szCs w:val="24"/>
          <w:lang w:eastAsia="zh-CN"/>
        </w:rPr>
        <w:t xml:space="preserve"> that begins</w:t>
      </w:r>
      <w:r w:rsidRPr="00035908">
        <w:rPr>
          <w:rFonts w:ascii="Times New Roman" w:hAnsi="Times New Roman" w:eastAsia="SimSun"/>
          <w:szCs w:val="24"/>
          <w:lang w:eastAsia="zh-CN"/>
        </w:rPr>
        <w:t xml:space="preserve"> with the funeral director, charged by state law with completing the demographic information on the deceased, such as name</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date of birth</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Social Security number (SSN)</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and sex code on the death certificate.  The funeral director then hand delivers the certificate to the attending physician to complete the cause of death information.  In some jurisdictions, the data is then delivered to a county or local registrar</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and finally to a state’s department of vital statistics where it is officially registered.  While the state process is manual, the transfer of information to SSA is automated.  The states forward this information to SSA, using curre</w:t>
      </w:r>
      <w:r w:rsidRPr="00035908" w:rsidR="00FA42A7">
        <w:rPr>
          <w:rFonts w:ascii="Times New Roman" w:hAnsi="Times New Roman" w:eastAsia="SimSun"/>
          <w:szCs w:val="24"/>
          <w:lang w:eastAsia="zh-CN"/>
        </w:rPr>
        <w:t>nt electronic technology (i.e.</w:t>
      </w:r>
      <w:r w:rsidRPr="00035908">
        <w:rPr>
          <w:rFonts w:ascii="Times New Roman" w:hAnsi="Times New Roman" w:eastAsia="SimSun"/>
          <w:szCs w:val="24"/>
          <w:lang w:eastAsia="zh-CN"/>
        </w:rPr>
        <w:t xml:space="preserve"> </w:t>
      </w:r>
      <w:proofErr w:type="spellStart"/>
      <w:r w:rsidRPr="00035908" w:rsidR="00FA42A7">
        <w:rPr>
          <w:rFonts w:ascii="Times New Roman" w:hAnsi="Times New Roman" w:eastAsia="SimSun"/>
          <w:szCs w:val="24"/>
          <w:lang w:eastAsia="zh-CN"/>
        </w:rPr>
        <w:t>CyberFusion</w:t>
      </w:r>
      <w:proofErr w:type="spellEnd"/>
      <w:r w:rsidRPr="00035908" w:rsidR="00B40F6A">
        <w:rPr>
          <w:rFonts w:ascii="Times New Roman" w:hAnsi="Times New Roman" w:eastAsia="SimSun"/>
          <w:szCs w:val="24"/>
          <w:lang w:eastAsia="zh-CN"/>
        </w:rPr>
        <w:t xml:space="preserve"> and Government Services Online</w:t>
      </w:r>
      <w:r w:rsidRPr="00035908" w:rsidR="000F1259">
        <w:rPr>
          <w:rFonts w:ascii="Times New Roman" w:hAnsi="Times New Roman" w:eastAsia="SimSun"/>
          <w:szCs w:val="24"/>
          <w:lang w:eastAsia="zh-CN"/>
        </w:rPr>
        <w:t xml:space="preserve"> </w:t>
      </w:r>
      <w:r w:rsidRPr="00035908" w:rsidR="000D4B1F">
        <w:rPr>
          <w:rFonts w:ascii="Times New Roman" w:hAnsi="Times New Roman" w:eastAsia="SimSun"/>
          <w:szCs w:val="24"/>
          <w:lang w:eastAsia="zh-CN"/>
        </w:rPr>
        <w:t>(GSO)</w:t>
      </w:r>
      <w:r w:rsidR="009B5830">
        <w:rPr>
          <w:rFonts w:ascii="Times New Roman" w:hAnsi="Times New Roman" w:eastAsia="SimSun"/>
          <w:szCs w:val="24"/>
          <w:lang w:eastAsia="zh-CN"/>
        </w:rPr>
        <w:t xml:space="preserve"> portal</w:t>
      </w:r>
      <w:r w:rsidRPr="00035908">
        <w:rPr>
          <w:rFonts w:ascii="Times New Roman" w:hAnsi="Times New Roman" w:eastAsia="SimSun"/>
          <w:szCs w:val="24"/>
          <w:lang w:eastAsia="zh-CN"/>
        </w:rPr>
        <w:t>).</w:t>
      </w:r>
    </w:p>
    <w:p w:rsidR="004E4B21" w:rsidP="00DA6D9A" w:rsidRDefault="004E4B21" w14:paraId="2FB9145B" w14:textId="5A506F61">
      <w:pPr>
        <w:tabs>
          <w:tab w:val="num" w:pos="1440"/>
        </w:tabs>
        <w:ind w:left="1440"/>
        <w:rPr>
          <w:rFonts w:ascii="Times New Roman" w:hAnsi="Times New Roman" w:eastAsia="SimSun"/>
          <w:szCs w:val="24"/>
          <w:lang w:eastAsia="zh-CN"/>
        </w:rPr>
      </w:pPr>
    </w:p>
    <w:p w:rsidR="0069361F" w:rsidP="00DA6D9A" w:rsidRDefault="0069361F" w14:paraId="5ACDC609" w14:textId="17F05FA3">
      <w:pPr>
        <w:tabs>
          <w:tab w:val="num" w:pos="1440"/>
        </w:tabs>
        <w:ind w:left="1440"/>
        <w:rPr>
          <w:rFonts w:ascii="Times New Roman" w:hAnsi="Times New Roman" w:eastAsia="SimSun"/>
          <w:szCs w:val="24"/>
          <w:lang w:eastAsia="zh-CN"/>
        </w:rPr>
      </w:pPr>
    </w:p>
    <w:p w:rsidRPr="00035908" w:rsidR="0069361F" w:rsidP="00DA6D9A" w:rsidRDefault="0069361F" w14:paraId="7B91A7CF" w14:textId="77777777">
      <w:pPr>
        <w:tabs>
          <w:tab w:val="num" w:pos="1440"/>
        </w:tabs>
        <w:ind w:left="1440"/>
        <w:rPr>
          <w:rFonts w:ascii="Times New Roman" w:hAnsi="Times New Roman" w:eastAsia="SimSun"/>
          <w:szCs w:val="24"/>
          <w:lang w:eastAsia="zh-CN"/>
        </w:rPr>
      </w:pPr>
    </w:p>
    <w:p w:rsidRPr="00035908" w:rsidR="00895BCD" w:rsidP="00DA6D9A" w:rsidRDefault="00895BCD" w14:paraId="6A4EC3E4" w14:textId="77777777">
      <w:pPr>
        <w:tabs>
          <w:tab w:val="num" w:pos="1440"/>
        </w:tabs>
        <w:ind w:left="1440"/>
        <w:rPr>
          <w:rFonts w:ascii="Times New Roman" w:hAnsi="Times New Roman" w:eastAsia="SimSun"/>
          <w:szCs w:val="24"/>
          <w:lang w:eastAsia="zh-CN"/>
        </w:rPr>
      </w:pPr>
      <w:r w:rsidRPr="00035908">
        <w:rPr>
          <w:rFonts w:ascii="Times New Roman" w:hAnsi="Times New Roman" w:eastAsia="SimSun"/>
          <w:b/>
          <w:bCs/>
          <w:szCs w:val="24"/>
          <w:lang w:eastAsia="zh-CN"/>
        </w:rPr>
        <w:lastRenderedPageBreak/>
        <w:t>EDR Process</w:t>
      </w:r>
    </w:p>
    <w:p w:rsidRPr="00035908" w:rsidR="00895BCD" w:rsidP="00DA6D9A" w:rsidRDefault="00895BCD" w14:paraId="6ABE040D" w14:textId="77777777">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The EDR process is web-based.  The system permits electronic transfer of the death certificate from the funeral director to the next participant who completes a portion of the certificate.  EDR reduces the processing time needed to register deaths</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and drastically improves the business practices of the various participants in the death registration process.  EDR results in the state’s ability</w:t>
      </w:r>
      <w:r w:rsidRPr="00035908" w:rsidR="000F1259">
        <w:rPr>
          <w:rFonts w:ascii="Times New Roman" w:hAnsi="Times New Roman" w:eastAsia="SimSun"/>
          <w:szCs w:val="24"/>
          <w:lang w:eastAsia="zh-CN"/>
        </w:rPr>
        <w:t xml:space="preserve"> to send SSA the report within 6</w:t>
      </w:r>
      <w:r w:rsidRPr="00035908">
        <w:rPr>
          <w:rFonts w:ascii="Times New Roman" w:hAnsi="Times New Roman" w:eastAsia="SimSun"/>
          <w:szCs w:val="24"/>
          <w:lang w:eastAsia="zh-CN"/>
        </w:rPr>
        <w:t xml:space="preserve"> days of the date of death, and within 24 hours of receipt in the state’s repository.  </w:t>
      </w:r>
    </w:p>
    <w:p w:rsidRPr="00035908" w:rsidR="00895BCD" w:rsidP="00DA6D9A" w:rsidRDefault="00895BCD" w14:paraId="16AE5B17" w14:textId="77777777">
      <w:pPr>
        <w:tabs>
          <w:tab w:val="num" w:pos="1440"/>
        </w:tabs>
        <w:ind w:left="1440"/>
        <w:rPr>
          <w:rFonts w:ascii="Times New Roman" w:hAnsi="Times New Roman" w:eastAsia="SimSun"/>
          <w:szCs w:val="24"/>
          <w:lang w:eastAsia="zh-CN"/>
        </w:rPr>
      </w:pPr>
    </w:p>
    <w:p w:rsidRPr="00035908" w:rsidR="00895BCD" w:rsidP="00DA6D9A" w:rsidRDefault="00895BCD" w14:paraId="39E93834" w14:textId="77777777">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Requests for online verification of the deceased’s SSN passes through the state’s server.  Each state is responsible for authenticating each death registration participant and maintaining an audit trail of each request.  SSA is responsible for authenticating state servers</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processing verification requests</w:t>
      </w:r>
      <w:r w:rsidR="00195FB4">
        <w:rPr>
          <w:rFonts w:ascii="Times New Roman" w:hAnsi="Times New Roman" w:eastAsia="SimSun"/>
          <w:szCs w:val="24"/>
          <w:lang w:eastAsia="zh-CN"/>
        </w:rPr>
        <w:t>;</w:t>
      </w:r>
      <w:r w:rsidRPr="00035908">
        <w:rPr>
          <w:rFonts w:ascii="Times New Roman" w:hAnsi="Times New Roman" w:eastAsia="SimSun"/>
          <w:szCs w:val="24"/>
          <w:lang w:eastAsia="zh-CN"/>
        </w:rPr>
        <w:t xml:space="preserve"> and building verification responses.  The online verification system uses the decedent’s demographic information, i.e., SSN, name, date of birth, and sex to match with SSA’s records.  The response either indicates the information is a match, indicating it is an accurate report, or it will give a code indicating why a match did not occur.  This allows the participant making the request to verify and correct data that prevented the match, or obtain </w:t>
      </w:r>
      <w:r w:rsidRPr="00035908" w:rsidR="008A0756">
        <w:rPr>
          <w:rFonts w:ascii="Times New Roman" w:hAnsi="Times New Roman" w:eastAsia="SimSun"/>
          <w:szCs w:val="24"/>
          <w:lang w:eastAsia="zh-CN"/>
        </w:rPr>
        <w:t>information that is more accurate</w:t>
      </w:r>
      <w:r w:rsidRPr="00035908">
        <w:rPr>
          <w:rFonts w:ascii="Times New Roman" w:hAnsi="Times New Roman" w:eastAsia="SimSun"/>
          <w:szCs w:val="24"/>
          <w:lang w:eastAsia="zh-CN"/>
        </w:rPr>
        <w:t>.</w:t>
      </w:r>
    </w:p>
    <w:p w:rsidRPr="00035908" w:rsidR="00895BCD" w:rsidP="00DA6D9A" w:rsidRDefault="00895BCD" w14:paraId="431DFB3B" w14:textId="77777777">
      <w:pPr>
        <w:tabs>
          <w:tab w:val="num" w:pos="1440"/>
        </w:tabs>
        <w:ind w:left="1440"/>
        <w:rPr>
          <w:rFonts w:ascii="Times New Roman" w:hAnsi="Times New Roman" w:eastAsia="SimSun"/>
          <w:szCs w:val="24"/>
          <w:lang w:eastAsia="zh-CN"/>
        </w:rPr>
      </w:pPr>
    </w:p>
    <w:p w:rsidRPr="00035908" w:rsidR="00195FB4" w:rsidP="00DA6D9A" w:rsidRDefault="00895BCD" w14:paraId="635FFF45" w14:textId="070F8641">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 xml:space="preserve">States agreed that the online verification of the SSN at the first point of collection in the registration process, i.e., the funeral director, satisfies the requirement to </w:t>
      </w:r>
      <w:r w:rsidR="00195FB4">
        <w:rPr>
          <w:rFonts w:ascii="Times New Roman" w:hAnsi="Times New Roman" w:eastAsia="SimSun"/>
          <w:szCs w:val="24"/>
          <w:lang w:eastAsia="zh-CN"/>
        </w:rPr>
        <w:t>v</w:t>
      </w:r>
      <w:r w:rsidRPr="00035908">
        <w:rPr>
          <w:rFonts w:ascii="Times New Roman" w:hAnsi="Times New Roman" w:eastAsia="SimSun"/>
          <w:szCs w:val="24"/>
          <w:lang w:eastAsia="zh-CN"/>
        </w:rPr>
        <w:t xml:space="preserve">erify the SSN.  This action allows SSA to immediately terminate the deceased’s </w:t>
      </w:r>
      <w:r w:rsidRPr="00D611B3">
        <w:rPr>
          <w:rFonts w:ascii="Times New Roman" w:hAnsi="Times New Roman" w:eastAsia="SimSun"/>
          <w:szCs w:val="24"/>
          <w:lang w:eastAsia="zh-CN"/>
        </w:rPr>
        <w:t>benefits and save</w:t>
      </w:r>
      <w:r w:rsidR="007866DD">
        <w:rPr>
          <w:rFonts w:ascii="Times New Roman" w:hAnsi="Times New Roman" w:eastAsia="SimSun"/>
          <w:szCs w:val="24"/>
          <w:lang w:eastAsia="zh-CN"/>
        </w:rPr>
        <w:t>s</w:t>
      </w:r>
      <w:r w:rsidR="00FD3B8F">
        <w:rPr>
          <w:rFonts w:ascii="Times New Roman" w:hAnsi="Times New Roman" w:eastAsia="SimSun"/>
          <w:szCs w:val="24"/>
          <w:lang w:eastAsia="zh-CN"/>
        </w:rPr>
        <w:t xml:space="preserve"> </w:t>
      </w:r>
      <w:r w:rsidR="0069361F">
        <w:rPr>
          <w:rFonts w:ascii="Times New Roman" w:hAnsi="Times New Roman" w:eastAsia="SimSun"/>
          <w:szCs w:val="24"/>
          <w:lang w:eastAsia="zh-CN"/>
        </w:rPr>
        <w:t xml:space="preserve">the Federal </w:t>
      </w:r>
      <w:r w:rsidR="005F185A">
        <w:rPr>
          <w:rFonts w:ascii="Times New Roman" w:hAnsi="Times New Roman" w:eastAsia="SimSun"/>
          <w:szCs w:val="24"/>
          <w:lang w:eastAsia="zh-CN"/>
        </w:rPr>
        <w:t>government</w:t>
      </w:r>
      <w:r w:rsidRPr="00D611B3">
        <w:rPr>
          <w:rFonts w:ascii="Times New Roman" w:hAnsi="Times New Roman" w:eastAsia="SimSun"/>
          <w:szCs w:val="24"/>
          <w:lang w:eastAsia="zh-CN"/>
        </w:rPr>
        <w:t xml:space="preserve"> $36-42 million in program dollars and over 102 work years annually.  SSA share</w:t>
      </w:r>
      <w:r w:rsidRPr="00D611B3" w:rsidR="00CB15D1">
        <w:rPr>
          <w:rFonts w:ascii="Times New Roman" w:hAnsi="Times New Roman" w:eastAsia="SimSun"/>
          <w:szCs w:val="24"/>
          <w:lang w:eastAsia="zh-CN"/>
        </w:rPr>
        <w:t>s</w:t>
      </w:r>
      <w:r w:rsidRPr="00D611B3">
        <w:rPr>
          <w:rFonts w:ascii="Times New Roman" w:hAnsi="Times New Roman" w:eastAsia="SimSun"/>
          <w:szCs w:val="24"/>
          <w:lang w:eastAsia="zh-CN"/>
        </w:rPr>
        <w:t xml:space="preserve"> death data with the </w:t>
      </w:r>
      <w:r w:rsidRPr="00D611B3" w:rsidR="009E209F">
        <w:rPr>
          <w:rFonts w:ascii="Times New Roman" w:hAnsi="Times New Roman" w:eastAsia="SimSun"/>
          <w:szCs w:val="24"/>
          <w:lang w:eastAsia="zh-CN"/>
        </w:rPr>
        <w:t>following f</w:t>
      </w:r>
      <w:r w:rsidRPr="00D611B3" w:rsidR="00CB15D1">
        <w:rPr>
          <w:rFonts w:ascii="Times New Roman" w:hAnsi="Times New Roman" w:eastAsia="SimSun"/>
          <w:szCs w:val="24"/>
          <w:lang w:eastAsia="zh-CN"/>
        </w:rPr>
        <w:t>ederal benefit-paying</w:t>
      </w:r>
      <w:r w:rsidR="00AB1F51">
        <w:rPr>
          <w:rFonts w:ascii="Times New Roman" w:hAnsi="Times New Roman" w:eastAsia="SimSun"/>
          <w:szCs w:val="24"/>
          <w:lang w:eastAsia="zh-CN"/>
        </w:rPr>
        <w:t xml:space="preserve"> or </w:t>
      </w:r>
      <w:r w:rsidRPr="00D611B3" w:rsidR="005B55B9">
        <w:rPr>
          <w:rFonts w:ascii="Times New Roman" w:hAnsi="Times New Roman" w:eastAsia="SimSun"/>
          <w:szCs w:val="24"/>
          <w:lang w:eastAsia="zh-CN"/>
        </w:rPr>
        <w:t>research</w:t>
      </w:r>
      <w:r w:rsidRPr="00D611B3" w:rsidR="00CB15D1">
        <w:rPr>
          <w:rFonts w:ascii="Times New Roman" w:hAnsi="Times New Roman" w:eastAsia="SimSun"/>
          <w:szCs w:val="24"/>
          <w:lang w:eastAsia="zh-CN"/>
        </w:rPr>
        <w:t xml:space="preserve"> agencies:</w:t>
      </w:r>
      <w:r w:rsidRPr="00D611B3" w:rsidR="008A0756">
        <w:rPr>
          <w:rFonts w:ascii="Times New Roman" w:hAnsi="Times New Roman" w:eastAsia="SimSun"/>
          <w:szCs w:val="24"/>
          <w:lang w:eastAsia="zh-CN"/>
        </w:rPr>
        <w:t xml:space="preserve"> </w:t>
      </w:r>
      <w:r w:rsidRPr="00D611B3" w:rsidR="00CB15D1">
        <w:rPr>
          <w:rFonts w:ascii="Times New Roman" w:hAnsi="Times New Roman" w:eastAsia="SimSun"/>
          <w:szCs w:val="24"/>
          <w:lang w:eastAsia="zh-CN"/>
        </w:rPr>
        <w:t xml:space="preserve"> </w:t>
      </w:r>
      <w:r w:rsidRPr="00D611B3">
        <w:rPr>
          <w:rFonts w:ascii="Times New Roman" w:hAnsi="Times New Roman" w:eastAsia="SimSun"/>
          <w:szCs w:val="24"/>
          <w:lang w:eastAsia="zh-CN"/>
        </w:rPr>
        <w:t>Office of Personnel Management</w:t>
      </w:r>
      <w:r w:rsidRPr="00D611B3" w:rsidR="00195FB4">
        <w:rPr>
          <w:rFonts w:ascii="Times New Roman" w:hAnsi="Times New Roman" w:eastAsia="SimSun"/>
          <w:szCs w:val="24"/>
          <w:lang w:eastAsia="zh-CN"/>
        </w:rPr>
        <w:t>;</w:t>
      </w:r>
      <w:r w:rsidRPr="00D611B3">
        <w:rPr>
          <w:rFonts w:ascii="Times New Roman" w:hAnsi="Times New Roman" w:eastAsia="SimSun"/>
          <w:szCs w:val="24"/>
          <w:lang w:eastAsia="zh-CN"/>
        </w:rPr>
        <w:t xml:space="preserve"> Department of Defense</w:t>
      </w:r>
      <w:r w:rsidR="00AB1F51">
        <w:rPr>
          <w:rFonts w:ascii="Times New Roman" w:hAnsi="Times New Roman" w:eastAsia="SimSun"/>
          <w:szCs w:val="24"/>
          <w:lang w:eastAsia="zh-CN"/>
        </w:rPr>
        <w:t xml:space="preserve"> </w:t>
      </w:r>
      <w:r w:rsidR="00AB1F51">
        <w:rPr>
          <w:rFonts w:ascii="Times New Roman" w:hAnsi="Times New Roman" w:eastAsia="SimSun"/>
          <w:szCs w:val="24"/>
          <w:lang w:eastAsia="zh-CN"/>
        </w:rPr>
        <w:noBreakHyphen/>
      </w:r>
      <w:r w:rsidRPr="00D611B3" w:rsidR="00CB15D1">
        <w:rPr>
          <w:rFonts w:ascii="Times New Roman" w:hAnsi="Times New Roman" w:eastAsia="SimSun"/>
          <w:szCs w:val="24"/>
          <w:lang w:eastAsia="zh-CN"/>
        </w:rPr>
        <w:t xml:space="preserve"> Department of Manpower Data Center</w:t>
      </w:r>
      <w:r w:rsidRPr="00D611B3" w:rsidR="00195FB4">
        <w:rPr>
          <w:rFonts w:ascii="Times New Roman" w:hAnsi="Times New Roman" w:eastAsia="SimSun"/>
          <w:szCs w:val="24"/>
          <w:lang w:eastAsia="zh-CN"/>
        </w:rPr>
        <w:t>;</w:t>
      </w:r>
      <w:r w:rsidRPr="00D611B3">
        <w:rPr>
          <w:rFonts w:ascii="Times New Roman" w:hAnsi="Times New Roman" w:eastAsia="SimSun"/>
          <w:szCs w:val="24"/>
          <w:lang w:eastAsia="zh-CN"/>
        </w:rPr>
        <w:t xml:space="preserve"> Railroad Retirement Board</w:t>
      </w:r>
      <w:r w:rsidRPr="00D611B3" w:rsidR="00195FB4">
        <w:rPr>
          <w:rFonts w:ascii="Times New Roman" w:hAnsi="Times New Roman" w:eastAsia="SimSun"/>
          <w:szCs w:val="24"/>
          <w:lang w:eastAsia="zh-CN"/>
        </w:rPr>
        <w:t>;</w:t>
      </w:r>
      <w:r w:rsidRPr="00D611B3">
        <w:rPr>
          <w:rFonts w:ascii="Times New Roman" w:hAnsi="Times New Roman" w:eastAsia="SimSun"/>
          <w:szCs w:val="24"/>
          <w:lang w:eastAsia="zh-CN"/>
        </w:rPr>
        <w:t xml:space="preserve"> </w:t>
      </w:r>
      <w:r w:rsidRPr="00D611B3" w:rsidR="005B55B9">
        <w:rPr>
          <w:rFonts w:ascii="Times New Roman" w:hAnsi="Times New Roman" w:eastAsia="SimSun"/>
          <w:szCs w:val="24"/>
          <w:lang w:eastAsia="zh-CN"/>
        </w:rPr>
        <w:t xml:space="preserve">Federal Retirement Thrift Investment Board; Department of Housing and Urban Development; </w:t>
      </w:r>
      <w:r w:rsidRPr="00D611B3" w:rsidR="00CB15D1">
        <w:rPr>
          <w:rFonts w:ascii="Times New Roman" w:hAnsi="Times New Roman" w:eastAsia="SimSun"/>
          <w:szCs w:val="24"/>
          <w:lang w:eastAsia="zh-CN"/>
        </w:rPr>
        <w:t>Department of Health and Human Services</w:t>
      </w:r>
      <w:r w:rsidRPr="00D611B3" w:rsidR="009E209F">
        <w:rPr>
          <w:rFonts w:ascii="Times New Roman" w:hAnsi="Times New Roman" w:eastAsia="SimSun"/>
          <w:szCs w:val="24"/>
          <w:lang w:eastAsia="zh-CN"/>
        </w:rPr>
        <w:t xml:space="preserve"> (HHS)</w:t>
      </w:r>
      <w:r w:rsidRPr="00D611B3" w:rsidR="00CB15D1">
        <w:rPr>
          <w:rFonts w:ascii="Times New Roman" w:hAnsi="Times New Roman" w:eastAsia="SimSun"/>
          <w:szCs w:val="24"/>
          <w:lang w:eastAsia="zh-CN"/>
        </w:rPr>
        <w:t xml:space="preserve"> - Centers for Medi</w:t>
      </w:r>
      <w:r w:rsidRPr="00D611B3" w:rsidR="009E209F">
        <w:rPr>
          <w:rFonts w:ascii="Times New Roman" w:hAnsi="Times New Roman" w:eastAsia="SimSun"/>
          <w:szCs w:val="24"/>
          <w:lang w:eastAsia="zh-CN"/>
        </w:rPr>
        <w:t>care and Medicaid Services</w:t>
      </w:r>
      <w:r w:rsidRPr="00D611B3" w:rsidR="00195FB4">
        <w:rPr>
          <w:rFonts w:ascii="Times New Roman" w:hAnsi="Times New Roman" w:eastAsia="SimSun"/>
          <w:szCs w:val="24"/>
          <w:lang w:eastAsia="zh-CN"/>
        </w:rPr>
        <w:t>;</w:t>
      </w:r>
      <w:r w:rsidRPr="00D611B3">
        <w:rPr>
          <w:rFonts w:ascii="Times New Roman" w:hAnsi="Times New Roman" w:eastAsia="SimSun"/>
          <w:szCs w:val="24"/>
          <w:lang w:eastAsia="zh-CN"/>
        </w:rPr>
        <w:t xml:space="preserve"> </w:t>
      </w:r>
      <w:r w:rsidRPr="00D611B3" w:rsidR="009E209F">
        <w:rPr>
          <w:rFonts w:ascii="Times New Roman" w:hAnsi="Times New Roman" w:eastAsia="SimSun"/>
          <w:szCs w:val="24"/>
          <w:lang w:eastAsia="zh-CN"/>
        </w:rPr>
        <w:t>HHS - Health Resources and Service Administration</w:t>
      </w:r>
      <w:r w:rsidRPr="00D611B3" w:rsidR="00195FB4">
        <w:rPr>
          <w:rFonts w:ascii="Times New Roman" w:hAnsi="Times New Roman" w:eastAsia="SimSun"/>
          <w:szCs w:val="24"/>
          <w:lang w:eastAsia="zh-CN"/>
        </w:rPr>
        <w:t>;</w:t>
      </w:r>
      <w:r w:rsidRPr="00D611B3" w:rsidR="009E209F">
        <w:rPr>
          <w:rFonts w:ascii="Times New Roman" w:hAnsi="Times New Roman" w:eastAsia="SimSun"/>
          <w:szCs w:val="24"/>
          <w:lang w:eastAsia="zh-CN"/>
        </w:rPr>
        <w:t xml:space="preserve"> </w:t>
      </w:r>
      <w:r w:rsidRPr="00D611B3" w:rsidR="005B55B9">
        <w:rPr>
          <w:rFonts w:ascii="Times New Roman" w:hAnsi="Times New Roman" w:eastAsia="SimSun"/>
          <w:szCs w:val="24"/>
          <w:lang w:eastAsia="zh-CN"/>
        </w:rPr>
        <w:t>HHS</w:t>
      </w:r>
      <w:r w:rsidR="00AB1F51">
        <w:rPr>
          <w:rFonts w:ascii="Times New Roman" w:hAnsi="Times New Roman" w:eastAsia="SimSun"/>
          <w:szCs w:val="24"/>
          <w:lang w:eastAsia="zh-CN"/>
        </w:rPr>
        <w:t xml:space="preserve"> </w:t>
      </w:r>
      <w:r w:rsidRPr="00D611B3" w:rsidR="005B55B9">
        <w:rPr>
          <w:rFonts w:ascii="Times New Roman" w:hAnsi="Times New Roman" w:eastAsia="SimSun"/>
          <w:szCs w:val="24"/>
          <w:lang w:eastAsia="zh-CN"/>
        </w:rPr>
        <w:t xml:space="preserve">- National Institute of Health; </w:t>
      </w:r>
      <w:r w:rsidRPr="00D611B3">
        <w:rPr>
          <w:rFonts w:ascii="Times New Roman" w:hAnsi="Times New Roman" w:eastAsia="SimSun"/>
          <w:szCs w:val="24"/>
          <w:lang w:eastAsia="zh-CN"/>
        </w:rPr>
        <w:t>Department of Veterans Affairs</w:t>
      </w:r>
      <w:r w:rsidRPr="00D611B3" w:rsidR="00195FB4">
        <w:rPr>
          <w:rFonts w:ascii="Times New Roman" w:hAnsi="Times New Roman" w:eastAsia="SimSun"/>
          <w:szCs w:val="24"/>
          <w:lang w:eastAsia="zh-CN"/>
        </w:rPr>
        <w:t>;</w:t>
      </w:r>
      <w:r w:rsidRPr="00D611B3" w:rsidR="00CB15D1">
        <w:rPr>
          <w:rFonts w:ascii="Times New Roman" w:hAnsi="Times New Roman" w:eastAsia="SimSun"/>
          <w:szCs w:val="24"/>
          <w:lang w:eastAsia="zh-CN"/>
        </w:rPr>
        <w:t xml:space="preserve"> Internal Revenue Service</w:t>
      </w:r>
      <w:r w:rsidRPr="00D611B3" w:rsidR="00195FB4">
        <w:rPr>
          <w:rFonts w:ascii="Times New Roman" w:hAnsi="Times New Roman" w:eastAsia="SimSun"/>
          <w:szCs w:val="24"/>
          <w:lang w:eastAsia="zh-CN"/>
        </w:rPr>
        <w:t>;</w:t>
      </w:r>
      <w:r w:rsidRPr="00D611B3" w:rsidR="009E209F">
        <w:rPr>
          <w:rFonts w:ascii="Times New Roman" w:hAnsi="Times New Roman" w:eastAsia="SimSun"/>
          <w:szCs w:val="24"/>
          <w:lang w:eastAsia="zh-CN"/>
        </w:rPr>
        <w:t xml:space="preserve"> Pension Benefit Guarantee Corporation</w:t>
      </w:r>
      <w:r w:rsidRPr="00D611B3" w:rsidR="00195FB4">
        <w:rPr>
          <w:rFonts w:ascii="Times New Roman" w:hAnsi="Times New Roman" w:eastAsia="SimSun"/>
          <w:szCs w:val="24"/>
          <w:lang w:eastAsia="zh-CN"/>
        </w:rPr>
        <w:t>;</w:t>
      </w:r>
      <w:r w:rsidRPr="00D611B3" w:rsidR="009E209F">
        <w:rPr>
          <w:rFonts w:ascii="Times New Roman" w:hAnsi="Times New Roman" w:eastAsia="SimSun"/>
          <w:szCs w:val="24"/>
          <w:lang w:eastAsia="zh-CN"/>
        </w:rPr>
        <w:t xml:space="preserve"> and United States Department of Agriculture</w:t>
      </w:r>
      <w:r w:rsidRPr="00D611B3">
        <w:rPr>
          <w:rFonts w:ascii="Times New Roman" w:hAnsi="Times New Roman" w:eastAsia="SimSun"/>
          <w:szCs w:val="24"/>
          <w:lang w:eastAsia="zh-CN"/>
        </w:rPr>
        <w:t>.</w:t>
      </w:r>
      <w:r w:rsidRPr="00035908">
        <w:rPr>
          <w:rFonts w:ascii="Times New Roman" w:hAnsi="Times New Roman" w:eastAsia="SimSun"/>
          <w:szCs w:val="24"/>
          <w:lang w:eastAsia="zh-CN"/>
        </w:rPr>
        <w:t xml:space="preserve">  We expect </w:t>
      </w:r>
      <w:r w:rsidRPr="00035908" w:rsidR="00CB15D1">
        <w:rPr>
          <w:rFonts w:ascii="Times New Roman" w:hAnsi="Times New Roman" w:eastAsia="SimSun"/>
          <w:szCs w:val="24"/>
          <w:lang w:eastAsia="zh-CN"/>
        </w:rPr>
        <w:t xml:space="preserve">these agencies have </w:t>
      </w:r>
      <w:r w:rsidRPr="00035908">
        <w:rPr>
          <w:rFonts w:ascii="Times New Roman" w:hAnsi="Times New Roman" w:eastAsia="SimSun"/>
          <w:szCs w:val="24"/>
          <w:lang w:eastAsia="zh-CN"/>
        </w:rPr>
        <w:t>similar savings.</w:t>
      </w:r>
      <w:r w:rsidR="00CC4F91">
        <w:rPr>
          <w:rFonts w:ascii="Times New Roman" w:hAnsi="Times New Roman" w:eastAsia="SimSun"/>
          <w:szCs w:val="24"/>
          <w:lang w:eastAsia="zh-CN"/>
        </w:rPr>
        <w:t xml:space="preserve">  </w:t>
      </w:r>
      <w:r w:rsidR="00195FB4">
        <w:rPr>
          <w:rFonts w:ascii="Times New Roman" w:hAnsi="Times New Roman" w:eastAsia="SimSun"/>
          <w:szCs w:val="24"/>
          <w:lang w:eastAsia="zh-CN"/>
        </w:rPr>
        <w:t>The respondents are the states’ bureaus of vital statistics.</w:t>
      </w:r>
    </w:p>
    <w:p w:rsidRPr="00035908" w:rsidR="00895BCD" w:rsidP="00DA6D9A" w:rsidRDefault="00895BCD" w14:paraId="74D0ECDB" w14:textId="77777777">
      <w:pPr>
        <w:tabs>
          <w:tab w:val="num" w:pos="1440"/>
        </w:tabs>
        <w:ind w:left="720"/>
        <w:rPr>
          <w:rFonts w:ascii="Times New Roman" w:hAnsi="Times New Roman" w:eastAsia="SimSun"/>
          <w:szCs w:val="24"/>
          <w:lang w:eastAsia="zh-CN"/>
        </w:rPr>
      </w:pPr>
    </w:p>
    <w:p w:rsidRPr="00035908" w:rsidR="00895BCD" w:rsidP="00DA6D9A" w:rsidRDefault="00895BCD" w14:paraId="0E1B71E4" w14:textId="77777777">
      <w:pPr>
        <w:widowControl w:val="0"/>
        <w:numPr>
          <w:ilvl w:val="0"/>
          <w:numId w:val="3"/>
        </w:numPr>
        <w:tabs>
          <w:tab w:val="clear" w:pos="900"/>
          <w:tab w:val="num" w:pos="1440"/>
        </w:tabs>
        <w:ind w:left="1440"/>
        <w:rPr>
          <w:rFonts w:ascii="Times New Roman" w:hAnsi="Times New Roman" w:eastAsia="SimSun"/>
          <w:szCs w:val="24"/>
          <w:lang w:eastAsia="zh-CN"/>
        </w:rPr>
      </w:pPr>
      <w:r w:rsidRPr="00035908">
        <w:rPr>
          <w:rFonts w:ascii="Times New Roman" w:hAnsi="Times New Roman" w:eastAsia="SimSun"/>
          <w:b/>
          <w:szCs w:val="24"/>
          <w:lang w:eastAsia="zh-CN"/>
        </w:rPr>
        <w:t>Use of Information Technology to Collect the Information</w:t>
      </w:r>
    </w:p>
    <w:p w:rsidRPr="0016790D" w:rsidR="00895BCD" w:rsidP="0016790D" w:rsidRDefault="00895BCD" w14:paraId="4DECF3B2" w14:textId="7FAB30F0">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Both death match processes are automated electronic transfers between the states and SSA</w:t>
      </w:r>
      <w:r w:rsidR="00D20F80">
        <w:rPr>
          <w:rFonts w:ascii="Times New Roman" w:hAnsi="Times New Roman" w:eastAsia="SimSun"/>
          <w:szCs w:val="24"/>
          <w:lang w:eastAsia="zh-CN"/>
        </w:rPr>
        <w:t>,</w:t>
      </w:r>
      <w:r w:rsidRPr="00035908">
        <w:rPr>
          <w:rFonts w:ascii="Times New Roman" w:hAnsi="Times New Roman" w:eastAsia="SimSun"/>
          <w:szCs w:val="24"/>
          <w:lang w:eastAsia="zh-CN"/>
        </w:rPr>
        <w:t xml:space="preserve"> and are compliant with the Government Paperwork Elimination Act.  However, EDR is a web-based system that links all the state participants via the Internet.  The states tag the records that verify using the </w:t>
      </w:r>
      <w:r w:rsidR="009B5830">
        <w:rPr>
          <w:rFonts w:ascii="Times New Roman" w:hAnsi="Times New Roman" w:eastAsia="SimSun"/>
          <w:szCs w:val="24"/>
          <w:lang w:eastAsia="zh-CN"/>
        </w:rPr>
        <w:t>Internet</w:t>
      </w:r>
      <w:r w:rsidRPr="00035908">
        <w:rPr>
          <w:rFonts w:ascii="Times New Roman" w:hAnsi="Times New Roman" w:eastAsia="SimSun"/>
          <w:szCs w:val="24"/>
          <w:lang w:eastAsia="zh-CN"/>
        </w:rPr>
        <w:t xml:space="preserve"> verification process.  Once SSA receives the batch file, SSA immediately directs the records with verified numbers to a termination process.  The p</w:t>
      </w:r>
      <w:r w:rsidR="006358AA">
        <w:rPr>
          <w:rFonts w:ascii="Times New Roman" w:hAnsi="Times New Roman" w:eastAsia="SimSun"/>
          <w:szCs w:val="24"/>
          <w:lang w:eastAsia="zh-CN"/>
        </w:rPr>
        <w:t xml:space="preserve">rocess eliminates the need for </w:t>
      </w:r>
      <w:r w:rsidRPr="00035908">
        <w:rPr>
          <w:rFonts w:ascii="Times New Roman" w:hAnsi="Times New Roman" w:eastAsia="SimSun"/>
          <w:szCs w:val="24"/>
          <w:lang w:eastAsia="zh-CN"/>
        </w:rPr>
        <w:t xml:space="preserve">field </w:t>
      </w:r>
      <w:r w:rsidR="006358AA">
        <w:rPr>
          <w:rFonts w:ascii="Times New Roman" w:hAnsi="Times New Roman" w:eastAsia="SimSun"/>
          <w:szCs w:val="24"/>
          <w:lang w:eastAsia="zh-CN"/>
        </w:rPr>
        <w:t xml:space="preserve">personnel </w:t>
      </w:r>
      <w:r w:rsidRPr="00035908">
        <w:rPr>
          <w:rFonts w:ascii="Times New Roman" w:hAnsi="Times New Roman" w:eastAsia="SimSun"/>
          <w:szCs w:val="24"/>
          <w:lang w:eastAsia="zh-CN"/>
        </w:rPr>
        <w:t>to verify state death reports for these individuals</w:t>
      </w:r>
      <w:r w:rsidR="009B5830">
        <w:rPr>
          <w:rFonts w:ascii="Times New Roman" w:hAnsi="Times New Roman" w:eastAsia="SimSun"/>
          <w:szCs w:val="24"/>
          <w:lang w:eastAsia="zh-CN"/>
        </w:rPr>
        <w:t xml:space="preserve"> </w:t>
      </w:r>
      <w:r w:rsidRPr="00035908" w:rsidR="0016790D">
        <w:rPr>
          <w:rFonts w:ascii="Times New Roman" w:hAnsi="Times New Roman" w:eastAsia="SimSun"/>
          <w:szCs w:val="24"/>
          <w:lang w:eastAsia="zh-CN"/>
        </w:rPr>
        <w:t>independently</w:t>
      </w:r>
      <w:r w:rsidR="0016790D">
        <w:rPr>
          <w:rFonts w:ascii="Times New Roman" w:hAnsi="Times New Roman" w:eastAsia="SimSun"/>
          <w:szCs w:val="24"/>
          <w:lang w:eastAsia="zh-CN"/>
        </w:rPr>
        <w:t>,</w:t>
      </w:r>
      <w:r w:rsidRPr="00035908">
        <w:rPr>
          <w:rFonts w:ascii="Times New Roman" w:hAnsi="Times New Roman" w:eastAsia="SimSun"/>
          <w:szCs w:val="24"/>
          <w:lang w:eastAsia="zh-CN"/>
        </w:rPr>
        <w:t xml:space="preserve"> and to input these death reports for termination</w:t>
      </w:r>
      <w:r w:rsidR="0016790D">
        <w:rPr>
          <w:rFonts w:ascii="Times New Roman" w:hAnsi="Times New Roman" w:eastAsia="SimSun"/>
          <w:szCs w:val="24"/>
          <w:lang w:eastAsia="zh-CN"/>
        </w:rPr>
        <w:t xml:space="preserve"> </w:t>
      </w:r>
      <w:r w:rsidRPr="00035908" w:rsidR="0016790D">
        <w:rPr>
          <w:rFonts w:ascii="Times New Roman" w:hAnsi="Times New Roman" w:eastAsia="SimSun"/>
          <w:szCs w:val="24"/>
          <w:lang w:eastAsia="zh-CN"/>
        </w:rPr>
        <w:t>later</w:t>
      </w:r>
      <w:r w:rsidRPr="00035908">
        <w:rPr>
          <w:rFonts w:ascii="Times New Roman" w:hAnsi="Times New Roman" w:eastAsia="SimSun"/>
          <w:szCs w:val="24"/>
          <w:lang w:eastAsia="zh-CN"/>
        </w:rPr>
        <w:t xml:space="preserve">.  Therefore, EDR automates the death registration process for the states, which allows SSA to </w:t>
      </w:r>
      <w:r w:rsidRPr="00035908">
        <w:rPr>
          <w:rFonts w:ascii="Times New Roman" w:hAnsi="Times New Roman" w:eastAsia="SimSun"/>
          <w:szCs w:val="24"/>
          <w:lang w:eastAsia="zh-CN"/>
        </w:rPr>
        <w:lastRenderedPageBreak/>
        <w:t>automate i</w:t>
      </w:r>
      <w:r w:rsidR="0016790D">
        <w:rPr>
          <w:rFonts w:ascii="Times New Roman" w:hAnsi="Times New Roman" w:eastAsia="SimSun"/>
          <w:szCs w:val="24"/>
          <w:lang w:eastAsia="zh-CN"/>
        </w:rPr>
        <w:t xml:space="preserve">ts death termination process </w:t>
      </w:r>
      <w:r w:rsidRPr="00035908" w:rsidR="0016790D">
        <w:rPr>
          <w:rFonts w:ascii="Times New Roman" w:hAnsi="Times New Roman" w:eastAsia="SimSun"/>
          <w:szCs w:val="24"/>
          <w:lang w:eastAsia="zh-CN"/>
        </w:rPr>
        <w:t>fully</w:t>
      </w:r>
      <w:r w:rsidR="0016790D">
        <w:rPr>
          <w:rFonts w:ascii="Times New Roman" w:hAnsi="Times New Roman" w:eastAsia="SimSun"/>
          <w:szCs w:val="24"/>
          <w:lang w:eastAsia="zh-CN"/>
        </w:rPr>
        <w:t xml:space="preserve">.  </w:t>
      </w:r>
      <w:r w:rsidRPr="00035908">
        <w:rPr>
          <w:rFonts w:ascii="Times New Roman" w:hAnsi="Times New Roman" w:eastAsia="SimSun"/>
          <w:szCs w:val="24"/>
          <w:lang w:eastAsia="zh-CN"/>
        </w:rPr>
        <w:t>Based on our data, we estimate approximately 100 percent of respondents und</w:t>
      </w:r>
      <w:r w:rsidR="009B5830">
        <w:rPr>
          <w:rFonts w:ascii="Times New Roman" w:hAnsi="Times New Roman" w:eastAsia="SimSun"/>
          <w:szCs w:val="24"/>
          <w:lang w:eastAsia="zh-CN"/>
        </w:rPr>
        <w:t>er this OMB number use one of the two</w:t>
      </w:r>
      <w:r w:rsidRPr="00035908">
        <w:rPr>
          <w:rFonts w:ascii="Times New Roman" w:hAnsi="Times New Roman" w:eastAsia="SimSun"/>
          <w:szCs w:val="24"/>
          <w:lang w:eastAsia="zh-CN"/>
        </w:rPr>
        <w:t xml:space="preserve"> electronic version</w:t>
      </w:r>
      <w:r w:rsidR="009B5830">
        <w:rPr>
          <w:rFonts w:ascii="Times New Roman" w:hAnsi="Times New Roman" w:eastAsia="SimSun"/>
          <w:szCs w:val="24"/>
          <w:lang w:eastAsia="zh-CN"/>
        </w:rPr>
        <w:t>s (EDR or submission through an online portal)</w:t>
      </w:r>
      <w:r w:rsidRPr="00035908">
        <w:rPr>
          <w:rFonts w:ascii="Times New Roman" w:hAnsi="Times New Roman" w:eastAsia="SimSun"/>
          <w:szCs w:val="24"/>
          <w:lang w:eastAsia="zh-CN"/>
        </w:rPr>
        <w:t>.</w:t>
      </w:r>
    </w:p>
    <w:p w:rsidRPr="00035908" w:rsidR="0016790D" w:rsidP="0016790D" w:rsidRDefault="0016790D" w14:paraId="429236DF" w14:textId="77777777">
      <w:pPr>
        <w:tabs>
          <w:tab w:val="num" w:pos="1440"/>
        </w:tabs>
        <w:rPr>
          <w:rFonts w:ascii="Times New Roman" w:hAnsi="Times New Roman" w:eastAsia="SimSun"/>
          <w:szCs w:val="24"/>
          <w:lang w:eastAsia="zh-CN"/>
        </w:rPr>
      </w:pPr>
    </w:p>
    <w:p w:rsidRPr="00035908" w:rsidR="00895BCD" w:rsidP="00DA6D9A" w:rsidRDefault="00895BCD" w14:paraId="7E4FDAD4" w14:textId="77777777">
      <w:pPr>
        <w:widowControl w:val="0"/>
        <w:tabs>
          <w:tab w:val="num" w:pos="1440"/>
        </w:tabs>
        <w:ind w:left="1440" w:hanging="720"/>
        <w:rPr>
          <w:rFonts w:ascii="Times New Roman" w:hAnsi="Times New Roman" w:eastAsia="SimSun"/>
          <w:b/>
          <w:szCs w:val="24"/>
          <w:lang w:eastAsia="zh-CN"/>
        </w:rPr>
      </w:pPr>
      <w:r w:rsidRPr="00922169">
        <w:rPr>
          <w:rFonts w:ascii="Times New Roman" w:hAnsi="Times New Roman" w:eastAsia="SimSun"/>
          <w:szCs w:val="24"/>
          <w:lang w:eastAsia="zh-CN"/>
        </w:rPr>
        <w:t>4.</w:t>
      </w:r>
      <w:r w:rsidRPr="00035908">
        <w:rPr>
          <w:rFonts w:ascii="Times New Roman" w:hAnsi="Times New Roman" w:eastAsia="SimSun"/>
          <w:szCs w:val="24"/>
          <w:lang w:eastAsia="zh-CN"/>
        </w:rPr>
        <w:tab/>
      </w:r>
      <w:r w:rsidRPr="00035908">
        <w:rPr>
          <w:rFonts w:ascii="Times New Roman" w:hAnsi="Times New Roman" w:eastAsia="SimSun"/>
          <w:b/>
          <w:szCs w:val="24"/>
          <w:lang w:eastAsia="zh-CN"/>
        </w:rPr>
        <w:t>Why We Cannot Use Duplicate Information</w:t>
      </w:r>
    </w:p>
    <w:p w:rsidRPr="00035908" w:rsidR="00895BCD" w:rsidP="00DA6D9A" w:rsidRDefault="00895BCD" w14:paraId="588B04B4" w14:textId="7CB3103F">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 xml:space="preserve">The information </w:t>
      </w:r>
      <w:r w:rsidR="009B5830">
        <w:rPr>
          <w:rFonts w:ascii="Times New Roman" w:hAnsi="Times New Roman" w:eastAsia="SimSun"/>
          <w:szCs w:val="24"/>
          <w:lang w:eastAsia="zh-CN"/>
        </w:rPr>
        <w:t>we collect</w:t>
      </w:r>
      <w:r w:rsidRPr="00035908">
        <w:rPr>
          <w:rFonts w:ascii="Times New Roman" w:hAnsi="Times New Roman" w:eastAsia="SimSun"/>
          <w:szCs w:val="24"/>
          <w:lang w:eastAsia="zh-CN"/>
        </w:rPr>
        <w:t xml:space="preserve"> for the online verification in death registration precludes duplication.  While the Form SSA-721 (OMB No. 0960-0142) collects data similar to that currently collected in the death registration process, </w:t>
      </w:r>
      <w:r w:rsidRPr="00035908" w:rsidR="00CB15D1">
        <w:rPr>
          <w:rFonts w:ascii="Times New Roman" w:hAnsi="Times New Roman" w:eastAsia="SimSun"/>
          <w:szCs w:val="24"/>
          <w:lang w:eastAsia="zh-CN"/>
        </w:rPr>
        <w:t xml:space="preserve">use of </w:t>
      </w:r>
      <w:r w:rsidRPr="00035908">
        <w:rPr>
          <w:rFonts w:ascii="Times New Roman" w:hAnsi="Times New Roman" w:eastAsia="SimSun"/>
          <w:szCs w:val="24"/>
          <w:lang w:eastAsia="zh-CN"/>
        </w:rPr>
        <w:t xml:space="preserve">EDR is decreasing the </w:t>
      </w:r>
      <w:r w:rsidRPr="00035908" w:rsidR="00FA42A7">
        <w:rPr>
          <w:rFonts w:ascii="Times New Roman" w:hAnsi="Times New Roman" w:eastAsia="SimSun"/>
          <w:szCs w:val="24"/>
          <w:lang w:eastAsia="zh-CN"/>
        </w:rPr>
        <w:t>use of the</w:t>
      </w:r>
      <w:r w:rsidRPr="00035908">
        <w:rPr>
          <w:rFonts w:ascii="Times New Roman" w:hAnsi="Times New Roman" w:eastAsia="SimSun"/>
          <w:szCs w:val="24"/>
          <w:lang w:eastAsia="zh-CN"/>
        </w:rPr>
        <w:t xml:space="preserve"> form</w:t>
      </w:r>
      <w:r w:rsidRPr="00035908" w:rsidR="00CB15D1">
        <w:rPr>
          <w:rFonts w:ascii="Times New Roman" w:hAnsi="Times New Roman" w:eastAsia="SimSun"/>
          <w:szCs w:val="24"/>
          <w:lang w:eastAsia="zh-CN"/>
        </w:rPr>
        <w:t xml:space="preserve"> SSA-721</w:t>
      </w:r>
      <w:r w:rsidRPr="00035908">
        <w:rPr>
          <w:rFonts w:ascii="Times New Roman" w:hAnsi="Times New Roman" w:eastAsia="SimSun"/>
          <w:szCs w:val="24"/>
          <w:lang w:eastAsia="zh-CN"/>
        </w:rPr>
        <w:t xml:space="preserve">.  </w:t>
      </w:r>
      <w:r w:rsidRPr="00035908" w:rsidR="00CB15D1">
        <w:rPr>
          <w:rFonts w:ascii="Times New Roman" w:hAnsi="Times New Roman" w:eastAsia="SimSun"/>
          <w:szCs w:val="24"/>
          <w:lang w:eastAsia="zh-CN"/>
        </w:rPr>
        <w:t xml:space="preserve">Because </w:t>
      </w:r>
      <w:r w:rsidRPr="00035908">
        <w:rPr>
          <w:rFonts w:ascii="Times New Roman" w:hAnsi="Times New Roman" w:eastAsia="SimSun"/>
          <w:szCs w:val="24"/>
          <w:lang w:eastAsia="zh-CN"/>
        </w:rPr>
        <w:t xml:space="preserve">EDR provides timely verified fact of death reports to SSA, which SSA considers proof of death, </w:t>
      </w:r>
      <w:r w:rsidR="006358AA">
        <w:rPr>
          <w:rFonts w:ascii="Times New Roman" w:hAnsi="Times New Roman" w:eastAsia="SimSun"/>
          <w:szCs w:val="24"/>
          <w:lang w:eastAsia="zh-CN"/>
        </w:rPr>
        <w:t xml:space="preserve">we expect </w:t>
      </w:r>
      <w:r w:rsidRPr="00035908">
        <w:rPr>
          <w:rFonts w:ascii="Times New Roman" w:hAnsi="Times New Roman" w:eastAsia="SimSun"/>
          <w:szCs w:val="24"/>
          <w:lang w:eastAsia="zh-CN"/>
        </w:rPr>
        <w:t xml:space="preserve">funeral directors will no longer submit the paper SSA-721 for death records to SSA once all states implement the EDR system. </w:t>
      </w:r>
    </w:p>
    <w:p w:rsidRPr="00035908" w:rsidR="00895BCD" w:rsidP="00DA6D9A" w:rsidRDefault="00895BCD" w14:paraId="684059CF" w14:textId="77777777">
      <w:pPr>
        <w:tabs>
          <w:tab w:val="num" w:pos="1440"/>
        </w:tabs>
        <w:rPr>
          <w:rFonts w:ascii="Times New Roman" w:hAnsi="Times New Roman" w:eastAsia="SimSun"/>
          <w:szCs w:val="24"/>
          <w:lang w:eastAsia="zh-CN"/>
        </w:rPr>
      </w:pPr>
    </w:p>
    <w:p w:rsidRPr="00035908" w:rsidR="00895BCD" w:rsidP="00DA6D9A" w:rsidRDefault="00895BCD" w14:paraId="07C25409" w14:textId="77777777">
      <w:pPr>
        <w:widowControl w:val="0"/>
        <w:tabs>
          <w:tab w:val="num" w:pos="1440"/>
        </w:tabs>
        <w:ind w:left="1440" w:hanging="720"/>
        <w:rPr>
          <w:rFonts w:ascii="Times New Roman" w:hAnsi="Times New Roman" w:eastAsia="SimSun"/>
          <w:szCs w:val="24"/>
          <w:lang w:eastAsia="zh-CN"/>
        </w:rPr>
      </w:pPr>
      <w:r w:rsidRPr="00922169">
        <w:rPr>
          <w:rFonts w:ascii="Times New Roman" w:hAnsi="Times New Roman" w:eastAsia="SimSun"/>
          <w:szCs w:val="24"/>
          <w:lang w:eastAsia="zh-CN"/>
        </w:rPr>
        <w:t>5.</w:t>
      </w:r>
      <w:r w:rsidRPr="00035908">
        <w:rPr>
          <w:rFonts w:ascii="Times New Roman" w:hAnsi="Times New Roman" w:eastAsia="SimSun"/>
          <w:b/>
          <w:szCs w:val="24"/>
          <w:lang w:eastAsia="zh-CN"/>
        </w:rPr>
        <w:tab/>
        <w:t>Minimizing Burden on Small Respondents</w:t>
      </w:r>
    </w:p>
    <w:p w:rsidRPr="00035908" w:rsidR="00895BCD" w:rsidP="00DA6D9A" w:rsidRDefault="00D3237A" w14:paraId="451E9E15" w14:textId="77777777">
      <w:pPr>
        <w:tabs>
          <w:tab w:val="num" w:pos="1440"/>
        </w:tabs>
        <w:ind w:left="1440"/>
        <w:rPr>
          <w:rFonts w:ascii="Times New Roman" w:hAnsi="Times New Roman" w:eastAsia="SimSun"/>
          <w:szCs w:val="24"/>
          <w:lang w:eastAsia="zh-CN"/>
        </w:rPr>
      </w:pPr>
      <w:r w:rsidRPr="00075EC0">
        <w:rPr>
          <w:rFonts w:ascii="Times New Roman" w:hAnsi="Times New Roman"/>
          <w:szCs w:val="24"/>
        </w:rPr>
        <w:t>This collection does not affect small businesses or other small entities</w:t>
      </w:r>
      <w:r w:rsidRPr="00035908" w:rsidR="00895BCD">
        <w:rPr>
          <w:rFonts w:ascii="Times New Roman" w:hAnsi="Times New Roman" w:eastAsia="SimSun"/>
          <w:szCs w:val="24"/>
          <w:lang w:eastAsia="zh-CN"/>
        </w:rPr>
        <w:t xml:space="preserve">. </w:t>
      </w:r>
    </w:p>
    <w:p w:rsidRPr="00035908" w:rsidR="00895BCD" w:rsidP="00DA6D9A" w:rsidRDefault="00895BCD" w14:paraId="42A36A0A" w14:textId="77777777">
      <w:pPr>
        <w:tabs>
          <w:tab w:val="num" w:pos="1440"/>
        </w:tabs>
        <w:ind w:left="1440"/>
        <w:rPr>
          <w:rFonts w:ascii="Times New Roman" w:hAnsi="Times New Roman" w:eastAsia="SimSun"/>
          <w:szCs w:val="24"/>
          <w:lang w:eastAsia="zh-CN"/>
        </w:rPr>
      </w:pPr>
    </w:p>
    <w:p w:rsidRPr="00035908" w:rsidR="00895BCD" w:rsidP="00DA6D9A" w:rsidRDefault="00895BCD" w14:paraId="1227D661" w14:textId="77777777">
      <w:pPr>
        <w:tabs>
          <w:tab w:val="num"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t>6.</w:t>
      </w:r>
      <w:r w:rsidRPr="00035908">
        <w:rPr>
          <w:rFonts w:ascii="Times New Roman" w:hAnsi="Times New Roman" w:eastAsia="SimSun"/>
          <w:b/>
          <w:bCs/>
          <w:szCs w:val="24"/>
          <w:lang w:eastAsia="zh-CN"/>
        </w:rPr>
        <w:tab/>
        <w:t xml:space="preserve">Consequences of Not Collecting Information or </w:t>
      </w:r>
      <w:proofErr w:type="gramStart"/>
      <w:r w:rsidRPr="00035908">
        <w:rPr>
          <w:rFonts w:ascii="Times New Roman" w:hAnsi="Times New Roman" w:eastAsia="SimSun"/>
          <w:b/>
          <w:bCs/>
          <w:szCs w:val="24"/>
          <w:lang w:eastAsia="zh-CN"/>
        </w:rPr>
        <w:t>Collecting</w:t>
      </w:r>
      <w:proofErr w:type="gramEnd"/>
      <w:r w:rsidRPr="00035908">
        <w:rPr>
          <w:rFonts w:ascii="Times New Roman" w:hAnsi="Times New Roman" w:eastAsia="SimSun"/>
          <w:b/>
          <w:bCs/>
          <w:szCs w:val="24"/>
          <w:lang w:eastAsia="zh-CN"/>
        </w:rPr>
        <w:t xml:space="preserve"> it Less Frequently</w:t>
      </w:r>
    </w:p>
    <w:p w:rsidRPr="00035908" w:rsidR="00895BCD" w:rsidP="00DA6D9A" w:rsidRDefault="00895BCD" w14:paraId="1D580B6D" w14:textId="77777777">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 xml:space="preserve">If we did </w:t>
      </w:r>
      <w:r w:rsidRPr="00035908" w:rsidR="00CB15D1">
        <w:rPr>
          <w:rFonts w:ascii="Times New Roman" w:hAnsi="Times New Roman" w:eastAsia="SimSun"/>
          <w:szCs w:val="24"/>
          <w:lang w:eastAsia="zh-CN"/>
        </w:rPr>
        <w:t xml:space="preserve">not </w:t>
      </w:r>
      <w:r w:rsidRPr="00035908">
        <w:rPr>
          <w:rFonts w:ascii="Times New Roman" w:hAnsi="Times New Roman" w:eastAsia="SimSun"/>
          <w:szCs w:val="24"/>
          <w:lang w:eastAsia="zh-CN"/>
        </w:rPr>
        <w:t>collect dea</w:t>
      </w:r>
      <w:r w:rsidRPr="00035908" w:rsidR="00CB15D1">
        <w:rPr>
          <w:rFonts w:ascii="Times New Roman" w:hAnsi="Times New Roman" w:eastAsia="SimSun"/>
          <w:szCs w:val="24"/>
          <w:lang w:eastAsia="zh-CN"/>
        </w:rPr>
        <w:t>th registration information for</w:t>
      </w:r>
      <w:r w:rsidRPr="00035908">
        <w:rPr>
          <w:rFonts w:ascii="Times New Roman" w:hAnsi="Times New Roman" w:eastAsia="SimSun"/>
          <w:szCs w:val="24"/>
          <w:lang w:eastAsia="zh-CN"/>
        </w:rPr>
        <w:t xml:space="preserve"> each </w:t>
      </w:r>
      <w:r w:rsidRPr="00035908" w:rsidR="00CB15D1">
        <w:rPr>
          <w:rFonts w:ascii="Times New Roman" w:hAnsi="Times New Roman" w:eastAsia="SimSun"/>
          <w:szCs w:val="24"/>
          <w:lang w:eastAsia="zh-CN"/>
        </w:rPr>
        <w:t>deceased beneficiary</w:t>
      </w:r>
      <w:r w:rsidRPr="00035908">
        <w:rPr>
          <w:rFonts w:ascii="Times New Roman" w:hAnsi="Times New Roman" w:eastAsia="SimSun"/>
          <w:szCs w:val="24"/>
          <w:lang w:eastAsia="zh-CN"/>
        </w:rPr>
        <w:t>, we would jeopardize the accuracy of SSA’s payment files, as well as the payment files of the federal benefit-paying agencies that also use this information.</w:t>
      </w:r>
      <w:r w:rsidR="00D3237A">
        <w:rPr>
          <w:rFonts w:ascii="Times New Roman" w:hAnsi="Times New Roman" w:eastAsia="SimSun"/>
          <w:szCs w:val="24"/>
          <w:lang w:eastAsia="zh-CN"/>
        </w:rPr>
        <w:t xml:space="preserve">  </w:t>
      </w:r>
      <w:r w:rsidRPr="00035908">
        <w:rPr>
          <w:rFonts w:ascii="Times New Roman" w:hAnsi="Times New Roman" w:eastAsia="SimSun"/>
          <w:szCs w:val="24"/>
          <w:lang w:eastAsia="zh-CN"/>
        </w:rPr>
        <w:t>Because we only collect the information once, we cannot collect it less frequently.</w:t>
      </w:r>
      <w:r w:rsidR="00D3237A">
        <w:rPr>
          <w:rFonts w:ascii="Times New Roman" w:hAnsi="Times New Roman" w:eastAsia="SimSun"/>
          <w:szCs w:val="24"/>
          <w:lang w:eastAsia="zh-CN"/>
        </w:rPr>
        <w:t xml:space="preserve">  </w:t>
      </w:r>
      <w:r w:rsidRPr="00035908">
        <w:rPr>
          <w:rFonts w:ascii="Times New Roman" w:hAnsi="Times New Roman" w:eastAsia="SimSun"/>
          <w:szCs w:val="24"/>
          <w:lang w:eastAsia="zh-CN"/>
        </w:rPr>
        <w:t>There are no technical or legal obstacles to burden reduction</w:t>
      </w:r>
    </w:p>
    <w:p w:rsidRPr="00035908" w:rsidR="00895BCD" w:rsidP="00DA6D9A" w:rsidRDefault="00895BCD" w14:paraId="55BB1350" w14:textId="77777777">
      <w:pPr>
        <w:tabs>
          <w:tab w:val="num" w:pos="1440"/>
        </w:tabs>
        <w:ind w:left="1440"/>
        <w:rPr>
          <w:rFonts w:ascii="Times New Roman" w:hAnsi="Times New Roman" w:eastAsia="SimSun"/>
          <w:szCs w:val="24"/>
          <w:lang w:eastAsia="zh-CN"/>
        </w:rPr>
      </w:pPr>
    </w:p>
    <w:p w:rsidRPr="00035908" w:rsidR="00895BCD" w:rsidP="00DA6D9A" w:rsidRDefault="00895BCD" w14:paraId="04E0BF2E" w14:textId="77777777">
      <w:pPr>
        <w:tabs>
          <w:tab w:val="num" w:pos="1440"/>
        </w:tabs>
        <w:ind w:left="1440" w:hanging="720"/>
        <w:rPr>
          <w:rFonts w:ascii="Times New Roman" w:hAnsi="Times New Roman" w:eastAsia="SimSun"/>
          <w:szCs w:val="24"/>
          <w:lang w:eastAsia="zh-CN"/>
        </w:rPr>
      </w:pPr>
      <w:r w:rsidRPr="00035908">
        <w:rPr>
          <w:rFonts w:ascii="Times New Roman" w:hAnsi="Times New Roman" w:eastAsia="SimSun"/>
          <w:b/>
          <w:bCs/>
          <w:szCs w:val="24"/>
          <w:lang w:eastAsia="zh-CN"/>
        </w:rPr>
        <w:t>7</w:t>
      </w:r>
      <w:r w:rsidRPr="00035908">
        <w:rPr>
          <w:rFonts w:ascii="Times New Roman" w:hAnsi="Times New Roman" w:eastAsia="SimSun"/>
          <w:bCs/>
          <w:szCs w:val="24"/>
          <w:lang w:eastAsia="zh-CN"/>
        </w:rPr>
        <w:t>.</w:t>
      </w:r>
      <w:r w:rsidRPr="00035908">
        <w:rPr>
          <w:rFonts w:ascii="Times New Roman" w:hAnsi="Times New Roman" w:eastAsia="SimSun"/>
          <w:b/>
          <w:bCs/>
          <w:szCs w:val="24"/>
          <w:lang w:eastAsia="zh-CN"/>
        </w:rPr>
        <w:t xml:space="preserve">         Special Circumstances </w:t>
      </w:r>
    </w:p>
    <w:p w:rsidRPr="00035908" w:rsidR="00895BCD" w:rsidP="00DA6D9A" w:rsidRDefault="00895BCD" w14:paraId="3D12F664" w14:textId="77777777">
      <w:pPr>
        <w:tabs>
          <w:tab w:val="num" w:pos="1440"/>
        </w:tabs>
        <w:ind w:left="1440"/>
        <w:rPr>
          <w:rFonts w:ascii="Times New Roman" w:hAnsi="Times New Roman" w:eastAsia="SimSun"/>
          <w:i/>
          <w:szCs w:val="24"/>
          <w:lang w:eastAsia="zh-CN"/>
        </w:rPr>
      </w:pPr>
      <w:r w:rsidRPr="00035908">
        <w:rPr>
          <w:rFonts w:ascii="Times New Roman" w:hAnsi="Times New Roman" w:eastAsia="SimSun"/>
          <w:szCs w:val="24"/>
          <w:lang w:eastAsia="zh-CN"/>
        </w:rPr>
        <w:t xml:space="preserve">There are no special circumstances that would cause SSA to conduct this information collection in a manner inconsistent with </w:t>
      </w:r>
      <w:r w:rsidRPr="00035908">
        <w:rPr>
          <w:rFonts w:ascii="Times New Roman" w:hAnsi="Times New Roman" w:eastAsia="SimSun"/>
          <w:i/>
          <w:szCs w:val="24"/>
          <w:lang w:eastAsia="zh-CN"/>
        </w:rPr>
        <w:t>5 CFR 1320.5.</w:t>
      </w:r>
    </w:p>
    <w:p w:rsidRPr="00035908" w:rsidR="00895BCD" w:rsidP="00DA6D9A" w:rsidRDefault="00895BCD" w14:paraId="1B833A64" w14:textId="77777777">
      <w:pPr>
        <w:tabs>
          <w:tab w:val="num" w:pos="1440"/>
        </w:tabs>
        <w:ind w:left="1440"/>
        <w:rPr>
          <w:rFonts w:ascii="Times New Roman" w:hAnsi="Times New Roman" w:eastAsia="SimSun"/>
          <w:szCs w:val="24"/>
          <w:lang w:eastAsia="zh-CN"/>
        </w:rPr>
      </w:pPr>
    </w:p>
    <w:p w:rsidRPr="00035908" w:rsidR="00895BCD" w:rsidP="00DA6D9A" w:rsidRDefault="00895BCD" w14:paraId="1463BC90" w14:textId="77777777">
      <w:pPr>
        <w:tabs>
          <w:tab w:val="num"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t>8.</w:t>
      </w:r>
      <w:r w:rsidRPr="00035908">
        <w:rPr>
          <w:rFonts w:ascii="Times New Roman" w:hAnsi="Times New Roman" w:eastAsia="SimSun"/>
          <w:b/>
          <w:bCs/>
          <w:szCs w:val="24"/>
          <w:lang w:eastAsia="zh-CN"/>
        </w:rPr>
        <w:tab/>
      </w:r>
      <w:r w:rsidRPr="00035908">
        <w:rPr>
          <w:rFonts w:ascii="Times New Roman" w:hAnsi="Times New Roman" w:eastAsia="SimSun"/>
          <w:b/>
          <w:szCs w:val="24"/>
          <w:lang w:eastAsia="zh-CN"/>
        </w:rPr>
        <w:t>Solicitation of Public Comment and Other Consultations with the Public</w:t>
      </w:r>
    </w:p>
    <w:p w:rsidRPr="00AF496B" w:rsidR="00AF496B" w:rsidP="00AF496B" w:rsidRDefault="00AF496B" w14:paraId="1DF53999" w14:textId="2298CC29">
      <w:pPr>
        <w:ind w:left="1440"/>
        <w:rPr>
          <w:rFonts w:ascii="Times New Roman" w:hAnsi="Times New Roman"/>
        </w:rPr>
      </w:pPr>
      <w:r w:rsidRPr="00AF496B">
        <w:rPr>
          <w:rFonts w:ascii="Times New Roman" w:hAnsi="Times New Roman"/>
        </w:rPr>
        <w:t xml:space="preserve">The 60-day advance Federal Register Notice published on </w:t>
      </w:r>
      <w:r>
        <w:rPr>
          <w:rFonts w:ascii="Times New Roman" w:hAnsi="Times New Roman"/>
        </w:rPr>
        <w:t>December 30. 2020, at 85</w:t>
      </w:r>
      <w:r w:rsidRPr="00AF496B">
        <w:rPr>
          <w:rFonts w:ascii="Times New Roman" w:hAnsi="Times New Roman"/>
        </w:rPr>
        <w:t xml:space="preserve"> FR </w:t>
      </w:r>
      <w:r>
        <w:rPr>
          <w:rFonts w:ascii="Times New Roman" w:hAnsi="Times New Roman"/>
        </w:rPr>
        <w:t>86638</w:t>
      </w:r>
      <w:r w:rsidRPr="00AF496B">
        <w:rPr>
          <w:rFonts w:ascii="Times New Roman" w:hAnsi="Times New Roman"/>
        </w:rPr>
        <w:t xml:space="preserve">, and we received no public comments.  The 30-day FRN published on </w:t>
      </w:r>
      <w:r w:rsidR="001F7A8F">
        <w:rPr>
          <w:rFonts w:ascii="Times New Roman" w:hAnsi="Times New Roman"/>
        </w:rPr>
        <w:t>March 1, 2021</w:t>
      </w:r>
      <w:r w:rsidRPr="00AF496B">
        <w:rPr>
          <w:rFonts w:ascii="Times New Roman" w:hAnsi="Times New Roman"/>
        </w:rPr>
        <w:t xml:space="preserve"> at</w:t>
      </w:r>
      <w:r w:rsidR="001F7A8F">
        <w:rPr>
          <w:rFonts w:ascii="Times New Roman" w:hAnsi="Times New Roman"/>
        </w:rPr>
        <w:t xml:space="preserve"> 86 FR 12068</w:t>
      </w:r>
      <w:r w:rsidRPr="00AF496B">
        <w:rPr>
          <w:rFonts w:ascii="Times New Roman" w:hAnsi="Times New Roman"/>
        </w:rPr>
        <w:t xml:space="preserve">.  If we receive any comments in response to this Notice, we will forward them to OMB.  We did not </w:t>
      </w:r>
      <w:r>
        <w:rPr>
          <w:rFonts w:ascii="Times New Roman" w:hAnsi="Times New Roman"/>
        </w:rPr>
        <w:t>consult with the public in the revision of this form.</w:t>
      </w:r>
    </w:p>
    <w:p w:rsidRPr="00035908" w:rsidR="00895BCD" w:rsidP="00AF496B" w:rsidRDefault="00895BCD" w14:paraId="2975066F" w14:textId="4CC9CB6D">
      <w:pPr>
        <w:tabs>
          <w:tab w:val="left" w:pos="-720"/>
          <w:tab w:val="left" w:pos="0"/>
          <w:tab w:val="num" w:pos="1440"/>
        </w:tabs>
        <w:suppressAutoHyphens/>
        <w:rPr>
          <w:rFonts w:ascii="Times New Roman" w:hAnsi="Times New Roman" w:eastAsia="SimSun"/>
          <w:szCs w:val="24"/>
          <w:lang w:eastAsia="zh-CN"/>
        </w:rPr>
      </w:pPr>
    </w:p>
    <w:p w:rsidRPr="00035908" w:rsidR="00895BCD" w:rsidP="00DA6D9A" w:rsidRDefault="00895BCD" w14:paraId="09848634" w14:textId="77777777">
      <w:pPr>
        <w:tabs>
          <w:tab w:val="num"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t>9</w:t>
      </w:r>
      <w:r w:rsidRPr="00035908">
        <w:rPr>
          <w:rFonts w:ascii="Times New Roman" w:hAnsi="Times New Roman" w:eastAsia="SimSun"/>
          <w:b/>
          <w:bCs/>
          <w:szCs w:val="24"/>
          <w:lang w:eastAsia="zh-CN"/>
        </w:rPr>
        <w:t>.</w:t>
      </w:r>
      <w:r w:rsidRPr="00035908">
        <w:rPr>
          <w:rFonts w:ascii="Times New Roman" w:hAnsi="Times New Roman" w:eastAsia="SimSun"/>
          <w:b/>
          <w:bCs/>
          <w:szCs w:val="24"/>
          <w:lang w:eastAsia="zh-CN"/>
        </w:rPr>
        <w:tab/>
        <w:t>Payments or Gifts to Respondents</w:t>
      </w:r>
    </w:p>
    <w:p w:rsidRPr="00035908" w:rsidR="00895BCD" w:rsidP="00DA6D9A" w:rsidRDefault="00895BCD" w14:paraId="3C1D1D02" w14:textId="77777777">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SSA provides no paym</w:t>
      </w:r>
      <w:r w:rsidRPr="00035908" w:rsidR="009E209F">
        <w:rPr>
          <w:rFonts w:ascii="Times New Roman" w:hAnsi="Times New Roman" w:eastAsia="SimSun"/>
          <w:szCs w:val="24"/>
          <w:lang w:eastAsia="zh-CN"/>
        </w:rPr>
        <w:t>ent or gifts to the respondents except for the remuneration stated in the contract for each processed record.</w:t>
      </w:r>
      <w:r w:rsidR="00E4467F">
        <w:rPr>
          <w:rFonts w:ascii="Times New Roman" w:hAnsi="Times New Roman" w:eastAsia="SimSun"/>
          <w:szCs w:val="24"/>
          <w:lang w:eastAsia="zh-CN"/>
        </w:rPr>
        <w:t xml:space="preserve"> </w:t>
      </w:r>
      <w:r w:rsidRPr="00035908" w:rsidR="009E209F">
        <w:rPr>
          <w:rFonts w:ascii="Times New Roman" w:hAnsi="Times New Roman" w:eastAsia="SimSun"/>
          <w:szCs w:val="24"/>
          <w:lang w:eastAsia="zh-CN"/>
        </w:rPr>
        <w:t xml:space="preserve"> Additional information on payment </w:t>
      </w:r>
      <w:r w:rsidR="00E4467F">
        <w:rPr>
          <w:rFonts w:ascii="Times New Roman" w:hAnsi="Times New Roman" w:eastAsia="SimSun"/>
          <w:szCs w:val="24"/>
          <w:lang w:eastAsia="zh-CN"/>
        </w:rPr>
        <w:t>is</w:t>
      </w:r>
      <w:r w:rsidRPr="00035908" w:rsidR="009E209F">
        <w:rPr>
          <w:rFonts w:ascii="Times New Roman" w:hAnsi="Times New Roman" w:eastAsia="SimSun"/>
          <w:szCs w:val="24"/>
          <w:lang w:eastAsia="zh-CN"/>
        </w:rPr>
        <w:t xml:space="preserve"> in the chart in item 12</w:t>
      </w:r>
      <w:r w:rsidR="00E4467F">
        <w:rPr>
          <w:rFonts w:ascii="Times New Roman" w:hAnsi="Times New Roman" w:eastAsia="SimSun"/>
          <w:szCs w:val="24"/>
          <w:lang w:eastAsia="zh-CN"/>
        </w:rPr>
        <w:t xml:space="preserve"> below</w:t>
      </w:r>
      <w:r w:rsidRPr="00035908" w:rsidR="009E209F">
        <w:rPr>
          <w:rFonts w:ascii="Times New Roman" w:hAnsi="Times New Roman" w:eastAsia="SimSun"/>
          <w:szCs w:val="24"/>
          <w:lang w:eastAsia="zh-CN"/>
        </w:rPr>
        <w:t>.</w:t>
      </w:r>
    </w:p>
    <w:p w:rsidRPr="00035908" w:rsidR="00895BCD" w:rsidP="00DA6D9A" w:rsidRDefault="00895BCD" w14:paraId="43EE9E55" w14:textId="77777777">
      <w:pPr>
        <w:tabs>
          <w:tab w:val="num" w:pos="1440"/>
        </w:tabs>
        <w:ind w:left="1440"/>
        <w:rPr>
          <w:rFonts w:ascii="Times New Roman" w:hAnsi="Times New Roman" w:eastAsia="SimSun"/>
          <w:szCs w:val="24"/>
          <w:lang w:eastAsia="zh-CN"/>
        </w:rPr>
      </w:pPr>
    </w:p>
    <w:p w:rsidRPr="00035908" w:rsidR="00895BCD" w:rsidP="00DA6D9A" w:rsidRDefault="00895BCD" w14:paraId="343CFD18" w14:textId="77777777">
      <w:pPr>
        <w:tabs>
          <w:tab w:val="num"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t>10.</w:t>
      </w:r>
      <w:r w:rsidRPr="00035908">
        <w:rPr>
          <w:rFonts w:ascii="Times New Roman" w:hAnsi="Times New Roman" w:eastAsia="SimSun"/>
          <w:b/>
          <w:bCs/>
          <w:szCs w:val="24"/>
          <w:lang w:eastAsia="zh-CN"/>
        </w:rPr>
        <w:tab/>
        <w:t>Assurances of Confidentiality</w:t>
      </w:r>
    </w:p>
    <w:p w:rsidR="00895BCD" w:rsidP="00DA6D9A" w:rsidRDefault="00E4467F" w14:paraId="22C64FDF" w14:textId="748DF22E">
      <w:pPr>
        <w:tabs>
          <w:tab w:val="num" w:pos="1440"/>
        </w:tabs>
        <w:ind w:left="1440"/>
        <w:rPr>
          <w:rFonts w:ascii="Times New Roman" w:hAnsi="Times New Roman" w:eastAsia="SimSun"/>
          <w:color w:val="0000FF"/>
          <w:szCs w:val="24"/>
          <w:lang w:eastAsia="zh-CN"/>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35908" w:rsidR="00895BCD">
        <w:rPr>
          <w:rFonts w:ascii="Times New Roman" w:hAnsi="Times New Roman" w:eastAsia="SimSun"/>
          <w:color w:val="0000FF"/>
          <w:szCs w:val="24"/>
          <w:lang w:eastAsia="zh-CN"/>
        </w:rPr>
        <w:t>.</w:t>
      </w:r>
    </w:p>
    <w:p w:rsidR="00AF496B" w:rsidP="00DA6D9A" w:rsidRDefault="00AF496B" w14:paraId="0490C9E6" w14:textId="73AAA2F2">
      <w:pPr>
        <w:tabs>
          <w:tab w:val="num" w:pos="1440"/>
        </w:tabs>
        <w:ind w:left="1440"/>
        <w:rPr>
          <w:rFonts w:ascii="Times New Roman" w:hAnsi="Times New Roman" w:eastAsia="SimSun"/>
          <w:color w:val="0000FF"/>
          <w:szCs w:val="24"/>
          <w:lang w:eastAsia="zh-CN"/>
        </w:rPr>
      </w:pPr>
    </w:p>
    <w:p w:rsidR="007866DD" w:rsidP="00DA6D9A" w:rsidRDefault="007866DD" w14:paraId="743A1965" w14:textId="0B7A862C">
      <w:pPr>
        <w:tabs>
          <w:tab w:val="num" w:pos="1440"/>
        </w:tabs>
        <w:ind w:left="1440"/>
        <w:rPr>
          <w:rFonts w:ascii="Times New Roman" w:hAnsi="Times New Roman" w:eastAsia="SimSun"/>
          <w:color w:val="0000FF"/>
          <w:szCs w:val="24"/>
          <w:lang w:eastAsia="zh-CN"/>
        </w:rPr>
      </w:pPr>
    </w:p>
    <w:p w:rsidR="007866DD" w:rsidP="00DA6D9A" w:rsidRDefault="007866DD" w14:paraId="767A05AC" w14:textId="77777777">
      <w:pPr>
        <w:tabs>
          <w:tab w:val="num" w:pos="1440"/>
        </w:tabs>
        <w:ind w:left="1440"/>
        <w:rPr>
          <w:rFonts w:ascii="Times New Roman" w:hAnsi="Times New Roman" w:eastAsia="SimSun"/>
          <w:color w:val="0000FF"/>
          <w:szCs w:val="24"/>
          <w:lang w:eastAsia="zh-CN"/>
        </w:rPr>
      </w:pPr>
    </w:p>
    <w:p w:rsidRPr="00035908" w:rsidR="00895BCD" w:rsidP="00DA6D9A" w:rsidRDefault="00895BCD" w14:paraId="7CF37C34" w14:textId="77777777">
      <w:pPr>
        <w:tabs>
          <w:tab w:val="num"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lastRenderedPageBreak/>
        <w:t>11</w:t>
      </w:r>
      <w:r w:rsidRPr="00035908">
        <w:rPr>
          <w:rFonts w:ascii="Times New Roman" w:hAnsi="Times New Roman" w:eastAsia="SimSun"/>
          <w:b/>
          <w:bCs/>
          <w:szCs w:val="24"/>
          <w:lang w:eastAsia="zh-CN"/>
        </w:rPr>
        <w:t>.</w:t>
      </w:r>
      <w:r w:rsidRPr="00035908">
        <w:rPr>
          <w:rFonts w:ascii="Times New Roman" w:hAnsi="Times New Roman" w:eastAsia="SimSun"/>
          <w:b/>
          <w:bCs/>
          <w:szCs w:val="24"/>
          <w:lang w:eastAsia="zh-CN"/>
        </w:rPr>
        <w:tab/>
        <w:t>Justification for Sensitive Questions</w:t>
      </w:r>
    </w:p>
    <w:p w:rsidR="00895BCD" w:rsidP="00DA6D9A" w:rsidRDefault="00895BCD" w14:paraId="23F0DDC3" w14:textId="64DAEA42">
      <w:pPr>
        <w:tabs>
          <w:tab w:val="num" w:pos="1440"/>
        </w:tabs>
        <w:ind w:left="1440"/>
        <w:rPr>
          <w:rFonts w:ascii="Times New Roman" w:hAnsi="Times New Roman" w:eastAsia="SimSun"/>
          <w:szCs w:val="24"/>
          <w:lang w:eastAsia="zh-CN"/>
        </w:rPr>
      </w:pPr>
      <w:r w:rsidRPr="00035908">
        <w:rPr>
          <w:rFonts w:ascii="Times New Roman" w:hAnsi="Times New Roman" w:eastAsia="SimSun"/>
          <w:szCs w:val="24"/>
          <w:lang w:eastAsia="zh-CN"/>
        </w:rPr>
        <w:t xml:space="preserve">The online verification system is a secure environment.  The information collected during the online verification process is confidential.  SSA published a routine use to notify the public.  </w:t>
      </w:r>
    </w:p>
    <w:p w:rsidR="00DB4C5E" w:rsidP="00DA6D9A" w:rsidRDefault="00DB4C5E" w14:paraId="02D814B3" w14:textId="08382DD0">
      <w:pPr>
        <w:tabs>
          <w:tab w:val="num" w:pos="1440"/>
        </w:tabs>
        <w:ind w:left="1440"/>
        <w:rPr>
          <w:rFonts w:ascii="Times New Roman" w:hAnsi="Times New Roman" w:eastAsia="SimSun"/>
          <w:szCs w:val="24"/>
          <w:lang w:eastAsia="zh-CN"/>
        </w:rPr>
      </w:pPr>
    </w:p>
    <w:p w:rsidRPr="00035908" w:rsidR="00AD295A" w:rsidP="00DA6D9A" w:rsidRDefault="00895BCD" w14:paraId="5B697121" w14:textId="77777777">
      <w:pPr>
        <w:tabs>
          <w:tab w:val="num" w:pos="1440"/>
        </w:tabs>
        <w:ind w:left="1440" w:hanging="720"/>
        <w:rPr>
          <w:rFonts w:ascii="Times New Roman" w:hAnsi="Times New Roman" w:eastAsia="SimSun"/>
          <w:szCs w:val="24"/>
          <w:lang w:eastAsia="zh-CN"/>
        </w:rPr>
      </w:pPr>
      <w:r w:rsidRPr="00922169">
        <w:rPr>
          <w:rFonts w:ascii="Times New Roman" w:hAnsi="Times New Roman" w:eastAsia="SimSun"/>
          <w:bCs/>
          <w:szCs w:val="24"/>
          <w:lang w:eastAsia="zh-CN"/>
        </w:rPr>
        <w:t>12.</w:t>
      </w:r>
      <w:r w:rsidRPr="00035908">
        <w:rPr>
          <w:rFonts w:ascii="Times New Roman" w:hAnsi="Times New Roman" w:eastAsia="SimSun"/>
          <w:b/>
          <w:bCs/>
          <w:szCs w:val="24"/>
          <w:lang w:eastAsia="zh-CN"/>
        </w:rPr>
        <w:t xml:space="preserve">       Estimates of Public Reporting Burden</w:t>
      </w:r>
      <w:r w:rsidRPr="00035908" w:rsidR="00AD295A">
        <w:rPr>
          <w:rFonts w:ascii="Times New Roman" w:hAnsi="Times New Roman" w:eastAsia="SimSun"/>
          <w:szCs w:val="24"/>
          <w:lang w:eastAsia="zh-CN"/>
        </w:rPr>
        <w:t xml:space="preserve"> </w:t>
      </w:r>
    </w:p>
    <w:p w:rsidR="009E209F" w:rsidP="00DA6D9A" w:rsidRDefault="009E209F" w14:paraId="7725F8E5" w14:textId="3ED897B4">
      <w:pPr>
        <w:tabs>
          <w:tab w:val="num" w:pos="1440"/>
        </w:tabs>
        <w:ind w:left="1440"/>
        <w:rPr>
          <w:rFonts w:ascii="Times New Roman" w:hAnsi="Times New Roman" w:eastAsia="SimSun"/>
          <w:szCs w:val="24"/>
          <w:lang w:eastAsia="zh-CN"/>
        </w:rPr>
      </w:pPr>
    </w:p>
    <w:tbl>
      <w:tblPr>
        <w:tblpPr w:leftFromText="180" w:rightFromText="180" w:vertAnchor="text" w:horzAnchor="margin" w:tblpXSpec="center" w:tblpY="172"/>
        <w:tblW w:w="11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45"/>
        <w:gridCol w:w="1530"/>
        <w:gridCol w:w="1283"/>
        <w:gridCol w:w="1620"/>
        <w:gridCol w:w="1687"/>
        <w:gridCol w:w="1553"/>
        <w:gridCol w:w="1800"/>
      </w:tblGrid>
      <w:tr w:rsidRPr="00CC4F91" w:rsidR="00CC4F91" w:rsidTr="00CC4F91" w14:paraId="1F435370" w14:textId="77777777">
        <w:trPr>
          <w:trHeight w:val="220"/>
        </w:trPr>
        <w:tc>
          <w:tcPr>
            <w:tcW w:w="2245" w:type="dxa"/>
            <w:shd w:val="clear" w:color="auto" w:fill="auto"/>
          </w:tcPr>
          <w:p w:rsidRPr="00CC4F91" w:rsidR="00CC4F91" w:rsidP="002C7541" w:rsidRDefault="00CC4F91" w14:paraId="1146A9AE" w14:textId="77777777">
            <w:pPr>
              <w:tabs>
                <w:tab w:val="left" w:pos="1350"/>
              </w:tabs>
              <w:autoSpaceDE w:val="0"/>
              <w:autoSpaceDN w:val="0"/>
              <w:adjustRightInd w:val="0"/>
              <w:ind w:hanging="18"/>
              <w:rPr>
                <w:rFonts w:ascii="Times New Roman" w:hAnsi="Times New Roman" w:eastAsia="Calibri"/>
                <w:sz w:val="22"/>
                <w:szCs w:val="22"/>
              </w:rPr>
            </w:pPr>
            <w:r w:rsidRPr="00CC4F91">
              <w:rPr>
                <w:rFonts w:ascii="Times New Roman" w:hAnsi="Times New Roman" w:eastAsia="Calibri"/>
                <w:b/>
                <w:sz w:val="22"/>
                <w:szCs w:val="22"/>
              </w:rPr>
              <w:t>Modality of Completion</w:t>
            </w:r>
          </w:p>
        </w:tc>
        <w:tc>
          <w:tcPr>
            <w:tcW w:w="1530" w:type="dxa"/>
            <w:shd w:val="clear" w:color="auto" w:fill="auto"/>
          </w:tcPr>
          <w:p w:rsidRPr="00CC4F91" w:rsidR="00CC4F91" w:rsidP="002C7541" w:rsidRDefault="00CC4F91" w14:paraId="5EE82F35" w14:textId="77777777">
            <w:pPr>
              <w:tabs>
                <w:tab w:val="left" w:pos="1350"/>
              </w:tabs>
              <w:autoSpaceDE w:val="0"/>
              <w:autoSpaceDN w:val="0"/>
              <w:adjustRightInd w:val="0"/>
              <w:rPr>
                <w:rFonts w:ascii="Times New Roman" w:hAnsi="Times New Roman" w:eastAsia="Calibri"/>
                <w:sz w:val="22"/>
                <w:szCs w:val="22"/>
              </w:rPr>
            </w:pPr>
            <w:r w:rsidRPr="00CC4F91">
              <w:rPr>
                <w:rFonts w:ascii="Times New Roman" w:hAnsi="Times New Roman" w:eastAsia="Calibri"/>
                <w:b/>
                <w:sz w:val="22"/>
                <w:szCs w:val="22"/>
              </w:rPr>
              <w:t>Number of Respondents</w:t>
            </w:r>
          </w:p>
        </w:tc>
        <w:tc>
          <w:tcPr>
            <w:tcW w:w="1283" w:type="dxa"/>
            <w:shd w:val="clear" w:color="auto" w:fill="auto"/>
          </w:tcPr>
          <w:p w:rsidRPr="00CC4F91" w:rsidR="00CC4F91" w:rsidP="002C7541" w:rsidRDefault="00CC4F91" w14:paraId="0C67EA89" w14:textId="77777777">
            <w:pPr>
              <w:tabs>
                <w:tab w:val="left" w:pos="1350"/>
              </w:tabs>
              <w:autoSpaceDE w:val="0"/>
              <w:autoSpaceDN w:val="0"/>
              <w:adjustRightInd w:val="0"/>
              <w:rPr>
                <w:rFonts w:ascii="Times New Roman" w:hAnsi="Times New Roman" w:eastAsia="Calibri"/>
                <w:sz w:val="22"/>
                <w:szCs w:val="22"/>
              </w:rPr>
            </w:pPr>
            <w:r w:rsidRPr="00CC4F91">
              <w:rPr>
                <w:rFonts w:ascii="Times New Roman" w:hAnsi="Times New Roman" w:eastAsia="Calibri"/>
                <w:b/>
                <w:sz w:val="22"/>
                <w:szCs w:val="22"/>
              </w:rPr>
              <w:t>Frequency of Response</w:t>
            </w:r>
          </w:p>
        </w:tc>
        <w:tc>
          <w:tcPr>
            <w:tcW w:w="1620" w:type="dxa"/>
            <w:shd w:val="clear" w:color="auto" w:fill="auto"/>
          </w:tcPr>
          <w:p w:rsidRPr="00CC4F91" w:rsidR="00CC4F91" w:rsidP="002C7541" w:rsidRDefault="00CC4F91" w14:paraId="099D3AED" w14:textId="77777777">
            <w:pPr>
              <w:tabs>
                <w:tab w:val="left" w:pos="1350"/>
              </w:tabs>
              <w:autoSpaceDE w:val="0"/>
              <w:autoSpaceDN w:val="0"/>
              <w:adjustRightInd w:val="0"/>
              <w:rPr>
                <w:rFonts w:ascii="Times New Roman" w:hAnsi="Times New Roman" w:eastAsia="Calibri"/>
                <w:sz w:val="22"/>
                <w:szCs w:val="22"/>
              </w:rPr>
            </w:pPr>
            <w:r w:rsidRPr="00CC4F91">
              <w:rPr>
                <w:rFonts w:ascii="Times New Roman" w:hAnsi="Times New Roman" w:eastAsia="Calibri"/>
                <w:b/>
                <w:sz w:val="22"/>
                <w:szCs w:val="22"/>
              </w:rPr>
              <w:t>Average Cost Per Record Request</w:t>
            </w:r>
          </w:p>
        </w:tc>
        <w:tc>
          <w:tcPr>
            <w:tcW w:w="1687" w:type="dxa"/>
            <w:shd w:val="clear" w:color="auto" w:fill="auto"/>
          </w:tcPr>
          <w:p w:rsidRPr="00CC4F91" w:rsidR="00CC4F91" w:rsidP="002C7541" w:rsidRDefault="00CC4F91" w14:paraId="6FEA4F91" w14:textId="77777777">
            <w:pPr>
              <w:tabs>
                <w:tab w:val="left" w:pos="1350"/>
              </w:tabs>
              <w:autoSpaceDE w:val="0"/>
              <w:autoSpaceDN w:val="0"/>
              <w:adjustRightInd w:val="0"/>
              <w:rPr>
                <w:rFonts w:ascii="Times New Roman" w:hAnsi="Times New Roman" w:eastAsia="Calibri"/>
                <w:sz w:val="22"/>
                <w:szCs w:val="22"/>
              </w:rPr>
            </w:pPr>
            <w:r w:rsidRPr="00CC4F91">
              <w:rPr>
                <w:rFonts w:ascii="Times New Roman" w:hAnsi="Times New Roman" w:eastAsia="Calibri"/>
                <w:b/>
                <w:sz w:val="22"/>
                <w:szCs w:val="22"/>
              </w:rPr>
              <w:t>Estimated Total Annual Burden (hours)</w:t>
            </w:r>
          </w:p>
        </w:tc>
        <w:tc>
          <w:tcPr>
            <w:tcW w:w="1553" w:type="dxa"/>
            <w:shd w:val="clear" w:color="auto" w:fill="auto"/>
          </w:tcPr>
          <w:p w:rsidRPr="00CC4F91" w:rsidR="00CC4F91" w:rsidP="002C7541" w:rsidRDefault="00CC4F91" w14:paraId="0AFB53BB" w14:textId="3C879795">
            <w:pPr>
              <w:tabs>
                <w:tab w:val="left" w:pos="1350"/>
              </w:tabs>
              <w:autoSpaceDE w:val="0"/>
              <w:autoSpaceDN w:val="0"/>
              <w:adjustRightInd w:val="0"/>
              <w:rPr>
                <w:rFonts w:ascii="Times New Roman" w:hAnsi="Times New Roman" w:eastAsia="Calibri"/>
                <w:sz w:val="22"/>
                <w:szCs w:val="22"/>
              </w:rPr>
            </w:pPr>
            <w:r w:rsidRPr="00CC4F91">
              <w:rPr>
                <w:rFonts w:ascii="Times New Roman" w:hAnsi="Times New Roman" w:eastAsia="Calibri"/>
                <w:b/>
                <w:sz w:val="22"/>
                <w:szCs w:val="22"/>
              </w:rPr>
              <w:t>Average Theoretical Hourly Cost Amount (dollars)**</w:t>
            </w:r>
          </w:p>
        </w:tc>
        <w:tc>
          <w:tcPr>
            <w:tcW w:w="1800" w:type="dxa"/>
            <w:shd w:val="clear" w:color="auto" w:fill="auto"/>
          </w:tcPr>
          <w:p w:rsidRPr="00CC4F91" w:rsidR="00CC4F91" w:rsidP="002C7541" w:rsidRDefault="00CC4F91" w14:paraId="66C7EFB1" w14:textId="387CE2E9">
            <w:pPr>
              <w:autoSpaceDE w:val="0"/>
              <w:autoSpaceDN w:val="0"/>
              <w:adjustRightInd w:val="0"/>
              <w:rPr>
                <w:rFonts w:ascii="Times New Roman" w:hAnsi="Times New Roman" w:eastAsia="Calibri"/>
                <w:b/>
                <w:sz w:val="22"/>
                <w:szCs w:val="22"/>
              </w:rPr>
            </w:pPr>
            <w:r w:rsidRPr="00CC4F91">
              <w:rPr>
                <w:rFonts w:ascii="Times New Roman" w:hAnsi="Times New Roman" w:eastAsia="Calibri"/>
                <w:b/>
                <w:sz w:val="22"/>
                <w:szCs w:val="22"/>
              </w:rPr>
              <w:t>Total Annual Opportunity Cost (dollars) ***</w:t>
            </w:r>
          </w:p>
        </w:tc>
      </w:tr>
      <w:tr w:rsidRPr="00CC4F91" w:rsidR="00CC4F91" w:rsidTr="00CC4F91" w14:paraId="66E63F0C" w14:textId="77777777">
        <w:trPr>
          <w:trHeight w:val="293"/>
        </w:trPr>
        <w:tc>
          <w:tcPr>
            <w:tcW w:w="2245" w:type="dxa"/>
            <w:shd w:val="clear" w:color="auto" w:fill="auto"/>
          </w:tcPr>
          <w:p w:rsidRPr="005C2EF9" w:rsidR="00CC4F91" w:rsidP="002C7541" w:rsidRDefault="00CC4F91" w14:paraId="74E4A602" w14:textId="77777777">
            <w:pPr>
              <w:rPr>
                <w:rFonts w:ascii="Times New Roman" w:hAnsi="Times New Roman"/>
                <w:color w:val="000000"/>
                <w:sz w:val="22"/>
                <w:szCs w:val="22"/>
              </w:rPr>
            </w:pPr>
            <w:r w:rsidRPr="005C2EF9">
              <w:rPr>
                <w:rFonts w:ascii="Times New Roman" w:hAnsi="Times New Roman"/>
                <w:color w:val="000000"/>
                <w:sz w:val="22"/>
                <w:szCs w:val="22"/>
              </w:rPr>
              <w:t>State Death Match</w:t>
            </w:r>
            <w:r w:rsidRPr="005C2EF9">
              <w:rPr>
                <w:rFonts w:ascii="Times New Roman" w:hAnsi="Times New Roman"/>
                <w:color w:val="000000"/>
                <w:sz w:val="22"/>
                <w:szCs w:val="22"/>
              </w:rPr>
              <w:noBreakHyphen/>
            </w:r>
            <w:proofErr w:type="spellStart"/>
            <w:r w:rsidRPr="005C2EF9">
              <w:rPr>
                <w:rFonts w:ascii="Times New Roman" w:hAnsi="Times New Roman"/>
                <w:color w:val="000000"/>
                <w:sz w:val="22"/>
                <w:szCs w:val="22"/>
              </w:rPr>
              <w:t>CyberFusion</w:t>
            </w:r>
            <w:proofErr w:type="spellEnd"/>
            <w:r w:rsidRPr="005C2EF9">
              <w:rPr>
                <w:rFonts w:ascii="Times New Roman" w:hAnsi="Times New Roman"/>
                <w:color w:val="000000"/>
                <w:sz w:val="22"/>
                <w:szCs w:val="22"/>
              </w:rPr>
              <w:t>/GSO: Non-EDR Records from EDR sites</w:t>
            </w:r>
          </w:p>
        </w:tc>
        <w:tc>
          <w:tcPr>
            <w:tcW w:w="1530" w:type="dxa"/>
            <w:shd w:val="clear" w:color="auto" w:fill="auto"/>
          </w:tcPr>
          <w:p w:rsidRPr="00CC4F91" w:rsidR="00CC4F91" w:rsidP="002C7541" w:rsidRDefault="00CC4F91" w14:paraId="02C18F05" w14:textId="77777777">
            <w:pPr>
              <w:jc w:val="right"/>
              <w:rPr>
                <w:rFonts w:ascii="Times New Roman" w:hAnsi="Times New Roman"/>
                <w:color w:val="000000"/>
                <w:sz w:val="22"/>
                <w:szCs w:val="22"/>
              </w:rPr>
            </w:pPr>
            <w:r w:rsidRPr="00CC4F91">
              <w:rPr>
                <w:rFonts w:ascii="Times New Roman" w:hAnsi="Times New Roman"/>
                <w:color w:val="000000"/>
                <w:sz w:val="22"/>
                <w:szCs w:val="22"/>
              </w:rPr>
              <w:t>39</w:t>
            </w:r>
          </w:p>
        </w:tc>
        <w:tc>
          <w:tcPr>
            <w:tcW w:w="1283" w:type="dxa"/>
            <w:shd w:val="clear" w:color="auto" w:fill="auto"/>
          </w:tcPr>
          <w:p w:rsidRPr="00CC4F91" w:rsidR="00CC4F91" w:rsidP="002C7541" w:rsidRDefault="00CC4F91" w14:paraId="569862B2" w14:textId="77777777">
            <w:pPr>
              <w:jc w:val="right"/>
              <w:rPr>
                <w:rFonts w:ascii="Times New Roman" w:hAnsi="Times New Roman"/>
                <w:color w:val="000000"/>
                <w:sz w:val="22"/>
                <w:szCs w:val="22"/>
              </w:rPr>
            </w:pPr>
            <w:r w:rsidRPr="00CC4F91">
              <w:rPr>
                <w:rFonts w:ascii="Times New Roman" w:hAnsi="Times New Roman"/>
                <w:color w:val="000000"/>
                <w:sz w:val="22"/>
                <w:szCs w:val="22"/>
              </w:rPr>
              <w:t>68,621</w:t>
            </w:r>
          </w:p>
        </w:tc>
        <w:tc>
          <w:tcPr>
            <w:tcW w:w="1620" w:type="dxa"/>
            <w:shd w:val="clear" w:color="auto" w:fill="auto"/>
          </w:tcPr>
          <w:p w:rsidRPr="00CC4F91" w:rsidR="00CC4F91" w:rsidP="002C7541" w:rsidRDefault="00CC4F91" w14:paraId="2F0F2321" w14:textId="77777777">
            <w:pPr>
              <w:widowControl w:val="0"/>
              <w:jc w:val="right"/>
              <w:rPr>
                <w:rFonts w:ascii="Times New Roman" w:hAnsi="Times New Roman" w:eastAsia="Calibri"/>
                <w:sz w:val="22"/>
                <w:szCs w:val="22"/>
              </w:rPr>
            </w:pPr>
            <w:r w:rsidRPr="00CC4F91">
              <w:rPr>
                <w:rFonts w:ascii="Times New Roman" w:hAnsi="Times New Roman" w:eastAsia="Calibri"/>
                <w:sz w:val="22"/>
                <w:szCs w:val="22"/>
              </w:rPr>
              <w:t>$0.88</w:t>
            </w:r>
          </w:p>
        </w:tc>
        <w:tc>
          <w:tcPr>
            <w:tcW w:w="1687" w:type="dxa"/>
            <w:shd w:val="clear" w:color="auto" w:fill="auto"/>
          </w:tcPr>
          <w:p w:rsidRPr="00CC4F91" w:rsidR="00CC4F91" w:rsidP="002C7541" w:rsidRDefault="001E2602" w14:paraId="72C37902" w14:textId="1755BDD5">
            <w:pPr>
              <w:widowControl w:val="0"/>
              <w:jc w:val="right"/>
              <w:rPr>
                <w:rFonts w:ascii="Times New Roman" w:hAnsi="Times New Roman" w:eastAsia="Calibri"/>
                <w:sz w:val="22"/>
                <w:szCs w:val="22"/>
              </w:rPr>
            </w:pPr>
            <w:r>
              <w:rPr>
                <w:rFonts w:ascii="Times New Roman" w:hAnsi="Times New Roman"/>
                <w:color w:val="000000"/>
                <w:sz w:val="22"/>
                <w:szCs w:val="22"/>
              </w:rPr>
              <w:t>$2,355,073</w:t>
            </w:r>
          </w:p>
        </w:tc>
        <w:tc>
          <w:tcPr>
            <w:tcW w:w="1553" w:type="dxa"/>
            <w:shd w:val="clear" w:color="auto" w:fill="auto"/>
          </w:tcPr>
          <w:p w:rsidRPr="00CC4F91" w:rsidR="00CC4F91" w:rsidP="002C7541" w:rsidRDefault="00CC4F91" w14:paraId="500641A1" w14:textId="77777777">
            <w:pPr>
              <w:widowControl w:val="0"/>
              <w:snapToGrid w:val="0"/>
              <w:jc w:val="right"/>
              <w:rPr>
                <w:rFonts w:ascii="Times New Roman" w:hAnsi="Times New Roman" w:eastAsia="Calibri"/>
                <w:sz w:val="22"/>
                <w:szCs w:val="22"/>
              </w:rPr>
            </w:pPr>
            <w:r w:rsidRPr="00CC4F91">
              <w:rPr>
                <w:rFonts w:ascii="Times New Roman" w:hAnsi="Times New Roman" w:eastAsia="Calibri"/>
                <w:sz w:val="22"/>
                <w:szCs w:val="22"/>
              </w:rPr>
              <w:t>$21.09**</w:t>
            </w:r>
          </w:p>
        </w:tc>
        <w:tc>
          <w:tcPr>
            <w:tcW w:w="1800" w:type="dxa"/>
            <w:shd w:val="clear" w:color="auto" w:fill="auto"/>
          </w:tcPr>
          <w:p w:rsidRPr="00CC4F91" w:rsidR="00CC4F91" w:rsidP="002C7541" w:rsidRDefault="00CC4F91" w14:paraId="1B1099BA" w14:textId="77777777">
            <w:pPr>
              <w:tabs>
                <w:tab w:val="left" w:pos="1350"/>
              </w:tabs>
              <w:autoSpaceDE w:val="0"/>
              <w:autoSpaceDN w:val="0"/>
              <w:adjustRightInd w:val="0"/>
              <w:jc w:val="right"/>
              <w:rPr>
                <w:rFonts w:ascii="Times New Roman" w:hAnsi="Times New Roman" w:eastAsia="Calibri"/>
                <w:sz w:val="22"/>
                <w:szCs w:val="22"/>
              </w:rPr>
            </w:pPr>
            <w:r w:rsidRPr="00CC4F91">
              <w:rPr>
                <w:rFonts w:ascii="Times New Roman" w:hAnsi="Times New Roman" w:eastAsia="Calibri"/>
                <w:sz w:val="22"/>
                <w:szCs w:val="22"/>
              </w:rPr>
              <w:t>$1,447,217***</w:t>
            </w:r>
          </w:p>
        </w:tc>
      </w:tr>
      <w:tr w:rsidRPr="00CC4F91" w:rsidR="00CC4F91" w:rsidTr="00CC4F91" w14:paraId="6E27A7E7" w14:textId="77777777">
        <w:trPr>
          <w:trHeight w:val="293"/>
        </w:trPr>
        <w:tc>
          <w:tcPr>
            <w:tcW w:w="2245" w:type="dxa"/>
            <w:shd w:val="clear" w:color="auto" w:fill="auto"/>
          </w:tcPr>
          <w:p w:rsidRPr="005C2EF9" w:rsidR="00CC4F91" w:rsidP="002C7541" w:rsidRDefault="00CC4F91" w14:paraId="2A0D9E54" w14:textId="77777777">
            <w:pPr>
              <w:rPr>
                <w:rFonts w:ascii="Times New Roman" w:hAnsi="Times New Roman"/>
                <w:color w:val="000000"/>
                <w:sz w:val="22"/>
                <w:szCs w:val="22"/>
              </w:rPr>
            </w:pPr>
            <w:r w:rsidRPr="005C2EF9">
              <w:rPr>
                <w:rFonts w:ascii="Times New Roman" w:hAnsi="Times New Roman"/>
                <w:color w:val="000000"/>
                <w:sz w:val="22"/>
                <w:szCs w:val="22"/>
              </w:rPr>
              <w:t>State Death Match</w:t>
            </w:r>
            <w:r w:rsidRPr="005C2EF9">
              <w:rPr>
                <w:rFonts w:ascii="Times New Roman" w:hAnsi="Times New Roman"/>
                <w:color w:val="000000"/>
                <w:sz w:val="22"/>
                <w:szCs w:val="22"/>
              </w:rPr>
              <w:noBreakHyphen/>
            </w:r>
            <w:proofErr w:type="spellStart"/>
            <w:r w:rsidRPr="005C2EF9">
              <w:rPr>
                <w:rFonts w:ascii="Times New Roman" w:hAnsi="Times New Roman"/>
                <w:color w:val="000000"/>
                <w:sz w:val="22"/>
                <w:szCs w:val="22"/>
              </w:rPr>
              <w:t>CyberFusion</w:t>
            </w:r>
            <w:proofErr w:type="spellEnd"/>
            <w:r w:rsidRPr="005C2EF9">
              <w:rPr>
                <w:rFonts w:ascii="Times New Roman" w:hAnsi="Times New Roman"/>
                <w:color w:val="000000"/>
                <w:sz w:val="22"/>
                <w:szCs w:val="22"/>
              </w:rPr>
              <w:t>/GSO: Non-EDR sites</w:t>
            </w:r>
          </w:p>
        </w:tc>
        <w:tc>
          <w:tcPr>
            <w:tcW w:w="1530" w:type="dxa"/>
            <w:shd w:val="clear" w:color="auto" w:fill="auto"/>
          </w:tcPr>
          <w:p w:rsidRPr="00CC4F91" w:rsidR="00CC4F91" w:rsidP="002C7541" w:rsidRDefault="00CC4F91" w14:paraId="677FD6BA" w14:textId="77777777">
            <w:pPr>
              <w:jc w:val="right"/>
              <w:rPr>
                <w:rFonts w:ascii="Times New Roman" w:hAnsi="Times New Roman"/>
                <w:color w:val="000000"/>
                <w:sz w:val="22"/>
                <w:szCs w:val="22"/>
              </w:rPr>
            </w:pPr>
            <w:r w:rsidRPr="00CC4F91">
              <w:rPr>
                <w:rFonts w:ascii="Times New Roman" w:hAnsi="Times New Roman"/>
                <w:color w:val="000000"/>
                <w:sz w:val="22"/>
                <w:szCs w:val="22"/>
              </w:rPr>
              <w:t>5</w:t>
            </w:r>
          </w:p>
        </w:tc>
        <w:tc>
          <w:tcPr>
            <w:tcW w:w="1283" w:type="dxa"/>
            <w:shd w:val="clear" w:color="auto" w:fill="auto"/>
          </w:tcPr>
          <w:p w:rsidRPr="00CC4F91" w:rsidR="00CC4F91" w:rsidP="002C7541" w:rsidRDefault="00CC4F91" w14:paraId="2E5D9216" w14:textId="77777777">
            <w:pPr>
              <w:jc w:val="right"/>
              <w:rPr>
                <w:rFonts w:ascii="Times New Roman" w:hAnsi="Times New Roman"/>
                <w:color w:val="000000"/>
                <w:sz w:val="22"/>
                <w:szCs w:val="22"/>
              </w:rPr>
            </w:pPr>
            <w:r w:rsidRPr="00CC4F91">
              <w:rPr>
                <w:rFonts w:ascii="Times New Roman" w:hAnsi="Times New Roman"/>
                <w:color w:val="000000"/>
                <w:sz w:val="22"/>
                <w:szCs w:val="22"/>
              </w:rPr>
              <w:t>187,570</w:t>
            </w:r>
          </w:p>
        </w:tc>
        <w:tc>
          <w:tcPr>
            <w:tcW w:w="1620" w:type="dxa"/>
            <w:shd w:val="clear" w:color="auto" w:fill="auto"/>
          </w:tcPr>
          <w:p w:rsidRPr="00CC4F91" w:rsidR="00CC4F91" w:rsidP="002C7541" w:rsidRDefault="00CC4F91" w14:paraId="56BA1AC6" w14:textId="77777777">
            <w:pPr>
              <w:ind w:right="-1062"/>
              <w:jc w:val="center"/>
              <w:rPr>
                <w:rFonts w:ascii="Times New Roman" w:hAnsi="Times New Roman"/>
                <w:color w:val="000000"/>
                <w:sz w:val="22"/>
                <w:szCs w:val="22"/>
              </w:rPr>
            </w:pPr>
            <w:r w:rsidRPr="00CC4F91">
              <w:rPr>
                <w:rFonts w:ascii="Times New Roman" w:hAnsi="Times New Roman"/>
                <w:color w:val="000000"/>
                <w:sz w:val="22"/>
                <w:szCs w:val="22"/>
              </w:rPr>
              <w:t>$0.88</w:t>
            </w:r>
          </w:p>
        </w:tc>
        <w:tc>
          <w:tcPr>
            <w:tcW w:w="1687" w:type="dxa"/>
            <w:shd w:val="clear" w:color="auto" w:fill="auto"/>
          </w:tcPr>
          <w:p w:rsidRPr="00CC4F91" w:rsidR="00CC4F91" w:rsidP="005C2EF9" w:rsidRDefault="00CC4F91" w14:paraId="3CA21464" w14:textId="77777777">
            <w:pPr>
              <w:ind w:firstLine="335"/>
              <w:rPr>
                <w:rFonts w:ascii="Times New Roman" w:hAnsi="Times New Roman"/>
                <w:color w:val="000000"/>
                <w:sz w:val="22"/>
                <w:szCs w:val="22"/>
              </w:rPr>
            </w:pPr>
            <w:r w:rsidRPr="00CC4F91">
              <w:rPr>
                <w:rFonts w:ascii="Times New Roman" w:hAnsi="Times New Roman"/>
                <w:color w:val="000000"/>
                <w:sz w:val="22"/>
                <w:szCs w:val="22"/>
              </w:rPr>
              <w:t xml:space="preserve">$825,308 </w:t>
            </w:r>
          </w:p>
        </w:tc>
        <w:tc>
          <w:tcPr>
            <w:tcW w:w="1553" w:type="dxa"/>
            <w:shd w:val="clear" w:color="auto" w:fill="auto"/>
          </w:tcPr>
          <w:p w:rsidRPr="00CC4F91" w:rsidR="00CC4F91" w:rsidP="002C7541" w:rsidRDefault="00CC4F91" w14:paraId="30F520D6" w14:textId="77777777">
            <w:pPr>
              <w:widowControl w:val="0"/>
              <w:snapToGrid w:val="0"/>
              <w:jc w:val="right"/>
              <w:rPr>
                <w:rFonts w:ascii="Times New Roman" w:hAnsi="Times New Roman" w:eastAsia="Calibri"/>
                <w:sz w:val="22"/>
                <w:szCs w:val="22"/>
              </w:rPr>
            </w:pPr>
            <w:r w:rsidRPr="00CC4F91">
              <w:rPr>
                <w:rFonts w:ascii="Times New Roman" w:hAnsi="Times New Roman" w:eastAsia="Calibri"/>
                <w:sz w:val="22"/>
                <w:szCs w:val="22"/>
              </w:rPr>
              <w:t>$21.09**</w:t>
            </w:r>
          </w:p>
        </w:tc>
        <w:tc>
          <w:tcPr>
            <w:tcW w:w="1800" w:type="dxa"/>
            <w:shd w:val="clear" w:color="auto" w:fill="auto"/>
          </w:tcPr>
          <w:p w:rsidRPr="00CC4F91" w:rsidR="00CC4F91" w:rsidP="002C7541" w:rsidRDefault="00CC4F91" w14:paraId="46F989C8" w14:textId="77777777">
            <w:pPr>
              <w:tabs>
                <w:tab w:val="left" w:pos="1350"/>
              </w:tabs>
              <w:autoSpaceDE w:val="0"/>
              <w:autoSpaceDN w:val="0"/>
              <w:adjustRightInd w:val="0"/>
              <w:jc w:val="right"/>
              <w:rPr>
                <w:rFonts w:ascii="Times New Roman" w:hAnsi="Times New Roman" w:eastAsia="Calibri"/>
                <w:sz w:val="22"/>
                <w:szCs w:val="22"/>
              </w:rPr>
            </w:pPr>
            <w:r w:rsidRPr="00CC4F91">
              <w:rPr>
                <w:rFonts w:ascii="Times New Roman" w:hAnsi="Times New Roman" w:eastAsia="Calibri"/>
                <w:sz w:val="22"/>
                <w:szCs w:val="22"/>
              </w:rPr>
              <w:t>$3,955,851***</w:t>
            </w:r>
          </w:p>
        </w:tc>
      </w:tr>
      <w:tr w:rsidRPr="00CC4F91" w:rsidR="00CC4F91" w:rsidTr="00CC4F91" w14:paraId="6E5ACF74" w14:textId="77777777">
        <w:trPr>
          <w:trHeight w:val="293"/>
        </w:trPr>
        <w:tc>
          <w:tcPr>
            <w:tcW w:w="2245" w:type="dxa"/>
            <w:shd w:val="clear" w:color="auto" w:fill="auto"/>
          </w:tcPr>
          <w:p w:rsidRPr="005C2EF9" w:rsidR="00CC4F91" w:rsidP="002C7541" w:rsidRDefault="00CC4F91" w14:paraId="0261387E" w14:textId="77777777">
            <w:pPr>
              <w:rPr>
                <w:rFonts w:ascii="Times New Roman" w:hAnsi="Times New Roman"/>
                <w:b/>
                <w:color w:val="000000"/>
                <w:sz w:val="22"/>
                <w:szCs w:val="22"/>
              </w:rPr>
            </w:pPr>
            <w:r w:rsidRPr="005C2EF9">
              <w:rPr>
                <w:rFonts w:ascii="Times New Roman" w:hAnsi="Times New Roman"/>
                <w:b/>
                <w:color w:val="000000"/>
                <w:sz w:val="22"/>
                <w:szCs w:val="22"/>
              </w:rPr>
              <w:t>Total: Non-EDR</w:t>
            </w:r>
          </w:p>
        </w:tc>
        <w:tc>
          <w:tcPr>
            <w:tcW w:w="1530" w:type="dxa"/>
            <w:shd w:val="clear" w:color="auto" w:fill="auto"/>
          </w:tcPr>
          <w:p w:rsidRPr="00CC4F91" w:rsidR="00CC4F91" w:rsidP="002C7541" w:rsidRDefault="00CC4F91" w14:paraId="66C0D8B7" w14:textId="77777777">
            <w:pPr>
              <w:jc w:val="right"/>
              <w:rPr>
                <w:rFonts w:ascii="Times New Roman" w:hAnsi="Times New Roman"/>
                <w:b/>
                <w:color w:val="000000"/>
                <w:sz w:val="22"/>
                <w:szCs w:val="22"/>
              </w:rPr>
            </w:pPr>
            <w:r w:rsidRPr="00CC4F91">
              <w:rPr>
                <w:rFonts w:ascii="Times New Roman" w:hAnsi="Times New Roman"/>
                <w:b/>
                <w:color w:val="000000"/>
                <w:sz w:val="22"/>
                <w:szCs w:val="22"/>
              </w:rPr>
              <w:t>44</w:t>
            </w:r>
          </w:p>
        </w:tc>
        <w:tc>
          <w:tcPr>
            <w:tcW w:w="1283" w:type="dxa"/>
            <w:shd w:val="clear" w:color="auto" w:fill="auto"/>
          </w:tcPr>
          <w:p w:rsidRPr="00CC4F91" w:rsidR="00CC4F91" w:rsidP="002C7541" w:rsidRDefault="00CC4F91" w14:paraId="0F46E55D" w14:textId="77777777">
            <w:pPr>
              <w:jc w:val="right"/>
              <w:rPr>
                <w:rFonts w:ascii="Times New Roman" w:hAnsi="Times New Roman"/>
                <w:b/>
                <w:color w:val="000000"/>
                <w:sz w:val="22"/>
                <w:szCs w:val="22"/>
              </w:rPr>
            </w:pPr>
          </w:p>
        </w:tc>
        <w:tc>
          <w:tcPr>
            <w:tcW w:w="1620" w:type="dxa"/>
            <w:shd w:val="clear" w:color="auto" w:fill="auto"/>
          </w:tcPr>
          <w:p w:rsidRPr="00CC4F91" w:rsidR="00CC4F91" w:rsidP="002C7541" w:rsidRDefault="00CC4F91" w14:paraId="2DD9D516" w14:textId="35260656">
            <w:pPr>
              <w:ind w:right="-1242"/>
              <w:jc w:val="center"/>
              <w:rPr>
                <w:rFonts w:ascii="Times New Roman" w:hAnsi="Times New Roman"/>
                <w:b/>
                <w:color w:val="000000"/>
                <w:sz w:val="22"/>
                <w:szCs w:val="22"/>
              </w:rPr>
            </w:pPr>
          </w:p>
        </w:tc>
        <w:tc>
          <w:tcPr>
            <w:tcW w:w="1687" w:type="dxa"/>
            <w:shd w:val="clear" w:color="auto" w:fill="auto"/>
          </w:tcPr>
          <w:p w:rsidRPr="00CC4F91" w:rsidR="00CC4F91" w:rsidP="005C2EF9" w:rsidRDefault="005C2EF9" w14:paraId="18D07E98" w14:textId="1A7A54DC">
            <w:pPr>
              <w:ind w:firstLine="158"/>
              <w:jc w:val="right"/>
              <w:rPr>
                <w:rFonts w:ascii="Times New Roman" w:hAnsi="Times New Roman"/>
                <w:b/>
                <w:color w:val="000000"/>
                <w:sz w:val="22"/>
                <w:szCs w:val="22"/>
              </w:rPr>
            </w:pPr>
            <w:r>
              <w:rPr>
                <w:rFonts w:ascii="Times New Roman" w:hAnsi="Times New Roman"/>
                <w:b/>
                <w:color w:val="000000"/>
                <w:sz w:val="22"/>
                <w:szCs w:val="22"/>
              </w:rPr>
              <w:t>$3,180,381</w:t>
            </w:r>
          </w:p>
        </w:tc>
        <w:tc>
          <w:tcPr>
            <w:tcW w:w="1553" w:type="dxa"/>
            <w:shd w:val="clear" w:color="auto" w:fill="auto"/>
          </w:tcPr>
          <w:p w:rsidRPr="00CC4F91" w:rsidR="00CC4F91" w:rsidP="002C7541" w:rsidRDefault="00CC4F91" w14:paraId="11953948" w14:textId="77777777">
            <w:pPr>
              <w:widowControl w:val="0"/>
              <w:snapToGrid w:val="0"/>
              <w:jc w:val="right"/>
              <w:rPr>
                <w:rFonts w:ascii="Times New Roman" w:hAnsi="Times New Roman" w:eastAsia="Calibri"/>
                <w:sz w:val="22"/>
                <w:szCs w:val="22"/>
              </w:rPr>
            </w:pPr>
          </w:p>
        </w:tc>
        <w:tc>
          <w:tcPr>
            <w:tcW w:w="1800" w:type="dxa"/>
            <w:shd w:val="clear" w:color="auto" w:fill="auto"/>
          </w:tcPr>
          <w:p w:rsidRPr="00CC4F91" w:rsidR="00CC4F91" w:rsidP="002C7541" w:rsidRDefault="00CC4F91" w14:paraId="24C32B24" w14:textId="77777777">
            <w:pPr>
              <w:tabs>
                <w:tab w:val="left" w:pos="1350"/>
              </w:tabs>
              <w:autoSpaceDE w:val="0"/>
              <w:autoSpaceDN w:val="0"/>
              <w:adjustRightInd w:val="0"/>
              <w:jc w:val="right"/>
              <w:rPr>
                <w:rFonts w:ascii="Times New Roman" w:hAnsi="Times New Roman" w:eastAsia="Calibri"/>
                <w:b/>
                <w:sz w:val="22"/>
                <w:szCs w:val="22"/>
              </w:rPr>
            </w:pPr>
            <w:r w:rsidRPr="00CC4F91">
              <w:rPr>
                <w:rFonts w:ascii="Times New Roman" w:hAnsi="Times New Roman" w:eastAsia="Calibri"/>
                <w:b/>
                <w:sz w:val="22"/>
                <w:szCs w:val="22"/>
              </w:rPr>
              <w:t>$5,403,068</w:t>
            </w:r>
          </w:p>
        </w:tc>
      </w:tr>
      <w:tr w:rsidRPr="00CC4F91" w:rsidR="00CC4F91" w:rsidTr="00CC4F91" w14:paraId="2ABFD87C" w14:textId="77777777">
        <w:trPr>
          <w:trHeight w:val="293"/>
        </w:trPr>
        <w:tc>
          <w:tcPr>
            <w:tcW w:w="2245" w:type="dxa"/>
            <w:shd w:val="clear" w:color="auto" w:fill="auto"/>
          </w:tcPr>
          <w:p w:rsidRPr="005C2EF9" w:rsidR="00CC4F91" w:rsidP="002C7541" w:rsidRDefault="00CC4F91" w14:paraId="2CD58B01" w14:textId="77777777">
            <w:pPr>
              <w:rPr>
                <w:rFonts w:ascii="Times New Roman" w:hAnsi="Times New Roman"/>
                <w:color w:val="000000"/>
                <w:sz w:val="22"/>
                <w:szCs w:val="22"/>
              </w:rPr>
            </w:pPr>
            <w:r w:rsidRPr="005C2EF9">
              <w:rPr>
                <w:rFonts w:ascii="Times New Roman" w:hAnsi="Times New Roman"/>
                <w:color w:val="000000"/>
                <w:sz w:val="22"/>
                <w:szCs w:val="22"/>
              </w:rPr>
              <w:t>State Death Match- EDR</w:t>
            </w:r>
          </w:p>
        </w:tc>
        <w:tc>
          <w:tcPr>
            <w:tcW w:w="1530" w:type="dxa"/>
            <w:shd w:val="clear" w:color="auto" w:fill="auto"/>
          </w:tcPr>
          <w:p w:rsidRPr="00CC4F91" w:rsidR="00CC4F91" w:rsidP="002C7541" w:rsidRDefault="00CC4F91" w14:paraId="17427491" w14:textId="77777777">
            <w:pPr>
              <w:jc w:val="right"/>
              <w:rPr>
                <w:rFonts w:ascii="Times New Roman" w:hAnsi="Times New Roman"/>
                <w:color w:val="000000"/>
                <w:sz w:val="22"/>
                <w:szCs w:val="22"/>
              </w:rPr>
            </w:pPr>
            <w:r w:rsidRPr="00CC4F91">
              <w:rPr>
                <w:rFonts w:ascii="Times New Roman" w:hAnsi="Times New Roman"/>
                <w:color w:val="000000"/>
                <w:sz w:val="22"/>
                <w:szCs w:val="22"/>
              </w:rPr>
              <w:t>48</w:t>
            </w:r>
          </w:p>
        </w:tc>
        <w:tc>
          <w:tcPr>
            <w:tcW w:w="1283" w:type="dxa"/>
            <w:shd w:val="clear" w:color="auto" w:fill="auto"/>
          </w:tcPr>
          <w:p w:rsidRPr="00CC4F91" w:rsidR="00CC4F91" w:rsidP="002C7541" w:rsidRDefault="00CC4F91" w14:paraId="6B7E91ED" w14:textId="77777777">
            <w:pPr>
              <w:jc w:val="right"/>
              <w:rPr>
                <w:rFonts w:ascii="Times New Roman" w:hAnsi="Times New Roman"/>
                <w:color w:val="000000"/>
                <w:sz w:val="22"/>
                <w:szCs w:val="22"/>
              </w:rPr>
            </w:pPr>
            <w:r w:rsidRPr="00CC4F91">
              <w:rPr>
                <w:rFonts w:ascii="Times New Roman" w:hAnsi="Times New Roman"/>
                <w:color w:val="000000"/>
                <w:sz w:val="22"/>
                <w:szCs w:val="22"/>
              </w:rPr>
              <w:t xml:space="preserve">2,573,956 </w:t>
            </w:r>
          </w:p>
        </w:tc>
        <w:tc>
          <w:tcPr>
            <w:tcW w:w="1620" w:type="dxa"/>
            <w:shd w:val="clear" w:color="auto" w:fill="auto"/>
          </w:tcPr>
          <w:p w:rsidRPr="00CC4F91" w:rsidR="00CC4F91" w:rsidP="002C7541" w:rsidRDefault="00CC4F91" w14:paraId="71B1143A" w14:textId="77777777">
            <w:pPr>
              <w:ind w:right="-1062"/>
              <w:jc w:val="center"/>
              <w:rPr>
                <w:rFonts w:ascii="Times New Roman" w:hAnsi="Times New Roman"/>
                <w:color w:val="000000"/>
                <w:sz w:val="22"/>
                <w:szCs w:val="22"/>
              </w:rPr>
            </w:pPr>
            <w:r w:rsidRPr="00CC4F91">
              <w:rPr>
                <w:rFonts w:ascii="Times New Roman" w:hAnsi="Times New Roman"/>
                <w:color w:val="000000"/>
                <w:sz w:val="22"/>
                <w:szCs w:val="22"/>
              </w:rPr>
              <w:t>$2.05</w:t>
            </w:r>
          </w:p>
        </w:tc>
        <w:tc>
          <w:tcPr>
            <w:tcW w:w="1687" w:type="dxa"/>
            <w:shd w:val="clear" w:color="auto" w:fill="auto"/>
          </w:tcPr>
          <w:p w:rsidRPr="00CC4F91" w:rsidR="00CC4F91" w:rsidP="005C2EF9" w:rsidRDefault="00CC4F91" w14:paraId="3161DAE6" w14:textId="77777777">
            <w:pPr>
              <w:jc w:val="right"/>
              <w:rPr>
                <w:rFonts w:ascii="Times New Roman" w:hAnsi="Times New Roman"/>
                <w:color w:val="000000"/>
                <w:sz w:val="22"/>
                <w:szCs w:val="22"/>
              </w:rPr>
            </w:pPr>
            <w:r w:rsidRPr="00CC4F91">
              <w:rPr>
                <w:rFonts w:ascii="Times New Roman" w:hAnsi="Times New Roman"/>
                <w:color w:val="000000"/>
                <w:sz w:val="22"/>
                <w:szCs w:val="22"/>
              </w:rPr>
              <w:t>$253,277,270</w:t>
            </w:r>
          </w:p>
        </w:tc>
        <w:tc>
          <w:tcPr>
            <w:tcW w:w="1553" w:type="dxa"/>
            <w:shd w:val="clear" w:color="auto" w:fill="auto"/>
          </w:tcPr>
          <w:p w:rsidRPr="00CC4F91" w:rsidR="00CC4F91" w:rsidP="002C7541" w:rsidRDefault="00CC4F91" w14:paraId="12177DB4" w14:textId="77777777">
            <w:pPr>
              <w:widowControl w:val="0"/>
              <w:snapToGrid w:val="0"/>
              <w:jc w:val="right"/>
              <w:rPr>
                <w:rFonts w:ascii="Times New Roman" w:hAnsi="Times New Roman" w:eastAsia="Calibri"/>
                <w:sz w:val="22"/>
                <w:szCs w:val="22"/>
              </w:rPr>
            </w:pPr>
            <w:r w:rsidRPr="00CC4F91">
              <w:rPr>
                <w:rFonts w:ascii="Times New Roman" w:hAnsi="Times New Roman" w:eastAsia="Calibri"/>
                <w:sz w:val="22"/>
                <w:szCs w:val="22"/>
              </w:rPr>
              <w:t>$21.09**</w:t>
            </w:r>
          </w:p>
        </w:tc>
        <w:tc>
          <w:tcPr>
            <w:tcW w:w="1800" w:type="dxa"/>
            <w:shd w:val="clear" w:color="auto" w:fill="auto"/>
          </w:tcPr>
          <w:p w:rsidRPr="00CC4F91" w:rsidR="00CC4F91" w:rsidP="002C7541" w:rsidRDefault="00CC4F91" w14:paraId="2A3E1532" w14:textId="77777777">
            <w:pPr>
              <w:tabs>
                <w:tab w:val="left" w:pos="1350"/>
              </w:tabs>
              <w:autoSpaceDE w:val="0"/>
              <w:autoSpaceDN w:val="0"/>
              <w:adjustRightInd w:val="0"/>
              <w:jc w:val="right"/>
              <w:rPr>
                <w:rFonts w:ascii="Times New Roman" w:hAnsi="Times New Roman" w:eastAsia="Calibri"/>
                <w:sz w:val="22"/>
                <w:szCs w:val="22"/>
              </w:rPr>
            </w:pPr>
            <w:r w:rsidRPr="00CC4F91">
              <w:rPr>
                <w:rFonts w:ascii="Times New Roman" w:hAnsi="Times New Roman" w:eastAsia="Calibri"/>
                <w:sz w:val="22"/>
                <w:szCs w:val="22"/>
              </w:rPr>
              <w:t>$54,284,732***</w:t>
            </w:r>
          </w:p>
        </w:tc>
      </w:tr>
      <w:tr w:rsidRPr="00CC4F91" w:rsidR="00CC4F91" w:rsidTr="00CC4F91" w14:paraId="3AFC5089" w14:textId="77777777">
        <w:trPr>
          <w:trHeight w:val="293"/>
        </w:trPr>
        <w:tc>
          <w:tcPr>
            <w:tcW w:w="2245" w:type="dxa"/>
            <w:shd w:val="clear" w:color="auto" w:fill="auto"/>
          </w:tcPr>
          <w:p w:rsidRPr="005C2EF9" w:rsidR="00CC4F91" w:rsidP="002C7541" w:rsidRDefault="00CC4F91" w14:paraId="1CE0E52A" w14:textId="77777777">
            <w:pPr>
              <w:rPr>
                <w:rFonts w:ascii="Times New Roman" w:hAnsi="Times New Roman"/>
                <w:color w:val="000000"/>
                <w:sz w:val="22"/>
                <w:szCs w:val="22"/>
              </w:rPr>
            </w:pPr>
            <w:r w:rsidRPr="005C2EF9">
              <w:rPr>
                <w:rFonts w:ascii="Times New Roman" w:hAnsi="Times New Roman"/>
                <w:color w:val="000000"/>
                <w:sz w:val="22"/>
                <w:szCs w:val="22"/>
              </w:rPr>
              <w:t>States Expected to Become – State Death Match-EDR Within the Next 3 Years**</w:t>
            </w:r>
          </w:p>
        </w:tc>
        <w:tc>
          <w:tcPr>
            <w:tcW w:w="1530" w:type="dxa"/>
            <w:shd w:val="clear" w:color="auto" w:fill="auto"/>
          </w:tcPr>
          <w:p w:rsidRPr="00CC4F91" w:rsidR="00CC4F91" w:rsidP="002C7541" w:rsidRDefault="00CC4F91" w14:paraId="7AC4471C" w14:textId="77777777">
            <w:pPr>
              <w:jc w:val="right"/>
              <w:rPr>
                <w:rFonts w:ascii="Times New Roman" w:hAnsi="Times New Roman"/>
                <w:color w:val="000000"/>
                <w:sz w:val="22"/>
                <w:szCs w:val="22"/>
              </w:rPr>
            </w:pPr>
            <w:r w:rsidRPr="00CC4F91">
              <w:rPr>
                <w:rFonts w:ascii="Times New Roman" w:hAnsi="Times New Roman"/>
                <w:color w:val="000000"/>
                <w:sz w:val="22"/>
                <w:szCs w:val="22"/>
              </w:rPr>
              <w:t>5</w:t>
            </w:r>
          </w:p>
        </w:tc>
        <w:tc>
          <w:tcPr>
            <w:tcW w:w="1283" w:type="dxa"/>
            <w:shd w:val="clear" w:color="auto" w:fill="auto"/>
          </w:tcPr>
          <w:p w:rsidRPr="00CC4F91" w:rsidR="00CC4F91" w:rsidP="002C7541" w:rsidRDefault="00CC4F91" w14:paraId="56E8E89E" w14:textId="77777777">
            <w:pPr>
              <w:jc w:val="right"/>
              <w:rPr>
                <w:rFonts w:ascii="Times New Roman" w:hAnsi="Times New Roman"/>
                <w:color w:val="000000"/>
                <w:sz w:val="22"/>
                <w:szCs w:val="22"/>
              </w:rPr>
            </w:pPr>
            <w:r w:rsidRPr="00CC4F91">
              <w:rPr>
                <w:rFonts w:ascii="Times New Roman" w:hAnsi="Times New Roman"/>
                <w:color w:val="000000"/>
                <w:sz w:val="22"/>
                <w:szCs w:val="22"/>
              </w:rPr>
              <w:t xml:space="preserve">62,600 </w:t>
            </w:r>
          </w:p>
        </w:tc>
        <w:tc>
          <w:tcPr>
            <w:tcW w:w="1620" w:type="dxa"/>
            <w:shd w:val="clear" w:color="auto" w:fill="auto"/>
          </w:tcPr>
          <w:p w:rsidRPr="00CC4F91" w:rsidR="00CC4F91" w:rsidP="002C7541" w:rsidRDefault="00CC4F91" w14:paraId="4030E185" w14:textId="77777777">
            <w:pPr>
              <w:ind w:right="-1062"/>
              <w:jc w:val="center"/>
              <w:rPr>
                <w:rFonts w:ascii="Times New Roman" w:hAnsi="Times New Roman"/>
                <w:color w:val="000000"/>
                <w:sz w:val="22"/>
                <w:szCs w:val="22"/>
              </w:rPr>
            </w:pPr>
            <w:r w:rsidRPr="00CC4F91">
              <w:rPr>
                <w:rFonts w:ascii="Times New Roman" w:hAnsi="Times New Roman"/>
                <w:color w:val="000000"/>
                <w:sz w:val="22"/>
                <w:szCs w:val="22"/>
              </w:rPr>
              <w:t>$3.17</w:t>
            </w:r>
          </w:p>
        </w:tc>
        <w:tc>
          <w:tcPr>
            <w:tcW w:w="1687" w:type="dxa"/>
            <w:shd w:val="clear" w:color="auto" w:fill="auto"/>
          </w:tcPr>
          <w:p w:rsidRPr="00CC4F91" w:rsidR="00CC4F91" w:rsidP="005C2EF9" w:rsidRDefault="00CC4F91" w14:paraId="2E488947" w14:textId="77777777">
            <w:pPr>
              <w:jc w:val="right"/>
              <w:rPr>
                <w:rFonts w:ascii="Times New Roman" w:hAnsi="Times New Roman"/>
                <w:color w:val="000000"/>
                <w:sz w:val="22"/>
                <w:szCs w:val="22"/>
              </w:rPr>
            </w:pPr>
            <w:r w:rsidRPr="00CC4F91">
              <w:rPr>
                <w:rFonts w:ascii="Times New Roman" w:hAnsi="Times New Roman"/>
                <w:color w:val="000000"/>
                <w:sz w:val="22"/>
                <w:szCs w:val="22"/>
              </w:rPr>
              <w:t>$992,210</w:t>
            </w:r>
          </w:p>
        </w:tc>
        <w:tc>
          <w:tcPr>
            <w:tcW w:w="1553" w:type="dxa"/>
            <w:shd w:val="clear" w:color="auto" w:fill="auto"/>
          </w:tcPr>
          <w:p w:rsidRPr="00CC4F91" w:rsidR="00CC4F91" w:rsidP="002C7541" w:rsidRDefault="00CC4F91" w14:paraId="2FC73A17" w14:textId="77777777">
            <w:pPr>
              <w:widowControl w:val="0"/>
              <w:snapToGrid w:val="0"/>
              <w:jc w:val="right"/>
              <w:rPr>
                <w:rFonts w:ascii="Times New Roman" w:hAnsi="Times New Roman" w:eastAsia="Calibri"/>
                <w:sz w:val="22"/>
                <w:szCs w:val="22"/>
              </w:rPr>
            </w:pPr>
            <w:r w:rsidRPr="00CC4F91">
              <w:rPr>
                <w:rFonts w:ascii="Times New Roman" w:hAnsi="Times New Roman" w:eastAsia="Calibri"/>
                <w:sz w:val="22"/>
                <w:szCs w:val="22"/>
              </w:rPr>
              <w:t>$21.09**</w:t>
            </w:r>
          </w:p>
        </w:tc>
        <w:tc>
          <w:tcPr>
            <w:tcW w:w="1800" w:type="dxa"/>
            <w:shd w:val="clear" w:color="auto" w:fill="auto"/>
          </w:tcPr>
          <w:p w:rsidRPr="00CC4F91" w:rsidR="00CC4F91" w:rsidP="002C7541" w:rsidRDefault="00CC4F91" w14:paraId="090C6145" w14:textId="77777777">
            <w:pPr>
              <w:tabs>
                <w:tab w:val="left" w:pos="1350"/>
              </w:tabs>
              <w:autoSpaceDE w:val="0"/>
              <w:autoSpaceDN w:val="0"/>
              <w:adjustRightInd w:val="0"/>
              <w:jc w:val="right"/>
              <w:rPr>
                <w:rFonts w:ascii="Times New Roman" w:hAnsi="Times New Roman" w:eastAsia="Calibri"/>
                <w:sz w:val="22"/>
                <w:szCs w:val="22"/>
              </w:rPr>
            </w:pPr>
            <w:r w:rsidRPr="00CC4F91">
              <w:rPr>
                <w:rFonts w:ascii="Times New Roman" w:hAnsi="Times New Roman" w:eastAsia="Calibri"/>
                <w:sz w:val="22"/>
                <w:szCs w:val="22"/>
              </w:rPr>
              <w:t>$1,320,234***</w:t>
            </w:r>
          </w:p>
        </w:tc>
      </w:tr>
      <w:tr w:rsidRPr="00CC4F91" w:rsidR="00CC4F91" w:rsidTr="00CC4F91" w14:paraId="4B56057D" w14:textId="77777777">
        <w:trPr>
          <w:trHeight w:val="293"/>
        </w:trPr>
        <w:tc>
          <w:tcPr>
            <w:tcW w:w="2245" w:type="dxa"/>
            <w:shd w:val="clear" w:color="auto" w:fill="auto"/>
          </w:tcPr>
          <w:p w:rsidRPr="00CC4F91" w:rsidR="00CC4F91" w:rsidP="002C7541" w:rsidRDefault="00CC4F91" w14:paraId="7CAA61A5" w14:textId="77777777">
            <w:pPr>
              <w:rPr>
                <w:rFonts w:ascii="Times New Roman" w:hAnsi="Times New Roman"/>
                <w:color w:val="000000"/>
                <w:sz w:val="22"/>
                <w:szCs w:val="22"/>
              </w:rPr>
            </w:pPr>
            <w:r w:rsidRPr="00CC4F91">
              <w:rPr>
                <w:rFonts w:ascii="Times New Roman" w:hAnsi="Times New Roman"/>
                <w:b/>
                <w:bCs/>
                <w:color w:val="000000"/>
                <w:sz w:val="22"/>
                <w:szCs w:val="22"/>
              </w:rPr>
              <w:t>Totals: EDR and Expected EDR</w:t>
            </w:r>
          </w:p>
        </w:tc>
        <w:tc>
          <w:tcPr>
            <w:tcW w:w="1530" w:type="dxa"/>
            <w:shd w:val="clear" w:color="auto" w:fill="auto"/>
          </w:tcPr>
          <w:p w:rsidRPr="00CC4F91" w:rsidR="00CC4F91" w:rsidP="002C7541" w:rsidRDefault="00CC4F91" w14:paraId="2F70FAE4" w14:textId="77777777">
            <w:pPr>
              <w:jc w:val="right"/>
              <w:rPr>
                <w:rFonts w:ascii="Times New Roman" w:hAnsi="Times New Roman"/>
                <w:b/>
                <w:color w:val="000000"/>
                <w:sz w:val="22"/>
                <w:szCs w:val="22"/>
              </w:rPr>
            </w:pPr>
            <w:r w:rsidRPr="00CC4F91">
              <w:rPr>
                <w:rFonts w:ascii="Times New Roman" w:hAnsi="Times New Roman"/>
                <w:b/>
                <w:color w:val="000000"/>
                <w:sz w:val="22"/>
                <w:szCs w:val="22"/>
              </w:rPr>
              <w:t>53</w:t>
            </w:r>
          </w:p>
        </w:tc>
        <w:tc>
          <w:tcPr>
            <w:tcW w:w="1283" w:type="dxa"/>
            <w:shd w:val="clear" w:color="auto" w:fill="auto"/>
          </w:tcPr>
          <w:p w:rsidRPr="00CC4F91" w:rsidR="00CC4F91" w:rsidP="002C7541" w:rsidRDefault="00CC4F91" w14:paraId="1C55D1B9" w14:textId="77777777">
            <w:pPr>
              <w:jc w:val="right"/>
              <w:rPr>
                <w:rFonts w:ascii="Times New Roman" w:hAnsi="Times New Roman"/>
                <w:b/>
                <w:color w:val="000000"/>
                <w:sz w:val="22"/>
                <w:szCs w:val="22"/>
              </w:rPr>
            </w:pPr>
          </w:p>
        </w:tc>
        <w:tc>
          <w:tcPr>
            <w:tcW w:w="1620" w:type="dxa"/>
            <w:shd w:val="clear" w:color="auto" w:fill="auto"/>
          </w:tcPr>
          <w:p w:rsidRPr="00CC4F91" w:rsidR="00CC4F91" w:rsidP="002C7541" w:rsidRDefault="00CC4F91" w14:paraId="235B7855" w14:textId="77777777">
            <w:pPr>
              <w:ind w:right="-1008"/>
              <w:jc w:val="center"/>
              <w:rPr>
                <w:rFonts w:ascii="Times New Roman" w:hAnsi="Times New Roman"/>
                <w:b/>
                <w:color w:val="000000"/>
                <w:sz w:val="22"/>
                <w:szCs w:val="22"/>
              </w:rPr>
            </w:pPr>
          </w:p>
        </w:tc>
        <w:tc>
          <w:tcPr>
            <w:tcW w:w="1687" w:type="dxa"/>
            <w:shd w:val="clear" w:color="auto" w:fill="auto"/>
          </w:tcPr>
          <w:p w:rsidRPr="00CC4F91" w:rsidR="00CC4F91" w:rsidP="005C2EF9" w:rsidRDefault="00CC4F91" w14:paraId="07240B5B" w14:textId="77777777">
            <w:pPr>
              <w:jc w:val="right"/>
              <w:rPr>
                <w:rFonts w:ascii="Times New Roman" w:hAnsi="Times New Roman"/>
                <w:b/>
                <w:color w:val="000000"/>
                <w:sz w:val="22"/>
                <w:szCs w:val="22"/>
              </w:rPr>
            </w:pPr>
            <w:r w:rsidRPr="00CC4F91">
              <w:rPr>
                <w:rFonts w:ascii="Times New Roman" w:hAnsi="Times New Roman"/>
                <w:b/>
                <w:color w:val="000000"/>
                <w:sz w:val="22"/>
                <w:szCs w:val="22"/>
              </w:rPr>
              <w:t>$254,269,480</w:t>
            </w:r>
          </w:p>
        </w:tc>
        <w:tc>
          <w:tcPr>
            <w:tcW w:w="1553" w:type="dxa"/>
            <w:shd w:val="clear" w:color="auto" w:fill="auto"/>
          </w:tcPr>
          <w:p w:rsidRPr="00CC4F91" w:rsidR="00CC4F91" w:rsidP="002C7541" w:rsidRDefault="00CC4F91" w14:paraId="0CD45790" w14:textId="77777777">
            <w:pPr>
              <w:widowControl w:val="0"/>
              <w:snapToGrid w:val="0"/>
              <w:jc w:val="right"/>
              <w:rPr>
                <w:rFonts w:ascii="Times New Roman" w:hAnsi="Times New Roman" w:eastAsia="Calibri"/>
                <w:sz w:val="22"/>
                <w:szCs w:val="22"/>
              </w:rPr>
            </w:pPr>
          </w:p>
        </w:tc>
        <w:tc>
          <w:tcPr>
            <w:tcW w:w="1800" w:type="dxa"/>
            <w:shd w:val="clear" w:color="auto" w:fill="auto"/>
          </w:tcPr>
          <w:p w:rsidRPr="00CC4F91" w:rsidR="00CC4F91" w:rsidP="002C7541" w:rsidRDefault="00CC4F91" w14:paraId="492FD6F3" w14:textId="77777777">
            <w:pPr>
              <w:tabs>
                <w:tab w:val="left" w:pos="1350"/>
              </w:tabs>
              <w:autoSpaceDE w:val="0"/>
              <w:autoSpaceDN w:val="0"/>
              <w:adjustRightInd w:val="0"/>
              <w:jc w:val="right"/>
              <w:rPr>
                <w:rFonts w:ascii="Times New Roman" w:hAnsi="Times New Roman" w:eastAsia="Calibri"/>
                <w:b/>
                <w:sz w:val="22"/>
                <w:szCs w:val="22"/>
              </w:rPr>
            </w:pPr>
            <w:r w:rsidRPr="00CC4F91">
              <w:rPr>
                <w:rFonts w:ascii="Times New Roman" w:hAnsi="Times New Roman" w:eastAsia="Calibri"/>
                <w:b/>
                <w:sz w:val="22"/>
                <w:szCs w:val="22"/>
              </w:rPr>
              <w:t>$55,604,966***</w:t>
            </w:r>
          </w:p>
        </w:tc>
      </w:tr>
      <w:tr w:rsidRPr="00CC4F91" w:rsidR="00CC4F91" w:rsidTr="00CC4F91" w14:paraId="07ADCE33" w14:textId="77777777">
        <w:trPr>
          <w:trHeight w:val="293"/>
        </w:trPr>
        <w:tc>
          <w:tcPr>
            <w:tcW w:w="2245" w:type="dxa"/>
            <w:shd w:val="clear" w:color="auto" w:fill="auto"/>
          </w:tcPr>
          <w:p w:rsidRPr="00CC4F91" w:rsidR="00CC4F91" w:rsidP="002C7541" w:rsidRDefault="00CC4F91" w14:paraId="3E1D64C0" w14:textId="77777777">
            <w:pPr>
              <w:rPr>
                <w:rFonts w:ascii="Times New Roman" w:hAnsi="Times New Roman"/>
                <w:b/>
                <w:bCs/>
                <w:color w:val="000000"/>
                <w:sz w:val="22"/>
                <w:szCs w:val="22"/>
              </w:rPr>
            </w:pPr>
            <w:r w:rsidRPr="00CC4F91">
              <w:rPr>
                <w:rFonts w:ascii="Times New Roman" w:hAnsi="Times New Roman"/>
                <w:b/>
                <w:bCs/>
                <w:color w:val="000000"/>
                <w:sz w:val="22"/>
                <w:szCs w:val="22"/>
              </w:rPr>
              <w:t>Grand Totals</w:t>
            </w:r>
          </w:p>
        </w:tc>
        <w:tc>
          <w:tcPr>
            <w:tcW w:w="1530" w:type="dxa"/>
            <w:shd w:val="clear" w:color="auto" w:fill="auto"/>
          </w:tcPr>
          <w:p w:rsidRPr="00CC4F91" w:rsidR="00CC4F91" w:rsidP="002C7541" w:rsidRDefault="00CC4F91" w14:paraId="08AEF983" w14:textId="77777777">
            <w:pPr>
              <w:jc w:val="right"/>
              <w:rPr>
                <w:rFonts w:ascii="Times New Roman" w:hAnsi="Times New Roman"/>
                <w:b/>
                <w:color w:val="000000"/>
                <w:sz w:val="22"/>
                <w:szCs w:val="22"/>
              </w:rPr>
            </w:pPr>
            <w:r w:rsidRPr="00CC4F91">
              <w:rPr>
                <w:rFonts w:ascii="Times New Roman" w:hAnsi="Times New Roman"/>
                <w:b/>
                <w:color w:val="000000"/>
                <w:sz w:val="22"/>
                <w:szCs w:val="22"/>
              </w:rPr>
              <w:t>97</w:t>
            </w:r>
          </w:p>
        </w:tc>
        <w:tc>
          <w:tcPr>
            <w:tcW w:w="1283" w:type="dxa"/>
            <w:shd w:val="clear" w:color="auto" w:fill="auto"/>
          </w:tcPr>
          <w:p w:rsidRPr="00CC4F91" w:rsidR="00CC4F91" w:rsidP="002C7541" w:rsidRDefault="00CC4F91" w14:paraId="3BA6CF50" w14:textId="77777777">
            <w:pPr>
              <w:jc w:val="right"/>
              <w:rPr>
                <w:rFonts w:ascii="Times New Roman" w:hAnsi="Times New Roman"/>
                <w:color w:val="000000"/>
                <w:sz w:val="22"/>
                <w:szCs w:val="22"/>
              </w:rPr>
            </w:pPr>
          </w:p>
        </w:tc>
        <w:tc>
          <w:tcPr>
            <w:tcW w:w="1620" w:type="dxa"/>
            <w:shd w:val="clear" w:color="auto" w:fill="auto"/>
          </w:tcPr>
          <w:p w:rsidRPr="00CC4F91" w:rsidR="00CC4F91" w:rsidP="002C7541" w:rsidRDefault="00CC4F91" w14:paraId="096BF6CC" w14:textId="77777777">
            <w:pPr>
              <w:ind w:right="-1008"/>
              <w:jc w:val="center"/>
              <w:rPr>
                <w:rFonts w:ascii="Times New Roman" w:hAnsi="Times New Roman"/>
                <w:color w:val="000000"/>
                <w:sz w:val="22"/>
                <w:szCs w:val="22"/>
              </w:rPr>
            </w:pPr>
          </w:p>
        </w:tc>
        <w:tc>
          <w:tcPr>
            <w:tcW w:w="1687" w:type="dxa"/>
            <w:shd w:val="clear" w:color="auto" w:fill="auto"/>
          </w:tcPr>
          <w:p w:rsidRPr="00CC4F91" w:rsidR="00CC4F91" w:rsidP="005C2EF9" w:rsidRDefault="005C2EF9" w14:paraId="0DE7B592" w14:textId="6FB38462">
            <w:pPr>
              <w:jc w:val="right"/>
              <w:rPr>
                <w:rFonts w:ascii="Times New Roman" w:hAnsi="Times New Roman"/>
                <w:b/>
                <w:color w:val="000000"/>
                <w:sz w:val="22"/>
                <w:szCs w:val="22"/>
              </w:rPr>
            </w:pPr>
            <w:r>
              <w:rPr>
                <w:rFonts w:ascii="Times New Roman" w:hAnsi="Times New Roman"/>
                <w:b/>
                <w:color w:val="000000"/>
                <w:sz w:val="22"/>
                <w:szCs w:val="22"/>
              </w:rPr>
              <w:t>$257,449,861</w:t>
            </w:r>
          </w:p>
        </w:tc>
        <w:tc>
          <w:tcPr>
            <w:tcW w:w="1553" w:type="dxa"/>
            <w:shd w:val="clear" w:color="auto" w:fill="auto"/>
          </w:tcPr>
          <w:p w:rsidRPr="00CC4F91" w:rsidR="00CC4F91" w:rsidP="002C7541" w:rsidRDefault="00CC4F91" w14:paraId="0D2D6421" w14:textId="77777777">
            <w:pPr>
              <w:widowControl w:val="0"/>
              <w:snapToGrid w:val="0"/>
              <w:jc w:val="right"/>
              <w:rPr>
                <w:rFonts w:ascii="Times New Roman" w:hAnsi="Times New Roman" w:eastAsia="Calibri"/>
                <w:sz w:val="22"/>
                <w:szCs w:val="22"/>
              </w:rPr>
            </w:pPr>
          </w:p>
        </w:tc>
        <w:tc>
          <w:tcPr>
            <w:tcW w:w="1800" w:type="dxa"/>
            <w:shd w:val="clear" w:color="auto" w:fill="auto"/>
          </w:tcPr>
          <w:p w:rsidRPr="00CC4F91" w:rsidR="00CC4F91" w:rsidP="002C7541" w:rsidRDefault="00CC4F91" w14:paraId="21670169" w14:textId="77777777">
            <w:pPr>
              <w:tabs>
                <w:tab w:val="left" w:pos="1350"/>
              </w:tabs>
              <w:autoSpaceDE w:val="0"/>
              <w:autoSpaceDN w:val="0"/>
              <w:adjustRightInd w:val="0"/>
              <w:jc w:val="right"/>
              <w:rPr>
                <w:rFonts w:ascii="Times New Roman" w:hAnsi="Times New Roman" w:eastAsia="Calibri"/>
                <w:b/>
                <w:sz w:val="22"/>
                <w:szCs w:val="22"/>
              </w:rPr>
            </w:pPr>
            <w:r w:rsidRPr="00CC4F91">
              <w:rPr>
                <w:rFonts w:ascii="Times New Roman" w:hAnsi="Times New Roman" w:eastAsia="Calibri"/>
                <w:b/>
                <w:sz w:val="22"/>
                <w:szCs w:val="22"/>
              </w:rPr>
              <w:t>$61,008,034***</w:t>
            </w:r>
          </w:p>
        </w:tc>
      </w:tr>
    </w:tbl>
    <w:p w:rsidR="00895BCD" w:rsidP="00DA6D9A" w:rsidRDefault="006972D8" w14:paraId="05CDCC0B" w14:textId="1B53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szCs w:val="24"/>
          <w:lang w:eastAsia="zh-CN"/>
        </w:rPr>
      </w:pPr>
      <w:r>
        <w:rPr>
          <w:rFonts w:ascii="Times New Roman" w:hAnsi="Times New Roman" w:eastAsia="SimSun"/>
          <w:szCs w:val="24"/>
          <w:lang w:eastAsia="zh-CN"/>
        </w:rPr>
        <w:t xml:space="preserve">*Please note that both of these data matching processes are electronic, </w:t>
      </w:r>
      <w:r w:rsidR="009B5830">
        <w:rPr>
          <w:rFonts w:ascii="Times New Roman" w:hAnsi="Times New Roman" w:eastAsia="SimSun"/>
          <w:szCs w:val="24"/>
          <w:lang w:eastAsia="zh-CN"/>
        </w:rPr>
        <w:t xml:space="preserve">and nearly immediate.  Therefore, </w:t>
      </w:r>
      <w:r>
        <w:rPr>
          <w:rFonts w:ascii="Times New Roman" w:hAnsi="Times New Roman" w:eastAsia="SimSun"/>
          <w:szCs w:val="24"/>
          <w:lang w:eastAsia="zh-CN"/>
        </w:rPr>
        <w:t>there is only a cost burden, and no hourly burden for the respondent to provide this information.</w:t>
      </w:r>
    </w:p>
    <w:p w:rsidRPr="000F1259" w:rsidR="006972D8" w:rsidP="00DA6D9A" w:rsidRDefault="006972D8" w14:paraId="431973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szCs w:val="24"/>
          <w:lang w:eastAsia="zh-CN"/>
        </w:rPr>
      </w:pPr>
    </w:p>
    <w:p w:rsidR="00795FBE" w:rsidP="00DA6D9A" w:rsidRDefault="00AD295A" w14:paraId="426BF840" w14:textId="6BBABCEB">
      <w:pPr>
        <w:tabs>
          <w:tab w:val="left" w:pos="1440"/>
          <w:tab w:val="left" w:pos="10076"/>
          <w:tab w:val="left" w:pos="10992"/>
          <w:tab w:val="left" w:pos="11908"/>
          <w:tab w:val="left" w:pos="12824"/>
          <w:tab w:val="left" w:pos="13740"/>
          <w:tab w:val="left" w:pos="14656"/>
        </w:tabs>
        <w:ind w:left="1440"/>
        <w:rPr>
          <w:rFonts w:ascii="Times New Roman" w:hAnsi="Times New Roman" w:eastAsia="SimSun"/>
          <w:szCs w:val="24"/>
          <w:lang w:eastAsia="zh-CN"/>
        </w:rPr>
      </w:pPr>
      <w:r w:rsidRPr="00D611B3">
        <w:rPr>
          <w:rFonts w:ascii="Times New Roman" w:hAnsi="Times New Roman" w:eastAsia="SimSun"/>
          <w:szCs w:val="24"/>
          <w:lang w:eastAsia="zh-CN"/>
        </w:rPr>
        <w:t xml:space="preserve">We estimated the frequency of responses by taking the </w:t>
      </w:r>
      <w:r w:rsidRPr="00D611B3" w:rsidR="00DB3B9A">
        <w:rPr>
          <w:rFonts w:ascii="Times New Roman" w:hAnsi="Times New Roman" w:eastAsia="SimSun"/>
          <w:szCs w:val="24"/>
          <w:lang w:eastAsia="zh-CN"/>
        </w:rPr>
        <w:t xml:space="preserve">total number </w:t>
      </w:r>
      <w:r w:rsidRPr="00D611B3">
        <w:rPr>
          <w:rFonts w:ascii="Times New Roman" w:hAnsi="Times New Roman" w:eastAsia="SimSun"/>
          <w:szCs w:val="24"/>
          <w:lang w:eastAsia="zh-CN"/>
        </w:rPr>
        <w:t>of actual records</w:t>
      </w:r>
      <w:r w:rsidR="00BA623A">
        <w:rPr>
          <w:rFonts w:ascii="Times New Roman" w:hAnsi="Times New Roman" w:eastAsia="SimSun"/>
          <w:szCs w:val="24"/>
          <w:lang w:eastAsia="zh-CN"/>
        </w:rPr>
        <w:t xml:space="preserve"> received for calendar year 2020</w:t>
      </w:r>
      <w:r w:rsidRPr="00D611B3">
        <w:rPr>
          <w:rFonts w:ascii="Times New Roman" w:hAnsi="Times New Roman" w:eastAsia="SimSun"/>
          <w:szCs w:val="24"/>
          <w:lang w:eastAsia="zh-CN"/>
        </w:rPr>
        <w:t xml:space="preserve"> </w:t>
      </w:r>
      <w:r w:rsidRPr="00D611B3" w:rsidR="00DB3B9A">
        <w:rPr>
          <w:rFonts w:ascii="Times New Roman" w:hAnsi="Times New Roman" w:eastAsia="SimSun"/>
          <w:szCs w:val="24"/>
          <w:lang w:eastAsia="zh-CN"/>
        </w:rPr>
        <w:t xml:space="preserve">for each category </w:t>
      </w:r>
      <w:r w:rsidRPr="00D611B3">
        <w:rPr>
          <w:rFonts w:ascii="Times New Roman" w:hAnsi="Times New Roman" w:eastAsia="SimSun"/>
          <w:szCs w:val="24"/>
          <w:lang w:eastAsia="zh-CN"/>
        </w:rPr>
        <w:t xml:space="preserve">and dividing by the number of </w:t>
      </w:r>
      <w:r w:rsidRPr="00D611B3" w:rsidR="00DB3B9A">
        <w:rPr>
          <w:rFonts w:ascii="Times New Roman" w:hAnsi="Times New Roman" w:eastAsia="SimSun"/>
          <w:szCs w:val="24"/>
          <w:lang w:eastAsia="zh-CN"/>
        </w:rPr>
        <w:t>respondents, per category</w:t>
      </w:r>
      <w:r w:rsidRPr="00D611B3">
        <w:rPr>
          <w:rFonts w:ascii="Times New Roman" w:hAnsi="Times New Roman" w:eastAsia="SimSun"/>
          <w:szCs w:val="24"/>
          <w:lang w:eastAsia="zh-CN"/>
        </w:rPr>
        <w:t>.</w:t>
      </w:r>
      <w:r w:rsidRPr="000F1259">
        <w:rPr>
          <w:rFonts w:ascii="Times New Roman" w:hAnsi="Times New Roman" w:eastAsia="SimSun"/>
          <w:szCs w:val="24"/>
          <w:lang w:eastAsia="zh-CN"/>
        </w:rPr>
        <w:t xml:space="preserve">  </w:t>
      </w:r>
      <w:r w:rsidRPr="000F1259" w:rsidR="00DB3B9A">
        <w:rPr>
          <w:rFonts w:ascii="Times New Roman" w:hAnsi="Times New Roman" w:eastAsia="SimSun"/>
          <w:szCs w:val="24"/>
          <w:lang w:eastAsia="zh-CN"/>
        </w:rPr>
        <w:t>Since</w:t>
      </w:r>
      <w:r w:rsidRPr="000F1259" w:rsidR="009E209F">
        <w:rPr>
          <w:rFonts w:ascii="Times New Roman" w:hAnsi="Times New Roman" w:eastAsia="SimSun"/>
          <w:szCs w:val="24"/>
          <w:lang w:eastAsia="zh-CN"/>
        </w:rPr>
        <w:t xml:space="preserve"> the use of EDR is not mandatory in every state</w:t>
      </w:r>
      <w:r w:rsidRPr="000F1259" w:rsidR="00DB3B9A">
        <w:rPr>
          <w:rFonts w:ascii="Times New Roman" w:hAnsi="Times New Roman" w:eastAsia="SimSun"/>
          <w:szCs w:val="24"/>
          <w:lang w:eastAsia="zh-CN"/>
        </w:rPr>
        <w:t>, we can</w:t>
      </w:r>
      <w:r w:rsidRPr="000F1259" w:rsidR="009E209F">
        <w:rPr>
          <w:rFonts w:ascii="Times New Roman" w:hAnsi="Times New Roman" w:eastAsia="SimSun"/>
          <w:szCs w:val="24"/>
          <w:lang w:eastAsia="zh-CN"/>
        </w:rPr>
        <w:t xml:space="preserve"> still receive </w:t>
      </w:r>
      <w:r w:rsidRPr="000F1259" w:rsidR="00795FBE">
        <w:rPr>
          <w:rFonts w:ascii="Times New Roman" w:hAnsi="Times New Roman" w:eastAsia="SimSun"/>
          <w:szCs w:val="24"/>
          <w:lang w:eastAsia="zh-CN"/>
        </w:rPr>
        <w:t xml:space="preserve">death </w:t>
      </w:r>
      <w:r w:rsidRPr="000F1259" w:rsidR="009E209F">
        <w:rPr>
          <w:rFonts w:ascii="Times New Roman" w:hAnsi="Times New Roman" w:eastAsia="SimSun"/>
          <w:szCs w:val="24"/>
          <w:lang w:eastAsia="zh-CN"/>
        </w:rPr>
        <w:t>reports through</w:t>
      </w:r>
      <w:r w:rsidR="009E209F">
        <w:rPr>
          <w:rFonts w:ascii="Times New Roman" w:hAnsi="Times New Roman" w:eastAsia="SimSun"/>
          <w:szCs w:val="24"/>
          <w:lang w:eastAsia="zh-CN"/>
        </w:rPr>
        <w:t xml:space="preserve"> the ‘manual’</w:t>
      </w:r>
      <w:r w:rsidR="00795FBE">
        <w:rPr>
          <w:rFonts w:ascii="Times New Roman" w:hAnsi="Times New Roman" w:eastAsia="SimSun"/>
          <w:szCs w:val="24"/>
          <w:lang w:eastAsia="zh-CN"/>
        </w:rPr>
        <w:t xml:space="preserve"> process, even if </w:t>
      </w:r>
      <w:r w:rsidR="0016790D">
        <w:rPr>
          <w:rFonts w:ascii="Times New Roman" w:hAnsi="Times New Roman" w:eastAsia="SimSun"/>
          <w:szCs w:val="24"/>
          <w:lang w:eastAsia="zh-CN"/>
        </w:rPr>
        <w:t>we consider a site</w:t>
      </w:r>
      <w:r w:rsidR="00795FBE">
        <w:rPr>
          <w:rFonts w:ascii="Times New Roman" w:hAnsi="Times New Roman" w:eastAsia="SimSun"/>
          <w:szCs w:val="24"/>
          <w:lang w:eastAsia="zh-CN"/>
        </w:rPr>
        <w:t xml:space="preserve"> ‘EDR</w:t>
      </w:r>
      <w:r>
        <w:rPr>
          <w:rFonts w:ascii="Times New Roman" w:hAnsi="Times New Roman" w:eastAsia="SimSun"/>
          <w:szCs w:val="24"/>
          <w:lang w:eastAsia="zh-CN"/>
        </w:rPr>
        <w:t>.</w:t>
      </w:r>
      <w:r w:rsidR="00795FBE">
        <w:rPr>
          <w:rFonts w:ascii="Times New Roman" w:hAnsi="Times New Roman" w:eastAsia="SimSun"/>
          <w:szCs w:val="24"/>
          <w:lang w:eastAsia="zh-CN"/>
        </w:rPr>
        <w:t>’</w:t>
      </w:r>
      <w:r w:rsidR="0016790D">
        <w:rPr>
          <w:rFonts w:ascii="Times New Roman" w:hAnsi="Times New Roman" w:eastAsia="SimSun"/>
          <w:szCs w:val="24"/>
          <w:lang w:eastAsia="zh-CN"/>
        </w:rPr>
        <w:t xml:space="preserve"> </w:t>
      </w:r>
      <w:r w:rsidR="00795FBE">
        <w:rPr>
          <w:rFonts w:ascii="Times New Roman" w:hAnsi="Times New Roman" w:eastAsia="SimSun"/>
          <w:szCs w:val="24"/>
          <w:lang w:eastAsia="zh-CN"/>
        </w:rPr>
        <w:t xml:space="preserve"> </w:t>
      </w:r>
      <w:r>
        <w:rPr>
          <w:rFonts w:ascii="Times New Roman" w:hAnsi="Times New Roman" w:eastAsia="SimSun"/>
          <w:szCs w:val="24"/>
          <w:lang w:eastAsia="zh-CN"/>
        </w:rPr>
        <w:t>We reflect</w:t>
      </w:r>
      <w:r w:rsidR="00795FBE">
        <w:rPr>
          <w:rFonts w:ascii="Times New Roman" w:hAnsi="Times New Roman" w:eastAsia="SimSun"/>
          <w:szCs w:val="24"/>
          <w:lang w:eastAsia="zh-CN"/>
        </w:rPr>
        <w:t xml:space="preserve"> this estimated break down in the two rows for ‘Manual Processing.’ </w:t>
      </w:r>
    </w:p>
    <w:p w:rsidR="00795FBE" w:rsidP="00DA6D9A" w:rsidRDefault="00795FBE" w14:paraId="431F88F0" w14:textId="77777777">
      <w:pPr>
        <w:tabs>
          <w:tab w:val="left" w:pos="1440"/>
          <w:tab w:val="left" w:pos="10076"/>
          <w:tab w:val="left" w:pos="10992"/>
          <w:tab w:val="left" w:pos="11908"/>
          <w:tab w:val="left" w:pos="12824"/>
          <w:tab w:val="left" w:pos="13740"/>
          <w:tab w:val="left" w:pos="14656"/>
        </w:tabs>
        <w:ind w:left="1440"/>
        <w:rPr>
          <w:rFonts w:ascii="Times New Roman" w:hAnsi="Times New Roman" w:eastAsia="SimSun"/>
          <w:szCs w:val="24"/>
          <w:lang w:eastAsia="zh-CN"/>
        </w:rPr>
      </w:pPr>
    </w:p>
    <w:p w:rsidRPr="00D53C7D" w:rsidR="00895BCD" w:rsidP="00DA6D9A" w:rsidRDefault="00795FBE" w14:paraId="2BD5494A" w14:textId="4436B555">
      <w:pPr>
        <w:tabs>
          <w:tab w:val="left" w:pos="1440"/>
          <w:tab w:val="left" w:pos="10076"/>
          <w:tab w:val="left" w:pos="10992"/>
          <w:tab w:val="left" w:pos="11908"/>
          <w:tab w:val="left" w:pos="12824"/>
          <w:tab w:val="left" w:pos="13740"/>
          <w:tab w:val="left" w:pos="14656"/>
        </w:tabs>
        <w:ind w:left="1440"/>
        <w:rPr>
          <w:rFonts w:ascii="Times New Roman" w:hAnsi="Times New Roman" w:eastAsia="SimSun"/>
          <w:szCs w:val="24"/>
          <w:lang w:eastAsia="zh-CN"/>
        </w:rPr>
      </w:pPr>
      <w:r w:rsidRPr="00D53C7D">
        <w:rPr>
          <w:rFonts w:ascii="Times New Roman" w:hAnsi="Times New Roman" w:eastAsia="SimSun"/>
          <w:szCs w:val="24"/>
          <w:lang w:eastAsia="zh-CN"/>
        </w:rPr>
        <w:t xml:space="preserve">Over the next three years, </w:t>
      </w:r>
      <w:r w:rsidRPr="00D53C7D" w:rsidR="0016790D">
        <w:rPr>
          <w:rFonts w:ascii="Times New Roman" w:hAnsi="Times New Roman" w:eastAsia="SimSun"/>
          <w:szCs w:val="24"/>
          <w:lang w:eastAsia="zh-CN"/>
        </w:rPr>
        <w:t xml:space="preserve">several sites </w:t>
      </w:r>
      <w:r w:rsidRPr="00D53C7D" w:rsidR="00AD295A">
        <w:rPr>
          <w:rFonts w:ascii="Times New Roman" w:hAnsi="Times New Roman" w:eastAsia="SimSun"/>
          <w:szCs w:val="24"/>
          <w:lang w:eastAsia="zh-CN"/>
        </w:rPr>
        <w:t xml:space="preserve">indicated </w:t>
      </w:r>
      <w:r w:rsidRPr="00D53C7D" w:rsidR="00DB3B9A">
        <w:rPr>
          <w:rFonts w:ascii="Times New Roman" w:hAnsi="Times New Roman" w:eastAsia="SimSun"/>
          <w:szCs w:val="24"/>
          <w:lang w:eastAsia="zh-CN"/>
        </w:rPr>
        <w:t xml:space="preserve">an </w:t>
      </w:r>
      <w:r w:rsidRPr="00D53C7D" w:rsidR="00AD295A">
        <w:rPr>
          <w:rFonts w:ascii="Times New Roman" w:hAnsi="Times New Roman" w:eastAsia="SimSun"/>
          <w:szCs w:val="24"/>
          <w:lang w:eastAsia="zh-CN"/>
        </w:rPr>
        <w:t>interest in becoming an EDR site.  While each site that signaled an interest may not be able to implement EDR for technical or budgetary reasons, we capture the estimated figures for these sites in the second ‘EDR Processing’ row.</w:t>
      </w:r>
    </w:p>
    <w:p w:rsidR="00895BCD" w:rsidP="00DA6D9A" w:rsidRDefault="00895BCD" w14:paraId="30695727" w14:textId="4813E9B9">
      <w:pPr>
        <w:tabs>
          <w:tab w:val="left" w:pos="1440"/>
        </w:tabs>
        <w:ind w:left="720"/>
        <w:rPr>
          <w:rFonts w:ascii="Times New Roman" w:hAnsi="Times New Roman" w:eastAsia="SimSun"/>
          <w:szCs w:val="24"/>
          <w:lang w:eastAsia="zh-CN"/>
        </w:rPr>
      </w:pPr>
      <w:r>
        <w:rPr>
          <w:rFonts w:ascii="Times New Roman" w:hAnsi="Times New Roman" w:eastAsia="SimSun"/>
          <w:szCs w:val="24"/>
          <w:lang w:eastAsia="zh-CN"/>
        </w:rPr>
        <w:tab/>
      </w:r>
    </w:p>
    <w:p w:rsidRPr="001607B1" w:rsidR="00CC4F91" w:rsidP="00CC4F91" w:rsidRDefault="00CC4F91" w14:paraId="6C414CFE" w14:textId="3D4940E4">
      <w:pPr>
        <w:autoSpaceDE w:val="0"/>
        <w:autoSpaceDN w:val="0"/>
        <w:adjustRightInd w:val="0"/>
        <w:ind w:left="1440"/>
        <w:rPr>
          <w:rFonts w:ascii="Times New Roman" w:hAnsi="Times New Roman"/>
        </w:rPr>
      </w:pPr>
      <w:r w:rsidRPr="001607B1">
        <w:rPr>
          <w:rFonts w:ascii="Times New Roman" w:hAnsi="Times New Roman"/>
        </w:rPr>
        <w:lastRenderedPageBreak/>
        <w:t xml:space="preserve">**We based this figure on the average </w:t>
      </w:r>
      <w:r w:rsidR="00FD3B8F">
        <w:rPr>
          <w:rFonts w:ascii="Times New Roman" w:hAnsi="Times New Roman"/>
        </w:rPr>
        <w:t>Record</w:t>
      </w:r>
      <w:r w:rsidR="007866DD">
        <w:rPr>
          <w:rFonts w:ascii="Times New Roman" w:hAnsi="Times New Roman"/>
        </w:rPr>
        <w:t>s</w:t>
      </w:r>
      <w:r w:rsidR="00FD3B8F">
        <w:rPr>
          <w:rFonts w:ascii="Times New Roman" w:hAnsi="Times New Roman"/>
        </w:rPr>
        <w:t xml:space="preserve"> Clerk hourly wages</w:t>
      </w:r>
      <w:r w:rsidRPr="001607B1">
        <w:rPr>
          <w:rFonts w:ascii="Times New Roman" w:hAnsi="Times New Roman"/>
        </w:rPr>
        <w:t xml:space="preserve"> as reported by Bureau of Labor Statistics data (</w:t>
      </w:r>
      <w:hyperlink w:history="1" r:id="rId8">
        <w:r w:rsidRPr="001607B1">
          <w:rPr>
            <w:rFonts w:ascii="Times New Roman" w:hAnsi="Times New Roman"/>
            <w:color w:val="0000FF"/>
            <w:u w:val="single"/>
          </w:rPr>
          <w:t>https://www.bls.gov/oes/current/oes_nat.htm</w:t>
        </w:r>
      </w:hyperlink>
      <w:r w:rsidRPr="001607B1">
        <w:rPr>
          <w:rFonts w:ascii="Times New Roman" w:hAnsi="Times New Roman"/>
        </w:rPr>
        <w:t>).</w:t>
      </w:r>
    </w:p>
    <w:p w:rsidRPr="001607B1" w:rsidR="00CC4F91" w:rsidP="00CC4F91" w:rsidRDefault="00CC4F91" w14:paraId="5329FEBD" w14:textId="77777777">
      <w:pPr>
        <w:autoSpaceDE w:val="0"/>
        <w:autoSpaceDN w:val="0"/>
        <w:adjustRightInd w:val="0"/>
        <w:ind w:left="1440"/>
        <w:rPr>
          <w:rFonts w:ascii="Times New Roman" w:hAnsi="Times New Roman"/>
        </w:rPr>
      </w:pPr>
    </w:p>
    <w:p w:rsidR="00CC4F91" w:rsidP="00CC4F91" w:rsidRDefault="00CC4F91" w14:paraId="2033AC68" w14:textId="5067320B">
      <w:pPr>
        <w:tabs>
          <w:tab w:val="left" w:pos="1080"/>
        </w:tabs>
        <w:ind w:left="1440" w:hanging="180"/>
        <w:rPr>
          <w:rFonts w:ascii="Times New Roman" w:hAnsi="Times New Roman"/>
          <w:b/>
          <w:bCs/>
          <w:u w:val="single"/>
        </w:rPr>
      </w:pPr>
      <w:r w:rsidRPr="001607B1">
        <w:rPr>
          <w:rFonts w:ascii="Times New Roman" w:hAnsi="Times New Roman"/>
          <w:bCs/>
        </w:rPr>
        <w:tab/>
      </w:r>
      <w:r w:rsidR="00D53C7D">
        <w:rPr>
          <w:rFonts w:ascii="Times New Roman" w:hAnsi="Times New Roman"/>
          <w:bCs/>
        </w:rPr>
        <w:t>***</w:t>
      </w:r>
      <w:r w:rsidRPr="001607B1">
        <w:rPr>
          <w:rFonts w:ascii="Times New Roman" w:hAnsi="Times New Roman"/>
          <w:bCs/>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Pr="001607B1">
        <w:rPr>
          <w:rFonts w:ascii="Times New Roman" w:hAnsi="Times New Roman"/>
          <w:b/>
          <w:bCs/>
        </w:rPr>
        <w:t xml:space="preserve">  </w:t>
      </w:r>
      <w:r w:rsidRPr="001607B1">
        <w:rPr>
          <w:rFonts w:ascii="Times New Roman" w:hAnsi="Times New Roman"/>
          <w:b/>
          <w:bCs/>
          <w:u w:val="single"/>
        </w:rPr>
        <w:t>There is no actual charge to respondents to complete the application</w:t>
      </w:r>
      <w:r w:rsidR="00CF1D93">
        <w:rPr>
          <w:rFonts w:ascii="Times New Roman" w:hAnsi="Times New Roman"/>
          <w:b/>
          <w:bCs/>
          <w:u w:val="single"/>
        </w:rPr>
        <w:t>.</w:t>
      </w:r>
    </w:p>
    <w:p w:rsidR="00CF1D93" w:rsidP="00CC4F91" w:rsidRDefault="00CF1D93" w14:paraId="350699D7" w14:textId="59489483">
      <w:pPr>
        <w:tabs>
          <w:tab w:val="left" w:pos="1080"/>
        </w:tabs>
        <w:ind w:left="1440" w:hanging="180"/>
        <w:rPr>
          <w:rFonts w:ascii="Times New Roman" w:hAnsi="Times New Roman"/>
          <w:b/>
          <w:bCs/>
          <w:u w:val="single"/>
        </w:rPr>
      </w:pPr>
    </w:p>
    <w:p w:rsidR="00CF1D93" w:rsidP="00CF1D93" w:rsidRDefault="00CF1D93" w14:paraId="640489C7" w14:textId="4BEDE83F">
      <w:pPr>
        <w:pStyle w:val="ListParagraph"/>
        <w:ind w:left="1440"/>
        <w:rPr>
          <w:rFonts w:ascii="Times New Roman" w:hAnsi="Times New Roman"/>
          <w:b/>
          <w:u w:val="single"/>
        </w:rPr>
      </w:pPr>
      <w:r w:rsidRPr="00C16A28">
        <w:rPr>
          <w:rFonts w:ascii="Times New Roman" w:hAnsi="Times New Roman" w:eastAsia="SimSun"/>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C16A28">
        <w:rPr>
          <w:rFonts w:ascii="Times New Roman" w:hAnsi="Times New Roman" w:eastAsia="SimSun"/>
          <w:lang w:eastAsia="ar-SA"/>
        </w:rPr>
        <w:t>instructions, gathering the facts, and answering the questions</w:t>
      </w:r>
      <w:r w:rsidRPr="00C16A28">
        <w:rPr>
          <w:rFonts w:ascii="Times New Roman" w:hAnsi="Times New Roman" w:eastAsia="SimSun"/>
          <w:color w:val="000000"/>
          <w:lang w:eastAsia="ar-SA"/>
        </w:rPr>
        <w:t xml:space="preserve">.  Based on our current management information data, the current burden information we provided is accurate.  </w:t>
      </w:r>
      <w:r w:rsidRPr="00C16A28">
        <w:rPr>
          <w:rFonts w:ascii="Times New Roman" w:hAnsi="Times New Roman" w:eastAsia="SimSun"/>
          <w:lang w:eastAsia="ar-SA"/>
        </w:rPr>
        <w:t xml:space="preserve">The total burden for this collection instrument is </w:t>
      </w:r>
      <w:r w:rsidR="00DB461B">
        <w:rPr>
          <w:rFonts w:ascii="Times New Roman" w:hAnsi="Times New Roman" w:eastAsia="SimSun"/>
          <w:b/>
          <w:lang w:eastAsia="ar-SA"/>
        </w:rPr>
        <w:t>0</w:t>
      </w:r>
      <w:r w:rsidRPr="00C16A28">
        <w:rPr>
          <w:rFonts w:ascii="Times New Roman" w:hAnsi="Times New Roman" w:eastAsia="SimSun"/>
          <w:lang w:eastAsia="ar-SA"/>
        </w:rPr>
        <w:t xml:space="preserve"> burden hours (reflecting SSA management information data), which results in an associated theoretical (not actual) opportunity cost financial burden of </w:t>
      </w:r>
      <w:r w:rsidRPr="00C16A28">
        <w:rPr>
          <w:rFonts w:ascii="Times New Roman" w:hAnsi="Times New Roman" w:eastAsia="SimSun"/>
          <w:b/>
          <w:lang w:eastAsia="ar-SA"/>
        </w:rPr>
        <w:t>$</w:t>
      </w:r>
      <w:r>
        <w:rPr>
          <w:rFonts w:ascii="Times New Roman" w:hAnsi="Times New Roman" w:eastAsia="Calibri"/>
          <w:b/>
          <w:szCs w:val="22"/>
        </w:rPr>
        <w:t>294,778</w:t>
      </w:r>
      <w:r w:rsidRPr="00C16A28">
        <w:rPr>
          <w:rFonts w:ascii="Times New Roman" w:hAnsi="Times New Roman" w:eastAsia="SimSun"/>
          <w:lang w:eastAsia="ar-SA"/>
        </w:rPr>
        <w:t>.  SSA does not charge respondents to complete our applications</w:t>
      </w:r>
      <w:r>
        <w:rPr>
          <w:rFonts w:ascii="Times New Roman" w:hAnsi="Times New Roman" w:eastAsia="SimSun"/>
          <w:lang w:eastAsia="ar-SA"/>
        </w:rPr>
        <w:t>.</w:t>
      </w:r>
    </w:p>
    <w:p w:rsidR="00CC4F91" w:rsidP="00DA6D9A" w:rsidRDefault="00CC4F91" w14:paraId="3EFA4742" w14:textId="228C7BC8">
      <w:pPr>
        <w:tabs>
          <w:tab w:val="left" w:pos="1440"/>
        </w:tabs>
        <w:ind w:left="720"/>
        <w:rPr>
          <w:rFonts w:ascii="Times New Roman" w:hAnsi="Times New Roman" w:eastAsia="SimSun"/>
          <w:szCs w:val="24"/>
          <w:lang w:eastAsia="zh-CN"/>
        </w:rPr>
      </w:pPr>
    </w:p>
    <w:p w:rsidRPr="00895BCD" w:rsidR="00895BCD" w:rsidP="00DA6D9A" w:rsidRDefault="00895BCD" w14:paraId="544140A5" w14:textId="77777777">
      <w:pPr>
        <w:tabs>
          <w:tab w:val="left"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t>13.</w:t>
      </w:r>
      <w:r w:rsidRPr="00895BCD">
        <w:rPr>
          <w:rFonts w:ascii="Times New Roman" w:hAnsi="Times New Roman" w:eastAsia="SimSun"/>
          <w:b/>
          <w:bCs/>
          <w:szCs w:val="24"/>
          <w:lang w:eastAsia="zh-CN"/>
        </w:rPr>
        <w:tab/>
        <w:t xml:space="preserve">Annual Cost to the Respondents </w:t>
      </w:r>
    </w:p>
    <w:p w:rsidR="00E4467F" w:rsidP="00DA6D9A" w:rsidRDefault="00895BCD" w14:paraId="6659CCBC" w14:textId="77777777">
      <w:pPr>
        <w:tabs>
          <w:tab w:val="left" w:pos="1440"/>
        </w:tabs>
        <w:ind w:left="1440"/>
        <w:rPr>
          <w:rFonts w:ascii="Times New Roman" w:hAnsi="Times New Roman" w:eastAsia="SimSun"/>
          <w:szCs w:val="24"/>
          <w:lang w:eastAsia="zh-CN"/>
        </w:rPr>
      </w:pPr>
      <w:r w:rsidRPr="003D0B38">
        <w:rPr>
          <w:rFonts w:ascii="Times New Roman" w:hAnsi="Times New Roman" w:eastAsia="SimSun"/>
          <w:szCs w:val="24"/>
          <w:lang w:eastAsia="zh-CN"/>
        </w:rPr>
        <w:t>There is no known cost burden to the respondents beyond the customa</w:t>
      </w:r>
      <w:r w:rsidR="00B81F24">
        <w:rPr>
          <w:rFonts w:ascii="Times New Roman" w:hAnsi="Times New Roman" w:eastAsia="SimSun"/>
          <w:szCs w:val="24"/>
          <w:lang w:eastAsia="zh-CN"/>
        </w:rPr>
        <w:t>ry expenses already incurred and reported in the chart in #12.</w:t>
      </w:r>
    </w:p>
    <w:p w:rsidRPr="00895BCD" w:rsidR="00E4467F" w:rsidP="00DA6D9A" w:rsidRDefault="00E4467F" w14:paraId="1E103D7D" w14:textId="77777777">
      <w:pPr>
        <w:tabs>
          <w:tab w:val="left" w:pos="1440"/>
        </w:tabs>
        <w:ind w:left="1440"/>
        <w:rPr>
          <w:rFonts w:ascii="Times New Roman" w:hAnsi="Times New Roman" w:eastAsia="SimSun"/>
          <w:szCs w:val="24"/>
          <w:lang w:eastAsia="zh-CN"/>
        </w:rPr>
      </w:pPr>
    </w:p>
    <w:p w:rsidR="00895BCD" w:rsidP="00DA6D9A" w:rsidRDefault="00895BCD" w14:paraId="70139B2E" w14:textId="0CA15660">
      <w:pPr>
        <w:tabs>
          <w:tab w:val="left" w:pos="1440"/>
        </w:tabs>
        <w:ind w:left="1440" w:hanging="720"/>
        <w:rPr>
          <w:rFonts w:ascii="Times New Roman" w:hAnsi="Times New Roman" w:eastAsia="SimSun"/>
          <w:b/>
          <w:bCs/>
          <w:szCs w:val="24"/>
          <w:lang w:eastAsia="zh-CN"/>
        </w:rPr>
      </w:pPr>
      <w:r w:rsidRPr="00922169">
        <w:rPr>
          <w:rFonts w:ascii="Times New Roman" w:hAnsi="Times New Roman" w:eastAsia="SimSun"/>
          <w:bCs/>
          <w:szCs w:val="24"/>
          <w:lang w:eastAsia="zh-CN"/>
        </w:rPr>
        <w:t>14.</w:t>
      </w:r>
      <w:r w:rsidRPr="00895BCD">
        <w:rPr>
          <w:rFonts w:ascii="Times New Roman" w:hAnsi="Times New Roman" w:eastAsia="SimSun"/>
          <w:b/>
          <w:bCs/>
          <w:szCs w:val="24"/>
          <w:lang w:eastAsia="zh-CN"/>
        </w:rPr>
        <w:tab/>
        <w:t>Annual Cost to Federal Government</w:t>
      </w:r>
    </w:p>
    <w:p w:rsidRPr="002117EE" w:rsidR="002117EE" w:rsidP="002117EE" w:rsidRDefault="002117EE" w14:paraId="2CC136F4" w14:textId="3BFC6EA4">
      <w:pPr>
        <w:ind w:left="1440"/>
        <w:rPr>
          <w:rFonts w:ascii="Times New Roman" w:hAnsi="Times New Roman" w:eastAsia="Calibri"/>
          <w:color w:val="000000"/>
        </w:rPr>
      </w:pPr>
      <w:r w:rsidRPr="002117EE">
        <w:rPr>
          <w:rFonts w:ascii="Times New Roman" w:hAnsi="Times New Roman" w:eastAsia="Calibri"/>
          <w:color w:val="000000"/>
        </w:rPr>
        <w:t xml:space="preserve">The annual cost to the Federal Government is approximately </w:t>
      </w:r>
      <w:r w:rsidRPr="005F185A">
        <w:rPr>
          <w:rFonts w:ascii="Times New Roman" w:hAnsi="Times New Roman" w:eastAsia="Calibri"/>
          <w:b/>
          <w:color w:val="000000"/>
        </w:rPr>
        <w:t>$</w:t>
      </w:r>
      <w:r w:rsidR="005F185A">
        <w:rPr>
          <w:rFonts w:ascii="Times New Roman" w:hAnsi="Times New Roman" w:eastAsia="Calibri"/>
          <w:b/>
          <w:color w:val="000000"/>
        </w:rPr>
        <w:t>23,362</w:t>
      </w:r>
      <w:r w:rsidRPr="002117EE">
        <w:rPr>
          <w:rFonts w:ascii="Times New Roman" w:hAnsi="Times New Roman" w:eastAsia="Calibri"/>
          <w:color w:val="000000"/>
        </w:rPr>
        <w:t xml:space="preserve">.  This estimate accounts for costs from the following areas:  </w:t>
      </w:r>
    </w:p>
    <w:p w:rsidRPr="002117EE" w:rsidR="002117EE" w:rsidP="002117EE" w:rsidRDefault="002117EE" w14:paraId="0B65EA5D" w14:textId="77777777">
      <w:pPr>
        <w:spacing w:after="160" w:line="252" w:lineRule="auto"/>
        <w:ind w:left="360"/>
        <w:contextualSpacing/>
        <w:rPr>
          <w:rFonts w:ascii="Times New Roman" w:hAnsi="Times New Roman" w:eastAsia="Calibri"/>
          <w:color w:val="000000"/>
        </w:rPr>
      </w:pPr>
    </w:p>
    <w:tbl>
      <w:tblPr>
        <w:tblW w:w="8006"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3"/>
        <w:gridCol w:w="3087"/>
        <w:gridCol w:w="2186"/>
      </w:tblGrid>
      <w:tr w:rsidRPr="002117EE" w:rsidR="002117EE" w:rsidTr="006E5DAA" w14:paraId="685885C7" w14:textId="77777777">
        <w:trPr>
          <w:trHeight w:val="251"/>
        </w:trPr>
        <w:tc>
          <w:tcPr>
            <w:tcW w:w="2733" w:type="dxa"/>
            <w:tcMar>
              <w:top w:w="0" w:type="dxa"/>
              <w:left w:w="108" w:type="dxa"/>
              <w:bottom w:w="0" w:type="dxa"/>
              <w:right w:w="108" w:type="dxa"/>
            </w:tcMar>
            <w:hideMark/>
          </w:tcPr>
          <w:p w:rsidRPr="002117EE" w:rsidR="002117EE" w:rsidP="002C7541" w:rsidRDefault="002117EE" w14:paraId="5FDC9C58" w14:textId="77777777">
            <w:pPr>
              <w:contextualSpacing/>
              <w:rPr>
                <w:rFonts w:ascii="Times New Roman" w:hAnsi="Times New Roman" w:eastAsia="Calibri"/>
                <w:b/>
                <w:bCs/>
                <w:color w:val="000000"/>
              </w:rPr>
            </w:pPr>
            <w:r w:rsidRPr="002117EE">
              <w:rPr>
                <w:rFonts w:ascii="Times New Roman" w:hAnsi="Times New Roman" w:eastAsia="Calibri"/>
                <w:b/>
                <w:bCs/>
                <w:color w:val="000000"/>
              </w:rPr>
              <w:t>Description of Cost Factor</w:t>
            </w:r>
          </w:p>
        </w:tc>
        <w:tc>
          <w:tcPr>
            <w:tcW w:w="3087" w:type="dxa"/>
            <w:tcMar>
              <w:top w:w="0" w:type="dxa"/>
              <w:left w:w="108" w:type="dxa"/>
              <w:bottom w:w="0" w:type="dxa"/>
              <w:right w:w="108" w:type="dxa"/>
            </w:tcMar>
            <w:hideMark/>
          </w:tcPr>
          <w:p w:rsidRPr="002117EE" w:rsidR="002117EE" w:rsidP="002C7541" w:rsidRDefault="002117EE" w14:paraId="2D66BC67" w14:textId="77777777">
            <w:pPr>
              <w:contextualSpacing/>
              <w:rPr>
                <w:rFonts w:ascii="Times New Roman" w:hAnsi="Times New Roman" w:eastAsia="Calibri"/>
                <w:b/>
                <w:bCs/>
                <w:color w:val="000000"/>
              </w:rPr>
            </w:pPr>
            <w:r w:rsidRPr="002117EE">
              <w:rPr>
                <w:rFonts w:ascii="Times New Roman" w:hAnsi="Times New Roman" w:eastAsia="Calibri"/>
                <w:b/>
                <w:bCs/>
                <w:color w:val="000000"/>
              </w:rPr>
              <w:t>Methodology for Estimating Cost</w:t>
            </w:r>
          </w:p>
        </w:tc>
        <w:tc>
          <w:tcPr>
            <w:tcW w:w="2186" w:type="dxa"/>
            <w:tcMar>
              <w:top w:w="0" w:type="dxa"/>
              <w:left w:w="108" w:type="dxa"/>
              <w:bottom w:w="0" w:type="dxa"/>
              <w:right w:w="108" w:type="dxa"/>
            </w:tcMar>
            <w:hideMark/>
          </w:tcPr>
          <w:p w:rsidRPr="002117EE" w:rsidR="002117EE" w:rsidP="002C7541" w:rsidRDefault="002117EE" w14:paraId="59568C7D" w14:textId="77777777">
            <w:pPr>
              <w:contextualSpacing/>
              <w:rPr>
                <w:rFonts w:ascii="Times New Roman" w:hAnsi="Times New Roman" w:eastAsia="Calibri"/>
                <w:b/>
                <w:bCs/>
                <w:color w:val="000000"/>
              </w:rPr>
            </w:pPr>
            <w:r w:rsidRPr="002117EE">
              <w:rPr>
                <w:rFonts w:ascii="Times New Roman" w:hAnsi="Times New Roman" w:eastAsia="Calibri"/>
                <w:b/>
                <w:bCs/>
                <w:color w:val="000000"/>
              </w:rPr>
              <w:t>Cost in Dollars*</w:t>
            </w:r>
          </w:p>
        </w:tc>
      </w:tr>
      <w:tr w:rsidRPr="002117EE" w:rsidR="002117EE" w:rsidTr="006E5DAA" w14:paraId="4640070D" w14:textId="77777777">
        <w:trPr>
          <w:trHeight w:val="240"/>
        </w:trPr>
        <w:tc>
          <w:tcPr>
            <w:tcW w:w="2733" w:type="dxa"/>
            <w:tcMar>
              <w:top w:w="0" w:type="dxa"/>
              <w:left w:w="108" w:type="dxa"/>
              <w:bottom w:w="0" w:type="dxa"/>
              <w:right w:w="108" w:type="dxa"/>
            </w:tcMar>
            <w:hideMark/>
          </w:tcPr>
          <w:p w:rsidRPr="002117EE" w:rsidR="002117EE" w:rsidP="002C7541" w:rsidRDefault="002117EE" w14:paraId="2711127D" w14:textId="77777777">
            <w:pPr>
              <w:contextualSpacing/>
              <w:rPr>
                <w:rFonts w:ascii="Times New Roman" w:hAnsi="Times New Roman" w:eastAsia="Calibri"/>
                <w:color w:val="000000"/>
              </w:rPr>
            </w:pPr>
            <w:r w:rsidRPr="002117EE">
              <w:rPr>
                <w:rFonts w:ascii="Times New Roman" w:hAnsi="Times New Roman" w:eastAsia="Calibri"/>
                <w:color w:val="000000"/>
              </w:rPr>
              <w:t>Designing and Printing the Form</w:t>
            </w:r>
          </w:p>
        </w:tc>
        <w:tc>
          <w:tcPr>
            <w:tcW w:w="3087" w:type="dxa"/>
            <w:tcMar>
              <w:top w:w="0" w:type="dxa"/>
              <w:left w:w="108" w:type="dxa"/>
              <w:bottom w:w="0" w:type="dxa"/>
              <w:right w:w="108" w:type="dxa"/>
            </w:tcMar>
            <w:hideMark/>
          </w:tcPr>
          <w:p w:rsidRPr="002117EE" w:rsidR="002117EE" w:rsidP="002C7541" w:rsidRDefault="002117EE" w14:paraId="54FF0E2A" w14:textId="77777777">
            <w:pPr>
              <w:contextualSpacing/>
              <w:rPr>
                <w:rFonts w:ascii="Times New Roman" w:hAnsi="Times New Roman" w:eastAsia="Calibri"/>
                <w:color w:val="000000"/>
              </w:rPr>
            </w:pPr>
            <w:r w:rsidRPr="002117EE">
              <w:rPr>
                <w:rFonts w:ascii="Times New Roman" w:hAnsi="Times New Roman" w:eastAsia="Calibri"/>
                <w:color w:val="000000"/>
              </w:rPr>
              <w:t>Design Cost + Printing Cost</w:t>
            </w:r>
          </w:p>
        </w:tc>
        <w:tc>
          <w:tcPr>
            <w:tcW w:w="2186" w:type="dxa"/>
            <w:tcMar>
              <w:top w:w="0" w:type="dxa"/>
              <w:left w:w="108" w:type="dxa"/>
              <w:bottom w:w="0" w:type="dxa"/>
              <w:right w:w="108" w:type="dxa"/>
            </w:tcMar>
          </w:tcPr>
          <w:p w:rsidRPr="002117EE" w:rsidR="002117EE" w:rsidP="002117EE" w:rsidRDefault="002117EE" w14:paraId="57CF4968" w14:textId="3656F76C">
            <w:pPr>
              <w:contextualSpacing/>
              <w:rPr>
                <w:rFonts w:ascii="Times New Roman" w:hAnsi="Times New Roman" w:eastAsia="Calibri"/>
                <w:color w:val="000000"/>
              </w:rPr>
            </w:pPr>
            <w:r>
              <w:rPr>
                <w:rFonts w:ascii="Times New Roman" w:hAnsi="Times New Roman" w:eastAsia="Calibri"/>
                <w:color w:val="000000"/>
              </w:rPr>
              <w:t>$0</w:t>
            </w:r>
          </w:p>
        </w:tc>
      </w:tr>
      <w:tr w:rsidRPr="002117EE" w:rsidR="002117EE" w:rsidTr="006E5DAA" w14:paraId="5FE5F247" w14:textId="77777777">
        <w:trPr>
          <w:trHeight w:val="503"/>
        </w:trPr>
        <w:tc>
          <w:tcPr>
            <w:tcW w:w="2733" w:type="dxa"/>
            <w:tcMar>
              <w:top w:w="0" w:type="dxa"/>
              <w:left w:w="108" w:type="dxa"/>
              <w:bottom w:w="0" w:type="dxa"/>
              <w:right w:w="108" w:type="dxa"/>
            </w:tcMar>
            <w:hideMark/>
          </w:tcPr>
          <w:p w:rsidRPr="002117EE" w:rsidR="002117EE" w:rsidP="002C7541" w:rsidRDefault="002117EE" w14:paraId="215B699F" w14:textId="77777777">
            <w:pPr>
              <w:contextualSpacing/>
              <w:rPr>
                <w:rFonts w:ascii="Times New Roman" w:hAnsi="Times New Roman" w:eastAsia="Calibri"/>
                <w:color w:val="000000"/>
              </w:rPr>
            </w:pPr>
            <w:r w:rsidRPr="002117EE">
              <w:rPr>
                <w:rFonts w:ascii="Times New Roman" w:hAnsi="Times New Roman" w:eastAsia="Calibri"/>
                <w:color w:val="000000"/>
              </w:rPr>
              <w:t>Distributing, Shipping, and Material Costs for the Form</w:t>
            </w:r>
          </w:p>
        </w:tc>
        <w:tc>
          <w:tcPr>
            <w:tcW w:w="3087" w:type="dxa"/>
            <w:tcMar>
              <w:top w:w="0" w:type="dxa"/>
              <w:left w:w="108" w:type="dxa"/>
              <w:bottom w:w="0" w:type="dxa"/>
              <w:right w:w="108" w:type="dxa"/>
            </w:tcMar>
            <w:hideMark/>
          </w:tcPr>
          <w:p w:rsidRPr="002117EE" w:rsidR="002117EE" w:rsidP="002C7541" w:rsidRDefault="002117EE" w14:paraId="4AEFC1D1" w14:textId="77777777">
            <w:pPr>
              <w:contextualSpacing/>
              <w:rPr>
                <w:rFonts w:ascii="Times New Roman" w:hAnsi="Times New Roman" w:eastAsia="Calibri"/>
                <w:color w:val="000000"/>
              </w:rPr>
            </w:pPr>
            <w:r w:rsidRPr="002117EE">
              <w:rPr>
                <w:rFonts w:ascii="Times New Roman" w:hAnsi="Times New Roman" w:eastAsia="Calibri"/>
                <w:color w:val="000000"/>
              </w:rPr>
              <w:t>Distribution + Shipping + Material Cost</w:t>
            </w:r>
          </w:p>
        </w:tc>
        <w:tc>
          <w:tcPr>
            <w:tcW w:w="2186" w:type="dxa"/>
            <w:tcMar>
              <w:top w:w="0" w:type="dxa"/>
              <w:left w:w="108" w:type="dxa"/>
              <w:bottom w:w="0" w:type="dxa"/>
              <w:right w:w="108" w:type="dxa"/>
            </w:tcMar>
          </w:tcPr>
          <w:p w:rsidRPr="002117EE" w:rsidR="002117EE" w:rsidP="002117EE" w:rsidRDefault="002117EE" w14:paraId="6AEB4C95" w14:textId="6CD3F037">
            <w:pPr>
              <w:contextualSpacing/>
              <w:rPr>
                <w:rFonts w:ascii="Times New Roman" w:hAnsi="Times New Roman" w:eastAsia="Calibri"/>
                <w:color w:val="000000"/>
              </w:rPr>
            </w:pPr>
            <w:r>
              <w:rPr>
                <w:rFonts w:ascii="Times New Roman" w:hAnsi="Times New Roman" w:eastAsia="Calibri"/>
                <w:color w:val="000000"/>
              </w:rPr>
              <w:t>$0</w:t>
            </w:r>
          </w:p>
        </w:tc>
      </w:tr>
      <w:tr w:rsidRPr="002117EE" w:rsidR="002117EE" w:rsidTr="006E5DAA" w14:paraId="4B81E6E3" w14:textId="77777777">
        <w:trPr>
          <w:trHeight w:val="754"/>
        </w:trPr>
        <w:tc>
          <w:tcPr>
            <w:tcW w:w="2733" w:type="dxa"/>
            <w:tcMar>
              <w:top w:w="0" w:type="dxa"/>
              <w:left w:w="108" w:type="dxa"/>
              <w:bottom w:w="0" w:type="dxa"/>
              <w:right w:w="108" w:type="dxa"/>
            </w:tcMar>
            <w:hideMark/>
          </w:tcPr>
          <w:p w:rsidRPr="002117EE" w:rsidR="002117EE" w:rsidP="002C7541" w:rsidRDefault="002117EE" w14:paraId="138C7B44" w14:textId="77777777">
            <w:pPr>
              <w:contextualSpacing/>
              <w:rPr>
                <w:rFonts w:ascii="Times New Roman" w:hAnsi="Times New Roman" w:eastAsia="Calibri"/>
                <w:color w:val="000000"/>
              </w:rPr>
            </w:pPr>
            <w:r w:rsidRPr="002117EE">
              <w:rPr>
                <w:rFonts w:ascii="Times New Roman" w:hAnsi="Times New Roman" w:eastAsia="Calibri"/>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2117EE" w:rsidR="002117EE" w:rsidP="002C7541" w:rsidRDefault="002117EE" w14:paraId="0F61A1A5" w14:textId="77777777">
            <w:pPr>
              <w:contextualSpacing/>
              <w:rPr>
                <w:rFonts w:ascii="Times New Roman" w:hAnsi="Times New Roman" w:eastAsia="Calibri"/>
                <w:color w:val="000000"/>
              </w:rPr>
            </w:pPr>
            <w:r w:rsidRPr="002117EE">
              <w:rPr>
                <w:rFonts w:ascii="Times New Roman" w:hAnsi="Times New Roman" w:eastAsia="Calibri"/>
                <w:color w:val="000000"/>
              </w:rPr>
              <w:t>GS-9 employee x # of responses x processing time</w:t>
            </w:r>
          </w:p>
        </w:tc>
        <w:tc>
          <w:tcPr>
            <w:tcW w:w="2186" w:type="dxa"/>
            <w:tcMar>
              <w:top w:w="0" w:type="dxa"/>
              <w:left w:w="108" w:type="dxa"/>
              <w:bottom w:w="0" w:type="dxa"/>
              <w:right w:w="108" w:type="dxa"/>
            </w:tcMar>
          </w:tcPr>
          <w:p w:rsidRPr="002117EE" w:rsidR="002117EE" w:rsidP="002117EE" w:rsidRDefault="002117EE" w14:paraId="2F82E46D" w14:textId="1E560B34">
            <w:pPr>
              <w:contextualSpacing/>
              <w:rPr>
                <w:rFonts w:ascii="Times New Roman" w:hAnsi="Times New Roman" w:eastAsia="Calibri"/>
                <w:color w:val="000000"/>
              </w:rPr>
            </w:pPr>
            <w:r>
              <w:rPr>
                <w:rFonts w:ascii="Times New Roman" w:hAnsi="Times New Roman" w:eastAsia="Calibri"/>
                <w:color w:val="000000"/>
              </w:rPr>
              <w:t>$8,184</w:t>
            </w:r>
          </w:p>
        </w:tc>
      </w:tr>
      <w:tr w:rsidRPr="002117EE" w:rsidR="002117EE" w:rsidTr="006E5DAA" w14:paraId="5D7AA58C" w14:textId="77777777">
        <w:trPr>
          <w:trHeight w:val="492"/>
        </w:trPr>
        <w:tc>
          <w:tcPr>
            <w:tcW w:w="2733" w:type="dxa"/>
            <w:tcMar>
              <w:top w:w="0" w:type="dxa"/>
              <w:left w:w="108" w:type="dxa"/>
              <w:bottom w:w="0" w:type="dxa"/>
              <w:right w:w="108" w:type="dxa"/>
            </w:tcMar>
            <w:hideMark/>
          </w:tcPr>
          <w:p w:rsidRPr="002117EE" w:rsidR="002117EE" w:rsidP="002C7541" w:rsidRDefault="002117EE" w14:paraId="518382A2" w14:textId="77777777">
            <w:pPr>
              <w:contextualSpacing/>
              <w:rPr>
                <w:rFonts w:ascii="Times New Roman" w:hAnsi="Times New Roman" w:eastAsia="Calibri"/>
                <w:color w:val="000000"/>
              </w:rPr>
            </w:pPr>
            <w:r w:rsidRPr="002117EE">
              <w:rPr>
                <w:rFonts w:ascii="Times New Roman" w:hAnsi="Times New Roman" w:eastAsia="Calibri"/>
                <w:color w:val="000000"/>
              </w:rPr>
              <w:t>Full-Time Equivalent Costs</w:t>
            </w:r>
          </w:p>
        </w:tc>
        <w:tc>
          <w:tcPr>
            <w:tcW w:w="3087" w:type="dxa"/>
            <w:tcMar>
              <w:top w:w="0" w:type="dxa"/>
              <w:left w:w="108" w:type="dxa"/>
              <w:bottom w:w="0" w:type="dxa"/>
              <w:right w:w="108" w:type="dxa"/>
            </w:tcMar>
            <w:hideMark/>
          </w:tcPr>
          <w:p w:rsidRPr="002117EE" w:rsidR="002117EE" w:rsidP="002C7541" w:rsidRDefault="002117EE" w14:paraId="3D375778" w14:textId="77777777">
            <w:pPr>
              <w:contextualSpacing/>
              <w:rPr>
                <w:rFonts w:ascii="Times New Roman" w:hAnsi="Times New Roman" w:eastAsia="Calibri"/>
                <w:color w:val="000000"/>
              </w:rPr>
            </w:pPr>
            <w:r w:rsidRPr="002117EE">
              <w:rPr>
                <w:rFonts w:ascii="Times New Roman" w:hAnsi="Times New Roman" w:eastAsia="Calibri"/>
                <w:color w:val="000000"/>
              </w:rPr>
              <w:t>Out of pocket costs + Other expenses for providing this service</w:t>
            </w:r>
          </w:p>
        </w:tc>
        <w:tc>
          <w:tcPr>
            <w:tcW w:w="2186" w:type="dxa"/>
            <w:tcMar>
              <w:top w:w="0" w:type="dxa"/>
              <w:left w:w="108" w:type="dxa"/>
              <w:bottom w:w="0" w:type="dxa"/>
              <w:right w:w="108" w:type="dxa"/>
            </w:tcMar>
          </w:tcPr>
          <w:p w:rsidRPr="002117EE" w:rsidR="002117EE" w:rsidP="002C7541" w:rsidRDefault="002117EE" w14:paraId="0F236F89" w14:textId="1632C37F">
            <w:pPr>
              <w:contextualSpacing/>
              <w:rPr>
                <w:rFonts w:ascii="Times New Roman" w:hAnsi="Times New Roman" w:eastAsia="Calibri"/>
                <w:color w:val="000000"/>
              </w:rPr>
            </w:pPr>
            <w:r>
              <w:rPr>
                <w:rFonts w:ascii="Times New Roman" w:hAnsi="Times New Roman" w:eastAsia="Calibri"/>
                <w:color w:val="000000"/>
              </w:rPr>
              <w:t>$0</w:t>
            </w:r>
          </w:p>
        </w:tc>
      </w:tr>
      <w:tr w:rsidRPr="002117EE" w:rsidR="002117EE" w:rsidTr="006E5DAA" w14:paraId="1D636CE4" w14:textId="77777777">
        <w:trPr>
          <w:trHeight w:val="754"/>
        </w:trPr>
        <w:tc>
          <w:tcPr>
            <w:tcW w:w="2733" w:type="dxa"/>
            <w:tcMar>
              <w:top w:w="0" w:type="dxa"/>
              <w:left w:w="108" w:type="dxa"/>
              <w:bottom w:w="0" w:type="dxa"/>
              <w:right w:w="108" w:type="dxa"/>
            </w:tcMar>
            <w:hideMark/>
          </w:tcPr>
          <w:p w:rsidRPr="002117EE" w:rsidR="002117EE" w:rsidP="002C7541" w:rsidRDefault="002117EE" w14:paraId="452DD057" w14:textId="77777777">
            <w:pPr>
              <w:contextualSpacing/>
              <w:rPr>
                <w:rFonts w:ascii="Times New Roman" w:hAnsi="Times New Roman" w:eastAsia="Calibri"/>
                <w:color w:val="000000"/>
              </w:rPr>
            </w:pPr>
            <w:r w:rsidRPr="002117EE">
              <w:rPr>
                <w:rFonts w:ascii="Times New Roman" w:hAnsi="Times New Roman" w:eastAsia="Calibri"/>
                <w:color w:val="000000"/>
              </w:rPr>
              <w:t>Systems Development, Updating, and Maintenance</w:t>
            </w:r>
          </w:p>
        </w:tc>
        <w:tc>
          <w:tcPr>
            <w:tcW w:w="3087" w:type="dxa"/>
            <w:tcMar>
              <w:top w:w="0" w:type="dxa"/>
              <w:left w:w="108" w:type="dxa"/>
              <w:bottom w:w="0" w:type="dxa"/>
              <w:right w:w="108" w:type="dxa"/>
            </w:tcMar>
            <w:hideMark/>
          </w:tcPr>
          <w:p w:rsidRPr="002117EE" w:rsidR="002117EE" w:rsidP="002C7541" w:rsidRDefault="002117EE" w14:paraId="099E6357" w14:textId="77777777">
            <w:pPr>
              <w:contextualSpacing/>
              <w:rPr>
                <w:rFonts w:ascii="Times New Roman" w:hAnsi="Times New Roman" w:eastAsia="Calibri"/>
                <w:color w:val="000000"/>
              </w:rPr>
            </w:pPr>
            <w:r w:rsidRPr="002117EE">
              <w:rPr>
                <w:rFonts w:ascii="Times New Roman" w:hAnsi="Times New Roman" w:eastAsia="Calibri"/>
                <w:color w:val="000000"/>
              </w:rPr>
              <w:t>GS-9 employee x man hours for development, updating, maintenance</w:t>
            </w:r>
          </w:p>
        </w:tc>
        <w:tc>
          <w:tcPr>
            <w:tcW w:w="2186" w:type="dxa"/>
            <w:tcMar>
              <w:top w:w="0" w:type="dxa"/>
              <w:left w:w="108" w:type="dxa"/>
              <w:bottom w:w="0" w:type="dxa"/>
              <w:right w:w="108" w:type="dxa"/>
            </w:tcMar>
          </w:tcPr>
          <w:p w:rsidRPr="002117EE" w:rsidR="002117EE" w:rsidP="00BA1698" w:rsidRDefault="00BA1698" w14:paraId="1C55A9E5" w14:textId="18349CFD">
            <w:pPr>
              <w:contextualSpacing/>
              <w:rPr>
                <w:rFonts w:ascii="Times New Roman" w:hAnsi="Times New Roman" w:eastAsia="Calibri"/>
                <w:color w:val="000000"/>
              </w:rPr>
            </w:pPr>
            <w:r>
              <w:rPr>
                <w:rFonts w:ascii="Times New Roman" w:hAnsi="Times New Roman" w:eastAsia="Calibri"/>
                <w:color w:val="000000"/>
              </w:rPr>
              <w:t>$</w:t>
            </w:r>
            <w:r w:rsidRPr="00F170EB" w:rsidR="005F185A">
              <w:rPr>
                <w:rFonts w:ascii="Times New Roman" w:hAnsi="Times New Roman"/>
                <w:bCs/>
              </w:rPr>
              <w:t>15,178</w:t>
            </w:r>
          </w:p>
        </w:tc>
      </w:tr>
      <w:tr w:rsidRPr="002117EE" w:rsidR="002117EE" w:rsidTr="006E5DAA" w14:paraId="4DE58D2C" w14:textId="77777777">
        <w:trPr>
          <w:trHeight w:val="251"/>
        </w:trPr>
        <w:tc>
          <w:tcPr>
            <w:tcW w:w="2733" w:type="dxa"/>
            <w:tcMar>
              <w:top w:w="0" w:type="dxa"/>
              <w:left w:w="108" w:type="dxa"/>
              <w:bottom w:w="0" w:type="dxa"/>
              <w:right w:w="108" w:type="dxa"/>
            </w:tcMar>
            <w:hideMark/>
          </w:tcPr>
          <w:p w:rsidRPr="002117EE" w:rsidR="002117EE" w:rsidP="002C7541" w:rsidRDefault="002117EE" w14:paraId="0A55313C" w14:textId="77777777">
            <w:pPr>
              <w:contextualSpacing/>
              <w:rPr>
                <w:rFonts w:ascii="Times New Roman" w:hAnsi="Times New Roman" w:eastAsia="Calibri"/>
                <w:color w:val="000000"/>
              </w:rPr>
            </w:pPr>
            <w:r w:rsidRPr="002117EE">
              <w:rPr>
                <w:rFonts w:ascii="Times New Roman" w:hAnsi="Times New Roman" w:eastAsia="Calibri"/>
                <w:color w:val="000000"/>
              </w:rPr>
              <w:lastRenderedPageBreak/>
              <w:t>Quantifiable IT Costs</w:t>
            </w:r>
          </w:p>
        </w:tc>
        <w:tc>
          <w:tcPr>
            <w:tcW w:w="3087" w:type="dxa"/>
            <w:tcMar>
              <w:top w:w="0" w:type="dxa"/>
              <w:left w:w="108" w:type="dxa"/>
              <w:bottom w:w="0" w:type="dxa"/>
              <w:right w:w="108" w:type="dxa"/>
            </w:tcMar>
            <w:hideMark/>
          </w:tcPr>
          <w:p w:rsidRPr="002117EE" w:rsidR="002117EE" w:rsidP="002C7541" w:rsidRDefault="002117EE" w14:paraId="014E8C70" w14:textId="77777777">
            <w:pPr>
              <w:contextualSpacing/>
              <w:rPr>
                <w:rFonts w:ascii="Times New Roman" w:hAnsi="Times New Roman" w:eastAsia="Calibri"/>
                <w:color w:val="000000"/>
              </w:rPr>
            </w:pPr>
            <w:r w:rsidRPr="002117EE">
              <w:rPr>
                <w:rFonts w:ascii="Times New Roman" w:hAnsi="Times New Roman" w:eastAsia="Calibri"/>
                <w:color w:val="000000"/>
              </w:rPr>
              <w:t>Any additional IT costs</w:t>
            </w:r>
          </w:p>
        </w:tc>
        <w:tc>
          <w:tcPr>
            <w:tcW w:w="2186" w:type="dxa"/>
            <w:tcMar>
              <w:top w:w="0" w:type="dxa"/>
              <w:left w:w="108" w:type="dxa"/>
              <w:bottom w:w="0" w:type="dxa"/>
              <w:right w:w="108" w:type="dxa"/>
            </w:tcMar>
          </w:tcPr>
          <w:p w:rsidRPr="002117EE" w:rsidR="002117EE" w:rsidP="002C7541" w:rsidRDefault="000E3F17" w14:paraId="3D6E5CA9" w14:textId="4A6D6357">
            <w:pPr>
              <w:contextualSpacing/>
              <w:rPr>
                <w:rFonts w:ascii="Times New Roman" w:hAnsi="Times New Roman" w:eastAsia="Calibri"/>
                <w:color w:val="000000"/>
              </w:rPr>
            </w:pPr>
            <w:r>
              <w:rPr>
                <w:rFonts w:ascii="Times New Roman" w:hAnsi="Times New Roman" w:eastAsia="Calibri"/>
                <w:color w:val="000000"/>
              </w:rPr>
              <w:t>$0</w:t>
            </w:r>
          </w:p>
        </w:tc>
      </w:tr>
      <w:tr w:rsidRPr="002117EE" w:rsidR="002117EE" w:rsidTr="006E5DAA" w14:paraId="00EED9DB" w14:textId="77777777">
        <w:trPr>
          <w:trHeight w:val="251"/>
        </w:trPr>
        <w:tc>
          <w:tcPr>
            <w:tcW w:w="2733" w:type="dxa"/>
            <w:tcMar>
              <w:top w:w="0" w:type="dxa"/>
              <w:left w:w="108" w:type="dxa"/>
              <w:bottom w:w="0" w:type="dxa"/>
              <w:right w:w="108" w:type="dxa"/>
            </w:tcMar>
            <w:hideMark/>
          </w:tcPr>
          <w:p w:rsidRPr="004976E4" w:rsidR="002117EE" w:rsidP="002C7541" w:rsidRDefault="002117EE" w14:paraId="5651EEF6" w14:textId="77777777">
            <w:pPr>
              <w:contextualSpacing/>
              <w:rPr>
                <w:rFonts w:ascii="Times New Roman" w:hAnsi="Times New Roman" w:eastAsia="Calibri"/>
                <w:b/>
                <w:color w:val="000000"/>
              </w:rPr>
            </w:pPr>
            <w:r w:rsidRPr="004976E4">
              <w:rPr>
                <w:rFonts w:ascii="Times New Roman" w:hAnsi="Times New Roman" w:eastAsia="Calibri"/>
                <w:b/>
                <w:color w:val="000000"/>
              </w:rPr>
              <w:t>Total</w:t>
            </w:r>
          </w:p>
        </w:tc>
        <w:tc>
          <w:tcPr>
            <w:tcW w:w="3087" w:type="dxa"/>
            <w:tcMar>
              <w:top w:w="0" w:type="dxa"/>
              <w:left w:w="108" w:type="dxa"/>
              <w:bottom w:w="0" w:type="dxa"/>
              <w:right w:w="108" w:type="dxa"/>
            </w:tcMar>
          </w:tcPr>
          <w:p w:rsidRPr="004976E4" w:rsidR="002117EE" w:rsidP="002C7541" w:rsidRDefault="002117EE" w14:paraId="20493321" w14:textId="77777777">
            <w:pPr>
              <w:contextualSpacing/>
              <w:rPr>
                <w:rFonts w:ascii="Times New Roman" w:hAnsi="Times New Roman" w:eastAsia="Calibri"/>
                <w:b/>
                <w:color w:val="000000"/>
              </w:rPr>
            </w:pPr>
          </w:p>
        </w:tc>
        <w:tc>
          <w:tcPr>
            <w:tcW w:w="2186" w:type="dxa"/>
            <w:tcMar>
              <w:top w:w="0" w:type="dxa"/>
              <w:left w:w="108" w:type="dxa"/>
              <w:bottom w:w="0" w:type="dxa"/>
              <w:right w:w="108" w:type="dxa"/>
            </w:tcMar>
          </w:tcPr>
          <w:p w:rsidRPr="004976E4" w:rsidR="002117EE" w:rsidP="005F185A" w:rsidRDefault="00BA1698" w14:paraId="333B31B6" w14:textId="4783C7E2">
            <w:pPr>
              <w:contextualSpacing/>
              <w:rPr>
                <w:rFonts w:ascii="Times New Roman" w:hAnsi="Times New Roman" w:eastAsia="Calibri"/>
                <w:b/>
                <w:color w:val="000000"/>
              </w:rPr>
            </w:pPr>
            <w:r w:rsidRPr="004976E4">
              <w:rPr>
                <w:rFonts w:ascii="Times New Roman" w:hAnsi="Times New Roman" w:eastAsia="Calibri"/>
                <w:b/>
                <w:color w:val="000000"/>
              </w:rPr>
              <w:t>$</w:t>
            </w:r>
            <w:r w:rsidR="005F185A">
              <w:rPr>
                <w:rFonts w:ascii="Times New Roman" w:hAnsi="Times New Roman" w:eastAsia="Calibri"/>
                <w:b/>
                <w:color w:val="000000"/>
              </w:rPr>
              <w:t>23,362</w:t>
            </w:r>
          </w:p>
        </w:tc>
      </w:tr>
    </w:tbl>
    <w:p w:rsidRPr="002117EE" w:rsidR="002117EE" w:rsidP="004976E4" w:rsidRDefault="002117EE" w14:paraId="662845A7" w14:textId="77777777">
      <w:pPr>
        <w:ind w:left="1440"/>
        <w:rPr>
          <w:rFonts w:ascii="Times New Roman" w:hAnsi="Times New Roman" w:eastAsia="Calibri"/>
          <w:color w:val="000000"/>
        </w:rPr>
      </w:pPr>
      <w:r w:rsidRPr="002117EE">
        <w:rPr>
          <w:rFonts w:ascii="Times New Roman" w:hAnsi="Times New Roman" w:eastAsia="Calibri"/>
          <w:color w:val="000000"/>
        </w:rPr>
        <w:t>* We have inserted a $0 amount for cost factors that do not apply to this collection.</w:t>
      </w:r>
    </w:p>
    <w:p w:rsidR="00D03E35" w:rsidP="002117EE" w:rsidRDefault="00D03E35" w14:paraId="0AD73BE0" w14:textId="77777777">
      <w:pPr>
        <w:ind w:left="1440"/>
        <w:rPr>
          <w:rFonts w:ascii="Times New Roman" w:hAnsi="Times New Roman" w:eastAsia="Calibri"/>
          <w:color w:val="000000"/>
        </w:rPr>
      </w:pPr>
    </w:p>
    <w:p w:rsidRPr="002117EE" w:rsidR="002117EE" w:rsidP="002117EE" w:rsidRDefault="002117EE" w14:paraId="04E26C26" w14:textId="40475010">
      <w:pPr>
        <w:ind w:left="1440"/>
        <w:rPr>
          <w:rFonts w:ascii="Times New Roman" w:hAnsi="Times New Roman" w:eastAsia="Calibri"/>
          <w:color w:val="000000"/>
        </w:rPr>
      </w:pPr>
      <w:r w:rsidRPr="002117EE">
        <w:rPr>
          <w:rFonts w:ascii="Times New Roman" w:hAnsi="Times New Roman" w:eastAsia="Calibri"/>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2117EE" w:rsidR="002117EE" w:rsidP="002117EE" w:rsidRDefault="002117EE" w14:paraId="7D5B9AD5" w14:textId="77777777">
      <w:pPr>
        <w:rPr>
          <w:rFonts w:ascii="Times New Roman" w:hAnsi="Times New Roman" w:eastAsia="Calibri"/>
          <w:color w:val="000000"/>
        </w:rPr>
      </w:pPr>
    </w:p>
    <w:p w:rsidRPr="00895BCD" w:rsidR="00895BCD" w:rsidP="00DA6D9A" w:rsidRDefault="00895BCD" w14:paraId="3A7513B3" w14:textId="77777777">
      <w:pPr>
        <w:tabs>
          <w:tab w:val="left" w:pos="1440"/>
        </w:tabs>
        <w:ind w:left="1440" w:hanging="720"/>
        <w:rPr>
          <w:rFonts w:ascii="Times New Roman" w:hAnsi="Times New Roman" w:eastAsia="SimSun"/>
          <w:b/>
          <w:bCs/>
          <w:szCs w:val="24"/>
          <w:lang w:eastAsia="zh-CN"/>
        </w:rPr>
      </w:pPr>
      <w:r w:rsidRPr="00AF496B">
        <w:rPr>
          <w:rFonts w:ascii="Times New Roman" w:hAnsi="Times New Roman" w:eastAsia="SimSun"/>
          <w:bCs/>
          <w:szCs w:val="24"/>
          <w:lang w:eastAsia="zh-CN"/>
        </w:rPr>
        <w:t>15.</w:t>
      </w:r>
      <w:r w:rsidRPr="00895BCD">
        <w:rPr>
          <w:rFonts w:ascii="Times New Roman" w:hAnsi="Times New Roman" w:eastAsia="SimSun"/>
          <w:bCs/>
          <w:szCs w:val="24"/>
          <w:lang w:eastAsia="zh-CN"/>
        </w:rPr>
        <w:t xml:space="preserve"> </w:t>
      </w:r>
      <w:r w:rsidRPr="00895BCD">
        <w:rPr>
          <w:rFonts w:ascii="Times New Roman" w:hAnsi="Times New Roman" w:eastAsia="SimSun"/>
          <w:b/>
          <w:bCs/>
          <w:szCs w:val="24"/>
          <w:lang w:eastAsia="zh-CN"/>
        </w:rPr>
        <w:t xml:space="preserve">      Program Changes or Adjustments to the Information Collection Budget</w:t>
      </w:r>
    </w:p>
    <w:p w:rsidRPr="00805336" w:rsidR="00895BCD" w:rsidP="00C735AD" w:rsidRDefault="00895BCD" w14:paraId="5A807D73" w14:textId="0AB38E15">
      <w:pPr>
        <w:tabs>
          <w:tab w:val="left" w:pos="1440"/>
        </w:tabs>
        <w:ind w:left="1440"/>
        <w:rPr>
          <w:rFonts w:ascii="Times New Roman" w:hAnsi="Times New Roman" w:eastAsia="SimSun"/>
          <w:szCs w:val="24"/>
          <w:lang w:eastAsia="zh-CN"/>
        </w:rPr>
      </w:pPr>
      <w:r w:rsidRPr="00895BCD">
        <w:rPr>
          <w:rFonts w:ascii="Times New Roman" w:hAnsi="Times New Roman" w:eastAsia="SimSun"/>
          <w:szCs w:val="24"/>
          <w:lang w:eastAsia="zh-CN"/>
        </w:rPr>
        <w:t>There are no program changes to this collection.  However, we are making an</w:t>
      </w:r>
      <w:r w:rsidR="00C735AD">
        <w:rPr>
          <w:rFonts w:ascii="Times New Roman" w:hAnsi="Times New Roman" w:eastAsia="SimSun"/>
          <w:szCs w:val="24"/>
          <w:lang w:eastAsia="zh-CN"/>
        </w:rPr>
        <w:t xml:space="preserve"> </w:t>
      </w:r>
      <w:r w:rsidRPr="00895BCD">
        <w:rPr>
          <w:rFonts w:ascii="Times New Roman" w:hAnsi="Times New Roman" w:eastAsia="SimSun"/>
          <w:szCs w:val="24"/>
          <w:lang w:eastAsia="zh-CN"/>
        </w:rPr>
        <w:t>ad</w:t>
      </w:r>
      <w:r w:rsidR="00805336">
        <w:rPr>
          <w:rFonts w:ascii="Times New Roman" w:hAnsi="Times New Roman" w:eastAsia="SimSun"/>
          <w:szCs w:val="24"/>
          <w:lang w:eastAsia="zh-CN"/>
        </w:rPr>
        <w:t>justment to the cost burden to reflect current figures.</w:t>
      </w:r>
    </w:p>
    <w:p w:rsidRPr="00895BCD" w:rsidR="00895BCD" w:rsidP="00DA6D9A" w:rsidRDefault="00895BCD" w14:paraId="0E597B3F" w14:textId="77777777">
      <w:pPr>
        <w:tabs>
          <w:tab w:val="left" w:pos="1440"/>
        </w:tabs>
        <w:ind w:left="1440"/>
        <w:rPr>
          <w:rFonts w:ascii="Times New Roman" w:hAnsi="Times New Roman" w:eastAsia="SimSun"/>
          <w:b/>
          <w:bCs/>
          <w:szCs w:val="24"/>
          <w:lang w:eastAsia="zh-CN"/>
        </w:rPr>
      </w:pPr>
    </w:p>
    <w:p w:rsidRPr="00895BCD" w:rsidR="00895BCD" w:rsidP="00DA6D9A" w:rsidRDefault="00895BCD" w14:paraId="19D9EAE5" w14:textId="77777777">
      <w:pPr>
        <w:tabs>
          <w:tab w:val="left" w:pos="1440"/>
        </w:tabs>
        <w:ind w:left="1440" w:hanging="720"/>
        <w:rPr>
          <w:rFonts w:ascii="Times New Roman" w:hAnsi="Times New Roman" w:eastAsia="SimSun"/>
          <w:b/>
          <w:bCs/>
          <w:szCs w:val="24"/>
          <w:lang w:eastAsia="zh-CN"/>
        </w:rPr>
      </w:pPr>
      <w:r w:rsidRPr="00AF496B">
        <w:rPr>
          <w:rFonts w:ascii="Times New Roman" w:hAnsi="Times New Roman" w:eastAsia="SimSun"/>
          <w:bCs/>
          <w:szCs w:val="24"/>
          <w:lang w:eastAsia="zh-CN"/>
        </w:rPr>
        <w:t>16.</w:t>
      </w:r>
      <w:r w:rsidRPr="00895BCD">
        <w:rPr>
          <w:rFonts w:ascii="Times New Roman" w:hAnsi="Times New Roman" w:eastAsia="SimSun"/>
          <w:b/>
          <w:bCs/>
          <w:szCs w:val="24"/>
          <w:lang w:eastAsia="zh-CN"/>
        </w:rPr>
        <w:tab/>
        <w:t>Plans for Publication of Results of Information Collection</w:t>
      </w:r>
    </w:p>
    <w:p w:rsidRPr="00895BCD" w:rsidR="00895BCD" w:rsidP="00DA6D9A" w:rsidRDefault="00895BCD" w14:paraId="5814FFD9" w14:textId="77777777">
      <w:pPr>
        <w:tabs>
          <w:tab w:val="left" w:pos="1440"/>
        </w:tabs>
        <w:ind w:left="1440"/>
        <w:rPr>
          <w:rFonts w:ascii="Times New Roman" w:hAnsi="Times New Roman"/>
          <w:bCs/>
          <w:iCs/>
          <w:szCs w:val="24"/>
          <w:lang w:bidi="en-US"/>
        </w:rPr>
      </w:pPr>
      <w:r w:rsidRPr="00895BCD">
        <w:rPr>
          <w:rFonts w:ascii="Times New Roman" w:hAnsi="Times New Roman"/>
          <w:bCs/>
          <w:iCs/>
          <w:szCs w:val="24"/>
          <w:lang w:bidi="en-US"/>
        </w:rPr>
        <w:t xml:space="preserve">SSA will not publish the results of the information collection.  </w:t>
      </w:r>
      <w:r w:rsidRPr="00DB3B9A">
        <w:rPr>
          <w:rFonts w:ascii="Times New Roman" w:hAnsi="Times New Roman"/>
          <w:bCs/>
          <w:iCs/>
          <w:szCs w:val="24"/>
          <w:lang w:bidi="en-US"/>
        </w:rPr>
        <w:t xml:space="preserve">Usage of data is limited to the requirements of </w:t>
      </w:r>
      <w:r w:rsidRPr="00DB3B9A">
        <w:rPr>
          <w:rFonts w:ascii="Times New Roman" w:hAnsi="Times New Roman"/>
          <w:szCs w:val="24"/>
          <w:lang w:bidi="en-US"/>
        </w:rPr>
        <w:t xml:space="preserve">Section </w:t>
      </w:r>
      <w:r w:rsidR="00E4467F">
        <w:rPr>
          <w:rFonts w:ascii="Times New Roman" w:hAnsi="Times New Roman"/>
          <w:i/>
          <w:szCs w:val="24"/>
          <w:lang w:bidi="en-US"/>
        </w:rPr>
        <w:t>205</w:t>
      </w:r>
      <w:r w:rsidRPr="00E4467F">
        <w:rPr>
          <w:rFonts w:ascii="Times New Roman" w:hAnsi="Times New Roman"/>
          <w:i/>
          <w:szCs w:val="24"/>
          <w:lang w:bidi="en-US"/>
        </w:rPr>
        <w:t>(r)</w:t>
      </w:r>
      <w:r w:rsidRPr="00DB3B9A">
        <w:rPr>
          <w:rFonts w:ascii="Times New Roman" w:hAnsi="Times New Roman"/>
          <w:szCs w:val="24"/>
          <w:lang w:bidi="en-US"/>
        </w:rPr>
        <w:t xml:space="preserve"> of the </w:t>
      </w:r>
      <w:r w:rsidRPr="00E4467F">
        <w:rPr>
          <w:rFonts w:ascii="Times New Roman" w:hAnsi="Times New Roman"/>
          <w:i/>
          <w:szCs w:val="24"/>
          <w:lang w:bidi="en-US"/>
        </w:rPr>
        <w:t>Act</w:t>
      </w:r>
      <w:r w:rsidRPr="00DB3B9A">
        <w:rPr>
          <w:rFonts w:ascii="Times New Roman" w:hAnsi="Times New Roman"/>
          <w:szCs w:val="24"/>
          <w:lang w:bidi="en-US"/>
        </w:rPr>
        <w:t>.</w:t>
      </w:r>
    </w:p>
    <w:p w:rsidRPr="00895BCD" w:rsidR="00895BCD" w:rsidP="00DA6D9A" w:rsidRDefault="00895BCD" w14:paraId="38A80B90" w14:textId="77777777">
      <w:pPr>
        <w:tabs>
          <w:tab w:val="left" w:pos="1440"/>
        </w:tabs>
        <w:rPr>
          <w:rFonts w:ascii="Times New Roman" w:hAnsi="Times New Roman" w:eastAsia="SimSun"/>
          <w:szCs w:val="24"/>
          <w:lang w:eastAsia="zh-CN"/>
        </w:rPr>
      </w:pPr>
    </w:p>
    <w:p w:rsidRPr="00895BCD" w:rsidR="00895BCD" w:rsidP="00DA6D9A" w:rsidRDefault="00895BCD" w14:paraId="21D06416" w14:textId="77777777">
      <w:pPr>
        <w:tabs>
          <w:tab w:val="left" w:pos="1440"/>
        </w:tabs>
        <w:ind w:left="1440" w:hanging="720"/>
        <w:rPr>
          <w:rFonts w:ascii="Times New Roman" w:hAnsi="Times New Roman" w:eastAsia="SimSun"/>
          <w:b/>
          <w:bCs/>
          <w:szCs w:val="24"/>
          <w:lang w:eastAsia="zh-CN"/>
        </w:rPr>
      </w:pPr>
      <w:r w:rsidRPr="00AF496B">
        <w:rPr>
          <w:rFonts w:ascii="Times New Roman" w:hAnsi="Times New Roman" w:eastAsia="SimSun"/>
          <w:bCs/>
          <w:szCs w:val="24"/>
          <w:lang w:eastAsia="zh-CN"/>
        </w:rPr>
        <w:t>17.</w:t>
      </w:r>
      <w:r w:rsidRPr="00895BCD">
        <w:rPr>
          <w:rFonts w:ascii="Times New Roman" w:hAnsi="Times New Roman" w:eastAsia="SimSun"/>
          <w:b/>
          <w:bCs/>
          <w:szCs w:val="24"/>
          <w:lang w:eastAsia="zh-CN"/>
        </w:rPr>
        <w:tab/>
        <w:t>Request not to Display OMB Expiration Date</w:t>
      </w:r>
    </w:p>
    <w:p w:rsidRPr="00895BCD" w:rsidR="00895BCD" w:rsidP="00DA6D9A" w:rsidRDefault="00895BCD" w14:paraId="529C727D" w14:textId="289BE164">
      <w:pPr>
        <w:tabs>
          <w:tab w:val="left" w:pos="1440"/>
        </w:tabs>
        <w:ind w:left="720"/>
        <w:rPr>
          <w:rFonts w:ascii="Times New Roman" w:hAnsi="Times New Roman"/>
          <w:bCs/>
          <w:iCs/>
          <w:szCs w:val="24"/>
          <w:lang w:bidi="en-US"/>
        </w:rPr>
      </w:pPr>
      <w:r w:rsidRPr="00895BCD">
        <w:rPr>
          <w:rFonts w:ascii="Times New Roman" w:hAnsi="Times New Roman"/>
          <w:bCs/>
          <w:i/>
          <w:iCs/>
          <w:szCs w:val="24"/>
          <w:lang w:bidi="en-US"/>
        </w:rPr>
        <w:tab/>
      </w:r>
      <w:r w:rsidRPr="00895BCD">
        <w:rPr>
          <w:rFonts w:ascii="Times New Roman" w:hAnsi="Times New Roman"/>
          <w:bCs/>
          <w:iCs/>
          <w:szCs w:val="24"/>
          <w:lang w:bidi="en-US"/>
        </w:rPr>
        <w:t xml:space="preserve">SSA is not requesting an exception to the requirement to display an expiration </w:t>
      </w:r>
      <w:r w:rsidRPr="00895BCD">
        <w:rPr>
          <w:rFonts w:ascii="Times New Roman" w:hAnsi="Times New Roman"/>
          <w:bCs/>
          <w:iCs/>
          <w:szCs w:val="24"/>
          <w:lang w:bidi="en-US"/>
        </w:rPr>
        <w:tab/>
        <w:t>date</w:t>
      </w:r>
      <w:bookmarkStart w:name="_GoBack" w:id="0"/>
      <w:bookmarkEnd w:id="0"/>
      <w:r w:rsidRPr="00895BCD">
        <w:rPr>
          <w:rFonts w:ascii="Times New Roman" w:hAnsi="Times New Roman"/>
          <w:bCs/>
          <w:iCs/>
          <w:szCs w:val="24"/>
          <w:lang w:bidi="en-US"/>
        </w:rPr>
        <w:t>.</w:t>
      </w:r>
    </w:p>
    <w:p w:rsidRPr="00895BCD" w:rsidR="00895BCD" w:rsidP="00DA6D9A" w:rsidRDefault="00895BCD" w14:paraId="56E0FEB9" w14:textId="77777777">
      <w:pPr>
        <w:tabs>
          <w:tab w:val="left" w:pos="1440"/>
        </w:tabs>
        <w:ind w:left="1440"/>
        <w:rPr>
          <w:rFonts w:ascii="Times New Roman" w:hAnsi="Times New Roman" w:eastAsia="SimSun"/>
          <w:szCs w:val="24"/>
          <w:lang w:eastAsia="zh-CN"/>
        </w:rPr>
      </w:pPr>
    </w:p>
    <w:p w:rsidRPr="00895BCD" w:rsidR="00895BCD" w:rsidP="00DA6D9A" w:rsidRDefault="00035908" w14:paraId="1098ECD5" w14:textId="77777777">
      <w:pPr>
        <w:tabs>
          <w:tab w:val="left" w:pos="1440"/>
        </w:tabs>
        <w:ind w:left="1440" w:hanging="720"/>
        <w:rPr>
          <w:rFonts w:ascii="Times New Roman" w:hAnsi="Times New Roman" w:eastAsia="SimSun"/>
          <w:b/>
          <w:bCs/>
          <w:szCs w:val="24"/>
          <w:lang w:eastAsia="zh-CN"/>
        </w:rPr>
      </w:pPr>
      <w:r w:rsidRPr="00AF496B">
        <w:rPr>
          <w:rFonts w:ascii="Times New Roman" w:hAnsi="Times New Roman" w:eastAsia="SimSun"/>
          <w:bCs/>
          <w:szCs w:val="24"/>
          <w:lang w:eastAsia="zh-CN"/>
        </w:rPr>
        <w:t>18.</w:t>
      </w:r>
      <w:r>
        <w:rPr>
          <w:rFonts w:ascii="Times New Roman" w:hAnsi="Times New Roman" w:eastAsia="SimSun"/>
          <w:b/>
          <w:bCs/>
          <w:szCs w:val="24"/>
          <w:lang w:eastAsia="zh-CN"/>
        </w:rPr>
        <w:tab/>
      </w:r>
      <w:r w:rsidRPr="00895BCD" w:rsidR="00895BCD">
        <w:rPr>
          <w:rFonts w:ascii="Times New Roman" w:hAnsi="Times New Roman" w:eastAsia="SimSun"/>
          <w:b/>
          <w:bCs/>
          <w:szCs w:val="24"/>
          <w:lang w:eastAsia="zh-CN"/>
        </w:rPr>
        <w:t>Exceptions to Certification Statement</w:t>
      </w:r>
    </w:p>
    <w:p w:rsidR="001607B1" w:rsidP="00DA6D9A" w:rsidRDefault="00895BCD" w14:paraId="4C3D6A06" w14:textId="77777777">
      <w:pPr>
        <w:tabs>
          <w:tab w:val="left" w:pos="1440"/>
        </w:tabs>
        <w:ind w:left="720"/>
        <w:rPr>
          <w:rFonts w:ascii="Times New Roman" w:hAnsi="Times New Roman" w:eastAsia="SimSun"/>
          <w:szCs w:val="24"/>
          <w:lang w:eastAsia="zh-CN"/>
        </w:rPr>
      </w:pPr>
      <w:r w:rsidRPr="00895BCD">
        <w:rPr>
          <w:rFonts w:ascii="Times New Roman" w:hAnsi="Times New Roman" w:eastAsia="SimSun"/>
          <w:szCs w:val="24"/>
          <w:lang w:eastAsia="zh-CN"/>
        </w:rPr>
        <w:tab/>
        <w:t xml:space="preserve">SSA is not requesting an exception to the certification requirements at </w:t>
      </w:r>
    </w:p>
    <w:p w:rsidRPr="00895BCD" w:rsidR="00895BCD" w:rsidP="00DA6D9A" w:rsidRDefault="001607B1" w14:paraId="55C250E3" w14:textId="6B195460">
      <w:pPr>
        <w:tabs>
          <w:tab w:val="left" w:pos="1440"/>
        </w:tabs>
        <w:ind w:left="720"/>
        <w:rPr>
          <w:rFonts w:ascii="Times New Roman" w:hAnsi="Times New Roman" w:eastAsia="SimSun"/>
          <w:i/>
          <w:szCs w:val="24"/>
          <w:lang w:eastAsia="zh-CN"/>
        </w:rPr>
      </w:pPr>
      <w:r>
        <w:rPr>
          <w:rFonts w:ascii="Times New Roman" w:hAnsi="Times New Roman" w:eastAsia="SimSun"/>
          <w:szCs w:val="24"/>
          <w:lang w:eastAsia="zh-CN"/>
        </w:rPr>
        <w:tab/>
      </w:r>
      <w:r w:rsidRPr="00895BCD" w:rsidR="00895BCD">
        <w:rPr>
          <w:rFonts w:ascii="Times New Roman" w:hAnsi="Times New Roman" w:eastAsia="SimSun"/>
          <w:i/>
          <w:szCs w:val="24"/>
          <w:lang w:eastAsia="zh-CN"/>
        </w:rPr>
        <w:t xml:space="preserve">5 CFR </w:t>
      </w:r>
      <w:r w:rsidRPr="00895BCD" w:rsidR="00895BCD">
        <w:rPr>
          <w:rFonts w:ascii="Times New Roman" w:hAnsi="Times New Roman" w:eastAsia="SimSun"/>
          <w:i/>
          <w:szCs w:val="24"/>
          <w:lang w:eastAsia="zh-CN"/>
        </w:rPr>
        <w:tab/>
        <w:t>1320.9</w:t>
      </w:r>
      <w:r w:rsidRPr="00895BCD" w:rsidR="00895BCD">
        <w:rPr>
          <w:rFonts w:ascii="Times New Roman" w:hAnsi="Times New Roman" w:eastAsia="SimSun"/>
          <w:szCs w:val="24"/>
          <w:lang w:eastAsia="zh-CN"/>
        </w:rPr>
        <w:t xml:space="preserve"> and related provisions at </w:t>
      </w:r>
      <w:r w:rsidRPr="00895BCD" w:rsidR="00895BCD">
        <w:rPr>
          <w:rFonts w:ascii="Times New Roman" w:hAnsi="Times New Roman" w:eastAsia="SimSun"/>
          <w:i/>
          <w:szCs w:val="24"/>
          <w:lang w:eastAsia="zh-CN"/>
        </w:rPr>
        <w:t>5 CFR 1320.8(b</w:t>
      </w:r>
      <w:proofErr w:type="gramStart"/>
      <w:r w:rsidRPr="00895BCD" w:rsidR="00895BCD">
        <w:rPr>
          <w:rFonts w:ascii="Times New Roman" w:hAnsi="Times New Roman" w:eastAsia="SimSun"/>
          <w:i/>
          <w:szCs w:val="24"/>
          <w:lang w:eastAsia="zh-CN"/>
        </w:rPr>
        <w:t>)(</w:t>
      </w:r>
      <w:proofErr w:type="gramEnd"/>
      <w:r w:rsidRPr="00895BCD" w:rsidR="00895BCD">
        <w:rPr>
          <w:rFonts w:ascii="Times New Roman" w:hAnsi="Times New Roman" w:eastAsia="SimSun"/>
          <w:i/>
          <w:szCs w:val="24"/>
          <w:lang w:eastAsia="zh-CN"/>
        </w:rPr>
        <w:t xml:space="preserve">3). </w:t>
      </w:r>
    </w:p>
    <w:p w:rsidRPr="00895BCD" w:rsidR="00895BCD" w:rsidP="00DA6D9A" w:rsidRDefault="00895BCD" w14:paraId="1AA6066F" w14:textId="77777777">
      <w:pPr>
        <w:rPr>
          <w:rFonts w:ascii="Times New Roman" w:hAnsi="Times New Roman" w:eastAsia="SimSun"/>
          <w:szCs w:val="24"/>
          <w:lang w:eastAsia="zh-CN"/>
        </w:rPr>
      </w:pPr>
    </w:p>
    <w:p w:rsidRPr="00035908" w:rsidR="00895BCD" w:rsidP="00DA6D9A" w:rsidRDefault="00895BCD" w14:paraId="6E518E5D" w14:textId="77777777">
      <w:pPr>
        <w:numPr>
          <w:ilvl w:val="0"/>
          <w:numId w:val="1"/>
        </w:numPr>
        <w:ind w:hanging="540"/>
        <w:rPr>
          <w:rFonts w:ascii="Times New Roman" w:hAnsi="Times New Roman" w:eastAsia="SimSun"/>
          <w:b/>
          <w:bCs/>
          <w:szCs w:val="24"/>
          <w:u w:val="single"/>
          <w:lang w:eastAsia="zh-CN"/>
        </w:rPr>
      </w:pPr>
      <w:r w:rsidRPr="00035908">
        <w:rPr>
          <w:rFonts w:ascii="Times New Roman" w:hAnsi="Times New Roman" w:eastAsia="SimSun"/>
          <w:b/>
          <w:bCs/>
          <w:szCs w:val="24"/>
          <w:u w:val="single"/>
          <w:lang w:eastAsia="zh-CN"/>
        </w:rPr>
        <w:t>Collections of Information Employing Statistical Methods</w:t>
      </w:r>
    </w:p>
    <w:p w:rsidRPr="00895BCD" w:rsidR="00895BCD" w:rsidP="00DA6D9A" w:rsidRDefault="00895BCD" w14:paraId="35DEB47E" w14:textId="77777777">
      <w:pPr>
        <w:ind w:left="1440"/>
        <w:rPr>
          <w:rFonts w:ascii="Times New Roman" w:hAnsi="Times New Roman" w:eastAsia="SimSun"/>
          <w:b/>
          <w:bCs/>
          <w:sz w:val="28"/>
          <w:szCs w:val="28"/>
          <w:u w:val="single"/>
          <w:lang w:eastAsia="zh-CN"/>
        </w:rPr>
      </w:pPr>
      <w:r w:rsidRPr="00895BCD">
        <w:rPr>
          <w:rFonts w:ascii="Times New Roman" w:hAnsi="Times New Roman" w:eastAsia="SimSun"/>
          <w:szCs w:val="24"/>
          <w:lang w:eastAsia="zh-CN"/>
        </w:rPr>
        <w:t xml:space="preserve">SSA does not use statistical methods for this information collection. </w:t>
      </w:r>
    </w:p>
    <w:p w:rsidRPr="00895BCD" w:rsidR="00895BCD" w:rsidP="00895BCD" w:rsidRDefault="00895BCD" w14:paraId="3BBF0311" w14:textId="77777777">
      <w:pPr>
        <w:ind w:left="1440"/>
        <w:rPr>
          <w:rFonts w:ascii="Times New Roman" w:hAnsi="Times New Roman" w:eastAsia="SimSun"/>
          <w:b/>
          <w:bCs/>
          <w:szCs w:val="24"/>
          <w:lang w:eastAsia="zh-CN"/>
        </w:rPr>
      </w:pPr>
    </w:p>
    <w:p w:rsidRPr="00895BCD" w:rsidR="00895BCD" w:rsidP="00895BCD" w:rsidRDefault="00895BCD" w14:paraId="29E56CFB" w14:textId="77777777">
      <w:pPr>
        <w:ind w:left="1440"/>
        <w:rPr>
          <w:rFonts w:ascii="Times New Roman" w:hAnsi="Times New Roman" w:eastAsia="SimSun"/>
          <w:szCs w:val="24"/>
          <w:lang w:eastAsia="zh-CN"/>
        </w:rPr>
      </w:pPr>
    </w:p>
    <w:p w:rsidRPr="00895BCD" w:rsidR="00895BCD" w:rsidP="00895BCD" w:rsidRDefault="00895BCD" w14:paraId="6192AFCD" w14:textId="77777777">
      <w:pPr>
        <w:ind w:left="1440"/>
        <w:rPr>
          <w:rFonts w:ascii="Times New Roman" w:hAnsi="Times New Roman" w:eastAsia="SimSun"/>
          <w:szCs w:val="24"/>
          <w:lang w:eastAsia="zh-CN"/>
        </w:rPr>
      </w:pPr>
    </w:p>
    <w:p w:rsidR="00E904C6" w:rsidRDefault="00E904C6" w14:paraId="536F2469" w14:textId="77777777"/>
    <w:sectPr w:rsidR="00E904C6" w:rsidSect="009D006B">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E863C" w14:textId="77777777" w:rsidR="004F265D" w:rsidRDefault="004F265D">
      <w:r>
        <w:separator/>
      </w:r>
    </w:p>
  </w:endnote>
  <w:endnote w:type="continuationSeparator" w:id="0">
    <w:p w14:paraId="1BFD7F47" w14:textId="77777777" w:rsidR="004F265D" w:rsidRDefault="004F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CD56" w14:textId="77777777" w:rsidR="000B69E0" w:rsidRDefault="000B69E0" w:rsidP="000B6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025F9" w14:textId="77777777" w:rsidR="000B69E0" w:rsidRDefault="000B69E0" w:rsidP="000B6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169246"/>
      <w:docPartObj>
        <w:docPartGallery w:val="Page Numbers (Bottom of Page)"/>
        <w:docPartUnique/>
      </w:docPartObj>
    </w:sdtPr>
    <w:sdtEndPr>
      <w:rPr>
        <w:noProof/>
      </w:rPr>
    </w:sdtEndPr>
    <w:sdtContent>
      <w:p w14:paraId="63B2A1DD" w14:textId="79453060" w:rsidR="00AF496B" w:rsidRDefault="00AF496B">
        <w:pPr>
          <w:pStyle w:val="Footer"/>
          <w:jc w:val="center"/>
        </w:pPr>
        <w:r>
          <w:fldChar w:fldCharType="begin"/>
        </w:r>
        <w:r>
          <w:instrText xml:space="preserve"> PAGE   \* MERGEFORMAT </w:instrText>
        </w:r>
        <w:r>
          <w:fldChar w:fldCharType="separate"/>
        </w:r>
        <w:r w:rsidR="00C735AD">
          <w:rPr>
            <w:noProof/>
          </w:rPr>
          <w:t>6</w:t>
        </w:r>
        <w:r>
          <w:rPr>
            <w:noProof/>
          </w:rPr>
          <w:fldChar w:fldCharType="end"/>
        </w:r>
      </w:p>
    </w:sdtContent>
  </w:sdt>
  <w:p w14:paraId="27C495DF" w14:textId="52E2D92E" w:rsidR="000B69E0" w:rsidRPr="003D34E8" w:rsidRDefault="000B69E0" w:rsidP="000B69E0">
    <w:pPr>
      <w:pStyle w:val="Footer"/>
      <w:ind w:right="360"/>
      <w:rPr>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0882" w14:textId="77777777" w:rsidR="000B69E0" w:rsidRDefault="000B69E0">
    <w:pPr>
      <w:pStyle w:val="Footer"/>
      <w:rPr>
        <w:rStyle w:val="PageNumber"/>
      </w:rPr>
    </w:pPr>
    <w:r>
      <w:tab/>
    </w:r>
    <w:r>
      <w:rPr>
        <w:rStyle w:val="PageNumber"/>
      </w:rPr>
      <w:tab/>
    </w:r>
  </w:p>
  <w:p w14:paraId="6439418F" w14:textId="77777777" w:rsidR="000B69E0" w:rsidRDefault="000B6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367AF" w14:textId="77777777" w:rsidR="004F265D" w:rsidRDefault="004F265D">
      <w:r>
        <w:separator/>
      </w:r>
    </w:p>
  </w:footnote>
  <w:footnote w:type="continuationSeparator" w:id="0">
    <w:p w14:paraId="2B9F911D" w14:textId="77777777" w:rsidR="004F265D" w:rsidRDefault="004F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1BB7"/>
    <w:multiLevelType w:val="hybridMultilevel"/>
    <w:tmpl w:val="82706B52"/>
    <w:lvl w:ilvl="0" w:tplc="81089158">
      <w:start w:val="1"/>
      <w:numFmt w:val="decimal"/>
      <w:lvlText w:val="%1."/>
      <w:lvlJc w:val="left"/>
      <w:pPr>
        <w:tabs>
          <w:tab w:val="num" w:pos="720"/>
        </w:tabs>
        <w:ind w:left="144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A55791"/>
    <w:multiLevelType w:val="hybridMultilevel"/>
    <w:tmpl w:val="BC325804"/>
    <w:lvl w:ilvl="0" w:tplc="FE2C7DEE">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6410B"/>
    <w:multiLevelType w:val="multilevel"/>
    <w:tmpl w:val="78388DB4"/>
    <w:lvl w:ilvl="0">
      <w:start w:val="2"/>
      <w:numFmt w:val="decimal"/>
      <w:lvlText w:val="%1."/>
      <w:lvlJc w:val="left"/>
      <w:pPr>
        <w:tabs>
          <w:tab w:val="num" w:pos="900"/>
        </w:tabs>
        <w:ind w:left="900" w:hanging="72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CD"/>
    <w:rsid w:val="00035908"/>
    <w:rsid w:val="00046CD6"/>
    <w:rsid w:val="00062471"/>
    <w:rsid w:val="00094ED5"/>
    <w:rsid w:val="000B69E0"/>
    <w:rsid w:val="000D4B1F"/>
    <w:rsid w:val="000D4DD1"/>
    <w:rsid w:val="000E3F17"/>
    <w:rsid w:val="000E68E9"/>
    <w:rsid w:val="000F1259"/>
    <w:rsid w:val="0010059D"/>
    <w:rsid w:val="00154820"/>
    <w:rsid w:val="001607B1"/>
    <w:rsid w:val="0016790D"/>
    <w:rsid w:val="00170DCE"/>
    <w:rsid w:val="00181D38"/>
    <w:rsid w:val="0018516A"/>
    <w:rsid w:val="0018696A"/>
    <w:rsid w:val="00195FB4"/>
    <w:rsid w:val="001B51BD"/>
    <w:rsid w:val="001B63E8"/>
    <w:rsid w:val="001C3D2F"/>
    <w:rsid w:val="001C641A"/>
    <w:rsid w:val="001E2602"/>
    <w:rsid w:val="001F072C"/>
    <w:rsid w:val="001F67F3"/>
    <w:rsid w:val="001F7A8F"/>
    <w:rsid w:val="00207BE5"/>
    <w:rsid w:val="00210FDD"/>
    <w:rsid w:val="002117EE"/>
    <w:rsid w:val="002126EE"/>
    <w:rsid w:val="00221D51"/>
    <w:rsid w:val="00227284"/>
    <w:rsid w:val="002361C9"/>
    <w:rsid w:val="00265CD0"/>
    <w:rsid w:val="00267BB2"/>
    <w:rsid w:val="00282803"/>
    <w:rsid w:val="002835DE"/>
    <w:rsid w:val="00297D57"/>
    <w:rsid w:val="002D4B11"/>
    <w:rsid w:val="002E32F7"/>
    <w:rsid w:val="00310D0B"/>
    <w:rsid w:val="00322348"/>
    <w:rsid w:val="00353BA3"/>
    <w:rsid w:val="00354681"/>
    <w:rsid w:val="00354A72"/>
    <w:rsid w:val="0035556B"/>
    <w:rsid w:val="00360B44"/>
    <w:rsid w:val="00391FE9"/>
    <w:rsid w:val="003A28ED"/>
    <w:rsid w:val="003A2ED7"/>
    <w:rsid w:val="003D0B38"/>
    <w:rsid w:val="003D0E4F"/>
    <w:rsid w:val="003E54C6"/>
    <w:rsid w:val="003F49AE"/>
    <w:rsid w:val="004669A2"/>
    <w:rsid w:val="0048623B"/>
    <w:rsid w:val="004910DE"/>
    <w:rsid w:val="004976E4"/>
    <w:rsid w:val="004B142A"/>
    <w:rsid w:val="004B3D36"/>
    <w:rsid w:val="004C2054"/>
    <w:rsid w:val="004E4B21"/>
    <w:rsid w:val="004F265D"/>
    <w:rsid w:val="004F2E20"/>
    <w:rsid w:val="005028B1"/>
    <w:rsid w:val="0058295F"/>
    <w:rsid w:val="005879EE"/>
    <w:rsid w:val="005A21D4"/>
    <w:rsid w:val="005B274A"/>
    <w:rsid w:val="005B55B9"/>
    <w:rsid w:val="005C2EF9"/>
    <w:rsid w:val="005E28A4"/>
    <w:rsid w:val="005F185A"/>
    <w:rsid w:val="00610068"/>
    <w:rsid w:val="006358AA"/>
    <w:rsid w:val="006371CE"/>
    <w:rsid w:val="00642EC5"/>
    <w:rsid w:val="00644848"/>
    <w:rsid w:val="00662C10"/>
    <w:rsid w:val="00692FA0"/>
    <w:rsid w:val="0069361F"/>
    <w:rsid w:val="006972D8"/>
    <w:rsid w:val="006C6158"/>
    <w:rsid w:val="006E4ED0"/>
    <w:rsid w:val="006E5DAA"/>
    <w:rsid w:val="00702015"/>
    <w:rsid w:val="00741CD6"/>
    <w:rsid w:val="00765B7E"/>
    <w:rsid w:val="007749D9"/>
    <w:rsid w:val="007866DD"/>
    <w:rsid w:val="00794759"/>
    <w:rsid w:val="00795FBE"/>
    <w:rsid w:val="007A141E"/>
    <w:rsid w:val="007D07D8"/>
    <w:rsid w:val="007F0E37"/>
    <w:rsid w:val="00805336"/>
    <w:rsid w:val="00815CE4"/>
    <w:rsid w:val="00857928"/>
    <w:rsid w:val="00864014"/>
    <w:rsid w:val="00871B8D"/>
    <w:rsid w:val="00883B80"/>
    <w:rsid w:val="00895BCD"/>
    <w:rsid w:val="008A0756"/>
    <w:rsid w:val="008D40B6"/>
    <w:rsid w:val="008E5BE6"/>
    <w:rsid w:val="008F4A10"/>
    <w:rsid w:val="0090486F"/>
    <w:rsid w:val="00920370"/>
    <w:rsid w:val="00922169"/>
    <w:rsid w:val="009852F5"/>
    <w:rsid w:val="00985658"/>
    <w:rsid w:val="00997D93"/>
    <w:rsid w:val="009A4934"/>
    <w:rsid w:val="009B37CD"/>
    <w:rsid w:val="009B5830"/>
    <w:rsid w:val="009D006B"/>
    <w:rsid w:val="009E209F"/>
    <w:rsid w:val="00A06CE5"/>
    <w:rsid w:val="00A121B4"/>
    <w:rsid w:val="00A12EAA"/>
    <w:rsid w:val="00A260E2"/>
    <w:rsid w:val="00A40B18"/>
    <w:rsid w:val="00A4318E"/>
    <w:rsid w:val="00A468CE"/>
    <w:rsid w:val="00A51F00"/>
    <w:rsid w:val="00A65DD0"/>
    <w:rsid w:val="00A67798"/>
    <w:rsid w:val="00A83FE3"/>
    <w:rsid w:val="00A96111"/>
    <w:rsid w:val="00AA5ABC"/>
    <w:rsid w:val="00AB1F51"/>
    <w:rsid w:val="00AB272B"/>
    <w:rsid w:val="00AD295A"/>
    <w:rsid w:val="00AF496B"/>
    <w:rsid w:val="00B21EDD"/>
    <w:rsid w:val="00B27CC1"/>
    <w:rsid w:val="00B30317"/>
    <w:rsid w:val="00B32949"/>
    <w:rsid w:val="00B40F6A"/>
    <w:rsid w:val="00B66F6C"/>
    <w:rsid w:val="00B81F24"/>
    <w:rsid w:val="00B92E64"/>
    <w:rsid w:val="00BA1698"/>
    <w:rsid w:val="00BA623A"/>
    <w:rsid w:val="00C1425A"/>
    <w:rsid w:val="00C239E0"/>
    <w:rsid w:val="00C24695"/>
    <w:rsid w:val="00C276CD"/>
    <w:rsid w:val="00C32539"/>
    <w:rsid w:val="00C733E0"/>
    <w:rsid w:val="00C735AD"/>
    <w:rsid w:val="00C75C49"/>
    <w:rsid w:val="00C83A0D"/>
    <w:rsid w:val="00CB15D1"/>
    <w:rsid w:val="00CC4F91"/>
    <w:rsid w:val="00CE2B40"/>
    <w:rsid w:val="00CF1D93"/>
    <w:rsid w:val="00D03E35"/>
    <w:rsid w:val="00D20F80"/>
    <w:rsid w:val="00D3237A"/>
    <w:rsid w:val="00D339E9"/>
    <w:rsid w:val="00D34531"/>
    <w:rsid w:val="00D53C7D"/>
    <w:rsid w:val="00D611B3"/>
    <w:rsid w:val="00D86F51"/>
    <w:rsid w:val="00DA4D88"/>
    <w:rsid w:val="00DA6D9A"/>
    <w:rsid w:val="00DB3B9A"/>
    <w:rsid w:val="00DB461B"/>
    <w:rsid w:val="00DB4C5E"/>
    <w:rsid w:val="00DE4C1F"/>
    <w:rsid w:val="00DF1CAB"/>
    <w:rsid w:val="00E026AB"/>
    <w:rsid w:val="00E30CD9"/>
    <w:rsid w:val="00E4467F"/>
    <w:rsid w:val="00E5707B"/>
    <w:rsid w:val="00E75A02"/>
    <w:rsid w:val="00E904C6"/>
    <w:rsid w:val="00EA0592"/>
    <w:rsid w:val="00EC0D43"/>
    <w:rsid w:val="00ED0CD6"/>
    <w:rsid w:val="00F23393"/>
    <w:rsid w:val="00F95F7A"/>
    <w:rsid w:val="00FA3941"/>
    <w:rsid w:val="00FA3C86"/>
    <w:rsid w:val="00FA42A7"/>
    <w:rsid w:val="00FA79A1"/>
    <w:rsid w:val="00FD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D82D"/>
  <w15:docId w15:val="{CBB173E5-629D-47D5-91C8-D1F95633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unhideWhenUsed/>
    <w:rsid w:val="00EC0D43"/>
    <w:rPr>
      <w:sz w:val="16"/>
      <w:szCs w:val="16"/>
    </w:rPr>
  </w:style>
  <w:style w:type="paragraph" w:styleId="CommentText">
    <w:name w:val="annotation text"/>
    <w:basedOn w:val="Normal"/>
    <w:link w:val="CommentTextChar"/>
    <w:uiPriority w:val="99"/>
    <w:semiHidden/>
    <w:unhideWhenUsed/>
    <w:rsid w:val="00EC0D43"/>
    <w:rPr>
      <w:sz w:val="20"/>
    </w:rPr>
  </w:style>
  <w:style w:type="character" w:customStyle="1" w:styleId="CommentTextChar">
    <w:name w:val="Comment Text Char"/>
    <w:link w:val="CommentText"/>
    <w:uiPriority w:val="99"/>
    <w:semiHidden/>
    <w:rsid w:val="00EC0D43"/>
    <w:rPr>
      <w:rFonts w:cs="Times New Roman"/>
    </w:rPr>
  </w:style>
  <w:style w:type="paragraph" w:styleId="CommentSubject">
    <w:name w:val="annotation subject"/>
    <w:basedOn w:val="CommentText"/>
    <w:next w:val="CommentText"/>
    <w:link w:val="CommentSubjectChar"/>
    <w:uiPriority w:val="99"/>
    <w:semiHidden/>
    <w:unhideWhenUsed/>
    <w:rsid w:val="00EC0D43"/>
    <w:rPr>
      <w:b/>
      <w:bCs/>
    </w:rPr>
  </w:style>
  <w:style w:type="character" w:customStyle="1" w:styleId="CommentSubjectChar">
    <w:name w:val="Comment Subject Char"/>
    <w:link w:val="CommentSubject"/>
    <w:uiPriority w:val="99"/>
    <w:semiHidden/>
    <w:rsid w:val="00EC0D43"/>
    <w:rPr>
      <w:rFonts w:cs="Times New Roman"/>
      <w:b/>
      <w:bCs/>
    </w:rPr>
  </w:style>
  <w:style w:type="paragraph" w:styleId="ListParagraph">
    <w:name w:val="List Paragraph"/>
    <w:basedOn w:val="Normal"/>
    <w:uiPriority w:val="34"/>
    <w:qFormat/>
    <w:rsid w:val="00610068"/>
    <w:pPr>
      <w:ind w:left="720"/>
      <w:contextualSpacing/>
    </w:pPr>
  </w:style>
  <w:style w:type="paragraph" w:styleId="HTMLPreformatted">
    <w:name w:val="HTML Preformatted"/>
    <w:basedOn w:val="Normal"/>
    <w:link w:val="HTMLPreformattedChar"/>
    <w:rsid w:val="0035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val="x-none" w:eastAsia="zh-CN"/>
    </w:rPr>
  </w:style>
  <w:style w:type="character" w:customStyle="1" w:styleId="HTMLPreformattedChar">
    <w:name w:val="HTML Preformatted Char"/>
    <w:basedOn w:val="DefaultParagraphFont"/>
    <w:link w:val="HTMLPreformatted"/>
    <w:rsid w:val="00354A72"/>
    <w:rPr>
      <w:rFonts w:ascii="Courier New" w:eastAsia="SimSun" w:hAnsi="Courier New" w:cs="Times New Roman"/>
      <w:lang w:val="x-none" w:eastAsia="zh-CN"/>
    </w:rPr>
  </w:style>
  <w:style w:type="paragraph" w:styleId="Revision">
    <w:name w:val="Revision"/>
    <w:hidden/>
    <w:uiPriority w:val="99"/>
    <w:semiHidden/>
    <w:rsid w:val="00AB272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B115-B6CA-481B-A064-0474FF04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User</dc:creator>
  <cp:keywords/>
  <cp:lastModifiedBy>Naomi Sipple</cp:lastModifiedBy>
  <cp:revision>5</cp:revision>
  <cp:lastPrinted>2017-04-19T17:49:00Z</cp:lastPrinted>
  <dcterms:created xsi:type="dcterms:W3CDTF">2021-03-03T19:04:00Z</dcterms:created>
  <dcterms:modified xsi:type="dcterms:W3CDTF">2021-03-03T19:06:00Z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1752888818</vt:i4>
  </property>
  <property fmtid="{D5CDD505-2E9C-101B-9397-08002B2CF9AE}" pid="3" name="_NewReviewCycle">
    <vt:lpwstr/>
  </property>
  <property fmtid="{D5CDD505-2E9C-101B-9397-08002B2CF9AE}" pid="4" name="_EmailSubject">
    <vt:lpwstr>Published FRN</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-871946736</vt:i4>
  </property>
  <property fmtid="{D5CDD505-2E9C-101B-9397-08002B2CF9AE}" pid="8" name="_ReviewingToolsShownOnce">
    <vt:lpwstr/>
  </property>
</Properties>
</file>