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1752" w:rsidR="001C6A78" w:rsidP="001C6A78" w:rsidRDefault="001C6A78" w14:paraId="3913AB11" w14:textId="77777777">
      <w:pPr>
        <w:rPr>
          <w:sz w:val="23"/>
          <w:szCs w:val="23"/>
        </w:rPr>
      </w:pPr>
      <w:bookmarkStart w:name="_Toc125451689" w:id="0"/>
      <w:bookmarkStart w:name="_Toc125451755" w:id="1"/>
      <w:bookmarkStart w:name="_Toc125451856" w:id="2"/>
      <w:bookmarkStart w:name="_Toc125452444" w:id="3"/>
      <w:bookmarkStart w:name="_Toc325978112" w:id="4"/>
    </w:p>
    <w:p w:rsidRPr="00B073A6" w:rsidR="001C6A78" w:rsidP="0084780F" w:rsidRDefault="001C6A78" w14:paraId="42967EDF" w14:textId="51C98FA8">
      <w:pPr>
        <w:ind w:right="119"/>
        <w:jc w:val="center"/>
        <w:rPr>
          <w:spacing w:val="-22"/>
          <w:sz w:val="56"/>
          <w:szCs w:val="56"/>
        </w:rPr>
      </w:pPr>
      <w:bookmarkStart w:name="_Hlk56782610" w:id="5"/>
      <w:r w:rsidRPr="00B073A6">
        <w:rPr>
          <w:spacing w:val="-22"/>
          <w:sz w:val="56"/>
          <w:szCs w:val="56"/>
        </w:rPr>
        <w:t>2020</w:t>
      </w:r>
    </w:p>
    <w:p w:rsidR="0084780F" w:rsidP="0084780F" w:rsidRDefault="001C6A78" w14:paraId="7E4D3847" w14:textId="77777777">
      <w:pPr>
        <w:ind w:right="119"/>
        <w:jc w:val="center"/>
        <w:rPr>
          <w:sz w:val="56"/>
          <w:szCs w:val="56"/>
        </w:rPr>
      </w:pPr>
      <w:r w:rsidRPr="00B073A6">
        <w:rPr>
          <w:sz w:val="56"/>
          <w:szCs w:val="56"/>
        </w:rPr>
        <w:t>Higher Education Research and Development</w:t>
      </w:r>
      <w:r>
        <w:rPr>
          <w:sz w:val="56"/>
          <w:szCs w:val="56"/>
        </w:rPr>
        <w:t xml:space="preserve"> Survey</w:t>
      </w:r>
    </w:p>
    <w:p w:rsidR="0084780F" w:rsidP="0084780F" w:rsidRDefault="0084780F" w14:paraId="48F63F28" w14:textId="13342058">
      <w:pPr>
        <w:ind w:right="119"/>
        <w:jc w:val="center"/>
        <w:rPr>
          <w:sz w:val="56"/>
          <w:szCs w:val="56"/>
        </w:rPr>
      </w:pPr>
      <w:r>
        <w:rPr>
          <w:sz w:val="56"/>
          <w:szCs w:val="56"/>
        </w:rPr>
        <w:t>and</w:t>
      </w:r>
    </w:p>
    <w:p w:rsidR="0084780F" w:rsidP="0084780F" w:rsidRDefault="0084780F" w14:paraId="38F9BEEB" w14:textId="35E864D5">
      <w:pPr>
        <w:ind w:right="119"/>
        <w:jc w:val="center"/>
        <w:rPr>
          <w:sz w:val="56"/>
          <w:szCs w:val="56"/>
        </w:rPr>
      </w:pPr>
      <w:r>
        <w:rPr>
          <w:sz w:val="56"/>
          <w:szCs w:val="56"/>
        </w:rPr>
        <w:t>Federally Funded Research and</w:t>
      </w:r>
    </w:p>
    <w:p w:rsidRPr="00B073A6" w:rsidR="001C6A78" w:rsidP="0084780F" w:rsidRDefault="0084780F" w14:paraId="228E06BB" w14:textId="63BDD78E">
      <w:pPr>
        <w:ind w:right="119"/>
        <w:jc w:val="center"/>
        <w:rPr>
          <w:sz w:val="56"/>
          <w:szCs w:val="56"/>
        </w:rPr>
      </w:pPr>
      <w:r>
        <w:rPr>
          <w:sz w:val="56"/>
          <w:szCs w:val="56"/>
        </w:rPr>
        <w:t>Development Centers R&amp;D Survey</w:t>
      </w:r>
    </w:p>
    <w:p w:rsidRPr="00B073A6" w:rsidR="001C6A78" w:rsidP="001C6A78" w:rsidRDefault="001C6A78" w14:paraId="3DA505FB" w14:textId="77777777">
      <w:pPr>
        <w:rPr>
          <w:sz w:val="56"/>
          <w:szCs w:val="56"/>
        </w:rPr>
      </w:pPr>
    </w:p>
    <w:p w:rsidRPr="00B073A6" w:rsidR="001C6A78" w:rsidP="0084780F" w:rsidRDefault="001C6A78" w14:paraId="7EE3440C" w14:textId="77777777">
      <w:pPr>
        <w:spacing w:after="240"/>
        <w:ind w:right="115"/>
        <w:jc w:val="center"/>
        <w:rPr>
          <w:spacing w:val="-1"/>
          <w:sz w:val="56"/>
        </w:rPr>
      </w:pPr>
      <w:r w:rsidRPr="00B073A6">
        <w:rPr>
          <w:sz w:val="56"/>
        </w:rPr>
        <w:t>OMB</w:t>
      </w:r>
      <w:r w:rsidRPr="00B073A6">
        <w:rPr>
          <w:spacing w:val="-32"/>
          <w:sz w:val="56"/>
        </w:rPr>
        <w:t xml:space="preserve"> </w:t>
      </w:r>
      <w:r w:rsidRPr="00B073A6">
        <w:rPr>
          <w:sz w:val="56"/>
        </w:rPr>
        <w:t>Supporting</w:t>
      </w:r>
      <w:r w:rsidRPr="00B073A6">
        <w:rPr>
          <w:spacing w:val="-31"/>
          <w:sz w:val="56"/>
        </w:rPr>
        <w:t xml:space="preserve"> </w:t>
      </w:r>
      <w:r w:rsidRPr="00B073A6">
        <w:rPr>
          <w:spacing w:val="-1"/>
          <w:sz w:val="56"/>
        </w:rPr>
        <w:t>Statement</w:t>
      </w:r>
    </w:p>
    <w:p w:rsidRPr="00B073A6" w:rsidR="001C6A78" w:rsidP="0084780F" w:rsidRDefault="001C6A78" w14:paraId="6FB686B4" w14:textId="5C355531">
      <w:pPr>
        <w:spacing w:after="360"/>
        <w:ind w:right="115"/>
        <w:jc w:val="center"/>
        <w:rPr>
          <w:sz w:val="56"/>
          <w:szCs w:val="56"/>
        </w:rPr>
      </w:pPr>
      <w:r w:rsidRPr="00B073A6">
        <w:rPr>
          <w:spacing w:val="-1"/>
          <w:sz w:val="56"/>
        </w:rPr>
        <w:t xml:space="preserve">Section </w:t>
      </w:r>
      <w:r>
        <w:rPr>
          <w:spacing w:val="-1"/>
          <w:sz w:val="56"/>
        </w:rPr>
        <w:t>B</w:t>
      </w:r>
    </w:p>
    <w:bookmarkEnd w:id="5"/>
    <w:p w:rsidRPr="00B073A6" w:rsidR="001C6A78" w:rsidP="001C6A78" w:rsidRDefault="001C6A78" w14:paraId="485A9B74" w14:textId="77777777">
      <w:pPr>
        <w:rPr>
          <w:sz w:val="56"/>
          <w:szCs w:val="56"/>
        </w:rPr>
      </w:pPr>
    </w:p>
    <w:p w:rsidRPr="00B073A6" w:rsidR="001C6A78" w:rsidP="001C6A78" w:rsidRDefault="001C6A78" w14:paraId="570A98EA" w14:textId="77777777">
      <w:pPr>
        <w:rPr>
          <w:sz w:val="56"/>
          <w:szCs w:val="56"/>
        </w:rPr>
      </w:pPr>
    </w:p>
    <w:p w:rsidRPr="00B073A6" w:rsidR="001C6A78" w:rsidP="001C6A78" w:rsidRDefault="001C6A78" w14:paraId="4C9938CD" w14:textId="77777777">
      <w:pPr>
        <w:rPr>
          <w:sz w:val="56"/>
          <w:szCs w:val="56"/>
        </w:rPr>
      </w:pPr>
    </w:p>
    <w:p w:rsidRPr="00B073A6" w:rsidR="001C6A78" w:rsidP="001C6A78" w:rsidRDefault="001C6A78" w14:paraId="2D24EA9D" w14:textId="77777777">
      <w:pPr>
        <w:rPr>
          <w:sz w:val="56"/>
          <w:szCs w:val="56"/>
        </w:rPr>
      </w:pPr>
    </w:p>
    <w:p w:rsidRPr="00B073A6" w:rsidR="001C6A78" w:rsidP="001C6A78" w:rsidRDefault="001C6A78" w14:paraId="7C495037" w14:textId="77777777">
      <w:pPr>
        <w:rPr>
          <w:sz w:val="47"/>
          <w:szCs w:val="47"/>
        </w:rPr>
      </w:pPr>
    </w:p>
    <w:p w:rsidR="001C6A78" w:rsidP="0084780F" w:rsidRDefault="00DA0DDA" w14:paraId="23973D40" w14:textId="2722D989">
      <w:pPr>
        <w:ind w:right="115"/>
        <w:jc w:val="center"/>
        <w:rPr>
          <w:sz w:val="36"/>
        </w:rPr>
      </w:pPr>
      <w:r>
        <w:rPr>
          <w:sz w:val="36"/>
        </w:rPr>
        <w:t>December</w:t>
      </w:r>
      <w:r w:rsidRPr="00B073A6" w:rsidR="001C6A78">
        <w:rPr>
          <w:sz w:val="36"/>
        </w:rPr>
        <w:t xml:space="preserve"> 2020</w:t>
      </w:r>
    </w:p>
    <w:p w:rsidR="001C6A78" w:rsidP="001C6A78" w:rsidRDefault="001C6A78" w14:paraId="5A28244E" w14:textId="5105B4A7">
      <w:pPr>
        <w:ind w:right="115"/>
        <w:jc w:val="right"/>
        <w:rPr>
          <w:sz w:val="36"/>
        </w:rPr>
      </w:pPr>
    </w:p>
    <w:p w:rsidR="001C6A78" w:rsidP="001C6A78" w:rsidRDefault="001C6A78" w14:paraId="62F04F38" w14:textId="381C0E68">
      <w:pPr>
        <w:ind w:right="115"/>
        <w:jc w:val="right"/>
        <w:rPr>
          <w:sz w:val="36"/>
        </w:rPr>
      </w:pPr>
    </w:p>
    <w:p w:rsidR="001C6A78" w:rsidP="001C6A78" w:rsidRDefault="001C6A78" w14:paraId="27617750" w14:textId="612AEF22">
      <w:pPr>
        <w:ind w:right="115"/>
        <w:jc w:val="right"/>
        <w:rPr>
          <w:sz w:val="36"/>
        </w:rPr>
      </w:pPr>
    </w:p>
    <w:p w:rsidR="001C6A78" w:rsidP="001C6A78" w:rsidRDefault="001C6A78" w14:paraId="4724D899" w14:textId="6B9638FA">
      <w:pPr>
        <w:ind w:right="115"/>
        <w:jc w:val="right"/>
        <w:rPr>
          <w:sz w:val="36"/>
        </w:rPr>
      </w:pPr>
    </w:p>
    <w:p w:rsidR="001C6A78" w:rsidP="001C6A78" w:rsidRDefault="001C6A78" w14:paraId="7D14AF06" w14:textId="1D8B8213">
      <w:pPr>
        <w:ind w:right="115"/>
        <w:jc w:val="right"/>
        <w:rPr>
          <w:sz w:val="36"/>
        </w:rPr>
      </w:pPr>
    </w:p>
    <w:p w:rsidR="001C6A78" w:rsidP="001C6A78" w:rsidRDefault="001C6A78" w14:paraId="0C09E75A" w14:textId="72FD1001">
      <w:pPr>
        <w:ind w:right="115"/>
        <w:jc w:val="right"/>
        <w:rPr>
          <w:sz w:val="36"/>
        </w:rPr>
      </w:pPr>
    </w:p>
    <w:p w:rsidR="001C6A78" w:rsidP="001C6A78" w:rsidRDefault="001C6A78" w14:paraId="23809A44" w14:textId="10A46343"/>
    <w:p w:rsidR="0084780F" w:rsidP="0084780F" w:rsidRDefault="0084780F" w14:paraId="43C5F025" w14:textId="77777777">
      <w:pPr>
        <w:pStyle w:val="TOC0"/>
        <w:spacing w:before="0"/>
        <w:rPr>
          <w:sz w:val="26"/>
          <w:szCs w:val="26"/>
        </w:rPr>
      </w:pPr>
      <w:bookmarkStart w:name="_Toc488073257" w:id="6"/>
      <w:bookmarkStart w:name="_Toc490122263" w:id="7"/>
      <w:r w:rsidRPr="007044A5">
        <w:rPr>
          <w:sz w:val="26"/>
          <w:szCs w:val="26"/>
        </w:rPr>
        <w:lastRenderedPageBreak/>
        <w:t>TABLE OF</w:t>
      </w:r>
      <w:r w:rsidRPr="007044A5">
        <w:rPr>
          <w:spacing w:val="-3"/>
          <w:sz w:val="26"/>
          <w:szCs w:val="26"/>
        </w:rPr>
        <w:t xml:space="preserve"> </w:t>
      </w:r>
      <w:r w:rsidRPr="007044A5">
        <w:rPr>
          <w:sz w:val="26"/>
          <w:szCs w:val="26"/>
        </w:rPr>
        <w:t>CONTENTS</w:t>
      </w:r>
      <w:bookmarkEnd w:id="6"/>
      <w:bookmarkEnd w:id="7"/>
    </w:p>
    <w:p w:rsidR="0084780F" w:rsidP="001C6A78" w:rsidRDefault="0084780F" w14:paraId="0D80B678" w14:textId="77777777"/>
    <w:sdt>
      <w:sdtPr>
        <w:rPr>
          <w:rFonts w:eastAsia="Times New Roman" w:cs="Times New Roman"/>
          <w:b w:val="0"/>
          <w:spacing w:val="0"/>
          <w:szCs w:val="24"/>
        </w:rPr>
        <w:id w:val="-230316862"/>
        <w:docPartObj>
          <w:docPartGallery w:val="Table of Contents"/>
          <w:docPartUnique/>
        </w:docPartObj>
      </w:sdtPr>
      <w:sdtEndPr>
        <w:rPr>
          <w:bCs/>
          <w:noProof/>
        </w:rPr>
      </w:sdtEndPr>
      <w:sdtContent>
        <w:p w:rsidR="001C6A78" w:rsidP="001C6A78" w:rsidRDefault="001C6A78" w14:paraId="332DB384" w14:textId="77777777">
          <w:pPr>
            <w:pStyle w:val="TOCHead"/>
            <w:jc w:val="left"/>
            <w:rPr>
              <w:noProof/>
            </w:rPr>
          </w:pPr>
          <w:r w:rsidRPr="00B073A6">
            <w:t>Section</w:t>
          </w:r>
          <w:r w:rsidRPr="00B073A6">
            <w:fldChar w:fldCharType="begin"/>
          </w:r>
          <w:r w:rsidRPr="00B073A6">
            <w:instrText xml:space="preserve"> TOC \o "2-9" \h \z \t "Heading 1,1,App Heading 1,1" </w:instrText>
          </w:r>
          <w:r w:rsidRPr="00B073A6">
            <w:fldChar w:fldCharType="separate"/>
          </w:r>
        </w:p>
        <w:p w:rsidR="001C6A78" w:rsidRDefault="00DA0DDA" w14:paraId="7B4C8ABE" w14:textId="1D21CBEA">
          <w:pPr>
            <w:pStyle w:val="TOC1"/>
            <w:tabs>
              <w:tab w:val="left" w:pos="480"/>
              <w:tab w:val="right" w:pos="8630"/>
            </w:tabs>
            <w:rPr>
              <w:rFonts w:asciiTheme="minorHAnsi" w:hAnsiTheme="minorHAnsi" w:eastAsiaTheme="minorEastAsia" w:cstheme="minorBidi"/>
              <w:b w:val="0"/>
              <w:bCs w:val="0"/>
              <w:caps w:val="0"/>
              <w:noProof/>
              <w:sz w:val="22"/>
              <w:szCs w:val="22"/>
            </w:rPr>
          </w:pPr>
          <w:hyperlink w:history="1" w:anchor="_Toc56782362">
            <w:r w:rsidRPr="00DC56E1" w:rsidR="001C6A78">
              <w:rPr>
                <w:rStyle w:val="Hyperlink"/>
                <w:noProof/>
              </w:rPr>
              <w:t>B.</w:t>
            </w:r>
            <w:r w:rsidR="001C6A78">
              <w:rPr>
                <w:rFonts w:asciiTheme="minorHAnsi" w:hAnsiTheme="minorHAnsi" w:eastAsiaTheme="minorEastAsia" w:cstheme="minorBidi"/>
                <w:b w:val="0"/>
                <w:bCs w:val="0"/>
                <w:caps w:val="0"/>
                <w:noProof/>
                <w:sz w:val="22"/>
                <w:szCs w:val="22"/>
              </w:rPr>
              <w:tab/>
            </w:r>
            <w:r w:rsidRPr="00DC56E1" w:rsidR="001C6A78">
              <w:rPr>
                <w:rStyle w:val="Hyperlink"/>
                <w:noProof/>
              </w:rPr>
              <w:t>COLLECTION OF INFORMATION EMPLOYING STATISTICAL METHODS</w:t>
            </w:r>
            <w:r w:rsidR="001C6A78">
              <w:rPr>
                <w:noProof/>
                <w:webHidden/>
              </w:rPr>
              <w:tab/>
            </w:r>
            <w:r w:rsidR="001C6A78">
              <w:rPr>
                <w:noProof/>
                <w:webHidden/>
              </w:rPr>
              <w:fldChar w:fldCharType="begin"/>
            </w:r>
            <w:r w:rsidR="001C6A78">
              <w:rPr>
                <w:noProof/>
                <w:webHidden/>
              </w:rPr>
              <w:instrText xml:space="preserve"> PAGEREF _Toc56782362 \h </w:instrText>
            </w:r>
            <w:r w:rsidR="001C6A78">
              <w:rPr>
                <w:noProof/>
                <w:webHidden/>
              </w:rPr>
            </w:r>
            <w:r w:rsidR="001C6A78">
              <w:rPr>
                <w:noProof/>
                <w:webHidden/>
              </w:rPr>
              <w:fldChar w:fldCharType="separate"/>
            </w:r>
            <w:r w:rsidR="001C6A78">
              <w:rPr>
                <w:noProof/>
                <w:webHidden/>
              </w:rPr>
              <w:t>2</w:t>
            </w:r>
            <w:r w:rsidR="001C6A78">
              <w:rPr>
                <w:noProof/>
                <w:webHidden/>
              </w:rPr>
              <w:fldChar w:fldCharType="end"/>
            </w:r>
          </w:hyperlink>
        </w:p>
        <w:p w:rsidR="001C6A78" w:rsidRDefault="00DA0DDA" w14:paraId="42739947" w14:textId="5842B7CC">
          <w:pPr>
            <w:pStyle w:val="TOC2"/>
            <w:tabs>
              <w:tab w:val="left" w:pos="880"/>
              <w:tab w:val="right" w:pos="8630"/>
            </w:tabs>
            <w:rPr>
              <w:rFonts w:asciiTheme="minorHAnsi" w:hAnsiTheme="minorHAnsi" w:eastAsiaTheme="minorEastAsia" w:cstheme="minorBidi"/>
              <w:noProof/>
              <w:sz w:val="22"/>
              <w:szCs w:val="22"/>
            </w:rPr>
          </w:pPr>
          <w:hyperlink w:history="1" w:anchor="_Toc56782363">
            <w:r w:rsidRPr="00DC56E1" w:rsidR="001C6A78">
              <w:rPr>
                <w:rStyle w:val="Hyperlink"/>
                <w:noProof/>
              </w:rPr>
              <w:t>B.1.</w:t>
            </w:r>
            <w:r w:rsidR="001C6A78">
              <w:rPr>
                <w:rFonts w:asciiTheme="minorHAnsi" w:hAnsiTheme="minorHAnsi" w:eastAsiaTheme="minorEastAsia" w:cstheme="minorBidi"/>
                <w:noProof/>
                <w:sz w:val="22"/>
                <w:szCs w:val="22"/>
              </w:rPr>
              <w:tab/>
            </w:r>
            <w:r w:rsidRPr="00DC56E1" w:rsidR="001C6A78">
              <w:rPr>
                <w:rStyle w:val="Hyperlink"/>
                <w:noProof/>
              </w:rPr>
              <w:t>Universe and Sample Description</w:t>
            </w:r>
            <w:r w:rsidR="001C6A78">
              <w:rPr>
                <w:noProof/>
                <w:webHidden/>
              </w:rPr>
              <w:tab/>
            </w:r>
            <w:r w:rsidR="001C6A78">
              <w:rPr>
                <w:noProof/>
                <w:webHidden/>
              </w:rPr>
              <w:fldChar w:fldCharType="begin"/>
            </w:r>
            <w:r w:rsidR="001C6A78">
              <w:rPr>
                <w:noProof/>
                <w:webHidden/>
              </w:rPr>
              <w:instrText xml:space="preserve"> PAGEREF _Toc56782363 \h </w:instrText>
            </w:r>
            <w:r w:rsidR="001C6A78">
              <w:rPr>
                <w:noProof/>
                <w:webHidden/>
              </w:rPr>
            </w:r>
            <w:r w:rsidR="001C6A78">
              <w:rPr>
                <w:noProof/>
                <w:webHidden/>
              </w:rPr>
              <w:fldChar w:fldCharType="separate"/>
            </w:r>
            <w:r w:rsidR="001C6A78">
              <w:rPr>
                <w:noProof/>
                <w:webHidden/>
              </w:rPr>
              <w:t>2</w:t>
            </w:r>
            <w:r w:rsidR="001C6A78">
              <w:rPr>
                <w:noProof/>
                <w:webHidden/>
              </w:rPr>
              <w:fldChar w:fldCharType="end"/>
            </w:r>
          </w:hyperlink>
        </w:p>
        <w:p w:rsidR="001C6A78" w:rsidRDefault="00DA0DDA" w14:paraId="67CC152D" w14:textId="4FE780D1">
          <w:pPr>
            <w:pStyle w:val="TOC2"/>
            <w:tabs>
              <w:tab w:val="left" w:pos="880"/>
              <w:tab w:val="right" w:pos="8630"/>
            </w:tabs>
            <w:rPr>
              <w:rFonts w:asciiTheme="minorHAnsi" w:hAnsiTheme="minorHAnsi" w:eastAsiaTheme="minorEastAsia" w:cstheme="minorBidi"/>
              <w:noProof/>
              <w:sz w:val="22"/>
              <w:szCs w:val="22"/>
            </w:rPr>
          </w:pPr>
          <w:hyperlink w:history="1" w:anchor="_Toc56782364">
            <w:r w:rsidRPr="00DC56E1" w:rsidR="001C6A78">
              <w:rPr>
                <w:rStyle w:val="Hyperlink"/>
                <w:noProof/>
              </w:rPr>
              <w:t>B.2.</w:t>
            </w:r>
            <w:r w:rsidR="001C6A78">
              <w:rPr>
                <w:rFonts w:asciiTheme="minorHAnsi" w:hAnsiTheme="minorHAnsi" w:eastAsiaTheme="minorEastAsia" w:cstheme="minorBidi"/>
                <w:noProof/>
                <w:sz w:val="22"/>
                <w:szCs w:val="22"/>
              </w:rPr>
              <w:tab/>
            </w:r>
            <w:r w:rsidRPr="00DC56E1" w:rsidR="001C6A78">
              <w:rPr>
                <w:rStyle w:val="Hyperlink"/>
                <w:noProof/>
              </w:rPr>
              <w:t>Information Collection Procedures</w:t>
            </w:r>
            <w:r w:rsidR="001C6A78">
              <w:rPr>
                <w:noProof/>
                <w:webHidden/>
              </w:rPr>
              <w:tab/>
            </w:r>
            <w:r w:rsidR="001C6A78">
              <w:rPr>
                <w:noProof/>
                <w:webHidden/>
              </w:rPr>
              <w:fldChar w:fldCharType="begin"/>
            </w:r>
            <w:r w:rsidR="001C6A78">
              <w:rPr>
                <w:noProof/>
                <w:webHidden/>
              </w:rPr>
              <w:instrText xml:space="preserve"> PAGEREF _Toc56782364 \h </w:instrText>
            </w:r>
            <w:r w:rsidR="001C6A78">
              <w:rPr>
                <w:noProof/>
                <w:webHidden/>
              </w:rPr>
            </w:r>
            <w:r w:rsidR="001C6A78">
              <w:rPr>
                <w:noProof/>
                <w:webHidden/>
              </w:rPr>
              <w:fldChar w:fldCharType="separate"/>
            </w:r>
            <w:r w:rsidR="001C6A78">
              <w:rPr>
                <w:noProof/>
                <w:webHidden/>
              </w:rPr>
              <w:t>4</w:t>
            </w:r>
            <w:r w:rsidR="001C6A78">
              <w:rPr>
                <w:noProof/>
                <w:webHidden/>
              </w:rPr>
              <w:fldChar w:fldCharType="end"/>
            </w:r>
          </w:hyperlink>
        </w:p>
        <w:p w:rsidR="001C6A78" w:rsidRDefault="00DA0DDA" w14:paraId="1B555E21" w14:textId="142E218F">
          <w:pPr>
            <w:pStyle w:val="TOC3"/>
            <w:tabs>
              <w:tab w:val="left" w:pos="1320"/>
              <w:tab w:val="right" w:pos="8630"/>
            </w:tabs>
            <w:rPr>
              <w:rFonts w:asciiTheme="minorHAnsi" w:hAnsiTheme="minorHAnsi" w:eastAsiaTheme="minorEastAsia" w:cstheme="minorBidi"/>
              <w:noProof/>
              <w:sz w:val="22"/>
              <w:szCs w:val="22"/>
            </w:rPr>
          </w:pPr>
          <w:hyperlink w:history="1" w:anchor="_Toc56782365">
            <w:r w:rsidRPr="00DC56E1" w:rsidR="001C6A78">
              <w:rPr>
                <w:rStyle w:val="Hyperlink"/>
                <w:noProof/>
              </w:rPr>
              <w:t>B.2.1</w:t>
            </w:r>
            <w:r w:rsidR="001C6A78">
              <w:rPr>
                <w:rFonts w:asciiTheme="minorHAnsi" w:hAnsiTheme="minorHAnsi" w:eastAsiaTheme="minorEastAsia" w:cstheme="minorBidi"/>
                <w:noProof/>
                <w:sz w:val="22"/>
                <w:szCs w:val="22"/>
              </w:rPr>
              <w:tab/>
            </w:r>
            <w:r w:rsidRPr="00DC56E1" w:rsidR="001C6A78">
              <w:rPr>
                <w:rStyle w:val="Hyperlink"/>
                <w:noProof/>
              </w:rPr>
              <w:t>Identifying Eligible Institutions</w:t>
            </w:r>
            <w:r w:rsidR="001C6A78">
              <w:rPr>
                <w:noProof/>
                <w:webHidden/>
              </w:rPr>
              <w:tab/>
            </w:r>
            <w:r w:rsidR="001C6A78">
              <w:rPr>
                <w:noProof/>
                <w:webHidden/>
              </w:rPr>
              <w:fldChar w:fldCharType="begin"/>
            </w:r>
            <w:r w:rsidR="001C6A78">
              <w:rPr>
                <w:noProof/>
                <w:webHidden/>
              </w:rPr>
              <w:instrText xml:space="preserve"> PAGEREF _Toc56782365 \h </w:instrText>
            </w:r>
            <w:r w:rsidR="001C6A78">
              <w:rPr>
                <w:noProof/>
                <w:webHidden/>
              </w:rPr>
            </w:r>
            <w:r w:rsidR="001C6A78">
              <w:rPr>
                <w:noProof/>
                <w:webHidden/>
              </w:rPr>
              <w:fldChar w:fldCharType="separate"/>
            </w:r>
            <w:r w:rsidR="001C6A78">
              <w:rPr>
                <w:noProof/>
                <w:webHidden/>
              </w:rPr>
              <w:t>4</w:t>
            </w:r>
            <w:r w:rsidR="001C6A78">
              <w:rPr>
                <w:noProof/>
                <w:webHidden/>
              </w:rPr>
              <w:fldChar w:fldCharType="end"/>
            </w:r>
          </w:hyperlink>
        </w:p>
        <w:p w:rsidR="001C6A78" w:rsidRDefault="00DA0DDA" w14:paraId="3508D85A" w14:textId="33B78ED9">
          <w:pPr>
            <w:pStyle w:val="TOC3"/>
            <w:tabs>
              <w:tab w:val="left" w:pos="1320"/>
              <w:tab w:val="right" w:pos="8630"/>
            </w:tabs>
            <w:rPr>
              <w:rFonts w:asciiTheme="minorHAnsi" w:hAnsiTheme="minorHAnsi" w:eastAsiaTheme="minorEastAsia" w:cstheme="minorBidi"/>
              <w:noProof/>
              <w:sz w:val="22"/>
              <w:szCs w:val="22"/>
            </w:rPr>
          </w:pPr>
          <w:hyperlink w:history="1" w:anchor="_Toc56782366">
            <w:r w:rsidRPr="00DC56E1" w:rsidR="001C6A78">
              <w:rPr>
                <w:rStyle w:val="Hyperlink"/>
                <w:noProof/>
              </w:rPr>
              <w:t>B.2.2</w:t>
            </w:r>
            <w:r w:rsidR="001C6A78">
              <w:rPr>
                <w:rFonts w:asciiTheme="minorHAnsi" w:hAnsiTheme="minorHAnsi" w:eastAsiaTheme="minorEastAsia" w:cstheme="minorBidi"/>
                <w:noProof/>
                <w:sz w:val="22"/>
                <w:szCs w:val="22"/>
              </w:rPr>
              <w:tab/>
            </w:r>
            <w:r w:rsidRPr="00DC56E1" w:rsidR="001C6A78">
              <w:rPr>
                <w:rStyle w:val="Hyperlink"/>
                <w:noProof/>
              </w:rPr>
              <w:t>Collection Procedures</w:t>
            </w:r>
            <w:r w:rsidR="001C6A78">
              <w:rPr>
                <w:noProof/>
                <w:webHidden/>
              </w:rPr>
              <w:tab/>
            </w:r>
            <w:r w:rsidR="001C6A78">
              <w:rPr>
                <w:noProof/>
                <w:webHidden/>
              </w:rPr>
              <w:fldChar w:fldCharType="begin"/>
            </w:r>
            <w:r w:rsidR="001C6A78">
              <w:rPr>
                <w:noProof/>
                <w:webHidden/>
              </w:rPr>
              <w:instrText xml:space="preserve"> PAGEREF _Toc56782366 \h </w:instrText>
            </w:r>
            <w:r w:rsidR="001C6A78">
              <w:rPr>
                <w:noProof/>
                <w:webHidden/>
              </w:rPr>
            </w:r>
            <w:r w:rsidR="001C6A78">
              <w:rPr>
                <w:noProof/>
                <w:webHidden/>
              </w:rPr>
              <w:fldChar w:fldCharType="separate"/>
            </w:r>
            <w:r w:rsidR="001C6A78">
              <w:rPr>
                <w:noProof/>
                <w:webHidden/>
              </w:rPr>
              <w:t>4</w:t>
            </w:r>
            <w:r w:rsidR="001C6A78">
              <w:rPr>
                <w:noProof/>
                <w:webHidden/>
              </w:rPr>
              <w:fldChar w:fldCharType="end"/>
            </w:r>
          </w:hyperlink>
        </w:p>
        <w:p w:rsidR="001C6A78" w:rsidRDefault="00DA0DDA" w14:paraId="2F60CFA9" w14:textId="01A8362B">
          <w:pPr>
            <w:pStyle w:val="TOC3"/>
            <w:tabs>
              <w:tab w:val="left" w:pos="1320"/>
              <w:tab w:val="right" w:pos="8630"/>
            </w:tabs>
            <w:rPr>
              <w:rFonts w:asciiTheme="minorHAnsi" w:hAnsiTheme="minorHAnsi" w:eastAsiaTheme="minorEastAsia" w:cstheme="minorBidi"/>
              <w:noProof/>
              <w:sz w:val="22"/>
              <w:szCs w:val="22"/>
            </w:rPr>
          </w:pPr>
          <w:hyperlink w:history="1" w:anchor="_Toc56782367">
            <w:r w:rsidRPr="00DC56E1" w:rsidR="001C6A78">
              <w:rPr>
                <w:rStyle w:val="Hyperlink"/>
                <w:noProof/>
              </w:rPr>
              <w:t>B.2.3</w:t>
            </w:r>
            <w:r w:rsidR="001C6A78">
              <w:rPr>
                <w:rFonts w:asciiTheme="minorHAnsi" w:hAnsiTheme="minorHAnsi" w:eastAsiaTheme="minorEastAsia" w:cstheme="minorBidi"/>
                <w:noProof/>
                <w:sz w:val="22"/>
                <w:szCs w:val="22"/>
              </w:rPr>
              <w:tab/>
            </w:r>
            <w:r w:rsidRPr="00DC56E1" w:rsidR="001C6A78">
              <w:rPr>
                <w:rStyle w:val="Hyperlink"/>
                <w:noProof/>
              </w:rPr>
              <w:t>Estimation Procedures</w:t>
            </w:r>
            <w:r w:rsidR="001C6A78">
              <w:rPr>
                <w:noProof/>
                <w:webHidden/>
              </w:rPr>
              <w:tab/>
            </w:r>
            <w:r w:rsidR="001C6A78">
              <w:rPr>
                <w:noProof/>
                <w:webHidden/>
              </w:rPr>
              <w:fldChar w:fldCharType="begin"/>
            </w:r>
            <w:r w:rsidR="001C6A78">
              <w:rPr>
                <w:noProof/>
                <w:webHidden/>
              </w:rPr>
              <w:instrText xml:space="preserve"> PAGEREF _Toc56782367 \h </w:instrText>
            </w:r>
            <w:r w:rsidR="001C6A78">
              <w:rPr>
                <w:noProof/>
                <w:webHidden/>
              </w:rPr>
            </w:r>
            <w:r w:rsidR="001C6A78">
              <w:rPr>
                <w:noProof/>
                <w:webHidden/>
              </w:rPr>
              <w:fldChar w:fldCharType="separate"/>
            </w:r>
            <w:r w:rsidR="001C6A78">
              <w:rPr>
                <w:noProof/>
                <w:webHidden/>
              </w:rPr>
              <w:t>5</w:t>
            </w:r>
            <w:r w:rsidR="001C6A78">
              <w:rPr>
                <w:noProof/>
                <w:webHidden/>
              </w:rPr>
              <w:fldChar w:fldCharType="end"/>
            </w:r>
          </w:hyperlink>
        </w:p>
        <w:p w:rsidR="001C6A78" w:rsidRDefault="00DA0DDA" w14:paraId="300B4D81" w14:textId="52BEAA2C">
          <w:pPr>
            <w:pStyle w:val="TOC2"/>
            <w:tabs>
              <w:tab w:val="left" w:pos="880"/>
              <w:tab w:val="right" w:pos="8630"/>
            </w:tabs>
            <w:rPr>
              <w:rFonts w:asciiTheme="minorHAnsi" w:hAnsiTheme="minorHAnsi" w:eastAsiaTheme="minorEastAsia" w:cstheme="minorBidi"/>
              <w:noProof/>
              <w:sz w:val="22"/>
              <w:szCs w:val="22"/>
            </w:rPr>
          </w:pPr>
          <w:hyperlink w:history="1" w:anchor="_Toc56782368">
            <w:r w:rsidRPr="00DC56E1" w:rsidR="001C6A78">
              <w:rPr>
                <w:rStyle w:val="Hyperlink"/>
                <w:noProof/>
              </w:rPr>
              <w:t>B.3.</w:t>
            </w:r>
            <w:r w:rsidR="001C6A78">
              <w:rPr>
                <w:rFonts w:asciiTheme="minorHAnsi" w:hAnsiTheme="minorHAnsi" w:eastAsiaTheme="minorEastAsia" w:cstheme="minorBidi"/>
                <w:noProof/>
                <w:sz w:val="22"/>
                <w:szCs w:val="22"/>
              </w:rPr>
              <w:tab/>
            </w:r>
            <w:r w:rsidRPr="00DC56E1" w:rsidR="001C6A78">
              <w:rPr>
                <w:rStyle w:val="Hyperlink"/>
                <w:noProof/>
              </w:rPr>
              <w:t>Statistical Accuracy of the Collection</w:t>
            </w:r>
            <w:r w:rsidR="001C6A78">
              <w:rPr>
                <w:noProof/>
                <w:webHidden/>
              </w:rPr>
              <w:tab/>
            </w:r>
            <w:r w:rsidR="001C6A78">
              <w:rPr>
                <w:noProof/>
                <w:webHidden/>
              </w:rPr>
              <w:fldChar w:fldCharType="begin"/>
            </w:r>
            <w:r w:rsidR="001C6A78">
              <w:rPr>
                <w:noProof/>
                <w:webHidden/>
              </w:rPr>
              <w:instrText xml:space="preserve"> PAGEREF _Toc56782368 \h </w:instrText>
            </w:r>
            <w:r w:rsidR="001C6A78">
              <w:rPr>
                <w:noProof/>
                <w:webHidden/>
              </w:rPr>
            </w:r>
            <w:r w:rsidR="001C6A78">
              <w:rPr>
                <w:noProof/>
                <w:webHidden/>
              </w:rPr>
              <w:fldChar w:fldCharType="separate"/>
            </w:r>
            <w:r w:rsidR="001C6A78">
              <w:rPr>
                <w:noProof/>
                <w:webHidden/>
              </w:rPr>
              <w:t>5</w:t>
            </w:r>
            <w:r w:rsidR="001C6A78">
              <w:rPr>
                <w:noProof/>
                <w:webHidden/>
              </w:rPr>
              <w:fldChar w:fldCharType="end"/>
            </w:r>
          </w:hyperlink>
        </w:p>
        <w:p w:rsidR="001C6A78" w:rsidRDefault="00DA0DDA" w14:paraId="3CA90FCD" w14:textId="41E7D06F">
          <w:pPr>
            <w:pStyle w:val="TOC3"/>
            <w:tabs>
              <w:tab w:val="left" w:pos="1320"/>
              <w:tab w:val="right" w:pos="8630"/>
            </w:tabs>
            <w:rPr>
              <w:rFonts w:asciiTheme="minorHAnsi" w:hAnsiTheme="minorHAnsi" w:eastAsiaTheme="minorEastAsia" w:cstheme="minorBidi"/>
              <w:noProof/>
              <w:sz w:val="22"/>
              <w:szCs w:val="22"/>
            </w:rPr>
          </w:pPr>
          <w:hyperlink w:history="1" w:anchor="_Toc56782369">
            <w:r w:rsidRPr="00DC56E1" w:rsidR="001C6A78">
              <w:rPr>
                <w:rStyle w:val="Hyperlink"/>
                <w:noProof/>
              </w:rPr>
              <w:t>B.3.1</w:t>
            </w:r>
            <w:r w:rsidR="001C6A78">
              <w:rPr>
                <w:rFonts w:asciiTheme="minorHAnsi" w:hAnsiTheme="minorHAnsi" w:eastAsiaTheme="minorEastAsia" w:cstheme="minorBidi"/>
                <w:noProof/>
                <w:sz w:val="22"/>
                <w:szCs w:val="22"/>
              </w:rPr>
              <w:tab/>
            </w:r>
            <w:r w:rsidRPr="00DC56E1" w:rsidR="001C6A78">
              <w:rPr>
                <w:rStyle w:val="Hyperlink"/>
                <w:noProof/>
              </w:rPr>
              <w:t>Methods Used to Maximize Response Rates</w:t>
            </w:r>
            <w:r w:rsidR="001C6A78">
              <w:rPr>
                <w:noProof/>
                <w:webHidden/>
              </w:rPr>
              <w:tab/>
            </w:r>
            <w:r w:rsidR="001C6A78">
              <w:rPr>
                <w:noProof/>
                <w:webHidden/>
              </w:rPr>
              <w:fldChar w:fldCharType="begin"/>
            </w:r>
            <w:r w:rsidR="001C6A78">
              <w:rPr>
                <w:noProof/>
                <w:webHidden/>
              </w:rPr>
              <w:instrText xml:space="preserve"> PAGEREF _Toc56782369 \h </w:instrText>
            </w:r>
            <w:r w:rsidR="001C6A78">
              <w:rPr>
                <w:noProof/>
                <w:webHidden/>
              </w:rPr>
            </w:r>
            <w:r w:rsidR="001C6A78">
              <w:rPr>
                <w:noProof/>
                <w:webHidden/>
              </w:rPr>
              <w:fldChar w:fldCharType="separate"/>
            </w:r>
            <w:r w:rsidR="001C6A78">
              <w:rPr>
                <w:noProof/>
                <w:webHidden/>
              </w:rPr>
              <w:t>5</w:t>
            </w:r>
            <w:r w:rsidR="001C6A78">
              <w:rPr>
                <w:noProof/>
                <w:webHidden/>
              </w:rPr>
              <w:fldChar w:fldCharType="end"/>
            </w:r>
          </w:hyperlink>
        </w:p>
        <w:p w:rsidR="001C6A78" w:rsidRDefault="00DA0DDA" w14:paraId="3CCFFF51" w14:textId="3F6D98D8">
          <w:pPr>
            <w:pStyle w:val="TOC3"/>
            <w:tabs>
              <w:tab w:val="left" w:pos="1320"/>
              <w:tab w:val="right" w:pos="8630"/>
            </w:tabs>
            <w:rPr>
              <w:rFonts w:asciiTheme="minorHAnsi" w:hAnsiTheme="minorHAnsi" w:eastAsiaTheme="minorEastAsia" w:cstheme="minorBidi"/>
              <w:noProof/>
              <w:sz w:val="22"/>
              <w:szCs w:val="22"/>
            </w:rPr>
          </w:pPr>
          <w:hyperlink w:history="1" w:anchor="_Toc56782370">
            <w:r w:rsidRPr="00DC56E1" w:rsidR="001C6A78">
              <w:rPr>
                <w:rStyle w:val="Hyperlink"/>
                <w:noProof/>
              </w:rPr>
              <w:t>B.3.2</w:t>
            </w:r>
            <w:r w:rsidR="001C6A78">
              <w:rPr>
                <w:rFonts w:asciiTheme="minorHAnsi" w:hAnsiTheme="minorHAnsi" w:eastAsiaTheme="minorEastAsia" w:cstheme="minorBidi"/>
                <w:noProof/>
                <w:sz w:val="22"/>
                <w:szCs w:val="22"/>
              </w:rPr>
              <w:tab/>
            </w:r>
            <w:r w:rsidRPr="00DC56E1" w:rsidR="001C6A78">
              <w:rPr>
                <w:rStyle w:val="Hyperlink"/>
                <w:noProof/>
              </w:rPr>
              <w:t>Imputation Methods for Unit and Item Nonresponse</w:t>
            </w:r>
            <w:r w:rsidR="001C6A78">
              <w:rPr>
                <w:noProof/>
                <w:webHidden/>
              </w:rPr>
              <w:tab/>
            </w:r>
            <w:r w:rsidR="001C6A78">
              <w:rPr>
                <w:noProof/>
                <w:webHidden/>
              </w:rPr>
              <w:fldChar w:fldCharType="begin"/>
            </w:r>
            <w:r w:rsidR="001C6A78">
              <w:rPr>
                <w:noProof/>
                <w:webHidden/>
              </w:rPr>
              <w:instrText xml:space="preserve"> PAGEREF _Toc56782370 \h </w:instrText>
            </w:r>
            <w:r w:rsidR="001C6A78">
              <w:rPr>
                <w:noProof/>
                <w:webHidden/>
              </w:rPr>
            </w:r>
            <w:r w:rsidR="001C6A78">
              <w:rPr>
                <w:noProof/>
                <w:webHidden/>
              </w:rPr>
              <w:fldChar w:fldCharType="separate"/>
            </w:r>
            <w:r w:rsidR="001C6A78">
              <w:rPr>
                <w:noProof/>
                <w:webHidden/>
              </w:rPr>
              <w:t>6</w:t>
            </w:r>
            <w:r w:rsidR="001C6A78">
              <w:rPr>
                <w:noProof/>
                <w:webHidden/>
              </w:rPr>
              <w:fldChar w:fldCharType="end"/>
            </w:r>
          </w:hyperlink>
        </w:p>
        <w:p w:rsidR="001C6A78" w:rsidRDefault="00DA0DDA" w14:paraId="1282AA15" w14:textId="1E2E5B03">
          <w:pPr>
            <w:pStyle w:val="TOC3"/>
            <w:tabs>
              <w:tab w:val="left" w:pos="1320"/>
              <w:tab w:val="right" w:pos="8630"/>
            </w:tabs>
            <w:rPr>
              <w:rFonts w:asciiTheme="minorHAnsi" w:hAnsiTheme="minorHAnsi" w:eastAsiaTheme="minorEastAsia" w:cstheme="minorBidi"/>
              <w:noProof/>
              <w:sz w:val="22"/>
              <w:szCs w:val="22"/>
            </w:rPr>
          </w:pPr>
          <w:hyperlink w:history="1" w:anchor="_Toc56782371">
            <w:r w:rsidRPr="00DC56E1" w:rsidR="001C6A78">
              <w:rPr>
                <w:rStyle w:val="Hyperlink"/>
                <w:noProof/>
              </w:rPr>
              <w:t>B.3.3</w:t>
            </w:r>
            <w:r w:rsidR="001C6A78">
              <w:rPr>
                <w:rFonts w:asciiTheme="minorHAnsi" w:hAnsiTheme="minorHAnsi" w:eastAsiaTheme="minorEastAsia" w:cstheme="minorBidi"/>
                <w:noProof/>
                <w:sz w:val="22"/>
                <w:szCs w:val="22"/>
              </w:rPr>
              <w:tab/>
            </w:r>
            <w:r w:rsidRPr="00DC56E1" w:rsidR="001C6A78">
              <w:rPr>
                <w:rStyle w:val="Hyperlink"/>
                <w:noProof/>
              </w:rPr>
              <w:t>Accuracy and Reliability of Data</w:t>
            </w:r>
            <w:r w:rsidR="001C6A78">
              <w:rPr>
                <w:noProof/>
                <w:webHidden/>
              </w:rPr>
              <w:tab/>
            </w:r>
            <w:r w:rsidR="001C6A78">
              <w:rPr>
                <w:noProof/>
                <w:webHidden/>
              </w:rPr>
              <w:fldChar w:fldCharType="begin"/>
            </w:r>
            <w:r w:rsidR="001C6A78">
              <w:rPr>
                <w:noProof/>
                <w:webHidden/>
              </w:rPr>
              <w:instrText xml:space="preserve"> PAGEREF _Toc56782371 \h </w:instrText>
            </w:r>
            <w:r w:rsidR="001C6A78">
              <w:rPr>
                <w:noProof/>
                <w:webHidden/>
              </w:rPr>
            </w:r>
            <w:r w:rsidR="001C6A78">
              <w:rPr>
                <w:noProof/>
                <w:webHidden/>
              </w:rPr>
              <w:fldChar w:fldCharType="separate"/>
            </w:r>
            <w:r w:rsidR="001C6A78">
              <w:rPr>
                <w:noProof/>
                <w:webHidden/>
              </w:rPr>
              <w:t>7</w:t>
            </w:r>
            <w:r w:rsidR="001C6A78">
              <w:rPr>
                <w:noProof/>
                <w:webHidden/>
              </w:rPr>
              <w:fldChar w:fldCharType="end"/>
            </w:r>
          </w:hyperlink>
        </w:p>
        <w:p w:rsidR="001C6A78" w:rsidRDefault="00DA0DDA" w14:paraId="39C3B16F" w14:textId="28396A1A">
          <w:pPr>
            <w:pStyle w:val="TOC2"/>
            <w:tabs>
              <w:tab w:val="left" w:pos="880"/>
              <w:tab w:val="right" w:pos="8630"/>
            </w:tabs>
            <w:rPr>
              <w:rFonts w:asciiTheme="minorHAnsi" w:hAnsiTheme="minorHAnsi" w:eastAsiaTheme="minorEastAsia" w:cstheme="minorBidi"/>
              <w:noProof/>
              <w:sz w:val="22"/>
              <w:szCs w:val="22"/>
            </w:rPr>
          </w:pPr>
          <w:hyperlink w:history="1" w:anchor="_Toc56782372">
            <w:r w:rsidRPr="00DC56E1" w:rsidR="001C6A78">
              <w:rPr>
                <w:rStyle w:val="Hyperlink"/>
                <w:noProof/>
              </w:rPr>
              <w:t>B.4.</w:t>
            </w:r>
            <w:r w:rsidR="001C6A78">
              <w:rPr>
                <w:rFonts w:asciiTheme="minorHAnsi" w:hAnsiTheme="minorHAnsi" w:eastAsiaTheme="minorEastAsia" w:cstheme="minorBidi"/>
                <w:noProof/>
                <w:sz w:val="22"/>
                <w:szCs w:val="22"/>
              </w:rPr>
              <w:tab/>
            </w:r>
            <w:r w:rsidRPr="00DC56E1" w:rsidR="001C6A78">
              <w:rPr>
                <w:rStyle w:val="Hyperlink"/>
                <w:noProof/>
              </w:rPr>
              <w:t>Tests of Procedures</w:t>
            </w:r>
            <w:r w:rsidR="001C6A78">
              <w:rPr>
                <w:noProof/>
                <w:webHidden/>
              </w:rPr>
              <w:tab/>
            </w:r>
            <w:r w:rsidR="001C6A78">
              <w:rPr>
                <w:noProof/>
                <w:webHidden/>
              </w:rPr>
              <w:fldChar w:fldCharType="begin"/>
            </w:r>
            <w:r w:rsidR="001C6A78">
              <w:rPr>
                <w:noProof/>
                <w:webHidden/>
              </w:rPr>
              <w:instrText xml:space="preserve"> PAGEREF _Toc56782372 \h </w:instrText>
            </w:r>
            <w:r w:rsidR="001C6A78">
              <w:rPr>
                <w:noProof/>
                <w:webHidden/>
              </w:rPr>
            </w:r>
            <w:r w:rsidR="001C6A78">
              <w:rPr>
                <w:noProof/>
                <w:webHidden/>
              </w:rPr>
              <w:fldChar w:fldCharType="separate"/>
            </w:r>
            <w:r w:rsidR="001C6A78">
              <w:rPr>
                <w:noProof/>
                <w:webHidden/>
              </w:rPr>
              <w:t>7</w:t>
            </w:r>
            <w:r w:rsidR="001C6A78">
              <w:rPr>
                <w:noProof/>
                <w:webHidden/>
              </w:rPr>
              <w:fldChar w:fldCharType="end"/>
            </w:r>
          </w:hyperlink>
        </w:p>
        <w:p w:rsidR="001C6A78" w:rsidRDefault="00DA0DDA" w14:paraId="237AC5F2" w14:textId="271DC477">
          <w:pPr>
            <w:pStyle w:val="TOC2"/>
            <w:tabs>
              <w:tab w:val="left" w:pos="880"/>
              <w:tab w:val="right" w:pos="8630"/>
            </w:tabs>
            <w:rPr>
              <w:rFonts w:asciiTheme="minorHAnsi" w:hAnsiTheme="minorHAnsi" w:eastAsiaTheme="minorEastAsia" w:cstheme="minorBidi"/>
              <w:noProof/>
              <w:sz w:val="22"/>
              <w:szCs w:val="22"/>
            </w:rPr>
          </w:pPr>
          <w:hyperlink w:history="1" w:anchor="_Toc56782373">
            <w:r w:rsidRPr="00DC56E1" w:rsidR="001C6A78">
              <w:rPr>
                <w:rStyle w:val="Hyperlink"/>
                <w:noProof/>
              </w:rPr>
              <w:t>B.5.</w:t>
            </w:r>
            <w:r w:rsidR="001C6A78">
              <w:rPr>
                <w:rFonts w:asciiTheme="minorHAnsi" w:hAnsiTheme="minorHAnsi" w:eastAsiaTheme="minorEastAsia" w:cstheme="minorBidi"/>
                <w:noProof/>
                <w:sz w:val="22"/>
                <w:szCs w:val="22"/>
              </w:rPr>
              <w:tab/>
            </w:r>
            <w:r w:rsidRPr="00DC56E1" w:rsidR="001C6A78">
              <w:rPr>
                <w:rStyle w:val="Hyperlink"/>
                <w:noProof/>
              </w:rPr>
              <w:t>Contact Information</w:t>
            </w:r>
            <w:r w:rsidR="001C6A78">
              <w:rPr>
                <w:noProof/>
                <w:webHidden/>
              </w:rPr>
              <w:tab/>
            </w:r>
            <w:r w:rsidR="001C6A78">
              <w:rPr>
                <w:noProof/>
                <w:webHidden/>
              </w:rPr>
              <w:fldChar w:fldCharType="begin"/>
            </w:r>
            <w:r w:rsidR="001C6A78">
              <w:rPr>
                <w:noProof/>
                <w:webHidden/>
              </w:rPr>
              <w:instrText xml:space="preserve"> PAGEREF _Toc56782373 \h </w:instrText>
            </w:r>
            <w:r w:rsidR="001C6A78">
              <w:rPr>
                <w:noProof/>
                <w:webHidden/>
              </w:rPr>
            </w:r>
            <w:r w:rsidR="001C6A78">
              <w:rPr>
                <w:noProof/>
                <w:webHidden/>
              </w:rPr>
              <w:fldChar w:fldCharType="separate"/>
            </w:r>
            <w:r w:rsidR="001C6A78">
              <w:rPr>
                <w:noProof/>
                <w:webHidden/>
              </w:rPr>
              <w:t>7</w:t>
            </w:r>
            <w:r w:rsidR="001C6A78">
              <w:rPr>
                <w:noProof/>
                <w:webHidden/>
              </w:rPr>
              <w:fldChar w:fldCharType="end"/>
            </w:r>
          </w:hyperlink>
        </w:p>
        <w:p w:rsidRPr="00B073A6" w:rsidR="001C6A78" w:rsidP="001C6A78" w:rsidRDefault="001C6A78" w14:paraId="7A3EA6E4" w14:textId="77777777">
          <w:pPr>
            <w:pStyle w:val="TOC2"/>
            <w:tabs>
              <w:tab w:val="left" w:pos="2091"/>
              <w:tab w:val="right" w:leader="dot" w:pos="10070"/>
            </w:tabs>
            <w:spacing w:after="120"/>
            <w:rPr>
              <w:rFonts w:asciiTheme="minorHAnsi" w:hAnsiTheme="minorHAnsi" w:eastAsiaTheme="minorEastAsia"/>
              <w:noProof/>
              <w:sz w:val="22"/>
              <w:szCs w:val="22"/>
            </w:rPr>
          </w:pPr>
          <w:r w:rsidRPr="00B073A6">
            <w:fldChar w:fldCharType="end"/>
          </w:r>
        </w:p>
      </w:sdtContent>
    </w:sdt>
    <w:p w:rsidR="001C6A78" w:rsidP="001C6A78" w:rsidRDefault="001C6A78" w14:paraId="13C16807" w14:textId="30C15C78"/>
    <w:p w:rsidR="005A52A1" w:rsidP="001C6A78" w:rsidRDefault="005A52A1" w14:paraId="05052DA8" w14:textId="32B53324"/>
    <w:p w:rsidRPr="001C6A78" w:rsidR="005A52A1" w:rsidP="001C6A78" w:rsidRDefault="005A52A1" w14:paraId="6C77ACE4" w14:textId="77777777"/>
    <w:p w:rsidRPr="002D2EFE" w:rsidR="002D2EFE" w:rsidP="002D2EFE" w:rsidRDefault="002D2EFE" w14:paraId="639C2C35" w14:textId="77777777">
      <w:pPr>
        <w:spacing w:after="300" w:line="360" w:lineRule="auto"/>
        <w:ind w:left="216" w:hanging="306"/>
        <w:jc w:val="center"/>
        <w:rPr>
          <w:b/>
        </w:rPr>
      </w:pPr>
      <w:bookmarkStart w:name="_Toc488073258" w:id="8"/>
      <w:bookmarkStart w:name="_Toc490122265" w:id="9"/>
      <w:r w:rsidRPr="002D2EFE">
        <w:rPr>
          <w:b/>
        </w:rPr>
        <w:t>LIST OF</w:t>
      </w:r>
      <w:r w:rsidRPr="002D2EFE">
        <w:rPr>
          <w:b/>
          <w:spacing w:val="-3"/>
        </w:rPr>
        <w:t xml:space="preserve"> </w:t>
      </w:r>
      <w:r w:rsidRPr="002D2EFE">
        <w:rPr>
          <w:b/>
        </w:rPr>
        <w:t>ATTACHMENTS</w:t>
      </w:r>
      <w:bookmarkEnd w:id="8"/>
      <w:bookmarkEnd w:id="9"/>
    </w:p>
    <w:p w:rsidRPr="002D2EFE" w:rsidR="002D2EFE" w:rsidP="002D2EFE" w:rsidRDefault="002D2EFE" w14:paraId="7958DF71" w14:textId="77777777">
      <w:pPr>
        <w:spacing w:after="300"/>
        <w:ind w:left="742" w:hanging="202"/>
      </w:pPr>
      <w:r w:rsidRPr="002D2EFE">
        <w:t>Attachment 1.</w:t>
      </w:r>
      <w:r w:rsidRPr="002D2EFE">
        <w:tab/>
        <w:t>OMB Notice of Approval 3145-0100 2019</w:t>
      </w:r>
    </w:p>
    <w:p w:rsidRPr="002D2EFE" w:rsidR="002D2EFE" w:rsidP="002D2EFE" w:rsidRDefault="002D2EFE" w14:paraId="6180EB5C" w14:textId="77777777">
      <w:pPr>
        <w:spacing w:after="300"/>
        <w:ind w:left="742" w:hanging="202"/>
      </w:pPr>
      <w:r w:rsidRPr="002D2EFE">
        <w:t>Attachment 2.</w:t>
      </w:r>
      <w:r w:rsidRPr="002D2EFE">
        <w:tab/>
      </w:r>
      <w:r w:rsidRPr="002D2EFE">
        <w:rPr>
          <w:bCs/>
        </w:rPr>
        <w:t>FY 2020 Higher Education R&amp;D Survey Standard Questionnaire</w:t>
      </w:r>
    </w:p>
    <w:p w:rsidRPr="002D2EFE" w:rsidR="002D2EFE" w:rsidP="002D2EFE" w:rsidRDefault="002D2EFE" w14:paraId="29D20542" w14:textId="77777777">
      <w:pPr>
        <w:spacing w:after="300"/>
        <w:ind w:left="742" w:hanging="202"/>
      </w:pPr>
      <w:r w:rsidRPr="002D2EFE">
        <w:t>Attachment 3.</w:t>
      </w:r>
      <w:r w:rsidRPr="002D2EFE">
        <w:tab/>
      </w:r>
      <w:r w:rsidRPr="002D2EFE">
        <w:rPr>
          <w:bCs/>
        </w:rPr>
        <w:t>FY 2020 Higher Education R&amp;D Short Form Survey Questionnaire</w:t>
      </w:r>
    </w:p>
    <w:p w:rsidRPr="002D2EFE" w:rsidR="002D2EFE" w:rsidP="002D2EFE" w:rsidRDefault="002D2EFE" w14:paraId="7161561A" w14:textId="77777777">
      <w:pPr>
        <w:spacing w:after="300"/>
        <w:ind w:left="742" w:hanging="202"/>
      </w:pPr>
      <w:r w:rsidRPr="002D2EFE">
        <w:t>Attachment 4.</w:t>
      </w:r>
      <w:r w:rsidRPr="002D2EFE">
        <w:tab/>
        <w:t>America COMPETES Reauthorization Act of 2010</w:t>
      </w:r>
    </w:p>
    <w:p w:rsidRPr="002D2EFE" w:rsidR="002D2EFE" w:rsidP="002D2EFE" w:rsidRDefault="002D2EFE" w14:paraId="3E312718" w14:textId="77777777">
      <w:pPr>
        <w:spacing w:after="300"/>
        <w:ind w:left="742" w:hanging="202"/>
      </w:pPr>
      <w:r w:rsidRPr="002D2EFE">
        <w:t>Attachment 5.</w:t>
      </w:r>
      <w:r w:rsidRPr="002D2EFE">
        <w:tab/>
      </w:r>
      <w:r w:rsidRPr="002D2EFE">
        <w:rPr>
          <w:bCs/>
        </w:rPr>
        <w:t xml:space="preserve">FY 2020 </w:t>
      </w:r>
      <w:bookmarkStart w:name="_Hlk9497849" w:id="10"/>
      <w:r w:rsidRPr="002D2EFE">
        <w:rPr>
          <w:bCs/>
        </w:rPr>
        <w:t>Higher Education R&amp;D Survey Population Screening Methodology</w:t>
      </w:r>
      <w:bookmarkEnd w:id="10"/>
    </w:p>
    <w:p w:rsidRPr="002D2EFE" w:rsidR="002D2EFE" w:rsidP="002D2EFE" w:rsidRDefault="002D2EFE" w14:paraId="7EB5A319" w14:textId="77777777">
      <w:pPr>
        <w:spacing w:after="300"/>
        <w:ind w:left="742" w:hanging="202"/>
        <w:rPr>
          <w:bCs/>
        </w:rPr>
      </w:pPr>
      <w:r w:rsidRPr="002D2EFE">
        <w:t>Attachment 6.</w:t>
      </w:r>
      <w:r w:rsidRPr="002D2EFE">
        <w:tab/>
      </w:r>
      <w:r w:rsidRPr="002D2EFE">
        <w:rPr>
          <w:bCs/>
        </w:rPr>
        <w:t>FY 2020 Higher Education R&amp;D Survey population review questionnaire</w:t>
      </w:r>
    </w:p>
    <w:p w:rsidRPr="002D2EFE" w:rsidR="002D2EFE" w:rsidP="002D2EFE" w:rsidRDefault="002D2EFE" w14:paraId="193EFF0E" w14:textId="77777777">
      <w:pPr>
        <w:spacing w:after="300"/>
        <w:ind w:left="742" w:hanging="202"/>
      </w:pPr>
      <w:r w:rsidRPr="002D2EFE">
        <w:t>Attachment 7.</w:t>
      </w:r>
      <w:r w:rsidRPr="002D2EFE">
        <w:tab/>
      </w:r>
      <w:r w:rsidRPr="002D2EFE">
        <w:rPr>
          <w:bCs/>
        </w:rPr>
        <w:t>FY 2020 FFRDC R&amp;D Survey questionnaire</w:t>
      </w:r>
      <w:r w:rsidRPr="002D2EFE">
        <w:t xml:space="preserve"> </w:t>
      </w:r>
    </w:p>
    <w:p w:rsidRPr="002D2EFE" w:rsidR="002D2EFE" w:rsidP="002D2EFE" w:rsidRDefault="002D2EFE" w14:paraId="20CB7110" w14:textId="77777777">
      <w:pPr>
        <w:spacing w:after="300"/>
        <w:ind w:left="742" w:hanging="202"/>
      </w:pPr>
      <w:r w:rsidRPr="002D2EFE">
        <w:t>Attachment 8.</w:t>
      </w:r>
      <w:r w:rsidRPr="002D2EFE">
        <w:tab/>
        <w:t>OMB Notice of Approval 3145-0174 2020 Generic Personnel Cognitive</w:t>
      </w:r>
    </w:p>
    <w:p w:rsidRPr="002D2EFE" w:rsidR="002D2EFE" w:rsidP="002D2EFE" w:rsidRDefault="002D2EFE" w14:paraId="37BD3666" w14:textId="77777777">
      <w:pPr>
        <w:spacing w:after="300"/>
        <w:ind w:left="742" w:hanging="202"/>
      </w:pPr>
      <w:r w:rsidRPr="002D2EFE">
        <w:lastRenderedPageBreak/>
        <w:t>Attachment 9.</w:t>
      </w:r>
      <w:r w:rsidRPr="002D2EFE">
        <w:tab/>
        <w:t>OMB Notice of Approval 3145-0174 2020 Generic COVID Cognitive</w:t>
      </w:r>
    </w:p>
    <w:p w:rsidRPr="002D2EFE" w:rsidR="002D2EFE" w:rsidP="002D2EFE" w:rsidRDefault="002D2EFE" w14:paraId="70DCBABF" w14:textId="77777777">
      <w:pPr>
        <w:spacing w:after="300"/>
        <w:ind w:left="742" w:hanging="202"/>
      </w:pPr>
      <w:r w:rsidRPr="002D2EFE">
        <w:t>Attachment 10.</w:t>
      </w:r>
      <w:r w:rsidRPr="002D2EFE">
        <w:tab/>
      </w:r>
      <w:r w:rsidRPr="002D2EFE">
        <w:rPr>
          <w:bCs/>
        </w:rPr>
        <w:t>Federal Register Notice for the 2020 Higher Education R&amp;D Survey</w:t>
      </w:r>
    </w:p>
    <w:p w:rsidRPr="002D2EFE" w:rsidR="002D2EFE" w:rsidP="002D2EFE" w:rsidRDefault="002D2EFE" w14:paraId="5EF52D77" w14:textId="77777777">
      <w:pPr>
        <w:spacing w:after="300"/>
        <w:ind w:left="742" w:hanging="202"/>
      </w:pPr>
      <w:r w:rsidRPr="002D2EFE">
        <w:t>Attachment 11.</w:t>
      </w:r>
      <w:r w:rsidRPr="002D2EFE">
        <w:tab/>
        <w:t>HERD 2019 Workshop Summary on CapEx and Research Personnel</w:t>
      </w:r>
    </w:p>
    <w:p w:rsidRPr="002D2EFE" w:rsidR="002D2EFE" w:rsidP="002D2EFE" w:rsidRDefault="002D2EFE" w14:paraId="7EDE26A3" w14:textId="77777777">
      <w:pPr>
        <w:spacing w:after="300"/>
        <w:ind w:left="742" w:hanging="202"/>
      </w:pPr>
      <w:r w:rsidRPr="002D2EFE">
        <w:t>Attachment 12.</w:t>
      </w:r>
      <w:r w:rsidRPr="002D2EFE">
        <w:tab/>
        <w:t>HERD Personnel Questions Cognitive Interview Report</w:t>
      </w:r>
    </w:p>
    <w:p w:rsidRPr="002D2EFE" w:rsidR="002D2EFE" w:rsidP="002D2EFE" w:rsidRDefault="002D2EFE" w14:paraId="2B7D3773" w14:textId="77777777">
      <w:pPr>
        <w:spacing w:after="300"/>
        <w:ind w:left="742" w:hanging="202"/>
      </w:pPr>
      <w:r w:rsidRPr="002D2EFE">
        <w:t>Attachment 13.</w:t>
      </w:r>
      <w:r w:rsidRPr="002D2EFE">
        <w:tab/>
        <w:t>HERD COVID-19 Questions Cognitive Interview Report</w:t>
      </w:r>
    </w:p>
    <w:p w:rsidRPr="002D2EFE" w:rsidR="002D2EFE" w:rsidP="002D2EFE" w:rsidRDefault="002D2EFE" w14:paraId="7DC4F08B" w14:textId="77777777">
      <w:pPr>
        <w:spacing w:after="300"/>
        <w:ind w:left="742" w:hanging="202"/>
      </w:pPr>
      <w:r w:rsidRPr="002D2EFE">
        <w:t>Attachment 14.</w:t>
      </w:r>
      <w:r w:rsidRPr="002D2EFE">
        <w:tab/>
        <w:t>Federal Demonstration Partnership 2019 HERD Presentation</w:t>
      </w:r>
    </w:p>
    <w:p w:rsidRPr="002D2EFE" w:rsidR="002D2EFE" w:rsidP="002D2EFE" w:rsidRDefault="002D2EFE" w14:paraId="074D066D" w14:textId="77777777">
      <w:pPr>
        <w:spacing w:after="300"/>
        <w:ind w:left="742" w:hanging="202"/>
      </w:pPr>
      <w:r w:rsidRPr="002D2EFE">
        <w:t>Attachment 15.</w:t>
      </w:r>
      <w:r w:rsidRPr="002D2EFE">
        <w:tab/>
        <w:t>HERD Survey 2020 Respondent Webinar Presentation</w:t>
      </w:r>
    </w:p>
    <w:p w:rsidR="002D2EFE" w:rsidP="002D2EFE" w:rsidRDefault="002D2EFE" w14:paraId="30FC35E0" w14:textId="704F164A">
      <w:pPr>
        <w:spacing w:after="120" w:line="360" w:lineRule="auto"/>
        <w:ind w:left="742" w:hanging="202"/>
        <w:rPr>
          <w:rFonts w:eastAsia="Calibri"/>
          <w:szCs w:val="22"/>
        </w:rPr>
      </w:pPr>
      <w:r w:rsidRPr="002D2EFE">
        <w:rPr>
          <w:rFonts w:eastAsia="Calibri"/>
          <w:bCs/>
          <w:szCs w:val="22"/>
        </w:rPr>
        <w:t>Attachment 16.</w:t>
      </w:r>
      <w:r w:rsidRPr="002D2EFE">
        <w:rPr>
          <w:rFonts w:eastAsia="Calibri"/>
          <w:bCs/>
          <w:szCs w:val="22"/>
        </w:rPr>
        <w:tab/>
        <w:t>Contact</w:t>
      </w:r>
      <w:r w:rsidRPr="002D2EFE">
        <w:rPr>
          <w:rFonts w:eastAsia="Calibri"/>
          <w:szCs w:val="22"/>
        </w:rPr>
        <w:t xml:space="preserve"> Materials for FY 2020 Higher Education R&amp;D Survey</w:t>
      </w:r>
    </w:p>
    <w:p w:rsidRPr="002D2EFE" w:rsidR="00D2026F" w:rsidP="00D2026F" w:rsidRDefault="00D2026F" w14:paraId="7E99E0E1" w14:textId="00756F1D">
      <w:pPr>
        <w:spacing w:after="120" w:line="360" w:lineRule="auto"/>
        <w:ind w:left="742" w:hanging="202"/>
        <w:rPr>
          <w:rFonts w:eastAsia="Calibri"/>
          <w:szCs w:val="22"/>
        </w:rPr>
      </w:pPr>
      <w:bookmarkStart w:name="_Hlk56784286" w:id="11"/>
      <w:r w:rsidRPr="002D2EFE">
        <w:rPr>
          <w:rFonts w:eastAsia="Calibri"/>
          <w:bCs/>
          <w:szCs w:val="22"/>
        </w:rPr>
        <w:t>Attachment 1</w:t>
      </w:r>
      <w:r>
        <w:rPr>
          <w:rFonts w:eastAsia="Calibri"/>
          <w:bCs/>
          <w:szCs w:val="22"/>
        </w:rPr>
        <w:t>7</w:t>
      </w:r>
      <w:r w:rsidRPr="002D2EFE">
        <w:rPr>
          <w:rFonts w:eastAsia="Calibri"/>
          <w:bCs/>
          <w:szCs w:val="22"/>
        </w:rPr>
        <w:t>.</w:t>
      </w:r>
      <w:r w:rsidRPr="002D2EFE">
        <w:rPr>
          <w:rFonts w:eastAsia="Calibri"/>
          <w:bCs/>
          <w:szCs w:val="22"/>
        </w:rPr>
        <w:tab/>
      </w:r>
      <w:r>
        <w:rPr>
          <w:rFonts w:eastAsia="Calibri"/>
          <w:bCs/>
          <w:szCs w:val="22"/>
        </w:rPr>
        <w:t>FY 2018 HERD Imputation Procedures</w:t>
      </w:r>
    </w:p>
    <w:bookmarkEnd w:id="11"/>
    <w:p w:rsidRPr="002D2EFE" w:rsidR="00D2026F" w:rsidP="002D2EFE" w:rsidRDefault="00D2026F" w14:paraId="2517014E" w14:textId="77777777">
      <w:pPr>
        <w:spacing w:after="120" w:line="360" w:lineRule="auto"/>
        <w:ind w:left="742" w:hanging="202"/>
        <w:rPr>
          <w:rFonts w:eastAsia="Calibri"/>
          <w:szCs w:val="22"/>
        </w:rPr>
      </w:pPr>
    </w:p>
    <w:p w:rsidR="001C6A78" w:rsidP="00193098" w:rsidRDefault="001C6A78" w14:paraId="13BDE656" w14:textId="77777777">
      <w:pPr>
        <w:pStyle w:val="Heading1"/>
      </w:pPr>
    </w:p>
    <w:p w:rsidR="001C6A78" w:rsidP="00193098" w:rsidRDefault="001C6A78" w14:paraId="0BA283E6" w14:textId="77777777">
      <w:pPr>
        <w:pStyle w:val="Heading1"/>
      </w:pPr>
    </w:p>
    <w:p w:rsidR="001C6A78" w:rsidP="00193098" w:rsidRDefault="001C6A78" w14:paraId="5871E117" w14:textId="77777777">
      <w:pPr>
        <w:pStyle w:val="Heading1"/>
      </w:pPr>
    </w:p>
    <w:p w:rsidR="001C6A78" w:rsidP="00193098" w:rsidRDefault="001C6A78" w14:paraId="41AE73BB" w14:textId="48165EC7">
      <w:pPr>
        <w:pStyle w:val="Heading1"/>
      </w:pPr>
    </w:p>
    <w:p w:rsidR="002D2EFE" w:rsidP="002D2EFE" w:rsidRDefault="002D2EFE" w14:paraId="1D3EE671" w14:textId="111B30FB"/>
    <w:p w:rsidR="002D2EFE" w:rsidP="002D2EFE" w:rsidRDefault="002D2EFE" w14:paraId="5B32BBF0" w14:textId="4460CD37"/>
    <w:p w:rsidR="002D2EFE" w:rsidP="002D2EFE" w:rsidRDefault="002D2EFE" w14:paraId="50AD8774" w14:textId="2C324A21"/>
    <w:p w:rsidR="002D2EFE" w:rsidP="002D2EFE" w:rsidRDefault="002D2EFE" w14:paraId="2052976D" w14:textId="1B87F65C"/>
    <w:p w:rsidR="002D2EFE" w:rsidP="002D2EFE" w:rsidRDefault="002D2EFE" w14:paraId="4A02DF05" w14:textId="6B32941C"/>
    <w:p w:rsidRPr="002D2EFE" w:rsidR="002D2EFE" w:rsidP="002D2EFE" w:rsidRDefault="002D2EFE" w14:paraId="0E68F973" w14:textId="77777777"/>
    <w:p w:rsidR="001C6A78" w:rsidP="00193098" w:rsidRDefault="001C6A78" w14:paraId="310BAD7C" w14:textId="77777777">
      <w:pPr>
        <w:pStyle w:val="Heading1"/>
      </w:pPr>
    </w:p>
    <w:p w:rsidR="001C6A78" w:rsidP="00193098" w:rsidRDefault="001C6A78" w14:paraId="54951857" w14:textId="77777777">
      <w:pPr>
        <w:pStyle w:val="Heading1"/>
      </w:pPr>
    </w:p>
    <w:p w:rsidR="001C6A78" w:rsidP="00193098" w:rsidRDefault="001C6A78" w14:paraId="32ED48D3" w14:textId="77777777">
      <w:pPr>
        <w:pStyle w:val="Heading1"/>
      </w:pPr>
    </w:p>
    <w:p w:rsidR="001C6A78" w:rsidP="00193098" w:rsidRDefault="001C6A78" w14:paraId="730BFBCB" w14:textId="77777777">
      <w:pPr>
        <w:pStyle w:val="Heading1"/>
      </w:pPr>
    </w:p>
    <w:p w:rsidR="001C6A78" w:rsidP="00193098" w:rsidRDefault="001C6A78" w14:paraId="5AB60EDF" w14:textId="77777777">
      <w:pPr>
        <w:pStyle w:val="Heading1"/>
      </w:pPr>
    </w:p>
    <w:p w:rsidR="001C6A78" w:rsidP="00193098" w:rsidRDefault="001C6A78" w14:paraId="6EF8F0BB" w14:textId="5D4E130A">
      <w:pPr>
        <w:pStyle w:val="Heading1"/>
      </w:pPr>
    </w:p>
    <w:p w:rsidR="0084780F" w:rsidP="0084780F" w:rsidRDefault="0084780F" w14:paraId="173D4917" w14:textId="2529C4C2"/>
    <w:p w:rsidRPr="0084780F" w:rsidR="0084780F" w:rsidP="0084780F" w:rsidRDefault="0084780F" w14:paraId="4E6E124E" w14:textId="77777777"/>
    <w:p w:rsidRPr="008835A3" w:rsidR="008E3D54" w:rsidP="00751BC9" w:rsidRDefault="008E3D54" w14:paraId="0A94B1A6" w14:textId="15656C50">
      <w:pPr>
        <w:pStyle w:val="Heading1"/>
        <w:spacing w:line="360" w:lineRule="auto"/>
      </w:pPr>
      <w:bookmarkStart w:name="_Toc56782362" w:id="12"/>
      <w:r w:rsidRPr="008835A3">
        <w:t>B.</w:t>
      </w:r>
      <w:r w:rsidRPr="008835A3">
        <w:tab/>
        <w:t>COLLECTION OF INFORMATION EMPLOYING STATISTICAL METHODS</w:t>
      </w:r>
      <w:bookmarkEnd w:id="0"/>
      <w:bookmarkEnd w:id="1"/>
      <w:bookmarkEnd w:id="2"/>
      <w:bookmarkEnd w:id="3"/>
      <w:bookmarkEnd w:id="4"/>
      <w:bookmarkEnd w:id="12"/>
    </w:p>
    <w:p w:rsidR="008E3D54" w:rsidP="00751BC9" w:rsidRDefault="00DE33CC" w14:paraId="056FD4F2" w14:textId="1E004BA5">
      <w:pPr>
        <w:spacing w:line="360" w:lineRule="auto"/>
        <w:ind w:firstLine="720"/>
      </w:pPr>
      <w:r>
        <w:t xml:space="preserve">No changes to universe or collection procedures are proposed for FY 2020-21 </w:t>
      </w:r>
      <w:r w:rsidR="004A20FD">
        <w:t xml:space="preserve">the </w:t>
      </w:r>
      <w:r>
        <w:t>HERD or FFRDC R&amp;D</w:t>
      </w:r>
      <w:r w:rsidR="004A20FD">
        <w:t xml:space="preserve"> surveys</w:t>
      </w:r>
      <w:r>
        <w:t xml:space="preserve">. </w:t>
      </w:r>
      <w:r w:rsidR="00981B3F">
        <w:t xml:space="preserve">Imputation or weighting methods for </w:t>
      </w:r>
      <w:r w:rsidR="001C6A78">
        <w:t xml:space="preserve">the proposed </w:t>
      </w:r>
      <w:r w:rsidR="00981B3F">
        <w:t>new questions</w:t>
      </w:r>
      <w:r w:rsidR="001C6A78">
        <w:t xml:space="preserve"> </w:t>
      </w:r>
      <w:r w:rsidR="00981B3F">
        <w:t xml:space="preserve">described in </w:t>
      </w:r>
      <w:r w:rsidR="004A20FD">
        <w:t xml:space="preserve">supporting statement A </w:t>
      </w:r>
      <w:r w:rsidR="00981B3F">
        <w:t xml:space="preserve">will be developed after the collection of FY 2020 data. </w:t>
      </w:r>
    </w:p>
    <w:p w:rsidRPr="008835A3" w:rsidR="00DE33CC" w:rsidP="00751BC9" w:rsidRDefault="00DE33CC" w14:paraId="5D4A9D38" w14:textId="77777777">
      <w:pPr>
        <w:spacing w:line="360" w:lineRule="auto"/>
      </w:pPr>
    </w:p>
    <w:p w:rsidRPr="008835A3" w:rsidR="008E3D54" w:rsidP="00751BC9" w:rsidRDefault="00F61153" w14:paraId="39D65DAE" w14:textId="7BD58960">
      <w:pPr>
        <w:pStyle w:val="Heading2"/>
        <w:numPr>
          <w:ilvl w:val="0"/>
          <w:numId w:val="15"/>
        </w:numPr>
        <w:spacing w:line="360" w:lineRule="auto"/>
      </w:pPr>
      <w:bookmarkStart w:name="_Toc125451690" w:id="13"/>
      <w:bookmarkStart w:name="_Toc125451756" w:id="14"/>
      <w:bookmarkStart w:name="_Toc125451857" w:id="15"/>
      <w:bookmarkStart w:name="_Toc125452445" w:id="16"/>
      <w:bookmarkStart w:name="_Toc325978113" w:id="17"/>
      <w:bookmarkStart w:name="_Toc56782363" w:id="18"/>
      <w:bookmarkEnd w:id="13"/>
      <w:bookmarkEnd w:id="14"/>
      <w:bookmarkEnd w:id="15"/>
      <w:bookmarkEnd w:id="16"/>
      <w:bookmarkEnd w:id="17"/>
      <w:r>
        <w:t>Universe and Sample Description</w:t>
      </w:r>
      <w:bookmarkEnd w:id="18"/>
    </w:p>
    <w:p w:rsidR="00911D00" w:rsidP="00751BC9" w:rsidRDefault="008E3D54" w14:paraId="39452CCA" w14:textId="6E9CF675">
      <w:pPr>
        <w:spacing w:line="360" w:lineRule="auto"/>
        <w:ind w:firstLine="720"/>
      </w:pPr>
      <w:r>
        <w:t xml:space="preserve">The HERD and FFRDC R&amp;D </w:t>
      </w:r>
      <w:r w:rsidR="00BA2AEE">
        <w:t>s</w:t>
      </w:r>
      <w:r>
        <w:t>urveys are</w:t>
      </w:r>
      <w:r w:rsidRPr="008835A3">
        <w:t xml:space="preserve"> census</w:t>
      </w:r>
      <w:r>
        <w:t>es</w:t>
      </w:r>
      <w:r w:rsidRPr="008835A3">
        <w:t xml:space="preserve"> of all eligible institutions</w:t>
      </w:r>
      <w:r w:rsidR="00F865BA">
        <w:t xml:space="preserve"> (see attachments 2, 3 and 7)</w:t>
      </w:r>
      <w:r w:rsidRPr="008835A3">
        <w:t>.  No sampling will be performed</w:t>
      </w:r>
      <w:r>
        <w:t xml:space="preserve"> for either survey</w:t>
      </w:r>
      <w:r w:rsidR="00911D00">
        <w:t xml:space="preserve">. </w:t>
      </w:r>
      <w:r w:rsidR="00B6321A">
        <w:t xml:space="preserve">The population and response rates for both surveys for FY 2017-2019, as well as the estimated population and response rates for FY 2020-21 are included </w:t>
      </w:r>
      <w:r w:rsidRPr="00BA2AEE" w:rsidR="00B6321A">
        <w:t xml:space="preserve">in </w:t>
      </w:r>
      <w:r w:rsidRPr="00BA2AEE" w:rsidR="00BA2AEE">
        <w:t>Table B.1.1</w:t>
      </w:r>
      <w:r w:rsidR="00F865BA">
        <w:t xml:space="preserve"> below</w:t>
      </w:r>
      <w:r w:rsidRPr="00BA2AEE" w:rsidR="00B6321A">
        <w:t>.</w:t>
      </w:r>
      <w:r w:rsidR="00B6321A">
        <w:t xml:space="preserve"> </w:t>
      </w:r>
    </w:p>
    <w:p w:rsidR="008E3D54" w:rsidP="00751BC9" w:rsidRDefault="00911D00" w14:paraId="6FD4A304" w14:textId="4FDCF067">
      <w:pPr>
        <w:spacing w:line="360" w:lineRule="auto"/>
        <w:ind w:firstLine="720"/>
      </w:pPr>
      <w:r>
        <w:t xml:space="preserve">The universe for the FFRDC R&amp;D </w:t>
      </w:r>
      <w:r w:rsidR="00BA2AEE">
        <w:t>s</w:t>
      </w:r>
      <w:r>
        <w:t xml:space="preserve">urvey consists of all FFRDCs in operation during the fiscal year of measurement. The FFRDC population has remained steady at 42 for several </w:t>
      </w:r>
      <w:r w:rsidR="00BA2AEE">
        <w:t>years and</w:t>
      </w:r>
      <w:r>
        <w:t xml:space="preserve"> is expected to remain at 42 for FY 2020-21. </w:t>
      </w:r>
      <w:r w:rsidRPr="00ED3CD9" w:rsidR="00ED3CD9">
        <w:t>The total survey universe is iden</w:t>
      </w:r>
      <w:r w:rsidR="00ED3CD9">
        <w:t xml:space="preserve">tified through the NSF Master </w:t>
      </w:r>
      <w:r w:rsidRPr="00ED3CD9" w:rsidR="00ED3CD9">
        <w:t>Government List of</w:t>
      </w:r>
      <w:r w:rsidR="00ED3CD9">
        <w:t xml:space="preserve"> </w:t>
      </w:r>
      <w:r w:rsidRPr="00ED3CD9" w:rsidR="00ED3CD9">
        <w:t>FFRDCs.</w:t>
      </w:r>
      <w:r w:rsidR="00F865BA">
        <w:rPr>
          <w:rStyle w:val="FootnoteReference"/>
        </w:rPr>
        <w:footnoteReference w:id="2"/>
      </w:r>
      <w:r w:rsidRPr="00ED3CD9" w:rsidR="00ED3CD9">
        <w:t xml:space="preserve"> NSF is responsible for maintaining this</w:t>
      </w:r>
      <w:r w:rsidR="00ED3CD9">
        <w:t xml:space="preserve"> list and queries al</w:t>
      </w:r>
      <w:r w:rsidRPr="00ED3CD9" w:rsidR="00ED3CD9">
        <w:t>l federal agencies annually to determine any changes to, additions to, or deletions from the list</w:t>
      </w:r>
      <w:r w:rsidR="00ED3CD9">
        <w:t>.</w:t>
      </w:r>
    </w:p>
    <w:p w:rsidR="005E3CD6" w:rsidP="00751BC9" w:rsidRDefault="008E3D54" w14:paraId="22B7993B" w14:textId="62B5682F">
      <w:pPr>
        <w:spacing w:line="360" w:lineRule="auto"/>
        <w:ind w:firstLine="720"/>
      </w:pPr>
      <w:r w:rsidRPr="008835A3">
        <w:t xml:space="preserve">The </w:t>
      </w:r>
      <w:r w:rsidR="00B6321A">
        <w:t xml:space="preserve">HERD </w:t>
      </w:r>
      <w:r w:rsidR="00BA2AEE">
        <w:t>s</w:t>
      </w:r>
      <w:r w:rsidR="00B6321A">
        <w:t xml:space="preserve">urvey </w:t>
      </w:r>
      <w:r w:rsidRPr="008835A3">
        <w:t xml:space="preserve">universe </w:t>
      </w:r>
      <w:r w:rsidR="00B6321A">
        <w:t xml:space="preserve">for </w:t>
      </w:r>
      <w:r w:rsidRPr="008835A3">
        <w:t xml:space="preserve">FY </w:t>
      </w:r>
      <w:r>
        <w:t>2</w:t>
      </w:r>
      <w:r w:rsidR="00981B3F">
        <w:t>020</w:t>
      </w:r>
      <w:r>
        <w:t>-21</w:t>
      </w:r>
      <w:r w:rsidR="00B6321A">
        <w:t xml:space="preserve"> will be the same as it has been since FY 2011. The </w:t>
      </w:r>
      <w:r w:rsidRPr="008835A3">
        <w:t>population will include all</w:t>
      </w:r>
      <w:r w:rsidR="00187DAE">
        <w:t xml:space="preserve"> public or private nonprofit</w:t>
      </w:r>
      <w:r w:rsidRPr="008835A3">
        <w:t xml:space="preserve"> bachelor</w:t>
      </w:r>
      <w:r>
        <w:t>’s</w:t>
      </w:r>
      <w:r w:rsidRPr="008835A3">
        <w:t xml:space="preserve"> and higher degree-granting U.S. institutions that spent at least $150,000 in separately </w:t>
      </w:r>
      <w:r>
        <w:t>accounted for</w:t>
      </w:r>
      <w:r w:rsidRPr="008835A3">
        <w:t xml:space="preserve"> R&amp;D</w:t>
      </w:r>
      <w:r>
        <w:t xml:space="preserve"> in their </w:t>
      </w:r>
      <w:r>
        <w:lastRenderedPageBreak/>
        <w:t>prior fiscal year</w:t>
      </w:r>
      <w:r w:rsidRPr="008835A3">
        <w:t>.</w:t>
      </w:r>
      <w:r w:rsidR="00187DAE">
        <w:t xml:space="preserve"> </w:t>
      </w:r>
      <w:r w:rsidR="00CD7B8E">
        <w:t>The population for FY 2020-21 is estimated to be 92</w:t>
      </w:r>
      <w:r w:rsidR="000A296A">
        <w:t>5</w:t>
      </w:r>
      <w:r w:rsidR="00CD7B8E">
        <w:t>, allowing for a modest increase from recent collection cycles.</w:t>
      </w:r>
    </w:p>
    <w:p w:rsidR="008E3D54" w:rsidP="00751BC9" w:rsidRDefault="005E3CD6" w14:paraId="591505DA" w14:textId="0B7595EB">
      <w:pPr>
        <w:spacing w:line="360" w:lineRule="auto"/>
        <w:ind w:firstLine="720"/>
      </w:pPr>
      <w:r>
        <w:t xml:space="preserve">Most institutions will be identified as part of the </w:t>
      </w:r>
      <w:r w:rsidR="00B6321A">
        <w:t xml:space="preserve">HERD </w:t>
      </w:r>
      <w:r>
        <w:t>population based on their HERD data from the previous survey cycle.</w:t>
      </w:r>
      <w:r w:rsidR="00187DAE">
        <w:t xml:space="preserve"> </w:t>
      </w:r>
      <w:r>
        <w:t>Additions to the</w:t>
      </w:r>
      <w:r w:rsidRPr="00A06BBE" w:rsidR="00A06BBE">
        <w:t xml:space="preserve"> pop</w:t>
      </w:r>
      <w:r>
        <w:t xml:space="preserve">ulation </w:t>
      </w:r>
      <w:r w:rsidRPr="00A06BBE" w:rsidR="00A06BBE">
        <w:t>will be identified through a</w:t>
      </w:r>
      <w:r w:rsidR="00A06BBE">
        <w:t xml:space="preserve"> screening of (1</w:t>
      </w:r>
      <w:r w:rsidR="00CD7B8E">
        <w:t>) institutions granting</w:t>
      </w:r>
      <w:r w:rsidRPr="00A06BBE" w:rsidR="00A06BBE">
        <w:t xml:space="preserve"> a bachelor’s degree or higher and repo</w:t>
      </w:r>
      <w:r w:rsidR="00CD7B8E">
        <w:t>rting</w:t>
      </w:r>
      <w:r w:rsidRPr="00A06BBE" w:rsidR="00A06BBE">
        <w:t xml:space="preserve"> an amount greater than $0 for research on the </w:t>
      </w:r>
      <w:r w:rsidR="00A06BBE">
        <w:t xml:space="preserve">most recently available </w:t>
      </w:r>
      <w:r w:rsidRPr="00A06BBE" w:rsidR="00A06BBE">
        <w:t>Integrated Postsecondary Educatio</w:t>
      </w:r>
      <w:r w:rsidR="00A06BBE">
        <w:t xml:space="preserve">n Data System (IPEDS) </w:t>
      </w:r>
      <w:r w:rsidRPr="00A06BBE" w:rsidR="00A06BBE">
        <w:t xml:space="preserve">Finance </w:t>
      </w:r>
      <w:r w:rsidR="00A06BBE">
        <w:t>Survey, (2</w:t>
      </w:r>
      <w:r w:rsidRPr="00A06BBE" w:rsidR="00A06BBE">
        <w:t>) al</w:t>
      </w:r>
      <w:r w:rsidR="00CD7B8E">
        <w:t>l U.S. service institutions granting</w:t>
      </w:r>
      <w:r w:rsidRPr="00A06BBE" w:rsidR="00A06BBE">
        <w:t xml:space="preserve"> a bachelor’s degree or higher</w:t>
      </w:r>
      <w:r w:rsidR="00CD7B8E">
        <w:t xml:space="preserve">, </w:t>
      </w:r>
      <w:r w:rsidR="00A06BBE">
        <w:t>not report</w:t>
      </w:r>
      <w:r w:rsidR="00CD7B8E">
        <w:t>ing</w:t>
      </w:r>
      <w:r w:rsidR="00A06BBE">
        <w:t xml:space="preserve"> to IPEDS,</w:t>
      </w:r>
      <w:r w:rsidR="00CD7B8E">
        <w:t xml:space="preserve"> and</w:t>
      </w:r>
      <w:r w:rsidRPr="00A06BBE" w:rsidR="00A06BBE">
        <w:t xml:space="preserve"> not already </w:t>
      </w:r>
      <w:r w:rsidR="00CD7B8E">
        <w:t xml:space="preserve">being </w:t>
      </w:r>
      <w:r w:rsidRPr="00A06BBE" w:rsidR="00A06BBE">
        <w:t>part of th</w:t>
      </w:r>
      <w:r>
        <w:t>e HERD population, and (3</w:t>
      </w:r>
      <w:r w:rsidRPr="00A06BBE" w:rsidR="00A06BBE">
        <w:t>) institution</w:t>
      </w:r>
      <w:r w:rsidR="00CD7B8E">
        <w:t>s granting</w:t>
      </w:r>
      <w:r w:rsidRPr="00A06BBE" w:rsidR="00A06BBE">
        <w:t xml:space="preserve"> graduate d</w:t>
      </w:r>
      <w:r>
        <w:t>egrees, not report</w:t>
      </w:r>
      <w:r w:rsidR="00CD7B8E">
        <w:t>ing</w:t>
      </w:r>
      <w:r>
        <w:t xml:space="preserve"> to IPEDS, and </w:t>
      </w:r>
      <w:r w:rsidRPr="00A06BBE" w:rsidR="00A06BBE">
        <w:t xml:space="preserve">not already </w:t>
      </w:r>
      <w:r w:rsidR="00CD7B8E">
        <w:t xml:space="preserve">being </w:t>
      </w:r>
      <w:r w:rsidRPr="00A06BBE" w:rsidR="00A06BBE">
        <w:t>part of the HERD population</w:t>
      </w:r>
      <w:r>
        <w:t>.</w:t>
      </w:r>
      <w:r w:rsidR="00187DAE">
        <w:t xml:space="preserve"> </w:t>
      </w:r>
      <w:r w:rsidR="008E3D54">
        <w:t xml:space="preserve">All institutions reporting at least $150,000 </w:t>
      </w:r>
      <w:r w:rsidR="00187DAE">
        <w:t xml:space="preserve">but less than $1,000,000 </w:t>
      </w:r>
      <w:r w:rsidR="008E3D54">
        <w:t xml:space="preserve">in total R&amp;D expenditures </w:t>
      </w:r>
      <w:r w:rsidR="00CD7B8E">
        <w:t xml:space="preserve">during the previous fiscal year </w:t>
      </w:r>
      <w:r w:rsidR="008E3D54">
        <w:t>will be i</w:t>
      </w:r>
      <w:r w:rsidR="00187DAE">
        <w:t>ncluded in the population and asked to complete the HERD short form</w:t>
      </w:r>
      <w:r w:rsidR="008E3D54">
        <w:t xml:space="preserve">. </w:t>
      </w:r>
      <w:r w:rsidR="00187DAE">
        <w:t xml:space="preserve">All institutions </w:t>
      </w:r>
      <w:r w:rsidR="00CD7B8E">
        <w:t xml:space="preserve">reporting $1,000,000 or more in total R&amp;D expenditures during the previous fiscal year will be included in the population and asked to complete the HERD standard form. </w:t>
      </w:r>
      <w:r w:rsidR="0017664A">
        <w:t>Based on recent collection cycles, and allowing for a modest increase, the FY 2020-21 populations for the HERD standard and short forms are estimated to be 650 and 27</w:t>
      </w:r>
      <w:r w:rsidR="00CA0823">
        <w:t>5</w:t>
      </w:r>
      <w:r w:rsidR="0017664A">
        <w:t xml:space="preserve">. </w:t>
      </w:r>
    </w:p>
    <w:p w:rsidR="00141086" w:rsidP="00751BC9" w:rsidRDefault="00141086" w14:paraId="4F59A8CE" w14:textId="77777777">
      <w:pPr>
        <w:spacing w:line="360" w:lineRule="auto"/>
      </w:pPr>
    </w:p>
    <w:p w:rsidR="0072071D" w:rsidP="00751BC9" w:rsidRDefault="00BA2AEE" w14:paraId="2409518C" w14:textId="539C10C6">
      <w:pPr>
        <w:spacing w:line="360" w:lineRule="auto"/>
      </w:pPr>
      <w:r>
        <w:t>Table B.1.1</w:t>
      </w:r>
      <w:r w:rsidRPr="0017664A" w:rsidR="0072071D">
        <w:t>. HERD and FFRDC Response Rates, FY 2017-2019</w:t>
      </w:r>
    </w:p>
    <w:p w:rsidR="0072071D" w:rsidP="00751BC9" w:rsidRDefault="0072071D" w14:paraId="148A2CF2" w14:textId="77777777">
      <w:pPr>
        <w:spacing w:line="360" w:lineRule="auto"/>
      </w:pPr>
    </w:p>
    <w:tbl>
      <w:tblPr>
        <w:tblStyle w:val="TableGrid"/>
        <w:tblpPr w:leftFromText="187" w:rightFromText="187" w:vertAnchor="text" w:tblpY="1"/>
        <w:tblOverlap w:val="never"/>
        <w:tblW w:w="9355" w:type="dxa"/>
        <w:tblLayout w:type="fixed"/>
        <w:tblLook w:val="04A0" w:firstRow="1" w:lastRow="0" w:firstColumn="1" w:lastColumn="0" w:noHBand="0" w:noVBand="1"/>
      </w:tblPr>
      <w:tblGrid>
        <w:gridCol w:w="1075"/>
        <w:gridCol w:w="990"/>
        <w:gridCol w:w="1080"/>
        <w:gridCol w:w="990"/>
        <w:gridCol w:w="1080"/>
        <w:gridCol w:w="990"/>
        <w:gridCol w:w="1080"/>
        <w:gridCol w:w="990"/>
        <w:gridCol w:w="1080"/>
      </w:tblGrid>
      <w:tr w:rsidRPr="00B636B9" w:rsidR="00911D00" w:rsidTr="007054EC" w14:paraId="2D9DD6A3" w14:textId="7E50D480">
        <w:tc>
          <w:tcPr>
            <w:tcW w:w="1075" w:type="dxa"/>
            <w:vMerge w:val="restart"/>
            <w:vAlign w:val="bottom"/>
          </w:tcPr>
          <w:p w:rsidRPr="00F44D55" w:rsidR="00911D00" w:rsidP="00751BC9" w:rsidRDefault="00911D00" w14:paraId="13EB0587" w14:textId="1517FBED">
            <w:pPr>
              <w:spacing w:line="360" w:lineRule="auto"/>
              <w:rPr>
                <w:sz w:val="22"/>
                <w:szCs w:val="22"/>
              </w:rPr>
            </w:pPr>
            <w:r w:rsidRPr="00F44D55">
              <w:rPr>
                <w:sz w:val="22"/>
                <w:szCs w:val="22"/>
              </w:rPr>
              <w:t>Survey and form</w:t>
            </w:r>
          </w:p>
        </w:tc>
        <w:tc>
          <w:tcPr>
            <w:tcW w:w="2070" w:type="dxa"/>
            <w:gridSpan w:val="2"/>
          </w:tcPr>
          <w:p w:rsidRPr="00F44D55" w:rsidR="00911D00" w:rsidP="00751BC9" w:rsidRDefault="00911D00" w14:paraId="3A3FB5B4" w14:textId="77777777">
            <w:pPr>
              <w:spacing w:line="360" w:lineRule="auto"/>
              <w:rPr>
                <w:sz w:val="22"/>
                <w:szCs w:val="22"/>
              </w:rPr>
            </w:pPr>
            <w:r w:rsidRPr="00F44D55">
              <w:rPr>
                <w:sz w:val="22"/>
                <w:szCs w:val="22"/>
              </w:rPr>
              <w:t>FY 2017</w:t>
            </w:r>
          </w:p>
        </w:tc>
        <w:tc>
          <w:tcPr>
            <w:tcW w:w="2070" w:type="dxa"/>
            <w:gridSpan w:val="2"/>
          </w:tcPr>
          <w:p w:rsidRPr="00F44D55" w:rsidR="00911D00" w:rsidP="00751BC9" w:rsidRDefault="00911D00" w14:paraId="392A93EE" w14:textId="77777777">
            <w:pPr>
              <w:spacing w:line="360" w:lineRule="auto"/>
              <w:rPr>
                <w:sz w:val="22"/>
                <w:szCs w:val="22"/>
              </w:rPr>
            </w:pPr>
            <w:r w:rsidRPr="00F44D55">
              <w:rPr>
                <w:sz w:val="22"/>
                <w:szCs w:val="22"/>
              </w:rPr>
              <w:t>FY 2018</w:t>
            </w:r>
          </w:p>
        </w:tc>
        <w:tc>
          <w:tcPr>
            <w:tcW w:w="2070" w:type="dxa"/>
            <w:gridSpan w:val="2"/>
          </w:tcPr>
          <w:p w:rsidRPr="00F44D55" w:rsidR="00911D00" w:rsidP="00751BC9" w:rsidRDefault="00911D00" w14:paraId="3179EDA0" w14:textId="77777777">
            <w:pPr>
              <w:spacing w:line="360" w:lineRule="auto"/>
              <w:rPr>
                <w:sz w:val="22"/>
                <w:szCs w:val="22"/>
              </w:rPr>
            </w:pPr>
            <w:r w:rsidRPr="00F44D55">
              <w:rPr>
                <w:sz w:val="22"/>
                <w:szCs w:val="22"/>
              </w:rPr>
              <w:t>FY 2019</w:t>
            </w:r>
          </w:p>
        </w:tc>
        <w:tc>
          <w:tcPr>
            <w:tcW w:w="2070" w:type="dxa"/>
            <w:gridSpan w:val="2"/>
          </w:tcPr>
          <w:p w:rsidRPr="00F44D55" w:rsidR="00911D00" w:rsidP="00751BC9" w:rsidRDefault="00911D00" w14:paraId="46F2588D" w14:textId="77777777">
            <w:pPr>
              <w:spacing w:line="360" w:lineRule="auto"/>
              <w:rPr>
                <w:sz w:val="22"/>
                <w:szCs w:val="22"/>
              </w:rPr>
            </w:pPr>
            <w:r w:rsidRPr="00F44D55">
              <w:rPr>
                <w:sz w:val="22"/>
                <w:szCs w:val="22"/>
              </w:rPr>
              <w:t>FY 2020-21</w:t>
            </w:r>
          </w:p>
          <w:p w:rsidRPr="00F44D55" w:rsidR="00911D00" w:rsidP="00751BC9" w:rsidRDefault="00911D00" w14:paraId="7DF54030" w14:textId="4FAA2DC6">
            <w:pPr>
              <w:spacing w:line="360" w:lineRule="auto"/>
              <w:rPr>
                <w:sz w:val="22"/>
                <w:szCs w:val="22"/>
              </w:rPr>
            </w:pPr>
            <w:r w:rsidRPr="00F44D55">
              <w:rPr>
                <w:sz w:val="22"/>
                <w:szCs w:val="22"/>
              </w:rPr>
              <w:t>Estimates</w:t>
            </w:r>
          </w:p>
        </w:tc>
      </w:tr>
      <w:tr w:rsidRPr="00B636B9" w:rsidR="00911D00" w:rsidTr="007054EC" w14:paraId="01D68CB3" w14:textId="55E18760">
        <w:tc>
          <w:tcPr>
            <w:tcW w:w="1075" w:type="dxa"/>
            <w:vMerge/>
            <w:vAlign w:val="bottom"/>
          </w:tcPr>
          <w:p w:rsidRPr="00F44D55" w:rsidR="00911D00" w:rsidP="00751BC9" w:rsidRDefault="00911D00" w14:paraId="1B3FF7F2" w14:textId="1E6BD943">
            <w:pPr>
              <w:spacing w:line="360" w:lineRule="auto"/>
              <w:rPr>
                <w:sz w:val="22"/>
                <w:szCs w:val="22"/>
              </w:rPr>
            </w:pPr>
          </w:p>
        </w:tc>
        <w:tc>
          <w:tcPr>
            <w:tcW w:w="990" w:type="dxa"/>
          </w:tcPr>
          <w:p w:rsidRPr="00F44D55" w:rsidR="00911D00" w:rsidP="00751BC9" w:rsidRDefault="00911D00" w14:paraId="0017B265" w14:textId="77777777">
            <w:pPr>
              <w:spacing w:line="360" w:lineRule="auto"/>
              <w:rPr>
                <w:sz w:val="22"/>
                <w:szCs w:val="22"/>
              </w:rPr>
            </w:pPr>
            <w:r w:rsidRPr="00F44D55">
              <w:rPr>
                <w:sz w:val="22"/>
                <w:szCs w:val="22"/>
              </w:rPr>
              <w:t>Survey universe</w:t>
            </w:r>
          </w:p>
        </w:tc>
        <w:tc>
          <w:tcPr>
            <w:tcW w:w="1080" w:type="dxa"/>
          </w:tcPr>
          <w:p w:rsidRPr="00F44D55" w:rsidR="00911D00" w:rsidP="00751BC9" w:rsidRDefault="00911D00" w14:paraId="28237800" w14:textId="77777777">
            <w:pPr>
              <w:spacing w:line="360" w:lineRule="auto"/>
              <w:rPr>
                <w:sz w:val="22"/>
                <w:szCs w:val="22"/>
              </w:rPr>
            </w:pPr>
            <w:r w:rsidRPr="00F44D55">
              <w:rPr>
                <w:sz w:val="22"/>
                <w:szCs w:val="22"/>
              </w:rPr>
              <w:t>Response rate (%)</w:t>
            </w:r>
          </w:p>
        </w:tc>
        <w:tc>
          <w:tcPr>
            <w:tcW w:w="990" w:type="dxa"/>
          </w:tcPr>
          <w:p w:rsidRPr="00F44D55" w:rsidR="00911D00" w:rsidP="00751BC9" w:rsidRDefault="00911D00" w14:paraId="73BF7163" w14:textId="77777777">
            <w:pPr>
              <w:spacing w:line="360" w:lineRule="auto"/>
              <w:rPr>
                <w:sz w:val="22"/>
                <w:szCs w:val="22"/>
              </w:rPr>
            </w:pPr>
            <w:r w:rsidRPr="00F44D55">
              <w:rPr>
                <w:sz w:val="22"/>
                <w:szCs w:val="22"/>
              </w:rPr>
              <w:t>Survey universe</w:t>
            </w:r>
          </w:p>
        </w:tc>
        <w:tc>
          <w:tcPr>
            <w:tcW w:w="1080" w:type="dxa"/>
          </w:tcPr>
          <w:p w:rsidRPr="00F44D55" w:rsidR="00911D00" w:rsidP="00751BC9" w:rsidRDefault="00911D00" w14:paraId="126DE531" w14:textId="77777777">
            <w:pPr>
              <w:spacing w:line="360" w:lineRule="auto"/>
              <w:rPr>
                <w:sz w:val="22"/>
                <w:szCs w:val="22"/>
              </w:rPr>
            </w:pPr>
            <w:r w:rsidRPr="00F44D55">
              <w:rPr>
                <w:sz w:val="22"/>
                <w:szCs w:val="22"/>
              </w:rPr>
              <w:t>Response rate (%)</w:t>
            </w:r>
          </w:p>
        </w:tc>
        <w:tc>
          <w:tcPr>
            <w:tcW w:w="990" w:type="dxa"/>
          </w:tcPr>
          <w:p w:rsidRPr="00F44D55" w:rsidR="00911D00" w:rsidP="00751BC9" w:rsidRDefault="00911D00" w14:paraId="1CFE56F4" w14:textId="77777777">
            <w:pPr>
              <w:spacing w:line="360" w:lineRule="auto"/>
              <w:rPr>
                <w:sz w:val="22"/>
                <w:szCs w:val="22"/>
              </w:rPr>
            </w:pPr>
            <w:r w:rsidRPr="00F44D55">
              <w:rPr>
                <w:sz w:val="22"/>
                <w:szCs w:val="22"/>
              </w:rPr>
              <w:t>Survey universe</w:t>
            </w:r>
          </w:p>
        </w:tc>
        <w:tc>
          <w:tcPr>
            <w:tcW w:w="1080" w:type="dxa"/>
          </w:tcPr>
          <w:p w:rsidRPr="00F44D55" w:rsidR="00911D00" w:rsidP="00751BC9" w:rsidRDefault="00911D00" w14:paraId="645A936C" w14:textId="77777777">
            <w:pPr>
              <w:spacing w:line="360" w:lineRule="auto"/>
              <w:rPr>
                <w:sz w:val="22"/>
                <w:szCs w:val="22"/>
              </w:rPr>
            </w:pPr>
            <w:r w:rsidRPr="00F44D55">
              <w:rPr>
                <w:sz w:val="22"/>
                <w:szCs w:val="22"/>
              </w:rPr>
              <w:t>Response rate (%)</w:t>
            </w:r>
          </w:p>
        </w:tc>
        <w:tc>
          <w:tcPr>
            <w:tcW w:w="990" w:type="dxa"/>
          </w:tcPr>
          <w:p w:rsidRPr="00F44D55" w:rsidR="00911D00" w:rsidP="00751BC9" w:rsidRDefault="00911D00" w14:paraId="543909C9" w14:textId="05AD0581">
            <w:pPr>
              <w:spacing w:line="360" w:lineRule="auto"/>
              <w:rPr>
                <w:sz w:val="22"/>
                <w:szCs w:val="22"/>
              </w:rPr>
            </w:pPr>
            <w:r w:rsidRPr="00F44D55">
              <w:rPr>
                <w:sz w:val="22"/>
                <w:szCs w:val="22"/>
              </w:rPr>
              <w:t>Survey universe</w:t>
            </w:r>
          </w:p>
        </w:tc>
        <w:tc>
          <w:tcPr>
            <w:tcW w:w="1080" w:type="dxa"/>
          </w:tcPr>
          <w:p w:rsidRPr="00F44D55" w:rsidR="00911D00" w:rsidP="00751BC9" w:rsidRDefault="00911D00" w14:paraId="4813482A" w14:textId="217FA6E9">
            <w:pPr>
              <w:spacing w:line="360" w:lineRule="auto"/>
              <w:rPr>
                <w:sz w:val="22"/>
                <w:szCs w:val="22"/>
              </w:rPr>
            </w:pPr>
            <w:r w:rsidRPr="00F44D55">
              <w:rPr>
                <w:sz w:val="22"/>
                <w:szCs w:val="22"/>
              </w:rPr>
              <w:t>Response rate (%)</w:t>
            </w:r>
          </w:p>
        </w:tc>
      </w:tr>
      <w:tr w:rsidRPr="00B636B9" w:rsidR="00911D00" w:rsidTr="007054EC" w14:paraId="75536B6B" w14:textId="12337B65">
        <w:trPr>
          <w:trHeight w:val="144" w:hRule="exact"/>
        </w:trPr>
        <w:tc>
          <w:tcPr>
            <w:tcW w:w="1075" w:type="dxa"/>
          </w:tcPr>
          <w:p w:rsidRPr="00F44D55" w:rsidR="0032640C" w:rsidP="00751BC9" w:rsidRDefault="0032640C" w14:paraId="1EE0692D" w14:textId="77777777">
            <w:pPr>
              <w:spacing w:line="360" w:lineRule="auto"/>
              <w:rPr>
                <w:sz w:val="22"/>
                <w:szCs w:val="22"/>
              </w:rPr>
            </w:pPr>
          </w:p>
        </w:tc>
        <w:tc>
          <w:tcPr>
            <w:tcW w:w="990" w:type="dxa"/>
          </w:tcPr>
          <w:p w:rsidRPr="00F44D55" w:rsidR="0032640C" w:rsidP="00751BC9" w:rsidRDefault="0032640C" w14:paraId="222F9508" w14:textId="77777777">
            <w:pPr>
              <w:spacing w:line="360" w:lineRule="auto"/>
              <w:rPr>
                <w:sz w:val="22"/>
                <w:szCs w:val="22"/>
              </w:rPr>
            </w:pPr>
          </w:p>
        </w:tc>
        <w:tc>
          <w:tcPr>
            <w:tcW w:w="1080" w:type="dxa"/>
          </w:tcPr>
          <w:p w:rsidRPr="00F44D55" w:rsidR="0032640C" w:rsidP="00751BC9" w:rsidRDefault="0032640C" w14:paraId="1675086F" w14:textId="77777777">
            <w:pPr>
              <w:spacing w:line="360" w:lineRule="auto"/>
              <w:rPr>
                <w:sz w:val="22"/>
                <w:szCs w:val="22"/>
              </w:rPr>
            </w:pPr>
          </w:p>
        </w:tc>
        <w:tc>
          <w:tcPr>
            <w:tcW w:w="990" w:type="dxa"/>
          </w:tcPr>
          <w:p w:rsidRPr="00F44D55" w:rsidR="0032640C" w:rsidP="00751BC9" w:rsidRDefault="0032640C" w14:paraId="22D14A77" w14:textId="77777777">
            <w:pPr>
              <w:spacing w:line="360" w:lineRule="auto"/>
              <w:rPr>
                <w:sz w:val="22"/>
                <w:szCs w:val="22"/>
              </w:rPr>
            </w:pPr>
          </w:p>
        </w:tc>
        <w:tc>
          <w:tcPr>
            <w:tcW w:w="1080" w:type="dxa"/>
          </w:tcPr>
          <w:p w:rsidRPr="00F44D55" w:rsidR="0032640C" w:rsidP="00751BC9" w:rsidRDefault="0032640C" w14:paraId="52227D4A" w14:textId="77777777">
            <w:pPr>
              <w:spacing w:line="360" w:lineRule="auto"/>
              <w:rPr>
                <w:sz w:val="22"/>
                <w:szCs w:val="22"/>
              </w:rPr>
            </w:pPr>
          </w:p>
        </w:tc>
        <w:tc>
          <w:tcPr>
            <w:tcW w:w="990" w:type="dxa"/>
          </w:tcPr>
          <w:p w:rsidRPr="00F44D55" w:rsidR="0032640C" w:rsidP="00751BC9" w:rsidRDefault="0032640C" w14:paraId="102D535B" w14:textId="77777777">
            <w:pPr>
              <w:spacing w:line="360" w:lineRule="auto"/>
              <w:rPr>
                <w:sz w:val="22"/>
                <w:szCs w:val="22"/>
              </w:rPr>
            </w:pPr>
          </w:p>
        </w:tc>
        <w:tc>
          <w:tcPr>
            <w:tcW w:w="1080" w:type="dxa"/>
          </w:tcPr>
          <w:p w:rsidRPr="00F44D55" w:rsidR="0032640C" w:rsidP="00751BC9" w:rsidRDefault="0032640C" w14:paraId="35E38ADF" w14:textId="77777777">
            <w:pPr>
              <w:spacing w:line="360" w:lineRule="auto"/>
              <w:rPr>
                <w:sz w:val="22"/>
                <w:szCs w:val="22"/>
              </w:rPr>
            </w:pPr>
          </w:p>
        </w:tc>
        <w:tc>
          <w:tcPr>
            <w:tcW w:w="990" w:type="dxa"/>
          </w:tcPr>
          <w:p w:rsidRPr="00F44D55" w:rsidR="0032640C" w:rsidP="00751BC9" w:rsidRDefault="0032640C" w14:paraId="1EFE3705" w14:textId="77777777">
            <w:pPr>
              <w:spacing w:line="360" w:lineRule="auto"/>
              <w:rPr>
                <w:sz w:val="22"/>
                <w:szCs w:val="22"/>
              </w:rPr>
            </w:pPr>
          </w:p>
        </w:tc>
        <w:tc>
          <w:tcPr>
            <w:tcW w:w="1080" w:type="dxa"/>
          </w:tcPr>
          <w:p w:rsidRPr="00F44D55" w:rsidR="0032640C" w:rsidP="00751BC9" w:rsidRDefault="0032640C" w14:paraId="5C118850" w14:textId="77777777">
            <w:pPr>
              <w:spacing w:line="360" w:lineRule="auto"/>
              <w:rPr>
                <w:sz w:val="22"/>
                <w:szCs w:val="22"/>
              </w:rPr>
            </w:pPr>
          </w:p>
        </w:tc>
      </w:tr>
      <w:tr w:rsidRPr="00B636B9" w:rsidR="00A72FE7" w:rsidTr="009B05C8" w14:paraId="0747E55A" w14:textId="238495F5">
        <w:trPr>
          <w:trHeight w:val="288" w:hRule="exact"/>
        </w:trPr>
        <w:tc>
          <w:tcPr>
            <w:tcW w:w="1075" w:type="dxa"/>
            <w:vAlign w:val="center"/>
          </w:tcPr>
          <w:p w:rsidRPr="00F44D55" w:rsidR="00A72FE7" w:rsidP="00751BC9" w:rsidRDefault="00A72FE7" w14:paraId="1C4CE2FB" w14:textId="77777777">
            <w:pPr>
              <w:spacing w:line="360" w:lineRule="auto"/>
              <w:rPr>
                <w:sz w:val="22"/>
                <w:szCs w:val="22"/>
              </w:rPr>
            </w:pPr>
            <w:r w:rsidRPr="00F44D55">
              <w:rPr>
                <w:sz w:val="22"/>
                <w:szCs w:val="22"/>
              </w:rPr>
              <w:t>HERD</w:t>
            </w:r>
          </w:p>
        </w:tc>
        <w:tc>
          <w:tcPr>
            <w:tcW w:w="990" w:type="dxa"/>
            <w:vAlign w:val="center"/>
          </w:tcPr>
          <w:p w:rsidRPr="00F44D55" w:rsidR="00A72FE7" w:rsidP="00751BC9" w:rsidRDefault="00A72FE7" w14:paraId="4CAC7B71" w14:textId="77777777">
            <w:pPr>
              <w:spacing w:line="360" w:lineRule="auto"/>
              <w:rPr>
                <w:sz w:val="22"/>
                <w:szCs w:val="22"/>
              </w:rPr>
            </w:pPr>
            <w:r w:rsidRPr="00F44D55">
              <w:rPr>
                <w:sz w:val="22"/>
                <w:szCs w:val="22"/>
              </w:rPr>
              <w:t>903</w:t>
            </w:r>
          </w:p>
        </w:tc>
        <w:tc>
          <w:tcPr>
            <w:tcW w:w="1080" w:type="dxa"/>
            <w:vAlign w:val="center"/>
          </w:tcPr>
          <w:p w:rsidRPr="00F44D55" w:rsidR="00A72FE7" w:rsidP="00751BC9" w:rsidRDefault="00A72FE7" w14:paraId="10088A1A" w14:textId="77777777">
            <w:pPr>
              <w:spacing w:line="360" w:lineRule="auto"/>
              <w:rPr>
                <w:sz w:val="22"/>
                <w:szCs w:val="22"/>
              </w:rPr>
            </w:pPr>
            <w:r w:rsidRPr="00F44D55">
              <w:rPr>
                <w:sz w:val="22"/>
                <w:szCs w:val="22"/>
              </w:rPr>
              <w:t>96.2</w:t>
            </w:r>
          </w:p>
        </w:tc>
        <w:tc>
          <w:tcPr>
            <w:tcW w:w="990" w:type="dxa"/>
            <w:vAlign w:val="center"/>
          </w:tcPr>
          <w:p w:rsidRPr="00F44D55" w:rsidR="00A72FE7" w:rsidP="00751BC9" w:rsidRDefault="00A72FE7" w14:paraId="32A6B813" w14:textId="77777777">
            <w:pPr>
              <w:spacing w:line="360" w:lineRule="auto"/>
              <w:rPr>
                <w:sz w:val="22"/>
                <w:szCs w:val="22"/>
              </w:rPr>
            </w:pPr>
            <w:r w:rsidRPr="00F44D55">
              <w:rPr>
                <w:sz w:val="22"/>
                <w:szCs w:val="22"/>
              </w:rPr>
              <w:t>915</w:t>
            </w:r>
          </w:p>
        </w:tc>
        <w:tc>
          <w:tcPr>
            <w:tcW w:w="1080" w:type="dxa"/>
            <w:vAlign w:val="center"/>
          </w:tcPr>
          <w:p w:rsidRPr="00F44D55" w:rsidR="00A72FE7" w:rsidP="00751BC9" w:rsidRDefault="00A72FE7" w14:paraId="40F08652" w14:textId="77777777">
            <w:pPr>
              <w:spacing w:line="360" w:lineRule="auto"/>
              <w:rPr>
                <w:sz w:val="22"/>
                <w:szCs w:val="22"/>
              </w:rPr>
            </w:pPr>
            <w:r w:rsidRPr="00F44D55">
              <w:rPr>
                <w:sz w:val="22"/>
                <w:szCs w:val="22"/>
              </w:rPr>
              <w:t>96.9</w:t>
            </w:r>
          </w:p>
        </w:tc>
        <w:tc>
          <w:tcPr>
            <w:tcW w:w="990" w:type="dxa"/>
            <w:vAlign w:val="center"/>
          </w:tcPr>
          <w:p w:rsidRPr="00F44D55" w:rsidR="00A72FE7" w:rsidP="00751BC9" w:rsidRDefault="00A72FE7" w14:paraId="665DD453" w14:textId="77777777">
            <w:pPr>
              <w:spacing w:line="360" w:lineRule="auto"/>
              <w:rPr>
                <w:sz w:val="22"/>
                <w:szCs w:val="22"/>
              </w:rPr>
            </w:pPr>
            <w:r w:rsidRPr="00F44D55">
              <w:rPr>
                <w:sz w:val="22"/>
                <w:szCs w:val="22"/>
              </w:rPr>
              <w:t>916</w:t>
            </w:r>
          </w:p>
        </w:tc>
        <w:tc>
          <w:tcPr>
            <w:tcW w:w="1080" w:type="dxa"/>
            <w:vAlign w:val="center"/>
          </w:tcPr>
          <w:p w:rsidRPr="00F44D55" w:rsidR="00A72FE7" w:rsidP="00751BC9" w:rsidRDefault="00A72FE7" w14:paraId="38A75A81" w14:textId="77777777">
            <w:pPr>
              <w:spacing w:line="360" w:lineRule="auto"/>
              <w:rPr>
                <w:sz w:val="22"/>
                <w:szCs w:val="22"/>
              </w:rPr>
            </w:pPr>
            <w:r w:rsidRPr="00F44D55">
              <w:rPr>
                <w:sz w:val="22"/>
                <w:szCs w:val="22"/>
              </w:rPr>
              <w:t>96.7</w:t>
            </w:r>
          </w:p>
        </w:tc>
        <w:tc>
          <w:tcPr>
            <w:tcW w:w="990" w:type="dxa"/>
            <w:vAlign w:val="center"/>
          </w:tcPr>
          <w:p w:rsidRPr="00F44D55" w:rsidR="00A72FE7" w:rsidP="00751BC9" w:rsidRDefault="00A72FE7" w14:paraId="593C2212" w14:textId="08628FA8">
            <w:pPr>
              <w:spacing w:line="360" w:lineRule="auto"/>
              <w:rPr>
                <w:sz w:val="22"/>
                <w:szCs w:val="22"/>
              </w:rPr>
            </w:pPr>
            <w:r w:rsidRPr="00F44D55">
              <w:rPr>
                <w:sz w:val="22"/>
                <w:szCs w:val="22"/>
              </w:rPr>
              <w:t>925</w:t>
            </w:r>
          </w:p>
        </w:tc>
        <w:tc>
          <w:tcPr>
            <w:tcW w:w="1080" w:type="dxa"/>
            <w:vAlign w:val="center"/>
          </w:tcPr>
          <w:p w:rsidRPr="00F44D55" w:rsidR="00A72FE7" w:rsidP="00751BC9" w:rsidRDefault="00A72FE7" w14:paraId="3079A94D" w14:textId="1F4648DA">
            <w:pPr>
              <w:spacing w:line="360" w:lineRule="auto"/>
              <w:rPr>
                <w:sz w:val="22"/>
                <w:szCs w:val="22"/>
              </w:rPr>
            </w:pPr>
            <w:r w:rsidRPr="00F44D55">
              <w:rPr>
                <w:sz w:val="22"/>
                <w:szCs w:val="22"/>
              </w:rPr>
              <w:t>96.0</w:t>
            </w:r>
          </w:p>
        </w:tc>
      </w:tr>
      <w:tr w:rsidRPr="00B636B9" w:rsidR="00A72FE7" w:rsidTr="009B05C8" w14:paraId="47F1B75E" w14:textId="188ABDB5">
        <w:trPr>
          <w:trHeight w:val="288"/>
        </w:trPr>
        <w:tc>
          <w:tcPr>
            <w:tcW w:w="1075" w:type="dxa"/>
            <w:tcMar>
              <w:left w:w="216" w:type="dxa"/>
              <w:right w:w="115" w:type="dxa"/>
            </w:tcMar>
            <w:vAlign w:val="center"/>
          </w:tcPr>
          <w:p w:rsidRPr="00F44D55" w:rsidR="00A72FE7" w:rsidP="00751BC9" w:rsidRDefault="00A72FE7" w14:paraId="6C36630B" w14:textId="77777777">
            <w:pPr>
              <w:spacing w:line="360" w:lineRule="auto"/>
              <w:rPr>
                <w:sz w:val="20"/>
                <w:szCs w:val="20"/>
              </w:rPr>
            </w:pPr>
            <w:r w:rsidRPr="00F44D55">
              <w:rPr>
                <w:sz w:val="20"/>
                <w:szCs w:val="20"/>
              </w:rPr>
              <w:t>Standard form</w:t>
            </w:r>
          </w:p>
        </w:tc>
        <w:tc>
          <w:tcPr>
            <w:tcW w:w="990" w:type="dxa"/>
            <w:vAlign w:val="center"/>
          </w:tcPr>
          <w:p w:rsidRPr="00F44D55" w:rsidR="00A72FE7" w:rsidP="00751BC9" w:rsidRDefault="00A72FE7" w14:paraId="7D82836B" w14:textId="77777777">
            <w:pPr>
              <w:spacing w:line="360" w:lineRule="auto"/>
              <w:rPr>
                <w:sz w:val="22"/>
                <w:szCs w:val="22"/>
              </w:rPr>
            </w:pPr>
            <w:r w:rsidRPr="00F44D55">
              <w:rPr>
                <w:sz w:val="22"/>
                <w:szCs w:val="22"/>
              </w:rPr>
              <w:t>644</w:t>
            </w:r>
          </w:p>
        </w:tc>
        <w:tc>
          <w:tcPr>
            <w:tcW w:w="1080" w:type="dxa"/>
            <w:vAlign w:val="center"/>
          </w:tcPr>
          <w:p w:rsidRPr="00F44D55" w:rsidR="00A72FE7" w:rsidP="00751BC9" w:rsidRDefault="00A72FE7" w14:paraId="12F8ABC4" w14:textId="77777777">
            <w:pPr>
              <w:spacing w:line="360" w:lineRule="auto"/>
              <w:rPr>
                <w:sz w:val="22"/>
                <w:szCs w:val="22"/>
              </w:rPr>
            </w:pPr>
            <w:r w:rsidRPr="00F44D55">
              <w:rPr>
                <w:sz w:val="22"/>
                <w:szCs w:val="22"/>
              </w:rPr>
              <w:t>96.4</w:t>
            </w:r>
          </w:p>
        </w:tc>
        <w:tc>
          <w:tcPr>
            <w:tcW w:w="990" w:type="dxa"/>
            <w:vAlign w:val="center"/>
          </w:tcPr>
          <w:p w:rsidRPr="00F44D55" w:rsidR="00A72FE7" w:rsidP="00751BC9" w:rsidRDefault="00A72FE7" w14:paraId="68E23679" w14:textId="77777777">
            <w:pPr>
              <w:spacing w:line="360" w:lineRule="auto"/>
              <w:rPr>
                <w:sz w:val="22"/>
                <w:szCs w:val="22"/>
              </w:rPr>
            </w:pPr>
            <w:r w:rsidRPr="00F44D55">
              <w:rPr>
                <w:sz w:val="22"/>
                <w:szCs w:val="22"/>
              </w:rPr>
              <w:t>646</w:t>
            </w:r>
          </w:p>
        </w:tc>
        <w:tc>
          <w:tcPr>
            <w:tcW w:w="1080" w:type="dxa"/>
            <w:vAlign w:val="center"/>
          </w:tcPr>
          <w:p w:rsidRPr="00F44D55" w:rsidR="00A72FE7" w:rsidP="00751BC9" w:rsidRDefault="00A72FE7" w14:paraId="4950A99B" w14:textId="77777777">
            <w:pPr>
              <w:spacing w:line="360" w:lineRule="auto"/>
              <w:rPr>
                <w:sz w:val="22"/>
                <w:szCs w:val="22"/>
              </w:rPr>
            </w:pPr>
            <w:r w:rsidRPr="00F44D55">
              <w:rPr>
                <w:sz w:val="22"/>
                <w:szCs w:val="22"/>
              </w:rPr>
              <w:t>97.5</w:t>
            </w:r>
          </w:p>
        </w:tc>
        <w:tc>
          <w:tcPr>
            <w:tcW w:w="990" w:type="dxa"/>
            <w:vAlign w:val="center"/>
          </w:tcPr>
          <w:p w:rsidRPr="00F44D55" w:rsidR="00A72FE7" w:rsidP="00751BC9" w:rsidRDefault="00A72FE7" w14:paraId="36877D7F" w14:textId="77777777">
            <w:pPr>
              <w:spacing w:line="360" w:lineRule="auto"/>
              <w:rPr>
                <w:sz w:val="22"/>
                <w:szCs w:val="22"/>
              </w:rPr>
            </w:pPr>
            <w:r w:rsidRPr="00F44D55">
              <w:rPr>
                <w:sz w:val="22"/>
                <w:szCs w:val="22"/>
              </w:rPr>
              <w:t>647</w:t>
            </w:r>
          </w:p>
        </w:tc>
        <w:tc>
          <w:tcPr>
            <w:tcW w:w="1080" w:type="dxa"/>
            <w:vAlign w:val="center"/>
          </w:tcPr>
          <w:p w:rsidRPr="00F44D55" w:rsidR="00A72FE7" w:rsidP="00751BC9" w:rsidRDefault="00A72FE7" w14:paraId="06E630FB" w14:textId="77777777">
            <w:pPr>
              <w:spacing w:line="360" w:lineRule="auto"/>
              <w:rPr>
                <w:sz w:val="22"/>
                <w:szCs w:val="22"/>
              </w:rPr>
            </w:pPr>
            <w:r w:rsidRPr="00F44D55">
              <w:rPr>
                <w:sz w:val="22"/>
                <w:szCs w:val="22"/>
              </w:rPr>
              <w:t>97.7</w:t>
            </w:r>
          </w:p>
        </w:tc>
        <w:tc>
          <w:tcPr>
            <w:tcW w:w="990" w:type="dxa"/>
            <w:vAlign w:val="center"/>
          </w:tcPr>
          <w:p w:rsidRPr="00F44D55" w:rsidR="00A72FE7" w:rsidP="00751BC9" w:rsidRDefault="00A72FE7" w14:paraId="4ECCC708" w14:textId="622B2C4A">
            <w:pPr>
              <w:spacing w:line="360" w:lineRule="auto"/>
              <w:rPr>
                <w:sz w:val="22"/>
                <w:szCs w:val="22"/>
              </w:rPr>
            </w:pPr>
            <w:r w:rsidRPr="00F44D55">
              <w:rPr>
                <w:sz w:val="22"/>
                <w:szCs w:val="22"/>
              </w:rPr>
              <w:t>650</w:t>
            </w:r>
          </w:p>
        </w:tc>
        <w:tc>
          <w:tcPr>
            <w:tcW w:w="1080" w:type="dxa"/>
            <w:vAlign w:val="center"/>
          </w:tcPr>
          <w:p w:rsidRPr="00F44D55" w:rsidR="00A72FE7" w:rsidP="00751BC9" w:rsidRDefault="00A72FE7" w14:paraId="1D9C7FFA" w14:textId="4AC1E583">
            <w:pPr>
              <w:spacing w:line="360" w:lineRule="auto"/>
              <w:rPr>
                <w:sz w:val="22"/>
                <w:szCs w:val="22"/>
              </w:rPr>
            </w:pPr>
            <w:r w:rsidRPr="00F44D55">
              <w:rPr>
                <w:sz w:val="22"/>
                <w:szCs w:val="22"/>
              </w:rPr>
              <w:t>97.0</w:t>
            </w:r>
          </w:p>
        </w:tc>
      </w:tr>
      <w:tr w:rsidRPr="00B636B9" w:rsidR="00A72FE7" w:rsidTr="009B05C8" w14:paraId="4C6537C7" w14:textId="78D26AE3">
        <w:trPr>
          <w:trHeight w:val="288"/>
        </w:trPr>
        <w:tc>
          <w:tcPr>
            <w:tcW w:w="1075" w:type="dxa"/>
            <w:tcMar>
              <w:left w:w="216" w:type="dxa"/>
              <w:right w:w="115" w:type="dxa"/>
            </w:tcMar>
            <w:vAlign w:val="center"/>
          </w:tcPr>
          <w:p w:rsidRPr="00F44D55" w:rsidR="00A72FE7" w:rsidP="00751BC9" w:rsidRDefault="00A72FE7" w14:paraId="1F14751B" w14:textId="77777777">
            <w:pPr>
              <w:spacing w:line="360" w:lineRule="auto"/>
              <w:rPr>
                <w:sz w:val="22"/>
                <w:szCs w:val="22"/>
              </w:rPr>
            </w:pPr>
            <w:r w:rsidRPr="00F44D55">
              <w:rPr>
                <w:sz w:val="22"/>
                <w:szCs w:val="22"/>
              </w:rPr>
              <w:t>Short form</w:t>
            </w:r>
          </w:p>
        </w:tc>
        <w:tc>
          <w:tcPr>
            <w:tcW w:w="990" w:type="dxa"/>
            <w:vAlign w:val="center"/>
          </w:tcPr>
          <w:p w:rsidRPr="00F44D55" w:rsidR="00A72FE7" w:rsidP="00751BC9" w:rsidRDefault="00A72FE7" w14:paraId="6EDD4C1F" w14:textId="77777777">
            <w:pPr>
              <w:spacing w:line="360" w:lineRule="auto"/>
              <w:rPr>
                <w:sz w:val="22"/>
                <w:szCs w:val="22"/>
              </w:rPr>
            </w:pPr>
            <w:r w:rsidRPr="00F44D55">
              <w:rPr>
                <w:sz w:val="22"/>
                <w:szCs w:val="22"/>
              </w:rPr>
              <w:t>259</w:t>
            </w:r>
          </w:p>
        </w:tc>
        <w:tc>
          <w:tcPr>
            <w:tcW w:w="1080" w:type="dxa"/>
            <w:vAlign w:val="center"/>
          </w:tcPr>
          <w:p w:rsidRPr="00F44D55" w:rsidR="00A72FE7" w:rsidP="00751BC9" w:rsidRDefault="00A72FE7" w14:paraId="3ABE2DC2" w14:textId="77777777">
            <w:pPr>
              <w:spacing w:line="360" w:lineRule="auto"/>
              <w:rPr>
                <w:sz w:val="22"/>
                <w:szCs w:val="22"/>
              </w:rPr>
            </w:pPr>
            <w:r w:rsidRPr="00F44D55">
              <w:rPr>
                <w:sz w:val="22"/>
                <w:szCs w:val="22"/>
              </w:rPr>
              <w:t>95.8</w:t>
            </w:r>
          </w:p>
        </w:tc>
        <w:tc>
          <w:tcPr>
            <w:tcW w:w="990" w:type="dxa"/>
            <w:vAlign w:val="center"/>
          </w:tcPr>
          <w:p w:rsidRPr="00F44D55" w:rsidR="00A72FE7" w:rsidP="00751BC9" w:rsidRDefault="00A72FE7" w14:paraId="2CEE45EB" w14:textId="77777777">
            <w:pPr>
              <w:spacing w:line="360" w:lineRule="auto"/>
              <w:rPr>
                <w:sz w:val="22"/>
                <w:szCs w:val="22"/>
              </w:rPr>
            </w:pPr>
            <w:r w:rsidRPr="00F44D55">
              <w:rPr>
                <w:sz w:val="22"/>
                <w:szCs w:val="22"/>
              </w:rPr>
              <w:t>269</w:t>
            </w:r>
          </w:p>
        </w:tc>
        <w:tc>
          <w:tcPr>
            <w:tcW w:w="1080" w:type="dxa"/>
            <w:vAlign w:val="center"/>
          </w:tcPr>
          <w:p w:rsidRPr="00F44D55" w:rsidR="00A72FE7" w:rsidP="00751BC9" w:rsidRDefault="00A72FE7" w14:paraId="4BFD0510" w14:textId="77777777">
            <w:pPr>
              <w:spacing w:line="360" w:lineRule="auto"/>
              <w:rPr>
                <w:sz w:val="22"/>
                <w:szCs w:val="22"/>
              </w:rPr>
            </w:pPr>
            <w:r w:rsidRPr="00F44D55">
              <w:rPr>
                <w:sz w:val="22"/>
                <w:szCs w:val="22"/>
              </w:rPr>
              <w:t>95.5</w:t>
            </w:r>
          </w:p>
        </w:tc>
        <w:tc>
          <w:tcPr>
            <w:tcW w:w="990" w:type="dxa"/>
            <w:vAlign w:val="center"/>
          </w:tcPr>
          <w:p w:rsidRPr="00F44D55" w:rsidR="00A72FE7" w:rsidP="00751BC9" w:rsidRDefault="00A72FE7" w14:paraId="44B81599" w14:textId="77777777">
            <w:pPr>
              <w:spacing w:line="360" w:lineRule="auto"/>
              <w:rPr>
                <w:sz w:val="22"/>
                <w:szCs w:val="22"/>
              </w:rPr>
            </w:pPr>
            <w:r w:rsidRPr="00F44D55">
              <w:rPr>
                <w:sz w:val="22"/>
                <w:szCs w:val="22"/>
              </w:rPr>
              <w:t>269</w:t>
            </w:r>
          </w:p>
        </w:tc>
        <w:tc>
          <w:tcPr>
            <w:tcW w:w="1080" w:type="dxa"/>
            <w:vAlign w:val="center"/>
          </w:tcPr>
          <w:p w:rsidRPr="00F44D55" w:rsidR="00A72FE7" w:rsidP="00751BC9" w:rsidRDefault="00A72FE7" w14:paraId="65215FCD" w14:textId="77777777">
            <w:pPr>
              <w:spacing w:line="360" w:lineRule="auto"/>
              <w:rPr>
                <w:sz w:val="22"/>
                <w:szCs w:val="22"/>
              </w:rPr>
            </w:pPr>
            <w:r w:rsidRPr="00F44D55">
              <w:rPr>
                <w:sz w:val="22"/>
                <w:szCs w:val="22"/>
              </w:rPr>
              <w:t>94.4</w:t>
            </w:r>
          </w:p>
        </w:tc>
        <w:tc>
          <w:tcPr>
            <w:tcW w:w="990" w:type="dxa"/>
            <w:vAlign w:val="center"/>
          </w:tcPr>
          <w:p w:rsidRPr="00F44D55" w:rsidR="00A72FE7" w:rsidP="00751BC9" w:rsidRDefault="00A72FE7" w14:paraId="7EE0CACF" w14:textId="7D0C3786">
            <w:pPr>
              <w:spacing w:line="360" w:lineRule="auto"/>
              <w:rPr>
                <w:sz w:val="22"/>
                <w:szCs w:val="22"/>
              </w:rPr>
            </w:pPr>
            <w:r w:rsidRPr="00F44D55">
              <w:rPr>
                <w:sz w:val="22"/>
                <w:szCs w:val="22"/>
              </w:rPr>
              <w:t>275</w:t>
            </w:r>
          </w:p>
        </w:tc>
        <w:tc>
          <w:tcPr>
            <w:tcW w:w="1080" w:type="dxa"/>
            <w:vAlign w:val="center"/>
          </w:tcPr>
          <w:p w:rsidRPr="00F44D55" w:rsidR="00A72FE7" w:rsidP="00751BC9" w:rsidRDefault="00A72FE7" w14:paraId="3B5B8877" w14:textId="1B126637">
            <w:pPr>
              <w:spacing w:line="360" w:lineRule="auto"/>
              <w:rPr>
                <w:sz w:val="22"/>
                <w:szCs w:val="22"/>
              </w:rPr>
            </w:pPr>
            <w:r w:rsidRPr="00F44D55">
              <w:rPr>
                <w:sz w:val="22"/>
                <w:szCs w:val="22"/>
              </w:rPr>
              <w:t>94.0</w:t>
            </w:r>
          </w:p>
        </w:tc>
      </w:tr>
      <w:tr w:rsidRPr="00B636B9" w:rsidR="00911D00" w:rsidTr="007054EC" w14:paraId="235596BD" w14:textId="408B63B3">
        <w:trPr>
          <w:trHeight w:val="144" w:hRule="exact"/>
        </w:trPr>
        <w:tc>
          <w:tcPr>
            <w:tcW w:w="1075" w:type="dxa"/>
            <w:vAlign w:val="center"/>
          </w:tcPr>
          <w:p w:rsidRPr="00F44D55" w:rsidR="0032640C" w:rsidP="00751BC9" w:rsidRDefault="0032640C" w14:paraId="6219B43E" w14:textId="77777777">
            <w:pPr>
              <w:spacing w:line="360" w:lineRule="auto"/>
              <w:rPr>
                <w:sz w:val="22"/>
                <w:szCs w:val="22"/>
              </w:rPr>
            </w:pPr>
          </w:p>
        </w:tc>
        <w:tc>
          <w:tcPr>
            <w:tcW w:w="990" w:type="dxa"/>
            <w:vAlign w:val="center"/>
          </w:tcPr>
          <w:p w:rsidRPr="00F44D55" w:rsidR="0032640C" w:rsidP="00751BC9" w:rsidRDefault="0032640C" w14:paraId="0F249E65" w14:textId="77777777">
            <w:pPr>
              <w:spacing w:line="360" w:lineRule="auto"/>
              <w:rPr>
                <w:sz w:val="22"/>
                <w:szCs w:val="22"/>
              </w:rPr>
            </w:pPr>
          </w:p>
        </w:tc>
        <w:tc>
          <w:tcPr>
            <w:tcW w:w="1080" w:type="dxa"/>
            <w:vAlign w:val="center"/>
          </w:tcPr>
          <w:p w:rsidRPr="00F44D55" w:rsidR="0032640C" w:rsidP="00751BC9" w:rsidRDefault="0032640C" w14:paraId="0ADD4370" w14:textId="77777777">
            <w:pPr>
              <w:spacing w:line="360" w:lineRule="auto"/>
              <w:rPr>
                <w:sz w:val="22"/>
                <w:szCs w:val="22"/>
              </w:rPr>
            </w:pPr>
          </w:p>
        </w:tc>
        <w:tc>
          <w:tcPr>
            <w:tcW w:w="990" w:type="dxa"/>
            <w:vAlign w:val="center"/>
          </w:tcPr>
          <w:p w:rsidRPr="00F44D55" w:rsidR="0032640C" w:rsidP="00751BC9" w:rsidRDefault="0032640C" w14:paraId="6570E2BF" w14:textId="77777777">
            <w:pPr>
              <w:spacing w:line="360" w:lineRule="auto"/>
              <w:rPr>
                <w:sz w:val="22"/>
                <w:szCs w:val="22"/>
              </w:rPr>
            </w:pPr>
          </w:p>
        </w:tc>
        <w:tc>
          <w:tcPr>
            <w:tcW w:w="1080" w:type="dxa"/>
            <w:vAlign w:val="center"/>
          </w:tcPr>
          <w:p w:rsidRPr="00F44D55" w:rsidR="0032640C" w:rsidP="00751BC9" w:rsidRDefault="0032640C" w14:paraId="36B7A908" w14:textId="77777777">
            <w:pPr>
              <w:spacing w:line="360" w:lineRule="auto"/>
              <w:rPr>
                <w:sz w:val="22"/>
                <w:szCs w:val="22"/>
              </w:rPr>
            </w:pPr>
          </w:p>
        </w:tc>
        <w:tc>
          <w:tcPr>
            <w:tcW w:w="990" w:type="dxa"/>
            <w:vAlign w:val="center"/>
          </w:tcPr>
          <w:p w:rsidRPr="00F44D55" w:rsidR="0032640C" w:rsidP="00751BC9" w:rsidRDefault="0032640C" w14:paraId="3EDC641C" w14:textId="77777777">
            <w:pPr>
              <w:spacing w:line="360" w:lineRule="auto"/>
              <w:rPr>
                <w:sz w:val="22"/>
                <w:szCs w:val="22"/>
              </w:rPr>
            </w:pPr>
          </w:p>
        </w:tc>
        <w:tc>
          <w:tcPr>
            <w:tcW w:w="1080" w:type="dxa"/>
            <w:vAlign w:val="center"/>
          </w:tcPr>
          <w:p w:rsidRPr="00F44D55" w:rsidR="0032640C" w:rsidP="00751BC9" w:rsidRDefault="0032640C" w14:paraId="27F95599" w14:textId="77777777">
            <w:pPr>
              <w:spacing w:line="360" w:lineRule="auto"/>
              <w:rPr>
                <w:sz w:val="22"/>
                <w:szCs w:val="22"/>
              </w:rPr>
            </w:pPr>
          </w:p>
        </w:tc>
        <w:tc>
          <w:tcPr>
            <w:tcW w:w="990" w:type="dxa"/>
          </w:tcPr>
          <w:p w:rsidRPr="00F44D55" w:rsidR="0032640C" w:rsidP="00751BC9" w:rsidRDefault="0032640C" w14:paraId="0FF68884" w14:textId="77777777">
            <w:pPr>
              <w:spacing w:line="360" w:lineRule="auto"/>
              <w:rPr>
                <w:sz w:val="22"/>
                <w:szCs w:val="22"/>
              </w:rPr>
            </w:pPr>
          </w:p>
        </w:tc>
        <w:tc>
          <w:tcPr>
            <w:tcW w:w="1080" w:type="dxa"/>
          </w:tcPr>
          <w:p w:rsidRPr="00F44D55" w:rsidR="0032640C" w:rsidP="00751BC9" w:rsidRDefault="0032640C" w14:paraId="3E7C8E5D" w14:textId="77777777">
            <w:pPr>
              <w:spacing w:line="360" w:lineRule="auto"/>
              <w:rPr>
                <w:sz w:val="22"/>
                <w:szCs w:val="22"/>
              </w:rPr>
            </w:pPr>
          </w:p>
        </w:tc>
      </w:tr>
      <w:tr w:rsidRPr="00B636B9" w:rsidR="00911D00" w:rsidTr="007054EC" w14:paraId="18ECF810" w14:textId="340DF4BE">
        <w:trPr>
          <w:trHeight w:val="288"/>
        </w:trPr>
        <w:tc>
          <w:tcPr>
            <w:tcW w:w="1075" w:type="dxa"/>
            <w:vAlign w:val="center"/>
          </w:tcPr>
          <w:p w:rsidRPr="00F44D55" w:rsidR="0032640C" w:rsidP="00751BC9" w:rsidRDefault="0032640C" w14:paraId="2584A76E" w14:textId="77777777">
            <w:pPr>
              <w:spacing w:line="360" w:lineRule="auto"/>
              <w:rPr>
                <w:sz w:val="22"/>
                <w:szCs w:val="22"/>
              </w:rPr>
            </w:pPr>
            <w:r w:rsidRPr="00F44D55">
              <w:rPr>
                <w:sz w:val="22"/>
                <w:szCs w:val="22"/>
              </w:rPr>
              <w:t>FFRDC</w:t>
            </w:r>
          </w:p>
        </w:tc>
        <w:tc>
          <w:tcPr>
            <w:tcW w:w="990" w:type="dxa"/>
            <w:vAlign w:val="center"/>
          </w:tcPr>
          <w:p w:rsidRPr="00F44D55" w:rsidR="0032640C" w:rsidP="00751BC9" w:rsidRDefault="0032640C" w14:paraId="6D17E779" w14:textId="77777777">
            <w:pPr>
              <w:spacing w:line="360" w:lineRule="auto"/>
              <w:rPr>
                <w:sz w:val="22"/>
                <w:szCs w:val="22"/>
              </w:rPr>
            </w:pPr>
            <w:r w:rsidRPr="00F44D55">
              <w:rPr>
                <w:sz w:val="22"/>
                <w:szCs w:val="22"/>
              </w:rPr>
              <w:t>42</w:t>
            </w:r>
          </w:p>
        </w:tc>
        <w:tc>
          <w:tcPr>
            <w:tcW w:w="1080" w:type="dxa"/>
            <w:vAlign w:val="center"/>
          </w:tcPr>
          <w:p w:rsidRPr="00F44D55" w:rsidR="0032640C" w:rsidP="00751BC9" w:rsidRDefault="0032640C" w14:paraId="4917F5DB" w14:textId="03BF95CC">
            <w:pPr>
              <w:spacing w:line="360" w:lineRule="auto"/>
              <w:rPr>
                <w:sz w:val="22"/>
                <w:szCs w:val="22"/>
              </w:rPr>
            </w:pPr>
            <w:r w:rsidRPr="00F44D55">
              <w:rPr>
                <w:sz w:val="22"/>
                <w:szCs w:val="22"/>
              </w:rPr>
              <w:t>100.0</w:t>
            </w:r>
          </w:p>
        </w:tc>
        <w:tc>
          <w:tcPr>
            <w:tcW w:w="990" w:type="dxa"/>
            <w:vAlign w:val="center"/>
          </w:tcPr>
          <w:p w:rsidRPr="00F44D55" w:rsidR="0032640C" w:rsidP="00751BC9" w:rsidRDefault="0032640C" w14:paraId="373FB7CA" w14:textId="77777777">
            <w:pPr>
              <w:spacing w:line="360" w:lineRule="auto"/>
              <w:rPr>
                <w:sz w:val="22"/>
                <w:szCs w:val="22"/>
              </w:rPr>
            </w:pPr>
            <w:r w:rsidRPr="00F44D55">
              <w:rPr>
                <w:sz w:val="22"/>
                <w:szCs w:val="22"/>
              </w:rPr>
              <w:t>42</w:t>
            </w:r>
          </w:p>
        </w:tc>
        <w:tc>
          <w:tcPr>
            <w:tcW w:w="1080" w:type="dxa"/>
            <w:vAlign w:val="center"/>
          </w:tcPr>
          <w:p w:rsidRPr="00F44D55" w:rsidR="0032640C" w:rsidP="00751BC9" w:rsidRDefault="0032640C" w14:paraId="227A8312" w14:textId="77777777">
            <w:pPr>
              <w:spacing w:line="360" w:lineRule="auto"/>
              <w:rPr>
                <w:sz w:val="22"/>
                <w:szCs w:val="22"/>
              </w:rPr>
            </w:pPr>
            <w:r w:rsidRPr="00F44D55">
              <w:rPr>
                <w:sz w:val="22"/>
                <w:szCs w:val="22"/>
              </w:rPr>
              <w:t>100.0</w:t>
            </w:r>
          </w:p>
        </w:tc>
        <w:tc>
          <w:tcPr>
            <w:tcW w:w="990" w:type="dxa"/>
            <w:vAlign w:val="center"/>
          </w:tcPr>
          <w:p w:rsidRPr="00F44D55" w:rsidR="0032640C" w:rsidP="00751BC9" w:rsidRDefault="0032640C" w14:paraId="51031657" w14:textId="77777777">
            <w:pPr>
              <w:spacing w:line="360" w:lineRule="auto"/>
              <w:rPr>
                <w:sz w:val="22"/>
                <w:szCs w:val="22"/>
              </w:rPr>
            </w:pPr>
            <w:r w:rsidRPr="00F44D55">
              <w:rPr>
                <w:sz w:val="22"/>
                <w:szCs w:val="22"/>
              </w:rPr>
              <w:t>42</w:t>
            </w:r>
          </w:p>
        </w:tc>
        <w:tc>
          <w:tcPr>
            <w:tcW w:w="1080" w:type="dxa"/>
            <w:vAlign w:val="center"/>
          </w:tcPr>
          <w:p w:rsidRPr="00F44D55" w:rsidR="0032640C" w:rsidP="00751BC9" w:rsidRDefault="0032640C" w14:paraId="7E7CE869" w14:textId="77777777">
            <w:pPr>
              <w:spacing w:line="360" w:lineRule="auto"/>
              <w:rPr>
                <w:sz w:val="22"/>
                <w:szCs w:val="22"/>
              </w:rPr>
            </w:pPr>
            <w:r w:rsidRPr="00F44D55">
              <w:rPr>
                <w:sz w:val="22"/>
                <w:szCs w:val="22"/>
              </w:rPr>
              <w:t>100.0</w:t>
            </w:r>
          </w:p>
        </w:tc>
        <w:tc>
          <w:tcPr>
            <w:tcW w:w="990" w:type="dxa"/>
          </w:tcPr>
          <w:p w:rsidRPr="00F44D55" w:rsidR="0032640C" w:rsidP="00751BC9" w:rsidRDefault="0032640C" w14:paraId="2C1AE1E0" w14:textId="6F3B0706">
            <w:pPr>
              <w:spacing w:line="360" w:lineRule="auto"/>
              <w:rPr>
                <w:sz w:val="22"/>
                <w:szCs w:val="22"/>
              </w:rPr>
            </w:pPr>
            <w:r w:rsidRPr="00F44D55">
              <w:rPr>
                <w:sz w:val="22"/>
                <w:szCs w:val="22"/>
              </w:rPr>
              <w:t>42</w:t>
            </w:r>
          </w:p>
        </w:tc>
        <w:tc>
          <w:tcPr>
            <w:tcW w:w="1080" w:type="dxa"/>
          </w:tcPr>
          <w:p w:rsidRPr="00F44D55" w:rsidR="0032640C" w:rsidP="00751BC9" w:rsidRDefault="0032640C" w14:paraId="1672F60B" w14:textId="7B5A6ADD">
            <w:pPr>
              <w:spacing w:line="360" w:lineRule="auto"/>
              <w:rPr>
                <w:sz w:val="22"/>
                <w:szCs w:val="22"/>
              </w:rPr>
            </w:pPr>
            <w:r w:rsidRPr="00F44D55">
              <w:rPr>
                <w:sz w:val="22"/>
                <w:szCs w:val="22"/>
              </w:rPr>
              <w:t>100.0</w:t>
            </w:r>
          </w:p>
        </w:tc>
      </w:tr>
    </w:tbl>
    <w:p w:rsidR="0072071D" w:rsidP="00751BC9" w:rsidRDefault="0072071D" w14:paraId="5F98BC78" w14:textId="77777777">
      <w:pPr>
        <w:spacing w:line="360" w:lineRule="auto"/>
      </w:pPr>
    </w:p>
    <w:p w:rsidR="007054EC" w:rsidP="00751BC9" w:rsidRDefault="005577AF" w14:paraId="3AF3EDEE" w14:textId="76759927">
      <w:pPr>
        <w:spacing w:line="360" w:lineRule="auto"/>
        <w:ind w:firstLine="720"/>
      </w:pPr>
      <w:r w:rsidRPr="46AE0263">
        <w:t>The AAPOR response rate 6 (RR6) is used to calculate the overall survey response rate (</w:t>
      </w:r>
      <w:hyperlink w:history="1" r:id="rId11">
        <w:r w:rsidRPr="009B5989" w:rsidR="002D2EFE">
          <w:rPr>
            <w:rStyle w:val="Hyperlink"/>
          </w:rPr>
          <w:t>https://www.aapor.org/AAPOR_Main/media/publications/Standard-</w:t>
        </w:r>
        <w:r w:rsidRPr="009B5989" w:rsidR="002D2EFE">
          <w:rPr>
            <w:rStyle w:val="Hyperlink"/>
          </w:rPr>
          <w:lastRenderedPageBreak/>
          <w:t>Definitions20169theditionfinal.pdf</w:t>
        </w:r>
      </w:hyperlink>
      <w:r w:rsidRPr="46AE0263">
        <w:t xml:space="preserve"> page 62). This response rate includes complete plus partial responses in the numerator divided by all known eligible institutions. </w:t>
      </w:r>
      <w:r w:rsidRPr="007054EC" w:rsidR="007054EC">
        <w:t xml:space="preserve">The FFRDC R&amp;D </w:t>
      </w:r>
      <w:r w:rsidR="00BA2AEE">
        <w:t>s</w:t>
      </w:r>
      <w:r w:rsidRPr="007054EC" w:rsidR="007054EC">
        <w:t>urvey has consistently o</w:t>
      </w:r>
      <w:r w:rsidR="007054EC">
        <w:t>btained 100% response each year and that rate is expected for FY 2020-21. Based on recent collections (</w:t>
      </w:r>
      <w:r w:rsidRPr="002D2EFE" w:rsidR="007054EC">
        <w:t xml:space="preserve">see </w:t>
      </w:r>
      <w:r w:rsidRPr="002D2EFE" w:rsidR="002D2EFE">
        <w:t>Table B.1.1</w:t>
      </w:r>
      <w:r w:rsidR="007054EC">
        <w:t xml:space="preserve">), the estimated response rate for HERD for FY 2020-21 </w:t>
      </w:r>
      <w:r w:rsidR="002D5C0F">
        <w:t>is at</w:t>
      </w:r>
      <w:r w:rsidR="007054EC">
        <w:t xml:space="preserve"> least 96%</w:t>
      </w:r>
      <w:r w:rsidR="008877DB">
        <w:t xml:space="preserve">, with a 97% response rate for institutions completing the standard form and a 94% response rate for institution completing the short form. </w:t>
      </w:r>
    </w:p>
    <w:p w:rsidRPr="008835A3" w:rsidR="007054EC" w:rsidP="00751BC9" w:rsidRDefault="007054EC" w14:paraId="2175FD9C" w14:textId="77777777">
      <w:pPr>
        <w:spacing w:line="360" w:lineRule="auto"/>
      </w:pPr>
    </w:p>
    <w:p w:rsidRPr="00A76B2A" w:rsidR="008E3D54" w:rsidP="00751BC9" w:rsidRDefault="002A7E7A" w14:paraId="468F1BA5" w14:textId="62ACA28A">
      <w:pPr>
        <w:pStyle w:val="Heading2"/>
        <w:numPr>
          <w:ilvl w:val="0"/>
          <w:numId w:val="15"/>
        </w:numPr>
        <w:spacing w:line="360" w:lineRule="auto"/>
      </w:pPr>
      <w:bookmarkStart w:name="_Toc125451691" w:id="19"/>
      <w:bookmarkStart w:name="_Toc125451757" w:id="20"/>
      <w:bookmarkStart w:name="_Toc125451858" w:id="21"/>
      <w:bookmarkStart w:name="_Toc56782364" w:id="22"/>
      <w:bookmarkEnd w:id="19"/>
      <w:bookmarkEnd w:id="20"/>
      <w:bookmarkEnd w:id="21"/>
      <w:r>
        <w:t xml:space="preserve">Information </w:t>
      </w:r>
      <w:r w:rsidRPr="00357A76">
        <w:t>Collection</w:t>
      </w:r>
      <w:r>
        <w:t xml:space="preserve"> Procedures</w:t>
      </w:r>
      <w:bookmarkEnd w:id="22"/>
    </w:p>
    <w:p w:rsidRPr="002D5C0F" w:rsidR="00953884" w:rsidP="00751BC9" w:rsidRDefault="002D5C0F" w14:paraId="7B2457D6" w14:textId="2691B4EF">
      <w:pPr>
        <w:pStyle w:val="Heading3"/>
        <w:spacing w:line="360" w:lineRule="auto"/>
      </w:pPr>
      <w:bookmarkStart w:name="_Toc56782365" w:id="23"/>
      <w:r>
        <w:t>B.2.1</w:t>
      </w:r>
      <w:r>
        <w:tab/>
      </w:r>
      <w:r w:rsidRPr="00804BC4" w:rsidR="008F211E">
        <w:t xml:space="preserve">Identifying </w:t>
      </w:r>
      <w:r w:rsidRPr="000E319E" w:rsidR="008F211E">
        <w:t>Eligible</w:t>
      </w:r>
      <w:r w:rsidRPr="00804BC4" w:rsidR="008F211E">
        <w:t xml:space="preserve"> Institutions</w:t>
      </w:r>
      <w:bookmarkEnd w:id="23"/>
      <w:r w:rsidRPr="00804BC4" w:rsidR="008E3D54">
        <w:t xml:space="preserve"> </w:t>
      </w:r>
    </w:p>
    <w:p w:rsidR="00D00602" w:rsidP="00751BC9" w:rsidRDefault="008E3D54" w14:paraId="5EADAD08" w14:textId="70BB3864">
      <w:pPr>
        <w:spacing w:line="360" w:lineRule="auto"/>
        <w:ind w:firstLine="360"/>
      </w:pPr>
      <w:r>
        <w:t>Prior to the survey launch, a population review will be conducted to identify newly eligible</w:t>
      </w:r>
      <w:r w:rsidR="00862299">
        <w:t xml:space="preserve"> institutions for the surveys. </w:t>
      </w:r>
      <w:r>
        <w:t xml:space="preserve">For the FFRDC </w:t>
      </w:r>
      <w:r w:rsidR="00BA2AEE">
        <w:t>s</w:t>
      </w:r>
      <w:r>
        <w:t>urvey this involves a review of the current NCSES Master List of FFRDCs to update the popul</w:t>
      </w:r>
      <w:r w:rsidR="00862299">
        <w:t xml:space="preserve">ation as needed.  For the HERD </w:t>
      </w:r>
      <w:r w:rsidR="00BA2AEE">
        <w:t>s</w:t>
      </w:r>
      <w:r>
        <w:t xml:space="preserve">urvey, this involves </w:t>
      </w:r>
      <w:r w:rsidR="00D00602">
        <w:t xml:space="preserve">sending a screener to </w:t>
      </w:r>
      <w:r w:rsidR="002D5C0F">
        <w:t>public or private nonprofit universities and colleges</w:t>
      </w:r>
      <w:r w:rsidR="00D00602">
        <w:t xml:space="preserve"> that, based on degrees granted and research expenditures reported to IPEDS, may expend $150,000 or more </w:t>
      </w:r>
      <w:r w:rsidR="00862299">
        <w:t xml:space="preserve">annually </w:t>
      </w:r>
      <w:r w:rsidR="00D00602">
        <w:t>for R&amp;D activities</w:t>
      </w:r>
      <w:r w:rsidR="004B3C95">
        <w:t xml:space="preserve"> (see attachments 5 and 6)</w:t>
      </w:r>
      <w:r w:rsidR="00D00602">
        <w:t xml:space="preserve">. </w:t>
      </w:r>
      <w:r w:rsidR="002D5C0F">
        <w:t>Screeners will be</w:t>
      </w:r>
      <w:r w:rsidR="00D00602">
        <w:t xml:space="preserve"> sent to: </w:t>
      </w:r>
    </w:p>
    <w:p w:rsidR="00D00602" w:rsidP="00751BC9" w:rsidRDefault="00D00602" w14:paraId="09AF8824" w14:textId="77777777">
      <w:pPr>
        <w:spacing w:line="360" w:lineRule="auto"/>
      </w:pPr>
    </w:p>
    <w:p w:rsidRPr="00D00602" w:rsidR="00D00602" w:rsidP="00751BC9" w:rsidRDefault="00D00602" w14:paraId="5D8BB078" w14:textId="590E46E6">
      <w:pPr>
        <w:pStyle w:val="ListParagraph"/>
        <w:numPr>
          <w:ilvl w:val="0"/>
          <w:numId w:val="22"/>
        </w:numPr>
        <w:spacing w:line="360" w:lineRule="auto"/>
      </w:pPr>
      <w:r w:rsidRPr="00D00602">
        <w:t xml:space="preserve">institutions granting a bachelor’s degree or higher and reporting an amount greater than $0 for research on the most recently available </w:t>
      </w:r>
      <w:r>
        <w:t>IPEDS</w:t>
      </w:r>
      <w:r w:rsidRPr="00D00602">
        <w:t xml:space="preserve"> Finance Survey,</w:t>
      </w:r>
    </w:p>
    <w:p w:rsidRPr="00D00602" w:rsidR="00D00602" w:rsidP="00751BC9" w:rsidRDefault="00D00602" w14:paraId="41DED6BA" w14:textId="75AE449D">
      <w:pPr>
        <w:pStyle w:val="ListParagraph"/>
        <w:numPr>
          <w:ilvl w:val="0"/>
          <w:numId w:val="22"/>
        </w:numPr>
        <w:spacing w:line="360" w:lineRule="auto"/>
      </w:pPr>
      <w:r w:rsidRPr="00D00602">
        <w:t xml:space="preserve">all U.S. service institutions granting a bachelor’s degree or higher, not reporting to IPEDS, and not already being part of the HERD population, and </w:t>
      </w:r>
    </w:p>
    <w:p w:rsidRPr="00D00602" w:rsidR="00D00602" w:rsidP="00751BC9" w:rsidRDefault="00D00602" w14:paraId="4501195A" w14:textId="7824A788">
      <w:pPr>
        <w:pStyle w:val="ListParagraph"/>
        <w:numPr>
          <w:ilvl w:val="0"/>
          <w:numId w:val="22"/>
        </w:numPr>
        <w:spacing w:line="360" w:lineRule="auto"/>
      </w:pPr>
      <w:r w:rsidRPr="00D00602">
        <w:t xml:space="preserve">institutions granting graduate degrees, not reporting to IPEDS, and not already being part of the HERD population. </w:t>
      </w:r>
    </w:p>
    <w:p w:rsidR="002D5C0F" w:rsidP="00751BC9" w:rsidRDefault="002D5C0F" w14:paraId="158BAF99" w14:textId="77777777">
      <w:pPr>
        <w:spacing w:line="360" w:lineRule="auto"/>
      </w:pPr>
    </w:p>
    <w:p w:rsidR="00862299" w:rsidP="00751BC9" w:rsidRDefault="008E3D54" w14:paraId="26CFAB3D" w14:textId="2F609B70">
      <w:pPr>
        <w:spacing w:line="360" w:lineRule="auto"/>
        <w:ind w:firstLine="360"/>
      </w:pPr>
      <w:r>
        <w:t>The number of academic institutions contacted is e</w:t>
      </w:r>
      <w:r w:rsidR="002D5C0F">
        <w:t>stimated to be approximately 125</w:t>
      </w:r>
      <w:r w:rsidRPr="0003798E">
        <w:t xml:space="preserve"> per</w:t>
      </w:r>
      <w:r>
        <w:t xml:space="preserve"> year.  These institutions will receive an email with a pdf attachment of the Population Review questionnaire. This brief survey will ask whether the institution spent over $150,000 on R&amp;D projects during either of the past two fiscal years, and if so, whether the </w:t>
      </w:r>
      <w:r w:rsidRPr="00C97D79">
        <w:t>expenditures were estimated to b</w:t>
      </w:r>
      <w:r w:rsidR="002D5C0F">
        <w:t>e between $150,000 to $999,999 or $1,000,000</w:t>
      </w:r>
      <w:r w:rsidRPr="00C97D79">
        <w:t xml:space="preserve"> or more.</w:t>
      </w:r>
      <w:r>
        <w:t xml:space="preserve"> </w:t>
      </w:r>
      <w:r w:rsidR="00862299">
        <w:t xml:space="preserve">Institutions began being asked about two years of expenditures on the FY 2019 screener. Close to 74% of institutions receiving the screener is past years had been contacted repeatedly for multiple years. Asking </w:t>
      </w:r>
      <w:r w:rsidR="00862299">
        <w:lastRenderedPageBreak/>
        <w:t>about two years of R&amp;D expenditures reduces burden to the population by limiting contacts to any specific institution to every two years.</w:t>
      </w:r>
    </w:p>
    <w:p w:rsidR="002D5C0F" w:rsidP="00751BC9" w:rsidRDefault="002D5C0F" w14:paraId="3F9ADCBF" w14:textId="4B605B0C">
      <w:pPr>
        <w:spacing w:line="360" w:lineRule="auto"/>
        <w:ind w:firstLine="360"/>
      </w:pPr>
      <w:r w:rsidRPr="002D5C0F">
        <w:t xml:space="preserve">All institutions reporting </w:t>
      </w:r>
      <w:r w:rsidR="00862299">
        <w:t xml:space="preserve">on the screener </w:t>
      </w:r>
      <w:r w:rsidRPr="002D5C0F">
        <w:t>at least $150,000 but less than $1,000,000 in total R&amp;D expenditures during the previous fiscal year will be included in the population and asked to complete the HERD short form. All institutions reporting $1,000,000 or more in total R&amp;D expenditures during the previous fiscal year will be included in the population and asked to complete the HERD standard form.</w:t>
      </w:r>
    </w:p>
    <w:p w:rsidRPr="00862299" w:rsidR="00862299" w:rsidP="00751BC9" w:rsidRDefault="00862299" w14:paraId="0203FC27" w14:textId="77777777">
      <w:pPr>
        <w:spacing w:line="360" w:lineRule="auto"/>
      </w:pPr>
    </w:p>
    <w:p w:rsidRPr="00862299" w:rsidR="00862299" w:rsidP="00751BC9" w:rsidRDefault="00862299" w14:paraId="166B5E20" w14:textId="0D807753">
      <w:pPr>
        <w:pStyle w:val="Heading3"/>
        <w:spacing w:line="360" w:lineRule="auto"/>
      </w:pPr>
      <w:bookmarkStart w:name="_Toc56782366" w:id="24"/>
      <w:r w:rsidRPr="00862299">
        <w:t>B.2.2</w:t>
      </w:r>
      <w:r w:rsidRPr="00862299">
        <w:tab/>
      </w:r>
      <w:r w:rsidRPr="00862299">
        <w:rPr>
          <w:rStyle w:val="Heading3Char"/>
          <w:b/>
          <w:i/>
        </w:rPr>
        <w:t>Collection Procedures</w:t>
      </w:r>
      <w:bookmarkEnd w:id="24"/>
    </w:p>
    <w:p w:rsidR="008E3D54" w:rsidP="00751BC9" w:rsidRDefault="00932AAE" w14:paraId="1461ABE8" w14:textId="25BA2D19">
      <w:pPr>
        <w:spacing w:line="360" w:lineRule="auto"/>
        <w:ind w:firstLine="720"/>
      </w:pPr>
      <w:r>
        <w:t>After eligible institutions have bee</w:t>
      </w:r>
      <w:r w:rsidR="008E3D54">
        <w:t xml:space="preserve">n </w:t>
      </w:r>
      <w:r>
        <w:t xml:space="preserve">identified, an </w:t>
      </w:r>
      <w:r w:rsidR="008E3D54">
        <w:t xml:space="preserve">initial </w:t>
      </w:r>
      <w:r>
        <w:t xml:space="preserve">request to verify </w:t>
      </w:r>
      <w:r w:rsidR="008E3D54">
        <w:t>contact</w:t>
      </w:r>
      <w:r>
        <w:t xml:space="preserve"> information will be sent to the primary contacts identified during th</w:t>
      </w:r>
      <w:r w:rsidR="000E319E">
        <w:t>e previous collection or on</w:t>
      </w:r>
      <w:r>
        <w:t xml:space="preserve"> the population review screener</w:t>
      </w:r>
      <w:r w:rsidR="000E319E">
        <w:t xml:space="preserve">. </w:t>
      </w:r>
      <w:r w:rsidR="008E3D54">
        <w:t>One week later the r</w:t>
      </w:r>
      <w:r w:rsidRPr="00767084" w:rsidR="008E3D54">
        <w:t xml:space="preserve">espondents </w:t>
      </w:r>
      <w:r w:rsidR="008E3D54">
        <w:t>will be</w:t>
      </w:r>
      <w:r w:rsidR="000E319E">
        <w:t xml:space="preserve"> sent an email with information about how to access the web survey including </w:t>
      </w:r>
      <w:r w:rsidR="008E3D54">
        <w:t>user ID and</w:t>
      </w:r>
      <w:r w:rsidR="000E319E">
        <w:t xml:space="preserve"> instructions </w:t>
      </w:r>
      <w:r w:rsidR="002938D4">
        <w:t xml:space="preserve">to </w:t>
      </w:r>
      <w:r w:rsidR="008E3D54">
        <w:t>create a password</w:t>
      </w:r>
      <w:r w:rsidRPr="00767084" w:rsidR="008E3D54">
        <w:t xml:space="preserve">. Each institution’s </w:t>
      </w:r>
      <w:r w:rsidR="008E3D54">
        <w:t>w</w:t>
      </w:r>
      <w:r w:rsidRPr="00767084" w:rsidR="008E3D54">
        <w:t>eb survey include</w:t>
      </w:r>
      <w:r w:rsidR="008E3D54">
        <w:t>s</w:t>
      </w:r>
      <w:r w:rsidRPr="00767084" w:rsidR="008E3D54">
        <w:t xml:space="preserve"> data from the 2 preceding years for arithmetical and trend check purposes. Large increases or decreases in expenditures </w:t>
      </w:r>
      <w:r w:rsidR="008E3D54">
        <w:t xml:space="preserve">are </w:t>
      </w:r>
      <w:r w:rsidRPr="00767084" w:rsidR="008E3D54">
        <w:t xml:space="preserve">compared with the preceding years </w:t>
      </w:r>
      <w:r w:rsidR="008E3D54">
        <w:t xml:space="preserve">and </w:t>
      </w:r>
      <w:r w:rsidRPr="00767084" w:rsidR="008E3D54">
        <w:t xml:space="preserve">flagged, and respondents </w:t>
      </w:r>
      <w:r w:rsidR="008E3D54">
        <w:t>are</w:t>
      </w:r>
      <w:r w:rsidRPr="00767084" w:rsidR="008E3D54">
        <w:t xml:space="preserve"> asked to explain and reconcile these differences.</w:t>
      </w:r>
    </w:p>
    <w:p w:rsidRPr="008835A3" w:rsidR="008E3D54" w:rsidP="00751BC9" w:rsidRDefault="008E3D54" w14:paraId="38341FD2" w14:textId="0CE0CACF">
      <w:pPr>
        <w:spacing w:line="360" w:lineRule="auto"/>
        <w:ind w:firstLine="720"/>
      </w:pPr>
      <w:r w:rsidRPr="5A30EE65">
        <w:t xml:space="preserve">Telephone and email follow-up will begin approximately 2 weeks after survey transmittal to those respondents who have not verified they are the correct </w:t>
      </w:r>
      <w:r w:rsidR="000E319E">
        <w:t xml:space="preserve">contact for their institution. </w:t>
      </w:r>
      <w:r w:rsidRPr="5A30EE65">
        <w:t>Reminder mailings, emails and telephone calls will be made at several points throughout the survey collectio</w:t>
      </w:r>
      <w:r w:rsidR="001972E5">
        <w:t xml:space="preserve">n period. </w:t>
      </w:r>
      <w:r w:rsidRPr="5A30EE65">
        <w:t>All telephone contacts include an offer to assist the res</w:t>
      </w:r>
      <w:r w:rsidR="000E319E">
        <w:t xml:space="preserve">pondent in providing the data. </w:t>
      </w:r>
      <w:r w:rsidRPr="5A30EE65">
        <w:t>NCSES and the contractor will monitor institution response status closely through a web-monitoring system during the data collection cycle, with periodic contact maintained via telephone and email until survey closeout to ensure that (a) a response is provided and</w:t>
      </w:r>
      <w:r w:rsidR="001972E5">
        <w:t xml:space="preserve"> (b) data errors are resolved. </w:t>
      </w:r>
      <w:r w:rsidRPr="5A30EE65">
        <w:t xml:space="preserve">This level of interaction with the institutions is responsible for the high survey response rates that have been achieved for the past years </w:t>
      </w:r>
      <w:r w:rsidRPr="004B3C95">
        <w:t xml:space="preserve">(see Attachment </w:t>
      </w:r>
      <w:r w:rsidR="004B3C95">
        <w:t>16</w:t>
      </w:r>
      <w:r w:rsidR="000E319E">
        <w:t xml:space="preserve"> </w:t>
      </w:r>
      <w:r w:rsidRPr="5A30EE65">
        <w:t xml:space="preserve">for the full set of contact procedures).        </w:t>
      </w:r>
    </w:p>
    <w:p w:rsidRPr="008835A3" w:rsidR="008E3D54" w:rsidP="00751BC9" w:rsidRDefault="008E3D54" w14:paraId="42B5973B" w14:textId="77777777">
      <w:pPr>
        <w:spacing w:line="360" w:lineRule="auto"/>
      </w:pPr>
      <w:r w:rsidRPr="008835A3">
        <w:tab/>
      </w:r>
      <w:r w:rsidRPr="008835A3">
        <w:tab/>
      </w:r>
    </w:p>
    <w:p w:rsidRPr="00804BC4" w:rsidR="00734C71" w:rsidP="00751BC9" w:rsidRDefault="00862299" w14:paraId="5594C103" w14:textId="54450CA4">
      <w:pPr>
        <w:pStyle w:val="Heading3"/>
        <w:spacing w:line="360" w:lineRule="auto"/>
      </w:pPr>
      <w:bookmarkStart w:name="_Toc56782367" w:id="25"/>
      <w:r>
        <w:t>B.2.3</w:t>
      </w:r>
      <w:r w:rsidR="002D5C0F">
        <w:tab/>
      </w:r>
      <w:r w:rsidRPr="00804BC4" w:rsidR="00734C71">
        <w:t>Estimation Procedures</w:t>
      </w:r>
      <w:bookmarkEnd w:id="25"/>
    </w:p>
    <w:p w:rsidR="008E3D54" w:rsidP="00751BC9" w:rsidRDefault="008E3D54" w14:paraId="4B77780B" w14:textId="2B58C637">
      <w:pPr>
        <w:spacing w:line="360" w:lineRule="auto"/>
        <w:ind w:firstLine="720"/>
      </w:pPr>
      <w:r w:rsidRPr="008835A3">
        <w:t xml:space="preserve">Upon survey closeout, </w:t>
      </w:r>
      <w:r>
        <w:t>NCSES</w:t>
      </w:r>
      <w:r w:rsidRPr="008835A3">
        <w:t xml:space="preserve"> will develop estimates for that portion of the survey po</w:t>
      </w:r>
      <w:r w:rsidR="001972E5">
        <w:t xml:space="preserve">pulation that did not respond. </w:t>
      </w:r>
      <w:r w:rsidRPr="008835A3">
        <w:t xml:space="preserve">Imputation is performed using prior years' figures derived from </w:t>
      </w:r>
      <w:r w:rsidRPr="008835A3">
        <w:lastRenderedPageBreak/>
        <w:t>the data of respondent institutions with similar characteristics,</w:t>
      </w:r>
      <w:r>
        <w:t xml:space="preserve"> such as</w:t>
      </w:r>
      <w:r w:rsidRPr="008835A3">
        <w:t xml:space="preserve"> highest degree granted and type of institutional control (public or private).</w:t>
      </w:r>
      <w:r>
        <w:t xml:space="preserve">  </w:t>
      </w:r>
      <w:r w:rsidRPr="008835A3">
        <w:t xml:space="preserve">This process has been used consistently since 1976.  As a result of high overall response rates, especially from institutions that account for the largest share of the HERD total, imputed amounts account for a very small percentage of total R&amp;D </w:t>
      </w:r>
      <w:r w:rsidRPr="00613C1E">
        <w:t>expenditures (</w:t>
      </w:r>
      <w:r>
        <w:t>0.1</w:t>
      </w:r>
      <w:r w:rsidRPr="00613C1E">
        <w:t xml:space="preserve"> percent of the total in FY 201</w:t>
      </w:r>
      <w:r w:rsidR="001972E5">
        <w:t>9</w:t>
      </w:r>
      <w:r w:rsidRPr="00613C1E">
        <w:t>).</w:t>
      </w:r>
      <w:r w:rsidRPr="008835A3">
        <w:t xml:space="preserve">  </w:t>
      </w:r>
      <w:r w:rsidR="000E319E">
        <w:t xml:space="preserve">Every year 100% of institutions ranked in the top 150 for total R&amp;D </w:t>
      </w:r>
      <w:r w:rsidR="00E24594">
        <w:t xml:space="preserve">expenditures in the previous year have responded to the survey. These 150 institutions account for 90% </w:t>
      </w:r>
      <w:r w:rsidR="001972E5">
        <w:t>of total R&amp;D expenditures at U.S. universities and colleges.</w:t>
      </w:r>
    </w:p>
    <w:p w:rsidR="008E3D54" w:rsidP="00751BC9" w:rsidRDefault="008E3D54" w14:paraId="41450E05" w14:textId="77777777">
      <w:pPr>
        <w:spacing w:line="360" w:lineRule="auto"/>
      </w:pPr>
    </w:p>
    <w:p w:rsidRPr="00533D4D" w:rsidR="008E3D54" w:rsidP="00751BC9" w:rsidRDefault="3889F742" w14:paraId="594CA179" w14:textId="2C2B87E2">
      <w:pPr>
        <w:pStyle w:val="Heading2"/>
        <w:numPr>
          <w:ilvl w:val="0"/>
          <w:numId w:val="15"/>
        </w:numPr>
        <w:spacing w:line="360" w:lineRule="auto"/>
      </w:pPr>
      <w:bookmarkStart w:name="_Toc56782368" w:id="26"/>
      <w:bookmarkStart w:name="_Toc125451692" w:id="27"/>
      <w:bookmarkStart w:name="_Toc125451758" w:id="28"/>
      <w:bookmarkStart w:name="_Toc125451859" w:id="29"/>
      <w:bookmarkStart w:name="_Toc125452447" w:id="30"/>
      <w:bookmarkStart w:name="_Toc325978115" w:id="31"/>
      <w:r>
        <w:t>Statistical Accuracy of the Collection</w:t>
      </w:r>
      <w:bookmarkEnd w:id="26"/>
    </w:p>
    <w:p w:rsidRPr="00533D4D" w:rsidR="008E3D54" w:rsidP="00751BC9" w:rsidRDefault="000E319E" w14:paraId="204F1239" w14:textId="3B6DC9BD">
      <w:pPr>
        <w:pStyle w:val="Heading3"/>
        <w:spacing w:line="360" w:lineRule="auto"/>
      </w:pPr>
      <w:bookmarkStart w:name="_Toc56782369" w:id="32"/>
      <w:r>
        <w:t>B.3.1</w:t>
      </w:r>
      <w:r>
        <w:tab/>
      </w:r>
      <w:r w:rsidRPr="46AE0263" w:rsidR="008E3D54">
        <w:t>Methods Used to Maximize Response Rates</w:t>
      </w:r>
      <w:bookmarkEnd w:id="27"/>
      <w:bookmarkEnd w:id="28"/>
      <w:bookmarkEnd w:id="29"/>
      <w:bookmarkEnd w:id="30"/>
      <w:bookmarkEnd w:id="31"/>
      <w:bookmarkEnd w:id="32"/>
    </w:p>
    <w:p w:rsidRPr="008835A3" w:rsidR="008E3D54" w:rsidP="00751BC9" w:rsidRDefault="008E3D54" w14:paraId="47C5A912" w14:textId="1B9EF65F">
      <w:pPr>
        <w:spacing w:line="360" w:lineRule="auto"/>
        <w:ind w:firstLine="720"/>
      </w:pPr>
      <w:r w:rsidRPr="008835A3">
        <w:t>All of the follow-up procedures described here and in the previous section have been instituted in part to maximize the survey’s response rate.  While the official survey deadline</w:t>
      </w:r>
      <w:r>
        <w:t>s</w:t>
      </w:r>
      <w:r w:rsidRPr="008835A3">
        <w:t xml:space="preserve"> </w:t>
      </w:r>
      <w:r w:rsidR="001972E5">
        <w:t>will be</w:t>
      </w:r>
      <w:r w:rsidRPr="008835A3">
        <w:t xml:space="preserve"> </w:t>
      </w:r>
      <w:r>
        <w:t>three</w:t>
      </w:r>
      <w:r w:rsidRPr="008835A3">
        <w:t xml:space="preserve"> months after the opening of the surve</w:t>
      </w:r>
      <w:r w:rsidR="001972E5">
        <w:t>y, the data collection window will be</w:t>
      </w:r>
      <w:r w:rsidRPr="008835A3">
        <w:t xml:space="preserve"> held open as long as possible to obtain responses </w:t>
      </w:r>
      <w:r w:rsidR="001972E5">
        <w:t>from all</w:t>
      </w:r>
      <w:r w:rsidRPr="008835A3">
        <w:t xml:space="preserve"> </w:t>
      </w:r>
      <w:r>
        <w:t xml:space="preserve">FFRDCs and at least </w:t>
      </w:r>
      <w:r w:rsidR="001972E5">
        <w:t>95% of the</w:t>
      </w:r>
      <w:r w:rsidR="00E24594">
        <w:t xml:space="preserve"> HERD population</w:t>
      </w:r>
      <w:r>
        <w:t xml:space="preserve"> (including all of the top 150 institutions in R&amp;D spending in the prior FY). </w:t>
      </w:r>
      <w:r w:rsidRPr="008835A3">
        <w:t>Institutions that do</w:t>
      </w:r>
      <w:r w:rsidR="001972E5">
        <w:t xml:space="preserve"> not respond by the deadline will be</w:t>
      </w:r>
      <w:r w:rsidRPr="008835A3">
        <w:t xml:space="preserve"> contacted every </w:t>
      </w:r>
      <w:r>
        <w:t xml:space="preserve">one to </w:t>
      </w:r>
      <w:r w:rsidRPr="008835A3">
        <w:t>two weeks either by email or phone to remind them of the importance of completing the</w:t>
      </w:r>
      <w:r w:rsidR="001972E5">
        <w:t xml:space="preserve"> survey for their institution. </w:t>
      </w:r>
      <w:r w:rsidR="00872651">
        <w:t>For the HERD</w:t>
      </w:r>
      <w:r>
        <w:t>, i</w:t>
      </w:r>
      <w:r w:rsidRPr="008835A3">
        <w:t xml:space="preserve">f an institution has still not responded approximately six weeks after </w:t>
      </w:r>
      <w:r w:rsidR="00872651">
        <w:t>the survey deadline, a letter will be</w:t>
      </w:r>
      <w:r w:rsidRPr="008835A3">
        <w:t xml:space="preserve"> sent to their president or chancellor </w:t>
      </w:r>
      <w:r>
        <w:t xml:space="preserve">making one final request for their participation.  </w:t>
      </w:r>
      <w:r w:rsidRPr="0003798E">
        <w:t>These methods have delivered a response rate of 94% or higher approximately eight weeks after the initial survey deadline for the last several survey cycles</w:t>
      </w:r>
      <w:r w:rsidRPr="008835A3">
        <w:t>.</w:t>
      </w:r>
      <w:r w:rsidR="001972E5">
        <w:t xml:space="preserve"> Additionally, because imputation of missing data </w:t>
      </w:r>
      <w:r w:rsidR="00872651">
        <w:t>will</w:t>
      </w:r>
      <w:r w:rsidR="001972E5">
        <w:t xml:space="preserve"> based on p</w:t>
      </w:r>
      <w:r w:rsidR="00872651">
        <w:t>ast reports, special efforts will be</w:t>
      </w:r>
      <w:r w:rsidR="001972E5">
        <w:t xml:space="preserve"> made to </w:t>
      </w:r>
      <w:r w:rsidR="00872651">
        <w:t xml:space="preserve">get participation from institutions that have not responded for multiple years or have never completed a HERD survey. During the FY 2019 collection this included tailored letters to the provosts of 10 institutions highlighting the importance of the survey and the inclusion of institution data in publicly used data. </w:t>
      </w:r>
    </w:p>
    <w:p w:rsidRPr="008835A3" w:rsidR="008E3D54" w:rsidP="00751BC9" w:rsidRDefault="008E3D54" w14:paraId="04F3F162" w14:textId="77777777">
      <w:pPr>
        <w:spacing w:line="360" w:lineRule="auto"/>
      </w:pPr>
    </w:p>
    <w:p w:rsidRPr="009B14BB" w:rsidR="009B14BB" w:rsidP="00751BC9" w:rsidRDefault="000E319E" w14:paraId="185DA5C3" w14:textId="1A4A4093">
      <w:pPr>
        <w:pStyle w:val="Heading3"/>
        <w:spacing w:line="360" w:lineRule="auto"/>
      </w:pPr>
      <w:bookmarkStart w:name="_Toc56782370" w:id="33"/>
      <w:r>
        <w:t>B.3.2</w:t>
      </w:r>
      <w:r>
        <w:tab/>
      </w:r>
      <w:r w:rsidRPr="46AE0263" w:rsidR="47F1BB5C">
        <w:t>Imputation Methods for Unit and Item Nonresponse</w:t>
      </w:r>
      <w:bookmarkEnd w:id="33"/>
    </w:p>
    <w:p w:rsidR="7BFBB60B" w:rsidP="00751BC9" w:rsidRDefault="7BFBB60B" w14:paraId="454CA4A4" w14:textId="49C1341B">
      <w:pPr>
        <w:spacing w:line="360" w:lineRule="auto"/>
        <w:ind w:firstLine="720"/>
      </w:pPr>
      <w:r w:rsidRPr="13E3C508">
        <w:rPr>
          <w:i/>
          <w:iCs/>
        </w:rPr>
        <w:t xml:space="preserve">Unit and Item Nonresponse. </w:t>
      </w:r>
      <w:r w:rsidR="00E24594">
        <w:t>As shown in section B.1</w:t>
      </w:r>
      <w:r w:rsidRPr="13E3C508">
        <w:t>,</w:t>
      </w:r>
      <w:r w:rsidRPr="2E14F281" w:rsidR="2A1ADB0B">
        <w:t xml:space="preserve"> </w:t>
      </w:r>
      <w:r w:rsidRPr="2E14F281" w:rsidR="0F24C47C">
        <w:t xml:space="preserve">the </w:t>
      </w:r>
      <w:r w:rsidRPr="2E14F281" w:rsidR="52EA4804">
        <w:t xml:space="preserve">response rate is expected to be over 95% each year for the </w:t>
      </w:r>
      <w:r w:rsidRPr="2E14F281" w:rsidR="0F24C47C">
        <w:t>HERD survey</w:t>
      </w:r>
      <w:r w:rsidRPr="2E14F281" w:rsidR="52EA4804">
        <w:t xml:space="preserve">, </w:t>
      </w:r>
      <w:r w:rsidRPr="2E14F281" w:rsidR="4F2EE809">
        <w:t xml:space="preserve">and </w:t>
      </w:r>
      <w:r w:rsidRPr="2E14F281" w:rsidR="52EA4804">
        <w:t xml:space="preserve">100% for </w:t>
      </w:r>
      <w:r w:rsidRPr="2E14F281" w:rsidR="4F2EE809">
        <w:t xml:space="preserve">the FFRDC R&amp;D </w:t>
      </w:r>
      <w:r w:rsidR="00BA2AEE">
        <w:t>s</w:t>
      </w:r>
      <w:r w:rsidRPr="2E14F281" w:rsidR="52EA4804">
        <w:t>urvey.</w:t>
      </w:r>
      <w:r w:rsidRPr="13E3C508">
        <w:t xml:space="preserve"> In FY 2019 </w:t>
      </w:r>
      <w:r w:rsidRPr="13E3C508">
        <w:lastRenderedPageBreak/>
        <w:t>thirty universities and colleges did not respond to the HERD survey, out of a total of 916 eligible institutions, for a nonresponse rate of 3.3</w:t>
      </w:r>
      <w:r w:rsidRPr="13E3C508" w:rsidR="11CCC0FF">
        <w:t>%</w:t>
      </w:r>
      <w:r w:rsidRPr="13E3C508">
        <w:t xml:space="preserve">. </w:t>
      </w:r>
    </w:p>
    <w:p w:rsidR="7BFBB60B" w:rsidP="00751BC9" w:rsidRDefault="7BFBB60B" w14:paraId="1F2E9B1B" w14:textId="24FE1162">
      <w:pPr>
        <w:spacing w:line="360" w:lineRule="auto"/>
        <w:ind w:firstLine="720"/>
      </w:pPr>
      <w:r w:rsidRPr="13E3C508">
        <w:t xml:space="preserve">Item nonresponse rates for the </w:t>
      </w:r>
      <w:r w:rsidRPr="13E3C508" w:rsidR="28506FDC">
        <w:t>HERD survey typically do not exceed 10% for any question</w:t>
      </w:r>
      <w:r w:rsidRPr="2E14F281" w:rsidR="78E92B76">
        <w:t xml:space="preserve"> and it is expected that this will continue for FY 2020-21</w:t>
      </w:r>
      <w:r w:rsidRPr="2E14F281" w:rsidR="28506FDC">
        <w:t>.</w:t>
      </w:r>
      <w:r w:rsidRPr="13E3C508" w:rsidR="28506FDC">
        <w:t xml:space="preserve"> In </w:t>
      </w:r>
      <w:r w:rsidRPr="13E3C508">
        <w:t xml:space="preserve">FY 2019 </w:t>
      </w:r>
      <w:r w:rsidRPr="13E3C508" w:rsidR="1B9B771E">
        <w:t>item nonresponse</w:t>
      </w:r>
      <w:r w:rsidRPr="13E3C508">
        <w:t xml:space="preserve"> varied from 0.0% for Question 1, total R&amp;D expenditures by source of funds, and Question 9, federal expenditures by R&amp;D field, to 7.9% for Question 6, R&amp;D expenditures by type of R&amp;D (basic research, applied research, and experimental development). No question had a nonresponse rate of 10.0% or higher.</w:t>
      </w:r>
      <w:r w:rsidRPr="13E3C508" w:rsidR="6D062B17">
        <w:t xml:space="preserve"> </w:t>
      </w:r>
    </w:p>
    <w:p w:rsidR="44DD95F0" w:rsidP="00751BC9" w:rsidRDefault="01F7BE5E" w14:paraId="11E12FC5" w14:textId="2A791A37">
      <w:pPr>
        <w:spacing w:line="360" w:lineRule="auto"/>
        <w:ind w:firstLine="720"/>
      </w:pPr>
      <w:r w:rsidRPr="2E14F281">
        <w:t xml:space="preserve">Item nonresponse for the FFRDC survey is also expected to be low. </w:t>
      </w:r>
      <w:r w:rsidRPr="13E3C508" w:rsidR="44DD95F0">
        <w:t>Most FFRDCs have incorporated the data needed to complete the FFRDC R&amp;D survey questions into their record-keeping systems. However, there are two question that typically experience some level of item nonresponse</w:t>
      </w:r>
      <w:r w:rsidRPr="13E3C508" w:rsidR="68B751FC">
        <w:t xml:space="preserve">: 1) Question 5 which asks for expenditures by type of cost and 2) Question 6, which asks </w:t>
      </w:r>
      <w:r w:rsidRPr="13E3C508" w:rsidR="1EBC6CF1">
        <w:t xml:space="preserve">for the organization’s operating budget. In </w:t>
      </w:r>
      <w:r w:rsidRPr="13E3C508" w:rsidR="10B0377A">
        <w:t xml:space="preserve">FY 2019 twelve FFRDCs </w:t>
      </w:r>
      <w:r w:rsidRPr="13E3C508" w:rsidR="2BFF92C1">
        <w:t>chose not to complete Question 5 and one did not report its operating budget in Question 6.</w:t>
      </w:r>
    </w:p>
    <w:p w:rsidRPr="00CF4CDC" w:rsidR="00CF4CDC" w:rsidP="00751BC9" w:rsidRDefault="31FAFF16" w14:paraId="3F17590B" w14:textId="673859CF">
      <w:pPr>
        <w:spacing w:line="360" w:lineRule="auto"/>
        <w:ind w:firstLine="360"/>
      </w:pPr>
      <w:r w:rsidRPr="249ED308">
        <w:rPr>
          <w:i/>
          <w:iCs/>
        </w:rPr>
        <w:t xml:space="preserve">Imputation </w:t>
      </w:r>
      <w:r w:rsidRPr="1B11191F">
        <w:rPr>
          <w:i/>
          <w:iCs/>
        </w:rPr>
        <w:t>Methods.</w:t>
      </w:r>
      <w:r w:rsidRPr="249ED308">
        <w:rPr>
          <w:i/>
          <w:iCs/>
        </w:rPr>
        <w:t xml:space="preserve"> </w:t>
      </w:r>
      <w:r w:rsidRPr="4FF2B05B">
        <w:t xml:space="preserve">NCSES will develop estimates for that portion of the </w:t>
      </w:r>
      <w:r w:rsidRPr="03E29EB1" w:rsidR="5778378F">
        <w:t>HERD</w:t>
      </w:r>
      <w:r w:rsidRPr="598816AE" w:rsidR="4B3E9D30">
        <w:t xml:space="preserve"> </w:t>
      </w:r>
      <w:r w:rsidRPr="4FF2B05B">
        <w:t xml:space="preserve">survey population that did not respond.  </w:t>
      </w:r>
      <w:r w:rsidRPr="3F477CAF" w:rsidR="7CDAFF4E">
        <w:t xml:space="preserve">All missing data within partial responding and total nonresponding </w:t>
      </w:r>
      <w:r w:rsidRPr="13E3C508" w:rsidR="645B5CDA">
        <w:t>institutions</w:t>
      </w:r>
      <w:r w:rsidRPr="3F477CAF" w:rsidR="7CDAFF4E">
        <w:t xml:space="preserve"> </w:t>
      </w:r>
      <w:r w:rsidRPr="0103655C" w:rsidR="7CDAFF4E">
        <w:t>will be</w:t>
      </w:r>
      <w:r w:rsidRPr="3F477CAF" w:rsidR="7CDAFF4E">
        <w:t xml:space="preserve"> imputed</w:t>
      </w:r>
      <w:r w:rsidRPr="0103655C" w:rsidR="7CDAFF4E">
        <w:t>, with the</w:t>
      </w:r>
      <w:r w:rsidRPr="0103655C" w:rsidR="1597E205">
        <w:t xml:space="preserve"> following</w:t>
      </w:r>
      <w:r w:rsidRPr="0103655C" w:rsidR="7CDAFF4E">
        <w:t xml:space="preserve"> exception</w:t>
      </w:r>
      <w:r w:rsidRPr="0103655C" w:rsidR="26FE7A99">
        <w:t>s:</w:t>
      </w:r>
    </w:p>
    <w:p w:rsidR="21D273B4" w:rsidP="00751BC9" w:rsidRDefault="4BDC3D67" w14:paraId="6A84B686" w14:textId="72A6A2C8">
      <w:pPr>
        <w:pStyle w:val="ListParagraph"/>
        <w:numPr>
          <w:ilvl w:val="0"/>
          <w:numId w:val="13"/>
        </w:numPr>
        <w:spacing w:line="360" w:lineRule="auto"/>
        <w:rPr>
          <w:rFonts w:asciiTheme="minorHAnsi" w:hAnsiTheme="minorHAnsi" w:eastAsiaTheme="minorEastAsia" w:cstheme="minorBidi"/>
        </w:rPr>
      </w:pPr>
      <w:r w:rsidRPr="46AE0263">
        <w:t>w</w:t>
      </w:r>
      <w:r w:rsidRPr="46AE0263" w:rsidR="11FA284E">
        <w:t xml:space="preserve">here imputation of partial nonresponse will result in </w:t>
      </w:r>
      <w:r w:rsidRPr="46AE0263" w:rsidR="13EC2E19">
        <w:t xml:space="preserve">a change to </w:t>
      </w:r>
      <w:r w:rsidRPr="46AE0263" w:rsidR="0D3AEECA">
        <w:t xml:space="preserve">a </w:t>
      </w:r>
      <w:r w:rsidRPr="46AE0263" w:rsidR="0D3AEECA">
        <w:rPr>
          <w:i/>
          <w:iCs/>
        </w:rPr>
        <w:t>reported</w:t>
      </w:r>
      <w:r w:rsidRPr="46AE0263" w:rsidR="0D3AEECA">
        <w:t xml:space="preserve"> </w:t>
      </w:r>
      <w:r w:rsidRPr="46AE0263" w:rsidR="069242D8">
        <w:t xml:space="preserve">total </w:t>
      </w:r>
      <w:r w:rsidRPr="46AE0263" w:rsidR="0D3AEECA">
        <w:t xml:space="preserve">(e.g. </w:t>
      </w:r>
      <w:r w:rsidRPr="46AE0263" w:rsidR="13EC2E19">
        <w:t>total R&amp;D expenditures</w:t>
      </w:r>
      <w:r w:rsidRPr="46AE0263" w:rsidR="446419E6">
        <w:t>)</w:t>
      </w:r>
    </w:p>
    <w:p w:rsidR="21D273B4" w:rsidP="00751BC9" w:rsidRDefault="153755BC" w14:paraId="344CAA92" w14:textId="3A876917">
      <w:pPr>
        <w:pStyle w:val="ListParagraph"/>
        <w:numPr>
          <w:ilvl w:val="0"/>
          <w:numId w:val="13"/>
        </w:numPr>
        <w:spacing w:line="360" w:lineRule="auto"/>
      </w:pPr>
      <w:r w:rsidRPr="46AE0263">
        <w:t>Question 10 which asks for the names of specific federal agencies</w:t>
      </w:r>
      <w:r w:rsidRPr="46AE0263" w:rsidR="232C30DC">
        <w:t xml:space="preserve"> funding R&amp;D</w:t>
      </w:r>
      <w:r w:rsidRPr="46AE0263" w:rsidR="10AA5FEB">
        <w:t xml:space="preserve"> </w:t>
      </w:r>
      <w:r w:rsidRPr="46AE0263">
        <w:t xml:space="preserve">reported </w:t>
      </w:r>
      <w:r w:rsidRPr="46AE0263" w:rsidR="52878EA4">
        <w:t xml:space="preserve">under </w:t>
      </w:r>
      <w:r w:rsidRPr="46AE0263" w:rsidR="52878EA4">
        <w:rPr>
          <w:i/>
          <w:iCs/>
        </w:rPr>
        <w:t>other agencies</w:t>
      </w:r>
      <w:r w:rsidRPr="46AE0263" w:rsidR="52878EA4">
        <w:t xml:space="preserve"> in Question 9</w:t>
      </w:r>
    </w:p>
    <w:p w:rsidR="21D273B4" w:rsidP="00751BC9" w:rsidRDefault="6449D574" w14:paraId="5C4F2FF5" w14:textId="13B12CE4">
      <w:pPr>
        <w:pStyle w:val="ListParagraph"/>
        <w:numPr>
          <w:ilvl w:val="0"/>
          <w:numId w:val="13"/>
        </w:numPr>
        <w:spacing w:line="360" w:lineRule="auto"/>
      </w:pPr>
      <w:r w:rsidRPr="46AE0263">
        <w:t>Question 13 which asks for an institution’s capitalization thresholds for software and equipment</w:t>
      </w:r>
    </w:p>
    <w:p w:rsidR="21D273B4" w:rsidP="00751BC9" w:rsidRDefault="21D273B4" w14:paraId="27AC85C3" w14:textId="61096B2D">
      <w:pPr>
        <w:spacing w:line="360" w:lineRule="auto"/>
      </w:pPr>
    </w:p>
    <w:p w:rsidRPr="00525E0E" w:rsidR="00525E0E" w:rsidP="00751BC9" w:rsidRDefault="2EDADC3F" w14:paraId="3AE6009A" w14:textId="281E619F">
      <w:pPr>
        <w:spacing w:line="360" w:lineRule="auto"/>
      </w:pPr>
      <w:r w:rsidRPr="13E3C508">
        <w:t xml:space="preserve">Imputation techniques for variables can be broadly divided into two steps: </w:t>
      </w:r>
    </w:p>
    <w:p w:rsidRPr="00525E0E" w:rsidR="00525E0E" w:rsidP="00437FCF" w:rsidRDefault="2EDADC3F" w14:paraId="28B4ED0B" w14:textId="15FF57EE">
      <w:pPr>
        <w:pStyle w:val="ListParagraph"/>
        <w:numPr>
          <w:ilvl w:val="0"/>
          <w:numId w:val="14"/>
        </w:numPr>
        <w:spacing w:line="360" w:lineRule="auto"/>
      </w:pPr>
      <w:r w:rsidRPr="13E3C508">
        <w:t>Using inflator/deflator factors to impute key variables based on the previous year’s data for each nonresponding institution. Key variables are values identified as having high correlations across years and high correlations with other, smaller values within the current‑year survey responses.</w:t>
      </w:r>
    </w:p>
    <w:p w:rsidRPr="00A92BC5" w:rsidR="00525E0E" w:rsidP="00751BC9" w:rsidRDefault="2EDADC3F" w14:paraId="2601F838" w14:textId="7E94F4F7">
      <w:pPr>
        <w:pStyle w:val="ListParagraph"/>
        <w:numPr>
          <w:ilvl w:val="0"/>
          <w:numId w:val="14"/>
        </w:numPr>
        <w:spacing w:line="360" w:lineRule="auto"/>
        <w:rPr>
          <w:rFonts w:asciiTheme="minorHAnsi" w:hAnsiTheme="minorHAnsi" w:eastAsiaTheme="minorEastAsia" w:cstheme="minorBidi"/>
        </w:rPr>
      </w:pPr>
      <w:r w:rsidRPr="13E3C508">
        <w:t xml:space="preserve">Using the relative percentages that were last reported by that institution or by peer institutions in the current year as a reference for the distribution of the key variables </w:t>
      </w:r>
      <w:r w:rsidRPr="13E3C508">
        <w:lastRenderedPageBreak/>
        <w:t>across deta</w:t>
      </w:r>
      <w:r w:rsidR="00872651">
        <w:t xml:space="preserve">il fields. Imputed amounts are </w:t>
      </w:r>
      <w:r w:rsidRPr="13E3C508">
        <w:t>based on a mean value or mean proportion of a value within a group of institutions with similar characteristics, referred to as an imputation class.</w:t>
      </w:r>
      <w:r w:rsidRPr="13E3C508">
        <w:rPr>
          <w:color w:val="3C4043"/>
        </w:rPr>
        <w:t xml:space="preserve"> </w:t>
      </w:r>
    </w:p>
    <w:p w:rsidRPr="00A92BC5" w:rsidR="00A92BC5" w:rsidP="00751BC9" w:rsidRDefault="00A92BC5" w14:paraId="5C0178A1" w14:textId="77777777">
      <w:pPr>
        <w:spacing w:line="360" w:lineRule="auto"/>
        <w:rPr>
          <w:rFonts w:eastAsiaTheme="minorEastAsia"/>
        </w:rPr>
      </w:pPr>
    </w:p>
    <w:p w:rsidRPr="00A92BC5" w:rsidR="00A92BC5" w:rsidP="00751BC9" w:rsidRDefault="00A92BC5" w14:paraId="3386B1C0" w14:textId="5B85CABD">
      <w:pPr>
        <w:spacing w:line="360" w:lineRule="auto"/>
        <w:ind w:firstLine="360"/>
        <w:rPr>
          <w:rFonts w:eastAsiaTheme="minorEastAsia"/>
        </w:rPr>
      </w:pPr>
      <w:r>
        <w:rPr>
          <w:rFonts w:eastAsiaTheme="minorEastAsia"/>
        </w:rPr>
        <w:t xml:space="preserve">Imputation or weighting procedures used to derive a national estimate for R&amp;D personnel (headcounts and FTEs) will be designed after the majority of FY 2020 data for these new questions has been submitted. </w:t>
      </w:r>
    </w:p>
    <w:p w:rsidRPr="00525E0E" w:rsidR="00525E0E" w:rsidP="00751BC9" w:rsidRDefault="00525E0E" w14:paraId="135A5E98" w14:textId="09959419">
      <w:pPr>
        <w:spacing w:line="360" w:lineRule="auto"/>
      </w:pPr>
    </w:p>
    <w:p w:rsidRPr="00525E0E" w:rsidR="00525E0E" w:rsidP="00751BC9" w:rsidRDefault="2F663529" w14:paraId="041B428E" w14:textId="18CAE087">
      <w:pPr>
        <w:spacing w:line="360" w:lineRule="auto"/>
        <w:ind w:firstLine="360"/>
      </w:pPr>
      <w:r w:rsidRPr="46AE0263">
        <w:t xml:space="preserve">Details for these methods are documented in the </w:t>
      </w:r>
      <w:r w:rsidRPr="13E3C508" w:rsidR="6EFC1FC5">
        <w:t xml:space="preserve">FY </w:t>
      </w:r>
      <w:r w:rsidRPr="46AE0263">
        <w:t xml:space="preserve">2018 HERD Methodology Report. </w:t>
      </w:r>
      <w:r w:rsidRPr="13E3C508" w:rsidR="5C55966E">
        <w:t xml:space="preserve">The imputation section from that report is included in </w:t>
      </w:r>
      <w:r w:rsidRPr="00D2026F" w:rsidR="5C55966E">
        <w:t xml:space="preserve">Attachment </w:t>
      </w:r>
      <w:r w:rsidRPr="00D2026F" w:rsidR="00D2026F">
        <w:t>17</w:t>
      </w:r>
      <w:r w:rsidRPr="00D2026F" w:rsidR="5C55966E">
        <w:t>.</w:t>
      </w:r>
    </w:p>
    <w:p w:rsidR="21D273B4" w:rsidP="00751BC9" w:rsidRDefault="4CCBA598" w14:paraId="6FEFEBAB" w14:textId="4BB88754">
      <w:pPr>
        <w:spacing w:line="360" w:lineRule="auto"/>
        <w:ind w:firstLine="360"/>
      </w:pPr>
      <w:r w:rsidRPr="46AE0263">
        <w:t>Historically</w:t>
      </w:r>
      <w:r w:rsidR="00A92BC5">
        <w:t>,</w:t>
      </w:r>
      <w:r w:rsidRPr="46AE0263">
        <w:t xml:space="preserve"> all units have responded to the FFRDC R&amp;D </w:t>
      </w:r>
      <w:r w:rsidR="00BA2AEE">
        <w:t>s</w:t>
      </w:r>
      <w:r w:rsidRPr="46AE0263">
        <w:t xml:space="preserve">urvey and so unit imputation </w:t>
      </w:r>
      <w:r w:rsidRPr="2E14F281" w:rsidR="48B83BAA">
        <w:t>will</w:t>
      </w:r>
      <w:r w:rsidRPr="46AE0263">
        <w:t xml:space="preserve"> not</w:t>
      </w:r>
      <w:r w:rsidRPr="46AE0263" w:rsidR="2748F56C">
        <w:t xml:space="preserve"> necessary. </w:t>
      </w:r>
      <w:r w:rsidRPr="46AE0263" w:rsidR="36896B7B">
        <w:t xml:space="preserve">Some FFRDCs do not respond fully or in part to questions 1, </w:t>
      </w:r>
      <w:r w:rsidRPr="46AE0263" w:rsidR="4F94DE2D">
        <w:t>5</w:t>
      </w:r>
      <w:r w:rsidRPr="46AE0263" w:rsidR="36896B7B">
        <w:t xml:space="preserve">, or </w:t>
      </w:r>
      <w:r w:rsidRPr="46AE0263" w:rsidR="0234A3F9">
        <w:t>6</w:t>
      </w:r>
      <w:r w:rsidRPr="46AE0263" w:rsidR="36896B7B">
        <w:t xml:space="preserve">, but imputation </w:t>
      </w:r>
      <w:r w:rsidRPr="2E14F281" w:rsidR="43F94819">
        <w:t>will</w:t>
      </w:r>
      <w:r w:rsidRPr="46AE0263" w:rsidR="36896B7B">
        <w:t xml:space="preserve"> not </w:t>
      </w:r>
      <w:r w:rsidRPr="2E14F281" w:rsidR="64911192">
        <w:t xml:space="preserve">be </w:t>
      </w:r>
      <w:r w:rsidRPr="46AE0263" w:rsidR="36896B7B">
        <w:t>used for item nonresponse</w:t>
      </w:r>
      <w:r w:rsidR="00A92BC5">
        <w:t>. The small population size and variation in size and nature of research at FFRDCs, makes estimations of expenditures based averages unreliable.</w:t>
      </w:r>
      <w:r w:rsidRPr="46AE0263" w:rsidR="2748F56C">
        <w:t xml:space="preserve">  </w:t>
      </w:r>
    </w:p>
    <w:p w:rsidR="21D273B4" w:rsidP="00751BC9" w:rsidRDefault="21D273B4" w14:paraId="6554F5F0" w14:textId="09ED3DCA">
      <w:pPr>
        <w:spacing w:line="360" w:lineRule="auto"/>
      </w:pPr>
    </w:p>
    <w:p w:rsidR="69E37DDE" w:rsidP="00751BC9" w:rsidRDefault="000E319E" w14:paraId="2C3D7ADD" w14:textId="025E08FD">
      <w:pPr>
        <w:pStyle w:val="Heading3"/>
        <w:spacing w:line="360" w:lineRule="auto"/>
      </w:pPr>
      <w:bookmarkStart w:name="_Toc56782371" w:id="34"/>
      <w:r>
        <w:t>B.3.3</w:t>
      </w:r>
      <w:r>
        <w:tab/>
      </w:r>
      <w:r w:rsidRPr="46AE0263" w:rsidR="7C7D2D20">
        <w:t>Accuracy and Reliability of Data</w:t>
      </w:r>
      <w:bookmarkEnd w:id="34"/>
    </w:p>
    <w:p w:rsidR="7C7D2D20" w:rsidP="00751BC9" w:rsidRDefault="7C7D2D20" w14:paraId="6953D4B7" w14:textId="3A67CC37">
      <w:pPr>
        <w:spacing w:line="360" w:lineRule="auto"/>
        <w:ind w:firstLine="720"/>
      </w:pPr>
      <w:r w:rsidRPr="46AE0263">
        <w:t>Because th</w:t>
      </w:r>
      <w:r w:rsidRPr="46AE0263" w:rsidR="7195F5F0">
        <w:t xml:space="preserve">e HERD and FFRDC R&amp;D </w:t>
      </w:r>
      <w:r w:rsidRPr="46AE0263" w:rsidR="31A75354">
        <w:t>s</w:t>
      </w:r>
      <w:r w:rsidRPr="46AE0263" w:rsidR="7195F5F0">
        <w:t>urveys are</w:t>
      </w:r>
      <w:r w:rsidRPr="46AE0263">
        <w:t xml:space="preserve"> census</w:t>
      </w:r>
      <w:r w:rsidRPr="46AE0263" w:rsidR="787609BA">
        <w:t>es</w:t>
      </w:r>
      <w:r w:rsidRPr="46AE0263">
        <w:t xml:space="preserve"> with high response rate</w:t>
      </w:r>
      <w:r w:rsidRPr="46AE0263" w:rsidR="1ECCD4E0">
        <w:t>s</w:t>
      </w:r>
      <w:r w:rsidRPr="46AE0263">
        <w:t xml:space="preserve"> and </w:t>
      </w:r>
      <w:r w:rsidRPr="46AE0263" w:rsidR="5934F485">
        <w:t xml:space="preserve">include an </w:t>
      </w:r>
      <w:r w:rsidRPr="46AE0263" w:rsidR="7E2C98C7">
        <w:t>extensive</w:t>
      </w:r>
      <w:r w:rsidRPr="46AE0263" w:rsidR="5934F485">
        <w:t xml:space="preserve"> review process to check the consistency of each institution’s data within and across year</w:t>
      </w:r>
      <w:r w:rsidRPr="46AE0263" w:rsidR="65650155">
        <w:t>s</w:t>
      </w:r>
      <w:r w:rsidRPr="46AE0263" w:rsidR="5934F485">
        <w:t xml:space="preserve">, the accuracy of these data are very high. In addition, </w:t>
      </w:r>
      <w:r w:rsidRPr="46AE0263">
        <w:t xml:space="preserve">statistical imputation </w:t>
      </w:r>
      <w:r w:rsidRPr="00193098">
        <w:t>is</w:t>
      </w:r>
      <w:r w:rsidRPr="46AE0263">
        <w:t xml:space="preserve"> conducted for nonresponse</w:t>
      </w:r>
      <w:r w:rsidRPr="46AE0263" w:rsidR="4DD870C4">
        <w:t xml:space="preserve"> to the HERD survey</w:t>
      </w:r>
      <w:r w:rsidRPr="46AE0263" w:rsidR="178B49BB">
        <w:t>, but imputed amounts account for a very small percentage of total R&amp;D expenditures (0.1 percent of the total in FY 2019).</w:t>
      </w:r>
      <w:r w:rsidRPr="46AE0263">
        <w:t xml:space="preserve">  </w:t>
      </w:r>
    </w:p>
    <w:p w:rsidR="46AE0263" w:rsidP="00751BC9" w:rsidRDefault="46AE0263" w14:paraId="2C1731E6" w14:textId="213A5F75">
      <w:pPr>
        <w:spacing w:line="360" w:lineRule="auto"/>
      </w:pPr>
    </w:p>
    <w:p w:rsidRPr="008835A3" w:rsidR="008E3D54" w:rsidP="00751BC9" w:rsidRDefault="008E3D54" w14:paraId="4EF0AF09" w14:textId="0372BEDF">
      <w:pPr>
        <w:pStyle w:val="Heading2"/>
        <w:numPr>
          <w:ilvl w:val="0"/>
          <w:numId w:val="15"/>
        </w:numPr>
        <w:spacing w:line="360" w:lineRule="auto"/>
      </w:pPr>
      <w:bookmarkStart w:name="_Toc125451693" w:id="35"/>
      <w:bookmarkStart w:name="_Toc125451759" w:id="36"/>
      <w:bookmarkStart w:name="_Toc125451860" w:id="37"/>
      <w:bookmarkStart w:name="_Toc125452448" w:id="38"/>
      <w:bookmarkStart w:name="_Toc325978116" w:id="39"/>
      <w:bookmarkStart w:name="_Toc56782372" w:id="40"/>
      <w:r>
        <w:t>Tests of Procedures</w:t>
      </w:r>
      <w:bookmarkEnd w:id="35"/>
      <w:bookmarkEnd w:id="36"/>
      <w:bookmarkEnd w:id="37"/>
      <w:bookmarkEnd w:id="38"/>
      <w:bookmarkEnd w:id="39"/>
      <w:bookmarkEnd w:id="40"/>
      <w:r>
        <w:t xml:space="preserve"> </w:t>
      </w:r>
    </w:p>
    <w:p w:rsidRPr="003B7308" w:rsidR="008E3D54" w:rsidP="00751BC9" w:rsidRDefault="00357A76" w14:paraId="463A65E4" w14:textId="09873587">
      <w:pPr>
        <w:spacing w:line="360" w:lineRule="auto"/>
        <w:ind w:firstLine="720"/>
        <w:rPr>
          <w:b/>
          <w:sz w:val="22"/>
          <w:szCs w:val="22"/>
        </w:rPr>
      </w:pPr>
      <w:r w:rsidRPr="00357A76">
        <w:t>No methodolog</w:t>
      </w:r>
      <w:r>
        <w:t>ical research is planned for HERD or FFRDC R&amp;D for FY</w:t>
      </w:r>
      <w:r w:rsidRPr="00357A76">
        <w:t xml:space="preserve"> 2020</w:t>
      </w:r>
      <w:r>
        <w:t>-2021</w:t>
      </w:r>
      <w:r w:rsidRPr="00357A76">
        <w:t>.  NCSES will submit plans informing OMB of its intention to use methodological research burden hours before any applicable studies are undertaken.</w:t>
      </w:r>
    </w:p>
    <w:p w:rsidRPr="008835A3" w:rsidR="008E3D54" w:rsidP="00751BC9" w:rsidRDefault="008E3D54" w14:paraId="4963A7CF" w14:textId="77777777">
      <w:pPr>
        <w:spacing w:line="360" w:lineRule="auto"/>
      </w:pPr>
      <w:r w:rsidRPr="008835A3">
        <w:t xml:space="preserve">        </w:t>
      </w:r>
    </w:p>
    <w:p w:rsidRPr="000E319E" w:rsidR="008E3D54" w:rsidP="00751BC9" w:rsidRDefault="00CA4592" w14:paraId="0F2981B9" w14:textId="2F661AE2">
      <w:pPr>
        <w:pStyle w:val="Heading2"/>
        <w:numPr>
          <w:ilvl w:val="0"/>
          <w:numId w:val="15"/>
        </w:numPr>
        <w:spacing w:line="360" w:lineRule="auto"/>
      </w:pPr>
      <w:bookmarkStart w:name="_Toc56782373" w:id="41"/>
      <w:r>
        <w:t xml:space="preserve">Contact </w:t>
      </w:r>
      <w:r w:rsidR="002938D4">
        <w:t>Information</w:t>
      </w:r>
      <w:bookmarkEnd w:id="41"/>
    </w:p>
    <w:p w:rsidR="00193098" w:rsidP="00751BC9" w:rsidRDefault="00193098" w14:paraId="5AB9602F" w14:textId="78E1631C">
      <w:pPr>
        <w:spacing w:line="360" w:lineRule="auto"/>
        <w:ind w:firstLine="720"/>
      </w:pPr>
      <w:r>
        <w:t>The individuals consulted on HERD and FFRD</w:t>
      </w:r>
      <w:r w:rsidR="00D2026F">
        <w:t>C</w:t>
      </w:r>
      <w:r>
        <w:t xml:space="preserve"> R&amp;D</w:t>
      </w:r>
      <w:r w:rsidRPr="00CA1752">
        <w:t xml:space="preserve"> </w:t>
      </w:r>
      <w:r w:rsidR="00D2026F">
        <w:t xml:space="preserve">surveys </w:t>
      </w:r>
      <w:r w:rsidRPr="00CA1752">
        <w:t>technical and statistical</w:t>
      </w:r>
      <w:r>
        <w:t xml:space="preserve"> issues are listed in </w:t>
      </w:r>
      <w:r w:rsidR="00D2026F">
        <w:t>Table B.5.1</w:t>
      </w:r>
      <w:r>
        <w:t xml:space="preserve"> along with project staff at ICF, the contractor that conducts the two surveys.</w:t>
      </w:r>
    </w:p>
    <w:p w:rsidRPr="00193098" w:rsidR="00193098" w:rsidP="00751BC9" w:rsidRDefault="00193098" w14:paraId="00388C5C" w14:textId="77777777">
      <w:pPr>
        <w:spacing w:line="360" w:lineRule="auto"/>
        <w:rPr>
          <w:highlight w:val="yellow"/>
        </w:rPr>
      </w:pPr>
    </w:p>
    <w:p w:rsidR="00193098" w:rsidP="00751BC9" w:rsidRDefault="008E3D54" w14:paraId="0CF0A735" w14:textId="2B86262C">
      <w:pPr>
        <w:spacing w:line="360" w:lineRule="auto"/>
      </w:pPr>
      <w:r w:rsidRPr="008835A3">
        <w:t xml:space="preserve"> </w:t>
      </w:r>
      <w:r w:rsidR="00D2026F">
        <w:t>Table B.5.1</w:t>
      </w:r>
      <w:r w:rsidRPr="00CA4592" w:rsidR="00CA4592">
        <w:t xml:space="preserve">. Individuals Consulted on </w:t>
      </w:r>
      <w:r w:rsidR="00D2026F">
        <w:t>HERD</w:t>
      </w:r>
      <w:r w:rsidRPr="00CA4592" w:rsidR="00CA4592">
        <w:t xml:space="preserve"> </w:t>
      </w:r>
      <w:r w:rsidR="00D2026F">
        <w:t xml:space="preserve">and FFRDC R&amp;D Surveys </w:t>
      </w:r>
      <w:r w:rsidRPr="00CA4592" w:rsidR="00CA4592">
        <w:t>Technical and Statistical Issues</w:t>
      </w:r>
    </w:p>
    <w:p w:rsidRPr="008835A3" w:rsidR="002938D4" w:rsidP="00193098" w:rsidRDefault="002938D4" w14:paraId="4D66375C" w14:textId="77777777"/>
    <w:tbl>
      <w:tblPr>
        <w:tblStyle w:val="OMB"/>
        <w:tblW w:w="9360" w:type="dxa"/>
        <w:tblLayout w:type="fixed"/>
        <w:tblCellMar>
          <w:left w:w="86" w:type="dxa"/>
          <w:right w:w="86" w:type="dxa"/>
        </w:tblCellMar>
        <w:tblLook w:val="0620" w:firstRow="1" w:lastRow="0" w:firstColumn="0" w:lastColumn="0" w:noHBand="1" w:noVBand="1"/>
      </w:tblPr>
      <w:tblGrid>
        <w:gridCol w:w="3764"/>
        <w:gridCol w:w="3338"/>
        <w:gridCol w:w="2258"/>
      </w:tblGrid>
      <w:tr w:rsidRPr="00CA1752" w:rsidR="00193098" w:rsidTr="00B727E1" w14:paraId="66E86344" w14:textId="77777777">
        <w:trPr>
          <w:cnfStyle w:val="100000000000" w:firstRow="1" w:lastRow="0" w:firstColumn="0" w:lastColumn="0" w:oddVBand="0" w:evenVBand="0" w:oddHBand="0" w:evenHBand="0" w:firstRowFirstColumn="0" w:firstRowLastColumn="0" w:lastRowFirstColumn="0" w:lastRowLastColumn="0"/>
          <w:cantSplit/>
        </w:trPr>
        <w:tc>
          <w:tcPr>
            <w:tcW w:w="3764" w:type="dxa"/>
            <w:tcBorders>
              <w:right w:val="single" w:color="auto" w:sz="4" w:space="0"/>
            </w:tcBorders>
            <w:vAlign w:val="bottom"/>
          </w:tcPr>
          <w:p w:rsidRPr="00CA1752" w:rsidR="00193098" w:rsidP="00193098" w:rsidRDefault="00193098" w14:paraId="074B61CB" w14:textId="77777777">
            <w:pPr>
              <w:pStyle w:val="TableHeader"/>
              <w:rPr>
                <w:rFonts w:eastAsia="Times New Roman"/>
                <w:szCs w:val="24"/>
              </w:rPr>
            </w:pPr>
            <w:r w:rsidRPr="00CA1752">
              <w:t>Name</w:t>
            </w:r>
          </w:p>
        </w:tc>
        <w:tc>
          <w:tcPr>
            <w:tcW w:w="3338" w:type="dxa"/>
            <w:tcBorders>
              <w:left w:val="single" w:color="auto" w:sz="4" w:space="0"/>
              <w:right w:val="single" w:color="auto" w:sz="4" w:space="0"/>
            </w:tcBorders>
            <w:vAlign w:val="bottom"/>
          </w:tcPr>
          <w:p w:rsidRPr="00CA1752" w:rsidR="00193098" w:rsidP="00193098" w:rsidRDefault="00193098" w14:paraId="71F34B6F" w14:textId="77777777">
            <w:pPr>
              <w:pStyle w:val="TableHeader"/>
              <w:rPr>
                <w:rFonts w:eastAsia="Times New Roman"/>
                <w:szCs w:val="24"/>
              </w:rPr>
            </w:pPr>
            <w:r w:rsidRPr="00CA1752">
              <w:t>Affiliation</w:t>
            </w:r>
          </w:p>
        </w:tc>
        <w:tc>
          <w:tcPr>
            <w:tcW w:w="2258" w:type="dxa"/>
            <w:tcBorders>
              <w:left w:val="single" w:color="auto" w:sz="4" w:space="0"/>
            </w:tcBorders>
            <w:vAlign w:val="bottom"/>
          </w:tcPr>
          <w:p w:rsidRPr="00CA1752" w:rsidR="00193098" w:rsidP="00193098" w:rsidRDefault="00193098" w14:paraId="1DA1E55A" w14:textId="77777777">
            <w:pPr>
              <w:pStyle w:val="TableHeader"/>
              <w:rPr>
                <w:rFonts w:eastAsia="Times New Roman"/>
                <w:szCs w:val="24"/>
              </w:rPr>
            </w:pPr>
            <w:r w:rsidRPr="00CA1752">
              <w:t>Telephone Number</w:t>
            </w:r>
          </w:p>
        </w:tc>
      </w:tr>
      <w:tr w:rsidRPr="00CA1752" w:rsidR="00193098" w:rsidTr="00B727E1" w14:paraId="383EC5D3" w14:textId="77777777">
        <w:trPr>
          <w:cantSplit/>
        </w:trPr>
        <w:tc>
          <w:tcPr>
            <w:tcW w:w="3764" w:type="dxa"/>
            <w:tcBorders>
              <w:right w:val="single" w:color="auto" w:sz="4" w:space="0"/>
            </w:tcBorders>
          </w:tcPr>
          <w:p w:rsidRPr="00CA1752" w:rsidR="00193098" w:rsidP="00193098" w:rsidRDefault="00193098" w14:paraId="7C352308" w14:textId="5770FC8E">
            <w:pPr>
              <w:pStyle w:val="Tabletext1"/>
              <w:rPr>
                <w:rFonts w:eastAsia="Times New Roman"/>
                <w:szCs w:val="24"/>
              </w:rPr>
            </w:pPr>
            <w:r w:rsidRPr="00193098">
              <w:t>Mr. Michael Gibbons,</w:t>
            </w:r>
            <w:r w:rsidRPr="00CA1752">
              <w:rPr>
                <w:rFonts w:eastAsia="Times New Roman"/>
                <w:szCs w:val="24"/>
              </w:rPr>
              <w:br/>
            </w:r>
            <w:r>
              <w:t>HERD and FFRDC</w:t>
            </w:r>
            <w:r w:rsidRPr="00CA1752">
              <w:t xml:space="preserve"> Project Officer</w:t>
            </w:r>
          </w:p>
        </w:tc>
        <w:tc>
          <w:tcPr>
            <w:tcW w:w="3338" w:type="dxa"/>
            <w:tcBorders>
              <w:left w:val="single" w:color="auto" w:sz="4" w:space="0"/>
              <w:right w:val="single" w:color="auto" w:sz="4" w:space="0"/>
            </w:tcBorders>
          </w:tcPr>
          <w:p w:rsidRPr="00CA1752" w:rsidR="00193098" w:rsidP="00193098" w:rsidRDefault="00193098" w14:paraId="1D8DE95D" w14:textId="77777777">
            <w:pPr>
              <w:pStyle w:val="Tabletext1"/>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t>Alexandria</w:t>
            </w:r>
            <w:r w:rsidRPr="00CA1752">
              <w:t>, VA</w:t>
            </w:r>
          </w:p>
        </w:tc>
        <w:tc>
          <w:tcPr>
            <w:tcW w:w="2258" w:type="dxa"/>
            <w:tcBorders>
              <w:left w:val="single" w:color="auto" w:sz="4" w:space="0"/>
            </w:tcBorders>
          </w:tcPr>
          <w:p w:rsidRPr="00CA1752" w:rsidR="00193098" w:rsidP="00193098" w:rsidRDefault="00193098" w14:paraId="683E4736" w14:textId="66EF2C05">
            <w:pPr>
              <w:pStyle w:val="Tabletext1"/>
              <w:rPr>
                <w:rFonts w:eastAsia="Times New Roman"/>
                <w:szCs w:val="24"/>
              </w:rPr>
            </w:pPr>
            <w:r w:rsidRPr="00193098">
              <w:t>703-292-4590</w:t>
            </w:r>
          </w:p>
        </w:tc>
      </w:tr>
      <w:tr w:rsidRPr="00CA1752" w:rsidR="00193098" w:rsidTr="00B727E1" w14:paraId="47086657" w14:textId="77777777">
        <w:trPr>
          <w:cantSplit/>
        </w:trPr>
        <w:tc>
          <w:tcPr>
            <w:tcW w:w="3764" w:type="dxa"/>
            <w:tcBorders>
              <w:right w:val="single" w:color="auto" w:sz="4" w:space="0"/>
            </w:tcBorders>
          </w:tcPr>
          <w:p w:rsidRPr="00CA1752" w:rsidR="00193098" w:rsidP="00193098" w:rsidRDefault="00193098" w14:paraId="5B37F602" w14:textId="295AB502">
            <w:pPr>
              <w:pStyle w:val="Tabletext1"/>
              <w:rPr>
                <w:rFonts w:eastAsia="Times New Roman"/>
                <w:szCs w:val="24"/>
              </w:rPr>
            </w:pPr>
            <w:r w:rsidRPr="00193098">
              <w:t>Mr. John E. Jankowski</w:t>
            </w:r>
            <w:r w:rsidRPr="00CA1752">
              <w:rPr>
                <w:spacing w:val="29"/>
              </w:rPr>
              <w:br/>
            </w:r>
            <w:r w:rsidRPr="00CA1752">
              <w:t>Program Director</w:t>
            </w:r>
          </w:p>
        </w:tc>
        <w:tc>
          <w:tcPr>
            <w:tcW w:w="3338" w:type="dxa"/>
            <w:tcBorders>
              <w:left w:val="single" w:color="auto" w:sz="4" w:space="0"/>
              <w:right w:val="single" w:color="auto" w:sz="4" w:space="0"/>
            </w:tcBorders>
          </w:tcPr>
          <w:p w:rsidRPr="00CA1752" w:rsidR="00193098" w:rsidP="00193098" w:rsidRDefault="00193098" w14:paraId="0CE59A13" w14:textId="77777777">
            <w:pPr>
              <w:pStyle w:val="Tabletext1"/>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t>Alexandria</w:t>
            </w:r>
            <w:r w:rsidRPr="00CA1752">
              <w:t>, VA</w:t>
            </w:r>
          </w:p>
        </w:tc>
        <w:tc>
          <w:tcPr>
            <w:tcW w:w="2258" w:type="dxa"/>
            <w:tcBorders>
              <w:left w:val="single" w:color="auto" w:sz="4" w:space="0"/>
            </w:tcBorders>
          </w:tcPr>
          <w:p w:rsidRPr="00CA1752" w:rsidR="00193098" w:rsidP="00193098" w:rsidRDefault="00193098" w14:paraId="5F547B3B" w14:textId="78BFF054">
            <w:pPr>
              <w:pStyle w:val="Tabletext1"/>
              <w:rPr>
                <w:rFonts w:eastAsia="Times New Roman"/>
                <w:szCs w:val="24"/>
              </w:rPr>
            </w:pPr>
            <w:r>
              <w:t>703-292 7781</w:t>
            </w:r>
          </w:p>
        </w:tc>
      </w:tr>
      <w:tr w:rsidRPr="00CA1752" w:rsidR="00193098" w:rsidTr="00B727E1" w14:paraId="518B36BC" w14:textId="77777777">
        <w:trPr>
          <w:cantSplit/>
        </w:trPr>
        <w:tc>
          <w:tcPr>
            <w:tcW w:w="3764" w:type="dxa"/>
            <w:tcBorders>
              <w:right w:val="single" w:color="auto" w:sz="4" w:space="0"/>
            </w:tcBorders>
          </w:tcPr>
          <w:p w:rsidRPr="00CA1752" w:rsidR="00193098" w:rsidP="00193098" w:rsidRDefault="00193098" w14:paraId="284B04A1" w14:textId="07FBB56A">
            <w:pPr>
              <w:pStyle w:val="Tabletext1"/>
              <w:rPr>
                <w:rFonts w:eastAsia="Times New Roman"/>
                <w:szCs w:val="24"/>
              </w:rPr>
            </w:pPr>
            <w:r>
              <w:t>Mr. Jock Black</w:t>
            </w:r>
            <w:r w:rsidRPr="00CA1752">
              <w:rPr>
                <w:spacing w:val="27"/>
              </w:rPr>
              <w:br/>
            </w:r>
            <w:r w:rsidRPr="00CA1752">
              <w:t>Mathematical Statistician</w:t>
            </w:r>
          </w:p>
        </w:tc>
        <w:tc>
          <w:tcPr>
            <w:tcW w:w="3338" w:type="dxa"/>
            <w:tcBorders>
              <w:left w:val="single" w:color="auto" w:sz="4" w:space="0"/>
              <w:right w:val="single" w:color="auto" w:sz="4" w:space="0"/>
            </w:tcBorders>
          </w:tcPr>
          <w:p w:rsidRPr="00CA1752" w:rsidR="00193098" w:rsidP="00193098" w:rsidRDefault="00193098" w14:paraId="60FD52FA" w14:textId="77777777">
            <w:pPr>
              <w:pStyle w:val="Tabletext1"/>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t>Alexandria</w:t>
            </w:r>
            <w:r w:rsidRPr="00CA1752">
              <w:t>, VA</w:t>
            </w:r>
          </w:p>
        </w:tc>
        <w:tc>
          <w:tcPr>
            <w:tcW w:w="2258" w:type="dxa"/>
            <w:tcBorders>
              <w:left w:val="single" w:color="auto" w:sz="4" w:space="0"/>
            </w:tcBorders>
          </w:tcPr>
          <w:p w:rsidRPr="00CA1752" w:rsidR="00193098" w:rsidP="00193098" w:rsidRDefault="00CA4592" w14:paraId="71652D64" w14:textId="7335B141">
            <w:pPr>
              <w:pStyle w:val="Tabletext1"/>
              <w:rPr>
                <w:rFonts w:eastAsia="Times New Roman"/>
                <w:szCs w:val="24"/>
              </w:rPr>
            </w:pPr>
            <w:r>
              <w:rPr>
                <w:rFonts w:eastAsia="Times New Roman"/>
                <w:szCs w:val="24"/>
              </w:rPr>
              <w:t>703-</w:t>
            </w:r>
            <w:r w:rsidRPr="00CA4592">
              <w:rPr>
                <w:rFonts w:eastAsia="Times New Roman"/>
                <w:szCs w:val="24"/>
              </w:rPr>
              <w:t>292-7802</w:t>
            </w:r>
          </w:p>
        </w:tc>
      </w:tr>
      <w:tr w:rsidRPr="00CA1752" w:rsidR="00193098" w:rsidTr="00B727E1" w14:paraId="53451612" w14:textId="77777777">
        <w:trPr>
          <w:cantSplit/>
        </w:trPr>
        <w:tc>
          <w:tcPr>
            <w:tcW w:w="3764" w:type="dxa"/>
            <w:tcBorders>
              <w:right w:val="single" w:color="auto" w:sz="4" w:space="0"/>
            </w:tcBorders>
          </w:tcPr>
          <w:p w:rsidRPr="00CA1752" w:rsidR="00193098" w:rsidP="00193098" w:rsidRDefault="00193098" w14:paraId="64BFA93B" w14:textId="77777777">
            <w:pPr>
              <w:pStyle w:val="Tabletext1"/>
              <w:rPr>
                <w:rFonts w:eastAsia="Times New Roman"/>
                <w:szCs w:val="24"/>
              </w:rPr>
            </w:pPr>
            <w:r w:rsidRPr="00CA1752">
              <w:t xml:space="preserve">Ms. Rebecca </w:t>
            </w:r>
            <w:r>
              <w:t xml:space="preserve">L. </w:t>
            </w:r>
            <w:r w:rsidRPr="00CA1752">
              <w:t>Morrison</w:t>
            </w:r>
            <w:r w:rsidRPr="00CA1752">
              <w:rPr>
                <w:spacing w:val="23"/>
              </w:rPr>
              <w:t xml:space="preserve"> </w:t>
            </w:r>
            <w:r w:rsidRPr="00CA1752">
              <w:rPr>
                <w:spacing w:val="23"/>
              </w:rPr>
              <w:br/>
            </w:r>
            <w:r w:rsidRPr="00CA1752">
              <w:t>Survey</w:t>
            </w:r>
            <w:r w:rsidRPr="00CA1752">
              <w:rPr>
                <w:spacing w:val="-5"/>
              </w:rPr>
              <w:t xml:space="preserve"> Methodologist</w:t>
            </w:r>
          </w:p>
        </w:tc>
        <w:tc>
          <w:tcPr>
            <w:tcW w:w="3338" w:type="dxa"/>
            <w:tcBorders>
              <w:left w:val="single" w:color="auto" w:sz="4" w:space="0"/>
              <w:right w:val="single" w:color="auto" w:sz="4" w:space="0"/>
            </w:tcBorders>
          </w:tcPr>
          <w:p w:rsidRPr="00CA1752" w:rsidR="00193098" w:rsidP="00193098" w:rsidRDefault="00193098" w14:paraId="27CC1B98" w14:textId="77777777">
            <w:pPr>
              <w:pStyle w:val="Tabletext1"/>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t>Alexandria</w:t>
            </w:r>
            <w:r w:rsidRPr="00CA1752">
              <w:t>, VA</w:t>
            </w:r>
          </w:p>
        </w:tc>
        <w:tc>
          <w:tcPr>
            <w:tcW w:w="2258" w:type="dxa"/>
            <w:tcBorders>
              <w:left w:val="single" w:color="auto" w:sz="4" w:space="0"/>
            </w:tcBorders>
          </w:tcPr>
          <w:p w:rsidRPr="00CA1752" w:rsidR="00193098" w:rsidP="00193098" w:rsidRDefault="00CA4592" w14:paraId="5C4B63EB" w14:textId="762A04BF">
            <w:pPr>
              <w:pStyle w:val="Tabletext1"/>
              <w:rPr>
                <w:rFonts w:eastAsia="Times New Roman"/>
                <w:szCs w:val="24"/>
              </w:rPr>
            </w:pPr>
            <w:r>
              <w:t>703-</w:t>
            </w:r>
            <w:r w:rsidRPr="00CA1752" w:rsidR="00193098">
              <w:t>292-7794</w:t>
            </w:r>
          </w:p>
        </w:tc>
      </w:tr>
      <w:tr w:rsidRPr="00CA1752" w:rsidR="00193098" w:rsidTr="00B727E1" w14:paraId="5DF9600C" w14:textId="77777777">
        <w:trPr>
          <w:cantSplit/>
        </w:trPr>
        <w:tc>
          <w:tcPr>
            <w:tcW w:w="3764" w:type="dxa"/>
            <w:tcBorders>
              <w:right w:val="single" w:color="auto" w:sz="4" w:space="0"/>
            </w:tcBorders>
          </w:tcPr>
          <w:p w:rsidRPr="00CA1752" w:rsidR="00193098" w:rsidP="00193098" w:rsidRDefault="00193098" w14:paraId="1C6C995E" w14:textId="76B8AE09">
            <w:pPr>
              <w:pStyle w:val="Tabletext1"/>
              <w:rPr>
                <w:rFonts w:eastAsia="Times New Roman"/>
                <w:szCs w:val="24"/>
              </w:rPr>
            </w:pPr>
            <w:r>
              <w:t>Ms. Kathryn Harper</w:t>
            </w:r>
            <w:r w:rsidRPr="00CA1752">
              <w:rPr>
                <w:spacing w:val="28"/>
              </w:rPr>
              <w:t xml:space="preserve"> </w:t>
            </w:r>
            <w:r w:rsidRPr="00CA1752">
              <w:rPr>
                <w:spacing w:val="28"/>
              </w:rPr>
              <w:br/>
            </w:r>
            <w:r>
              <w:t xml:space="preserve">HERD/FFRDC </w:t>
            </w:r>
            <w:r w:rsidRPr="00CA1752">
              <w:t>Project Director</w:t>
            </w:r>
          </w:p>
        </w:tc>
        <w:tc>
          <w:tcPr>
            <w:tcW w:w="3338" w:type="dxa"/>
            <w:tcBorders>
              <w:left w:val="single" w:color="auto" w:sz="4" w:space="0"/>
              <w:right w:val="single" w:color="auto" w:sz="4" w:space="0"/>
            </w:tcBorders>
          </w:tcPr>
          <w:p w:rsidR="00193098" w:rsidP="00193098" w:rsidRDefault="00193098" w14:paraId="57CE9773" w14:textId="77777777">
            <w:pPr>
              <w:pStyle w:val="Tabletext1"/>
              <w:contextualSpacing/>
            </w:pPr>
            <w:r>
              <w:t>ICF</w:t>
            </w:r>
          </w:p>
          <w:p w:rsidRPr="00CA1752" w:rsidR="00193098" w:rsidP="00193098" w:rsidRDefault="00193098" w14:paraId="0D44630C" w14:textId="1FEED0E8">
            <w:pPr>
              <w:pStyle w:val="Tabletext1"/>
              <w:contextualSpacing/>
              <w:rPr>
                <w:rFonts w:eastAsia="Times New Roman"/>
                <w:szCs w:val="24"/>
              </w:rPr>
            </w:pPr>
            <w:r>
              <w:t>Rockville, MD</w:t>
            </w:r>
          </w:p>
        </w:tc>
        <w:tc>
          <w:tcPr>
            <w:tcW w:w="2258" w:type="dxa"/>
            <w:tcBorders>
              <w:left w:val="single" w:color="auto" w:sz="4" w:space="0"/>
            </w:tcBorders>
          </w:tcPr>
          <w:p w:rsidRPr="00CA1752" w:rsidR="00193098" w:rsidP="00F206A5" w:rsidRDefault="00F206A5" w14:paraId="13988A2B" w14:textId="2ECAD745">
            <w:pPr>
              <w:pStyle w:val="Tabletext1"/>
              <w:rPr>
                <w:rFonts w:eastAsia="Times New Roman"/>
                <w:szCs w:val="24"/>
              </w:rPr>
            </w:pPr>
            <w:r>
              <w:rPr>
                <w:rFonts w:eastAsia="Times New Roman"/>
                <w:szCs w:val="24"/>
              </w:rPr>
              <w:t>301-572-0202</w:t>
            </w:r>
          </w:p>
        </w:tc>
      </w:tr>
      <w:tr w:rsidRPr="00CA1752" w:rsidR="00193098" w:rsidTr="00B727E1" w14:paraId="4B557DD3" w14:textId="77777777">
        <w:trPr>
          <w:cantSplit/>
        </w:trPr>
        <w:tc>
          <w:tcPr>
            <w:tcW w:w="3764" w:type="dxa"/>
            <w:tcBorders>
              <w:right w:val="single" w:color="auto" w:sz="4" w:space="0"/>
            </w:tcBorders>
          </w:tcPr>
          <w:p w:rsidR="00193098" w:rsidP="00396A95" w:rsidRDefault="00193098" w14:paraId="03D8127B" w14:textId="77777777">
            <w:pPr>
              <w:pStyle w:val="Tabletext1"/>
              <w:contextualSpacing/>
            </w:pPr>
            <w:r>
              <w:t>Ms. Jennifer Greer</w:t>
            </w:r>
          </w:p>
          <w:p w:rsidRPr="00CA1752" w:rsidR="00193098" w:rsidP="00396A95" w:rsidRDefault="00193098" w14:paraId="465C2AFE" w14:textId="708106DE">
            <w:pPr>
              <w:pStyle w:val="Tabletext1"/>
              <w:contextualSpacing/>
              <w:rPr>
                <w:rFonts w:eastAsia="Times New Roman"/>
                <w:szCs w:val="24"/>
              </w:rPr>
            </w:pPr>
            <w:r>
              <w:t xml:space="preserve">Data </w:t>
            </w:r>
            <w:r w:rsidR="00396A95">
              <w:t>Management</w:t>
            </w:r>
            <w:r w:rsidRPr="00CA1752">
              <w:t xml:space="preserve"> Task</w:t>
            </w:r>
            <w:r w:rsidRPr="00CA1752">
              <w:rPr>
                <w:spacing w:val="2"/>
              </w:rPr>
              <w:t xml:space="preserve"> </w:t>
            </w:r>
            <w:r w:rsidRPr="00CA1752">
              <w:t>Leader</w:t>
            </w:r>
          </w:p>
        </w:tc>
        <w:tc>
          <w:tcPr>
            <w:tcW w:w="3338" w:type="dxa"/>
            <w:tcBorders>
              <w:left w:val="single" w:color="auto" w:sz="4" w:space="0"/>
              <w:right w:val="single" w:color="auto" w:sz="4" w:space="0"/>
            </w:tcBorders>
          </w:tcPr>
          <w:p w:rsidR="000E319E" w:rsidP="000E319E" w:rsidRDefault="000E319E" w14:paraId="1E87BEA0" w14:textId="77777777">
            <w:pPr>
              <w:pStyle w:val="Tabletext1"/>
              <w:contextualSpacing/>
            </w:pPr>
            <w:r>
              <w:t>ICF</w:t>
            </w:r>
          </w:p>
          <w:p w:rsidRPr="00CA1752" w:rsidR="00193098" w:rsidP="000E319E" w:rsidRDefault="000E319E" w14:paraId="58EA3D1F" w14:textId="58A8D35F">
            <w:pPr>
              <w:pStyle w:val="Tabletext1"/>
              <w:rPr>
                <w:rFonts w:eastAsia="Times New Roman"/>
                <w:szCs w:val="24"/>
              </w:rPr>
            </w:pPr>
            <w:r>
              <w:t>Rockville, MD</w:t>
            </w:r>
          </w:p>
        </w:tc>
        <w:tc>
          <w:tcPr>
            <w:tcW w:w="2258" w:type="dxa"/>
            <w:tcBorders>
              <w:left w:val="single" w:color="auto" w:sz="4" w:space="0"/>
            </w:tcBorders>
          </w:tcPr>
          <w:p w:rsidRPr="00CA1752" w:rsidR="00193098" w:rsidP="00193098" w:rsidRDefault="00CA4592" w14:paraId="2D37A8DA" w14:textId="0C095A58">
            <w:pPr>
              <w:pStyle w:val="Tabletext1"/>
              <w:rPr>
                <w:rFonts w:eastAsia="Times New Roman"/>
                <w:szCs w:val="24"/>
              </w:rPr>
            </w:pPr>
            <w:r w:rsidRPr="00CA4592">
              <w:rPr>
                <w:rFonts w:eastAsia="Times New Roman"/>
                <w:szCs w:val="24"/>
              </w:rPr>
              <w:t>815-993-8012</w:t>
            </w:r>
          </w:p>
        </w:tc>
      </w:tr>
      <w:tr w:rsidRPr="00CA1752" w:rsidR="00193098" w:rsidTr="00B727E1" w14:paraId="49004A24" w14:textId="77777777">
        <w:trPr>
          <w:cantSplit/>
        </w:trPr>
        <w:tc>
          <w:tcPr>
            <w:tcW w:w="3764" w:type="dxa"/>
            <w:tcBorders>
              <w:right w:val="single" w:color="auto" w:sz="4" w:space="0"/>
            </w:tcBorders>
          </w:tcPr>
          <w:p w:rsidRPr="00CA1752" w:rsidR="00193098" w:rsidP="00193098" w:rsidRDefault="00193098" w14:paraId="29C8DE32" w14:textId="586BBCDB">
            <w:pPr>
              <w:pStyle w:val="Tabletext1"/>
              <w:rPr>
                <w:rFonts w:eastAsia="Times New Roman"/>
                <w:szCs w:val="24"/>
              </w:rPr>
            </w:pPr>
            <w:r w:rsidRPr="00CA1752">
              <w:t xml:space="preserve">Ms. </w:t>
            </w:r>
            <w:r>
              <w:t>Carolyn Bennett</w:t>
            </w:r>
            <w:r w:rsidRPr="00CA1752">
              <w:rPr>
                <w:rFonts w:eastAsia="Times New Roman"/>
                <w:szCs w:val="24"/>
              </w:rPr>
              <w:br/>
            </w:r>
            <w:r w:rsidRPr="00CA1752">
              <w:t>Data Collection Task</w:t>
            </w:r>
            <w:r w:rsidRPr="00CA1752">
              <w:rPr>
                <w:spacing w:val="2"/>
              </w:rPr>
              <w:t xml:space="preserve"> </w:t>
            </w:r>
            <w:r w:rsidRPr="00CA1752">
              <w:t>Leader</w:t>
            </w:r>
          </w:p>
        </w:tc>
        <w:tc>
          <w:tcPr>
            <w:tcW w:w="3338" w:type="dxa"/>
            <w:tcBorders>
              <w:left w:val="single" w:color="auto" w:sz="4" w:space="0"/>
              <w:right w:val="single" w:color="auto" w:sz="4" w:space="0"/>
            </w:tcBorders>
          </w:tcPr>
          <w:p w:rsidR="00193098" w:rsidP="00396A95" w:rsidRDefault="00193098" w14:paraId="7AB46724" w14:textId="77777777">
            <w:pPr>
              <w:pStyle w:val="Tabletext1"/>
              <w:contextualSpacing/>
            </w:pPr>
            <w:r>
              <w:t>ICF</w:t>
            </w:r>
          </w:p>
          <w:p w:rsidRPr="00CA1752" w:rsidR="00193098" w:rsidP="00396A95" w:rsidRDefault="00193098" w14:paraId="1A00F623" w14:textId="75E5C8EF">
            <w:pPr>
              <w:pStyle w:val="Tabletext1"/>
              <w:contextualSpacing/>
            </w:pPr>
            <w:r>
              <w:t>Rockville, MD</w:t>
            </w:r>
          </w:p>
        </w:tc>
        <w:tc>
          <w:tcPr>
            <w:tcW w:w="2258" w:type="dxa"/>
            <w:tcBorders>
              <w:left w:val="single" w:color="auto" w:sz="4" w:space="0"/>
            </w:tcBorders>
          </w:tcPr>
          <w:p w:rsidRPr="00CA1752" w:rsidR="00193098" w:rsidP="00193098" w:rsidRDefault="00F206A5" w14:paraId="31EF6B9E" w14:textId="5A4E1ED0">
            <w:pPr>
              <w:pStyle w:val="Tabletext1"/>
              <w:rPr>
                <w:rFonts w:eastAsia="Times New Roman"/>
                <w:szCs w:val="24"/>
              </w:rPr>
            </w:pPr>
            <w:r>
              <w:rPr>
                <w:rFonts w:eastAsia="Times New Roman"/>
                <w:szCs w:val="24"/>
              </w:rPr>
              <w:t>301-</w:t>
            </w:r>
            <w:r w:rsidRPr="00F206A5">
              <w:rPr>
                <w:rFonts w:eastAsia="Times New Roman"/>
                <w:szCs w:val="24"/>
              </w:rPr>
              <w:t>572</w:t>
            </w:r>
            <w:r>
              <w:rPr>
                <w:rFonts w:eastAsia="Times New Roman"/>
                <w:szCs w:val="24"/>
              </w:rPr>
              <w:t>-</w:t>
            </w:r>
            <w:r w:rsidRPr="00F206A5">
              <w:rPr>
                <w:rFonts w:eastAsia="Times New Roman"/>
                <w:szCs w:val="24"/>
              </w:rPr>
              <w:t>0322</w:t>
            </w:r>
          </w:p>
        </w:tc>
      </w:tr>
      <w:tr w:rsidRPr="00CA1752" w:rsidR="00193098" w:rsidTr="00B727E1" w14:paraId="3B232CCF" w14:textId="77777777">
        <w:trPr>
          <w:cantSplit/>
        </w:trPr>
        <w:tc>
          <w:tcPr>
            <w:tcW w:w="3764" w:type="dxa"/>
            <w:tcBorders>
              <w:right w:val="single" w:color="auto" w:sz="4" w:space="0"/>
            </w:tcBorders>
          </w:tcPr>
          <w:p w:rsidRPr="00CA1752" w:rsidR="00193098" w:rsidP="00193098" w:rsidRDefault="00193098" w14:paraId="11D9BFA2" w14:textId="20D98614">
            <w:pPr>
              <w:pStyle w:val="Tabletext1"/>
              <w:rPr>
                <w:rFonts w:eastAsia="Times New Roman"/>
                <w:szCs w:val="24"/>
              </w:rPr>
            </w:pPr>
            <w:r w:rsidRPr="00CA1752">
              <w:t xml:space="preserve">Mr. </w:t>
            </w:r>
            <w:r>
              <w:t>David Greene</w:t>
            </w:r>
            <w:r w:rsidRPr="00CA1752">
              <w:rPr>
                <w:rFonts w:eastAsia="Times New Roman"/>
                <w:szCs w:val="24"/>
              </w:rPr>
              <w:br/>
            </w:r>
            <w:r w:rsidRPr="00CA1752">
              <w:t>Systems Development Task</w:t>
            </w:r>
            <w:r w:rsidRPr="00CA1752">
              <w:rPr>
                <w:spacing w:val="2"/>
              </w:rPr>
              <w:t xml:space="preserve"> </w:t>
            </w:r>
            <w:r w:rsidRPr="00CA1752">
              <w:t>Leader</w:t>
            </w:r>
          </w:p>
        </w:tc>
        <w:tc>
          <w:tcPr>
            <w:tcW w:w="3338" w:type="dxa"/>
            <w:tcBorders>
              <w:left w:val="single" w:color="auto" w:sz="4" w:space="0"/>
              <w:right w:val="single" w:color="auto" w:sz="4" w:space="0"/>
            </w:tcBorders>
          </w:tcPr>
          <w:p w:rsidR="000E319E" w:rsidP="000E319E" w:rsidRDefault="000E319E" w14:paraId="5AABD154" w14:textId="77777777">
            <w:pPr>
              <w:pStyle w:val="Tabletext1"/>
              <w:contextualSpacing/>
            </w:pPr>
            <w:r>
              <w:t>ICF</w:t>
            </w:r>
          </w:p>
          <w:p w:rsidRPr="00CA1752" w:rsidR="00193098" w:rsidP="000E319E" w:rsidRDefault="000E319E" w14:paraId="6999530F" w14:textId="0C8A606E">
            <w:pPr>
              <w:pStyle w:val="Tabletext1"/>
              <w:rPr>
                <w:rFonts w:eastAsia="Times New Roman"/>
                <w:szCs w:val="24"/>
              </w:rPr>
            </w:pPr>
            <w:r>
              <w:t>Rockville, MD</w:t>
            </w:r>
          </w:p>
        </w:tc>
        <w:tc>
          <w:tcPr>
            <w:tcW w:w="2258" w:type="dxa"/>
            <w:tcBorders>
              <w:left w:val="single" w:color="auto" w:sz="4" w:space="0"/>
            </w:tcBorders>
          </w:tcPr>
          <w:p w:rsidRPr="00CA1752" w:rsidR="00193098" w:rsidP="00193098" w:rsidRDefault="00F206A5" w14:paraId="3A1462E8" w14:textId="62294B21">
            <w:pPr>
              <w:pStyle w:val="Tabletext1"/>
              <w:rPr>
                <w:rFonts w:eastAsia="Times New Roman"/>
                <w:szCs w:val="24"/>
              </w:rPr>
            </w:pPr>
            <w:r>
              <w:rPr>
                <w:rFonts w:eastAsia="Times New Roman"/>
                <w:szCs w:val="24"/>
              </w:rPr>
              <w:t>301-</w:t>
            </w:r>
            <w:r w:rsidRPr="00F206A5">
              <w:rPr>
                <w:rFonts w:eastAsia="Times New Roman"/>
                <w:szCs w:val="24"/>
              </w:rPr>
              <w:t>572</w:t>
            </w:r>
            <w:r>
              <w:rPr>
                <w:rFonts w:eastAsia="Times New Roman"/>
                <w:szCs w:val="24"/>
              </w:rPr>
              <w:t>-</w:t>
            </w:r>
            <w:r w:rsidRPr="00F206A5">
              <w:rPr>
                <w:rFonts w:eastAsia="Times New Roman"/>
                <w:szCs w:val="24"/>
              </w:rPr>
              <w:t>0525</w:t>
            </w:r>
          </w:p>
        </w:tc>
      </w:tr>
      <w:tr w:rsidRPr="00CA1752" w:rsidR="00193098" w:rsidTr="00B727E1" w14:paraId="262A904A" w14:textId="77777777">
        <w:trPr>
          <w:cantSplit/>
        </w:trPr>
        <w:tc>
          <w:tcPr>
            <w:tcW w:w="3764" w:type="dxa"/>
            <w:tcBorders>
              <w:bottom w:val="single" w:color="auto" w:sz="12" w:space="0"/>
              <w:right w:val="single" w:color="auto" w:sz="4" w:space="0"/>
            </w:tcBorders>
          </w:tcPr>
          <w:p w:rsidR="00396A95" w:rsidP="000E319E" w:rsidRDefault="00396A95" w14:paraId="09A0525B" w14:textId="0EB9B74B">
            <w:pPr>
              <w:pStyle w:val="Tabletext1"/>
              <w:contextualSpacing/>
            </w:pPr>
            <w:r>
              <w:t>Mr. Adam Lee</w:t>
            </w:r>
          </w:p>
          <w:p w:rsidRPr="00CA1752" w:rsidR="00193098" w:rsidP="000E319E" w:rsidRDefault="00396A95" w14:paraId="4F7AC276" w14:textId="23316D25">
            <w:pPr>
              <w:pStyle w:val="Tabletext1"/>
              <w:contextualSpacing/>
              <w:rPr>
                <w:rFonts w:eastAsia="Times New Roman"/>
                <w:szCs w:val="24"/>
              </w:rPr>
            </w:pPr>
            <w:r>
              <w:t>Survey Methodologist</w:t>
            </w:r>
          </w:p>
        </w:tc>
        <w:tc>
          <w:tcPr>
            <w:tcW w:w="3338" w:type="dxa"/>
            <w:tcBorders>
              <w:left w:val="single" w:color="auto" w:sz="4" w:space="0"/>
              <w:bottom w:val="single" w:color="auto" w:sz="12" w:space="0"/>
              <w:right w:val="single" w:color="auto" w:sz="4" w:space="0"/>
            </w:tcBorders>
          </w:tcPr>
          <w:p w:rsidR="000E319E" w:rsidP="000E319E" w:rsidRDefault="000E319E" w14:paraId="0DD59316" w14:textId="77777777">
            <w:pPr>
              <w:pStyle w:val="Tabletext1"/>
              <w:contextualSpacing/>
            </w:pPr>
            <w:r>
              <w:t>ICF</w:t>
            </w:r>
          </w:p>
          <w:p w:rsidRPr="00CA1752" w:rsidR="00193098" w:rsidP="000E319E" w:rsidRDefault="000E319E" w14:paraId="33830ABA" w14:textId="55787DB2">
            <w:pPr>
              <w:pStyle w:val="Tabletext1"/>
              <w:contextualSpacing/>
              <w:rPr>
                <w:rFonts w:eastAsia="Times New Roman"/>
                <w:szCs w:val="24"/>
              </w:rPr>
            </w:pPr>
            <w:r>
              <w:t>Rockville, MD</w:t>
            </w:r>
          </w:p>
        </w:tc>
        <w:tc>
          <w:tcPr>
            <w:tcW w:w="2258" w:type="dxa"/>
            <w:tcBorders>
              <w:left w:val="single" w:color="auto" w:sz="4" w:space="0"/>
              <w:bottom w:val="single" w:color="auto" w:sz="12" w:space="0"/>
            </w:tcBorders>
          </w:tcPr>
          <w:p w:rsidRPr="00CA1752" w:rsidR="00193098" w:rsidP="00193098" w:rsidRDefault="00F206A5" w14:paraId="453F3D96" w14:textId="1DC98E34">
            <w:pPr>
              <w:pStyle w:val="Tabletext1"/>
              <w:rPr>
                <w:rFonts w:eastAsia="Times New Roman"/>
                <w:szCs w:val="24"/>
              </w:rPr>
            </w:pPr>
            <w:r>
              <w:t>301-572-0814</w:t>
            </w:r>
          </w:p>
        </w:tc>
      </w:tr>
    </w:tbl>
    <w:p w:rsidRPr="008835A3" w:rsidR="008E3D54" w:rsidP="00193098" w:rsidRDefault="008E3D54" w14:paraId="466261A9" w14:textId="606139BB">
      <w:r w:rsidRPr="008835A3">
        <w:t xml:space="preserve">       </w:t>
      </w:r>
    </w:p>
    <w:p w:rsidR="008E3D54" w:rsidP="00193098" w:rsidRDefault="008E3D54" w14:paraId="62FD02C9" w14:textId="77777777">
      <w:pPr>
        <w:pStyle w:val="TOC1"/>
        <w:sectPr w:rsidR="008E3D54" w:rsidSect="002D2EFE">
          <w:footerReference w:type="even" r:id="rId12"/>
          <w:footerReference w:type="default" r:id="rId13"/>
          <w:endnotePr>
            <w:numFmt w:val="decimal"/>
          </w:endnotePr>
          <w:pgSz w:w="12240" w:h="15840"/>
          <w:pgMar w:top="1440" w:right="1080" w:bottom="1440" w:left="1800" w:header="720" w:footer="720" w:gutter="0"/>
          <w:cols w:space="720"/>
          <w:titlePg/>
          <w:docGrid w:linePitch="272"/>
        </w:sectPr>
      </w:pPr>
    </w:p>
    <w:p w:rsidRPr="008835A3" w:rsidR="008E3D54" w:rsidP="00193098" w:rsidRDefault="008E3D54" w14:paraId="1F60CF42" w14:textId="77777777">
      <w:pPr>
        <w:pStyle w:val="TOC1"/>
      </w:pPr>
    </w:p>
    <w:p w:rsidR="008E3D54" w:rsidP="00193098" w:rsidRDefault="008E3D54" w14:paraId="5FFBE294" w14:textId="77777777">
      <w:pPr>
        <w:pStyle w:val="TOC1"/>
        <w:sectPr w:rsidR="008E3D54" w:rsidSect="009B5AA7">
          <w:endnotePr>
            <w:numFmt w:val="decimal"/>
          </w:endnotePr>
          <w:type w:val="continuous"/>
          <w:pgSz w:w="12240" w:h="15840"/>
          <w:pgMar w:top="1440" w:right="1800" w:bottom="1440" w:left="1800" w:header="720" w:footer="720" w:gutter="0"/>
          <w:pgNumType w:start="1"/>
          <w:cols w:space="720"/>
          <w:titlePg/>
          <w:docGrid w:linePitch="272"/>
        </w:sectPr>
      </w:pPr>
    </w:p>
    <w:p w:rsidRPr="008835A3" w:rsidR="008E3D54" w:rsidP="00193098" w:rsidRDefault="008E3D54" w14:paraId="5D302C2B" w14:textId="77777777">
      <w:pPr>
        <w:pStyle w:val="TOC1"/>
      </w:pPr>
    </w:p>
    <w:sectPr w:rsidRPr="008835A3" w:rsidR="008E3D54" w:rsidSect="009B5AA7">
      <w:footerReference w:type="default" r:id="rId14"/>
      <w:endnotePr>
        <w:numFmt w:val="decimal"/>
      </w:endnotePr>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8CF84" w14:textId="77777777" w:rsidR="00932AAE" w:rsidRDefault="00932AAE" w:rsidP="00193098">
      <w:r>
        <w:separator/>
      </w:r>
    </w:p>
  </w:endnote>
  <w:endnote w:type="continuationSeparator" w:id="0">
    <w:p w14:paraId="41E99CC4" w14:textId="77777777" w:rsidR="00932AAE" w:rsidRDefault="00932AAE" w:rsidP="00193098">
      <w:r>
        <w:continuationSeparator/>
      </w:r>
    </w:p>
  </w:endnote>
  <w:endnote w:type="continuationNotice" w:id="1">
    <w:p w14:paraId="58815F0A" w14:textId="77777777" w:rsidR="00932AAE" w:rsidRDefault="00932AAE" w:rsidP="00193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DC481" w14:textId="77777777" w:rsidR="00932AAE" w:rsidRDefault="00932AAE" w:rsidP="001930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6F8500B" w14:textId="77777777" w:rsidR="00932AAE" w:rsidRDefault="00932AAE" w:rsidP="0019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754766"/>
      <w:docPartObj>
        <w:docPartGallery w:val="Page Numbers (Bottom of Page)"/>
        <w:docPartUnique/>
      </w:docPartObj>
    </w:sdtPr>
    <w:sdtEndPr>
      <w:rPr>
        <w:noProof/>
      </w:rPr>
    </w:sdtEndPr>
    <w:sdtContent>
      <w:p w14:paraId="4C027E31" w14:textId="76E1AA13" w:rsidR="00A41D2C" w:rsidRDefault="00A41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5C6A1" w14:textId="77777777" w:rsidR="00932AAE" w:rsidRDefault="00932AAE" w:rsidP="00193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C71F1" w14:textId="77777777" w:rsidR="00932AAE" w:rsidRDefault="00932AAE" w:rsidP="00193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B4FC5" w14:textId="77777777" w:rsidR="00932AAE" w:rsidRDefault="00932AAE" w:rsidP="00193098">
      <w:r>
        <w:separator/>
      </w:r>
    </w:p>
  </w:footnote>
  <w:footnote w:type="continuationSeparator" w:id="0">
    <w:p w14:paraId="03BF52E1" w14:textId="77777777" w:rsidR="00932AAE" w:rsidRDefault="00932AAE" w:rsidP="00193098">
      <w:r>
        <w:continuationSeparator/>
      </w:r>
    </w:p>
  </w:footnote>
  <w:footnote w:type="continuationNotice" w:id="1">
    <w:p w14:paraId="3E924546" w14:textId="77777777" w:rsidR="00932AAE" w:rsidRDefault="00932AAE" w:rsidP="00193098"/>
  </w:footnote>
  <w:footnote w:id="2">
    <w:p w14:paraId="3720644A" w14:textId="11805548" w:rsidR="00F865BA" w:rsidRDefault="00F865BA">
      <w:pPr>
        <w:pStyle w:val="FootnoteText"/>
      </w:pPr>
      <w:r>
        <w:rPr>
          <w:rStyle w:val="FootnoteReference"/>
        </w:rPr>
        <w:footnoteRef/>
      </w:r>
      <w:r>
        <w:t xml:space="preserve"> See </w:t>
      </w:r>
      <w:r w:rsidRPr="00F865BA">
        <w:t>https://www.nsf.gov/statistics/ffrdclist/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13A8C"/>
    <w:multiLevelType w:val="hybridMultilevel"/>
    <w:tmpl w:val="B4D2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15106"/>
    <w:multiLevelType w:val="hybridMultilevel"/>
    <w:tmpl w:val="B3321CD6"/>
    <w:lvl w:ilvl="0" w:tplc="17428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1A2"/>
    <w:multiLevelType w:val="hybridMultilevel"/>
    <w:tmpl w:val="FFFFFFFF"/>
    <w:lvl w:ilvl="0" w:tplc="AC863502">
      <w:start w:val="4"/>
      <w:numFmt w:val="decimal"/>
      <w:lvlText w:val="%1."/>
      <w:lvlJc w:val="left"/>
      <w:pPr>
        <w:ind w:left="1080" w:hanging="360"/>
      </w:pPr>
    </w:lvl>
    <w:lvl w:ilvl="1" w:tplc="F816E9CE">
      <w:start w:val="1"/>
      <w:numFmt w:val="lowerLetter"/>
      <w:lvlText w:val="%2."/>
      <w:lvlJc w:val="left"/>
      <w:pPr>
        <w:ind w:left="1440" w:hanging="360"/>
      </w:pPr>
    </w:lvl>
    <w:lvl w:ilvl="2" w:tplc="1AC0AF72">
      <w:start w:val="1"/>
      <w:numFmt w:val="lowerRoman"/>
      <w:lvlText w:val="%3."/>
      <w:lvlJc w:val="right"/>
      <w:pPr>
        <w:ind w:left="2160" w:hanging="180"/>
      </w:pPr>
    </w:lvl>
    <w:lvl w:ilvl="3" w:tplc="2000F750">
      <w:start w:val="1"/>
      <w:numFmt w:val="decimal"/>
      <w:lvlText w:val="%4."/>
      <w:lvlJc w:val="left"/>
      <w:pPr>
        <w:ind w:left="2880" w:hanging="360"/>
      </w:pPr>
    </w:lvl>
    <w:lvl w:ilvl="4" w:tplc="839A0ADC">
      <w:start w:val="1"/>
      <w:numFmt w:val="lowerLetter"/>
      <w:lvlText w:val="%5."/>
      <w:lvlJc w:val="left"/>
      <w:pPr>
        <w:ind w:left="3600" w:hanging="360"/>
      </w:pPr>
    </w:lvl>
    <w:lvl w:ilvl="5" w:tplc="19A0663A">
      <w:start w:val="1"/>
      <w:numFmt w:val="lowerRoman"/>
      <w:lvlText w:val="%6."/>
      <w:lvlJc w:val="right"/>
      <w:pPr>
        <w:ind w:left="4320" w:hanging="180"/>
      </w:pPr>
    </w:lvl>
    <w:lvl w:ilvl="6" w:tplc="39B8DB46">
      <w:start w:val="1"/>
      <w:numFmt w:val="decimal"/>
      <w:lvlText w:val="%7."/>
      <w:lvlJc w:val="left"/>
      <w:pPr>
        <w:ind w:left="5040" w:hanging="360"/>
      </w:pPr>
    </w:lvl>
    <w:lvl w:ilvl="7" w:tplc="8FAAD3C6">
      <w:start w:val="1"/>
      <w:numFmt w:val="lowerLetter"/>
      <w:lvlText w:val="%8."/>
      <w:lvlJc w:val="left"/>
      <w:pPr>
        <w:ind w:left="5760" w:hanging="360"/>
      </w:pPr>
    </w:lvl>
    <w:lvl w:ilvl="8" w:tplc="CD04C55A">
      <w:start w:val="1"/>
      <w:numFmt w:val="lowerRoman"/>
      <w:lvlText w:val="%9."/>
      <w:lvlJc w:val="right"/>
      <w:pPr>
        <w:ind w:left="6480" w:hanging="180"/>
      </w:pPr>
    </w:lvl>
  </w:abstractNum>
  <w:abstractNum w:abstractNumId="3" w15:restartNumberingAfterBreak="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F6D27"/>
    <w:multiLevelType w:val="hybridMultilevel"/>
    <w:tmpl w:val="FFFFFFFF"/>
    <w:lvl w:ilvl="0" w:tplc="921CE3B0">
      <w:start w:val="1"/>
      <w:numFmt w:val="bullet"/>
      <w:lvlText w:val=""/>
      <w:lvlJc w:val="left"/>
      <w:pPr>
        <w:ind w:left="720" w:hanging="360"/>
      </w:pPr>
      <w:rPr>
        <w:rFonts w:ascii="Symbol" w:hAnsi="Symbol" w:hint="default"/>
      </w:rPr>
    </w:lvl>
    <w:lvl w:ilvl="1" w:tplc="8C70389A">
      <w:start w:val="1"/>
      <w:numFmt w:val="bullet"/>
      <w:lvlText w:val="o"/>
      <w:lvlJc w:val="left"/>
      <w:pPr>
        <w:ind w:left="1440" w:hanging="360"/>
      </w:pPr>
      <w:rPr>
        <w:rFonts w:ascii="Courier New" w:hAnsi="Courier New" w:hint="default"/>
      </w:rPr>
    </w:lvl>
    <w:lvl w:ilvl="2" w:tplc="F4447EC2">
      <w:start w:val="1"/>
      <w:numFmt w:val="bullet"/>
      <w:lvlText w:val=""/>
      <w:lvlJc w:val="left"/>
      <w:pPr>
        <w:ind w:left="2160" w:hanging="360"/>
      </w:pPr>
      <w:rPr>
        <w:rFonts w:ascii="Wingdings" w:hAnsi="Wingdings" w:hint="default"/>
      </w:rPr>
    </w:lvl>
    <w:lvl w:ilvl="3" w:tplc="487AC05C">
      <w:start w:val="1"/>
      <w:numFmt w:val="bullet"/>
      <w:lvlText w:val=""/>
      <w:lvlJc w:val="left"/>
      <w:pPr>
        <w:ind w:left="2880" w:hanging="360"/>
      </w:pPr>
      <w:rPr>
        <w:rFonts w:ascii="Symbol" w:hAnsi="Symbol" w:hint="default"/>
      </w:rPr>
    </w:lvl>
    <w:lvl w:ilvl="4" w:tplc="2D149F28">
      <w:start w:val="1"/>
      <w:numFmt w:val="bullet"/>
      <w:lvlText w:val="o"/>
      <w:lvlJc w:val="left"/>
      <w:pPr>
        <w:ind w:left="3600" w:hanging="360"/>
      </w:pPr>
      <w:rPr>
        <w:rFonts w:ascii="Courier New" w:hAnsi="Courier New" w:hint="default"/>
      </w:rPr>
    </w:lvl>
    <w:lvl w:ilvl="5" w:tplc="4C3C035A">
      <w:start w:val="1"/>
      <w:numFmt w:val="bullet"/>
      <w:lvlText w:val=""/>
      <w:lvlJc w:val="left"/>
      <w:pPr>
        <w:ind w:left="4320" w:hanging="360"/>
      </w:pPr>
      <w:rPr>
        <w:rFonts w:ascii="Wingdings" w:hAnsi="Wingdings" w:hint="default"/>
      </w:rPr>
    </w:lvl>
    <w:lvl w:ilvl="6" w:tplc="0F00D172">
      <w:start w:val="1"/>
      <w:numFmt w:val="bullet"/>
      <w:lvlText w:val=""/>
      <w:lvlJc w:val="left"/>
      <w:pPr>
        <w:ind w:left="5040" w:hanging="360"/>
      </w:pPr>
      <w:rPr>
        <w:rFonts w:ascii="Symbol" w:hAnsi="Symbol" w:hint="default"/>
      </w:rPr>
    </w:lvl>
    <w:lvl w:ilvl="7" w:tplc="78DC067E">
      <w:start w:val="1"/>
      <w:numFmt w:val="bullet"/>
      <w:lvlText w:val="o"/>
      <w:lvlJc w:val="left"/>
      <w:pPr>
        <w:ind w:left="5760" w:hanging="360"/>
      </w:pPr>
      <w:rPr>
        <w:rFonts w:ascii="Courier New" w:hAnsi="Courier New" w:hint="default"/>
      </w:rPr>
    </w:lvl>
    <w:lvl w:ilvl="8" w:tplc="896ED190">
      <w:start w:val="1"/>
      <w:numFmt w:val="bullet"/>
      <w:lvlText w:val=""/>
      <w:lvlJc w:val="left"/>
      <w:pPr>
        <w:ind w:left="6480" w:hanging="360"/>
      </w:pPr>
      <w:rPr>
        <w:rFonts w:ascii="Wingdings" w:hAnsi="Wingdings" w:hint="default"/>
      </w:rPr>
    </w:lvl>
  </w:abstractNum>
  <w:abstractNum w:abstractNumId="5" w15:restartNumberingAfterBreak="0">
    <w:nsid w:val="21C81AFF"/>
    <w:multiLevelType w:val="hybridMultilevel"/>
    <w:tmpl w:val="FFFFFFFF"/>
    <w:lvl w:ilvl="0" w:tplc="CCE058AC">
      <w:start w:val="1"/>
      <w:numFmt w:val="bullet"/>
      <w:lvlText w:val=""/>
      <w:lvlJc w:val="left"/>
      <w:pPr>
        <w:ind w:left="720" w:hanging="360"/>
      </w:pPr>
      <w:rPr>
        <w:rFonts w:ascii="Symbol" w:hAnsi="Symbol" w:hint="default"/>
      </w:rPr>
    </w:lvl>
    <w:lvl w:ilvl="1" w:tplc="3968C69C">
      <w:start w:val="1"/>
      <w:numFmt w:val="bullet"/>
      <w:lvlText w:val="o"/>
      <w:lvlJc w:val="left"/>
      <w:pPr>
        <w:ind w:left="1440" w:hanging="360"/>
      </w:pPr>
      <w:rPr>
        <w:rFonts w:ascii="Courier New" w:hAnsi="Courier New" w:hint="default"/>
      </w:rPr>
    </w:lvl>
    <w:lvl w:ilvl="2" w:tplc="C804B824">
      <w:start w:val="1"/>
      <w:numFmt w:val="bullet"/>
      <w:lvlText w:val=""/>
      <w:lvlJc w:val="left"/>
      <w:pPr>
        <w:ind w:left="2160" w:hanging="360"/>
      </w:pPr>
      <w:rPr>
        <w:rFonts w:ascii="Wingdings" w:hAnsi="Wingdings" w:hint="default"/>
      </w:rPr>
    </w:lvl>
    <w:lvl w:ilvl="3" w:tplc="DE0E60FE">
      <w:start w:val="1"/>
      <w:numFmt w:val="bullet"/>
      <w:lvlText w:val=""/>
      <w:lvlJc w:val="left"/>
      <w:pPr>
        <w:ind w:left="2880" w:hanging="360"/>
      </w:pPr>
      <w:rPr>
        <w:rFonts w:ascii="Symbol" w:hAnsi="Symbol" w:hint="default"/>
      </w:rPr>
    </w:lvl>
    <w:lvl w:ilvl="4" w:tplc="822EB7A8">
      <w:start w:val="1"/>
      <w:numFmt w:val="bullet"/>
      <w:lvlText w:val="o"/>
      <w:lvlJc w:val="left"/>
      <w:pPr>
        <w:ind w:left="3600" w:hanging="360"/>
      </w:pPr>
      <w:rPr>
        <w:rFonts w:ascii="Courier New" w:hAnsi="Courier New" w:hint="default"/>
      </w:rPr>
    </w:lvl>
    <w:lvl w:ilvl="5" w:tplc="4EC66AC0">
      <w:start w:val="1"/>
      <w:numFmt w:val="bullet"/>
      <w:lvlText w:val=""/>
      <w:lvlJc w:val="left"/>
      <w:pPr>
        <w:ind w:left="4320" w:hanging="360"/>
      </w:pPr>
      <w:rPr>
        <w:rFonts w:ascii="Wingdings" w:hAnsi="Wingdings" w:hint="default"/>
      </w:rPr>
    </w:lvl>
    <w:lvl w:ilvl="6" w:tplc="D00AA3E4">
      <w:start w:val="1"/>
      <w:numFmt w:val="bullet"/>
      <w:lvlText w:val=""/>
      <w:lvlJc w:val="left"/>
      <w:pPr>
        <w:ind w:left="5040" w:hanging="360"/>
      </w:pPr>
      <w:rPr>
        <w:rFonts w:ascii="Symbol" w:hAnsi="Symbol" w:hint="default"/>
      </w:rPr>
    </w:lvl>
    <w:lvl w:ilvl="7" w:tplc="D34ED6D2">
      <w:start w:val="1"/>
      <w:numFmt w:val="bullet"/>
      <w:lvlText w:val="o"/>
      <w:lvlJc w:val="left"/>
      <w:pPr>
        <w:ind w:left="5760" w:hanging="360"/>
      </w:pPr>
      <w:rPr>
        <w:rFonts w:ascii="Courier New" w:hAnsi="Courier New" w:hint="default"/>
      </w:rPr>
    </w:lvl>
    <w:lvl w:ilvl="8" w:tplc="B1406086">
      <w:start w:val="1"/>
      <w:numFmt w:val="bullet"/>
      <w:lvlText w:val=""/>
      <w:lvlJc w:val="left"/>
      <w:pPr>
        <w:ind w:left="6480" w:hanging="360"/>
      </w:pPr>
      <w:rPr>
        <w:rFonts w:ascii="Wingdings" w:hAnsi="Wingdings" w:hint="default"/>
      </w:rPr>
    </w:lvl>
  </w:abstractNum>
  <w:abstractNum w:abstractNumId="6" w15:restartNumberingAfterBreak="0">
    <w:nsid w:val="28DF273A"/>
    <w:multiLevelType w:val="hybridMultilevel"/>
    <w:tmpl w:val="FFFFFFFF"/>
    <w:lvl w:ilvl="0" w:tplc="3D2E6846">
      <w:start w:val="1"/>
      <w:numFmt w:val="bullet"/>
      <w:lvlText w:val=""/>
      <w:lvlJc w:val="left"/>
      <w:pPr>
        <w:ind w:left="720" w:hanging="360"/>
      </w:pPr>
      <w:rPr>
        <w:rFonts w:ascii="Symbol" w:hAnsi="Symbol" w:hint="default"/>
      </w:rPr>
    </w:lvl>
    <w:lvl w:ilvl="1" w:tplc="9EE407EE">
      <w:start w:val="1"/>
      <w:numFmt w:val="bullet"/>
      <w:lvlText w:val="o"/>
      <w:lvlJc w:val="left"/>
      <w:pPr>
        <w:ind w:left="1440" w:hanging="360"/>
      </w:pPr>
      <w:rPr>
        <w:rFonts w:ascii="Courier New" w:hAnsi="Courier New" w:hint="default"/>
      </w:rPr>
    </w:lvl>
    <w:lvl w:ilvl="2" w:tplc="78AA976A">
      <w:start w:val="1"/>
      <w:numFmt w:val="bullet"/>
      <w:lvlText w:val=""/>
      <w:lvlJc w:val="left"/>
      <w:pPr>
        <w:ind w:left="2160" w:hanging="360"/>
      </w:pPr>
      <w:rPr>
        <w:rFonts w:ascii="Wingdings" w:hAnsi="Wingdings" w:hint="default"/>
      </w:rPr>
    </w:lvl>
    <w:lvl w:ilvl="3" w:tplc="3CCCD9B8">
      <w:start w:val="1"/>
      <w:numFmt w:val="bullet"/>
      <w:lvlText w:val=""/>
      <w:lvlJc w:val="left"/>
      <w:pPr>
        <w:ind w:left="2880" w:hanging="360"/>
      </w:pPr>
      <w:rPr>
        <w:rFonts w:ascii="Symbol" w:hAnsi="Symbol" w:hint="default"/>
      </w:rPr>
    </w:lvl>
    <w:lvl w:ilvl="4" w:tplc="01AEDB28">
      <w:start w:val="1"/>
      <w:numFmt w:val="bullet"/>
      <w:lvlText w:val="o"/>
      <w:lvlJc w:val="left"/>
      <w:pPr>
        <w:ind w:left="3600" w:hanging="360"/>
      </w:pPr>
      <w:rPr>
        <w:rFonts w:ascii="Courier New" w:hAnsi="Courier New" w:hint="default"/>
      </w:rPr>
    </w:lvl>
    <w:lvl w:ilvl="5" w:tplc="3634BDEC">
      <w:start w:val="1"/>
      <w:numFmt w:val="bullet"/>
      <w:lvlText w:val=""/>
      <w:lvlJc w:val="left"/>
      <w:pPr>
        <w:ind w:left="4320" w:hanging="360"/>
      </w:pPr>
      <w:rPr>
        <w:rFonts w:ascii="Wingdings" w:hAnsi="Wingdings" w:hint="default"/>
      </w:rPr>
    </w:lvl>
    <w:lvl w:ilvl="6" w:tplc="7F405C02">
      <w:start w:val="1"/>
      <w:numFmt w:val="bullet"/>
      <w:lvlText w:val=""/>
      <w:lvlJc w:val="left"/>
      <w:pPr>
        <w:ind w:left="5040" w:hanging="360"/>
      </w:pPr>
      <w:rPr>
        <w:rFonts w:ascii="Symbol" w:hAnsi="Symbol" w:hint="default"/>
      </w:rPr>
    </w:lvl>
    <w:lvl w:ilvl="7" w:tplc="1F2655E4">
      <w:start w:val="1"/>
      <w:numFmt w:val="bullet"/>
      <w:lvlText w:val="o"/>
      <w:lvlJc w:val="left"/>
      <w:pPr>
        <w:ind w:left="5760" w:hanging="360"/>
      </w:pPr>
      <w:rPr>
        <w:rFonts w:ascii="Courier New" w:hAnsi="Courier New" w:hint="default"/>
      </w:rPr>
    </w:lvl>
    <w:lvl w:ilvl="8" w:tplc="A10A830E">
      <w:start w:val="1"/>
      <w:numFmt w:val="bullet"/>
      <w:lvlText w:val=""/>
      <w:lvlJc w:val="left"/>
      <w:pPr>
        <w:ind w:left="6480" w:hanging="360"/>
      </w:pPr>
      <w:rPr>
        <w:rFonts w:ascii="Wingdings" w:hAnsi="Wingdings" w:hint="default"/>
      </w:rPr>
    </w:lvl>
  </w:abstractNum>
  <w:abstractNum w:abstractNumId="7" w15:restartNumberingAfterBreak="0">
    <w:nsid w:val="2A693473"/>
    <w:multiLevelType w:val="hybridMultilevel"/>
    <w:tmpl w:val="FFFFFFFF"/>
    <w:lvl w:ilvl="0" w:tplc="B7E66A1E">
      <w:start w:val="1"/>
      <w:numFmt w:val="bullet"/>
      <w:lvlText w:val=""/>
      <w:lvlJc w:val="left"/>
      <w:pPr>
        <w:ind w:left="720" w:hanging="360"/>
      </w:pPr>
      <w:rPr>
        <w:rFonts w:ascii="Symbol" w:hAnsi="Symbol" w:hint="default"/>
      </w:rPr>
    </w:lvl>
    <w:lvl w:ilvl="1" w:tplc="879E5C8C">
      <w:start w:val="1"/>
      <w:numFmt w:val="bullet"/>
      <w:lvlText w:val="o"/>
      <w:lvlJc w:val="left"/>
      <w:pPr>
        <w:ind w:left="1440" w:hanging="360"/>
      </w:pPr>
      <w:rPr>
        <w:rFonts w:ascii="Courier New" w:hAnsi="Courier New" w:hint="default"/>
      </w:rPr>
    </w:lvl>
    <w:lvl w:ilvl="2" w:tplc="E71CA5B8">
      <w:start w:val="1"/>
      <w:numFmt w:val="bullet"/>
      <w:lvlText w:val=""/>
      <w:lvlJc w:val="left"/>
      <w:pPr>
        <w:ind w:left="2160" w:hanging="360"/>
      </w:pPr>
      <w:rPr>
        <w:rFonts w:ascii="Wingdings" w:hAnsi="Wingdings" w:hint="default"/>
      </w:rPr>
    </w:lvl>
    <w:lvl w:ilvl="3" w:tplc="2A12709E">
      <w:start w:val="1"/>
      <w:numFmt w:val="bullet"/>
      <w:lvlText w:val=""/>
      <w:lvlJc w:val="left"/>
      <w:pPr>
        <w:ind w:left="2880" w:hanging="360"/>
      </w:pPr>
      <w:rPr>
        <w:rFonts w:ascii="Symbol" w:hAnsi="Symbol" w:hint="default"/>
      </w:rPr>
    </w:lvl>
    <w:lvl w:ilvl="4" w:tplc="F7865252">
      <w:start w:val="1"/>
      <w:numFmt w:val="bullet"/>
      <w:lvlText w:val="o"/>
      <w:lvlJc w:val="left"/>
      <w:pPr>
        <w:ind w:left="3600" w:hanging="360"/>
      </w:pPr>
      <w:rPr>
        <w:rFonts w:ascii="Courier New" w:hAnsi="Courier New" w:hint="default"/>
      </w:rPr>
    </w:lvl>
    <w:lvl w:ilvl="5" w:tplc="6E2C2B5A">
      <w:start w:val="1"/>
      <w:numFmt w:val="bullet"/>
      <w:lvlText w:val=""/>
      <w:lvlJc w:val="left"/>
      <w:pPr>
        <w:ind w:left="4320" w:hanging="360"/>
      </w:pPr>
      <w:rPr>
        <w:rFonts w:ascii="Wingdings" w:hAnsi="Wingdings" w:hint="default"/>
      </w:rPr>
    </w:lvl>
    <w:lvl w:ilvl="6" w:tplc="8CAE5B8E">
      <w:start w:val="1"/>
      <w:numFmt w:val="bullet"/>
      <w:lvlText w:val=""/>
      <w:lvlJc w:val="left"/>
      <w:pPr>
        <w:ind w:left="5040" w:hanging="360"/>
      </w:pPr>
      <w:rPr>
        <w:rFonts w:ascii="Symbol" w:hAnsi="Symbol" w:hint="default"/>
      </w:rPr>
    </w:lvl>
    <w:lvl w:ilvl="7" w:tplc="F1A260C2">
      <w:start w:val="1"/>
      <w:numFmt w:val="bullet"/>
      <w:lvlText w:val="o"/>
      <w:lvlJc w:val="left"/>
      <w:pPr>
        <w:ind w:left="5760" w:hanging="360"/>
      </w:pPr>
      <w:rPr>
        <w:rFonts w:ascii="Courier New" w:hAnsi="Courier New" w:hint="default"/>
      </w:rPr>
    </w:lvl>
    <w:lvl w:ilvl="8" w:tplc="54A8442E">
      <w:start w:val="1"/>
      <w:numFmt w:val="bullet"/>
      <w:lvlText w:val=""/>
      <w:lvlJc w:val="left"/>
      <w:pPr>
        <w:ind w:left="6480" w:hanging="360"/>
      </w:pPr>
      <w:rPr>
        <w:rFonts w:ascii="Wingdings" w:hAnsi="Wingdings" w:hint="default"/>
      </w:rPr>
    </w:lvl>
  </w:abstractNum>
  <w:abstractNum w:abstractNumId="8" w15:restartNumberingAfterBreak="0">
    <w:nsid w:val="30794BAF"/>
    <w:multiLevelType w:val="hybridMultilevel"/>
    <w:tmpl w:val="6D2224CA"/>
    <w:lvl w:ilvl="0" w:tplc="1818BB20">
      <w:start w:val="1"/>
      <w:numFmt w:val="decimal"/>
      <w:lvlText w:val="B.2.%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E47EA"/>
    <w:multiLevelType w:val="hybridMultilevel"/>
    <w:tmpl w:val="39D2B960"/>
    <w:lvl w:ilvl="0" w:tplc="307AFF1C">
      <w:start w:val="1"/>
      <w:numFmt w:val="decimal"/>
      <w:lvlText w:val="%1."/>
      <w:lvlJc w:val="left"/>
      <w:pPr>
        <w:ind w:left="720" w:hanging="360"/>
      </w:pPr>
    </w:lvl>
    <w:lvl w:ilvl="1" w:tplc="629C6DEC">
      <w:start w:val="1"/>
      <w:numFmt w:val="lowerLetter"/>
      <w:lvlText w:val="%2."/>
      <w:lvlJc w:val="left"/>
      <w:pPr>
        <w:ind w:left="1440" w:hanging="360"/>
      </w:pPr>
    </w:lvl>
    <w:lvl w:ilvl="2" w:tplc="935008CE">
      <w:start w:val="1"/>
      <w:numFmt w:val="lowerRoman"/>
      <w:lvlText w:val="%3."/>
      <w:lvlJc w:val="right"/>
      <w:pPr>
        <w:ind w:left="2160" w:hanging="180"/>
      </w:pPr>
    </w:lvl>
    <w:lvl w:ilvl="3" w:tplc="1932FD8A">
      <w:start w:val="1"/>
      <w:numFmt w:val="decimal"/>
      <w:lvlText w:val="%4."/>
      <w:lvlJc w:val="left"/>
      <w:pPr>
        <w:ind w:left="2880" w:hanging="360"/>
      </w:pPr>
    </w:lvl>
    <w:lvl w:ilvl="4" w:tplc="37A05818">
      <w:start w:val="1"/>
      <w:numFmt w:val="lowerLetter"/>
      <w:lvlText w:val="%5."/>
      <w:lvlJc w:val="left"/>
      <w:pPr>
        <w:ind w:left="3600" w:hanging="360"/>
      </w:pPr>
    </w:lvl>
    <w:lvl w:ilvl="5" w:tplc="F6C0D7EE">
      <w:start w:val="1"/>
      <w:numFmt w:val="lowerRoman"/>
      <w:lvlText w:val="%6."/>
      <w:lvlJc w:val="right"/>
      <w:pPr>
        <w:ind w:left="4320" w:hanging="180"/>
      </w:pPr>
    </w:lvl>
    <w:lvl w:ilvl="6" w:tplc="422AD488">
      <w:start w:val="1"/>
      <w:numFmt w:val="decimal"/>
      <w:lvlText w:val="%7."/>
      <w:lvlJc w:val="left"/>
      <w:pPr>
        <w:ind w:left="5040" w:hanging="360"/>
      </w:pPr>
    </w:lvl>
    <w:lvl w:ilvl="7" w:tplc="1174FADC">
      <w:start w:val="1"/>
      <w:numFmt w:val="lowerLetter"/>
      <w:lvlText w:val="%8."/>
      <w:lvlJc w:val="left"/>
      <w:pPr>
        <w:ind w:left="5760" w:hanging="360"/>
      </w:pPr>
    </w:lvl>
    <w:lvl w:ilvl="8" w:tplc="941C67C8">
      <w:start w:val="1"/>
      <w:numFmt w:val="lowerRoman"/>
      <w:lvlText w:val="%9."/>
      <w:lvlJc w:val="right"/>
      <w:pPr>
        <w:ind w:left="6480" w:hanging="180"/>
      </w:pPr>
    </w:lvl>
  </w:abstractNum>
  <w:abstractNum w:abstractNumId="10" w15:restartNumberingAfterBreak="0">
    <w:nsid w:val="3979206E"/>
    <w:multiLevelType w:val="hybridMultilevel"/>
    <w:tmpl w:val="C1D482F6"/>
    <w:lvl w:ilvl="0" w:tplc="B11854AE">
      <w:start w:val="1"/>
      <w:numFmt w:val="decimal"/>
      <w:lvlText w:val="B.%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D313E5B"/>
    <w:multiLevelType w:val="hybridMultilevel"/>
    <w:tmpl w:val="FFFFFFFF"/>
    <w:lvl w:ilvl="0" w:tplc="CF6AB882">
      <w:start w:val="1"/>
      <w:numFmt w:val="bullet"/>
      <w:lvlText w:val=""/>
      <w:lvlJc w:val="left"/>
      <w:pPr>
        <w:ind w:left="720" w:hanging="360"/>
      </w:pPr>
      <w:rPr>
        <w:rFonts w:ascii="Symbol" w:hAnsi="Symbol" w:hint="default"/>
      </w:rPr>
    </w:lvl>
    <w:lvl w:ilvl="1" w:tplc="F6164AEC">
      <w:start w:val="1"/>
      <w:numFmt w:val="bullet"/>
      <w:lvlText w:val="o"/>
      <w:lvlJc w:val="left"/>
      <w:pPr>
        <w:ind w:left="1440" w:hanging="360"/>
      </w:pPr>
      <w:rPr>
        <w:rFonts w:ascii="Courier New" w:hAnsi="Courier New" w:hint="default"/>
      </w:rPr>
    </w:lvl>
    <w:lvl w:ilvl="2" w:tplc="A614C7E2">
      <w:start w:val="1"/>
      <w:numFmt w:val="bullet"/>
      <w:lvlText w:val=""/>
      <w:lvlJc w:val="left"/>
      <w:pPr>
        <w:ind w:left="2160" w:hanging="360"/>
      </w:pPr>
      <w:rPr>
        <w:rFonts w:ascii="Wingdings" w:hAnsi="Wingdings" w:hint="default"/>
      </w:rPr>
    </w:lvl>
    <w:lvl w:ilvl="3" w:tplc="D624AC48">
      <w:start w:val="1"/>
      <w:numFmt w:val="bullet"/>
      <w:lvlText w:val=""/>
      <w:lvlJc w:val="left"/>
      <w:pPr>
        <w:ind w:left="2880" w:hanging="360"/>
      </w:pPr>
      <w:rPr>
        <w:rFonts w:ascii="Symbol" w:hAnsi="Symbol" w:hint="default"/>
      </w:rPr>
    </w:lvl>
    <w:lvl w:ilvl="4" w:tplc="EAC65DF8">
      <w:start w:val="1"/>
      <w:numFmt w:val="bullet"/>
      <w:lvlText w:val="o"/>
      <w:lvlJc w:val="left"/>
      <w:pPr>
        <w:ind w:left="3600" w:hanging="360"/>
      </w:pPr>
      <w:rPr>
        <w:rFonts w:ascii="Courier New" w:hAnsi="Courier New" w:hint="default"/>
      </w:rPr>
    </w:lvl>
    <w:lvl w:ilvl="5" w:tplc="714E55BC">
      <w:start w:val="1"/>
      <w:numFmt w:val="bullet"/>
      <w:lvlText w:val=""/>
      <w:lvlJc w:val="left"/>
      <w:pPr>
        <w:ind w:left="4320" w:hanging="360"/>
      </w:pPr>
      <w:rPr>
        <w:rFonts w:ascii="Wingdings" w:hAnsi="Wingdings" w:hint="default"/>
      </w:rPr>
    </w:lvl>
    <w:lvl w:ilvl="6" w:tplc="8D6A7F9E">
      <w:start w:val="1"/>
      <w:numFmt w:val="bullet"/>
      <w:lvlText w:val=""/>
      <w:lvlJc w:val="left"/>
      <w:pPr>
        <w:ind w:left="5040" w:hanging="360"/>
      </w:pPr>
      <w:rPr>
        <w:rFonts w:ascii="Symbol" w:hAnsi="Symbol" w:hint="default"/>
      </w:rPr>
    </w:lvl>
    <w:lvl w:ilvl="7" w:tplc="3FE6CECE">
      <w:start w:val="1"/>
      <w:numFmt w:val="bullet"/>
      <w:lvlText w:val="o"/>
      <w:lvlJc w:val="left"/>
      <w:pPr>
        <w:ind w:left="5760" w:hanging="360"/>
      </w:pPr>
      <w:rPr>
        <w:rFonts w:ascii="Courier New" w:hAnsi="Courier New" w:hint="default"/>
      </w:rPr>
    </w:lvl>
    <w:lvl w:ilvl="8" w:tplc="50C03E14">
      <w:start w:val="1"/>
      <w:numFmt w:val="bullet"/>
      <w:lvlText w:val=""/>
      <w:lvlJc w:val="left"/>
      <w:pPr>
        <w:ind w:left="6480" w:hanging="360"/>
      </w:pPr>
      <w:rPr>
        <w:rFonts w:ascii="Wingdings" w:hAnsi="Wingdings" w:hint="default"/>
      </w:rPr>
    </w:lvl>
  </w:abstractNum>
  <w:abstractNum w:abstractNumId="12" w15:restartNumberingAfterBreak="0">
    <w:nsid w:val="427136D9"/>
    <w:multiLevelType w:val="hybridMultilevel"/>
    <w:tmpl w:val="74EA92C2"/>
    <w:lvl w:ilvl="0" w:tplc="1818BB20">
      <w:start w:val="1"/>
      <w:numFmt w:val="decimal"/>
      <w:lvlText w:val="B.2.%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B2385"/>
    <w:multiLevelType w:val="hybridMultilevel"/>
    <w:tmpl w:val="C270FC9E"/>
    <w:lvl w:ilvl="0" w:tplc="1818BB20">
      <w:start w:val="1"/>
      <w:numFmt w:val="decimal"/>
      <w:lvlText w:val="B.2.%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77812"/>
    <w:multiLevelType w:val="hybridMultilevel"/>
    <w:tmpl w:val="FFFFFFFF"/>
    <w:lvl w:ilvl="0" w:tplc="400C87C8">
      <w:start w:val="1"/>
      <w:numFmt w:val="bullet"/>
      <w:lvlText w:val=""/>
      <w:lvlJc w:val="left"/>
      <w:pPr>
        <w:ind w:left="720" w:hanging="360"/>
      </w:pPr>
      <w:rPr>
        <w:rFonts w:ascii="Symbol" w:hAnsi="Symbol" w:hint="default"/>
      </w:rPr>
    </w:lvl>
    <w:lvl w:ilvl="1" w:tplc="74681916">
      <w:start w:val="1"/>
      <w:numFmt w:val="bullet"/>
      <w:lvlText w:val="o"/>
      <w:lvlJc w:val="left"/>
      <w:pPr>
        <w:ind w:left="1440" w:hanging="360"/>
      </w:pPr>
      <w:rPr>
        <w:rFonts w:ascii="Courier New" w:hAnsi="Courier New" w:hint="default"/>
      </w:rPr>
    </w:lvl>
    <w:lvl w:ilvl="2" w:tplc="AB5A1F1C">
      <w:start w:val="1"/>
      <w:numFmt w:val="bullet"/>
      <w:lvlText w:val=""/>
      <w:lvlJc w:val="left"/>
      <w:pPr>
        <w:ind w:left="2160" w:hanging="360"/>
      </w:pPr>
      <w:rPr>
        <w:rFonts w:ascii="Wingdings" w:hAnsi="Wingdings" w:hint="default"/>
      </w:rPr>
    </w:lvl>
    <w:lvl w:ilvl="3" w:tplc="E4400B54">
      <w:start w:val="1"/>
      <w:numFmt w:val="bullet"/>
      <w:lvlText w:val=""/>
      <w:lvlJc w:val="left"/>
      <w:pPr>
        <w:ind w:left="2880" w:hanging="360"/>
      </w:pPr>
      <w:rPr>
        <w:rFonts w:ascii="Symbol" w:hAnsi="Symbol" w:hint="default"/>
      </w:rPr>
    </w:lvl>
    <w:lvl w:ilvl="4" w:tplc="FF029F14">
      <w:start w:val="1"/>
      <w:numFmt w:val="bullet"/>
      <w:lvlText w:val="o"/>
      <w:lvlJc w:val="left"/>
      <w:pPr>
        <w:ind w:left="3600" w:hanging="360"/>
      </w:pPr>
      <w:rPr>
        <w:rFonts w:ascii="Courier New" w:hAnsi="Courier New" w:hint="default"/>
      </w:rPr>
    </w:lvl>
    <w:lvl w:ilvl="5" w:tplc="48009792">
      <w:start w:val="1"/>
      <w:numFmt w:val="bullet"/>
      <w:lvlText w:val=""/>
      <w:lvlJc w:val="left"/>
      <w:pPr>
        <w:ind w:left="4320" w:hanging="360"/>
      </w:pPr>
      <w:rPr>
        <w:rFonts w:ascii="Wingdings" w:hAnsi="Wingdings" w:hint="default"/>
      </w:rPr>
    </w:lvl>
    <w:lvl w:ilvl="6" w:tplc="2BA85092">
      <w:start w:val="1"/>
      <w:numFmt w:val="bullet"/>
      <w:lvlText w:val=""/>
      <w:lvlJc w:val="left"/>
      <w:pPr>
        <w:ind w:left="5040" w:hanging="360"/>
      </w:pPr>
      <w:rPr>
        <w:rFonts w:ascii="Symbol" w:hAnsi="Symbol" w:hint="default"/>
      </w:rPr>
    </w:lvl>
    <w:lvl w:ilvl="7" w:tplc="3FC0270E">
      <w:start w:val="1"/>
      <w:numFmt w:val="bullet"/>
      <w:lvlText w:val="o"/>
      <w:lvlJc w:val="left"/>
      <w:pPr>
        <w:ind w:left="5760" w:hanging="360"/>
      </w:pPr>
      <w:rPr>
        <w:rFonts w:ascii="Courier New" w:hAnsi="Courier New" w:hint="default"/>
      </w:rPr>
    </w:lvl>
    <w:lvl w:ilvl="8" w:tplc="CED205AC">
      <w:start w:val="1"/>
      <w:numFmt w:val="bullet"/>
      <w:lvlText w:val=""/>
      <w:lvlJc w:val="left"/>
      <w:pPr>
        <w:ind w:left="6480" w:hanging="360"/>
      </w:pPr>
      <w:rPr>
        <w:rFonts w:ascii="Wingdings" w:hAnsi="Wingdings" w:hint="default"/>
      </w:rPr>
    </w:lvl>
  </w:abstractNum>
  <w:abstractNum w:abstractNumId="15" w15:restartNumberingAfterBreak="0">
    <w:nsid w:val="4DFB5D97"/>
    <w:multiLevelType w:val="hybridMultilevel"/>
    <w:tmpl w:val="FFFFFFFF"/>
    <w:lvl w:ilvl="0" w:tplc="63FC4972">
      <w:start w:val="1"/>
      <w:numFmt w:val="bullet"/>
      <w:lvlText w:val=""/>
      <w:lvlJc w:val="left"/>
      <w:pPr>
        <w:ind w:left="720" w:hanging="360"/>
      </w:pPr>
      <w:rPr>
        <w:rFonts w:ascii="Symbol" w:hAnsi="Symbol" w:hint="default"/>
      </w:rPr>
    </w:lvl>
    <w:lvl w:ilvl="1" w:tplc="2140D49E">
      <w:start w:val="1"/>
      <w:numFmt w:val="bullet"/>
      <w:lvlText w:val="o"/>
      <w:lvlJc w:val="left"/>
      <w:pPr>
        <w:ind w:left="1440" w:hanging="360"/>
      </w:pPr>
      <w:rPr>
        <w:rFonts w:ascii="Courier New" w:hAnsi="Courier New" w:hint="default"/>
      </w:rPr>
    </w:lvl>
    <w:lvl w:ilvl="2" w:tplc="600ACAEC">
      <w:start w:val="1"/>
      <w:numFmt w:val="bullet"/>
      <w:lvlText w:val=""/>
      <w:lvlJc w:val="left"/>
      <w:pPr>
        <w:ind w:left="2160" w:hanging="360"/>
      </w:pPr>
      <w:rPr>
        <w:rFonts w:ascii="Wingdings" w:hAnsi="Wingdings" w:hint="default"/>
      </w:rPr>
    </w:lvl>
    <w:lvl w:ilvl="3" w:tplc="61F8F1E6">
      <w:start w:val="1"/>
      <w:numFmt w:val="bullet"/>
      <w:lvlText w:val=""/>
      <w:lvlJc w:val="left"/>
      <w:pPr>
        <w:ind w:left="2880" w:hanging="360"/>
      </w:pPr>
      <w:rPr>
        <w:rFonts w:ascii="Symbol" w:hAnsi="Symbol" w:hint="default"/>
      </w:rPr>
    </w:lvl>
    <w:lvl w:ilvl="4" w:tplc="A0C667A2">
      <w:start w:val="1"/>
      <w:numFmt w:val="bullet"/>
      <w:lvlText w:val="o"/>
      <w:lvlJc w:val="left"/>
      <w:pPr>
        <w:ind w:left="3600" w:hanging="360"/>
      </w:pPr>
      <w:rPr>
        <w:rFonts w:ascii="Courier New" w:hAnsi="Courier New" w:hint="default"/>
      </w:rPr>
    </w:lvl>
    <w:lvl w:ilvl="5" w:tplc="1EFE6A2C">
      <w:start w:val="1"/>
      <w:numFmt w:val="bullet"/>
      <w:lvlText w:val=""/>
      <w:lvlJc w:val="left"/>
      <w:pPr>
        <w:ind w:left="4320" w:hanging="360"/>
      </w:pPr>
      <w:rPr>
        <w:rFonts w:ascii="Wingdings" w:hAnsi="Wingdings" w:hint="default"/>
      </w:rPr>
    </w:lvl>
    <w:lvl w:ilvl="6" w:tplc="ACF4C160">
      <w:start w:val="1"/>
      <w:numFmt w:val="bullet"/>
      <w:lvlText w:val=""/>
      <w:lvlJc w:val="left"/>
      <w:pPr>
        <w:ind w:left="5040" w:hanging="360"/>
      </w:pPr>
      <w:rPr>
        <w:rFonts w:ascii="Symbol" w:hAnsi="Symbol" w:hint="default"/>
      </w:rPr>
    </w:lvl>
    <w:lvl w:ilvl="7" w:tplc="148EDAC8">
      <w:start w:val="1"/>
      <w:numFmt w:val="bullet"/>
      <w:lvlText w:val="o"/>
      <w:lvlJc w:val="left"/>
      <w:pPr>
        <w:ind w:left="5760" w:hanging="360"/>
      </w:pPr>
      <w:rPr>
        <w:rFonts w:ascii="Courier New" w:hAnsi="Courier New" w:hint="default"/>
      </w:rPr>
    </w:lvl>
    <w:lvl w:ilvl="8" w:tplc="C27ECCBC">
      <w:start w:val="1"/>
      <w:numFmt w:val="bullet"/>
      <w:lvlText w:val=""/>
      <w:lvlJc w:val="left"/>
      <w:pPr>
        <w:ind w:left="6480" w:hanging="360"/>
      </w:pPr>
      <w:rPr>
        <w:rFonts w:ascii="Wingdings" w:hAnsi="Wingdings" w:hint="default"/>
      </w:rPr>
    </w:lvl>
  </w:abstractNum>
  <w:abstractNum w:abstractNumId="16" w15:restartNumberingAfterBreak="0">
    <w:nsid w:val="5D4E4421"/>
    <w:multiLevelType w:val="hybridMultilevel"/>
    <w:tmpl w:val="CDDE52A2"/>
    <w:lvl w:ilvl="0" w:tplc="96D627F8">
      <w:start w:val="1"/>
      <w:numFmt w:val="decimal"/>
      <w:lvlText w:val="B.3.%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864EF"/>
    <w:multiLevelType w:val="hybridMultilevel"/>
    <w:tmpl w:val="FFFFFFFF"/>
    <w:lvl w:ilvl="0" w:tplc="BF663C54">
      <w:start w:val="1"/>
      <w:numFmt w:val="bullet"/>
      <w:lvlText w:val=""/>
      <w:lvlJc w:val="left"/>
      <w:pPr>
        <w:ind w:left="720" w:hanging="360"/>
      </w:pPr>
      <w:rPr>
        <w:rFonts w:ascii="Symbol" w:hAnsi="Symbol" w:hint="default"/>
      </w:rPr>
    </w:lvl>
    <w:lvl w:ilvl="1" w:tplc="DDB28B58">
      <w:start w:val="1"/>
      <w:numFmt w:val="bullet"/>
      <w:lvlText w:val="o"/>
      <w:lvlJc w:val="left"/>
      <w:pPr>
        <w:ind w:left="1440" w:hanging="360"/>
      </w:pPr>
      <w:rPr>
        <w:rFonts w:ascii="Courier New" w:hAnsi="Courier New" w:hint="default"/>
      </w:rPr>
    </w:lvl>
    <w:lvl w:ilvl="2" w:tplc="2EE2F09C">
      <w:start w:val="1"/>
      <w:numFmt w:val="bullet"/>
      <w:lvlText w:val=""/>
      <w:lvlJc w:val="left"/>
      <w:pPr>
        <w:ind w:left="2160" w:hanging="360"/>
      </w:pPr>
      <w:rPr>
        <w:rFonts w:ascii="Wingdings" w:hAnsi="Wingdings" w:hint="default"/>
      </w:rPr>
    </w:lvl>
    <w:lvl w:ilvl="3" w:tplc="16F2C03A">
      <w:start w:val="1"/>
      <w:numFmt w:val="bullet"/>
      <w:lvlText w:val=""/>
      <w:lvlJc w:val="left"/>
      <w:pPr>
        <w:ind w:left="2880" w:hanging="360"/>
      </w:pPr>
      <w:rPr>
        <w:rFonts w:ascii="Symbol" w:hAnsi="Symbol" w:hint="default"/>
      </w:rPr>
    </w:lvl>
    <w:lvl w:ilvl="4" w:tplc="F99EAF72">
      <w:start w:val="1"/>
      <w:numFmt w:val="bullet"/>
      <w:lvlText w:val="o"/>
      <w:lvlJc w:val="left"/>
      <w:pPr>
        <w:ind w:left="3600" w:hanging="360"/>
      </w:pPr>
      <w:rPr>
        <w:rFonts w:ascii="Courier New" w:hAnsi="Courier New" w:hint="default"/>
      </w:rPr>
    </w:lvl>
    <w:lvl w:ilvl="5" w:tplc="59848C26">
      <w:start w:val="1"/>
      <w:numFmt w:val="bullet"/>
      <w:lvlText w:val=""/>
      <w:lvlJc w:val="left"/>
      <w:pPr>
        <w:ind w:left="4320" w:hanging="360"/>
      </w:pPr>
      <w:rPr>
        <w:rFonts w:ascii="Wingdings" w:hAnsi="Wingdings" w:hint="default"/>
      </w:rPr>
    </w:lvl>
    <w:lvl w:ilvl="6" w:tplc="246EEBDA">
      <w:start w:val="1"/>
      <w:numFmt w:val="bullet"/>
      <w:lvlText w:val=""/>
      <w:lvlJc w:val="left"/>
      <w:pPr>
        <w:ind w:left="5040" w:hanging="360"/>
      </w:pPr>
      <w:rPr>
        <w:rFonts w:ascii="Symbol" w:hAnsi="Symbol" w:hint="default"/>
      </w:rPr>
    </w:lvl>
    <w:lvl w:ilvl="7" w:tplc="CD7EEACC">
      <w:start w:val="1"/>
      <w:numFmt w:val="bullet"/>
      <w:lvlText w:val="o"/>
      <w:lvlJc w:val="left"/>
      <w:pPr>
        <w:ind w:left="5760" w:hanging="360"/>
      </w:pPr>
      <w:rPr>
        <w:rFonts w:ascii="Courier New" w:hAnsi="Courier New" w:hint="default"/>
      </w:rPr>
    </w:lvl>
    <w:lvl w:ilvl="8" w:tplc="2480956A">
      <w:start w:val="1"/>
      <w:numFmt w:val="bullet"/>
      <w:lvlText w:val=""/>
      <w:lvlJc w:val="left"/>
      <w:pPr>
        <w:ind w:left="6480" w:hanging="360"/>
      </w:pPr>
      <w:rPr>
        <w:rFonts w:ascii="Wingdings" w:hAnsi="Wingdings" w:hint="default"/>
      </w:rPr>
    </w:lvl>
  </w:abstractNum>
  <w:abstractNum w:abstractNumId="18" w15:restartNumberingAfterBreak="0">
    <w:nsid w:val="6EAB55F2"/>
    <w:multiLevelType w:val="hybridMultilevel"/>
    <w:tmpl w:val="FFFFFFFF"/>
    <w:lvl w:ilvl="0" w:tplc="E4CCF82C">
      <w:start w:val="1"/>
      <w:numFmt w:val="bullet"/>
      <w:lvlText w:val=""/>
      <w:lvlJc w:val="left"/>
      <w:pPr>
        <w:ind w:left="720" w:hanging="360"/>
      </w:pPr>
      <w:rPr>
        <w:rFonts w:ascii="Symbol" w:hAnsi="Symbol" w:hint="default"/>
      </w:rPr>
    </w:lvl>
    <w:lvl w:ilvl="1" w:tplc="69EC0BD4">
      <w:start w:val="1"/>
      <w:numFmt w:val="bullet"/>
      <w:lvlText w:val="o"/>
      <w:lvlJc w:val="left"/>
      <w:pPr>
        <w:ind w:left="1440" w:hanging="360"/>
      </w:pPr>
      <w:rPr>
        <w:rFonts w:ascii="Courier New" w:hAnsi="Courier New" w:hint="default"/>
      </w:rPr>
    </w:lvl>
    <w:lvl w:ilvl="2" w:tplc="263E9184">
      <w:start w:val="1"/>
      <w:numFmt w:val="bullet"/>
      <w:lvlText w:val=""/>
      <w:lvlJc w:val="left"/>
      <w:pPr>
        <w:ind w:left="2160" w:hanging="360"/>
      </w:pPr>
      <w:rPr>
        <w:rFonts w:ascii="Wingdings" w:hAnsi="Wingdings" w:hint="default"/>
      </w:rPr>
    </w:lvl>
    <w:lvl w:ilvl="3" w:tplc="E94EFDC8">
      <w:start w:val="1"/>
      <w:numFmt w:val="bullet"/>
      <w:lvlText w:val=""/>
      <w:lvlJc w:val="left"/>
      <w:pPr>
        <w:ind w:left="2880" w:hanging="360"/>
      </w:pPr>
      <w:rPr>
        <w:rFonts w:ascii="Symbol" w:hAnsi="Symbol" w:hint="default"/>
      </w:rPr>
    </w:lvl>
    <w:lvl w:ilvl="4" w:tplc="72A8123E">
      <w:start w:val="1"/>
      <w:numFmt w:val="bullet"/>
      <w:lvlText w:val="o"/>
      <w:lvlJc w:val="left"/>
      <w:pPr>
        <w:ind w:left="3600" w:hanging="360"/>
      </w:pPr>
      <w:rPr>
        <w:rFonts w:ascii="Courier New" w:hAnsi="Courier New" w:hint="default"/>
      </w:rPr>
    </w:lvl>
    <w:lvl w:ilvl="5" w:tplc="38E28C3E">
      <w:start w:val="1"/>
      <w:numFmt w:val="bullet"/>
      <w:lvlText w:val=""/>
      <w:lvlJc w:val="left"/>
      <w:pPr>
        <w:ind w:left="4320" w:hanging="360"/>
      </w:pPr>
      <w:rPr>
        <w:rFonts w:ascii="Wingdings" w:hAnsi="Wingdings" w:hint="default"/>
      </w:rPr>
    </w:lvl>
    <w:lvl w:ilvl="6" w:tplc="A192079A">
      <w:start w:val="1"/>
      <w:numFmt w:val="bullet"/>
      <w:lvlText w:val=""/>
      <w:lvlJc w:val="left"/>
      <w:pPr>
        <w:ind w:left="5040" w:hanging="360"/>
      </w:pPr>
      <w:rPr>
        <w:rFonts w:ascii="Symbol" w:hAnsi="Symbol" w:hint="default"/>
      </w:rPr>
    </w:lvl>
    <w:lvl w:ilvl="7" w:tplc="FA0091F0">
      <w:start w:val="1"/>
      <w:numFmt w:val="bullet"/>
      <w:lvlText w:val="o"/>
      <w:lvlJc w:val="left"/>
      <w:pPr>
        <w:ind w:left="5760" w:hanging="360"/>
      </w:pPr>
      <w:rPr>
        <w:rFonts w:ascii="Courier New" w:hAnsi="Courier New" w:hint="default"/>
      </w:rPr>
    </w:lvl>
    <w:lvl w:ilvl="8" w:tplc="0E66DE74">
      <w:start w:val="1"/>
      <w:numFmt w:val="bullet"/>
      <w:lvlText w:val=""/>
      <w:lvlJc w:val="left"/>
      <w:pPr>
        <w:ind w:left="6480" w:hanging="360"/>
      </w:pPr>
      <w:rPr>
        <w:rFonts w:ascii="Wingdings" w:hAnsi="Wingdings" w:hint="default"/>
      </w:rPr>
    </w:lvl>
  </w:abstractNum>
  <w:abstractNum w:abstractNumId="19" w15:restartNumberingAfterBreak="0">
    <w:nsid w:val="6EAC1AE2"/>
    <w:multiLevelType w:val="hybridMultilevel"/>
    <w:tmpl w:val="FFFFFFFF"/>
    <w:lvl w:ilvl="0" w:tplc="0B3675F8">
      <w:start w:val="1"/>
      <w:numFmt w:val="bullet"/>
      <w:lvlText w:val=""/>
      <w:lvlJc w:val="left"/>
      <w:pPr>
        <w:ind w:left="720" w:hanging="360"/>
      </w:pPr>
      <w:rPr>
        <w:rFonts w:ascii="Symbol" w:hAnsi="Symbol" w:hint="default"/>
      </w:rPr>
    </w:lvl>
    <w:lvl w:ilvl="1" w:tplc="1A52010C">
      <w:start w:val="1"/>
      <w:numFmt w:val="bullet"/>
      <w:lvlText w:val="o"/>
      <w:lvlJc w:val="left"/>
      <w:pPr>
        <w:ind w:left="1440" w:hanging="360"/>
      </w:pPr>
      <w:rPr>
        <w:rFonts w:ascii="Courier New" w:hAnsi="Courier New" w:hint="default"/>
      </w:rPr>
    </w:lvl>
    <w:lvl w:ilvl="2" w:tplc="62D879D0">
      <w:start w:val="1"/>
      <w:numFmt w:val="bullet"/>
      <w:lvlText w:val=""/>
      <w:lvlJc w:val="left"/>
      <w:pPr>
        <w:ind w:left="2160" w:hanging="360"/>
      </w:pPr>
      <w:rPr>
        <w:rFonts w:ascii="Wingdings" w:hAnsi="Wingdings" w:hint="default"/>
      </w:rPr>
    </w:lvl>
    <w:lvl w:ilvl="3" w:tplc="81F2B6C4">
      <w:start w:val="1"/>
      <w:numFmt w:val="bullet"/>
      <w:lvlText w:val=""/>
      <w:lvlJc w:val="left"/>
      <w:pPr>
        <w:ind w:left="2880" w:hanging="360"/>
      </w:pPr>
      <w:rPr>
        <w:rFonts w:ascii="Symbol" w:hAnsi="Symbol" w:hint="default"/>
      </w:rPr>
    </w:lvl>
    <w:lvl w:ilvl="4" w:tplc="26F29B76">
      <w:start w:val="1"/>
      <w:numFmt w:val="bullet"/>
      <w:lvlText w:val="o"/>
      <w:lvlJc w:val="left"/>
      <w:pPr>
        <w:ind w:left="3600" w:hanging="360"/>
      </w:pPr>
      <w:rPr>
        <w:rFonts w:ascii="Courier New" w:hAnsi="Courier New" w:hint="default"/>
      </w:rPr>
    </w:lvl>
    <w:lvl w:ilvl="5" w:tplc="AB1A96BE">
      <w:start w:val="1"/>
      <w:numFmt w:val="bullet"/>
      <w:lvlText w:val=""/>
      <w:lvlJc w:val="left"/>
      <w:pPr>
        <w:ind w:left="4320" w:hanging="360"/>
      </w:pPr>
      <w:rPr>
        <w:rFonts w:ascii="Wingdings" w:hAnsi="Wingdings" w:hint="default"/>
      </w:rPr>
    </w:lvl>
    <w:lvl w:ilvl="6" w:tplc="A6D0EB78">
      <w:start w:val="1"/>
      <w:numFmt w:val="bullet"/>
      <w:lvlText w:val=""/>
      <w:lvlJc w:val="left"/>
      <w:pPr>
        <w:ind w:left="5040" w:hanging="360"/>
      </w:pPr>
      <w:rPr>
        <w:rFonts w:ascii="Symbol" w:hAnsi="Symbol" w:hint="default"/>
      </w:rPr>
    </w:lvl>
    <w:lvl w:ilvl="7" w:tplc="1062D22E">
      <w:start w:val="1"/>
      <w:numFmt w:val="bullet"/>
      <w:lvlText w:val="o"/>
      <w:lvlJc w:val="left"/>
      <w:pPr>
        <w:ind w:left="5760" w:hanging="360"/>
      </w:pPr>
      <w:rPr>
        <w:rFonts w:ascii="Courier New" w:hAnsi="Courier New" w:hint="default"/>
      </w:rPr>
    </w:lvl>
    <w:lvl w:ilvl="8" w:tplc="DC1A74F8">
      <w:start w:val="1"/>
      <w:numFmt w:val="bullet"/>
      <w:lvlText w:val=""/>
      <w:lvlJc w:val="left"/>
      <w:pPr>
        <w:ind w:left="6480" w:hanging="360"/>
      </w:pPr>
      <w:rPr>
        <w:rFonts w:ascii="Wingdings" w:hAnsi="Wingdings" w:hint="default"/>
      </w:rPr>
    </w:lvl>
  </w:abstractNum>
  <w:abstractNum w:abstractNumId="20" w15:restartNumberingAfterBreak="0">
    <w:nsid w:val="7E0553E8"/>
    <w:multiLevelType w:val="hybridMultilevel"/>
    <w:tmpl w:val="FFFFFFFF"/>
    <w:lvl w:ilvl="0" w:tplc="87A433F4">
      <w:start w:val="1"/>
      <w:numFmt w:val="bullet"/>
      <w:lvlText w:val=""/>
      <w:lvlJc w:val="left"/>
      <w:pPr>
        <w:ind w:left="720" w:hanging="360"/>
      </w:pPr>
      <w:rPr>
        <w:rFonts w:ascii="Symbol" w:hAnsi="Symbol" w:hint="default"/>
      </w:rPr>
    </w:lvl>
    <w:lvl w:ilvl="1" w:tplc="66DA351C">
      <w:start w:val="1"/>
      <w:numFmt w:val="bullet"/>
      <w:lvlText w:val="o"/>
      <w:lvlJc w:val="left"/>
      <w:pPr>
        <w:ind w:left="1440" w:hanging="360"/>
      </w:pPr>
      <w:rPr>
        <w:rFonts w:ascii="Courier New" w:hAnsi="Courier New" w:hint="default"/>
      </w:rPr>
    </w:lvl>
    <w:lvl w:ilvl="2" w:tplc="04D47D3E">
      <w:start w:val="1"/>
      <w:numFmt w:val="bullet"/>
      <w:lvlText w:val=""/>
      <w:lvlJc w:val="left"/>
      <w:pPr>
        <w:ind w:left="2160" w:hanging="360"/>
      </w:pPr>
      <w:rPr>
        <w:rFonts w:ascii="Wingdings" w:hAnsi="Wingdings" w:hint="default"/>
      </w:rPr>
    </w:lvl>
    <w:lvl w:ilvl="3" w:tplc="181C60EA">
      <w:start w:val="1"/>
      <w:numFmt w:val="bullet"/>
      <w:lvlText w:val=""/>
      <w:lvlJc w:val="left"/>
      <w:pPr>
        <w:ind w:left="2880" w:hanging="360"/>
      </w:pPr>
      <w:rPr>
        <w:rFonts w:ascii="Symbol" w:hAnsi="Symbol" w:hint="default"/>
      </w:rPr>
    </w:lvl>
    <w:lvl w:ilvl="4" w:tplc="53543F04">
      <w:start w:val="1"/>
      <w:numFmt w:val="bullet"/>
      <w:lvlText w:val="o"/>
      <w:lvlJc w:val="left"/>
      <w:pPr>
        <w:ind w:left="3600" w:hanging="360"/>
      </w:pPr>
      <w:rPr>
        <w:rFonts w:ascii="Courier New" w:hAnsi="Courier New" w:hint="default"/>
      </w:rPr>
    </w:lvl>
    <w:lvl w:ilvl="5" w:tplc="E50C7836">
      <w:start w:val="1"/>
      <w:numFmt w:val="bullet"/>
      <w:lvlText w:val=""/>
      <w:lvlJc w:val="left"/>
      <w:pPr>
        <w:ind w:left="4320" w:hanging="360"/>
      </w:pPr>
      <w:rPr>
        <w:rFonts w:ascii="Wingdings" w:hAnsi="Wingdings" w:hint="default"/>
      </w:rPr>
    </w:lvl>
    <w:lvl w:ilvl="6" w:tplc="127C82F8">
      <w:start w:val="1"/>
      <w:numFmt w:val="bullet"/>
      <w:lvlText w:val=""/>
      <w:lvlJc w:val="left"/>
      <w:pPr>
        <w:ind w:left="5040" w:hanging="360"/>
      </w:pPr>
      <w:rPr>
        <w:rFonts w:ascii="Symbol" w:hAnsi="Symbol" w:hint="default"/>
      </w:rPr>
    </w:lvl>
    <w:lvl w:ilvl="7" w:tplc="DD9E79E0">
      <w:start w:val="1"/>
      <w:numFmt w:val="bullet"/>
      <w:lvlText w:val="o"/>
      <w:lvlJc w:val="left"/>
      <w:pPr>
        <w:ind w:left="5760" w:hanging="360"/>
      </w:pPr>
      <w:rPr>
        <w:rFonts w:ascii="Courier New" w:hAnsi="Courier New" w:hint="default"/>
      </w:rPr>
    </w:lvl>
    <w:lvl w:ilvl="8" w:tplc="E5569BC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0"/>
  </w:num>
  <w:num w:numId="4">
    <w:abstractNumId w:val="6"/>
  </w:num>
  <w:num w:numId="5">
    <w:abstractNumId w:val="14"/>
  </w:num>
  <w:num w:numId="6">
    <w:abstractNumId w:val="19"/>
  </w:num>
  <w:num w:numId="7">
    <w:abstractNumId w:val="11"/>
  </w:num>
  <w:num w:numId="8">
    <w:abstractNumId w:val="5"/>
  </w:num>
  <w:num w:numId="9">
    <w:abstractNumId w:val="18"/>
  </w:num>
  <w:num w:numId="10">
    <w:abstractNumId w:val="7"/>
  </w:num>
  <w:num w:numId="11">
    <w:abstractNumId w:val="4"/>
  </w:num>
  <w:num w:numId="12">
    <w:abstractNumId w:val="15"/>
  </w:num>
  <w:num w:numId="13">
    <w:abstractNumId w:val="17"/>
  </w:num>
  <w:num w:numId="14">
    <w:abstractNumId w:val="9"/>
  </w:num>
  <w:num w:numId="15">
    <w:abstractNumId w:val="10"/>
  </w:num>
  <w:num w:numId="16">
    <w:abstractNumId w:val="16"/>
  </w:num>
  <w:num w:numId="17">
    <w:abstractNumId w:val="8"/>
  </w:num>
  <w:num w:numId="18">
    <w:abstractNumId w:val="13"/>
  </w:num>
  <w:num w:numId="19">
    <w:abstractNumId w:val="12"/>
  </w:num>
  <w:num w:numId="20">
    <w:abstractNumId w:val="16"/>
    <w:lvlOverride w:ilvl="0">
      <w:startOverride w:val="1"/>
    </w:lvlOverride>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54"/>
    <w:rsid w:val="000043CA"/>
    <w:rsid w:val="00006024"/>
    <w:rsid w:val="0001388B"/>
    <w:rsid w:val="00015AF3"/>
    <w:rsid w:val="00026080"/>
    <w:rsid w:val="000411FE"/>
    <w:rsid w:val="00062346"/>
    <w:rsid w:val="000A296A"/>
    <w:rsid w:val="000A4DA4"/>
    <w:rsid w:val="000A5516"/>
    <w:rsid w:val="000D628C"/>
    <w:rsid w:val="000D79CC"/>
    <w:rsid w:val="000E319E"/>
    <w:rsid w:val="000F37D1"/>
    <w:rsid w:val="001209B1"/>
    <w:rsid w:val="00141086"/>
    <w:rsid w:val="00166ECB"/>
    <w:rsid w:val="0017664A"/>
    <w:rsid w:val="00187DAE"/>
    <w:rsid w:val="00193098"/>
    <w:rsid w:val="001972E5"/>
    <w:rsid w:val="001C6A78"/>
    <w:rsid w:val="001D1A4F"/>
    <w:rsid w:val="001D4A8B"/>
    <w:rsid w:val="001E7650"/>
    <w:rsid w:val="001F298B"/>
    <w:rsid w:val="002028CD"/>
    <w:rsid w:val="00206AAE"/>
    <w:rsid w:val="002651D3"/>
    <w:rsid w:val="002759DF"/>
    <w:rsid w:val="00276BA3"/>
    <w:rsid w:val="002938D4"/>
    <w:rsid w:val="002A5D35"/>
    <w:rsid w:val="002A7E7A"/>
    <w:rsid w:val="002B250D"/>
    <w:rsid w:val="002B6C5A"/>
    <w:rsid w:val="002C50CA"/>
    <w:rsid w:val="002D2EFE"/>
    <w:rsid w:val="002D5C0F"/>
    <w:rsid w:val="002E3758"/>
    <w:rsid w:val="002E6B47"/>
    <w:rsid w:val="00322DB9"/>
    <w:rsid w:val="0032640C"/>
    <w:rsid w:val="00357A76"/>
    <w:rsid w:val="00394458"/>
    <w:rsid w:val="00396A95"/>
    <w:rsid w:val="003B2A9C"/>
    <w:rsid w:val="003C23F8"/>
    <w:rsid w:val="003C5CE2"/>
    <w:rsid w:val="003D1C9A"/>
    <w:rsid w:val="003F3921"/>
    <w:rsid w:val="004172E1"/>
    <w:rsid w:val="004326EA"/>
    <w:rsid w:val="004421EC"/>
    <w:rsid w:val="00453FED"/>
    <w:rsid w:val="00463A11"/>
    <w:rsid w:val="004A073A"/>
    <w:rsid w:val="004A20FD"/>
    <w:rsid w:val="004B3C95"/>
    <w:rsid w:val="004D2675"/>
    <w:rsid w:val="004D304F"/>
    <w:rsid w:val="005116BC"/>
    <w:rsid w:val="00525E0E"/>
    <w:rsid w:val="005416EA"/>
    <w:rsid w:val="00550335"/>
    <w:rsid w:val="005563D3"/>
    <w:rsid w:val="0055742D"/>
    <w:rsid w:val="005577AF"/>
    <w:rsid w:val="00566D7C"/>
    <w:rsid w:val="00574CFF"/>
    <w:rsid w:val="00586025"/>
    <w:rsid w:val="00587586"/>
    <w:rsid w:val="005A0C47"/>
    <w:rsid w:val="005A52A1"/>
    <w:rsid w:val="005A7333"/>
    <w:rsid w:val="005B0E34"/>
    <w:rsid w:val="005B2DF1"/>
    <w:rsid w:val="005C4E10"/>
    <w:rsid w:val="005E3CD6"/>
    <w:rsid w:val="00613576"/>
    <w:rsid w:val="00632BE6"/>
    <w:rsid w:val="00634BAB"/>
    <w:rsid w:val="006A3865"/>
    <w:rsid w:val="006B2938"/>
    <w:rsid w:val="006C1150"/>
    <w:rsid w:val="006C13ED"/>
    <w:rsid w:val="006E1610"/>
    <w:rsid w:val="006E1C03"/>
    <w:rsid w:val="006F73D5"/>
    <w:rsid w:val="007054EC"/>
    <w:rsid w:val="00717876"/>
    <w:rsid w:val="0072071D"/>
    <w:rsid w:val="00731AB2"/>
    <w:rsid w:val="00734C71"/>
    <w:rsid w:val="00735F07"/>
    <w:rsid w:val="0074218E"/>
    <w:rsid w:val="00751BC9"/>
    <w:rsid w:val="00752297"/>
    <w:rsid w:val="00752A03"/>
    <w:rsid w:val="00766735"/>
    <w:rsid w:val="00792588"/>
    <w:rsid w:val="007B3F11"/>
    <w:rsid w:val="007B6276"/>
    <w:rsid w:val="007C4CF6"/>
    <w:rsid w:val="007E6D5F"/>
    <w:rsid w:val="007F294D"/>
    <w:rsid w:val="0080044B"/>
    <w:rsid w:val="00804BC4"/>
    <w:rsid w:val="008364F1"/>
    <w:rsid w:val="00840357"/>
    <w:rsid w:val="0084780F"/>
    <w:rsid w:val="0086064C"/>
    <w:rsid w:val="008616A2"/>
    <w:rsid w:val="00862299"/>
    <w:rsid w:val="00864D52"/>
    <w:rsid w:val="00870AFB"/>
    <w:rsid w:val="00872651"/>
    <w:rsid w:val="008877DB"/>
    <w:rsid w:val="0089566B"/>
    <w:rsid w:val="008B1AC3"/>
    <w:rsid w:val="008B4283"/>
    <w:rsid w:val="008D25BF"/>
    <w:rsid w:val="008E3D54"/>
    <w:rsid w:val="008E56A4"/>
    <w:rsid w:val="008F211E"/>
    <w:rsid w:val="00911D00"/>
    <w:rsid w:val="00920495"/>
    <w:rsid w:val="00932AAE"/>
    <w:rsid w:val="00934C64"/>
    <w:rsid w:val="00953884"/>
    <w:rsid w:val="00954EB1"/>
    <w:rsid w:val="00972C51"/>
    <w:rsid w:val="00981B3F"/>
    <w:rsid w:val="009A66A5"/>
    <w:rsid w:val="009B14BB"/>
    <w:rsid w:val="009B221A"/>
    <w:rsid w:val="009B5AA7"/>
    <w:rsid w:val="009C06C3"/>
    <w:rsid w:val="009C34BE"/>
    <w:rsid w:val="009C7CD4"/>
    <w:rsid w:val="009D24FE"/>
    <w:rsid w:val="009D4887"/>
    <w:rsid w:val="009D545C"/>
    <w:rsid w:val="009E6B94"/>
    <w:rsid w:val="009F6FFC"/>
    <w:rsid w:val="00A06BBE"/>
    <w:rsid w:val="00A2144A"/>
    <w:rsid w:val="00A4117F"/>
    <w:rsid w:val="00A41D2C"/>
    <w:rsid w:val="00A72FE7"/>
    <w:rsid w:val="00A92BC5"/>
    <w:rsid w:val="00A955F4"/>
    <w:rsid w:val="00A956F7"/>
    <w:rsid w:val="00A9757A"/>
    <w:rsid w:val="00AC0942"/>
    <w:rsid w:val="00AC0FB0"/>
    <w:rsid w:val="00AC4AFE"/>
    <w:rsid w:val="00B160FF"/>
    <w:rsid w:val="00B6321A"/>
    <w:rsid w:val="00B636B9"/>
    <w:rsid w:val="00B82380"/>
    <w:rsid w:val="00BA2AEE"/>
    <w:rsid w:val="00BC71C6"/>
    <w:rsid w:val="00BD2072"/>
    <w:rsid w:val="00BD6FEE"/>
    <w:rsid w:val="00BE0393"/>
    <w:rsid w:val="00BE6EA1"/>
    <w:rsid w:val="00C2500D"/>
    <w:rsid w:val="00C34815"/>
    <w:rsid w:val="00C36C45"/>
    <w:rsid w:val="00C5690B"/>
    <w:rsid w:val="00C655C4"/>
    <w:rsid w:val="00C76A89"/>
    <w:rsid w:val="00C91B41"/>
    <w:rsid w:val="00CA0823"/>
    <w:rsid w:val="00CA4592"/>
    <w:rsid w:val="00CB4A7B"/>
    <w:rsid w:val="00CD7B8E"/>
    <w:rsid w:val="00CF4CDC"/>
    <w:rsid w:val="00D00602"/>
    <w:rsid w:val="00D2026F"/>
    <w:rsid w:val="00D57C12"/>
    <w:rsid w:val="00DA0DDA"/>
    <w:rsid w:val="00DA6292"/>
    <w:rsid w:val="00DD46F0"/>
    <w:rsid w:val="00DE2F61"/>
    <w:rsid w:val="00DE33CC"/>
    <w:rsid w:val="00E24594"/>
    <w:rsid w:val="00E86014"/>
    <w:rsid w:val="00E929AE"/>
    <w:rsid w:val="00E94FE7"/>
    <w:rsid w:val="00ED39E7"/>
    <w:rsid w:val="00ED3CD9"/>
    <w:rsid w:val="00F16374"/>
    <w:rsid w:val="00F206A5"/>
    <w:rsid w:val="00F44D55"/>
    <w:rsid w:val="00F509E6"/>
    <w:rsid w:val="00F53CD0"/>
    <w:rsid w:val="00F61153"/>
    <w:rsid w:val="00F77BDF"/>
    <w:rsid w:val="00F865BA"/>
    <w:rsid w:val="00F86FF8"/>
    <w:rsid w:val="00F91AF1"/>
    <w:rsid w:val="00FC4BC2"/>
    <w:rsid w:val="00FE65FC"/>
    <w:rsid w:val="00FE66AF"/>
    <w:rsid w:val="00FE7017"/>
    <w:rsid w:val="0102C34C"/>
    <w:rsid w:val="0103655C"/>
    <w:rsid w:val="016778F5"/>
    <w:rsid w:val="01F7BE5E"/>
    <w:rsid w:val="023260B8"/>
    <w:rsid w:val="0234A3F9"/>
    <w:rsid w:val="02B11ADC"/>
    <w:rsid w:val="033AC319"/>
    <w:rsid w:val="033D85A0"/>
    <w:rsid w:val="0375EA6F"/>
    <w:rsid w:val="038C0F9D"/>
    <w:rsid w:val="03E29EB1"/>
    <w:rsid w:val="04B4C436"/>
    <w:rsid w:val="04CC5489"/>
    <w:rsid w:val="052C6099"/>
    <w:rsid w:val="056B14A6"/>
    <w:rsid w:val="067F0C26"/>
    <w:rsid w:val="069242D8"/>
    <w:rsid w:val="06A77969"/>
    <w:rsid w:val="06D2B8CE"/>
    <w:rsid w:val="073A2F65"/>
    <w:rsid w:val="07AD5EDE"/>
    <w:rsid w:val="07FD0F77"/>
    <w:rsid w:val="08153BB5"/>
    <w:rsid w:val="089DD036"/>
    <w:rsid w:val="09E1E128"/>
    <w:rsid w:val="09EBEA70"/>
    <w:rsid w:val="0A6749EC"/>
    <w:rsid w:val="0AA18636"/>
    <w:rsid w:val="0AF1CE47"/>
    <w:rsid w:val="0B438393"/>
    <w:rsid w:val="0CE5EA51"/>
    <w:rsid w:val="0D3AEECA"/>
    <w:rsid w:val="0D405C23"/>
    <w:rsid w:val="0EB5B9CC"/>
    <w:rsid w:val="0F24C47C"/>
    <w:rsid w:val="0FC83F5A"/>
    <w:rsid w:val="1007253D"/>
    <w:rsid w:val="1058AD6A"/>
    <w:rsid w:val="10AA5FEB"/>
    <w:rsid w:val="10B0377A"/>
    <w:rsid w:val="10BB764F"/>
    <w:rsid w:val="11570E43"/>
    <w:rsid w:val="11AFF716"/>
    <w:rsid w:val="11B99F71"/>
    <w:rsid w:val="11CCC0FF"/>
    <w:rsid w:val="11D8E426"/>
    <w:rsid w:val="11FA284E"/>
    <w:rsid w:val="120CAA09"/>
    <w:rsid w:val="12F4A50C"/>
    <w:rsid w:val="12FBE40D"/>
    <w:rsid w:val="13A87A6A"/>
    <w:rsid w:val="13B3023E"/>
    <w:rsid w:val="13E3C508"/>
    <w:rsid w:val="13EA603D"/>
    <w:rsid w:val="13EC2E19"/>
    <w:rsid w:val="13FB8502"/>
    <w:rsid w:val="14E65E50"/>
    <w:rsid w:val="153755BC"/>
    <w:rsid w:val="1597E205"/>
    <w:rsid w:val="15DACECD"/>
    <w:rsid w:val="15E33CBE"/>
    <w:rsid w:val="170873F5"/>
    <w:rsid w:val="177114DB"/>
    <w:rsid w:val="177DD79D"/>
    <w:rsid w:val="178B49BB"/>
    <w:rsid w:val="18B8D932"/>
    <w:rsid w:val="195CC353"/>
    <w:rsid w:val="197F9329"/>
    <w:rsid w:val="19B9B3AF"/>
    <w:rsid w:val="1AB2EF3B"/>
    <w:rsid w:val="1B11191F"/>
    <w:rsid w:val="1B9B771E"/>
    <w:rsid w:val="1BCFECB7"/>
    <w:rsid w:val="1C58A560"/>
    <w:rsid w:val="1C67CBD2"/>
    <w:rsid w:val="1D8660A0"/>
    <w:rsid w:val="1D897C54"/>
    <w:rsid w:val="1D9A6AFD"/>
    <w:rsid w:val="1E781FC2"/>
    <w:rsid w:val="1E97C86A"/>
    <w:rsid w:val="1EBC6CF1"/>
    <w:rsid w:val="1ECCD4E0"/>
    <w:rsid w:val="20160FB8"/>
    <w:rsid w:val="208DE0DC"/>
    <w:rsid w:val="2106F084"/>
    <w:rsid w:val="2158AE63"/>
    <w:rsid w:val="2171180A"/>
    <w:rsid w:val="21B0D9D1"/>
    <w:rsid w:val="21B59EBF"/>
    <w:rsid w:val="21D273B4"/>
    <w:rsid w:val="2201861A"/>
    <w:rsid w:val="2251CE2B"/>
    <w:rsid w:val="22732C0F"/>
    <w:rsid w:val="232C30DC"/>
    <w:rsid w:val="2359346D"/>
    <w:rsid w:val="236CE15D"/>
    <w:rsid w:val="2389573D"/>
    <w:rsid w:val="24671BDC"/>
    <w:rsid w:val="249ED308"/>
    <w:rsid w:val="24F18473"/>
    <w:rsid w:val="263EAAF2"/>
    <w:rsid w:val="26470E4B"/>
    <w:rsid w:val="26FE7A99"/>
    <w:rsid w:val="2728A3E5"/>
    <w:rsid w:val="2748F56C"/>
    <w:rsid w:val="278CB77E"/>
    <w:rsid w:val="28506FDC"/>
    <w:rsid w:val="2861C7B7"/>
    <w:rsid w:val="2869A461"/>
    <w:rsid w:val="2897D8A2"/>
    <w:rsid w:val="28C01390"/>
    <w:rsid w:val="28F70DAD"/>
    <w:rsid w:val="291B21C0"/>
    <w:rsid w:val="29B5CEC1"/>
    <w:rsid w:val="29BA2F77"/>
    <w:rsid w:val="29C1F8F7"/>
    <w:rsid w:val="2A1ADB0B"/>
    <w:rsid w:val="2A2646A8"/>
    <w:rsid w:val="2A5FE000"/>
    <w:rsid w:val="2A7DCF5D"/>
    <w:rsid w:val="2AA1886A"/>
    <w:rsid w:val="2B62A823"/>
    <w:rsid w:val="2B8E6521"/>
    <w:rsid w:val="2BAE8F7E"/>
    <w:rsid w:val="2BFF92C1"/>
    <w:rsid w:val="2C5718A0"/>
    <w:rsid w:val="2D98C5C4"/>
    <w:rsid w:val="2E14F281"/>
    <w:rsid w:val="2E5330C2"/>
    <w:rsid w:val="2EDADC3F"/>
    <w:rsid w:val="2F2D03A9"/>
    <w:rsid w:val="2F663529"/>
    <w:rsid w:val="2FDC8D81"/>
    <w:rsid w:val="2FF4EE30"/>
    <w:rsid w:val="2FF96D44"/>
    <w:rsid w:val="30BCC337"/>
    <w:rsid w:val="30DF930D"/>
    <w:rsid w:val="3181E9DC"/>
    <w:rsid w:val="31A75354"/>
    <w:rsid w:val="31FAFF16"/>
    <w:rsid w:val="320D056A"/>
    <w:rsid w:val="324B7C0E"/>
    <w:rsid w:val="3272536D"/>
    <w:rsid w:val="32C74AC9"/>
    <w:rsid w:val="330B6CD7"/>
    <w:rsid w:val="33F74244"/>
    <w:rsid w:val="354D5268"/>
    <w:rsid w:val="3561431A"/>
    <w:rsid w:val="359312A5"/>
    <w:rsid w:val="35ACC14E"/>
    <w:rsid w:val="35CE7EA0"/>
    <w:rsid w:val="3647528B"/>
    <w:rsid w:val="36896B7B"/>
    <w:rsid w:val="3705FA05"/>
    <w:rsid w:val="37408E17"/>
    <w:rsid w:val="377ACA61"/>
    <w:rsid w:val="37B1E79E"/>
    <w:rsid w:val="37DEDDFA"/>
    <w:rsid w:val="38394938"/>
    <w:rsid w:val="38553306"/>
    <w:rsid w:val="3889F742"/>
    <w:rsid w:val="38D17C95"/>
    <w:rsid w:val="391F406A"/>
    <w:rsid w:val="396B27C5"/>
    <w:rsid w:val="397B506B"/>
    <w:rsid w:val="39CDF65C"/>
    <w:rsid w:val="3A7AF160"/>
    <w:rsid w:val="3A9A55F2"/>
    <w:rsid w:val="3AC6D8BB"/>
    <w:rsid w:val="3AC720BC"/>
    <w:rsid w:val="3B2829CD"/>
    <w:rsid w:val="3B626617"/>
    <w:rsid w:val="3BB1B209"/>
    <w:rsid w:val="3C13031B"/>
    <w:rsid w:val="3D37F6DD"/>
    <w:rsid w:val="3D544C7A"/>
    <w:rsid w:val="3DA34F89"/>
    <w:rsid w:val="3DA8909A"/>
    <w:rsid w:val="3DBEA7DB"/>
    <w:rsid w:val="3DE7C512"/>
    <w:rsid w:val="3E54D679"/>
    <w:rsid w:val="3EF6F735"/>
    <w:rsid w:val="3F477CAF"/>
    <w:rsid w:val="3F65BE05"/>
    <w:rsid w:val="3F84E027"/>
    <w:rsid w:val="3FA46D0B"/>
    <w:rsid w:val="3FAB5394"/>
    <w:rsid w:val="3FB643D8"/>
    <w:rsid w:val="3FC6C5FA"/>
    <w:rsid w:val="3FCF7CCE"/>
    <w:rsid w:val="4023D21A"/>
    <w:rsid w:val="402646D2"/>
    <w:rsid w:val="404A44D2"/>
    <w:rsid w:val="406C7548"/>
    <w:rsid w:val="4087E5B3"/>
    <w:rsid w:val="40CCE73A"/>
    <w:rsid w:val="4173F889"/>
    <w:rsid w:val="417DA0E4"/>
    <w:rsid w:val="41F5D20E"/>
    <w:rsid w:val="42184BEA"/>
    <w:rsid w:val="4227BD9D"/>
    <w:rsid w:val="43BF8675"/>
    <w:rsid w:val="43F94819"/>
    <w:rsid w:val="446419E6"/>
    <w:rsid w:val="44B8A63D"/>
    <w:rsid w:val="44BDE74E"/>
    <w:rsid w:val="44C91B16"/>
    <w:rsid w:val="44DD95F0"/>
    <w:rsid w:val="455F5E5F"/>
    <w:rsid w:val="455F9BC8"/>
    <w:rsid w:val="4596196C"/>
    <w:rsid w:val="45DF5FB4"/>
    <w:rsid w:val="4648AEAE"/>
    <w:rsid w:val="4653A29D"/>
    <w:rsid w:val="4662BD18"/>
    <w:rsid w:val="46AE0263"/>
    <w:rsid w:val="46E995E3"/>
    <w:rsid w:val="47010CFB"/>
    <w:rsid w:val="4787C4F5"/>
    <w:rsid w:val="47A0A0FE"/>
    <w:rsid w:val="47B32C9B"/>
    <w:rsid w:val="47BE2A6A"/>
    <w:rsid w:val="47F1BB5C"/>
    <w:rsid w:val="48350B1D"/>
    <w:rsid w:val="48B83BAA"/>
    <w:rsid w:val="4976EB12"/>
    <w:rsid w:val="49866BF6"/>
    <w:rsid w:val="49C4A44F"/>
    <w:rsid w:val="4A0B9E14"/>
    <w:rsid w:val="4AB8D681"/>
    <w:rsid w:val="4B3E9D30"/>
    <w:rsid w:val="4BBD650C"/>
    <w:rsid w:val="4BDC3D67"/>
    <w:rsid w:val="4C0F0269"/>
    <w:rsid w:val="4C106FA4"/>
    <w:rsid w:val="4C916E1D"/>
    <w:rsid w:val="4CCBA598"/>
    <w:rsid w:val="4D66DBED"/>
    <w:rsid w:val="4D75EC94"/>
    <w:rsid w:val="4D945D9E"/>
    <w:rsid w:val="4DD870C4"/>
    <w:rsid w:val="4DFD7891"/>
    <w:rsid w:val="4F02AC4E"/>
    <w:rsid w:val="4F2EE809"/>
    <w:rsid w:val="4F3EDDDE"/>
    <w:rsid w:val="4F570A1C"/>
    <w:rsid w:val="4F94DE2D"/>
    <w:rsid w:val="4FF2B05B"/>
    <w:rsid w:val="500EA675"/>
    <w:rsid w:val="503358F3"/>
    <w:rsid w:val="5037FDA6"/>
    <w:rsid w:val="5181657F"/>
    <w:rsid w:val="51955940"/>
    <w:rsid w:val="51B68DD7"/>
    <w:rsid w:val="51DF449D"/>
    <w:rsid w:val="51F46C75"/>
    <w:rsid w:val="522B3955"/>
    <w:rsid w:val="5273F982"/>
    <w:rsid w:val="52878EA4"/>
    <w:rsid w:val="52EA4804"/>
    <w:rsid w:val="53619557"/>
    <w:rsid w:val="5380A769"/>
    <w:rsid w:val="53AF4E94"/>
    <w:rsid w:val="5450EC22"/>
    <w:rsid w:val="54619AF3"/>
    <w:rsid w:val="54AD0638"/>
    <w:rsid w:val="550CE69C"/>
    <w:rsid w:val="55E36E86"/>
    <w:rsid w:val="55F3B952"/>
    <w:rsid w:val="5612D50B"/>
    <w:rsid w:val="56AE46A3"/>
    <w:rsid w:val="56FA2DFE"/>
    <w:rsid w:val="5761C1F2"/>
    <w:rsid w:val="5778378F"/>
    <w:rsid w:val="57EBED20"/>
    <w:rsid w:val="5834C911"/>
    <w:rsid w:val="5842F3C7"/>
    <w:rsid w:val="5868F16D"/>
    <w:rsid w:val="586E437F"/>
    <w:rsid w:val="587F65B8"/>
    <w:rsid w:val="58906EB9"/>
    <w:rsid w:val="59314D70"/>
    <w:rsid w:val="5934F485"/>
    <w:rsid w:val="598816AE"/>
    <w:rsid w:val="59C53A92"/>
    <w:rsid w:val="5A30EE65"/>
    <w:rsid w:val="5A84361C"/>
    <w:rsid w:val="5AC8BD1B"/>
    <w:rsid w:val="5B31316A"/>
    <w:rsid w:val="5C55966E"/>
    <w:rsid w:val="5C795523"/>
    <w:rsid w:val="5C8A913E"/>
    <w:rsid w:val="5D0A570D"/>
    <w:rsid w:val="5D0B041E"/>
    <w:rsid w:val="5DFCF946"/>
    <w:rsid w:val="5E053F3E"/>
    <w:rsid w:val="5E152584"/>
    <w:rsid w:val="5E6551D1"/>
    <w:rsid w:val="5E68D22C"/>
    <w:rsid w:val="5E70C2AA"/>
    <w:rsid w:val="5EB1392C"/>
    <w:rsid w:val="5EB4B987"/>
    <w:rsid w:val="5EBBDCC4"/>
    <w:rsid w:val="5EF6190E"/>
    <w:rsid w:val="5FDDD6A8"/>
    <w:rsid w:val="5FF9FEF5"/>
    <w:rsid w:val="60043DE6"/>
    <w:rsid w:val="604779E7"/>
    <w:rsid w:val="604AC6DC"/>
    <w:rsid w:val="60AA28CC"/>
    <w:rsid w:val="60D70F3A"/>
    <w:rsid w:val="61A3AA12"/>
    <w:rsid w:val="6240FF88"/>
    <w:rsid w:val="628D6D4D"/>
    <w:rsid w:val="6297AD78"/>
    <w:rsid w:val="629C553D"/>
    <w:rsid w:val="62B25016"/>
    <w:rsid w:val="62D3CF00"/>
    <w:rsid w:val="62D99CF1"/>
    <w:rsid w:val="62E7F23C"/>
    <w:rsid w:val="62F13C4F"/>
    <w:rsid w:val="633423F3"/>
    <w:rsid w:val="6383C9F4"/>
    <w:rsid w:val="641CD232"/>
    <w:rsid w:val="6449D574"/>
    <w:rsid w:val="645B5CDA"/>
    <w:rsid w:val="64897548"/>
    <w:rsid w:val="648AF45F"/>
    <w:rsid w:val="64911192"/>
    <w:rsid w:val="64BE86AC"/>
    <w:rsid w:val="65334077"/>
    <w:rsid w:val="65650155"/>
    <w:rsid w:val="65B9DCFD"/>
    <w:rsid w:val="65E347CE"/>
    <w:rsid w:val="6605C458"/>
    <w:rsid w:val="66113DB3"/>
    <w:rsid w:val="6618180D"/>
    <w:rsid w:val="661FDD5A"/>
    <w:rsid w:val="6648F4DF"/>
    <w:rsid w:val="674F546A"/>
    <w:rsid w:val="67961B5E"/>
    <w:rsid w:val="67B10A23"/>
    <w:rsid w:val="67F0D613"/>
    <w:rsid w:val="684A6C70"/>
    <w:rsid w:val="68B751FC"/>
    <w:rsid w:val="693F51DE"/>
    <w:rsid w:val="6987B8DE"/>
    <w:rsid w:val="699BA02A"/>
    <w:rsid w:val="69E37DDE"/>
    <w:rsid w:val="6A8E05E0"/>
    <w:rsid w:val="6AEEEDC7"/>
    <w:rsid w:val="6AF42ED8"/>
    <w:rsid w:val="6B20C6B8"/>
    <w:rsid w:val="6B7246AB"/>
    <w:rsid w:val="6BC5597D"/>
    <w:rsid w:val="6CB5ACFC"/>
    <w:rsid w:val="6D062B17"/>
    <w:rsid w:val="6D774110"/>
    <w:rsid w:val="6D80B6C2"/>
    <w:rsid w:val="6D8B012D"/>
    <w:rsid w:val="6DBE1A3A"/>
    <w:rsid w:val="6E229A17"/>
    <w:rsid w:val="6E29F320"/>
    <w:rsid w:val="6EB2954F"/>
    <w:rsid w:val="6EBB686B"/>
    <w:rsid w:val="6ECE2EFB"/>
    <w:rsid w:val="6EFC1FC5"/>
    <w:rsid w:val="6F686E7E"/>
    <w:rsid w:val="6FE4D581"/>
    <w:rsid w:val="702FAAEA"/>
    <w:rsid w:val="70FD1BA2"/>
    <w:rsid w:val="7195F5F0"/>
    <w:rsid w:val="71D82659"/>
    <w:rsid w:val="71E77F69"/>
    <w:rsid w:val="72B08274"/>
    <w:rsid w:val="72F544E7"/>
    <w:rsid w:val="7337DDF6"/>
    <w:rsid w:val="738429F8"/>
    <w:rsid w:val="73F8D6FC"/>
    <w:rsid w:val="7426BECD"/>
    <w:rsid w:val="745443B6"/>
    <w:rsid w:val="75E0FE4E"/>
    <w:rsid w:val="761B3A98"/>
    <w:rsid w:val="762A935C"/>
    <w:rsid w:val="766E4530"/>
    <w:rsid w:val="76B39474"/>
    <w:rsid w:val="76BDEB31"/>
    <w:rsid w:val="76C4B45F"/>
    <w:rsid w:val="7718566F"/>
    <w:rsid w:val="7718BB16"/>
    <w:rsid w:val="775334C9"/>
    <w:rsid w:val="77640061"/>
    <w:rsid w:val="779EF641"/>
    <w:rsid w:val="787609BA"/>
    <w:rsid w:val="78A72558"/>
    <w:rsid w:val="78CE28B5"/>
    <w:rsid w:val="78E92B76"/>
    <w:rsid w:val="7A390FF5"/>
    <w:rsid w:val="7A991C05"/>
    <w:rsid w:val="7ABC8EE2"/>
    <w:rsid w:val="7B0056CC"/>
    <w:rsid w:val="7B80D9F4"/>
    <w:rsid w:val="7BF1B147"/>
    <w:rsid w:val="7BFBB60B"/>
    <w:rsid w:val="7C33B2DE"/>
    <w:rsid w:val="7C6C3FCD"/>
    <w:rsid w:val="7C7D2D20"/>
    <w:rsid w:val="7CDAFF4E"/>
    <w:rsid w:val="7D33F5E3"/>
    <w:rsid w:val="7E2C98C7"/>
    <w:rsid w:val="7E5C4F44"/>
    <w:rsid w:val="7EBB3CE8"/>
    <w:rsid w:val="7EBE589C"/>
    <w:rsid w:val="7F7FC138"/>
    <w:rsid w:val="7FA8F481"/>
    <w:rsid w:val="7FB9F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89BE"/>
  <w15:chartTrackingRefBased/>
  <w15:docId w15:val="{DF2A7888-7C23-4C5F-AB00-D283F837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3D54"/>
    <w:pPr>
      <w:keepNext/>
      <w:tabs>
        <w:tab w:val="left" w:pos="0"/>
      </w:tabs>
      <w:suppressAutoHyphens/>
      <w:spacing w:line="480" w:lineRule="auto"/>
      <w:ind w:hanging="720"/>
      <w:outlineLvl w:val="0"/>
    </w:pPr>
    <w:rPr>
      <w:b/>
      <w:caps/>
    </w:rPr>
  </w:style>
  <w:style w:type="paragraph" w:styleId="Heading2">
    <w:name w:val="heading 2"/>
    <w:basedOn w:val="Normal"/>
    <w:next w:val="Normal"/>
    <w:link w:val="Heading2Char"/>
    <w:qFormat/>
    <w:rsid w:val="008E3D54"/>
    <w:pPr>
      <w:keepNext/>
      <w:tabs>
        <w:tab w:val="left" w:pos="0"/>
      </w:tabs>
      <w:suppressAutoHyphens/>
      <w:spacing w:line="480" w:lineRule="auto"/>
      <w:ind w:hanging="720"/>
      <w:outlineLvl w:val="1"/>
    </w:pPr>
    <w:rPr>
      <w:b/>
    </w:rPr>
  </w:style>
  <w:style w:type="paragraph" w:styleId="Heading3">
    <w:name w:val="heading 3"/>
    <w:basedOn w:val="Normal"/>
    <w:next w:val="Normal"/>
    <w:link w:val="Heading3Char"/>
    <w:uiPriority w:val="9"/>
    <w:unhideWhenUsed/>
    <w:qFormat/>
    <w:rsid w:val="000E319E"/>
    <w:pPr>
      <w:tabs>
        <w:tab w:val="left" w:pos="0"/>
        <w:tab w:val="left" w:pos="360"/>
      </w:tabs>
      <w:suppressAutoHyphens/>
      <w:spacing w:after="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5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E3D54"/>
    <w:rPr>
      <w:rFonts w:ascii="Times New Roman" w:eastAsia="Times New Roman" w:hAnsi="Times New Roman" w:cs="Times New Roman"/>
      <w:b/>
      <w:sz w:val="24"/>
      <w:szCs w:val="20"/>
    </w:rPr>
  </w:style>
  <w:style w:type="paragraph" w:styleId="TOC1">
    <w:name w:val="toc 1"/>
    <w:basedOn w:val="Normal"/>
    <w:next w:val="Normal"/>
    <w:uiPriority w:val="39"/>
    <w:rsid w:val="008E3D54"/>
    <w:pPr>
      <w:spacing w:before="120" w:after="120"/>
    </w:pPr>
    <w:rPr>
      <w:b/>
      <w:bCs/>
      <w:caps/>
    </w:rPr>
  </w:style>
  <w:style w:type="paragraph" w:styleId="Footer">
    <w:name w:val="footer"/>
    <w:basedOn w:val="Normal"/>
    <w:link w:val="FooterChar"/>
    <w:uiPriority w:val="99"/>
    <w:rsid w:val="008E3D5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3D54"/>
    <w:rPr>
      <w:rFonts w:ascii="Courier" w:eastAsia="Times New Roman" w:hAnsi="Courier" w:cs="Times New Roman"/>
      <w:sz w:val="20"/>
      <w:szCs w:val="20"/>
      <w:lang w:val="x-none" w:eastAsia="x-none"/>
    </w:rPr>
  </w:style>
  <w:style w:type="character" w:styleId="Hyperlink">
    <w:name w:val="Hyperlink"/>
    <w:uiPriority w:val="99"/>
    <w:rsid w:val="008E3D54"/>
    <w:rPr>
      <w:color w:val="0000FF"/>
      <w:u w:val="single"/>
    </w:rPr>
  </w:style>
  <w:style w:type="paragraph" w:styleId="BodyText2">
    <w:name w:val="Body Text 2"/>
    <w:basedOn w:val="Normal"/>
    <w:link w:val="BodyText2Char"/>
    <w:rsid w:val="008E3D54"/>
    <w:rPr>
      <w:sz w:val="22"/>
    </w:rPr>
  </w:style>
  <w:style w:type="character" w:customStyle="1" w:styleId="BodyText2Char">
    <w:name w:val="Body Text 2 Char"/>
    <w:basedOn w:val="DefaultParagraphFont"/>
    <w:link w:val="BodyText2"/>
    <w:rsid w:val="008E3D54"/>
    <w:rPr>
      <w:rFonts w:ascii="Times New Roman" w:eastAsia="Times New Roman" w:hAnsi="Times New Roman" w:cs="Times New Roman"/>
      <w:szCs w:val="20"/>
    </w:rPr>
  </w:style>
  <w:style w:type="paragraph" w:styleId="Title">
    <w:name w:val="Title"/>
    <w:basedOn w:val="Normal"/>
    <w:link w:val="TitleChar"/>
    <w:qFormat/>
    <w:rsid w:val="008E3D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rPr>
  </w:style>
  <w:style w:type="character" w:customStyle="1" w:styleId="TitleChar">
    <w:name w:val="Title Char"/>
    <w:basedOn w:val="DefaultParagraphFont"/>
    <w:link w:val="Title"/>
    <w:rsid w:val="008E3D54"/>
    <w:rPr>
      <w:rFonts w:ascii="Times New Roman" w:eastAsia="Times New Roman" w:hAnsi="Times New Roman" w:cs="Times New Roman"/>
      <w:b/>
      <w:sz w:val="24"/>
      <w:szCs w:val="20"/>
    </w:rPr>
  </w:style>
  <w:style w:type="character" w:styleId="PageNumber">
    <w:name w:val="page number"/>
    <w:basedOn w:val="DefaultParagraphFont"/>
    <w:rsid w:val="008E3D54"/>
  </w:style>
  <w:style w:type="character" w:styleId="CommentReference">
    <w:name w:val="annotation reference"/>
    <w:semiHidden/>
    <w:rsid w:val="008E3D54"/>
    <w:rPr>
      <w:sz w:val="16"/>
      <w:szCs w:val="16"/>
    </w:rPr>
  </w:style>
  <w:style w:type="paragraph" w:styleId="CommentText">
    <w:name w:val="annotation text"/>
    <w:basedOn w:val="Normal"/>
    <w:link w:val="CommentTextChar"/>
    <w:semiHidden/>
    <w:rsid w:val="008E3D54"/>
    <w:pPr>
      <w:widowControl w:val="0"/>
    </w:pPr>
    <w:rPr>
      <w:snapToGrid w:val="0"/>
    </w:rPr>
  </w:style>
  <w:style w:type="character" w:customStyle="1" w:styleId="CommentTextChar">
    <w:name w:val="Comment Text Char"/>
    <w:basedOn w:val="DefaultParagraphFont"/>
    <w:link w:val="CommentText"/>
    <w:semiHidden/>
    <w:rsid w:val="008E3D5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35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07"/>
    <w:rPr>
      <w:rFonts w:ascii="Segoe UI" w:eastAsia="Times New Roman" w:hAnsi="Segoe UI" w:cs="Segoe UI"/>
      <w:sz w:val="18"/>
      <w:szCs w:val="18"/>
    </w:rPr>
  </w:style>
  <w:style w:type="paragraph" w:styleId="Revision">
    <w:name w:val="Revision"/>
    <w:hidden/>
    <w:uiPriority w:val="99"/>
    <w:semiHidden/>
    <w:rsid w:val="00735F07"/>
    <w:pPr>
      <w:spacing w:after="0" w:line="240" w:lineRule="auto"/>
    </w:pPr>
    <w:rPr>
      <w:rFonts w:ascii="Courier" w:eastAsia="Times New Roman" w:hAnsi="Courier" w:cs="Times New Roman"/>
      <w:sz w:val="20"/>
      <w:szCs w:val="20"/>
    </w:rPr>
  </w:style>
  <w:style w:type="paragraph" w:styleId="Header">
    <w:name w:val="header"/>
    <w:basedOn w:val="Normal"/>
    <w:link w:val="HeaderChar"/>
    <w:uiPriority w:val="99"/>
    <w:unhideWhenUsed/>
    <w:rsid w:val="000A5516"/>
    <w:pPr>
      <w:tabs>
        <w:tab w:val="center" w:pos="4680"/>
        <w:tab w:val="right" w:pos="9360"/>
      </w:tabs>
    </w:pPr>
  </w:style>
  <w:style w:type="character" w:customStyle="1" w:styleId="HeaderChar">
    <w:name w:val="Header Char"/>
    <w:basedOn w:val="DefaultParagraphFont"/>
    <w:link w:val="Header"/>
    <w:uiPriority w:val="99"/>
    <w:rsid w:val="000A551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7E7A"/>
    <w:pPr>
      <w:widowControl/>
    </w:pPr>
    <w:rPr>
      <w:rFonts w:ascii="Courier" w:hAnsi="Courier"/>
      <w:b/>
      <w:bCs/>
      <w:snapToGrid/>
    </w:rPr>
  </w:style>
  <w:style w:type="character" w:customStyle="1" w:styleId="CommentSubjectChar">
    <w:name w:val="Comment Subject Char"/>
    <w:basedOn w:val="CommentTextChar"/>
    <w:link w:val="CommentSubject"/>
    <w:uiPriority w:val="99"/>
    <w:semiHidden/>
    <w:rsid w:val="002A7E7A"/>
    <w:rPr>
      <w:rFonts w:ascii="Courier" w:eastAsia="Times New Roman" w:hAnsi="Courier" w:cs="Times New Roman"/>
      <w:b/>
      <w:bCs/>
      <w:snapToGrid/>
      <w:sz w:val="20"/>
      <w:szCs w:val="20"/>
    </w:rPr>
  </w:style>
  <w:style w:type="paragraph" w:styleId="ListParagraph">
    <w:name w:val="List Paragraph"/>
    <w:basedOn w:val="Normal"/>
    <w:uiPriority w:val="34"/>
    <w:qFormat/>
    <w:rsid w:val="00F509E6"/>
    <w:pPr>
      <w:ind w:left="720"/>
      <w:contextualSpacing/>
    </w:pPr>
  </w:style>
  <w:style w:type="table" w:styleId="TableGrid">
    <w:name w:val="Table Grid"/>
    <w:basedOn w:val="TableNormal"/>
    <w:uiPriority w:val="39"/>
    <w:rsid w:val="00F6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E319E"/>
    <w:rPr>
      <w:rFonts w:ascii="Times New Roman" w:eastAsia="Times New Roman" w:hAnsi="Times New Roman" w:cs="Times New Roman"/>
      <w:b/>
      <w:i/>
      <w:sz w:val="24"/>
      <w:szCs w:val="24"/>
    </w:rPr>
  </w:style>
  <w:style w:type="character" w:styleId="FollowedHyperlink">
    <w:name w:val="FollowedHyperlink"/>
    <w:basedOn w:val="DefaultParagraphFont"/>
    <w:uiPriority w:val="99"/>
    <w:semiHidden/>
    <w:unhideWhenUsed/>
    <w:rsid w:val="007054EC"/>
    <w:rPr>
      <w:color w:val="954F72" w:themeColor="followedHyperlink"/>
      <w:u w:val="single"/>
    </w:rPr>
  </w:style>
  <w:style w:type="table" w:customStyle="1" w:styleId="OMB">
    <w:name w:val="OMB"/>
    <w:basedOn w:val="TableNormal"/>
    <w:uiPriority w:val="99"/>
    <w:rsid w:val="00193098"/>
    <w:pPr>
      <w:spacing w:after="0" w:line="240" w:lineRule="auto"/>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Normal"/>
    <w:qFormat/>
    <w:rsid w:val="00193098"/>
    <w:pPr>
      <w:keepNext/>
      <w:keepLines/>
      <w:spacing w:before="80" w:after="80"/>
      <w:jc w:val="center"/>
    </w:pPr>
    <w:rPr>
      <w:rFonts w:eastAsiaTheme="minorHAnsi" w:cstheme="minorBidi"/>
      <w:b/>
      <w:bCs/>
      <w:szCs w:val="22"/>
    </w:rPr>
  </w:style>
  <w:style w:type="paragraph" w:customStyle="1" w:styleId="Tabletext1">
    <w:name w:val="Table text1"/>
    <w:basedOn w:val="Normal"/>
    <w:uiPriority w:val="1"/>
    <w:qFormat/>
    <w:rsid w:val="00193098"/>
    <w:pPr>
      <w:spacing w:before="60" w:after="60"/>
    </w:pPr>
    <w:rPr>
      <w:rFonts w:eastAsiaTheme="minorHAnsi" w:cstheme="minorBidi"/>
      <w:spacing w:val="-1"/>
      <w:szCs w:val="22"/>
    </w:rPr>
  </w:style>
  <w:style w:type="paragraph" w:styleId="BodyText">
    <w:name w:val="Body Text"/>
    <w:basedOn w:val="Normal"/>
    <w:link w:val="BodyTextChar"/>
    <w:uiPriority w:val="99"/>
    <w:semiHidden/>
    <w:unhideWhenUsed/>
    <w:rsid w:val="00193098"/>
    <w:pPr>
      <w:spacing w:after="120"/>
    </w:pPr>
  </w:style>
  <w:style w:type="character" w:customStyle="1" w:styleId="BodyTextChar">
    <w:name w:val="Body Text Char"/>
    <w:basedOn w:val="DefaultParagraphFont"/>
    <w:link w:val="BodyText"/>
    <w:uiPriority w:val="99"/>
    <w:semiHidden/>
    <w:rsid w:val="00193098"/>
    <w:rPr>
      <w:rFonts w:ascii="Courier" w:eastAsia="Times New Roman" w:hAnsi="Courier" w:cs="Times New Roman"/>
      <w:sz w:val="20"/>
      <w:szCs w:val="20"/>
    </w:rPr>
  </w:style>
  <w:style w:type="paragraph" w:styleId="TOC2">
    <w:name w:val="toc 2"/>
    <w:basedOn w:val="Normal"/>
    <w:next w:val="Normal"/>
    <w:autoRedefine/>
    <w:uiPriority w:val="39"/>
    <w:unhideWhenUsed/>
    <w:rsid w:val="001C6A78"/>
    <w:pPr>
      <w:spacing w:after="100"/>
      <w:ind w:left="240"/>
    </w:pPr>
  </w:style>
  <w:style w:type="paragraph" w:styleId="TOC3">
    <w:name w:val="toc 3"/>
    <w:basedOn w:val="Normal"/>
    <w:next w:val="Normal"/>
    <w:autoRedefine/>
    <w:uiPriority w:val="39"/>
    <w:unhideWhenUsed/>
    <w:rsid w:val="001C6A78"/>
    <w:pPr>
      <w:spacing w:after="100"/>
      <w:ind w:left="480"/>
    </w:pPr>
  </w:style>
  <w:style w:type="paragraph" w:customStyle="1" w:styleId="TOCHead">
    <w:name w:val="TOC Head"/>
    <w:basedOn w:val="Normal"/>
    <w:uiPriority w:val="1"/>
    <w:qFormat/>
    <w:rsid w:val="001C6A78"/>
    <w:pPr>
      <w:keepNext/>
      <w:tabs>
        <w:tab w:val="left" w:pos="8868"/>
      </w:tabs>
      <w:spacing w:before="120" w:after="240"/>
      <w:jc w:val="center"/>
    </w:pPr>
    <w:rPr>
      <w:rFonts w:eastAsiaTheme="minorHAnsi" w:cstheme="minorBidi"/>
      <w:b/>
      <w:spacing w:val="-1"/>
      <w:szCs w:val="22"/>
    </w:rPr>
  </w:style>
  <w:style w:type="paragraph" w:customStyle="1" w:styleId="TOC0">
    <w:name w:val="TOC 0"/>
    <w:basedOn w:val="Normal"/>
    <w:uiPriority w:val="1"/>
    <w:qFormat/>
    <w:rsid w:val="0084780F"/>
    <w:pPr>
      <w:keepNext/>
      <w:spacing w:before="240" w:after="240"/>
      <w:jc w:val="center"/>
      <w:outlineLvl w:val="0"/>
    </w:pPr>
    <w:rPr>
      <w:rFonts w:ascii="Times New Roman Bold" w:hAnsi="Times New Roman Bold" w:cstheme="minorBidi"/>
      <w:b/>
      <w:bCs/>
      <w:caps/>
      <w:spacing w:val="-1"/>
    </w:rPr>
  </w:style>
  <w:style w:type="character" w:styleId="UnresolvedMention">
    <w:name w:val="Unresolved Mention"/>
    <w:basedOn w:val="DefaultParagraphFont"/>
    <w:uiPriority w:val="99"/>
    <w:semiHidden/>
    <w:unhideWhenUsed/>
    <w:rsid w:val="002D2EFE"/>
    <w:rPr>
      <w:color w:val="605E5C"/>
      <w:shd w:val="clear" w:color="auto" w:fill="E1DFDD"/>
    </w:rPr>
  </w:style>
  <w:style w:type="paragraph" w:styleId="FootnoteText">
    <w:name w:val="footnote text"/>
    <w:basedOn w:val="Normal"/>
    <w:link w:val="FootnoteTextChar"/>
    <w:uiPriority w:val="99"/>
    <w:semiHidden/>
    <w:unhideWhenUsed/>
    <w:rsid w:val="00F865BA"/>
    <w:rPr>
      <w:sz w:val="20"/>
      <w:szCs w:val="20"/>
    </w:rPr>
  </w:style>
  <w:style w:type="character" w:customStyle="1" w:styleId="FootnoteTextChar">
    <w:name w:val="Footnote Text Char"/>
    <w:basedOn w:val="DefaultParagraphFont"/>
    <w:link w:val="FootnoteText"/>
    <w:uiPriority w:val="99"/>
    <w:semiHidden/>
    <w:rsid w:val="00F865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86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1535">
      <w:bodyDiv w:val="1"/>
      <w:marLeft w:val="0"/>
      <w:marRight w:val="0"/>
      <w:marTop w:val="0"/>
      <w:marBottom w:val="0"/>
      <w:divBdr>
        <w:top w:val="none" w:sz="0" w:space="0" w:color="auto"/>
        <w:left w:val="none" w:sz="0" w:space="0" w:color="auto"/>
        <w:bottom w:val="none" w:sz="0" w:space="0" w:color="auto"/>
        <w:right w:val="none" w:sz="0" w:space="0" w:color="auto"/>
      </w:divBdr>
    </w:div>
    <w:div w:id="395782816">
      <w:bodyDiv w:val="1"/>
      <w:marLeft w:val="0"/>
      <w:marRight w:val="0"/>
      <w:marTop w:val="0"/>
      <w:marBottom w:val="0"/>
      <w:divBdr>
        <w:top w:val="none" w:sz="0" w:space="0" w:color="auto"/>
        <w:left w:val="none" w:sz="0" w:space="0" w:color="auto"/>
        <w:bottom w:val="none" w:sz="0" w:space="0" w:color="auto"/>
        <w:right w:val="none" w:sz="0" w:space="0" w:color="auto"/>
      </w:divBdr>
    </w:div>
    <w:div w:id="503865247">
      <w:bodyDiv w:val="1"/>
      <w:marLeft w:val="0"/>
      <w:marRight w:val="0"/>
      <w:marTop w:val="0"/>
      <w:marBottom w:val="0"/>
      <w:divBdr>
        <w:top w:val="none" w:sz="0" w:space="0" w:color="auto"/>
        <w:left w:val="none" w:sz="0" w:space="0" w:color="auto"/>
        <w:bottom w:val="none" w:sz="0" w:space="0" w:color="auto"/>
        <w:right w:val="none" w:sz="0" w:space="0" w:color="auto"/>
      </w:divBdr>
    </w:div>
    <w:div w:id="516505508">
      <w:bodyDiv w:val="1"/>
      <w:marLeft w:val="0"/>
      <w:marRight w:val="0"/>
      <w:marTop w:val="0"/>
      <w:marBottom w:val="0"/>
      <w:divBdr>
        <w:top w:val="none" w:sz="0" w:space="0" w:color="auto"/>
        <w:left w:val="none" w:sz="0" w:space="0" w:color="auto"/>
        <w:bottom w:val="none" w:sz="0" w:space="0" w:color="auto"/>
        <w:right w:val="none" w:sz="0" w:space="0" w:color="auto"/>
      </w:divBdr>
    </w:div>
    <w:div w:id="882137255">
      <w:bodyDiv w:val="1"/>
      <w:marLeft w:val="0"/>
      <w:marRight w:val="0"/>
      <w:marTop w:val="0"/>
      <w:marBottom w:val="0"/>
      <w:divBdr>
        <w:top w:val="none" w:sz="0" w:space="0" w:color="auto"/>
        <w:left w:val="none" w:sz="0" w:space="0" w:color="auto"/>
        <w:bottom w:val="none" w:sz="0" w:space="0" w:color="auto"/>
        <w:right w:val="none" w:sz="0" w:space="0" w:color="auto"/>
      </w:divBdr>
    </w:div>
    <w:div w:id="1453744149">
      <w:bodyDiv w:val="1"/>
      <w:marLeft w:val="0"/>
      <w:marRight w:val="0"/>
      <w:marTop w:val="0"/>
      <w:marBottom w:val="0"/>
      <w:divBdr>
        <w:top w:val="none" w:sz="0" w:space="0" w:color="auto"/>
        <w:left w:val="none" w:sz="0" w:space="0" w:color="auto"/>
        <w:bottom w:val="none" w:sz="0" w:space="0" w:color="auto"/>
        <w:right w:val="none" w:sz="0" w:space="0" w:color="auto"/>
      </w:divBdr>
    </w:div>
    <w:div w:id="1573157937">
      <w:bodyDiv w:val="1"/>
      <w:marLeft w:val="0"/>
      <w:marRight w:val="0"/>
      <w:marTop w:val="0"/>
      <w:marBottom w:val="0"/>
      <w:divBdr>
        <w:top w:val="none" w:sz="0" w:space="0" w:color="auto"/>
        <w:left w:val="none" w:sz="0" w:space="0" w:color="auto"/>
        <w:bottom w:val="none" w:sz="0" w:space="0" w:color="auto"/>
        <w:right w:val="none" w:sz="0" w:space="0" w:color="auto"/>
      </w:divBdr>
    </w:div>
    <w:div w:id="19668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por.org/AAPOR_Main/media/publications/Standard-Definitions20169theditionfin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DCBD9A92FEA44B1DFDBD7C78B9253" ma:contentTypeVersion="4" ma:contentTypeDescription="Create a new document." ma:contentTypeScope="" ma:versionID="7676224d823ef7a0dfc366f3a982ee77">
  <xsd:schema xmlns:xsd="http://www.w3.org/2001/XMLSchema" xmlns:xs="http://www.w3.org/2001/XMLSchema" xmlns:p="http://schemas.microsoft.com/office/2006/metadata/properties" xmlns:ns2="4f58ff1e-10c5-40fe-b447-7d71b160410a" targetNamespace="http://schemas.microsoft.com/office/2006/metadata/properties" ma:root="true" ma:fieldsID="f48ed5d5b7b8b9b72725fae53b8eea81" ns2:_="">
    <xsd:import namespace="4f58ff1e-10c5-40fe-b447-7d71b1604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ff1e-10c5-40fe-b447-7d71b1604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F20CC-077C-4243-A5F0-41BEDD59B789}">
  <ds:schemaRefs>
    <ds:schemaRef ds:uri="http://schemas.openxmlformats.org/officeDocument/2006/bibliography"/>
  </ds:schemaRefs>
</ds:datastoreItem>
</file>

<file path=customXml/itemProps2.xml><?xml version="1.0" encoding="utf-8"?>
<ds:datastoreItem xmlns:ds="http://schemas.openxmlformats.org/officeDocument/2006/customXml" ds:itemID="{BE057B20-3E27-4593-8903-20EAFC127058}">
  <ds:schemaRefs>
    <ds:schemaRef ds:uri="http://schemas.microsoft.com/sharepoint/v3/contenttype/forms"/>
  </ds:schemaRefs>
</ds:datastoreItem>
</file>

<file path=customXml/itemProps3.xml><?xml version="1.0" encoding="utf-8"?>
<ds:datastoreItem xmlns:ds="http://schemas.openxmlformats.org/officeDocument/2006/customXml" ds:itemID="{CE540683-6C32-498A-A7FC-D12FC07554D9}">
  <ds:schemaRefs>
    <ds:schemaRef ds:uri="http://purl.org/dc/elements/1.1/"/>
    <ds:schemaRef ds:uri="http://schemas.microsoft.com/office/2006/metadata/properties"/>
    <ds:schemaRef ds:uri="http://purl.org/dc/terms/"/>
    <ds:schemaRef ds:uri="4f58ff1e-10c5-40fe-b447-7d71b160410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97E3B6-A434-4244-97A0-33026910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ff1e-10c5-40fe-b447-7d71b1604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12</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Michael</dc:creator>
  <cp:keywords/>
  <dc:description/>
  <cp:lastModifiedBy>Gibbons, Michael</cp:lastModifiedBy>
  <cp:revision>90</cp:revision>
  <dcterms:created xsi:type="dcterms:W3CDTF">2019-05-23T16:31:00Z</dcterms:created>
  <dcterms:modified xsi:type="dcterms:W3CDTF">2020-12-01T22:41:00Z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0x0101003B4DCBD9A92FEA44B1DFDBD7C78B9253</vt:lpwstr>
  </property>
</Properties>
</file>