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6C65" w:rsidP="00BF6C65" w:rsidRDefault="00BF6C65" w14:paraId="06669A9B" w14:textId="5480323C">
      <w:pPr>
        <w:pStyle w:val="BlockText"/>
        <w:spacing w:after="0" w:line="240" w:lineRule="auto"/>
        <w:ind w:right="-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Waivers </w:t>
      </w:r>
      <w:r w:rsidR="0064036C">
        <w:rPr>
          <w:rFonts w:ascii="Times New Roman" w:hAnsi="Times New Roman"/>
          <w:sz w:val="24"/>
          <w:szCs w:val="24"/>
        </w:rPr>
        <w:t xml:space="preserve">Adopted </w:t>
      </w:r>
      <w:r w:rsidR="00B35962">
        <w:rPr>
          <w:rFonts w:ascii="Times New Roman" w:hAnsi="Times New Roman"/>
          <w:sz w:val="24"/>
          <w:szCs w:val="24"/>
        </w:rPr>
        <w:t xml:space="preserve">by Public Housing Agencies (PHAs) </w:t>
      </w:r>
      <w:r>
        <w:rPr>
          <w:rFonts w:ascii="Times New Roman" w:hAnsi="Times New Roman"/>
          <w:sz w:val="24"/>
          <w:szCs w:val="24"/>
        </w:rPr>
        <w:t>in Response to Coronavirus Pandemic</w:t>
      </w:r>
    </w:p>
    <w:p w:rsidR="00BF6C65" w:rsidP="004D21D8" w:rsidRDefault="00BF6C65" w14:paraId="79536BEE" w14:textId="77777777">
      <w:pPr>
        <w:pStyle w:val="BlockText"/>
        <w:spacing w:after="0" w:line="240" w:lineRule="auto"/>
        <w:ind w:right="-72"/>
        <w:jc w:val="left"/>
        <w:rPr>
          <w:rFonts w:ascii="Times New Roman" w:hAnsi="Times New Roman"/>
          <w:sz w:val="24"/>
          <w:szCs w:val="24"/>
        </w:rPr>
      </w:pPr>
    </w:p>
    <w:p w:rsidR="004D21D8" w:rsidP="004D21D8" w:rsidRDefault="004D21D8" w14:paraId="5FABF4BF" w14:textId="691BC949">
      <w:pPr>
        <w:pStyle w:val="BlockText"/>
        <w:spacing w:after="0" w:line="240" w:lineRule="auto"/>
        <w:ind w:right="-72"/>
        <w:jc w:val="left"/>
        <w:rPr>
          <w:rFonts w:ascii="Times New Roman" w:hAnsi="Times New Roman"/>
          <w:sz w:val="24"/>
          <w:szCs w:val="24"/>
        </w:rPr>
      </w:pPr>
      <w:r w:rsidRPr="004D21D8">
        <w:rPr>
          <w:rFonts w:ascii="Times New Roman" w:hAnsi="Times New Roman"/>
          <w:sz w:val="24"/>
          <w:szCs w:val="24"/>
        </w:rPr>
        <w:t xml:space="preserve">Use this checklist to identify waivers </w:t>
      </w:r>
      <w:r w:rsidR="0064036C">
        <w:rPr>
          <w:rFonts w:ascii="Times New Roman" w:hAnsi="Times New Roman"/>
          <w:sz w:val="24"/>
          <w:szCs w:val="24"/>
        </w:rPr>
        <w:t>adopted</w:t>
      </w:r>
      <w:r w:rsidRPr="004D21D8" w:rsidR="0064036C">
        <w:rPr>
          <w:rFonts w:ascii="Times New Roman" w:hAnsi="Times New Roman"/>
          <w:sz w:val="24"/>
          <w:szCs w:val="24"/>
        </w:rPr>
        <w:t xml:space="preserve"> </w:t>
      </w:r>
      <w:r w:rsidRPr="004D21D8">
        <w:rPr>
          <w:rFonts w:ascii="Times New Roman" w:hAnsi="Times New Roman"/>
          <w:sz w:val="24"/>
          <w:szCs w:val="24"/>
        </w:rPr>
        <w:t xml:space="preserve">pursuant to </w:t>
      </w:r>
      <w:r w:rsidRPr="004D21D8">
        <w:rPr>
          <w:rFonts w:ascii="Times New Roman" w:hAnsi="Times New Roman"/>
          <w:b/>
          <w:bCs/>
          <w:sz w:val="24"/>
          <w:szCs w:val="24"/>
        </w:rPr>
        <w:t>PIH Notice 2020-</w:t>
      </w:r>
      <w:r w:rsidR="00473014">
        <w:rPr>
          <w:rFonts w:ascii="Times New Roman" w:hAnsi="Times New Roman"/>
          <w:b/>
          <w:bCs/>
          <w:sz w:val="24"/>
          <w:szCs w:val="24"/>
        </w:rPr>
        <w:t>13</w:t>
      </w:r>
      <w:r w:rsidRPr="004D21D8">
        <w:rPr>
          <w:rFonts w:ascii="Times New Roman" w:hAnsi="Times New Roman"/>
          <w:b/>
          <w:bCs/>
          <w:sz w:val="24"/>
          <w:szCs w:val="24"/>
        </w:rPr>
        <w:t xml:space="preserve">, published </w:t>
      </w:r>
      <w:r w:rsidR="00473014">
        <w:rPr>
          <w:rFonts w:ascii="Times New Roman" w:hAnsi="Times New Roman"/>
          <w:b/>
          <w:bCs/>
          <w:sz w:val="24"/>
          <w:szCs w:val="24"/>
        </w:rPr>
        <w:t>July 2</w:t>
      </w:r>
      <w:r w:rsidRPr="004D21D8">
        <w:rPr>
          <w:rFonts w:ascii="Times New Roman" w:hAnsi="Times New Roman"/>
          <w:b/>
          <w:bCs/>
          <w:sz w:val="24"/>
          <w:szCs w:val="24"/>
        </w:rPr>
        <w:t>, 2020</w:t>
      </w:r>
      <w:r w:rsidRPr="004D21D8">
        <w:rPr>
          <w:rFonts w:ascii="Times New Roman" w:hAnsi="Times New Roman"/>
          <w:sz w:val="24"/>
          <w:szCs w:val="24"/>
        </w:rPr>
        <w:t xml:space="preserve">, and the date the waiver was first </w:t>
      </w:r>
      <w:r w:rsidR="0064036C">
        <w:rPr>
          <w:rFonts w:ascii="Times New Roman" w:hAnsi="Times New Roman"/>
          <w:sz w:val="24"/>
          <w:szCs w:val="24"/>
        </w:rPr>
        <w:t>adopted</w:t>
      </w:r>
      <w:r w:rsidRPr="004D21D8">
        <w:rPr>
          <w:rFonts w:ascii="Times New Roman" w:hAnsi="Times New Roman"/>
          <w:sz w:val="24"/>
          <w:szCs w:val="24"/>
        </w:rPr>
        <w:t xml:space="preserve">. </w:t>
      </w:r>
      <w:r w:rsidR="003172B9">
        <w:rPr>
          <w:rFonts w:ascii="Times New Roman" w:hAnsi="Times New Roman"/>
          <w:sz w:val="24"/>
          <w:szCs w:val="24"/>
        </w:rPr>
        <w:t>Refer to PIH Notice 2020-</w:t>
      </w:r>
      <w:r w:rsidR="00473014">
        <w:rPr>
          <w:rFonts w:ascii="Times New Roman" w:hAnsi="Times New Roman"/>
          <w:sz w:val="24"/>
          <w:szCs w:val="24"/>
        </w:rPr>
        <w:t xml:space="preserve">13 </w:t>
      </w:r>
      <w:r w:rsidR="003172B9">
        <w:rPr>
          <w:rFonts w:ascii="Times New Roman" w:hAnsi="Times New Roman"/>
          <w:sz w:val="24"/>
          <w:szCs w:val="24"/>
        </w:rPr>
        <w:t xml:space="preserve">for a description of the waivers listed in the chart below as well as their period of availability.  </w:t>
      </w:r>
      <w:r w:rsidRPr="004D21D8">
        <w:rPr>
          <w:rFonts w:ascii="Times New Roman" w:hAnsi="Times New Roman"/>
          <w:sz w:val="24"/>
          <w:szCs w:val="24"/>
        </w:rPr>
        <w:t>For assistance, contact your local Public Housing Field Office.</w:t>
      </w:r>
    </w:p>
    <w:p w:rsidR="004D21D8" w:rsidP="004D21D8" w:rsidRDefault="004D21D8" w14:paraId="43565149" w14:textId="77777777">
      <w:pPr>
        <w:pStyle w:val="BlockText"/>
        <w:spacing w:after="0" w:line="240" w:lineRule="auto"/>
        <w:ind w:right="-72"/>
        <w:jc w:val="left"/>
        <w:rPr>
          <w:rFonts w:ascii="Times New Roman" w:hAnsi="Times New Roman"/>
          <w:sz w:val="24"/>
          <w:szCs w:val="24"/>
        </w:rPr>
      </w:pPr>
    </w:p>
    <w:p w:rsidRPr="004D21D8" w:rsidR="00DF522E" w:rsidP="004D21D8" w:rsidRDefault="00DF522E" w14:paraId="138BB8A4" w14:textId="3952730A">
      <w:pPr>
        <w:pStyle w:val="BlockText"/>
        <w:spacing w:after="0" w:line="240" w:lineRule="auto"/>
        <w:ind w:right="-72"/>
        <w:jc w:val="left"/>
        <w:rPr>
          <w:rFonts w:ascii="Times New Roman" w:hAnsi="Times New Roman"/>
          <w:sz w:val="24"/>
          <w:szCs w:val="24"/>
        </w:rPr>
      </w:pPr>
      <w:r w:rsidRPr="004D21D8">
        <w:rPr>
          <w:rFonts w:ascii="Times New Roman" w:hAnsi="Times New Roman"/>
          <w:spacing w:val="-2"/>
          <w:sz w:val="24"/>
          <w:szCs w:val="24"/>
        </w:rPr>
        <w:t xml:space="preserve">Public reporting burden for this collection of information is estimated to average </w:t>
      </w:r>
      <w:r w:rsidR="004D21D8">
        <w:rPr>
          <w:rFonts w:ascii="Times New Roman" w:hAnsi="Times New Roman"/>
          <w:spacing w:val="-2"/>
          <w:sz w:val="24"/>
          <w:szCs w:val="24"/>
        </w:rPr>
        <w:t xml:space="preserve">one hour </w:t>
      </w:r>
      <w:r w:rsidRPr="004D21D8">
        <w:rPr>
          <w:rFonts w:ascii="Times New Roman" w:hAnsi="Times New Roman"/>
          <w:spacing w:val="-2"/>
          <w:sz w:val="24"/>
          <w:szCs w:val="24"/>
        </w:rPr>
        <w:t>per response, including the time for reviewing instructions,</w:t>
      </w:r>
      <w:r w:rsidR="004D21D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D21D8">
        <w:rPr>
          <w:rFonts w:ascii="Times New Roman" w:hAnsi="Times New Roman"/>
          <w:spacing w:val="-2"/>
          <w:sz w:val="24"/>
          <w:szCs w:val="24"/>
        </w:rPr>
        <w:t>searching existing data sources, gathering and maintaining the data needed, and completing and reviewing the collection of information. This agency may not conduct or sponsor, and a person is not required to respond to, a collection of information unless that collection displays a valid OMB control number</w:t>
      </w:r>
      <w:r w:rsidRPr="004D21D8">
        <w:rPr>
          <w:rFonts w:ascii="Times New Roman" w:hAnsi="Times New Roman"/>
          <w:sz w:val="24"/>
          <w:szCs w:val="24"/>
        </w:rPr>
        <w:t xml:space="preserve">.  </w:t>
      </w:r>
      <w:r w:rsidR="00003C0C">
        <w:rPr>
          <w:rFonts w:ascii="Times New Roman" w:hAnsi="Times New Roman"/>
          <w:sz w:val="24"/>
          <w:szCs w:val="24"/>
        </w:rPr>
        <w:t xml:space="preserve">The content of this form is pursuant to </w:t>
      </w:r>
      <w:r w:rsidRPr="004D21D8">
        <w:rPr>
          <w:rFonts w:ascii="Times New Roman" w:hAnsi="Times New Roman"/>
          <w:sz w:val="24"/>
          <w:szCs w:val="24"/>
        </w:rPr>
        <w:t xml:space="preserve">HUD’s </w:t>
      </w:r>
      <w:r w:rsidR="00003C0C">
        <w:rPr>
          <w:rFonts w:ascii="Times New Roman" w:hAnsi="Times New Roman"/>
          <w:sz w:val="24"/>
          <w:szCs w:val="24"/>
        </w:rPr>
        <w:t xml:space="preserve">authority to grant certain </w:t>
      </w:r>
      <w:r w:rsidRPr="004D21D8">
        <w:rPr>
          <w:rFonts w:ascii="Times New Roman" w:hAnsi="Times New Roman"/>
          <w:sz w:val="24"/>
          <w:szCs w:val="24"/>
        </w:rPr>
        <w:t xml:space="preserve">statutory and regulatory waivers and </w:t>
      </w:r>
      <w:r w:rsidR="00003C0C">
        <w:rPr>
          <w:rFonts w:ascii="Times New Roman" w:hAnsi="Times New Roman"/>
          <w:sz w:val="24"/>
          <w:szCs w:val="24"/>
        </w:rPr>
        <w:t xml:space="preserve">establish </w:t>
      </w:r>
      <w:r w:rsidRPr="004D21D8">
        <w:rPr>
          <w:rFonts w:ascii="Times New Roman" w:hAnsi="Times New Roman"/>
          <w:sz w:val="24"/>
          <w:szCs w:val="24"/>
        </w:rPr>
        <w:t xml:space="preserve">alternative requirements for Public Housing Agencies (PHAs) pursuant to the CARES Act (Public Law 116-136). </w:t>
      </w:r>
      <w:r w:rsidR="00754B7D">
        <w:rPr>
          <w:rFonts w:ascii="Times New Roman" w:hAnsi="Times New Roman"/>
          <w:sz w:val="24"/>
          <w:szCs w:val="24"/>
        </w:rPr>
        <w:t xml:space="preserve">PHAs benefit from using these waivers to relieve administrative and regulatory burdens during the coronavirus pandemic. </w:t>
      </w:r>
      <w:r w:rsidRPr="004D21D8">
        <w:rPr>
          <w:rFonts w:ascii="Times New Roman" w:hAnsi="Times New Roman"/>
          <w:sz w:val="24"/>
          <w:szCs w:val="24"/>
        </w:rPr>
        <w:t>HUD use</w:t>
      </w:r>
      <w:r w:rsidR="00754B7D">
        <w:rPr>
          <w:rFonts w:ascii="Times New Roman" w:hAnsi="Times New Roman"/>
          <w:sz w:val="24"/>
          <w:szCs w:val="24"/>
        </w:rPr>
        <w:t>s</w:t>
      </w:r>
      <w:r w:rsidRPr="004D21D8">
        <w:rPr>
          <w:rFonts w:ascii="Times New Roman" w:hAnsi="Times New Roman"/>
          <w:sz w:val="24"/>
          <w:szCs w:val="24"/>
        </w:rPr>
        <w:t xml:space="preserve"> the information to inform responses to future emergencies. </w:t>
      </w:r>
    </w:p>
    <w:p w:rsidRPr="004D21D8" w:rsidR="003028B4" w:rsidRDefault="003028B4" w14:paraId="34ADC860" w14:textId="06C1B76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7157"/>
        <w:gridCol w:w="1123"/>
      </w:tblGrid>
      <w:tr w:rsidRPr="00BF6C65" w:rsidR="003028B4" w:rsidTr="00E37049" w14:paraId="7C08EC91" w14:textId="77777777">
        <w:tc>
          <w:tcPr>
            <w:tcW w:w="1070" w:type="dxa"/>
          </w:tcPr>
          <w:p w:rsidRPr="00BF6C65" w:rsidR="003028B4" w:rsidP="00987A3A" w:rsidRDefault="00695ACB" w14:paraId="086128AE" w14:textId="3F03B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65">
              <w:rPr>
                <w:rFonts w:ascii="Times New Roman" w:hAnsi="Times New Roman" w:cs="Times New Roman"/>
                <w:sz w:val="24"/>
                <w:szCs w:val="24"/>
              </w:rPr>
              <w:t>PHA Number:</w:t>
            </w:r>
          </w:p>
        </w:tc>
        <w:tc>
          <w:tcPr>
            <w:tcW w:w="8280" w:type="dxa"/>
            <w:gridSpan w:val="2"/>
          </w:tcPr>
          <w:p w:rsidRPr="00BF6C65" w:rsidR="003028B4" w:rsidP="00987A3A" w:rsidRDefault="003028B4" w14:paraId="62F56AA3" w14:textId="55629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65">
              <w:rPr>
                <w:rFonts w:ascii="Times New Roman" w:hAnsi="Times New Roman" w:cs="Times New Roman"/>
                <w:sz w:val="24"/>
                <w:szCs w:val="24"/>
              </w:rPr>
              <w:t xml:space="preserve">PHA </w:t>
            </w:r>
            <w:r w:rsidR="00695ACB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</w:tr>
      <w:tr w:rsidRPr="00BF6C65" w:rsidR="003028B4" w:rsidTr="00E37049" w14:paraId="64CE7B26" w14:textId="77777777">
        <w:trPr>
          <w:trHeight w:val="944"/>
        </w:trPr>
        <w:tc>
          <w:tcPr>
            <w:tcW w:w="1070" w:type="dxa"/>
          </w:tcPr>
          <w:p w:rsidRPr="00BF6C65" w:rsidR="003028B4" w:rsidP="00987A3A" w:rsidRDefault="003028B4" w14:paraId="1D8F12A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2"/>
          </w:tcPr>
          <w:p w:rsidRPr="00BF6C65" w:rsidR="00754B7D" w:rsidP="00754B7D" w:rsidRDefault="00754B7D" w14:paraId="14CBAD92" w14:textId="70D3A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BF6C65" w:rsidR="00E750BD" w:rsidTr="00E37049" w14:paraId="4023EE73" w14:textId="77777777">
        <w:tc>
          <w:tcPr>
            <w:tcW w:w="1070" w:type="dxa"/>
          </w:tcPr>
          <w:p w:rsidRPr="00BF6C65" w:rsidR="00E750BD" w:rsidP="00987A3A" w:rsidRDefault="00E750BD" w14:paraId="7B6E9492" w14:textId="3A300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Hlk37741875" w:id="0"/>
            <w:r w:rsidRPr="00BF6C65">
              <w:rPr>
                <w:rFonts w:ascii="Times New Roman" w:hAnsi="Times New Roman" w:cs="Times New Roman"/>
                <w:sz w:val="24"/>
                <w:szCs w:val="24"/>
              </w:rPr>
              <w:t>Check:</w:t>
            </w:r>
          </w:p>
        </w:tc>
        <w:tc>
          <w:tcPr>
            <w:tcW w:w="7157" w:type="dxa"/>
          </w:tcPr>
          <w:p w:rsidRPr="00BF6C65" w:rsidR="00E750BD" w:rsidP="00987A3A" w:rsidRDefault="00C970F2" w14:paraId="1B66A27B" w14:textId="1D49F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65">
              <w:rPr>
                <w:rFonts w:ascii="Times New Roman" w:hAnsi="Times New Roman" w:cs="Times New Roman"/>
                <w:sz w:val="24"/>
                <w:szCs w:val="24"/>
              </w:rPr>
              <w:t xml:space="preserve">Statutory or </w:t>
            </w:r>
            <w:r w:rsidRPr="00BF6C65" w:rsidR="00E750BD">
              <w:rPr>
                <w:rFonts w:ascii="Times New Roman" w:hAnsi="Times New Roman" w:cs="Times New Roman"/>
                <w:sz w:val="24"/>
                <w:szCs w:val="24"/>
              </w:rPr>
              <w:t>Regulatory Citation</w:t>
            </w:r>
          </w:p>
        </w:tc>
        <w:tc>
          <w:tcPr>
            <w:tcW w:w="1123" w:type="dxa"/>
          </w:tcPr>
          <w:p w:rsidRPr="00BF6C65" w:rsidR="00E750BD" w:rsidP="00987A3A" w:rsidRDefault="00C62206" w14:paraId="4B741A5B" w14:textId="7B182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65">
              <w:rPr>
                <w:rFonts w:ascii="Times New Roman" w:hAnsi="Times New Roman" w:cs="Times New Roman"/>
                <w:sz w:val="24"/>
                <w:szCs w:val="24"/>
              </w:rPr>
              <w:t>Adoption Date</w:t>
            </w:r>
          </w:p>
        </w:tc>
      </w:tr>
      <w:tr w:rsidR="00E750BD" w:rsidTr="00E37049" w14:paraId="35FF767F" w14:textId="77777777">
        <w:tc>
          <w:tcPr>
            <w:tcW w:w="1070" w:type="dxa"/>
          </w:tcPr>
          <w:p w:rsidR="00E750BD" w:rsidP="002B1A5B" w:rsidRDefault="00E750BD" w14:paraId="3D7F8001" w14:textId="77777777"/>
        </w:tc>
        <w:tc>
          <w:tcPr>
            <w:tcW w:w="7157" w:type="dxa"/>
          </w:tcPr>
          <w:p w:rsidRPr="00B94422" w:rsidR="00E750BD" w:rsidP="00B94422" w:rsidRDefault="00E750BD" w14:paraId="454CB4E0" w14:textId="763AD42A">
            <w:pPr>
              <w:spacing w:line="279" w:lineRule="exact"/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</w:pPr>
            <w:r w:rsidRPr="00BF6DB2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PH and HCV-1: PHA 5-Year and Annual Plan Submission Dates, </w:t>
            </w:r>
            <w:r w:rsidRPr="00BF6DB2" w:rsidR="00D118E1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Significant Amendment</w:t>
            </w:r>
            <w:r w:rsidRPr="00BF6DB2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 Requirements</w:t>
            </w:r>
            <w:r w:rsidR="00D118E1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. </w:t>
            </w:r>
            <w:r w:rsidRPr="00BF6DB2">
              <w:rPr>
                <w:rFonts w:ascii="Times New Roman" w:hAnsi="Times New Roman" w:eastAsia="Times New Roman" w:cs="Times New Roman"/>
                <w:color w:val="000000"/>
                <w:sz w:val="24"/>
              </w:rPr>
              <w:t>Statutory Authority: Section 5A(a)(1), Section 5A(b)(1), Section 5A(g), and Section 5A(h)(2) of the United States Housing Act of 1937 (hereafter “the USHA of 1937”) Regulatory Authority: 24 CFR §§ 903.5(a)(3); 903.5(b)(3), 903.21</w:t>
            </w:r>
            <w:r w:rsidR="00BB6E8C"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 </w:t>
            </w:r>
            <w:r w:rsidR="00BB6E8C">
              <w:t>24 CFR §§ 903.13(c); and 903.23</w:t>
            </w:r>
          </w:p>
        </w:tc>
        <w:tc>
          <w:tcPr>
            <w:tcW w:w="1123" w:type="dxa"/>
          </w:tcPr>
          <w:p w:rsidR="00E750BD" w:rsidP="002B1A5B" w:rsidRDefault="00E750BD" w14:paraId="2AC3D642" w14:textId="77777777"/>
        </w:tc>
      </w:tr>
      <w:tr w:rsidR="00E750BD" w:rsidTr="00E37049" w14:paraId="1E808323" w14:textId="77777777">
        <w:tc>
          <w:tcPr>
            <w:tcW w:w="1070" w:type="dxa"/>
          </w:tcPr>
          <w:p w:rsidR="00E750BD" w:rsidP="002B1A5B" w:rsidRDefault="00E750BD" w14:paraId="2471BBC8" w14:textId="77777777"/>
        </w:tc>
        <w:tc>
          <w:tcPr>
            <w:tcW w:w="7157" w:type="dxa"/>
          </w:tcPr>
          <w:p w:rsidRPr="00D118E1" w:rsidR="00E750BD" w:rsidP="00D118E1" w:rsidRDefault="00E750BD" w14:paraId="6BFEB049" w14:textId="1FA5360B">
            <w:pPr>
              <w:spacing w:line="274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1000C2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PH and HCV-2: Family Income and Composition: Delayed Annual Examinations</w:t>
            </w:r>
            <w:r w:rsidR="00D118E1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. </w:t>
            </w:r>
            <w:r w:rsidRPr="001000C2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Statutory Authority: Section 3(a)(1) of the USHA of 1937</w:t>
            </w:r>
            <w:r w:rsidR="00D118E1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, </w:t>
            </w:r>
            <w:r w:rsidRPr="001000C2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Regulatory Authority: 24 CFR § 982.516(a)(1) </w:t>
            </w:r>
            <w:r w:rsidR="00D118E1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–</w:t>
            </w:r>
            <w:r w:rsidRPr="001000C2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 HCV</w:t>
            </w:r>
            <w:r w:rsidR="00D118E1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, </w:t>
            </w:r>
            <w:r w:rsidRPr="001000C2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Regulatory Authority: 24 CFR § 960.257(a) - Public Housing</w:t>
            </w:r>
          </w:p>
        </w:tc>
        <w:tc>
          <w:tcPr>
            <w:tcW w:w="1123" w:type="dxa"/>
          </w:tcPr>
          <w:p w:rsidR="00E750BD" w:rsidP="002B1A5B" w:rsidRDefault="00E750BD" w14:paraId="24BDC021" w14:textId="77777777"/>
        </w:tc>
      </w:tr>
      <w:tr w:rsidR="00E750BD" w:rsidTr="00E37049" w14:paraId="10CEC720" w14:textId="77777777">
        <w:tc>
          <w:tcPr>
            <w:tcW w:w="1070" w:type="dxa"/>
          </w:tcPr>
          <w:p w:rsidR="00E750BD" w:rsidP="002B1A5B" w:rsidRDefault="00E750BD" w14:paraId="4333A4B0" w14:textId="77777777"/>
        </w:tc>
        <w:tc>
          <w:tcPr>
            <w:tcW w:w="7157" w:type="dxa"/>
          </w:tcPr>
          <w:p w:rsidRPr="00F75168" w:rsidR="00E750BD" w:rsidP="00F75168" w:rsidRDefault="00E750BD" w14:paraId="0D153F39" w14:textId="0D3E4CE5">
            <w:pPr>
              <w:spacing w:line="298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EA2A5A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PH and HCV-3: Family Income and Composition: Annual Examination - Income Verification requirements</w:t>
            </w:r>
            <w:r w:rsidR="00F75168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.</w:t>
            </w:r>
            <w:r w:rsidRPr="00EA2A5A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 Regulatory Authority: 24 CFR § 5.233(a)(2</w:t>
            </w:r>
            <w:proofErr w:type="gramStart"/>
            <w:r w:rsidRPr="00EA2A5A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)</w:t>
            </w:r>
            <w:r w:rsidRPr="00774702" w:rsidR="00BB6E8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 )</w:t>
            </w:r>
            <w:proofErr w:type="gramEnd"/>
            <w:r w:rsidR="00BB6E8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; </w:t>
            </w:r>
            <w:r w:rsidR="00BB6E8C">
              <w:t>24 CFR §§ 960.259(c) and 982.516(a).</w:t>
            </w:r>
            <w:r w:rsidRPr="00EA2A5A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 Sub-regulatory Guidance: PIH Notice 2018-18</w:t>
            </w:r>
            <w:r w:rsidR="00BB6E8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; </w:t>
            </w:r>
          </w:p>
        </w:tc>
        <w:tc>
          <w:tcPr>
            <w:tcW w:w="1123" w:type="dxa"/>
          </w:tcPr>
          <w:p w:rsidR="00E750BD" w:rsidP="002B1A5B" w:rsidRDefault="00E750BD" w14:paraId="03272BFA" w14:textId="77777777"/>
        </w:tc>
      </w:tr>
      <w:tr w:rsidR="00E750BD" w:rsidTr="00E37049" w14:paraId="2736BA54" w14:textId="77777777">
        <w:tc>
          <w:tcPr>
            <w:tcW w:w="1070" w:type="dxa"/>
          </w:tcPr>
          <w:p w:rsidR="00E750BD" w:rsidP="002B1A5B" w:rsidRDefault="00E750BD" w14:paraId="67B9DE08" w14:textId="77777777"/>
        </w:tc>
        <w:tc>
          <w:tcPr>
            <w:tcW w:w="7157" w:type="dxa"/>
          </w:tcPr>
          <w:p w:rsidRPr="00735769" w:rsidR="00E750BD" w:rsidP="00834C27" w:rsidRDefault="00E750BD" w14:paraId="64433B03" w14:textId="77777777">
            <w:pPr>
              <w:spacing w:line="273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</w:pPr>
            <w:r w:rsidRPr="00735769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PH and HCV-4: Family Income and Composition: Interim Examinations</w:t>
            </w:r>
          </w:p>
          <w:p w:rsidRPr="00FA3EF0" w:rsidR="00FA3EF0" w:rsidP="00FA3EF0" w:rsidRDefault="00FA3EF0" w14:paraId="2C653DF4" w14:textId="77777777">
            <w:pPr>
              <w:spacing w:line="279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FA3EF0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Statutory Authority: Section 3(a)(1) of the USHA of 1937</w:t>
            </w:r>
          </w:p>
          <w:p w:rsidRPr="00FA3EF0" w:rsidR="00FA3EF0" w:rsidP="00FA3EF0" w:rsidRDefault="00FA3EF0" w14:paraId="430695F4" w14:textId="77777777">
            <w:pPr>
              <w:spacing w:line="279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FA3EF0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Regulatory Authority: 24 CFR § 5.233(a)(2) - HCV and Public Housing</w:t>
            </w:r>
          </w:p>
          <w:p w:rsidRPr="00FA3EF0" w:rsidR="00FA3EF0" w:rsidP="00FA3EF0" w:rsidRDefault="00FA3EF0" w14:paraId="6EB38316" w14:textId="77777777">
            <w:pPr>
              <w:spacing w:line="279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FA3EF0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Regulatory Authority: 24 CFR § 982.516(c)(2) - HCV</w:t>
            </w:r>
          </w:p>
          <w:p w:rsidRPr="00FA3EF0" w:rsidR="00FA3EF0" w:rsidP="00FA3EF0" w:rsidRDefault="00FA3EF0" w14:paraId="77B8CDD6" w14:textId="77777777">
            <w:pPr>
              <w:spacing w:line="279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FA3EF0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lastRenderedPageBreak/>
              <w:t>Regulatory Authority: 24 CFR §§ 960.257(a), (b), and (d); 960.959(c) - Public Housing</w:t>
            </w:r>
          </w:p>
          <w:p w:rsidRPr="00BF6C65" w:rsidR="00E750BD" w:rsidP="00BF6C65" w:rsidRDefault="00FA3EF0" w14:paraId="54EBEC80" w14:textId="63CA0329">
            <w:pPr>
              <w:spacing w:line="279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FA3EF0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Sub-regulatory Guidance: PIH Notice 2018-18</w:t>
            </w:r>
          </w:p>
        </w:tc>
        <w:tc>
          <w:tcPr>
            <w:tcW w:w="1123" w:type="dxa"/>
          </w:tcPr>
          <w:p w:rsidR="00E750BD" w:rsidP="002B1A5B" w:rsidRDefault="00E750BD" w14:paraId="79DCD079" w14:textId="77777777"/>
        </w:tc>
      </w:tr>
      <w:tr w:rsidR="00E750BD" w:rsidTr="00E37049" w14:paraId="06CA518D" w14:textId="77777777">
        <w:tc>
          <w:tcPr>
            <w:tcW w:w="1070" w:type="dxa"/>
          </w:tcPr>
          <w:p w:rsidR="00E750BD" w:rsidP="002B1A5B" w:rsidRDefault="00E750BD" w14:paraId="7996F277" w14:textId="77777777"/>
        </w:tc>
        <w:tc>
          <w:tcPr>
            <w:tcW w:w="7157" w:type="dxa"/>
          </w:tcPr>
          <w:p w:rsidRPr="000B0D52" w:rsidR="00E750BD" w:rsidP="00834C27" w:rsidRDefault="00E750BD" w14:paraId="33FA02D7" w14:textId="77777777">
            <w:pPr>
              <w:spacing w:line="273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</w:pPr>
            <w:r w:rsidRPr="000B0D52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PH and HCV-5: Enterprise Income Verification (EIV) Monitoring</w:t>
            </w:r>
          </w:p>
          <w:p w:rsidRPr="000B0D52" w:rsidR="00E750BD" w:rsidP="00834C27" w:rsidRDefault="00E750BD" w14:paraId="194BC92D" w14:textId="77777777">
            <w:pPr>
              <w:spacing w:line="276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0B0D52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Regulatory Authority: 24 CFR § 5.233</w:t>
            </w:r>
          </w:p>
          <w:p w:rsidRPr="00BF6C65" w:rsidR="00E750BD" w:rsidP="00BF6C65" w:rsidRDefault="00E750BD" w14:paraId="00B7E4A8" w14:textId="2F680937">
            <w:pPr>
              <w:spacing w:line="274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0B0D52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Sub-regulatory Guidance: PIH Notice 2018-18</w:t>
            </w:r>
          </w:p>
        </w:tc>
        <w:tc>
          <w:tcPr>
            <w:tcW w:w="1123" w:type="dxa"/>
          </w:tcPr>
          <w:p w:rsidR="00E750BD" w:rsidP="002B1A5B" w:rsidRDefault="00E750BD" w14:paraId="29CBB422" w14:textId="77777777"/>
        </w:tc>
      </w:tr>
      <w:tr w:rsidR="00E750BD" w:rsidTr="00E37049" w14:paraId="34F4AB4F" w14:textId="77777777">
        <w:tc>
          <w:tcPr>
            <w:tcW w:w="1070" w:type="dxa"/>
          </w:tcPr>
          <w:p w:rsidR="00E750BD" w:rsidP="002B1A5B" w:rsidRDefault="00E750BD" w14:paraId="1AA73AFF" w14:textId="77777777"/>
        </w:tc>
        <w:tc>
          <w:tcPr>
            <w:tcW w:w="7157" w:type="dxa"/>
          </w:tcPr>
          <w:p w:rsidRPr="00BF6C65" w:rsidR="00E750BD" w:rsidP="00BF6C65" w:rsidRDefault="00E750BD" w14:paraId="34974434" w14:textId="22CF251C">
            <w:pPr>
              <w:spacing w:line="273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012410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PH and HCV-6: Family Self-Sufficiency (FSS) Contract of Participation; </w:t>
            </w:r>
            <w:r w:rsidRPr="00012410" w:rsidR="00730E9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Contract Extension</w:t>
            </w:r>
            <w:r w:rsidR="00730E9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. </w:t>
            </w:r>
            <w:r w:rsidRPr="00012410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Regulatory Authority: 24 CFR § 984.303(d)</w:t>
            </w:r>
          </w:p>
        </w:tc>
        <w:tc>
          <w:tcPr>
            <w:tcW w:w="1123" w:type="dxa"/>
          </w:tcPr>
          <w:p w:rsidR="00E750BD" w:rsidP="002B1A5B" w:rsidRDefault="00E750BD" w14:paraId="2A2051F3" w14:textId="77777777"/>
        </w:tc>
      </w:tr>
      <w:tr w:rsidR="00E750BD" w:rsidTr="00E37049" w14:paraId="2B662477" w14:textId="77777777">
        <w:tc>
          <w:tcPr>
            <w:tcW w:w="1070" w:type="dxa"/>
          </w:tcPr>
          <w:p w:rsidR="00E750BD" w:rsidP="002B1A5B" w:rsidRDefault="00E750BD" w14:paraId="295CD798" w14:textId="77777777"/>
        </w:tc>
        <w:tc>
          <w:tcPr>
            <w:tcW w:w="7157" w:type="dxa"/>
          </w:tcPr>
          <w:p w:rsidRPr="00FE6AB1" w:rsidR="00E750BD" w:rsidP="00834C27" w:rsidRDefault="00E750BD" w14:paraId="65C29A84" w14:textId="77777777">
            <w:pPr>
              <w:spacing w:line="273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</w:pPr>
            <w:r w:rsidRPr="00FE6AB1"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  <w:t>PH and HCV-7: Waiting List: Opening and Closing; Public Notice</w:t>
            </w:r>
          </w:p>
          <w:p w:rsidRPr="00730E9C" w:rsidR="00E750BD" w:rsidP="00730E9C" w:rsidRDefault="00E750BD" w14:paraId="2D73D979" w14:textId="006431A0">
            <w:pPr>
              <w:spacing w:line="276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FE6AB1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Regulatory Authority: 24 CFR § 982.206(a)(2) </w:t>
            </w:r>
            <w:r w:rsidRPr="00FE6AB1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Sub-regulatory Guidance: PIH Notice 2012-34</w:t>
            </w:r>
          </w:p>
        </w:tc>
        <w:tc>
          <w:tcPr>
            <w:tcW w:w="1123" w:type="dxa"/>
          </w:tcPr>
          <w:p w:rsidR="00E750BD" w:rsidP="002B1A5B" w:rsidRDefault="00E750BD" w14:paraId="506AC721" w14:textId="77777777"/>
        </w:tc>
      </w:tr>
      <w:bookmarkEnd w:id="0"/>
      <w:tr w:rsidR="00E750BD" w:rsidTr="00E37049" w14:paraId="546E583E" w14:textId="77777777">
        <w:tc>
          <w:tcPr>
            <w:tcW w:w="1070" w:type="dxa"/>
          </w:tcPr>
          <w:p w:rsidR="00E750BD" w:rsidP="002B1A5B" w:rsidRDefault="00E750BD" w14:paraId="0891BD27" w14:textId="77777777"/>
        </w:tc>
        <w:tc>
          <w:tcPr>
            <w:tcW w:w="7157" w:type="dxa"/>
          </w:tcPr>
          <w:p w:rsidRPr="00730E9C" w:rsidR="00E750BD" w:rsidP="00730E9C" w:rsidRDefault="00E750BD" w14:paraId="09FE52A6" w14:textId="061210A2">
            <w:pPr>
              <w:spacing w:line="271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</w:pPr>
            <w:r w:rsidRPr="009C5672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HQS-1: Initial Inspection Requirements</w:t>
            </w:r>
            <w:r w:rsidR="00730E9C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 xml:space="preserve">. </w:t>
            </w:r>
            <w:r w:rsidRPr="009C5672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Statutory Authority: Section 8(o)(8)(A)(i), Section 8(o)(8(C) of the USHA of 1937 Regulatory Authority: 24 CFR §§ 982.305(a), 982.305(b), 982.405</w:t>
            </w:r>
          </w:p>
        </w:tc>
        <w:tc>
          <w:tcPr>
            <w:tcW w:w="1123" w:type="dxa"/>
          </w:tcPr>
          <w:p w:rsidR="00E750BD" w:rsidP="002B1A5B" w:rsidRDefault="00E750BD" w14:paraId="7CB55AEE" w14:textId="77777777"/>
        </w:tc>
      </w:tr>
      <w:tr w:rsidR="00E750BD" w:rsidTr="00E37049" w14:paraId="098F2AE9" w14:textId="77777777">
        <w:tc>
          <w:tcPr>
            <w:tcW w:w="1070" w:type="dxa"/>
          </w:tcPr>
          <w:p w:rsidR="00E750BD" w:rsidP="002B1A5B" w:rsidRDefault="00E750BD" w14:paraId="283C1F10" w14:textId="77777777"/>
        </w:tc>
        <w:tc>
          <w:tcPr>
            <w:tcW w:w="7157" w:type="dxa"/>
          </w:tcPr>
          <w:p w:rsidRPr="00D36440" w:rsidR="00E750BD" w:rsidP="00834C27" w:rsidRDefault="00E750BD" w14:paraId="321AC7BD" w14:textId="77777777">
            <w:pPr>
              <w:spacing w:line="273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D36440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HQS-2: Project-Based Voucher (PBV) Pre-HAP Contract Inspections, PHA Acceptance of Completed Units </w:t>
            </w:r>
          </w:p>
          <w:p w:rsidRPr="00730E9C" w:rsidR="00E750BD" w:rsidP="00730E9C" w:rsidRDefault="00E750BD" w14:paraId="4A415EF5" w14:textId="6FC217F0">
            <w:pPr>
              <w:spacing w:line="276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D36440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Statutory Authority: Section 8(o)(8)(A) of the USHA of 1937 </w:t>
            </w:r>
            <w:r w:rsidRPr="00D36440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 xml:space="preserve">Regulatory Authority: </w:t>
            </w:r>
            <w:r w:rsidR="00BB6E8C">
              <w:t>24 CFR § 983.103(b)</w:t>
            </w:r>
            <w:r w:rsidR="008049B5">
              <w:t xml:space="preserve">; </w:t>
            </w:r>
            <w:r w:rsidRPr="00D36440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983.156(a)(1)</w:t>
            </w:r>
          </w:p>
        </w:tc>
        <w:tc>
          <w:tcPr>
            <w:tcW w:w="1123" w:type="dxa"/>
          </w:tcPr>
          <w:p w:rsidR="00E750BD" w:rsidP="002B1A5B" w:rsidRDefault="00E750BD" w14:paraId="48E4B8B7" w14:textId="77777777"/>
        </w:tc>
      </w:tr>
      <w:tr w:rsidR="00E750BD" w:rsidTr="00E37049" w14:paraId="41F72733" w14:textId="77777777">
        <w:tc>
          <w:tcPr>
            <w:tcW w:w="1070" w:type="dxa"/>
          </w:tcPr>
          <w:p w:rsidR="00E750BD" w:rsidP="002B1A5B" w:rsidRDefault="00E750BD" w14:paraId="546DEBBC" w14:textId="77777777"/>
        </w:tc>
        <w:tc>
          <w:tcPr>
            <w:tcW w:w="7157" w:type="dxa"/>
          </w:tcPr>
          <w:p w:rsidRPr="00730E9C" w:rsidR="00E750BD" w:rsidP="00730E9C" w:rsidRDefault="00E750BD" w14:paraId="72D69BAF" w14:textId="414F9FA5">
            <w:pPr>
              <w:spacing w:line="274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</w:pPr>
            <w:r w:rsidRPr="007C6BEB"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  <w:t>HQS-3: Initial Inspection: Non-Life-Threatening Deficiencies (NLT) Option</w:t>
            </w:r>
            <w:r w:rsidR="00730E9C"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  <w:t xml:space="preserve">. </w:t>
            </w:r>
            <w:r w:rsidRPr="007C6BEB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Statutory Authority: Section 8(o)(8)(A)(ii) of the USHA of 1937</w:t>
            </w:r>
          </w:p>
          <w:p w:rsidRPr="00730E9C" w:rsidR="00E750BD" w:rsidP="00730E9C" w:rsidRDefault="00E750BD" w14:paraId="55538544" w14:textId="4DDF559E">
            <w:pPr>
              <w:spacing w:line="276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</w:pPr>
            <w:r w:rsidRPr="007C6BEB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Regulatory Authority: Housing Opportunity Through Modernization Act (HOTMA) of 2016: Implementation of Various Section 8 Voucher Provisions, 82 Fed. Reg. 5458 (Jan. 18, 2017)</w:t>
            </w:r>
          </w:p>
        </w:tc>
        <w:tc>
          <w:tcPr>
            <w:tcW w:w="1123" w:type="dxa"/>
          </w:tcPr>
          <w:p w:rsidR="00E750BD" w:rsidP="002B1A5B" w:rsidRDefault="00E750BD" w14:paraId="002C63A3" w14:textId="77777777"/>
        </w:tc>
      </w:tr>
      <w:tr w:rsidR="00E750BD" w:rsidTr="00E37049" w14:paraId="73BD206E" w14:textId="77777777">
        <w:tc>
          <w:tcPr>
            <w:tcW w:w="1070" w:type="dxa"/>
          </w:tcPr>
          <w:p w:rsidR="00E750BD" w:rsidP="002B1A5B" w:rsidRDefault="00E750BD" w14:paraId="41A7B834" w14:textId="77777777"/>
        </w:tc>
        <w:tc>
          <w:tcPr>
            <w:tcW w:w="7157" w:type="dxa"/>
          </w:tcPr>
          <w:p w:rsidRPr="00730E9C" w:rsidR="00E750BD" w:rsidP="00730E9C" w:rsidRDefault="00E750BD" w14:paraId="5A1242CD" w14:textId="20EF9646">
            <w:pPr>
              <w:spacing w:line="272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</w:pPr>
            <w:r w:rsidRPr="00C74025"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  <w:t>HQS-4: HQS Initial Inspection Requirement – Alternative Inspection Option</w:t>
            </w:r>
            <w:r w:rsidR="00730E9C"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  <w:t xml:space="preserve">. </w:t>
            </w:r>
            <w:r w:rsidRPr="00C74025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Statutory Authority: Section 8(o)(8)(A)(iii) of the USHA of 1937</w:t>
            </w:r>
          </w:p>
          <w:p w:rsidRPr="00730E9C" w:rsidR="00E750BD" w:rsidP="00730E9C" w:rsidRDefault="00E750BD" w14:paraId="2A42BB33" w14:textId="7D6ADC52">
            <w:pPr>
              <w:spacing w:line="276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C74025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Regulatory Authority: Housing Opportunity Through Modernization Act (HOTMA) of 2016:</w:t>
            </w:r>
            <w:r w:rsidR="00730E9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 I</w:t>
            </w:r>
            <w:r w:rsidRPr="00C74025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mplementation of Various Section 8 Voucher Provisions, 82 Fed. Reg. 5458 (Jan. 18, 2017)</w:t>
            </w:r>
          </w:p>
        </w:tc>
        <w:tc>
          <w:tcPr>
            <w:tcW w:w="1123" w:type="dxa"/>
          </w:tcPr>
          <w:p w:rsidR="00E750BD" w:rsidP="002B1A5B" w:rsidRDefault="00E750BD" w14:paraId="5D146D97" w14:textId="77777777"/>
        </w:tc>
      </w:tr>
      <w:tr w:rsidR="00E750BD" w:rsidTr="00E37049" w14:paraId="06C256E4" w14:textId="77777777">
        <w:tc>
          <w:tcPr>
            <w:tcW w:w="1070" w:type="dxa"/>
          </w:tcPr>
          <w:p w:rsidR="00E750BD" w:rsidP="002B1A5B" w:rsidRDefault="00E750BD" w14:paraId="39920F5A" w14:textId="77777777"/>
        </w:tc>
        <w:tc>
          <w:tcPr>
            <w:tcW w:w="7157" w:type="dxa"/>
          </w:tcPr>
          <w:p w:rsidRPr="001D6438" w:rsidR="00E750BD" w:rsidP="00834C27" w:rsidRDefault="00E750BD" w14:paraId="0C61915A" w14:textId="77777777">
            <w:pPr>
              <w:spacing w:line="272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</w:pPr>
            <w:r w:rsidRPr="001D6438"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  <w:t>HQS-5: HQS Inspection Requirement – Biennial Inspections</w:t>
            </w:r>
          </w:p>
          <w:p w:rsidRPr="00730E9C" w:rsidR="00E750BD" w:rsidP="00730E9C" w:rsidRDefault="00E750BD" w14:paraId="14A4F08D" w14:textId="5B092A38">
            <w:pPr>
              <w:spacing w:line="276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1D6438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Statutory Authority: Section 8(o)(D) of the USHA of 1937 </w:t>
            </w:r>
            <w:r w:rsidRPr="001D6438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Regulatory Authority: 24 CFR §§ 982.405(a), 983.103(d)</w:t>
            </w:r>
          </w:p>
        </w:tc>
        <w:tc>
          <w:tcPr>
            <w:tcW w:w="1123" w:type="dxa"/>
          </w:tcPr>
          <w:p w:rsidR="00E750BD" w:rsidP="002B1A5B" w:rsidRDefault="00E750BD" w14:paraId="16AD05C0" w14:textId="77777777"/>
        </w:tc>
      </w:tr>
      <w:tr w:rsidR="00E750BD" w:rsidTr="00E37049" w14:paraId="46AB6FE3" w14:textId="77777777">
        <w:tc>
          <w:tcPr>
            <w:tcW w:w="1070" w:type="dxa"/>
          </w:tcPr>
          <w:p w:rsidR="00E750BD" w:rsidP="002B1A5B" w:rsidRDefault="00E750BD" w14:paraId="688C2EE2" w14:textId="77777777"/>
        </w:tc>
        <w:tc>
          <w:tcPr>
            <w:tcW w:w="7157" w:type="dxa"/>
          </w:tcPr>
          <w:p w:rsidRPr="00EE7976" w:rsidR="00E750BD" w:rsidP="00834C27" w:rsidRDefault="00E750BD" w14:paraId="6D243CD3" w14:textId="77777777">
            <w:pPr>
              <w:spacing w:line="271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</w:pPr>
            <w:r w:rsidRPr="00EE7976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HQS-6: HQS Interim Inspections</w:t>
            </w:r>
          </w:p>
          <w:p w:rsidRPr="00730E9C" w:rsidR="00E750BD" w:rsidP="00730E9C" w:rsidRDefault="00E750BD" w14:paraId="5524F100" w14:textId="39BD07A1">
            <w:pPr>
              <w:spacing w:line="276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EE7976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Statutory Authority: Section 8(o)(8)(F) of the USHA of 1937 </w:t>
            </w:r>
            <w:r w:rsidRPr="00EE7976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Regulatory Authority: 24 CFR §§ 982.405(g), 983.103(e)</w:t>
            </w:r>
          </w:p>
        </w:tc>
        <w:tc>
          <w:tcPr>
            <w:tcW w:w="1123" w:type="dxa"/>
          </w:tcPr>
          <w:p w:rsidR="00E750BD" w:rsidP="002B1A5B" w:rsidRDefault="00E750BD" w14:paraId="053E6B6A" w14:textId="77777777"/>
        </w:tc>
      </w:tr>
      <w:tr w:rsidR="00E750BD" w:rsidTr="00E37049" w14:paraId="781E8CA9" w14:textId="77777777">
        <w:tc>
          <w:tcPr>
            <w:tcW w:w="1070" w:type="dxa"/>
          </w:tcPr>
          <w:p w:rsidR="00E750BD" w:rsidP="002B1A5B" w:rsidRDefault="00E750BD" w14:paraId="39F04203" w14:textId="77777777"/>
        </w:tc>
        <w:tc>
          <w:tcPr>
            <w:tcW w:w="7157" w:type="dxa"/>
          </w:tcPr>
          <w:p w:rsidRPr="00730E9C" w:rsidR="00E750BD" w:rsidP="00730E9C" w:rsidRDefault="00E750BD" w14:paraId="065A16BD" w14:textId="6A0EF2DC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C75CAD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HQS-7: PBV Turnover Unit Inspections </w:t>
            </w:r>
            <w:r w:rsidRPr="00C75CAD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Regulatory Authority: 24 CFR § 983.103(c)</w:t>
            </w:r>
          </w:p>
        </w:tc>
        <w:tc>
          <w:tcPr>
            <w:tcW w:w="1123" w:type="dxa"/>
          </w:tcPr>
          <w:p w:rsidR="00E750BD" w:rsidP="002B1A5B" w:rsidRDefault="00E750BD" w14:paraId="4926FF57" w14:textId="77777777"/>
        </w:tc>
      </w:tr>
      <w:tr w:rsidR="00E750BD" w:rsidTr="00E37049" w14:paraId="4C4A25FB" w14:textId="77777777">
        <w:tc>
          <w:tcPr>
            <w:tcW w:w="1070" w:type="dxa"/>
          </w:tcPr>
          <w:p w:rsidR="00E750BD" w:rsidP="002B1A5B" w:rsidRDefault="00E750BD" w14:paraId="47072A5A" w14:textId="77777777"/>
        </w:tc>
        <w:tc>
          <w:tcPr>
            <w:tcW w:w="7157" w:type="dxa"/>
          </w:tcPr>
          <w:p w:rsidR="00754B7D" w:rsidP="00730E9C" w:rsidRDefault="00E750BD" w14:paraId="1C65334B" w14:textId="77777777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5262EC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HQS-8: PBV HAP Contract – HQS Inspections to Add or Substitute Units</w:t>
            </w:r>
            <w:r w:rsidR="00730E9C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.</w:t>
            </w:r>
            <w:r w:rsidRPr="005262EC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 xml:space="preserve"> </w:t>
            </w:r>
            <w:r w:rsidRPr="005262E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Statutory Authority: Section 8(o)(8)(A) of the USHA of 1937 </w:t>
            </w:r>
            <w:r w:rsidRPr="005262E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Regulatory Authority: 24 CFR §§ 983.207(a), 983.207(b)</w:t>
            </w:r>
          </w:p>
          <w:p w:rsidRPr="00754B7D" w:rsidR="00BB6E8C" w:rsidP="00730E9C" w:rsidRDefault="00BB6E8C" w14:paraId="4185CC87" w14:textId="6C528B70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</w:pPr>
            <w:r>
              <w:t>The authorities waived also include Housing Opportunity Through Modernization Act of 2016: Implementation of Various Section 8 Voucher Provisions” (82 Federal Register 5458, published January 18, 2017).</w:t>
            </w:r>
          </w:p>
        </w:tc>
        <w:tc>
          <w:tcPr>
            <w:tcW w:w="1123" w:type="dxa"/>
          </w:tcPr>
          <w:p w:rsidR="00E750BD" w:rsidP="002B1A5B" w:rsidRDefault="00E750BD" w14:paraId="45042D49" w14:textId="77777777"/>
        </w:tc>
      </w:tr>
      <w:tr w:rsidR="00754B7D" w:rsidTr="00E37049" w14:paraId="6ACECC8C" w14:textId="77777777">
        <w:tc>
          <w:tcPr>
            <w:tcW w:w="1070" w:type="dxa"/>
          </w:tcPr>
          <w:p w:rsidR="00754B7D" w:rsidP="002B1A5B" w:rsidRDefault="00754B7D" w14:paraId="01474FEF" w14:textId="77777777"/>
        </w:tc>
        <w:tc>
          <w:tcPr>
            <w:tcW w:w="7157" w:type="dxa"/>
          </w:tcPr>
          <w:p w:rsidRPr="005262EC" w:rsidR="00754B7D" w:rsidP="00730E9C" w:rsidRDefault="00754B7D" w14:paraId="27D234C1" w14:textId="37BD12B5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</w:pPr>
            <w:r w:rsidRPr="00B216F6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HQS-9: HQS Quality Control Inspections </w:t>
            </w:r>
            <w:r w:rsidRPr="00B216F6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Regulatory Authority: 24 CFR § 982.405(b)</w:t>
            </w:r>
            <w:r w:rsidR="00BB6E8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; </w:t>
            </w:r>
            <w:r w:rsidR="00BB6E8C">
              <w:t>24 CFR § 983.103(e)(3).</w:t>
            </w:r>
          </w:p>
        </w:tc>
        <w:tc>
          <w:tcPr>
            <w:tcW w:w="1123" w:type="dxa"/>
          </w:tcPr>
          <w:p w:rsidR="00754B7D" w:rsidP="002B1A5B" w:rsidRDefault="00754B7D" w14:paraId="463E9B0B" w14:textId="77777777"/>
        </w:tc>
      </w:tr>
      <w:tr w:rsidR="00E750BD" w:rsidTr="00E37049" w14:paraId="0F83FA75" w14:textId="77777777">
        <w:tc>
          <w:tcPr>
            <w:tcW w:w="1070" w:type="dxa"/>
          </w:tcPr>
          <w:p w:rsidR="00E750BD" w:rsidP="00730E9C" w:rsidRDefault="00E750BD" w14:paraId="108E829C" w14:textId="77777777"/>
        </w:tc>
        <w:tc>
          <w:tcPr>
            <w:tcW w:w="7157" w:type="dxa"/>
          </w:tcPr>
          <w:p w:rsidRPr="00730E9C" w:rsidR="00E750BD" w:rsidP="00730E9C" w:rsidRDefault="00E750BD" w14:paraId="0676D44F" w14:textId="7F58D312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E750BD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HQS-10: Housing quality standards; Space and Security </w:t>
            </w:r>
            <w:r w:rsidRPr="00E750BD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Regulatory Authority: § 982.401(d)</w:t>
            </w:r>
          </w:p>
        </w:tc>
        <w:tc>
          <w:tcPr>
            <w:tcW w:w="1123" w:type="dxa"/>
          </w:tcPr>
          <w:p w:rsidR="00E750BD" w:rsidP="00283CF2" w:rsidRDefault="00E750BD" w14:paraId="17BB8257" w14:textId="77777777"/>
        </w:tc>
      </w:tr>
      <w:tr w:rsidR="00E750BD" w:rsidTr="00E37049" w14:paraId="233AE23D" w14:textId="77777777">
        <w:tc>
          <w:tcPr>
            <w:tcW w:w="1070" w:type="dxa"/>
          </w:tcPr>
          <w:p w:rsidR="00E750BD" w:rsidP="00283CF2" w:rsidRDefault="00E750BD" w14:paraId="552C0C7B" w14:textId="77777777"/>
        </w:tc>
        <w:tc>
          <w:tcPr>
            <w:tcW w:w="7157" w:type="dxa"/>
          </w:tcPr>
          <w:p w:rsidRPr="00D25F1C" w:rsidR="00D25F1C" w:rsidP="00834C27" w:rsidRDefault="00D25F1C" w14:paraId="2565026B" w14:textId="77777777">
            <w:pPr>
              <w:spacing w:line="271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</w:pPr>
            <w:r w:rsidRPr="00D25F1C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HQS-11: Homeownership Option – Initial HQS Inspection</w:t>
            </w:r>
          </w:p>
          <w:p w:rsidRPr="00730E9C" w:rsidR="00E750BD" w:rsidP="00730E9C" w:rsidRDefault="00D25F1C" w14:paraId="73829022" w14:textId="72707663">
            <w:pPr>
              <w:spacing w:line="277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D25F1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Statutory Authority: Section 8(o)(8)(A)(i), Section 8(y)(3)(B) of the USHA of 1937 Regulatory Authority: 24 CFR § 982.631(a)</w:t>
            </w:r>
          </w:p>
        </w:tc>
        <w:tc>
          <w:tcPr>
            <w:tcW w:w="1123" w:type="dxa"/>
          </w:tcPr>
          <w:p w:rsidR="00E750BD" w:rsidP="00283CF2" w:rsidRDefault="00E750BD" w14:paraId="72E05572" w14:textId="77777777"/>
        </w:tc>
      </w:tr>
      <w:tr w:rsidR="00E750BD" w:rsidTr="00E37049" w14:paraId="1F6EEDF8" w14:textId="77777777">
        <w:tc>
          <w:tcPr>
            <w:tcW w:w="1070" w:type="dxa"/>
          </w:tcPr>
          <w:p w:rsidR="00E750BD" w:rsidP="00283CF2" w:rsidRDefault="00E750BD" w14:paraId="25060053" w14:textId="77777777"/>
        </w:tc>
        <w:tc>
          <w:tcPr>
            <w:tcW w:w="7157" w:type="dxa"/>
          </w:tcPr>
          <w:p w:rsidRPr="00C565DD" w:rsidR="00C565DD" w:rsidP="00730E9C" w:rsidRDefault="00C565DD" w14:paraId="118F9B9A" w14:textId="77777777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</w:pPr>
            <w:r w:rsidRPr="00C565DD"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  <w:t xml:space="preserve">HCV-1: Administrative plan </w:t>
            </w:r>
          </w:p>
          <w:p w:rsidRPr="00730E9C" w:rsidR="00E750BD" w:rsidP="00730E9C" w:rsidRDefault="00C565DD" w14:paraId="306AAF6D" w14:textId="5829610C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C565DD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Regulatory Authority: 24 CFR § 982.54 (a)</w:t>
            </w:r>
          </w:p>
        </w:tc>
        <w:tc>
          <w:tcPr>
            <w:tcW w:w="1123" w:type="dxa"/>
          </w:tcPr>
          <w:p w:rsidR="00E750BD" w:rsidP="00283CF2" w:rsidRDefault="00E750BD" w14:paraId="07D8B39B" w14:textId="77777777"/>
        </w:tc>
      </w:tr>
      <w:tr w:rsidR="00E750BD" w:rsidTr="00E37049" w14:paraId="7CA93A61" w14:textId="77777777">
        <w:tc>
          <w:tcPr>
            <w:tcW w:w="1070" w:type="dxa"/>
          </w:tcPr>
          <w:p w:rsidR="00E750BD" w:rsidP="00283CF2" w:rsidRDefault="00E750BD" w14:paraId="7DAC0075" w14:textId="77777777">
            <w:bookmarkStart w:name="_Hlk37746171" w:id="1"/>
          </w:p>
        </w:tc>
        <w:tc>
          <w:tcPr>
            <w:tcW w:w="7157" w:type="dxa"/>
          </w:tcPr>
          <w:p w:rsidRPr="00730E9C" w:rsidR="00E750BD" w:rsidP="00730E9C" w:rsidRDefault="00F4373A" w14:paraId="241F893A" w14:textId="7E8DD3D8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F4373A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HCV-2: Information When Family is Selected - PHA Oral Briefing Regulatory Authority: </w:t>
            </w:r>
            <w:r w:rsidR="00BB6E8C">
              <w:t>24 CFR § 982.301(a)(1</w:t>
            </w:r>
            <w:proofErr w:type="gramStart"/>
            <w:r w:rsidR="00473014">
              <w:t>);</w:t>
            </w:r>
            <w:r w:rsidRPr="00F4373A" w:rsidR="00473014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§</w:t>
            </w:r>
            <w:proofErr w:type="gramEnd"/>
            <w:r w:rsidRPr="00F4373A" w:rsidR="00473014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 </w:t>
            </w:r>
            <w:r w:rsidRPr="00F4373A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983.252(a)</w:t>
            </w:r>
          </w:p>
        </w:tc>
        <w:tc>
          <w:tcPr>
            <w:tcW w:w="1123" w:type="dxa"/>
          </w:tcPr>
          <w:p w:rsidR="00E750BD" w:rsidP="00283CF2" w:rsidRDefault="00E750BD" w14:paraId="68E036F5" w14:textId="77777777"/>
        </w:tc>
      </w:tr>
      <w:tr w:rsidR="00E750BD" w:rsidTr="00E37049" w14:paraId="4429AADD" w14:textId="77777777">
        <w:tc>
          <w:tcPr>
            <w:tcW w:w="1070" w:type="dxa"/>
          </w:tcPr>
          <w:p w:rsidR="00E750BD" w:rsidP="00283CF2" w:rsidRDefault="00E750BD" w14:paraId="0331923A" w14:textId="77777777"/>
        </w:tc>
        <w:tc>
          <w:tcPr>
            <w:tcW w:w="7157" w:type="dxa"/>
          </w:tcPr>
          <w:p w:rsidRPr="00730E9C" w:rsidR="00E750BD" w:rsidP="00730E9C" w:rsidRDefault="00774702" w14:paraId="2A04250D" w14:textId="09708147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774702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HCV-3: Term of Voucher – Extensions of Term </w:t>
            </w:r>
            <w:r w:rsidRPr="00774702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Regulatory Authority: 24 CFR § 982.303(b)(1)</w:t>
            </w:r>
          </w:p>
        </w:tc>
        <w:tc>
          <w:tcPr>
            <w:tcW w:w="1123" w:type="dxa"/>
          </w:tcPr>
          <w:p w:rsidR="00E750BD" w:rsidP="00283CF2" w:rsidRDefault="00E750BD" w14:paraId="7C0E1ADE" w14:textId="77777777"/>
        </w:tc>
      </w:tr>
      <w:tr w:rsidR="00E750BD" w:rsidTr="00E37049" w14:paraId="03255B2B" w14:textId="77777777">
        <w:tc>
          <w:tcPr>
            <w:tcW w:w="1070" w:type="dxa"/>
          </w:tcPr>
          <w:p w:rsidR="00E750BD" w:rsidP="00283CF2" w:rsidRDefault="00E750BD" w14:paraId="0D8CAFA3" w14:textId="77777777"/>
        </w:tc>
        <w:tc>
          <w:tcPr>
            <w:tcW w:w="7157" w:type="dxa"/>
          </w:tcPr>
          <w:p w:rsidRPr="00730E9C" w:rsidR="00E750BD" w:rsidP="00730E9C" w:rsidRDefault="00327F4B" w14:paraId="0E1A674F" w14:textId="7B10E4CC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327F4B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HCV-4: PHA Approval of Assisted Tenancy – When HAP Contract is Executed</w:t>
            </w:r>
            <w:r w:rsidR="00730E9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.</w:t>
            </w:r>
            <w:r w:rsidRPr="00327F4B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  Regulatory Authority: 24 CFR § 982.305(c)</w:t>
            </w:r>
          </w:p>
        </w:tc>
        <w:tc>
          <w:tcPr>
            <w:tcW w:w="1123" w:type="dxa"/>
          </w:tcPr>
          <w:p w:rsidR="00E750BD" w:rsidP="00283CF2" w:rsidRDefault="00E750BD" w14:paraId="25FA01D7" w14:textId="77777777"/>
        </w:tc>
      </w:tr>
      <w:tr w:rsidR="00E750BD" w:rsidTr="00E37049" w14:paraId="33F5602E" w14:textId="77777777">
        <w:tc>
          <w:tcPr>
            <w:tcW w:w="1070" w:type="dxa"/>
          </w:tcPr>
          <w:p w:rsidR="00E750BD" w:rsidP="00283CF2" w:rsidRDefault="00E750BD" w14:paraId="4B272DBA" w14:textId="77777777"/>
        </w:tc>
        <w:tc>
          <w:tcPr>
            <w:tcW w:w="7157" w:type="dxa"/>
          </w:tcPr>
          <w:p w:rsidRPr="002B6946" w:rsidR="002B6946" w:rsidP="00730E9C" w:rsidRDefault="002B6946" w14:paraId="002834DC" w14:textId="77777777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</w:pPr>
            <w:r w:rsidRPr="002B6946"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  <w:t>HCV-5: Absence from Unit</w:t>
            </w:r>
          </w:p>
          <w:p w:rsidRPr="00730E9C" w:rsidR="00E750BD" w:rsidP="00730E9C" w:rsidRDefault="002B6946" w14:paraId="0758D7CE" w14:textId="15D542F7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2B6946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Regulatory Authority: 24 CFR § 982.312</w:t>
            </w:r>
          </w:p>
        </w:tc>
        <w:tc>
          <w:tcPr>
            <w:tcW w:w="1123" w:type="dxa"/>
          </w:tcPr>
          <w:p w:rsidR="00E750BD" w:rsidP="00283CF2" w:rsidRDefault="00E750BD" w14:paraId="765B9F26" w14:textId="77777777"/>
        </w:tc>
      </w:tr>
      <w:tr w:rsidR="00E750BD" w:rsidTr="00E37049" w14:paraId="2A79CF2F" w14:textId="77777777">
        <w:tc>
          <w:tcPr>
            <w:tcW w:w="1070" w:type="dxa"/>
          </w:tcPr>
          <w:p w:rsidR="00E750BD" w:rsidP="00283CF2" w:rsidRDefault="00E750BD" w14:paraId="6777836D" w14:textId="77777777"/>
        </w:tc>
        <w:tc>
          <w:tcPr>
            <w:tcW w:w="7157" w:type="dxa"/>
          </w:tcPr>
          <w:p w:rsidRPr="00730E9C" w:rsidR="00E750BD" w:rsidP="00730E9C" w:rsidRDefault="0035155E" w14:paraId="7F6F6628" w14:textId="1BDA2B37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35155E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HCV-6: Automatic Termination of HAP contract </w:t>
            </w:r>
            <w:r w:rsidRPr="0035155E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Regulatory Authority: 24 CFR § 982.455</w:t>
            </w:r>
          </w:p>
        </w:tc>
        <w:tc>
          <w:tcPr>
            <w:tcW w:w="1123" w:type="dxa"/>
          </w:tcPr>
          <w:p w:rsidR="00E750BD" w:rsidP="00283CF2" w:rsidRDefault="00E750BD" w14:paraId="6FAF1306" w14:textId="77777777"/>
        </w:tc>
      </w:tr>
      <w:tr w:rsidR="00E750BD" w:rsidTr="00E37049" w14:paraId="6DC62DDA" w14:textId="77777777">
        <w:tc>
          <w:tcPr>
            <w:tcW w:w="1070" w:type="dxa"/>
          </w:tcPr>
          <w:p w:rsidR="00E750BD" w:rsidP="00283CF2" w:rsidRDefault="00E750BD" w14:paraId="1E0DF73F" w14:textId="77777777"/>
        </w:tc>
        <w:tc>
          <w:tcPr>
            <w:tcW w:w="7157" w:type="dxa"/>
          </w:tcPr>
          <w:p w:rsidRPr="00730E9C" w:rsidR="00E750BD" w:rsidP="00730E9C" w:rsidRDefault="00300CBA" w14:paraId="7036BD45" w14:textId="68843A49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300CBA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HCV-7: Increase in payment standard under HAP contract term </w:t>
            </w:r>
            <w:r w:rsidRPr="00300CBA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Regulatory Authority: 24 CFR § 982.505(c)(4)</w:t>
            </w:r>
          </w:p>
        </w:tc>
        <w:tc>
          <w:tcPr>
            <w:tcW w:w="1123" w:type="dxa"/>
          </w:tcPr>
          <w:p w:rsidR="00E750BD" w:rsidP="00283CF2" w:rsidRDefault="00E750BD" w14:paraId="7F07EAC3" w14:textId="77777777"/>
        </w:tc>
      </w:tr>
      <w:tr w:rsidR="00E750BD" w:rsidTr="00E37049" w14:paraId="4155DA3A" w14:textId="77777777">
        <w:tc>
          <w:tcPr>
            <w:tcW w:w="1070" w:type="dxa"/>
          </w:tcPr>
          <w:p w:rsidR="00E750BD" w:rsidP="00283CF2" w:rsidRDefault="00E750BD" w14:paraId="66D9FD81" w14:textId="77777777"/>
        </w:tc>
        <w:tc>
          <w:tcPr>
            <w:tcW w:w="7157" w:type="dxa"/>
          </w:tcPr>
          <w:p w:rsidRPr="00730E9C" w:rsidR="00E750BD" w:rsidP="00730E9C" w:rsidRDefault="00620188" w14:paraId="311020E4" w14:textId="3EF7C2D0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620188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HCV-8: Utility allowance schedule – required review and revision Regulatory Authority: 24 CFR § 982.517</w:t>
            </w:r>
          </w:p>
        </w:tc>
        <w:tc>
          <w:tcPr>
            <w:tcW w:w="1123" w:type="dxa"/>
          </w:tcPr>
          <w:p w:rsidR="00E750BD" w:rsidP="00283CF2" w:rsidRDefault="00E750BD" w14:paraId="52CA98D4" w14:textId="77777777"/>
        </w:tc>
      </w:tr>
      <w:tr w:rsidR="00E750BD" w:rsidTr="00E37049" w14:paraId="41735469" w14:textId="77777777">
        <w:tc>
          <w:tcPr>
            <w:tcW w:w="1070" w:type="dxa"/>
          </w:tcPr>
          <w:p w:rsidR="00E750BD" w:rsidP="00283CF2" w:rsidRDefault="00E750BD" w14:paraId="15A1BB6A" w14:textId="77777777"/>
        </w:tc>
        <w:tc>
          <w:tcPr>
            <w:tcW w:w="7157" w:type="dxa"/>
          </w:tcPr>
          <w:p w:rsidRPr="008D123A" w:rsidR="008D123A" w:rsidP="00834C27" w:rsidRDefault="008D123A" w14:paraId="61DB2409" w14:textId="77777777">
            <w:pPr>
              <w:spacing w:line="275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</w:pPr>
            <w:r w:rsidRPr="008D123A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HCV-9: Homeownership Option – Homeownership counseling</w:t>
            </w:r>
          </w:p>
          <w:p w:rsidRPr="00730E9C" w:rsidR="00E750BD" w:rsidP="00730E9C" w:rsidRDefault="008D123A" w14:paraId="1BA09F01" w14:textId="1D962908">
            <w:pPr>
              <w:spacing w:line="276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8D123A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Statutory Authority: Section 8(y)(1)(D) of the USHA of 1937 </w:t>
            </w:r>
            <w:r w:rsidRPr="008D123A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Regulatory Authority: 24 CFR §§ 982.630, 982.636(d)</w:t>
            </w:r>
          </w:p>
        </w:tc>
        <w:tc>
          <w:tcPr>
            <w:tcW w:w="1123" w:type="dxa"/>
          </w:tcPr>
          <w:p w:rsidR="00E750BD" w:rsidP="00283CF2" w:rsidRDefault="00E750BD" w14:paraId="7C00B02B" w14:textId="77777777"/>
        </w:tc>
      </w:tr>
      <w:tr w:rsidR="00E750BD" w:rsidTr="00E37049" w14:paraId="23A57D62" w14:textId="77777777">
        <w:tc>
          <w:tcPr>
            <w:tcW w:w="1070" w:type="dxa"/>
          </w:tcPr>
          <w:p w:rsidR="00E750BD" w:rsidP="00283CF2" w:rsidRDefault="00E750BD" w14:paraId="007A247A" w14:textId="77777777"/>
        </w:tc>
        <w:tc>
          <w:tcPr>
            <w:tcW w:w="7157" w:type="dxa"/>
          </w:tcPr>
          <w:p w:rsidRPr="00AC7CA9" w:rsidR="00AC7CA9" w:rsidP="00834C27" w:rsidRDefault="00AC7CA9" w14:paraId="41E2F6A2" w14:textId="313A34F3">
            <w:pPr>
              <w:spacing w:line="279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AC7CA9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HCV-10: Family Unification Program (FUP): FUP Youth Age Eligibility to Enter </w:t>
            </w:r>
            <w:r w:rsidRPr="00AC7CA9" w:rsidR="00730E9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HAP Contract</w:t>
            </w:r>
            <w:r w:rsidRPr="00AC7CA9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 </w:t>
            </w:r>
          </w:p>
          <w:p w:rsidRPr="00730E9C" w:rsidR="00E750BD" w:rsidP="00730E9C" w:rsidRDefault="00AC7CA9" w14:paraId="7867E86D" w14:textId="30389C52">
            <w:pPr>
              <w:spacing w:line="275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AC7CA9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Statutory Authority: Section 8(x)(2) of the USHA of 1937</w:t>
            </w:r>
          </w:p>
        </w:tc>
        <w:tc>
          <w:tcPr>
            <w:tcW w:w="1123" w:type="dxa"/>
          </w:tcPr>
          <w:p w:rsidR="00E750BD" w:rsidP="00283CF2" w:rsidRDefault="00E750BD" w14:paraId="454C8560" w14:textId="77777777"/>
        </w:tc>
      </w:tr>
      <w:bookmarkEnd w:id="1"/>
      <w:tr w:rsidR="00E37049" w:rsidTr="00E37049" w14:paraId="52D15DD7" w14:textId="77777777">
        <w:tc>
          <w:tcPr>
            <w:tcW w:w="1070" w:type="dxa"/>
          </w:tcPr>
          <w:p w:rsidR="00E37049" w:rsidP="00E37049" w:rsidRDefault="00E37049" w14:paraId="4616182B" w14:textId="77777777"/>
        </w:tc>
        <w:tc>
          <w:tcPr>
            <w:tcW w:w="7157" w:type="dxa"/>
          </w:tcPr>
          <w:p w:rsidRPr="00811D19" w:rsidR="00E37049" w:rsidP="00E37049" w:rsidRDefault="00E37049" w14:paraId="7090DBEC" w14:textId="77777777">
            <w:pPr>
              <w:spacing w:line="279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11D19">
              <w:rPr>
                <w:rFonts w:ascii="Times New Roman" w:hAnsi="Times New Roman" w:cs="Times New Roman"/>
                <w:sz w:val="24"/>
                <w:szCs w:val="24"/>
              </w:rPr>
              <w:t>HCV-11 Family Unification Program (FUP): Length of Assistance for Youth</w:t>
            </w:r>
          </w:p>
          <w:p w:rsidRPr="00E37049" w:rsidR="00E37049" w:rsidP="00E37049" w:rsidRDefault="00E37049" w14:paraId="58AA0C27" w14:textId="0051E1B4">
            <w:pPr>
              <w:spacing w:line="279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 w:rsidRPr="00E37049"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Statutory Authority: </w:t>
            </w:r>
            <w:r w:rsidRPr="00811D19">
              <w:rPr>
                <w:rFonts w:ascii="Times New Roman" w:hAnsi="Times New Roman" w:cs="Times New Roman"/>
                <w:sz w:val="24"/>
                <w:szCs w:val="24"/>
              </w:rPr>
              <w:t>Section 8(x)(2)</w:t>
            </w:r>
          </w:p>
        </w:tc>
        <w:tc>
          <w:tcPr>
            <w:tcW w:w="1123" w:type="dxa"/>
          </w:tcPr>
          <w:p w:rsidR="00E37049" w:rsidP="00E37049" w:rsidRDefault="00E37049" w14:paraId="0EA1088A" w14:textId="77777777"/>
        </w:tc>
      </w:tr>
      <w:tr w:rsidR="00E37049" w:rsidTr="00E37049" w14:paraId="1A2AA8C8" w14:textId="77777777">
        <w:tc>
          <w:tcPr>
            <w:tcW w:w="1070" w:type="dxa"/>
          </w:tcPr>
          <w:p w:rsidR="00E37049" w:rsidP="00E37049" w:rsidRDefault="00E37049" w14:paraId="4CD67DE0" w14:textId="77777777"/>
        </w:tc>
        <w:tc>
          <w:tcPr>
            <w:tcW w:w="7157" w:type="dxa"/>
          </w:tcPr>
          <w:p w:rsidRPr="00811D19" w:rsidR="00E37049" w:rsidP="00E37049" w:rsidRDefault="00E37049" w14:paraId="1DDC7D7A" w14:textId="77777777">
            <w:pPr>
              <w:spacing w:line="279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11D19">
              <w:rPr>
                <w:rFonts w:ascii="Times New Roman" w:hAnsi="Times New Roman" w:cs="Times New Roman"/>
                <w:sz w:val="24"/>
                <w:szCs w:val="24"/>
              </w:rPr>
              <w:t>HCV-12 Family Unification Program (FUP): Timeframe for Referral</w:t>
            </w:r>
          </w:p>
          <w:p w:rsidRPr="00E37049" w:rsidR="00E37049" w:rsidP="00E37049" w:rsidRDefault="00E37049" w14:paraId="5BA7DB42" w14:textId="2EC6683E">
            <w:pPr>
              <w:spacing w:line="279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 w:rsidRPr="00E37049"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Statutory Authority: </w:t>
            </w:r>
            <w:r w:rsidRPr="00811D19">
              <w:rPr>
                <w:rFonts w:ascii="Times New Roman" w:hAnsi="Times New Roman" w:cs="Times New Roman"/>
                <w:sz w:val="24"/>
                <w:szCs w:val="24"/>
              </w:rPr>
              <w:t>Section 8(x)(2)</w:t>
            </w:r>
          </w:p>
        </w:tc>
        <w:tc>
          <w:tcPr>
            <w:tcW w:w="1123" w:type="dxa"/>
          </w:tcPr>
          <w:p w:rsidR="00E37049" w:rsidP="00E37049" w:rsidRDefault="00E37049" w14:paraId="5193477F" w14:textId="77777777"/>
        </w:tc>
      </w:tr>
      <w:tr w:rsidR="00E37049" w:rsidTr="00E37049" w14:paraId="306C935B" w14:textId="77777777">
        <w:tc>
          <w:tcPr>
            <w:tcW w:w="1070" w:type="dxa"/>
          </w:tcPr>
          <w:p w:rsidR="00E37049" w:rsidP="00E37049" w:rsidRDefault="00E37049" w14:paraId="69FBE8AA" w14:textId="77777777"/>
        </w:tc>
        <w:tc>
          <w:tcPr>
            <w:tcW w:w="7157" w:type="dxa"/>
          </w:tcPr>
          <w:p w:rsidRPr="00811D19" w:rsidR="00E37049" w:rsidP="00E37049" w:rsidRDefault="00E37049" w14:paraId="2E151BA3" w14:textId="77777777">
            <w:pPr>
              <w:spacing w:line="279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11D19">
              <w:rPr>
                <w:rFonts w:ascii="Times New Roman" w:hAnsi="Times New Roman" w:cs="Times New Roman"/>
                <w:sz w:val="24"/>
                <w:szCs w:val="24"/>
              </w:rPr>
              <w:t>HCV-13 Homeownership: Maximum Term</w:t>
            </w:r>
          </w:p>
          <w:p w:rsidRPr="00E37049" w:rsidR="00E37049" w:rsidP="00E37049" w:rsidRDefault="00E37049" w14:paraId="0019AA70" w14:textId="37319859">
            <w:pPr>
              <w:spacing w:line="279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 w:rsidRPr="00811D19">
              <w:rPr>
                <w:rFonts w:ascii="Times New Roman" w:hAnsi="Times New Roman" w:cs="Times New Roman"/>
                <w:sz w:val="24"/>
                <w:szCs w:val="24"/>
              </w:rPr>
              <w:t>Regulatory Authority: § 982.634(a)</w:t>
            </w:r>
          </w:p>
        </w:tc>
        <w:tc>
          <w:tcPr>
            <w:tcW w:w="1123" w:type="dxa"/>
          </w:tcPr>
          <w:p w:rsidR="00E37049" w:rsidP="00E37049" w:rsidRDefault="00E37049" w14:paraId="73AC34A5" w14:textId="77777777"/>
        </w:tc>
      </w:tr>
      <w:tr w:rsidR="00E37049" w:rsidTr="00E37049" w14:paraId="350564F3" w14:textId="77777777">
        <w:tc>
          <w:tcPr>
            <w:tcW w:w="1070" w:type="dxa"/>
          </w:tcPr>
          <w:p w:rsidR="00E37049" w:rsidP="00E37049" w:rsidRDefault="00E37049" w14:paraId="77154E08" w14:textId="77777777"/>
        </w:tc>
        <w:tc>
          <w:tcPr>
            <w:tcW w:w="7157" w:type="dxa"/>
          </w:tcPr>
          <w:p w:rsidRPr="00811D19" w:rsidR="00E37049" w:rsidP="00E37049" w:rsidRDefault="00E37049" w14:paraId="4BB2709E" w14:textId="77777777">
            <w:pPr>
              <w:spacing w:line="279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11D19">
              <w:rPr>
                <w:rFonts w:ascii="Times New Roman" w:hAnsi="Times New Roman" w:cs="Times New Roman"/>
                <w:sz w:val="24"/>
                <w:szCs w:val="24"/>
              </w:rPr>
              <w:t>HCV-14 Mandatory Removal of Unit from PBV HAP Contract</w:t>
            </w:r>
          </w:p>
          <w:p w:rsidRPr="00811D19" w:rsidR="00E37049" w:rsidP="00E37049" w:rsidRDefault="00E37049" w14:paraId="075F8DC2" w14:textId="120BFC87">
            <w:pPr>
              <w:spacing w:line="279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11D19">
              <w:rPr>
                <w:rFonts w:ascii="Times New Roman" w:hAnsi="Times New Roman" w:cs="Times New Roman"/>
                <w:sz w:val="24"/>
                <w:szCs w:val="24"/>
              </w:rPr>
              <w:t>Regulatory Authority: §§ 983.211(a); 983.258</w:t>
            </w:r>
          </w:p>
        </w:tc>
        <w:tc>
          <w:tcPr>
            <w:tcW w:w="1123" w:type="dxa"/>
          </w:tcPr>
          <w:p w:rsidR="00E37049" w:rsidP="00E37049" w:rsidRDefault="00E37049" w14:paraId="77CE00E6" w14:textId="77777777"/>
        </w:tc>
      </w:tr>
      <w:tr w:rsidR="00E37049" w:rsidTr="00E37049" w14:paraId="140551A3" w14:textId="77777777">
        <w:tc>
          <w:tcPr>
            <w:tcW w:w="1070" w:type="dxa"/>
          </w:tcPr>
          <w:p w:rsidR="00E37049" w:rsidP="00E37049" w:rsidRDefault="00E37049" w14:paraId="1EC7D359" w14:textId="77777777"/>
        </w:tc>
        <w:tc>
          <w:tcPr>
            <w:tcW w:w="7157" w:type="dxa"/>
          </w:tcPr>
          <w:p w:rsidRPr="00730E9C" w:rsidR="00E37049" w:rsidP="00E37049" w:rsidRDefault="00E37049" w14:paraId="71F8ABF8" w14:textId="6A209903">
            <w:pPr>
              <w:numPr>
                <w:ilvl w:val="0"/>
                <w:numId w:val="1"/>
              </w:numPr>
              <w:tabs>
                <w:tab w:val="left" w:pos="720"/>
                <w:tab w:val="left" w:pos="1152"/>
              </w:tabs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4442CA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 Fiscal Closeout of Capital Grant Funds  </w:t>
            </w:r>
            <w:r w:rsidRPr="004442CA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Regulatory Authority: 24 CFR § 905.322(b)</w:t>
            </w:r>
          </w:p>
        </w:tc>
        <w:tc>
          <w:tcPr>
            <w:tcW w:w="1123" w:type="dxa"/>
          </w:tcPr>
          <w:p w:rsidR="00E37049" w:rsidP="00E37049" w:rsidRDefault="00E37049" w14:paraId="6BEA3BCE" w14:textId="77777777"/>
        </w:tc>
      </w:tr>
      <w:tr w:rsidR="00E37049" w:rsidTr="00E37049" w14:paraId="7A2DEF23" w14:textId="77777777">
        <w:tc>
          <w:tcPr>
            <w:tcW w:w="1070" w:type="dxa"/>
          </w:tcPr>
          <w:p w:rsidR="00E37049" w:rsidP="00E37049" w:rsidRDefault="00E37049" w14:paraId="2B19A12C" w14:textId="77777777"/>
        </w:tc>
        <w:tc>
          <w:tcPr>
            <w:tcW w:w="7157" w:type="dxa"/>
          </w:tcPr>
          <w:p w:rsidRPr="00730E9C" w:rsidR="00E37049" w:rsidP="00E37049" w:rsidRDefault="00E37049" w14:paraId="3613056B" w14:textId="0FEC177F">
            <w:pPr>
              <w:numPr>
                <w:ilvl w:val="0"/>
                <w:numId w:val="1"/>
              </w:numPr>
              <w:tabs>
                <w:tab w:val="left" w:pos="1152"/>
              </w:tabs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1E0AAE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Total Development Costs  </w:t>
            </w:r>
            <w:r w:rsidRPr="001E0AAE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 xml:space="preserve">Regulatory Authority: </w:t>
            </w:r>
            <w:r w:rsidR="00BB6E8C">
              <w:t>24 CFR § 905.314(c)-(d).</w:t>
            </w:r>
          </w:p>
        </w:tc>
        <w:tc>
          <w:tcPr>
            <w:tcW w:w="1123" w:type="dxa"/>
          </w:tcPr>
          <w:p w:rsidR="00E37049" w:rsidP="00E37049" w:rsidRDefault="00E37049" w14:paraId="12C3BCC8" w14:textId="77777777"/>
        </w:tc>
      </w:tr>
      <w:tr w:rsidR="00E37049" w:rsidTr="00E37049" w14:paraId="1BE8E81E" w14:textId="77777777">
        <w:tc>
          <w:tcPr>
            <w:tcW w:w="1070" w:type="dxa"/>
          </w:tcPr>
          <w:p w:rsidR="00E37049" w:rsidP="00E37049" w:rsidRDefault="00E37049" w14:paraId="4F3C118B" w14:textId="77777777"/>
        </w:tc>
        <w:tc>
          <w:tcPr>
            <w:tcW w:w="7157" w:type="dxa"/>
          </w:tcPr>
          <w:p w:rsidRPr="00730E9C" w:rsidR="00E37049" w:rsidP="00E37049" w:rsidRDefault="00E37049" w14:paraId="3333CBAD" w14:textId="643CE03A">
            <w:pPr>
              <w:numPr>
                <w:ilvl w:val="0"/>
                <w:numId w:val="2"/>
              </w:numPr>
              <w:tabs>
                <w:tab w:val="left" w:pos="936"/>
              </w:tabs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A465D5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Cost and Other Limitations; Types of Labor </w:t>
            </w:r>
            <w:r w:rsidRPr="00A465D5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Regulatory Authority: 24 CFR § 905.314(j)</w:t>
            </w:r>
          </w:p>
        </w:tc>
        <w:tc>
          <w:tcPr>
            <w:tcW w:w="1123" w:type="dxa"/>
          </w:tcPr>
          <w:p w:rsidR="00E37049" w:rsidP="00E37049" w:rsidRDefault="00E37049" w14:paraId="65196FF5" w14:textId="77777777"/>
        </w:tc>
      </w:tr>
      <w:tr w:rsidR="00E37049" w:rsidTr="00E37049" w14:paraId="1432E64D" w14:textId="77777777">
        <w:tc>
          <w:tcPr>
            <w:tcW w:w="1070" w:type="dxa"/>
          </w:tcPr>
          <w:p w:rsidR="00E37049" w:rsidP="00E37049" w:rsidRDefault="00E37049" w14:paraId="0CA4791C" w14:textId="77777777"/>
        </w:tc>
        <w:tc>
          <w:tcPr>
            <w:tcW w:w="7157" w:type="dxa"/>
          </w:tcPr>
          <w:p w:rsidRPr="00730E9C" w:rsidR="00E37049" w:rsidP="00E37049" w:rsidRDefault="00E37049" w14:paraId="13296AB4" w14:textId="16D13130">
            <w:pPr>
              <w:numPr>
                <w:ilvl w:val="0"/>
                <w:numId w:val="2"/>
              </w:numPr>
              <w:tabs>
                <w:tab w:val="left" w:pos="936"/>
              </w:tabs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8E6F7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ACOP: Adoption of Tenant Selection Policies </w:t>
            </w:r>
            <w:r w:rsidRPr="008E6F7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Regulatory Authority: 24 CFR § 960.202(c)(1)</w:t>
            </w:r>
          </w:p>
        </w:tc>
        <w:tc>
          <w:tcPr>
            <w:tcW w:w="1123" w:type="dxa"/>
          </w:tcPr>
          <w:p w:rsidR="00E37049" w:rsidP="00E37049" w:rsidRDefault="00E37049" w14:paraId="36EF44E5" w14:textId="77777777"/>
        </w:tc>
      </w:tr>
      <w:tr w:rsidR="00E37049" w:rsidTr="00E37049" w14:paraId="56FA7D44" w14:textId="77777777">
        <w:tc>
          <w:tcPr>
            <w:tcW w:w="1070" w:type="dxa"/>
          </w:tcPr>
          <w:p w:rsidR="00E37049" w:rsidP="00E37049" w:rsidRDefault="00E37049" w14:paraId="7FB9DB08" w14:textId="77777777"/>
        </w:tc>
        <w:tc>
          <w:tcPr>
            <w:tcW w:w="7157" w:type="dxa"/>
          </w:tcPr>
          <w:p w:rsidRPr="00F11FBC" w:rsidR="00E37049" w:rsidP="00E37049" w:rsidRDefault="00E37049" w14:paraId="34EBDE9F" w14:textId="77777777">
            <w:pPr>
              <w:numPr>
                <w:ilvl w:val="0"/>
                <w:numId w:val="3"/>
              </w:numPr>
              <w:tabs>
                <w:tab w:val="left" w:pos="1008"/>
              </w:tabs>
              <w:spacing w:line="274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F11FB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Community Service and Self-Sufficiency Requirement (CSSR)</w:t>
            </w:r>
          </w:p>
          <w:p w:rsidRPr="00730E9C" w:rsidR="00E37049" w:rsidP="00E37049" w:rsidRDefault="00E37049" w14:paraId="6CEC3A92" w14:textId="06343D31">
            <w:pPr>
              <w:spacing w:line="276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F11FB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Statutory Authority: Section 12(c) of the USHA of 1937 </w:t>
            </w:r>
            <w:r w:rsidRPr="00F11FB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Regulatory Authority: 24 CFR § 960.603(a) and 960.603(b)</w:t>
            </w:r>
          </w:p>
        </w:tc>
        <w:tc>
          <w:tcPr>
            <w:tcW w:w="1123" w:type="dxa"/>
          </w:tcPr>
          <w:p w:rsidR="00E37049" w:rsidP="00E37049" w:rsidRDefault="00E37049" w14:paraId="3D8FF6C3" w14:textId="77777777"/>
        </w:tc>
      </w:tr>
      <w:tr w:rsidR="00E37049" w:rsidTr="00E37049" w14:paraId="1555F660" w14:textId="77777777">
        <w:tc>
          <w:tcPr>
            <w:tcW w:w="1070" w:type="dxa"/>
          </w:tcPr>
          <w:p w:rsidR="00E37049" w:rsidP="00E37049" w:rsidRDefault="00E37049" w14:paraId="62A47F27" w14:textId="77777777"/>
        </w:tc>
        <w:tc>
          <w:tcPr>
            <w:tcW w:w="7157" w:type="dxa"/>
          </w:tcPr>
          <w:p w:rsidRPr="00572D09" w:rsidR="00E37049" w:rsidP="006733AD" w:rsidRDefault="003322E0" w14:paraId="71ECA4A5" w14:textId="1480FD45">
            <w:pPr>
              <w:tabs>
                <w:tab w:val="left" w:pos="720"/>
                <w:tab w:val="left" w:pos="936"/>
              </w:tabs>
              <w:spacing w:line="274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sz w:val="24"/>
              </w:rPr>
              <w:t>PH-6</w:t>
            </w:r>
            <w:r w:rsidRPr="00572D09" w:rsidR="00E37049">
              <w:rPr>
                <w:rFonts w:ascii="Times New Roman" w:hAnsi="Times New Roman" w:eastAsia="Times New Roman" w:cs="Times New Roman"/>
                <w:bCs/>
                <w:color w:val="000000"/>
                <w:spacing w:val="-2"/>
                <w:sz w:val="24"/>
              </w:rPr>
              <w:t>Energy Audits</w:t>
            </w:r>
          </w:p>
          <w:p w:rsidRPr="00730E9C" w:rsidR="00E37049" w:rsidP="00E37049" w:rsidRDefault="00E37049" w14:paraId="62980110" w14:textId="6D7DEA06">
            <w:pPr>
              <w:spacing w:line="276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572D09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Regulatory Authority: 24 CFR § 965.302</w:t>
            </w:r>
          </w:p>
        </w:tc>
        <w:tc>
          <w:tcPr>
            <w:tcW w:w="1123" w:type="dxa"/>
          </w:tcPr>
          <w:p w:rsidR="00E37049" w:rsidP="00E37049" w:rsidRDefault="00E37049" w14:paraId="7C6DA4BE" w14:textId="77777777"/>
        </w:tc>
      </w:tr>
      <w:tr w:rsidR="00E37049" w:rsidTr="00E37049" w14:paraId="5294C3F9" w14:textId="77777777">
        <w:tc>
          <w:tcPr>
            <w:tcW w:w="1070" w:type="dxa"/>
          </w:tcPr>
          <w:p w:rsidR="00E37049" w:rsidP="00E37049" w:rsidRDefault="00E37049" w14:paraId="1DD98357" w14:textId="77777777"/>
        </w:tc>
        <w:tc>
          <w:tcPr>
            <w:tcW w:w="7157" w:type="dxa"/>
          </w:tcPr>
          <w:p w:rsidRPr="00C22726" w:rsidR="00E37049" w:rsidP="00E37049" w:rsidRDefault="00E37049" w14:paraId="27B740E9" w14:textId="77777777">
            <w:pPr>
              <w:numPr>
                <w:ilvl w:val="0"/>
                <w:numId w:val="4"/>
              </w:numPr>
              <w:tabs>
                <w:tab w:val="left" w:pos="936"/>
              </w:tabs>
              <w:spacing w:line="274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</w:pPr>
            <w:r w:rsidRPr="00C22726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Over-Income Families</w:t>
            </w:r>
          </w:p>
          <w:p w:rsidRPr="00C22726" w:rsidR="00E37049" w:rsidP="00E37049" w:rsidRDefault="00E37049" w14:paraId="3C41E7DD" w14:textId="77777777">
            <w:pPr>
              <w:spacing w:line="276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C22726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Statutory Authority: Section 16(a)(5) of the USHA of 1937</w:t>
            </w:r>
          </w:p>
          <w:p w:rsidRPr="00730E9C" w:rsidR="00E37049" w:rsidP="00E37049" w:rsidRDefault="00E37049" w14:paraId="08A013AD" w14:textId="5D5A7E89">
            <w:pPr>
              <w:spacing w:line="275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C22726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Regulatory Authority: Housing Opportunity Through Modernization Act of 2016: Final Implementation of the Public Housing Income Limit (83 FR 35490, July 26, 2018) Sub-regulatory Guidance: Notice PIH 2019-11</w:t>
            </w:r>
          </w:p>
        </w:tc>
        <w:tc>
          <w:tcPr>
            <w:tcW w:w="1123" w:type="dxa"/>
          </w:tcPr>
          <w:p w:rsidR="00E37049" w:rsidP="00E37049" w:rsidRDefault="00E37049" w14:paraId="001F79EA" w14:textId="77777777"/>
        </w:tc>
      </w:tr>
      <w:tr w:rsidR="00E37049" w:rsidTr="00E37049" w14:paraId="28B37AA3" w14:textId="77777777">
        <w:tc>
          <w:tcPr>
            <w:tcW w:w="1070" w:type="dxa"/>
          </w:tcPr>
          <w:p w:rsidR="00E37049" w:rsidP="00E37049" w:rsidRDefault="00E37049" w14:paraId="302F099E" w14:textId="77777777"/>
        </w:tc>
        <w:tc>
          <w:tcPr>
            <w:tcW w:w="7157" w:type="dxa"/>
          </w:tcPr>
          <w:p w:rsidRPr="006251CC" w:rsidR="00E37049" w:rsidP="00E37049" w:rsidRDefault="00E37049" w14:paraId="3031F57B" w14:textId="77777777">
            <w:pPr>
              <w:numPr>
                <w:ilvl w:val="0"/>
                <w:numId w:val="4"/>
              </w:numPr>
              <w:tabs>
                <w:tab w:val="left" w:pos="936"/>
              </w:tabs>
              <w:spacing w:line="274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6251CC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Resident Council elections</w:t>
            </w:r>
          </w:p>
          <w:p w:rsidRPr="00730E9C" w:rsidR="00E37049" w:rsidP="00E37049" w:rsidRDefault="00E37049" w14:paraId="25157E95" w14:textId="20655032">
            <w:pPr>
              <w:spacing w:line="276" w:lineRule="exact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</w:pPr>
            <w:r w:rsidRPr="006251CC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Regulatory Authority: 24 CFR § 964.130(a)(1)</w:t>
            </w:r>
          </w:p>
        </w:tc>
        <w:tc>
          <w:tcPr>
            <w:tcW w:w="1123" w:type="dxa"/>
          </w:tcPr>
          <w:p w:rsidR="00E37049" w:rsidP="00E37049" w:rsidRDefault="00E37049" w14:paraId="44A5D399" w14:textId="77777777"/>
        </w:tc>
      </w:tr>
      <w:tr w:rsidR="00E37049" w:rsidTr="00E37049" w14:paraId="6317F8AF" w14:textId="77777777">
        <w:tc>
          <w:tcPr>
            <w:tcW w:w="1070" w:type="dxa"/>
          </w:tcPr>
          <w:p w:rsidR="00E37049" w:rsidP="00E37049" w:rsidRDefault="00E37049" w14:paraId="087481D4" w14:textId="77777777"/>
        </w:tc>
        <w:tc>
          <w:tcPr>
            <w:tcW w:w="7157" w:type="dxa"/>
          </w:tcPr>
          <w:p w:rsidRPr="00730E9C" w:rsidR="00E37049" w:rsidP="00E37049" w:rsidRDefault="00E37049" w14:paraId="7C8DD4C2" w14:textId="25E28367">
            <w:pPr>
              <w:numPr>
                <w:ilvl w:val="0"/>
                <w:numId w:val="4"/>
              </w:numPr>
              <w:tabs>
                <w:tab w:val="left" w:pos="936"/>
              </w:tabs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D255BD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Review and Revision of Utility Allowances </w:t>
            </w:r>
            <w:r w:rsidRPr="00D255BD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Regulatory Authority: 24 CFR § 965.507</w:t>
            </w:r>
          </w:p>
        </w:tc>
        <w:tc>
          <w:tcPr>
            <w:tcW w:w="1123" w:type="dxa"/>
          </w:tcPr>
          <w:p w:rsidR="00E37049" w:rsidP="00E37049" w:rsidRDefault="00E37049" w14:paraId="68280A17" w14:textId="77777777"/>
        </w:tc>
      </w:tr>
      <w:tr w:rsidR="00E37049" w:rsidTr="00E37049" w14:paraId="5D58C845" w14:textId="77777777">
        <w:tc>
          <w:tcPr>
            <w:tcW w:w="1070" w:type="dxa"/>
          </w:tcPr>
          <w:p w:rsidR="00E37049" w:rsidP="00E37049" w:rsidRDefault="00E37049" w14:paraId="29AC33BB" w14:textId="77777777"/>
        </w:tc>
        <w:tc>
          <w:tcPr>
            <w:tcW w:w="7157" w:type="dxa"/>
          </w:tcPr>
          <w:p w:rsidRPr="00730E9C" w:rsidR="00E37049" w:rsidP="00E37049" w:rsidRDefault="00E37049" w14:paraId="70ADCEF6" w14:textId="2F9AC892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811D19">
              <w:rPr>
                <w:rFonts w:ascii="Times New Roman" w:hAnsi="Times New Roman" w:eastAsia="Times New Roman" w:cs="Times New Roman"/>
                <w:b/>
                <w:color w:val="000000"/>
                <w:sz w:val="24"/>
                <w:u w:val="single"/>
              </w:rPr>
              <w:t>PH-10</w:t>
            </w:r>
            <w:r w:rsidRPr="00B16FE1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: Tenant Notifications for Changes to Project Rules and Regulations Regulatory Authority: 24 CFR § 966.5</w:t>
            </w:r>
          </w:p>
        </w:tc>
        <w:tc>
          <w:tcPr>
            <w:tcW w:w="1123" w:type="dxa"/>
          </w:tcPr>
          <w:p w:rsidR="00E37049" w:rsidP="00E37049" w:rsidRDefault="00E37049" w14:paraId="56E9AB2D" w14:textId="77777777"/>
        </w:tc>
      </w:tr>
      <w:tr w:rsidR="00E37049" w:rsidTr="00E37049" w14:paraId="67450A60" w14:textId="77777777">
        <w:tc>
          <w:tcPr>
            <w:tcW w:w="1070" w:type="dxa"/>
          </w:tcPr>
          <w:p w:rsidR="00E37049" w:rsidP="00E37049" w:rsidRDefault="00E37049" w14:paraId="2B080221" w14:textId="77777777"/>
        </w:tc>
        <w:tc>
          <w:tcPr>
            <w:tcW w:w="7157" w:type="dxa"/>
          </w:tcPr>
          <w:p w:rsidRPr="00811D19" w:rsidR="00E37049" w:rsidP="00E37049" w:rsidRDefault="00E37049" w14:paraId="7842AE3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11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PH-11</w:t>
            </w:r>
            <w:r w:rsidRPr="00811D19">
              <w:rPr>
                <w:rFonts w:ascii="Times New Roman" w:hAnsi="Times New Roman" w:cs="Times New Roman"/>
                <w:sz w:val="24"/>
                <w:szCs w:val="24"/>
              </w:rPr>
              <w:t>: Designated Housing Plan Renewals</w:t>
            </w:r>
          </w:p>
          <w:p w:rsidRPr="00E37049" w:rsidR="00E37049" w:rsidP="00E37049" w:rsidRDefault="00E37049" w14:paraId="6D4687B0" w14:textId="370905BD">
            <w:pPr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811D19">
              <w:rPr>
                <w:rFonts w:ascii="Times New Roman" w:hAnsi="Times New Roman" w:cs="Times New Roman"/>
                <w:sz w:val="24"/>
                <w:szCs w:val="24"/>
              </w:rPr>
              <w:t>Statutory Authority: Section 7(f)</w:t>
            </w:r>
          </w:p>
        </w:tc>
        <w:tc>
          <w:tcPr>
            <w:tcW w:w="1123" w:type="dxa"/>
          </w:tcPr>
          <w:p w:rsidR="00E37049" w:rsidP="00E37049" w:rsidRDefault="00E37049" w14:paraId="45D0687B" w14:textId="77777777"/>
        </w:tc>
      </w:tr>
      <w:tr w:rsidR="00E37049" w:rsidTr="00E37049" w14:paraId="117E43E9" w14:textId="77777777">
        <w:tc>
          <w:tcPr>
            <w:tcW w:w="1070" w:type="dxa"/>
          </w:tcPr>
          <w:p w:rsidR="00E37049" w:rsidP="00E37049" w:rsidRDefault="00E37049" w14:paraId="0CB50B8C" w14:textId="77777777"/>
        </w:tc>
        <w:tc>
          <w:tcPr>
            <w:tcW w:w="7157" w:type="dxa"/>
          </w:tcPr>
          <w:p w:rsidR="00E37049" w:rsidP="00E37049" w:rsidRDefault="00E37049" w14:paraId="32CD75B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73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PH-12</w:t>
            </w:r>
            <w:r w:rsidRPr="00811D19">
              <w:rPr>
                <w:rFonts w:ascii="Times New Roman" w:hAnsi="Times New Roman" w:cs="Times New Roman"/>
                <w:sz w:val="24"/>
                <w:szCs w:val="24"/>
              </w:rPr>
              <w:t>: Public Housing Agency Annual Self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D19">
              <w:rPr>
                <w:rFonts w:ascii="Times New Roman" w:hAnsi="Times New Roman" w:cs="Times New Roman"/>
                <w:sz w:val="24"/>
                <w:szCs w:val="24"/>
              </w:rPr>
              <w:t>Inspections</w:t>
            </w:r>
          </w:p>
          <w:p w:rsidRPr="00E37049" w:rsidR="00E37049" w:rsidP="00E37049" w:rsidRDefault="00E37049" w14:paraId="1888C2EB" w14:textId="012403A8">
            <w:pPr>
              <w:textAlignment w:val="baseline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t>Statutory Authority: Section 6(f)(3) Regulatory Authority: § 902.20(d)</w:t>
            </w:r>
          </w:p>
        </w:tc>
        <w:tc>
          <w:tcPr>
            <w:tcW w:w="1123" w:type="dxa"/>
          </w:tcPr>
          <w:p w:rsidR="00E37049" w:rsidP="00E37049" w:rsidRDefault="00E37049" w14:paraId="51AA68AB" w14:textId="77777777"/>
        </w:tc>
      </w:tr>
      <w:tr w:rsidR="00E37049" w:rsidTr="00E37049" w14:paraId="515984ED" w14:textId="77777777">
        <w:tc>
          <w:tcPr>
            <w:tcW w:w="1070" w:type="dxa"/>
          </w:tcPr>
          <w:p w:rsidR="00E37049" w:rsidP="00E37049" w:rsidRDefault="00E37049" w14:paraId="57313251" w14:textId="77777777"/>
        </w:tc>
        <w:tc>
          <w:tcPr>
            <w:tcW w:w="7157" w:type="dxa"/>
          </w:tcPr>
          <w:p w:rsidR="00E37049" w:rsidP="00E37049" w:rsidRDefault="00E37049" w14:paraId="558B3898" w14:textId="77777777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§ 11.a. PHAS, SEMAP, and Uniform Financial Reporting Standards:</w:t>
            </w:r>
          </w:p>
          <w:p w:rsidR="00E37049" w:rsidP="00E37049" w:rsidRDefault="00E37049" w14:paraId="15643534" w14:textId="3C9F8609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PHAS. Regulatory Authority 24 CFR Part 902</w:t>
            </w:r>
          </w:p>
        </w:tc>
        <w:tc>
          <w:tcPr>
            <w:tcW w:w="1123" w:type="dxa"/>
          </w:tcPr>
          <w:p w:rsidR="00E37049" w:rsidP="00E37049" w:rsidRDefault="00E37049" w14:paraId="4059D552" w14:textId="77777777"/>
        </w:tc>
      </w:tr>
      <w:tr w:rsidR="00E37049" w:rsidTr="00E37049" w14:paraId="6765F1A9" w14:textId="77777777">
        <w:tc>
          <w:tcPr>
            <w:tcW w:w="1070" w:type="dxa"/>
          </w:tcPr>
          <w:p w:rsidR="00E37049" w:rsidP="00E37049" w:rsidRDefault="00E37049" w14:paraId="68BF0F4C" w14:textId="77777777"/>
        </w:tc>
        <w:tc>
          <w:tcPr>
            <w:tcW w:w="7157" w:type="dxa"/>
          </w:tcPr>
          <w:p w:rsidRPr="00754B7D" w:rsidR="00E37049" w:rsidP="00E37049" w:rsidRDefault="00E37049" w14:paraId="0C5FF74D" w14:textId="65BDC79C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 xml:space="preserve">§ 11.b. </w:t>
            </w:r>
            <w:r w:rsidRPr="00AD6EE8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PHAS, SEMAP, and Uniform Financial Reporting Standards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 xml:space="preserve">: SEMAP. </w:t>
            </w:r>
            <w:r w:rsidRPr="009F5282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Regulatory Authority: 24 CFR Part 985</w:t>
            </w:r>
          </w:p>
        </w:tc>
        <w:tc>
          <w:tcPr>
            <w:tcW w:w="1123" w:type="dxa"/>
          </w:tcPr>
          <w:p w:rsidR="00E37049" w:rsidP="00E37049" w:rsidRDefault="00E37049" w14:paraId="589F03E9" w14:textId="77777777"/>
        </w:tc>
      </w:tr>
      <w:tr w:rsidR="00E37049" w:rsidTr="00E37049" w14:paraId="445C932F" w14:textId="77777777">
        <w:tc>
          <w:tcPr>
            <w:tcW w:w="1070" w:type="dxa"/>
          </w:tcPr>
          <w:p w:rsidR="00E37049" w:rsidP="00E37049" w:rsidRDefault="00E37049" w14:paraId="4CF4CF70" w14:textId="77777777"/>
        </w:tc>
        <w:tc>
          <w:tcPr>
            <w:tcW w:w="7157" w:type="dxa"/>
          </w:tcPr>
          <w:p w:rsidR="00E37049" w:rsidP="00E37049" w:rsidRDefault="00E37049" w14:paraId="12924595" w14:textId="11E7E170">
            <w:pPr>
              <w:numPr>
                <w:ilvl w:val="0"/>
                <w:numId w:val="5"/>
              </w:numPr>
              <w:tabs>
                <w:tab w:val="clear" w:pos="360"/>
                <w:tab w:val="left" w:pos="576"/>
              </w:tabs>
              <w:ind w:hanging="360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§ 11.c. </w:t>
            </w:r>
            <w:r w:rsidRPr="00AD6EE8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PHAS, SEMAP, and Uniform Financial Reporting Standards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:</w:t>
            </w:r>
          </w:p>
          <w:p w:rsidR="00E37049" w:rsidP="00E37049" w:rsidRDefault="00E37049" w14:paraId="27B132EB" w14:textId="2B30E099">
            <w:pPr>
              <w:numPr>
                <w:ilvl w:val="0"/>
                <w:numId w:val="5"/>
              </w:numPr>
              <w:tabs>
                <w:tab w:val="clear" w:pos="360"/>
                <w:tab w:val="left" w:pos="576"/>
              </w:tabs>
              <w:ind w:hanging="360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4442CA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Uniform financial reporting standards; Filing of financial reports; Reporting Compliance Dates </w:t>
            </w:r>
          </w:p>
          <w:p w:rsidRPr="009F5282" w:rsidR="00E37049" w:rsidP="00E37049" w:rsidRDefault="00E37049" w14:paraId="7614210A" w14:textId="1C27388D">
            <w:pPr>
              <w:tabs>
                <w:tab w:val="left" w:pos="360"/>
                <w:tab w:val="left" w:pos="576"/>
              </w:tabs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9F5282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Regulatory Authority: 24 CFR §§ 5.801(c), 5.801(d)(1)</w:t>
            </w:r>
          </w:p>
        </w:tc>
        <w:tc>
          <w:tcPr>
            <w:tcW w:w="1123" w:type="dxa"/>
          </w:tcPr>
          <w:p w:rsidR="00E37049" w:rsidP="00E37049" w:rsidRDefault="00E37049" w14:paraId="7D446827" w14:textId="77777777"/>
        </w:tc>
      </w:tr>
      <w:tr w:rsidR="00E37049" w:rsidTr="00E37049" w14:paraId="0CC708CB" w14:textId="77777777">
        <w:tc>
          <w:tcPr>
            <w:tcW w:w="1070" w:type="dxa"/>
          </w:tcPr>
          <w:p w:rsidR="00E37049" w:rsidP="00E37049" w:rsidRDefault="00E37049" w14:paraId="2E874505" w14:textId="77777777"/>
        </w:tc>
        <w:tc>
          <w:tcPr>
            <w:tcW w:w="7157" w:type="dxa"/>
          </w:tcPr>
          <w:p w:rsidRPr="00554409" w:rsidR="00E37049" w:rsidP="00E37049" w:rsidRDefault="00E37049" w14:paraId="0AAD009E" w14:textId="64F3ECD1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 xml:space="preserve">§ </w:t>
            </w:r>
            <w:r w:rsidRPr="00554409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12.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a.</w:t>
            </w:r>
            <w:r w:rsidRPr="00554409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 xml:space="preserve"> Other Waivers and Administrative Relief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  <w:t xml:space="preserve">: </w:t>
            </w:r>
            <w:r w:rsidRPr="00554409">
              <w:rPr>
                <w:rFonts w:ascii="Times New Roman" w:hAnsi="Times New Roman" w:eastAsia="Times New Roman" w:cs="Times New Roman"/>
                <w:bCs/>
                <w:color w:val="000000"/>
                <w:spacing w:val="2"/>
                <w:sz w:val="24"/>
              </w:rPr>
              <w:t xml:space="preserve">PHA Reporting Requirements on HUD Form 50058 </w:t>
            </w:r>
          </w:p>
          <w:p w:rsidRPr="009F5282" w:rsidR="00E37049" w:rsidP="00E37049" w:rsidRDefault="00E37049" w14:paraId="5562DBA9" w14:textId="16CA6F2B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554409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Regulatory Authority: 24 CFR Part 908, § 982.158 </w:t>
            </w:r>
            <w:r w:rsidRPr="00554409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Sub-regulatory Guidance: PIH Notice 2011-65</w:t>
            </w:r>
          </w:p>
        </w:tc>
        <w:tc>
          <w:tcPr>
            <w:tcW w:w="1123" w:type="dxa"/>
          </w:tcPr>
          <w:p w:rsidR="00E37049" w:rsidP="00E37049" w:rsidRDefault="00E37049" w14:paraId="4C91B484" w14:textId="77777777"/>
        </w:tc>
      </w:tr>
      <w:tr w:rsidR="00E37049" w:rsidTr="00E37049" w14:paraId="24D1DA33" w14:textId="77777777">
        <w:tc>
          <w:tcPr>
            <w:tcW w:w="1070" w:type="dxa"/>
          </w:tcPr>
          <w:p w:rsidR="00E37049" w:rsidP="00E37049" w:rsidRDefault="00E37049" w14:paraId="4AA9093F" w14:textId="77777777"/>
        </w:tc>
        <w:tc>
          <w:tcPr>
            <w:tcW w:w="7157" w:type="dxa"/>
          </w:tcPr>
          <w:p w:rsidRPr="009F5282" w:rsidR="00E37049" w:rsidP="00E37049" w:rsidRDefault="00E37049" w14:paraId="60D478AD" w14:textId="7A68818C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§</w:t>
            </w:r>
            <w:proofErr w:type="gramStart"/>
            <w:r w:rsidRPr="00554409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12.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b.</w:t>
            </w:r>
            <w:proofErr w:type="gramEnd"/>
            <w:r w:rsidRPr="00554409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 xml:space="preserve"> Other Waivers and Administrative Relief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: </w:t>
            </w:r>
            <w:r w:rsidRPr="00481A5B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Designated Housing Plans – HUD 60 Day Notification </w:t>
            </w:r>
            <w:r w:rsidRPr="00481A5B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br/>
              <w:t>Statutory Authority: Section 7(e)(1) of the USHA of 1937</w:t>
            </w:r>
          </w:p>
        </w:tc>
        <w:tc>
          <w:tcPr>
            <w:tcW w:w="1123" w:type="dxa"/>
          </w:tcPr>
          <w:p w:rsidR="00E37049" w:rsidP="00E37049" w:rsidRDefault="00E37049" w14:paraId="52265D30" w14:textId="77777777"/>
        </w:tc>
      </w:tr>
      <w:tr w:rsidR="00E37049" w:rsidTr="00E37049" w14:paraId="79DDF499" w14:textId="77777777">
        <w:tc>
          <w:tcPr>
            <w:tcW w:w="1070" w:type="dxa"/>
          </w:tcPr>
          <w:p w:rsidR="00E37049" w:rsidP="00E37049" w:rsidRDefault="00E37049" w14:paraId="15363458" w14:textId="77777777"/>
        </w:tc>
        <w:tc>
          <w:tcPr>
            <w:tcW w:w="7157" w:type="dxa"/>
          </w:tcPr>
          <w:p w:rsidR="00E37049" w:rsidP="00E37049" w:rsidRDefault="00E37049" w14:paraId="69782AD1" w14:textId="6A4616E4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§</w:t>
            </w:r>
            <w:proofErr w:type="gramStart"/>
            <w:r w:rsidRPr="00554409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12.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>c.</w:t>
            </w:r>
            <w:proofErr w:type="gramEnd"/>
            <w:r w:rsidRPr="00554409">
              <w:rPr>
                <w:rFonts w:ascii="Times New Roman" w:hAnsi="Times New Roman" w:eastAsia="Times New Roman" w:cs="Times New Roman"/>
                <w:bCs/>
                <w:color w:val="000000"/>
                <w:spacing w:val="1"/>
                <w:sz w:val="24"/>
              </w:rPr>
              <w:t xml:space="preserve"> Other Waivers and Administrative Relief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: </w:t>
            </w:r>
            <w:r w:rsidRPr="009F5282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 xml:space="preserve">Extension of Deadline for Programmatic Obligation and Expenditure of Capital Funds </w:t>
            </w:r>
          </w:p>
          <w:p w:rsidRPr="009F5282" w:rsidR="00E37049" w:rsidP="00E37049" w:rsidRDefault="00E37049" w14:paraId="227FEC24" w14:textId="68719BF0">
            <w:pPr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 w:rsidRPr="009F5282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Statutory Authority: Section 9(j)</w:t>
            </w:r>
          </w:p>
          <w:p w:rsidRPr="004442CA" w:rsidR="00E37049" w:rsidP="00E37049" w:rsidRDefault="00E37049" w14:paraId="5B82CC17" w14:textId="33252A52">
            <w:pPr>
              <w:textAlignment w:val="baseline"/>
              <w:rPr>
                <w:rFonts w:eastAsia="Times New Roman"/>
                <w:bCs/>
                <w:color w:val="000000"/>
                <w:sz w:val="24"/>
              </w:rPr>
            </w:pPr>
            <w:r w:rsidRPr="009F5282"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Regulatory Authority: 24 CFR § 905.306(d)(5) and 905.306(f)</w:t>
            </w:r>
          </w:p>
        </w:tc>
        <w:tc>
          <w:tcPr>
            <w:tcW w:w="1123" w:type="dxa"/>
          </w:tcPr>
          <w:p w:rsidR="00E37049" w:rsidP="00E37049" w:rsidRDefault="00E37049" w14:paraId="43DC6A11" w14:textId="77777777"/>
        </w:tc>
      </w:tr>
    </w:tbl>
    <w:p w:rsidR="000430FF" w:rsidRDefault="000430FF" w14:paraId="3EFEF89E" w14:textId="1BCD8B55"/>
    <w:p w:rsidR="009F5282" w:rsidRDefault="009F5282" w14:paraId="3766EB4F" w14:textId="025E0EB8"/>
    <w:p w:rsidRPr="009E6666" w:rsidR="009F5282" w:rsidRDefault="009F5282" w14:paraId="009DFE26" w14:textId="19A0B8A6">
      <w:pPr>
        <w:rPr>
          <w:rFonts w:ascii="Times New Roman" w:hAnsi="Times New Roman" w:cs="Times New Roman"/>
          <w:sz w:val="24"/>
          <w:szCs w:val="24"/>
        </w:rPr>
      </w:pPr>
    </w:p>
    <w:p w:rsidRPr="009E6666" w:rsidR="009F5282" w:rsidRDefault="009F5282" w14:paraId="4BF8361E" w14:textId="77777777">
      <w:pPr>
        <w:rPr>
          <w:rFonts w:ascii="Times New Roman" w:hAnsi="Times New Roman" w:cs="Times New Roman"/>
          <w:sz w:val="24"/>
          <w:szCs w:val="24"/>
        </w:rPr>
      </w:pPr>
    </w:p>
    <w:p w:rsidRPr="009E6666" w:rsidR="003028B4" w:rsidRDefault="003028B4" w14:paraId="2DA50AC3" w14:textId="2F9AA70B">
      <w:pPr>
        <w:pBdr>
          <w:bottom w:val="single" w:color="auto" w:sz="12" w:space="1"/>
        </w:pBdr>
        <w:rPr>
          <w:rFonts w:ascii="Times New Roman" w:hAnsi="Times New Roman" w:cs="Times New Roman"/>
          <w:sz w:val="24"/>
          <w:szCs w:val="24"/>
        </w:rPr>
      </w:pPr>
    </w:p>
    <w:p w:rsidRPr="009E6666" w:rsidR="003028B4" w:rsidRDefault="009F5282" w14:paraId="5EE91DB0" w14:textId="61A2A8D7">
      <w:pPr>
        <w:rPr>
          <w:rFonts w:ascii="Times New Roman" w:hAnsi="Times New Roman" w:cs="Times New Roman"/>
          <w:sz w:val="24"/>
          <w:szCs w:val="24"/>
        </w:rPr>
      </w:pPr>
      <w:r w:rsidRPr="009E6666">
        <w:rPr>
          <w:rFonts w:ascii="Times New Roman" w:hAnsi="Times New Roman" w:cs="Times New Roman"/>
          <w:sz w:val="24"/>
          <w:szCs w:val="24"/>
        </w:rPr>
        <w:t xml:space="preserve">Signature of </w:t>
      </w:r>
      <w:r w:rsidRPr="009E6666" w:rsidR="003028B4">
        <w:rPr>
          <w:rFonts w:ascii="Times New Roman" w:hAnsi="Times New Roman" w:cs="Times New Roman"/>
          <w:sz w:val="24"/>
          <w:szCs w:val="24"/>
        </w:rPr>
        <w:t>Authorized Official</w:t>
      </w:r>
      <w:r w:rsidRPr="009E6666" w:rsidR="003028B4">
        <w:rPr>
          <w:rFonts w:ascii="Times New Roman" w:hAnsi="Times New Roman" w:cs="Times New Roman"/>
          <w:sz w:val="24"/>
          <w:szCs w:val="24"/>
        </w:rPr>
        <w:tab/>
      </w:r>
      <w:r w:rsidRPr="009E6666">
        <w:rPr>
          <w:rFonts w:ascii="Times New Roman" w:hAnsi="Times New Roman" w:cs="Times New Roman"/>
          <w:sz w:val="24"/>
          <w:szCs w:val="24"/>
        </w:rPr>
        <w:tab/>
      </w:r>
      <w:r w:rsidRPr="009E6666">
        <w:rPr>
          <w:rFonts w:ascii="Times New Roman" w:hAnsi="Times New Roman" w:cs="Times New Roman"/>
          <w:sz w:val="24"/>
          <w:szCs w:val="24"/>
        </w:rPr>
        <w:tab/>
      </w:r>
      <w:r w:rsidRPr="009E6666">
        <w:rPr>
          <w:rFonts w:ascii="Times New Roman" w:hAnsi="Times New Roman" w:cs="Times New Roman"/>
          <w:sz w:val="24"/>
          <w:szCs w:val="24"/>
        </w:rPr>
        <w:tab/>
      </w:r>
      <w:r w:rsidRPr="009E6666">
        <w:rPr>
          <w:rFonts w:ascii="Times New Roman" w:hAnsi="Times New Roman" w:cs="Times New Roman"/>
          <w:sz w:val="24"/>
          <w:szCs w:val="24"/>
        </w:rPr>
        <w:tab/>
      </w:r>
      <w:r w:rsidRPr="009E6666">
        <w:rPr>
          <w:rFonts w:ascii="Times New Roman" w:hAnsi="Times New Roman" w:cs="Times New Roman"/>
          <w:sz w:val="24"/>
          <w:szCs w:val="24"/>
        </w:rPr>
        <w:tab/>
      </w:r>
      <w:r w:rsidRPr="009E6666">
        <w:rPr>
          <w:rFonts w:ascii="Times New Roman" w:hAnsi="Times New Roman" w:cs="Times New Roman"/>
          <w:sz w:val="24"/>
          <w:szCs w:val="24"/>
        </w:rPr>
        <w:tab/>
      </w:r>
      <w:r w:rsidRPr="009E6666">
        <w:rPr>
          <w:rFonts w:ascii="Times New Roman" w:hAnsi="Times New Roman" w:cs="Times New Roman"/>
          <w:sz w:val="24"/>
          <w:szCs w:val="24"/>
        </w:rPr>
        <w:tab/>
      </w:r>
      <w:r w:rsidRPr="009E6666" w:rsidR="003028B4">
        <w:rPr>
          <w:rFonts w:ascii="Times New Roman" w:hAnsi="Times New Roman" w:cs="Times New Roman"/>
          <w:sz w:val="24"/>
          <w:szCs w:val="24"/>
        </w:rPr>
        <w:t>Date</w:t>
      </w:r>
    </w:p>
    <w:p w:rsidRPr="009E6666" w:rsidR="009F5282" w:rsidRDefault="009F5282" w14:paraId="4240E9A3" w14:textId="5283FCDC">
      <w:pPr>
        <w:rPr>
          <w:rFonts w:ascii="Times New Roman" w:hAnsi="Times New Roman" w:cs="Times New Roman"/>
          <w:sz w:val="24"/>
          <w:szCs w:val="24"/>
        </w:rPr>
      </w:pPr>
      <w:r w:rsidRPr="009E6666">
        <w:rPr>
          <w:rFonts w:ascii="Times New Roman" w:hAnsi="Times New Roman" w:cs="Times New Roman"/>
          <w:sz w:val="24"/>
          <w:szCs w:val="24"/>
        </w:rPr>
        <w:t>Email:</w:t>
      </w:r>
    </w:p>
    <w:p w:rsidRPr="009E6666" w:rsidR="009F5282" w:rsidRDefault="009F5282" w14:paraId="2C8870A5" w14:textId="140EC737">
      <w:pPr>
        <w:rPr>
          <w:rFonts w:ascii="Times New Roman" w:hAnsi="Times New Roman" w:cs="Times New Roman"/>
          <w:sz w:val="24"/>
          <w:szCs w:val="24"/>
        </w:rPr>
      </w:pPr>
      <w:r w:rsidRPr="009E6666">
        <w:rPr>
          <w:rFonts w:ascii="Times New Roman" w:hAnsi="Times New Roman" w:cs="Times New Roman"/>
          <w:sz w:val="24"/>
          <w:szCs w:val="24"/>
        </w:rPr>
        <w:t>Phone:</w:t>
      </w:r>
    </w:p>
    <w:p w:rsidR="003028B4" w:rsidRDefault="003028B4" w14:paraId="6F1B0B24" w14:textId="77777777"/>
    <w:sectPr w:rsidR="003028B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E9C42" w14:textId="77777777" w:rsidR="00E10B29" w:rsidRDefault="00E10B29" w:rsidP="00BD0E93">
      <w:pPr>
        <w:spacing w:after="0" w:line="240" w:lineRule="auto"/>
      </w:pPr>
      <w:r>
        <w:separator/>
      </w:r>
    </w:p>
  </w:endnote>
  <w:endnote w:type="continuationSeparator" w:id="0">
    <w:p w14:paraId="24CDE646" w14:textId="77777777" w:rsidR="00E10B29" w:rsidRDefault="00E10B29" w:rsidP="00BD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43339" w14:textId="199C307A" w:rsidR="00C500B0" w:rsidRPr="00C500B0" w:rsidRDefault="00C500B0" w:rsidP="00C500B0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</w:t>
    </w:r>
    <w:r w:rsidRPr="00C500B0">
      <w:rPr>
        <w:rFonts w:ascii="Times New Roman" w:hAnsi="Times New Roman" w:cs="Times New Roman"/>
        <w:sz w:val="20"/>
        <w:szCs w:val="20"/>
      </w:rPr>
      <w:t>orm HUD-5883</w:t>
    </w:r>
  </w:p>
  <w:p w14:paraId="0CB94A5A" w14:textId="77777777" w:rsidR="00C500B0" w:rsidRDefault="00C50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48363" w14:textId="77777777" w:rsidR="00E10B29" w:rsidRDefault="00E10B29" w:rsidP="00BD0E93">
      <w:pPr>
        <w:spacing w:after="0" w:line="240" w:lineRule="auto"/>
      </w:pPr>
      <w:r>
        <w:separator/>
      </w:r>
    </w:p>
  </w:footnote>
  <w:footnote w:type="continuationSeparator" w:id="0">
    <w:p w14:paraId="5CFB40C3" w14:textId="77777777" w:rsidR="00E10B29" w:rsidRDefault="00E10B29" w:rsidP="00BD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DB6B3" w14:textId="504B4867" w:rsidR="00C500B0" w:rsidRPr="00C500B0" w:rsidRDefault="00C500B0" w:rsidP="00C500B0">
    <w:pPr>
      <w:pStyle w:val="Header"/>
      <w:jc w:val="right"/>
      <w:rPr>
        <w:rFonts w:ascii="Times New Roman" w:hAnsi="Times New Roman" w:cs="Times New Roman"/>
        <w:sz w:val="18"/>
        <w:szCs w:val="18"/>
      </w:rPr>
    </w:pPr>
    <w:bookmarkStart w:id="2" w:name="_Hlk42758326"/>
    <w:r w:rsidRPr="00C500B0">
      <w:rPr>
        <w:rFonts w:ascii="Times New Roman" w:hAnsi="Times New Roman" w:cs="Times New Roman"/>
        <w:sz w:val="18"/>
        <w:szCs w:val="18"/>
      </w:rPr>
      <w:t>OMB Approval No. 2577-0292</w:t>
    </w:r>
  </w:p>
  <w:p w14:paraId="73256BDC" w14:textId="19DB5728" w:rsidR="00C500B0" w:rsidRPr="00C500B0" w:rsidRDefault="00C500B0" w:rsidP="00C500B0">
    <w:pPr>
      <w:pStyle w:val="Header"/>
      <w:jc w:val="right"/>
      <w:rPr>
        <w:rFonts w:ascii="Times New Roman" w:hAnsi="Times New Roman" w:cs="Times New Roman"/>
        <w:sz w:val="18"/>
        <w:szCs w:val="18"/>
      </w:rPr>
    </w:pPr>
    <w:r w:rsidRPr="00C500B0">
      <w:rPr>
        <w:rFonts w:ascii="Times New Roman" w:hAnsi="Times New Roman" w:cs="Times New Roman"/>
        <w:sz w:val="18"/>
        <w:szCs w:val="18"/>
      </w:rPr>
      <w:t>Expiration Date 12/31/2020</w:t>
    </w:r>
  </w:p>
  <w:bookmarkEnd w:id="2"/>
  <w:p w14:paraId="674712D6" w14:textId="77777777" w:rsidR="00C500B0" w:rsidRDefault="00C50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F267CB"/>
    <w:multiLevelType w:val="multilevel"/>
    <w:tmpl w:val="83503846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8852F9"/>
    <w:multiLevelType w:val="multilevel"/>
    <w:tmpl w:val="AE043B84"/>
    <w:lvl w:ilvl="0">
      <w:start w:val="7"/>
      <w:numFmt w:val="decimal"/>
      <w:lvlText w:val="PH-%1:"/>
      <w:lvlJc w:val="left"/>
      <w:pPr>
        <w:tabs>
          <w:tab w:val="left" w:pos="720"/>
        </w:tabs>
      </w:pPr>
      <w:rPr>
        <w:rFonts w:ascii="Times New Roman" w:eastAsia="Times New Roman" w:hAnsi="Times New Roman"/>
        <w:b/>
        <w:color w:val="000000"/>
        <w:spacing w:val="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C4111A"/>
    <w:multiLevelType w:val="multilevel"/>
    <w:tmpl w:val="76089782"/>
    <w:lvl w:ilvl="0">
      <w:start w:val="1"/>
      <w:numFmt w:val="decimal"/>
      <w:lvlText w:val="PH-%1:"/>
      <w:lvlJc w:val="left"/>
      <w:pPr>
        <w:tabs>
          <w:tab w:val="left" w:pos="1620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0009F8"/>
    <w:multiLevelType w:val="multilevel"/>
    <w:tmpl w:val="489023E0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b/>
        <w:color w:val="000000"/>
        <w:spacing w:val="3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A4663B"/>
    <w:multiLevelType w:val="multilevel"/>
    <w:tmpl w:val="83503846"/>
    <w:lvl w:ilvl="0">
      <w:start w:val="2"/>
      <w:numFmt w:val="lowerLetter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692337"/>
    <w:multiLevelType w:val="multilevel"/>
    <w:tmpl w:val="650E3F5A"/>
    <w:lvl w:ilvl="0">
      <w:start w:val="3"/>
      <w:numFmt w:val="decimal"/>
      <w:lvlText w:val="PH-%1:"/>
      <w:lvlJc w:val="left"/>
      <w:pPr>
        <w:tabs>
          <w:tab w:val="left" w:pos="720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770B51"/>
    <w:multiLevelType w:val="multilevel"/>
    <w:tmpl w:val="A204F23C"/>
    <w:lvl w:ilvl="0">
      <w:start w:val="5"/>
      <w:numFmt w:val="decimal"/>
      <w:lvlText w:val="PH-%1:"/>
      <w:lvlJc w:val="left"/>
      <w:pPr>
        <w:tabs>
          <w:tab w:val="left" w:pos="792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9957E7"/>
    <w:multiLevelType w:val="hybridMultilevel"/>
    <w:tmpl w:val="FE7E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7A"/>
    <w:rsid w:val="00003C0C"/>
    <w:rsid w:val="00010FE1"/>
    <w:rsid w:val="00012410"/>
    <w:rsid w:val="00012AAD"/>
    <w:rsid w:val="000430FF"/>
    <w:rsid w:val="000B0D52"/>
    <w:rsid w:val="001000C2"/>
    <w:rsid w:val="001401E9"/>
    <w:rsid w:val="001A15DA"/>
    <w:rsid w:val="001C5C0D"/>
    <w:rsid w:val="001D6438"/>
    <w:rsid w:val="001E0AAE"/>
    <w:rsid w:val="002016B3"/>
    <w:rsid w:val="00242461"/>
    <w:rsid w:val="0025643C"/>
    <w:rsid w:val="002711A8"/>
    <w:rsid w:val="002726E8"/>
    <w:rsid w:val="0027637F"/>
    <w:rsid w:val="002838B3"/>
    <w:rsid w:val="002B6946"/>
    <w:rsid w:val="002C0710"/>
    <w:rsid w:val="002E4AF4"/>
    <w:rsid w:val="00300CBA"/>
    <w:rsid w:val="003028B4"/>
    <w:rsid w:val="003172B9"/>
    <w:rsid w:val="00327F4B"/>
    <w:rsid w:val="003322E0"/>
    <w:rsid w:val="0035155E"/>
    <w:rsid w:val="004442CA"/>
    <w:rsid w:val="00473014"/>
    <w:rsid w:val="00481A5B"/>
    <w:rsid w:val="004D21D8"/>
    <w:rsid w:val="00503A7E"/>
    <w:rsid w:val="005262EC"/>
    <w:rsid w:val="0055342B"/>
    <w:rsid w:val="00554409"/>
    <w:rsid w:val="00572D09"/>
    <w:rsid w:val="005C0104"/>
    <w:rsid w:val="00601234"/>
    <w:rsid w:val="00620188"/>
    <w:rsid w:val="006251CC"/>
    <w:rsid w:val="0064036C"/>
    <w:rsid w:val="00647C9D"/>
    <w:rsid w:val="0066497A"/>
    <w:rsid w:val="006733AD"/>
    <w:rsid w:val="0069224E"/>
    <w:rsid w:val="00695ACB"/>
    <w:rsid w:val="006A37A5"/>
    <w:rsid w:val="00730E9C"/>
    <w:rsid w:val="00735769"/>
    <w:rsid w:val="00754B7D"/>
    <w:rsid w:val="00757031"/>
    <w:rsid w:val="007670B6"/>
    <w:rsid w:val="00774702"/>
    <w:rsid w:val="007B2B57"/>
    <w:rsid w:val="007C6BEB"/>
    <w:rsid w:val="007D664F"/>
    <w:rsid w:val="008049B5"/>
    <w:rsid w:val="00811D19"/>
    <w:rsid w:val="00830D7C"/>
    <w:rsid w:val="00834C27"/>
    <w:rsid w:val="00893D0F"/>
    <w:rsid w:val="008B1649"/>
    <w:rsid w:val="008D123A"/>
    <w:rsid w:val="008E6F7C"/>
    <w:rsid w:val="00987A3A"/>
    <w:rsid w:val="0099710D"/>
    <w:rsid w:val="009A00DD"/>
    <w:rsid w:val="009A49AD"/>
    <w:rsid w:val="009C5672"/>
    <w:rsid w:val="009E6666"/>
    <w:rsid w:val="009E66DA"/>
    <w:rsid w:val="009F5282"/>
    <w:rsid w:val="00A37BBD"/>
    <w:rsid w:val="00A465D5"/>
    <w:rsid w:val="00A93BE6"/>
    <w:rsid w:val="00AC7CA9"/>
    <w:rsid w:val="00AD6EE8"/>
    <w:rsid w:val="00B16FE1"/>
    <w:rsid w:val="00B216F6"/>
    <w:rsid w:val="00B35962"/>
    <w:rsid w:val="00B42911"/>
    <w:rsid w:val="00B6084A"/>
    <w:rsid w:val="00B94422"/>
    <w:rsid w:val="00BA3710"/>
    <w:rsid w:val="00BB6E8C"/>
    <w:rsid w:val="00BC037E"/>
    <w:rsid w:val="00BD0E93"/>
    <w:rsid w:val="00BF6C65"/>
    <w:rsid w:val="00BF6DB2"/>
    <w:rsid w:val="00C22726"/>
    <w:rsid w:val="00C500B0"/>
    <w:rsid w:val="00C5172A"/>
    <w:rsid w:val="00C565DD"/>
    <w:rsid w:val="00C62206"/>
    <w:rsid w:val="00C65626"/>
    <w:rsid w:val="00C74025"/>
    <w:rsid w:val="00C75CAD"/>
    <w:rsid w:val="00C87139"/>
    <w:rsid w:val="00C970F2"/>
    <w:rsid w:val="00CB57BD"/>
    <w:rsid w:val="00CC6188"/>
    <w:rsid w:val="00D03641"/>
    <w:rsid w:val="00D118E1"/>
    <w:rsid w:val="00D12AFD"/>
    <w:rsid w:val="00D255BD"/>
    <w:rsid w:val="00D25F1C"/>
    <w:rsid w:val="00D36440"/>
    <w:rsid w:val="00DD267A"/>
    <w:rsid w:val="00DF522E"/>
    <w:rsid w:val="00E00632"/>
    <w:rsid w:val="00E107AF"/>
    <w:rsid w:val="00E10B29"/>
    <w:rsid w:val="00E37049"/>
    <w:rsid w:val="00E524CB"/>
    <w:rsid w:val="00E750BD"/>
    <w:rsid w:val="00EA2A5A"/>
    <w:rsid w:val="00EC2363"/>
    <w:rsid w:val="00EE2695"/>
    <w:rsid w:val="00EE3993"/>
    <w:rsid w:val="00EE7976"/>
    <w:rsid w:val="00F11FBC"/>
    <w:rsid w:val="00F4373A"/>
    <w:rsid w:val="00F75168"/>
    <w:rsid w:val="00FA143F"/>
    <w:rsid w:val="00FA3EF0"/>
    <w:rsid w:val="00FA72E2"/>
    <w:rsid w:val="00FD292F"/>
    <w:rsid w:val="00FE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331F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E93"/>
  </w:style>
  <w:style w:type="paragraph" w:styleId="Footer">
    <w:name w:val="footer"/>
    <w:basedOn w:val="Normal"/>
    <w:link w:val="FooterChar"/>
    <w:uiPriority w:val="99"/>
    <w:unhideWhenUsed/>
    <w:rsid w:val="00BD0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E93"/>
  </w:style>
  <w:style w:type="paragraph" w:styleId="ListParagraph">
    <w:name w:val="List Paragraph"/>
    <w:basedOn w:val="Normal"/>
    <w:uiPriority w:val="34"/>
    <w:qFormat/>
    <w:rsid w:val="00CC61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6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5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5D5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DF522E"/>
    <w:pPr>
      <w:overflowPunct w:val="0"/>
      <w:autoSpaceDE w:val="0"/>
      <w:autoSpaceDN w:val="0"/>
      <w:adjustRightInd w:val="0"/>
      <w:spacing w:after="60" w:line="180" w:lineRule="exact"/>
      <w:ind w:left="-115" w:right="-115"/>
      <w:jc w:val="both"/>
      <w:textAlignment w:val="baseline"/>
    </w:pPr>
    <w:rPr>
      <w:rFonts w:ascii="Arial" w:eastAsia="Times New Roman" w:hAnsi="Arial" w:cs="Times New Roman"/>
      <w:color w:val="000000"/>
      <w:sz w:val="16"/>
      <w:szCs w:val="20"/>
    </w:rPr>
  </w:style>
  <w:style w:type="paragraph" w:styleId="Revision">
    <w:name w:val="Revision"/>
    <w:hidden/>
    <w:uiPriority w:val="99"/>
    <w:semiHidden/>
    <w:rsid w:val="00272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5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5F266-DFA0-D54C-B357-49F99FDD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1371</Words>
  <Characters>7819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2020-09-15T13:15:00Z</dcterms:created>
  <dcterms:modified xsi:type="dcterms:W3CDTF">2020-09-15T13:15:00Z</dcterms:modified>
</cp:coreProperties>
</file>