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6DDF" w:rsidRDefault="007152BA" w14:paraId="1B17CE0F" w14:textId="4F78AB84">
      <w:pPr>
        <w:rPr>
          <w:b/>
          <w:sz w:val="22"/>
        </w:rPr>
      </w:pPr>
      <w:r>
        <w:rPr>
          <w:sz w:val="22"/>
        </w:rPr>
        <w:fldChar w:fldCharType="begin"/>
      </w:r>
      <w:r w:rsidR="005B6DDF">
        <w:instrText xml:space="preserve"> SEQ CHAPTER \h \r 1</w:instrText>
      </w:r>
      <w:r>
        <w:fldChar w:fldCharType="end"/>
      </w:r>
    </w:p>
    <w:p w:rsidR="005B6DDF" w:rsidRDefault="005B6DDF" w14:paraId="7B48CCD1" w14:textId="77777777">
      <w:pPr>
        <w:rPr>
          <w:b/>
          <w:sz w:val="22"/>
        </w:rPr>
      </w:pPr>
    </w:p>
    <w:p w:rsidR="005B6DDF" w:rsidRDefault="005B6DDF" w14:paraId="32E6770C" w14:textId="77777777">
      <w:pPr>
        <w:tabs>
          <w:tab w:val="center" w:pos="4680"/>
        </w:tabs>
        <w:rPr>
          <w:b/>
          <w:sz w:val="28"/>
        </w:rPr>
      </w:pPr>
      <w:r>
        <w:rPr>
          <w:b/>
          <w:sz w:val="22"/>
        </w:rPr>
        <w:tab/>
      </w:r>
      <w:r>
        <w:rPr>
          <w:b/>
          <w:sz w:val="28"/>
        </w:rPr>
        <w:t>SUPPORTING STATEMENT FOR</w:t>
      </w:r>
    </w:p>
    <w:p w:rsidR="005B6DDF" w:rsidRDefault="005B6DDF" w14:paraId="4E71CA6B" w14:textId="5F60BA10">
      <w:pPr>
        <w:tabs>
          <w:tab w:val="center" w:pos="4680"/>
        </w:tabs>
        <w:rPr>
          <w:b/>
          <w:sz w:val="28"/>
        </w:rPr>
      </w:pPr>
      <w:r>
        <w:rPr>
          <w:b/>
          <w:sz w:val="28"/>
        </w:rPr>
        <w:tab/>
      </w:r>
      <w:r w:rsidR="00DE4E14">
        <w:rPr>
          <w:b/>
          <w:sz w:val="28"/>
        </w:rPr>
        <w:t>OMB CONTROL NO. 2050-0073</w:t>
      </w:r>
    </w:p>
    <w:p w:rsidR="00D623BB" w:rsidP="00D623BB" w:rsidRDefault="005B6DDF" w14:paraId="7E6F5A83" w14:textId="77777777">
      <w:pPr>
        <w:tabs>
          <w:tab w:val="center" w:pos="4680"/>
        </w:tabs>
        <w:rPr>
          <w:b/>
          <w:sz w:val="28"/>
        </w:rPr>
      </w:pPr>
      <w:r>
        <w:rPr>
          <w:b/>
          <w:sz w:val="28"/>
        </w:rPr>
        <w:tab/>
      </w:r>
      <w:r w:rsidR="00D623BB">
        <w:rPr>
          <w:b/>
          <w:sz w:val="28"/>
        </w:rPr>
        <w:t>"INFORMATION REQUIREMENTS FOR BOILERS AND INDUSTRIAL</w:t>
      </w:r>
    </w:p>
    <w:p w:rsidR="00D623BB" w:rsidP="00D623BB" w:rsidRDefault="00D623BB" w14:paraId="6CC03C07" w14:textId="713D45C3">
      <w:pPr>
        <w:tabs>
          <w:tab w:val="center" w:pos="4680"/>
        </w:tabs>
        <w:rPr>
          <w:b/>
          <w:sz w:val="28"/>
        </w:rPr>
      </w:pPr>
      <w:r>
        <w:rPr>
          <w:b/>
          <w:sz w:val="28"/>
        </w:rPr>
        <w:tab/>
        <w:t>FURNACES"</w:t>
      </w:r>
    </w:p>
    <w:p w:rsidR="005B6DDF" w:rsidP="00D623BB" w:rsidRDefault="005B6DDF" w14:paraId="25CBCE08" w14:textId="77777777">
      <w:pPr>
        <w:tabs>
          <w:tab w:val="center" w:pos="4680"/>
        </w:tabs>
        <w:rPr>
          <w:b/>
          <w:sz w:val="28"/>
        </w:rPr>
      </w:pPr>
    </w:p>
    <w:p w:rsidRPr="00702365" w:rsidR="005B6DDF" w:rsidRDefault="005B6DDF" w14:paraId="5C6901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2D5E14" w:rsidRDefault="005B6DDF" w14:paraId="436BCB04" w14:textId="3D36C045">
      <w:pPr>
        <w:pStyle w:val="Heading2"/>
        <w:rPr>
          <w:rFonts w:ascii="Times New Roman" w:hAnsi="Times New Roman" w:cs="Times New Roman"/>
          <w:sz w:val="22"/>
          <w:szCs w:val="22"/>
        </w:rPr>
      </w:pPr>
      <w:bookmarkStart w:name="_Toc116104375" w:id="0"/>
      <w:r w:rsidRPr="00702365">
        <w:rPr>
          <w:rFonts w:ascii="Times New Roman" w:hAnsi="Times New Roman" w:cs="Times New Roman"/>
          <w:sz w:val="22"/>
          <w:szCs w:val="22"/>
        </w:rPr>
        <w:t>SHORT CHARACTERIZATION/ABSTRACT</w:t>
      </w:r>
      <w:bookmarkEnd w:id="0"/>
      <w:r w:rsidRPr="00702365">
        <w:rPr>
          <w:rFonts w:ascii="Times New Roman" w:hAnsi="Times New Roman" w:cs="Times New Roman"/>
          <w:sz w:val="22"/>
          <w:szCs w:val="22"/>
        </w:rPr>
        <w:t xml:space="preserve"> </w:t>
      </w:r>
      <w:r w:rsidRPr="00702365" w:rsidR="007152BA">
        <w:rPr>
          <w:rFonts w:ascii="Times New Roman" w:hAnsi="Times New Roman" w:cs="Times New Roman"/>
          <w:sz w:val="22"/>
          <w:szCs w:val="22"/>
        </w:rPr>
        <w:fldChar w:fldCharType="begin"/>
      </w:r>
      <w:r w:rsidRPr="00702365">
        <w:rPr>
          <w:rFonts w:ascii="Times New Roman" w:hAnsi="Times New Roman" w:cs="Times New Roman"/>
          <w:sz w:val="22"/>
          <w:szCs w:val="22"/>
        </w:rPr>
        <w:instrText xml:space="preserve"> TC \l2 "1(b) </w:instrText>
      </w:r>
      <w:r w:rsidRPr="00702365">
        <w:rPr>
          <w:rFonts w:ascii="Times New Roman" w:hAnsi="Times New Roman" w:cs="Times New Roman"/>
          <w:sz w:val="22"/>
          <w:szCs w:val="22"/>
        </w:rPr>
        <w:tab/>
        <w:instrText xml:space="preserve">SHORT CHARACTERIZATION/ABSTRACT </w:instrText>
      </w:r>
      <w:r w:rsidRPr="00702365" w:rsidR="007152BA">
        <w:rPr>
          <w:rFonts w:ascii="Times New Roman" w:hAnsi="Times New Roman" w:cs="Times New Roman"/>
          <w:sz w:val="22"/>
          <w:szCs w:val="22"/>
        </w:rPr>
        <w:fldChar w:fldCharType="end"/>
      </w:r>
    </w:p>
    <w:p w:rsidRPr="00702365" w:rsidR="005B6DDF" w:rsidRDefault="005B6DDF" w14:paraId="19583C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8AFC76" w14:textId="2FAA58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On February 21, 1991 and August 25, 1992, EPA promulgated regulations at 40 </w:t>
      </w:r>
      <w:r w:rsidRPr="003A701E">
        <w:rPr>
          <w:sz w:val="22"/>
          <w:szCs w:val="22"/>
        </w:rPr>
        <w:t>CFR</w:t>
      </w:r>
      <w:r w:rsidRPr="00702365">
        <w:rPr>
          <w:sz w:val="22"/>
          <w:szCs w:val="22"/>
        </w:rPr>
        <w:t xml:space="preserve"> Parts 260, 261, 264, 265, 266, and 270 covering boilers and industrial furnaces (BIFs) burning hazardous waste.  </w:t>
      </w:r>
      <w:r w:rsidR="008842B0">
        <w:rPr>
          <w:sz w:val="22"/>
          <w:szCs w:val="22"/>
        </w:rPr>
        <w:t xml:space="preserve">Specifically, </w:t>
      </w:r>
      <w:r w:rsidRPr="00702365">
        <w:rPr>
          <w:sz w:val="22"/>
          <w:szCs w:val="22"/>
        </w:rPr>
        <w:t xml:space="preserve">40 </w:t>
      </w:r>
      <w:r w:rsidRPr="003A701E">
        <w:rPr>
          <w:sz w:val="22"/>
          <w:szCs w:val="22"/>
        </w:rPr>
        <w:t>CFR</w:t>
      </w:r>
      <w:r w:rsidRPr="00702365">
        <w:rPr>
          <w:sz w:val="22"/>
          <w:szCs w:val="22"/>
        </w:rPr>
        <w:t xml:space="preserve"> Part 266, Subpart H establishes standards for the burning of hazardous waste in BIFs.  40 </w:t>
      </w:r>
      <w:r w:rsidRPr="003A701E">
        <w:rPr>
          <w:sz w:val="22"/>
          <w:szCs w:val="22"/>
        </w:rPr>
        <w:t>CFR</w:t>
      </w:r>
      <w:r w:rsidRPr="00702365">
        <w:rPr>
          <w:sz w:val="22"/>
          <w:szCs w:val="22"/>
        </w:rPr>
        <w:t xml:space="preserve"> </w:t>
      </w:r>
      <w:r w:rsidR="008842B0">
        <w:rPr>
          <w:sz w:val="22"/>
          <w:szCs w:val="22"/>
        </w:rPr>
        <w:t xml:space="preserve">Part </w:t>
      </w:r>
      <w:r w:rsidRPr="00702365">
        <w:rPr>
          <w:sz w:val="22"/>
          <w:szCs w:val="22"/>
        </w:rPr>
        <w:t xml:space="preserve">270.22 establishes Part B application information requirements for BIFs burning hazardous waste, and </w:t>
      </w:r>
      <w:r w:rsidR="008842B0">
        <w:rPr>
          <w:sz w:val="22"/>
          <w:szCs w:val="22"/>
        </w:rPr>
        <w:t>40 CFR Part</w:t>
      </w:r>
      <w:r w:rsidRPr="00702365">
        <w:rPr>
          <w:sz w:val="22"/>
          <w:szCs w:val="22"/>
        </w:rPr>
        <w:t xml:space="preserve"> 270.66 establishes permit requirements for BIFs.  Owners and operators of BIF facilities must comply with these regulations in addition to those regulations applicable to all hazardous waste facilities, as mentioned above.</w:t>
      </w:r>
    </w:p>
    <w:p w:rsidRPr="00702365" w:rsidR="005B6DDF" w:rsidRDefault="005B6DDF" w14:paraId="4D042C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2B1B9C" w:rsidRDefault="005B6DDF" w14:paraId="341C0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On September 30, 1999, EPA amended the above regulations with the following provisions:</w:t>
      </w:r>
    </w:p>
    <w:p w:rsidRPr="00702365" w:rsidR="002B1B9C" w:rsidRDefault="002B1B9C" w14:paraId="07E634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243027" w:rsidRDefault="005B6DDF" w14:paraId="2570D4CC" w14:textId="3239EEAD">
      <w:pPr>
        <w:pStyle w:val="Level1"/>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Comparable fuel specification: Under 40 </w:t>
      </w:r>
      <w:r w:rsidRPr="008842B0">
        <w:rPr>
          <w:sz w:val="22"/>
          <w:szCs w:val="22"/>
        </w:rPr>
        <w:t>CFR</w:t>
      </w:r>
      <w:r w:rsidRPr="00702365">
        <w:rPr>
          <w:sz w:val="22"/>
          <w:szCs w:val="22"/>
        </w:rPr>
        <w:t xml:space="preserve"> </w:t>
      </w:r>
      <w:r w:rsidR="008842B0">
        <w:rPr>
          <w:sz w:val="22"/>
          <w:szCs w:val="22"/>
        </w:rPr>
        <w:t xml:space="preserve">Part </w:t>
      </w:r>
      <w:r w:rsidRPr="00702365">
        <w:rPr>
          <w:sz w:val="22"/>
          <w:szCs w:val="22"/>
        </w:rPr>
        <w:t>261.38, wastes that meet the comparable fuel specification can be excluded from the definition of solid waste.  Generators claiming the exclusion must demonstrate that the waste meets the specification by submitting a one-time notice.  The notice must claim the exclusion, and demonstrate the development and implementation of a waste sampling and analysis plan that supports the comparable fuel specification.</w:t>
      </w:r>
    </w:p>
    <w:p w:rsidRPr="00702365" w:rsidR="005B6DDF" w:rsidP="00243027" w:rsidRDefault="005B6DDF" w14:paraId="49C59105" w14:textId="09629E5D">
      <w:pPr>
        <w:pStyle w:val="Level1"/>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Lead recovery furnace exemption: Under 40 </w:t>
      </w:r>
      <w:r w:rsidRPr="003A701E">
        <w:rPr>
          <w:sz w:val="22"/>
          <w:szCs w:val="22"/>
        </w:rPr>
        <w:t>CFR</w:t>
      </w:r>
      <w:r w:rsidRPr="00702365">
        <w:rPr>
          <w:sz w:val="22"/>
          <w:szCs w:val="22"/>
        </w:rPr>
        <w:t xml:space="preserve"> </w:t>
      </w:r>
      <w:r w:rsidR="003A701E">
        <w:rPr>
          <w:sz w:val="22"/>
          <w:szCs w:val="22"/>
        </w:rPr>
        <w:t xml:space="preserve">Part </w:t>
      </w:r>
      <w:r w:rsidRPr="00702365">
        <w:rPr>
          <w:sz w:val="22"/>
          <w:szCs w:val="22"/>
        </w:rPr>
        <w:t xml:space="preserve">266.100(h), lead recovery furnaces that process hazardous waste for the recovery of lead and that are subject to Secondary Lead Smelting National Emissions Standards for Hazardous Air Pollutants Regulations, may apply for a conditional exemption from 40 </w:t>
      </w:r>
      <w:r w:rsidRPr="003A701E">
        <w:rPr>
          <w:sz w:val="22"/>
          <w:szCs w:val="22"/>
        </w:rPr>
        <w:t>CFR</w:t>
      </w:r>
      <w:r w:rsidRPr="00702365">
        <w:rPr>
          <w:sz w:val="22"/>
          <w:szCs w:val="22"/>
        </w:rPr>
        <w:t xml:space="preserve"> Part 266 regulations.  To claim the exemption, the facility owner or operator must submit a one-time notice identifying each hazardous waste burned and demonstrating that the waste burned has a total concentration of organic compounds (Listed in 40 </w:t>
      </w:r>
      <w:r w:rsidRPr="003A701E">
        <w:rPr>
          <w:sz w:val="22"/>
          <w:szCs w:val="22"/>
        </w:rPr>
        <w:t>CFR</w:t>
      </w:r>
      <w:r w:rsidRPr="00702365">
        <w:rPr>
          <w:sz w:val="22"/>
          <w:szCs w:val="22"/>
        </w:rPr>
        <w:t xml:space="preserve"> Part 261, Appendix VIII) of less than 500 ppm by weight.</w:t>
      </w:r>
    </w:p>
    <w:p w:rsidR="005B6DDF" w:rsidP="00243027" w:rsidRDefault="005B6DDF" w14:paraId="694EFFD7" w14:textId="6A7EA3ED">
      <w:pPr>
        <w:pStyle w:val="Level1"/>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Regulation of residues: Under 40 </w:t>
      </w:r>
      <w:r w:rsidRPr="003A701E">
        <w:rPr>
          <w:sz w:val="22"/>
          <w:szCs w:val="22"/>
        </w:rPr>
        <w:t>CFR</w:t>
      </w:r>
      <w:r w:rsidRPr="00702365">
        <w:rPr>
          <w:sz w:val="22"/>
          <w:szCs w:val="22"/>
        </w:rPr>
        <w:t xml:space="preserve"> </w:t>
      </w:r>
      <w:r w:rsidR="003A701E">
        <w:rPr>
          <w:sz w:val="22"/>
          <w:szCs w:val="22"/>
        </w:rPr>
        <w:t xml:space="preserve">Part </w:t>
      </w:r>
      <w:r w:rsidRPr="00702365">
        <w:rPr>
          <w:sz w:val="22"/>
          <w:szCs w:val="22"/>
        </w:rPr>
        <w:t>266.112(b)(2)(</w:t>
      </w:r>
      <w:proofErr w:type="spellStart"/>
      <w:r w:rsidRPr="00702365">
        <w:rPr>
          <w:sz w:val="22"/>
          <w:szCs w:val="22"/>
        </w:rPr>
        <w:t>i</w:t>
      </w:r>
      <w:proofErr w:type="spellEnd"/>
      <w:r w:rsidRPr="00702365">
        <w:rPr>
          <w:sz w:val="22"/>
          <w:szCs w:val="22"/>
        </w:rPr>
        <w:t xml:space="preserve">), in complying with </w:t>
      </w:r>
      <w:r w:rsidR="003A701E">
        <w:rPr>
          <w:sz w:val="22"/>
          <w:szCs w:val="22"/>
        </w:rPr>
        <w:t>40 CFR Part</w:t>
      </w:r>
      <w:r w:rsidRPr="00702365">
        <w:rPr>
          <w:sz w:val="22"/>
          <w:szCs w:val="22"/>
        </w:rPr>
        <w:t xml:space="preserve"> 268.43 F039 </w:t>
      </w:r>
      <w:proofErr w:type="spellStart"/>
      <w:r w:rsidRPr="00702365">
        <w:rPr>
          <w:sz w:val="22"/>
          <w:szCs w:val="22"/>
        </w:rPr>
        <w:t>nonwastewater</w:t>
      </w:r>
      <w:proofErr w:type="spellEnd"/>
      <w:r w:rsidRPr="00702365">
        <w:rPr>
          <w:sz w:val="22"/>
          <w:szCs w:val="22"/>
        </w:rPr>
        <w:t xml:space="preserve"> levels for polychlorinated dibenzodioxins and polychlorinated dibenzo-furans, analyses must be performed for total </w:t>
      </w:r>
      <w:proofErr w:type="spellStart"/>
      <w:r w:rsidRPr="00702365">
        <w:rPr>
          <w:sz w:val="22"/>
          <w:szCs w:val="22"/>
        </w:rPr>
        <w:t>hexachlorodibenzodioxins</w:t>
      </w:r>
      <w:proofErr w:type="spellEnd"/>
      <w:r w:rsidRPr="00702365">
        <w:rPr>
          <w:sz w:val="22"/>
          <w:szCs w:val="22"/>
        </w:rPr>
        <w:t xml:space="preserve">, total hexachlorodibenzofurans, total </w:t>
      </w:r>
      <w:proofErr w:type="spellStart"/>
      <w:r w:rsidRPr="00702365">
        <w:rPr>
          <w:sz w:val="22"/>
          <w:szCs w:val="22"/>
        </w:rPr>
        <w:t>pentachlorodibenzodioxins</w:t>
      </w:r>
      <w:proofErr w:type="spellEnd"/>
      <w:r w:rsidRPr="00702365">
        <w:rPr>
          <w:sz w:val="22"/>
          <w:szCs w:val="22"/>
        </w:rPr>
        <w:t xml:space="preserve">, total pentachlorodibenzofurans, total </w:t>
      </w:r>
      <w:proofErr w:type="spellStart"/>
      <w:r w:rsidRPr="00702365">
        <w:rPr>
          <w:sz w:val="22"/>
          <w:szCs w:val="22"/>
        </w:rPr>
        <w:t>tetrachlorodibenzodioxins</w:t>
      </w:r>
      <w:proofErr w:type="spellEnd"/>
      <w:r w:rsidRPr="00702365">
        <w:rPr>
          <w:sz w:val="22"/>
          <w:szCs w:val="22"/>
        </w:rPr>
        <w:t>, and total tetrachlorodibenzofurans.</w:t>
      </w:r>
    </w:p>
    <w:p w:rsidR="00585FE7" w:rsidP="00585FE7" w:rsidRDefault="00585FE7" w14:paraId="0B343075" w14:textId="77777777">
      <w:pPr>
        <w:pStyle w:val="ListParagraph"/>
        <w:rPr>
          <w:sz w:val="22"/>
          <w:szCs w:val="22"/>
        </w:rPr>
      </w:pPr>
    </w:p>
    <w:p w:rsidRPr="00702365" w:rsidR="00585FE7" w:rsidP="00585FE7" w:rsidRDefault="00585FE7" w14:paraId="0AB89325" w14:textId="0C1D5586">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On April 8, 2015, EPA eliminated the Comparable Fuel Exclusion because of a vacatur ordered by the U.S. Court of Appeals for the D.C. Circuit Court. </w:t>
      </w:r>
    </w:p>
    <w:p w:rsidRPr="00702365" w:rsidR="00E95C46" w:rsidRDefault="00E95C46" w14:paraId="16B9D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9591F" w:rsidR="0069591F" w:rsidP="0069591F" w:rsidRDefault="0069591F" w14:paraId="132CAB5F" w14:textId="77777777">
      <w:pPr>
        <w:rPr>
          <w:b/>
          <w:sz w:val="22"/>
          <w:szCs w:val="22"/>
        </w:rPr>
      </w:pPr>
      <w:bookmarkStart w:name="_Toc116104376" w:id="1"/>
      <w:r w:rsidRPr="0069591F">
        <w:rPr>
          <w:b/>
          <w:sz w:val="22"/>
          <w:szCs w:val="22"/>
        </w:rPr>
        <w:lastRenderedPageBreak/>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1"/>
    <w:p w:rsidRPr="00702365" w:rsidR="005B6DDF" w:rsidP="002D5E14" w:rsidRDefault="007152BA" w14:paraId="31F71075" w14:textId="76F7345C">
      <w:pPr>
        <w:pStyle w:val="Heading2"/>
        <w:rPr>
          <w:rFonts w:ascii="Times New Roman" w:hAnsi="Times New Roman" w:cs="Times New Roman"/>
          <w:sz w:val="22"/>
          <w:szCs w:val="22"/>
        </w:rPr>
      </w:pPr>
      <w:r w:rsidRPr="00702365">
        <w:rPr>
          <w:rFonts w:ascii="Times New Roman" w:hAnsi="Times New Roman" w:cs="Times New Roman"/>
          <w:sz w:val="22"/>
          <w:szCs w:val="22"/>
        </w:rPr>
        <w:fldChar w:fldCharType="begin"/>
      </w:r>
      <w:r w:rsidRPr="00702365" w:rsidR="005B6DDF">
        <w:rPr>
          <w:rFonts w:ascii="Times New Roman" w:hAnsi="Times New Roman" w:cs="Times New Roman"/>
          <w:sz w:val="22"/>
          <w:szCs w:val="22"/>
        </w:rPr>
        <w:instrText xml:space="preserve"> TC \l2 "2(a)</w:instrText>
      </w:r>
      <w:r w:rsidRPr="00702365" w:rsidR="005B6DDF">
        <w:rPr>
          <w:rFonts w:ascii="Times New Roman" w:hAnsi="Times New Roman" w:cs="Times New Roman"/>
          <w:sz w:val="22"/>
          <w:szCs w:val="22"/>
        </w:rPr>
        <w:tab/>
        <w:instrText>NEED/AUTHORITY FOR THE COLLECTION</w:instrText>
      </w:r>
      <w:r w:rsidRPr="00702365">
        <w:rPr>
          <w:rFonts w:ascii="Times New Roman" w:hAnsi="Times New Roman" w:cs="Times New Roman"/>
          <w:sz w:val="22"/>
          <w:szCs w:val="22"/>
        </w:rPr>
        <w:fldChar w:fldCharType="end"/>
      </w:r>
    </w:p>
    <w:p w:rsidRPr="00702365" w:rsidR="005B6DDF" w:rsidRDefault="005B6DDF" w14:paraId="6E3F37A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A474276" w14:textId="4636123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Regulations covering BIFs and general hazardous waste facilities are promulgated under authority of </w:t>
      </w:r>
      <w:r w:rsidR="0013282D">
        <w:rPr>
          <w:sz w:val="22"/>
          <w:szCs w:val="22"/>
        </w:rPr>
        <w:t>S</w:t>
      </w:r>
      <w:r w:rsidRPr="00702365">
        <w:rPr>
          <w:sz w:val="22"/>
          <w:szCs w:val="22"/>
        </w:rPr>
        <w:t xml:space="preserve">ections 1006, 2002, 3001 through 3007, 3010, and 7004 of RCRA, as amended.  </w:t>
      </w:r>
      <w:r w:rsidR="009E2F0D">
        <w:rPr>
          <w:sz w:val="22"/>
          <w:szCs w:val="22"/>
        </w:rPr>
        <w:t xml:space="preserve">And codified in 40 CFR Parts </w:t>
      </w:r>
      <w:r w:rsidR="00C270D1">
        <w:rPr>
          <w:sz w:val="22"/>
          <w:szCs w:val="22"/>
        </w:rPr>
        <w:t xml:space="preserve">261, </w:t>
      </w:r>
      <w:r w:rsidR="009E2F0D">
        <w:rPr>
          <w:sz w:val="22"/>
          <w:szCs w:val="22"/>
        </w:rPr>
        <w:t xml:space="preserve">264, 265, 266, and 270 as described </w:t>
      </w:r>
      <w:r w:rsidR="0069591F">
        <w:rPr>
          <w:sz w:val="22"/>
          <w:szCs w:val="22"/>
        </w:rPr>
        <w:t>in the table below</w:t>
      </w:r>
      <w:r w:rsidR="009E2F0D">
        <w:rPr>
          <w:sz w:val="22"/>
          <w:szCs w:val="22"/>
        </w:rPr>
        <w:t>.</w:t>
      </w:r>
    </w:p>
    <w:p w:rsidRPr="00702365" w:rsidR="005B6DDF" w:rsidRDefault="005B6DDF" w14:paraId="6ACD6A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317762" w:rsidP="00317762" w:rsidRDefault="00317762" w14:paraId="4312B219" w14:textId="77777777"/>
    <w:tbl>
      <w:tblPr>
        <w:tblStyle w:val="TableGrid"/>
        <w:tblW w:w="0" w:type="auto"/>
        <w:tblLook w:val="04A0" w:firstRow="1" w:lastRow="0" w:firstColumn="1" w:lastColumn="0" w:noHBand="0" w:noVBand="1"/>
      </w:tblPr>
      <w:tblGrid>
        <w:gridCol w:w="3116"/>
        <w:gridCol w:w="6149"/>
      </w:tblGrid>
      <w:tr w:rsidR="00317762" w:rsidTr="00004581" w14:paraId="394F3F43" w14:textId="77777777">
        <w:tc>
          <w:tcPr>
            <w:tcW w:w="3116" w:type="dxa"/>
          </w:tcPr>
          <w:p w:rsidRPr="00AB7FA2" w:rsidR="00317762" w:rsidP="00004581" w:rsidRDefault="00317762" w14:paraId="3F473895" w14:textId="77777777">
            <w:pPr>
              <w:rPr>
                <w:b/>
                <w:bCs/>
              </w:rPr>
            </w:pPr>
            <w:r w:rsidRPr="00AB7FA2">
              <w:rPr>
                <w:b/>
                <w:bCs/>
              </w:rPr>
              <w:t>CFR citation (40 CFR Part)</w:t>
            </w:r>
          </w:p>
        </w:tc>
        <w:tc>
          <w:tcPr>
            <w:tcW w:w="6149" w:type="dxa"/>
          </w:tcPr>
          <w:p w:rsidRPr="00AB7FA2" w:rsidR="00317762" w:rsidP="00004581" w:rsidRDefault="00317762" w14:paraId="2A527B41" w14:textId="77777777">
            <w:pPr>
              <w:rPr>
                <w:b/>
                <w:bCs/>
              </w:rPr>
            </w:pPr>
            <w:r>
              <w:rPr>
                <w:b/>
                <w:bCs/>
              </w:rPr>
              <w:t xml:space="preserve">Brief </w:t>
            </w:r>
            <w:r w:rsidRPr="00AB7FA2">
              <w:rPr>
                <w:b/>
                <w:bCs/>
              </w:rPr>
              <w:t>Description</w:t>
            </w:r>
            <w:r>
              <w:rPr>
                <w:b/>
                <w:bCs/>
              </w:rPr>
              <w:t xml:space="preserve"> of Requirements</w:t>
            </w:r>
          </w:p>
        </w:tc>
      </w:tr>
      <w:tr w:rsidR="00317762" w:rsidTr="00004581" w14:paraId="28C22867" w14:textId="77777777">
        <w:tc>
          <w:tcPr>
            <w:tcW w:w="3116" w:type="dxa"/>
          </w:tcPr>
          <w:p w:rsidR="00317762" w:rsidP="00004581" w:rsidRDefault="00317762" w14:paraId="303AAE3B" w14:textId="77777777">
            <w:r>
              <w:t>261.38</w:t>
            </w:r>
          </w:p>
        </w:tc>
        <w:tc>
          <w:tcPr>
            <w:tcW w:w="6149" w:type="dxa"/>
          </w:tcPr>
          <w:p w:rsidR="00317762" w:rsidP="00004581" w:rsidRDefault="00317762" w14:paraId="563ACC72" w14:textId="77777777">
            <w:r>
              <w:t xml:space="preserve">Allows owners and operators to claim </w:t>
            </w:r>
            <w:r w:rsidRPr="00702365">
              <w:t xml:space="preserve">the comparable fuel </w:t>
            </w:r>
            <w:r>
              <w:t>excl</w:t>
            </w:r>
            <w:r w:rsidRPr="00702365">
              <w:t xml:space="preserve">usion by submitting a one-time notice.  </w:t>
            </w:r>
          </w:p>
        </w:tc>
      </w:tr>
      <w:tr w:rsidR="00317762" w:rsidTr="00004581" w14:paraId="104B1AC0" w14:textId="77777777">
        <w:tc>
          <w:tcPr>
            <w:tcW w:w="3116" w:type="dxa"/>
          </w:tcPr>
          <w:p w:rsidR="00317762" w:rsidP="00004581" w:rsidRDefault="00317762" w14:paraId="3B94BBFA" w14:textId="77777777">
            <w:r>
              <w:t>264.12-17</w:t>
            </w:r>
          </w:p>
        </w:tc>
        <w:tc>
          <w:tcPr>
            <w:tcW w:w="6149" w:type="dxa"/>
          </w:tcPr>
          <w:p w:rsidR="00317762" w:rsidP="00004581" w:rsidRDefault="00317762" w14:paraId="53FC4760" w14:textId="77777777">
            <w:r>
              <w:t>R</w:t>
            </w:r>
            <w:r w:rsidRPr="00702365">
              <w:t xml:space="preserve">equires the owner or operator </w:t>
            </w:r>
            <w:r>
              <w:t xml:space="preserve">of a treatment facility </w:t>
            </w:r>
            <w:r w:rsidRPr="00702365">
              <w:t>to obtain a detailed chemical and physical analysis of a representative sample of the waste that will be received</w:t>
            </w:r>
            <w:r>
              <w:t xml:space="preserve"> and </w:t>
            </w:r>
            <w:r w:rsidRPr="00702365">
              <w:t xml:space="preserve">develop and follow a written waste analysis plan that describes the procedures to be used in obtaining a detailed chemical and physical analysis of the waste.  </w:t>
            </w:r>
            <w:r>
              <w:t xml:space="preserve">Also requires </w:t>
            </w:r>
            <w:r w:rsidRPr="00702365">
              <w:t>the owner or operator of a facility to record inspections in an inspection log or summary</w:t>
            </w:r>
            <w:r>
              <w:t xml:space="preserve"> and</w:t>
            </w:r>
            <w:r w:rsidRPr="00702365">
              <w:t xml:space="preserve"> maintain copies of personnel training documents and records at the facility. </w:t>
            </w:r>
          </w:p>
        </w:tc>
      </w:tr>
      <w:tr w:rsidR="00317762" w:rsidTr="00004581" w14:paraId="7B37EDAC" w14:textId="77777777">
        <w:tc>
          <w:tcPr>
            <w:tcW w:w="3116" w:type="dxa"/>
          </w:tcPr>
          <w:p w:rsidR="00317762" w:rsidP="00004581" w:rsidRDefault="00317762" w14:paraId="2C4DE84E" w14:textId="77777777">
            <w:r>
              <w:t>265.12-17</w:t>
            </w:r>
          </w:p>
        </w:tc>
        <w:tc>
          <w:tcPr>
            <w:tcW w:w="6149" w:type="dxa"/>
          </w:tcPr>
          <w:p w:rsidRPr="00702365" w:rsidR="00317762" w:rsidP="00004581" w:rsidRDefault="00317762" w14:paraId="43D5C6C9" w14:textId="77777777">
            <w:r>
              <w:t>Same as above for interim status facilities.</w:t>
            </w:r>
          </w:p>
        </w:tc>
      </w:tr>
      <w:tr w:rsidR="00317762" w:rsidTr="00004581" w14:paraId="2E180039" w14:textId="77777777">
        <w:tc>
          <w:tcPr>
            <w:tcW w:w="3116" w:type="dxa"/>
          </w:tcPr>
          <w:p w:rsidR="00317762" w:rsidP="00004581" w:rsidRDefault="00317762" w14:paraId="2BA5EBD4" w14:textId="77777777">
            <w:r>
              <w:t>264.51-56</w:t>
            </w:r>
          </w:p>
        </w:tc>
        <w:tc>
          <w:tcPr>
            <w:tcW w:w="6149" w:type="dxa"/>
          </w:tcPr>
          <w:p w:rsidR="00317762" w:rsidP="00004581" w:rsidRDefault="00317762" w14:paraId="1754DFBC" w14:textId="77777777">
            <w:r>
              <w:t>R</w:t>
            </w:r>
            <w:r w:rsidRPr="00702365">
              <w:t>equire</w:t>
            </w:r>
            <w:r>
              <w:t>s</w:t>
            </w:r>
            <w:r w:rsidRPr="00702365">
              <w:t xml:space="preserve"> owners and operators of hazardous waste facilities to prepare and maintain contingency plans, and to notify State and local authorities and prepare emergency reports whenever an imminent or actual emergency situation occurs.</w:t>
            </w:r>
          </w:p>
        </w:tc>
      </w:tr>
      <w:tr w:rsidR="00317762" w:rsidTr="00004581" w14:paraId="27287928" w14:textId="77777777">
        <w:tc>
          <w:tcPr>
            <w:tcW w:w="3116" w:type="dxa"/>
          </w:tcPr>
          <w:p w:rsidR="00317762" w:rsidP="00004581" w:rsidRDefault="00317762" w14:paraId="69CD44C6" w14:textId="77777777">
            <w:r>
              <w:t>265.51-56</w:t>
            </w:r>
          </w:p>
        </w:tc>
        <w:tc>
          <w:tcPr>
            <w:tcW w:w="6149" w:type="dxa"/>
          </w:tcPr>
          <w:p w:rsidRPr="00702365" w:rsidR="00317762" w:rsidP="00004581" w:rsidRDefault="00317762" w14:paraId="02D4575F" w14:textId="77777777">
            <w:r>
              <w:t>Same as above for interim status facilities.</w:t>
            </w:r>
          </w:p>
        </w:tc>
      </w:tr>
      <w:tr w:rsidR="00317762" w:rsidTr="00004581" w14:paraId="23948295" w14:textId="77777777">
        <w:tc>
          <w:tcPr>
            <w:tcW w:w="3116" w:type="dxa"/>
          </w:tcPr>
          <w:p w:rsidR="00317762" w:rsidP="00004581" w:rsidRDefault="00317762" w14:paraId="56BCBC5D" w14:textId="77777777">
            <w:r>
              <w:t>264.73-74</w:t>
            </w:r>
          </w:p>
        </w:tc>
        <w:tc>
          <w:tcPr>
            <w:tcW w:w="6149" w:type="dxa"/>
          </w:tcPr>
          <w:p w:rsidR="00317762" w:rsidP="00004581" w:rsidRDefault="00317762" w14:paraId="21931B8C" w14:textId="77777777">
            <w:r>
              <w:t xml:space="preserve">Requires </w:t>
            </w:r>
            <w:r w:rsidRPr="00702365">
              <w:t xml:space="preserve">owners or operators </w:t>
            </w:r>
            <w:r>
              <w:t xml:space="preserve">of TSDFs </w:t>
            </w:r>
            <w:r w:rsidRPr="00702365">
              <w:t>to maintain a written operating record at the facility.</w:t>
            </w:r>
          </w:p>
        </w:tc>
      </w:tr>
      <w:tr w:rsidR="00317762" w:rsidTr="00004581" w14:paraId="46BECC79" w14:textId="77777777">
        <w:tc>
          <w:tcPr>
            <w:tcW w:w="3116" w:type="dxa"/>
          </w:tcPr>
          <w:p w:rsidR="00317762" w:rsidP="00004581" w:rsidRDefault="00317762" w14:paraId="136254DD" w14:textId="77777777">
            <w:r>
              <w:t>265.73-74</w:t>
            </w:r>
          </w:p>
        </w:tc>
        <w:tc>
          <w:tcPr>
            <w:tcW w:w="6149" w:type="dxa"/>
          </w:tcPr>
          <w:p w:rsidRPr="00702365" w:rsidR="00317762" w:rsidP="00004581" w:rsidRDefault="00317762" w14:paraId="3E5E67BE" w14:textId="77777777">
            <w:r>
              <w:t>Same as above for interim status facilities.</w:t>
            </w:r>
          </w:p>
        </w:tc>
      </w:tr>
      <w:tr w:rsidR="00317762" w:rsidTr="00004581" w14:paraId="1883B075" w14:textId="77777777">
        <w:tc>
          <w:tcPr>
            <w:tcW w:w="3116" w:type="dxa"/>
          </w:tcPr>
          <w:p w:rsidR="00317762" w:rsidP="00004581" w:rsidRDefault="00317762" w14:paraId="20B71FBE" w14:textId="77777777">
            <w:r>
              <w:t>264.113</w:t>
            </w:r>
          </w:p>
        </w:tc>
        <w:tc>
          <w:tcPr>
            <w:tcW w:w="6149" w:type="dxa"/>
          </w:tcPr>
          <w:p w:rsidR="00317762" w:rsidP="00004581" w:rsidRDefault="00317762" w14:paraId="2C497113" w14:textId="77777777">
            <w:r>
              <w:t xml:space="preserve">Allows </w:t>
            </w:r>
            <w:r w:rsidRPr="00702365">
              <w:t xml:space="preserve">owners and operators </w:t>
            </w:r>
            <w:r>
              <w:t>to</w:t>
            </w:r>
            <w:r w:rsidRPr="00702365">
              <w:t xml:space="preserve"> prepare demonstrations in support of certain extensions and allowances during the closure period</w:t>
            </w:r>
            <w:r>
              <w:t>.</w:t>
            </w:r>
          </w:p>
        </w:tc>
      </w:tr>
      <w:tr w:rsidR="00317762" w:rsidTr="00004581" w14:paraId="0F5680F3" w14:textId="77777777">
        <w:tc>
          <w:tcPr>
            <w:tcW w:w="3116" w:type="dxa"/>
          </w:tcPr>
          <w:p w:rsidR="00317762" w:rsidP="00004581" w:rsidRDefault="00317762" w14:paraId="0F154815" w14:textId="77777777">
            <w:r>
              <w:t>265.113</w:t>
            </w:r>
          </w:p>
        </w:tc>
        <w:tc>
          <w:tcPr>
            <w:tcW w:w="6149" w:type="dxa"/>
          </w:tcPr>
          <w:p w:rsidRPr="00702365" w:rsidR="00317762" w:rsidP="00004581" w:rsidRDefault="00317762" w14:paraId="3E7AFD5C" w14:textId="77777777">
            <w:r>
              <w:t>Same as above for interim status facilities.</w:t>
            </w:r>
          </w:p>
        </w:tc>
      </w:tr>
      <w:tr w:rsidR="00317762" w:rsidTr="00004581" w14:paraId="0DA8024B" w14:textId="77777777">
        <w:tc>
          <w:tcPr>
            <w:tcW w:w="3116" w:type="dxa"/>
          </w:tcPr>
          <w:p w:rsidR="00317762" w:rsidP="00004581" w:rsidRDefault="00317762" w14:paraId="049DAB8B" w14:textId="77777777">
            <w:r>
              <w:t>264.142-150</w:t>
            </w:r>
          </w:p>
        </w:tc>
        <w:tc>
          <w:tcPr>
            <w:tcW w:w="6149" w:type="dxa"/>
          </w:tcPr>
          <w:p w:rsidR="00317762" w:rsidP="00004581" w:rsidRDefault="00317762" w14:paraId="2FCAAEFE" w14:textId="77777777">
            <w:r>
              <w:t xml:space="preserve">Requires </w:t>
            </w:r>
            <w:r w:rsidRPr="00702365">
              <w:t xml:space="preserve">owners and operators </w:t>
            </w:r>
            <w:r>
              <w:t xml:space="preserve">of TSDFs </w:t>
            </w:r>
            <w:r w:rsidRPr="00702365">
              <w:t>to maintain a detailed written estimate of the cost of facility closure care until closure of the facility</w:t>
            </w:r>
            <w:r>
              <w:t>.</w:t>
            </w:r>
          </w:p>
        </w:tc>
      </w:tr>
      <w:tr w:rsidR="00317762" w:rsidTr="00004581" w14:paraId="26CED378" w14:textId="77777777">
        <w:tc>
          <w:tcPr>
            <w:tcW w:w="3116" w:type="dxa"/>
          </w:tcPr>
          <w:p w:rsidR="00317762" w:rsidP="00004581" w:rsidRDefault="00317762" w14:paraId="016CBDAF" w14:textId="77777777">
            <w:r>
              <w:t>265.142-150</w:t>
            </w:r>
          </w:p>
        </w:tc>
        <w:tc>
          <w:tcPr>
            <w:tcW w:w="6149" w:type="dxa"/>
          </w:tcPr>
          <w:p w:rsidRPr="00702365" w:rsidR="00317762" w:rsidP="00004581" w:rsidRDefault="00317762" w14:paraId="43B58C29" w14:textId="77777777">
            <w:r>
              <w:t>Same as above for interim status facilities.</w:t>
            </w:r>
          </w:p>
        </w:tc>
      </w:tr>
      <w:tr w:rsidR="00317762" w:rsidTr="00004581" w14:paraId="743946DF" w14:textId="77777777">
        <w:tc>
          <w:tcPr>
            <w:tcW w:w="3116" w:type="dxa"/>
          </w:tcPr>
          <w:p w:rsidR="00317762" w:rsidP="00004581" w:rsidRDefault="00317762" w14:paraId="679367FA" w14:textId="77777777">
            <w:r>
              <w:t>266.100-112</w:t>
            </w:r>
          </w:p>
        </w:tc>
        <w:tc>
          <w:tcPr>
            <w:tcW w:w="6149" w:type="dxa"/>
          </w:tcPr>
          <w:p w:rsidR="00317762" w:rsidP="00004581" w:rsidRDefault="00317762" w14:paraId="1D08C34E" w14:textId="77777777">
            <w:r>
              <w:t xml:space="preserve">Allows </w:t>
            </w:r>
            <w:r w:rsidRPr="00702365">
              <w:t xml:space="preserve">owners and operators of certain BIF units to apply for an exemption from BIF regulations.  </w:t>
            </w:r>
          </w:p>
        </w:tc>
      </w:tr>
      <w:tr w:rsidR="00317762" w:rsidTr="00004581" w14:paraId="1DAF322E" w14:textId="77777777">
        <w:tc>
          <w:tcPr>
            <w:tcW w:w="3116" w:type="dxa"/>
          </w:tcPr>
          <w:p w:rsidR="00317762" w:rsidP="00004581" w:rsidRDefault="00317762" w14:paraId="5460DA69" w14:textId="77777777">
            <w:r>
              <w:t>270.22</w:t>
            </w:r>
          </w:p>
        </w:tc>
        <w:tc>
          <w:tcPr>
            <w:tcW w:w="6149" w:type="dxa"/>
          </w:tcPr>
          <w:p w:rsidR="00317762" w:rsidP="00004581" w:rsidRDefault="00317762" w14:paraId="22A7E2A9" w14:textId="77777777">
            <w:r>
              <w:t>E</w:t>
            </w:r>
            <w:r w:rsidRPr="00702365">
              <w:t>stablishes Part B application information requirements for BIFs burning hazardous waste</w:t>
            </w:r>
            <w:r>
              <w:t>.</w:t>
            </w:r>
          </w:p>
        </w:tc>
      </w:tr>
      <w:tr w:rsidR="00317762" w:rsidTr="00004581" w14:paraId="41F076CB" w14:textId="77777777">
        <w:tc>
          <w:tcPr>
            <w:tcW w:w="3116" w:type="dxa"/>
          </w:tcPr>
          <w:p w:rsidR="00317762" w:rsidP="00004581" w:rsidRDefault="00317762" w14:paraId="6524DECF" w14:textId="77777777">
            <w:r>
              <w:t>270.66</w:t>
            </w:r>
          </w:p>
        </w:tc>
        <w:tc>
          <w:tcPr>
            <w:tcW w:w="6149" w:type="dxa"/>
          </w:tcPr>
          <w:p w:rsidRPr="00702365" w:rsidR="00317762" w:rsidP="00004581" w:rsidRDefault="00317762" w14:paraId="52848BB5" w14:textId="77777777">
            <w:r>
              <w:t>E</w:t>
            </w:r>
            <w:r w:rsidRPr="00702365">
              <w:t xml:space="preserve">stablishes permit requirements for BIFs.  Owners and operators </w:t>
            </w:r>
            <w:r w:rsidRPr="00702365">
              <w:lastRenderedPageBreak/>
              <w:t>of BIF facilities must comply with these regulations in addition to those regulations applicable to all hazardous waste facilities</w:t>
            </w:r>
            <w:r>
              <w:t>.</w:t>
            </w:r>
          </w:p>
        </w:tc>
      </w:tr>
      <w:tr w:rsidR="00317762" w:rsidTr="00004581" w14:paraId="3436D1B4" w14:textId="77777777">
        <w:tc>
          <w:tcPr>
            <w:tcW w:w="3116" w:type="dxa"/>
          </w:tcPr>
          <w:p w:rsidR="00317762" w:rsidP="00004581" w:rsidRDefault="00317762" w14:paraId="410A33FF" w14:textId="77777777">
            <w:r>
              <w:lastRenderedPageBreak/>
              <w:t>270.14</w:t>
            </w:r>
          </w:p>
        </w:tc>
        <w:tc>
          <w:tcPr>
            <w:tcW w:w="6149" w:type="dxa"/>
          </w:tcPr>
          <w:p w:rsidRPr="00702365" w:rsidR="00317762" w:rsidP="00004581" w:rsidRDefault="00317762" w14:paraId="3F7986D8" w14:textId="77777777">
            <w:r>
              <w:t>A</w:t>
            </w:r>
            <w:r w:rsidRPr="00702365">
              <w:t>llows owners and operators to petition EPA for relief from submission of information prescribed in Part B on a case-by-case basis by demonstrating that such information cannot be provided to the extent required</w:t>
            </w:r>
            <w:r>
              <w:t>.</w:t>
            </w:r>
          </w:p>
        </w:tc>
      </w:tr>
    </w:tbl>
    <w:p w:rsidRPr="00702365" w:rsidR="005B6DDF" w:rsidRDefault="005B6DDF" w14:paraId="4367AF25" w14:textId="3617B9F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7F5E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9591F" w:rsidR="0069591F" w:rsidP="0069591F" w:rsidRDefault="0069591F" w14:paraId="436FAB9E" w14:textId="77777777">
      <w:pPr>
        <w:rPr>
          <w:b/>
          <w:sz w:val="22"/>
          <w:szCs w:val="22"/>
        </w:rPr>
      </w:pPr>
      <w:bookmarkStart w:name="_Toc116104378" w:id="2"/>
      <w:r w:rsidRPr="0069591F">
        <w:rPr>
          <w:b/>
          <w:sz w:val="22"/>
          <w:szCs w:val="22"/>
        </w:rPr>
        <w:t>2. Indicate how, by whom, and for what purpose the information is to be used. Except for a new collection, indicate the actual use the agency has made of the information received from the current collection.</w:t>
      </w:r>
    </w:p>
    <w:bookmarkEnd w:id="2"/>
    <w:p w:rsidRPr="00702365" w:rsidR="005B6DDF" w:rsidRDefault="005B6DDF" w14:paraId="54EC9E19" w14:textId="65E9ED0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47A0BA9" w14:textId="025AE5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Foreign Shipment Import Report, Notice of Appropriate Permits, and Notice of Part 264 or 265, and Part 270 Requirements</w:t>
      </w:r>
    </w:p>
    <w:p w:rsidRPr="00702365" w:rsidR="005B6DDF" w:rsidRDefault="005B6DDF" w14:paraId="291E1F6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3A8419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foreign shipment import reports to determine the quantities and types of hazardous wastes being imported from abroad.  Information in the foreign shipment import report also allows EPA to determine whether hazardous wastes will be safely transported and managed.</w:t>
      </w:r>
    </w:p>
    <w:p w:rsidRPr="00702365" w:rsidR="005B6DDF" w:rsidRDefault="005B6DDF" w14:paraId="68E8D8AD" w14:textId="64E80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7CD6619" w14:textId="1E0FC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Generators use notices of appropriate permits to ensure that their waste is being managed by a permitted facility.  Owners and operators of </w:t>
      </w:r>
      <w:r w:rsidR="003348CE">
        <w:rPr>
          <w:sz w:val="22"/>
          <w:szCs w:val="22"/>
        </w:rPr>
        <w:t>a treatment, storage, or disposal facility (</w:t>
      </w:r>
      <w:r w:rsidRPr="00702365">
        <w:rPr>
          <w:sz w:val="22"/>
          <w:szCs w:val="22"/>
        </w:rPr>
        <w:t>TSDFs</w:t>
      </w:r>
      <w:r w:rsidR="003348CE">
        <w:rPr>
          <w:sz w:val="22"/>
          <w:szCs w:val="22"/>
        </w:rPr>
        <w:t>)</w:t>
      </w:r>
      <w:r w:rsidRPr="00702365">
        <w:rPr>
          <w:sz w:val="22"/>
          <w:szCs w:val="22"/>
        </w:rPr>
        <w:t xml:space="preserve"> must keep the notices in the operating record, and these notices may be reviewed by EPA during facility inspections.</w:t>
      </w:r>
    </w:p>
    <w:p w:rsidRPr="00702365" w:rsidR="005B6DDF" w:rsidRDefault="005B6DDF" w14:paraId="2DD2B396" w14:textId="766C1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740478E" w14:textId="2C2783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New owners and operators use the notice of Part 264 and Part 270 requirements to improve their understanding of applicable regulations.</w:t>
      </w:r>
    </w:p>
    <w:p w:rsidRPr="00702365" w:rsidR="005B6DDF" w:rsidRDefault="005B6DDF" w14:paraId="4805B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F97D0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Waste Analysis, Waste Analysis Plan, Inspection</w:t>
      </w:r>
      <w:r w:rsidRPr="00702365">
        <w:rPr>
          <w:sz w:val="22"/>
          <w:szCs w:val="22"/>
        </w:rPr>
        <w:t xml:space="preserve"> </w:t>
      </w:r>
      <w:r w:rsidRPr="00702365">
        <w:rPr>
          <w:b/>
          <w:sz w:val="22"/>
          <w:szCs w:val="22"/>
        </w:rPr>
        <w:t>Schedule, and Documentation of Compliance</w:t>
      </w:r>
    </w:p>
    <w:p w:rsidRPr="00702365" w:rsidR="005B6DDF" w:rsidRDefault="005B6DDF" w14:paraId="1E25B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7DFF8AE" w14:textId="3BDFF3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waste analysis and waste analysis plan, as well as the inspection schedule and documentation of compliance for ignitable or incompatible wastes, are primarily designed to ensure that a facility is complying with the BIF regulations and can adequately handle incoming waste as demonstrated during the trial burn or compliance testing.  Information associated with these requirements is also used to ensure that the incoming waste is really what the generator claims it to be, and to prevent unauthorized releases of pollutants during burning of hazardous waste on-site.  Much of the information in the waste analysis plan will also be used to provide a quality assurance check on both the generator and the owners' and operators' facilities.</w:t>
      </w:r>
    </w:p>
    <w:p w:rsidRPr="00702365" w:rsidR="005B6DDF" w:rsidRDefault="005B6DDF" w14:paraId="5653EF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D13D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Personnel Training</w:t>
      </w:r>
    </w:p>
    <w:p w:rsidRPr="00702365" w:rsidR="005B6DDF" w:rsidRDefault="005B6DDF" w14:paraId="2DBC92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53F241" w14:textId="347CF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Both EPA and owners and operators use information in the personnel training records to ensure that personnel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Pr="00702365" w:rsidR="005B6DDF" w:rsidRDefault="005B6DDF" w14:paraId="4D8187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7629E0" w14:textId="1A06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 xml:space="preserve"> </w:t>
      </w:r>
    </w:p>
    <w:p w:rsidRPr="00702365" w:rsidR="005B6DDF" w:rsidRDefault="005B6DDF" w14:paraId="3B3163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Recordkeeping Requirements</w:t>
      </w:r>
    </w:p>
    <w:p w:rsidRPr="00702365" w:rsidR="005B6DDF" w:rsidRDefault="005B6DDF" w14:paraId="70CA7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2351AEA2" w14:textId="4BF3AC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facility owner or operator uses information included in the operating record and waste disposal location and quantity records to prevent the facility from receiving or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Pr="00702365" w:rsidR="005B6DDF" w:rsidRDefault="005B6DDF" w14:paraId="0FA539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09A88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Contingency Plan and Emergency Procedures</w:t>
      </w:r>
      <w:r w:rsidRPr="00702365">
        <w:rPr>
          <w:sz w:val="22"/>
          <w:szCs w:val="22"/>
        </w:rPr>
        <w:t xml:space="preserve"> </w:t>
      </w:r>
    </w:p>
    <w:p w:rsidRPr="00702365" w:rsidR="005B6DDF" w:rsidRDefault="005B6DDF" w14:paraId="536FF9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9C305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Local emergency response teams, certain hazardous waste generators, treatment, storage, and disposal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Pr="00702365" w:rsidR="005B6DDF" w:rsidRDefault="005B6DDF" w14:paraId="19C932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69B45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Closure Requirements</w:t>
      </w:r>
    </w:p>
    <w:p w:rsidRPr="00702365" w:rsidR="005B6DDF" w:rsidRDefault="005B6DDF" w14:paraId="1DC093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DF78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rsidRPr="00702365" w:rsidR="00AA1F5B" w:rsidRDefault="00AA1F5B" w14:paraId="3B2E8C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3D43F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02365">
        <w:rPr>
          <w:b/>
          <w:sz w:val="22"/>
          <w:szCs w:val="22"/>
        </w:rPr>
        <w:t>Financial Requirements</w:t>
      </w:r>
    </w:p>
    <w:p w:rsidRPr="00702365" w:rsidR="00AA1F5B" w:rsidRDefault="00AA1F5B" w14:paraId="009F2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4317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closure care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care and liability coverage in the event of default or bankruptcy of a facility owner or operator.</w:t>
      </w:r>
    </w:p>
    <w:p w:rsidRPr="00702365" w:rsidR="005B6DDF" w:rsidRDefault="005B6DDF" w14:paraId="288C1F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8F5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Conditions Applicable to All Permits</w:t>
      </w:r>
    </w:p>
    <w:p w:rsidRPr="00702365" w:rsidR="005B6DDF" w:rsidRDefault="005B6DDF" w14:paraId="6F15A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C0823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data collected from permitted facilities to evaluate compliance with the terms of the permit and to decide whether cause exists for modifying, revoking and reissuing, or terminating the permit.  By collecting this information, EPA ensures that permitted facilities are operating in a manner protective of human health and the environment.</w:t>
      </w:r>
    </w:p>
    <w:p w:rsidRPr="00702365" w:rsidR="005B6DDF" w:rsidRDefault="005B6DDF" w14:paraId="4F47C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07C999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71D53F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Exemptions from the BIF Regulations</w:t>
      </w:r>
    </w:p>
    <w:p w:rsidRPr="00702365" w:rsidR="005B6DDF" w:rsidRDefault="005B6DDF" w14:paraId="6B2A9B8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C9D1C06" w14:textId="4A43214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collected under </w:t>
      </w:r>
      <w:r w:rsidR="009E2F0D">
        <w:rPr>
          <w:sz w:val="22"/>
          <w:szCs w:val="22"/>
        </w:rPr>
        <w:t xml:space="preserve">40 CFR Parts </w:t>
      </w:r>
      <w:r w:rsidRPr="00702365">
        <w:rPr>
          <w:sz w:val="22"/>
          <w:szCs w:val="22"/>
        </w:rPr>
        <w:t>266.100 and 266.108 to determine whether a facility complies with the conditions that allow an exemption from BIF regulations.</w:t>
      </w:r>
    </w:p>
    <w:p w:rsidRPr="00702365" w:rsidR="005B6DDF" w:rsidRDefault="005B6DDF" w14:paraId="124902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5FD262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Standards</w:t>
      </w:r>
    </w:p>
    <w:p w:rsidRPr="00702365" w:rsidR="005B6DDF" w:rsidRDefault="005B6DDF" w14:paraId="2BAE4C9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BBFD56" w14:textId="15F2EAD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monitoring and inspection information to ensure that a facility is complying with all the terms of its permit and all applicable standards and conditions, including standards covering the control of organic emissions (</w:t>
      </w:r>
      <w:r w:rsidR="00F01B48">
        <w:rPr>
          <w:sz w:val="22"/>
          <w:szCs w:val="22"/>
        </w:rPr>
        <w:t xml:space="preserve">40 CFR Part </w:t>
      </w:r>
      <w:r w:rsidRPr="00702365">
        <w:rPr>
          <w:sz w:val="22"/>
          <w:szCs w:val="22"/>
        </w:rPr>
        <w:t>266.104), particulate matter (</w:t>
      </w:r>
      <w:r w:rsidR="00F01B48">
        <w:rPr>
          <w:sz w:val="22"/>
          <w:szCs w:val="22"/>
        </w:rPr>
        <w:t xml:space="preserve">40 CFR Part </w:t>
      </w:r>
      <w:r w:rsidRPr="00702365">
        <w:rPr>
          <w:sz w:val="22"/>
          <w:szCs w:val="22"/>
        </w:rPr>
        <w:t>266.105), metals emissions (</w:t>
      </w:r>
      <w:r w:rsidR="00F01B48">
        <w:rPr>
          <w:sz w:val="22"/>
          <w:szCs w:val="22"/>
        </w:rPr>
        <w:t xml:space="preserve">40 CFR Part </w:t>
      </w:r>
      <w:r w:rsidRPr="00702365">
        <w:rPr>
          <w:sz w:val="22"/>
          <w:szCs w:val="22"/>
        </w:rPr>
        <w:t>266.106), HCl and Cl</w:t>
      </w:r>
      <w:r w:rsidRPr="00702365">
        <w:rPr>
          <w:sz w:val="22"/>
          <w:szCs w:val="22"/>
          <w:vertAlign w:val="subscript"/>
        </w:rPr>
        <w:t>2</w:t>
      </w:r>
      <w:r w:rsidRPr="00702365">
        <w:rPr>
          <w:sz w:val="22"/>
          <w:szCs w:val="22"/>
        </w:rPr>
        <w:t xml:space="preserve"> gas emissions (</w:t>
      </w:r>
      <w:r w:rsidR="00F01B48">
        <w:rPr>
          <w:sz w:val="22"/>
          <w:szCs w:val="22"/>
        </w:rPr>
        <w:t>40 CFR Part</w:t>
      </w:r>
      <w:r w:rsidR="00507A44">
        <w:rPr>
          <w:sz w:val="22"/>
          <w:szCs w:val="22"/>
        </w:rPr>
        <w:t xml:space="preserve"> </w:t>
      </w:r>
      <w:r w:rsidRPr="00702365">
        <w:rPr>
          <w:sz w:val="22"/>
          <w:szCs w:val="22"/>
        </w:rPr>
        <w:t>266.107).</w:t>
      </w:r>
    </w:p>
    <w:p w:rsidRPr="00702365" w:rsidR="005B6DDF" w:rsidRDefault="005B6DDF" w14:paraId="3EF2C1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454BB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Organic Emissions</w:t>
      </w:r>
    </w:p>
    <w:p w:rsidRPr="00702365" w:rsidR="005B6DDF" w:rsidRDefault="005B6DDF" w14:paraId="043DF0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7300D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POHC designation to evaluate whether the proposed POHC can serve as an effective indicator of combustion efficiency.</w:t>
      </w:r>
    </w:p>
    <w:p w:rsidRPr="00702365" w:rsidR="005B6DDF" w:rsidRDefault="005B6DDF" w14:paraId="6994FA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134A84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Standards to Control Metals Emissions</w:t>
      </w:r>
    </w:p>
    <w:p w:rsidRPr="00702365" w:rsidR="005B6DDF" w:rsidRDefault="005B6DDF" w14:paraId="2CDBDE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9EC49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implementation approach to evaluate whether the proposed approach can be used effectively and safely.</w:t>
      </w:r>
    </w:p>
    <w:p w:rsidRPr="00702365" w:rsidR="005B6DDF" w:rsidRDefault="005B6DDF" w14:paraId="48D533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635A5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Direct Transfer Requirements</w:t>
      </w:r>
    </w:p>
    <w:p w:rsidRPr="00702365" w:rsidR="005B6DDF" w:rsidRDefault="005B6DDF" w14:paraId="432B29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concerning the direct transfer of waste to evaluate the equipment used and to ensure that waste is being transferred in a manner that minimizes the likelihood of a release.</w:t>
      </w:r>
    </w:p>
    <w:p w:rsidRPr="00702365" w:rsidR="005B6DDF" w:rsidRDefault="005B6DDF" w14:paraId="69E89F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C32B9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Regulation of Residues</w:t>
      </w:r>
    </w:p>
    <w:p w:rsidRPr="00702365" w:rsidR="005B6DDF" w:rsidRDefault="005B6DDF" w14:paraId="610D41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48F5A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submitted in support of an exclusion of residue from being classified as a hazardous waste to evaluate whether such an exclusion is warranted.  EPA uses information submitted in support of the use of an alternative statistical approach and an approach for the handling of </w:t>
      </w:r>
      <w:proofErr w:type="spellStart"/>
      <w:r w:rsidRPr="00702365">
        <w:rPr>
          <w:sz w:val="22"/>
          <w:szCs w:val="22"/>
        </w:rPr>
        <w:t>nondetect</w:t>
      </w:r>
      <w:proofErr w:type="spellEnd"/>
      <w:r w:rsidRPr="00702365">
        <w:rPr>
          <w:sz w:val="22"/>
          <w:szCs w:val="22"/>
        </w:rPr>
        <w:t xml:space="preserve"> data points to ensure that the approaches used are supported by valid data and assumptions.</w:t>
      </w:r>
    </w:p>
    <w:p w:rsidRPr="00702365" w:rsidR="005B6DDF" w:rsidRDefault="005B6DDF" w14:paraId="1A9E21C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D5B536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39AE20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General Part B Information Requirements for BIFs</w:t>
      </w:r>
    </w:p>
    <w:p w:rsidRPr="00702365" w:rsidR="005B6DDF" w:rsidRDefault="005B6DDF" w14:paraId="77DE9B1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1F15637"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the information requirements in 40 </w:t>
      </w:r>
      <w:r w:rsidRPr="00507A44">
        <w:rPr>
          <w:sz w:val="22"/>
          <w:szCs w:val="22"/>
        </w:rPr>
        <w:t>CFR</w:t>
      </w:r>
      <w:r w:rsidRPr="00702365">
        <w:rPr>
          <w:sz w:val="22"/>
          <w:szCs w:val="22"/>
        </w:rPr>
        <w:t xml:space="preserve"> Parts 264 and 270 for owners and operators submitting Part B applications to evaluate compliance with various elements of the regulations.  For example, the general facility standards informational requirements provide EPA with information demonstrating compliance with standards regarding the facility's contingency plan, the inspection schedule, and security procedures.  EPA uses the financial assurance information requirements to evaluate the facility owner's financial ability to close the facility, to maintain the facility after closure, and to respond to any contingencies.  Owners and operators use schedules of compliance to develop a list of activities needed to come into compliance with the applicable regulations.  EPA uses performance test plans and documentation of compliance to ensure that design and operating procedures are in accordance with air emissions standards. </w:t>
      </w:r>
    </w:p>
    <w:p w:rsidRPr="00702365" w:rsidR="005B6DDF" w:rsidRDefault="005B6DDF" w14:paraId="12855C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12BA01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Specific Part B Information Requirements for BIFs</w:t>
      </w:r>
      <w:r w:rsidRPr="00702365">
        <w:rPr>
          <w:sz w:val="22"/>
          <w:szCs w:val="22"/>
        </w:rPr>
        <w:t xml:space="preserve"> </w:t>
      </w:r>
    </w:p>
    <w:p w:rsidRPr="00702365" w:rsidR="005B6DDF" w:rsidRDefault="005B6DDF" w14:paraId="21A9B79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6F449B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Fugitive Emissions</w:t>
      </w:r>
    </w:p>
    <w:p w:rsidRPr="00702365" w:rsidR="005B6DDF" w:rsidRDefault="005B6DDF" w14:paraId="64BD882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61C948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means of fugitive emissions control to ensure that the proposed method will perform effectively.</w:t>
      </w:r>
    </w:p>
    <w:p w:rsidRPr="00702365" w:rsidR="005B6DDF" w:rsidRDefault="005B6DDF" w14:paraId="217C1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080C32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Requirements Relating to the Pre-Trial Burn, Trial Burn, and Post-Trial Burn Periods</w:t>
      </w:r>
    </w:p>
    <w:p w:rsidRPr="00702365" w:rsidR="005B6DDF" w:rsidRDefault="005B6DDF" w14:paraId="56CC548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7D3042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relating to the various permit operating periods to evaluate whether the BIF unit can meet the standards set forth in 40 </w:t>
      </w:r>
      <w:r w:rsidRPr="00507A44">
        <w:rPr>
          <w:sz w:val="22"/>
          <w:szCs w:val="22"/>
        </w:rPr>
        <w:t>CFR</w:t>
      </w:r>
      <w:r w:rsidRPr="00702365">
        <w:rPr>
          <w:sz w:val="22"/>
          <w:szCs w:val="22"/>
        </w:rPr>
        <w:t xml:space="preserve"> Part 266, Subpart H.  EPA uses information submitted in the trial burn plan to evaluate whether a facility's plans are adequate.  EPA uses trial burn results to determine whether a facility can meet applicable standards and to set permit conditions.  These requirements contribute to EPA's goal of ensuring that facilities can meet the standards set forth in 40 </w:t>
      </w:r>
      <w:r w:rsidRPr="00507A44">
        <w:rPr>
          <w:sz w:val="22"/>
          <w:szCs w:val="22"/>
        </w:rPr>
        <w:t xml:space="preserve">CFR </w:t>
      </w:r>
      <w:r w:rsidRPr="00702365">
        <w:rPr>
          <w:sz w:val="22"/>
          <w:szCs w:val="22"/>
        </w:rPr>
        <w:t>Part 266, Subpart H.</w:t>
      </w:r>
    </w:p>
    <w:p w:rsidRPr="00702365" w:rsidR="005B6DDF" w:rsidRDefault="005B6DDF" w14:paraId="7553087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D795F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t>Waivers of the Trial Burn</w:t>
      </w:r>
    </w:p>
    <w:p w:rsidRPr="00702365" w:rsidR="005B6DDF" w:rsidRDefault="005B6DDF" w14:paraId="044EC5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CFA6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 waiver of a trial burn to evaluate whether the proposed waiver should be granted, based on human health and environmental considerations.</w:t>
      </w:r>
    </w:p>
    <w:p w:rsidRPr="00702365" w:rsidR="005B6DDF" w:rsidRDefault="005B6DDF" w14:paraId="0CC867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F25CB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HC Limit for Industrial Furnaces with Organic Matter in Raw Materials</w:t>
      </w:r>
    </w:p>
    <w:p w:rsidRPr="00702365" w:rsidR="005B6DDF" w:rsidRDefault="005B6DDF" w14:paraId="67F4BB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2D7C9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submitted in support of an alternative HC limit to evaluate whether the limit will be protective of human health and the environment.</w:t>
      </w:r>
    </w:p>
    <w:p w:rsidRPr="00702365" w:rsidR="005B6DDF" w:rsidRDefault="005B6DDF" w14:paraId="1B46F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D495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Alternative Metals Implementation Approach</w:t>
      </w:r>
    </w:p>
    <w:p w:rsidRPr="00702365" w:rsidR="005B6DDF" w:rsidRDefault="005B6DDF" w14:paraId="527FCD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C03AD7D" w14:textId="44586A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uses information submitted in support of an alternative implementation approach, as described at </w:t>
      </w:r>
      <w:r w:rsidR="00F01B48">
        <w:rPr>
          <w:sz w:val="22"/>
          <w:szCs w:val="22"/>
        </w:rPr>
        <w:t>40 CFR Part</w:t>
      </w:r>
      <w:r w:rsidR="00507A44">
        <w:rPr>
          <w:sz w:val="22"/>
          <w:szCs w:val="22"/>
        </w:rPr>
        <w:t>s</w:t>
      </w:r>
      <w:r w:rsidR="00F01B48">
        <w:rPr>
          <w:sz w:val="22"/>
          <w:szCs w:val="22"/>
        </w:rPr>
        <w:t xml:space="preserve"> </w:t>
      </w:r>
      <w:r w:rsidRPr="00702365">
        <w:rPr>
          <w:sz w:val="22"/>
          <w:szCs w:val="22"/>
        </w:rPr>
        <w:t>266.103(b), 266.106(f), and appendix IX, section 10, to evaluate whether the proposed approach will work effectively and safely.</w:t>
      </w:r>
    </w:p>
    <w:p w:rsidRPr="00702365" w:rsidR="005B6DDF" w:rsidRDefault="005B6DDF" w14:paraId="04235D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BBCD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Automatic Hazardous Waste Feed Cutoff System</w:t>
      </w:r>
    </w:p>
    <w:p w:rsidRPr="00702365" w:rsidR="005B6DDF" w:rsidRDefault="005B6DDF" w14:paraId="775B77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B1544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on the automatic hazardous waste feed cutoff system to evaluate whether the system has been installed and is being operated correctly.</w:t>
      </w:r>
    </w:p>
    <w:p w:rsidRPr="00702365" w:rsidR="005B6DDF" w:rsidRDefault="005B6DDF" w14:paraId="49FE1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3F592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Direct Transfer Requirements</w:t>
      </w:r>
    </w:p>
    <w:p w:rsidRPr="00702365" w:rsidR="005B6DDF" w:rsidRDefault="005B6DDF" w14:paraId="6EFCD35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443F35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information collected on direct transfer equipment to evaluate and ensure that the integrity of the equipment and its maintenance and operation minimizes the likelihood of a release.</w:t>
      </w:r>
    </w:p>
    <w:p w:rsidRPr="00702365" w:rsidR="005B6DDF" w:rsidRDefault="005B6DDF" w14:paraId="6DDA2E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6626DC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Regulation of Residues</w:t>
      </w:r>
    </w:p>
    <w:p w:rsidRPr="00702365" w:rsidR="005B6DDF" w:rsidRDefault="005B6DDF" w14:paraId="7BEECA9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2DE3EA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EPA uses information submitted in support of an exclusion of residue from classification as a hazardous waste to evaluate whether the residue meets the required conditions for exclusion.  EPA needs to collect this information to ensure that residue generated during the combustion of hazardous waste in BIFs is managed in a manner protective of human health and the environment.</w:t>
      </w:r>
    </w:p>
    <w:p w:rsidRPr="00702365" w:rsidR="005B6DDF" w:rsidRDefault="005B6DDF" w14:paraId="73171B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87CA2F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Permit Modifications for BIFs</w:t>
      </w:r>
    </w:p>
    <w:p w:rsidRPr="00702365" w:rsidR="005B6DDF" w:rsidRDefault="005B6DDF" w14:paraId="4084B3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DE234F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Permit Modifications</w:t>
      </w:r>
    </w:p>
    <w:p w:rsidRPr="00702365" w:rsidR="005B6DDF" w:rsidRDefault="005B6DDF" w14:paraId="2A164EA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34D3561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permit information to evaluate the initial permit applications and any subsequent requests for modifications.  The public may also use draft EPA permit and permit modification determinations which incorporate data submitted by facilities to assess hazardous waste management facilities being developed in their communities.</w:t>
      </w:r>
    </w:p>
    <w:p w:rsidRPr="00702365" w:rsidR="005B6DDF" w:rsidRDefault="005B6DDF" w14:paraId="2A9ACE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FE67C6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r w:rsidRPr="00702365">
        <w:rPr>
          <w:b/>
          <w:sz w:val="22"/>
          <w:szCs w:val="22"/>
        </w:rPr>
        <w:tab/>
        <w:t>Expiration and Continuation of Permits</w:t>
      </w:r>
    </w:p>
    <w:p w:rsidRPr="00702365" w:rsidR="005B6DDF" w:rsidRDefault="005B6DDF" w14:paraId="183F8CD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590B76B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uses permit renewal applications to ensure that the terms of the facility permit remain protective of human health and the environment.</w:t>
      </w:r>
    </w:p>
    <w:p w:rsidR="005B6DDF" w:rsidRDefault="005B6DDF" w14:paraId="27D52291" w14:textId="771AB6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B4962" w:rsidP="006B4962" w:rsidRDefault="006B4962" w14:paraId="04D6159C" w14:textId="3B504B62">
      <w:pPr>
        <w:rPr>
          <w:b/>
          <w:sz w:val="22"/>
          <w:szCs w:val="22"/>
        </w:rPr>
      </w:pPr>
      <w:r w:rsidRPr="006B4962">
        <w:rPr>
          <w:b/>
          <w:sz w:val="22"/>
          <w:szCs w:val="22"/>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17762" w:rsidP="006B4962" w:rsidRDefault="00317762" w14:paraId="1268C3B9" w14:textId="582950DE">
      <w:pPr>
        <w:rPr>
          <w:b/>
          <w:sz w:val="22"/>
          <w:szCs w:val="22"/>
        </w:rPr>
      </w:pPr>
    </w:p>
    <w:p w:rsidRPr="006B4962" w:rsidR="00317762" w:rsidP="00281E82" w:rsidRDefault="00317762" w14:paraId="44104B7C" w14:textId="337C68FA">
      <w:pPr>
        <w:ind w:firstLine="720"/>
        <w:rPr>
          <w:b/>
          <w:sz w:val="22"/>
          <w:szCs w:val="22"/>
        </w:rPr>
      </w:pPr>
      <w:r>
        <w:rPr>
          <w:sz w:val="22"/>
          <w:szCs w:val="22"/>
        </w:rPr>
        <w:t>The information collected, as described above, can be kept in an electronic format and reports can be submitted to the State and/or Region electronically.</w:t>
      </w:r>
    </w:p>
    <w:p w:rsidRPr="00702365" w:rsidR="006B4962" w:rsidRDefault="006B4962" w14:paraId="56D35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B4962" w:rsidR="006B4962" w:rsidP="006B4962" w:rsidRDefault="006B4962" w14:paraId="5421A400" w14:textId="77777777">
      <w:pPr>
        <w:rPr>
          <w:b/>
          <w:sz w:val="22"/>
          <w:szCs w:val="22"/>
        </w:rPr>
      </w:pPr>
      <w:bookmarkStart w:name="_Toc116104379" w:id="3"/>
      <w:r w:rsidRPr="006B4962">
        <w:rPr>
          <w:b/>
          <w:sz w:val="22"/>
          <w:szCs w:val="22"/>
        </w:rPr>
        <w:t>4. Describe efforts to identify duplication. Show specifically why any similar information already available cannot be used or modified for use for the purposes described in Item 2 above.</w:t>
      </w:r>
    </w:p>
    <w:bookmarkEnd w:id="3"/>
    <w:p w:rsidRPr="00702365" w:rsidR="005B6DDF" w:rsidRDefault="005B6DDF" w14:paraId="20B6E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B6DDF" w:rsidRDefault="005B6DDF" w14:paraId="24E0BEC4" w14:textId="547A3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The information collections covered in this ICR are not available from sources other than the respondents.  EPA's Office of Solid Waste is the only office within the Agency collecting this information, and no other Federal agency or department collects this information.  In addition, the Office of Solid Waste has systematically reorganized its ICR structure to eliminate gaps or duplication.</w:t>
      </w:r>
    </w:p>
    <w:p w:rsidRPr="00702365" w:rsidR="006B4962" w:rsidRDefault="006B4962" w14:paraId="6F31D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B4962" w:rsidP="006B4962" w:rsidRDefault="006B4962" w14:paraId="46E4D989" w14:textId="47B3BAFD">
      <w:pPr>
        <w:rPr>
          <w:b/>
          <w:sz w:val="22"/>
          <w:szCs w:val="22"/>
        </w:rPr>
      </w:pPr>
      <w:r w:rsidRPr="006B4962">
        <w:rPr>
          <w:b/>
          <w:sz w:val="22"/>
          <w:szCs w:val="22"/>
        </w:rPr>
        <w:t>5. If the collection of information impacts small businesses or other small entities, describe any methods used to minimize burden.</w:t>
      </w:r>
    </w:p>
    <w:p w:rsidR="006B4962" w:rsidP="006B4962" w:rsidRDefault="006B4962" w14:paraId="55195958" w14:textId="48857237">
      <w:pPr>
        <w:rPr>
          <w:b/>
          <w:sz w:val="22"/>
          <w:szCs w:val="22"/>
        </w:rPr>
      </w:pPr>
    </w:p>
    <w:p w:rsidRPr="00702365" w:rsidR="006B4962" w:rsidP="006B4962" w:rsidRDefault="006B4962" w14:paraId="1638F216" w14:textId="5C0B65BC">
      <w:pPr>
        <w:pStyle w:val="Heading2"/>
        <w:rPr>
          <w:rFonts w:ascii="Times New Roman" w:hAnsi="Times New Roman" w:cs="Times New Roman"/>
          <w:sz w:val="22"/>
          <w:szCs w:val="22"/>
        </w:rPr>
      </w:pPr>
    </w:p>
    <w:p w:rsidRPr="00702365" w:rsidR="006B4962" w:rsidP="006B4962" w:rsidRDefault="006B4962" w14:paraId="21ABF22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6B4962" w:rsidP="006B4962" w:rsidRDefault="006B4962" w14:paraId="5C75E34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In response to concerns regarding the burden placed on facilities that burn small quantities of hazardous waste, EPA has provided for an exemption under </w:t>
      </w:r>
      <w:r>
        <w:rPr>
          <w:sz w:val="22"/>
          <w:szCs w:val="22"/>
        </w:rPr>
        <w:t>Section</w:t>
      </w:r>
      <w:r w:rsidRPr="00702365">
        <w:rPr>
          <w:sz w:val="22"/>
          <w:szCs w:val="22"/>
        </w:rPr>
        <w:t xml:space="preserve"> 3004(q)(2)(B) of RCRA.  The Agency has carefully evaluated the risks posed by small quantity burning and concluded that a conditional exemption for small quantity burners should be allowed where hazardous waste combustion poses an insignificant risk.  This small quantity burner exemption would therefore reduce the burden placed on small entities.</w:t>
      </w:r>
    </w:p>
    <w:p w:rsidRPr="00702365" w:rsidR="006B4962" w:rsidP="006B4962" w:rsidRDefault="006B4962" w14:paraId="319C6F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6B4962" w:rsidP="006B4962" w:rsidRDefault="006B4962" w14:paraId="596AE2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In addition, EPA expects that in certain cases, respondents of small organizations will be able to complete recordkeeping, reporting, and application requirements in less time than large organizations because the permits will not be as detailed, or they will not be required to conduct as many monitoring activities or submit as many reports, because they have fewer activities requiring monitoring and reporting.  However, a parallel does not always exist between the size of an organization and the amount of time needed to maintain records or submit reports.  EPA has taken steps to minimize the burdens for all facilities, regardless of the size of the business.</w:t>
      </w:r>
    </w:p>
    <w:p w:rsidRPr="006B4962" w:rsidR="006B4962" w:rsidP="006B4962" w:rsidRDefault="006B4962" w14:paraId="427B7B60" w14:textId="77777777">
      <w:pPr>
        <w:rPr>
          <w:b/>
          <w:sz w:val="22"/>
          <w:szCs w:val="22"/>
        </w:rPr>
      </w:pPr>
    </w:p>
    <w:p w:rsidR="006B4962" w:rsidP="006B4962" w:rsidRDefault="006B4962" w14:paraId="21367713" w14:textId="758B04A8">
      <w:pPr>
        <w:rPr>
          <w:b/>
          <w:sz w:val="22"/>
          <w:szCs w:val="22"/>
        </w:rPr>
      </w:pPr>
      <w:r w:rsidRPr="006B4962">
        <w:rPr>
          <w:b/>
          <w:sz w:val="22"/>
          <w:szCs w:val="22"/>
        </w:rPr>
        <w:t>6. Describe the consequence to Federal program or policy activities if the collection is not conducted or is conducted less frequently, as well as any technical or legal obstacles to reducing burden.</w:t>
      </w:r>
    </w:p>
    <w:p w:rsidR="006B4962" w:rsidP="006B4962" w:rsidRDefault="006B4962" w14:paraId="713E941E" w14:textId="08C5431B">
      <w:pPr>
        <w:rPr>
          <w:b/>
          <w:sz w:val="22"/>
          <w:szCs w:val="22"/>
        </w:rPr>
      </w:pPr>
    </w:p>
    <w:p w:rsidRPr="00F85821" w:rsidR="006B4962" w:rsidP="006B4962" w:rsidRDefault="006B4962" w14:paraId="6DA94E28" w14:textId="30AA03C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702365" w:rsidR="006B4962" w:rsidP="006B4962" w:rsidRDefault="006B4962" w14:paraId="1328450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6B4962" w:rsidP="006B4962" w:rsidRDefault="006B4962" w14:paraId="0AEBDD3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EPA has carefully considered the burden imposed upon the regulated community by the specific unit and special waste processes and types regulations.  Consequently, EPA is confident that those activities required of respondents are necessary, and to the extent possible, minimize the burden imposed.  EPA believes strongly that if the minimum requirements specified under the regulations are not met, EPA will be unable to fulfill its Congressional mandate to protect public health and the environment.</w:t>
      </w:r>
    </w:p>
    <w:p w:rsidRPr="006B4962" w:rsidR="006B4962" w:rsidP="006B4962" w:rsidRDefault="006B4962" w14:paraId="12AC0E32" w14:textId="77777777">
      <w:pPr>
        <w:rPr>
          <w:b/>
          <w:sz w:val="22"/>
          <w:szCs w:val="22"/>
        </w:rPr>
      </w:pPr>
    </w:p>
    <w:p w:rsidRPr="006B4962" w:rsidR="006B4962" w:rsidP="006B4962" w:rsidRDefault="006B4962" w14:paraId="4BEDD10D" w14:textId="77777777">
      <w:pPr>
        <w:rPr>
          <w:b/>
          <w:sz w:val="22"/>
          <w:szCs w:val="22"/>
        </w:rPr>
      </w:pPr>
      <w:r w:rsidRPr="006B4962">
        <w:rPr>
          <w:b/>
          <w:sz w:val="22"/>
          <w:szCs w:val="22"/>
        </w:rPr>
        <w:t>7. Explain any special circumstances that would cause an information collection to be conducted in a manner:</w:t>
      </w:r>
    </w:p>
    <w:p w:rsidRPr="006B4962" w:rsidR="006B4962" w:rsidP="00457E07" w:rsidRDefault="006B4962" w14:paraId="7D79BC2E" w14:textId="77777777">
      <w:pPr>
        <w:pStyle w:val="ListParagraph"/>
        <w:widowControl/>
        <w:numPr>
          <w:ilvl w:val="0"/>
          <w:numId w:val="44"/>
        </w:numPr>
        <w:spacing w:line="259" w:lineRule="auto"/>
        <w:contextualSpacing/>
        <w:rPr>
          <w:b/>
          <w:sz w:val="22"/>
          <w:szCs w:val="22"/>
        </w:rPr>
      </w:pPr>
      <w:r w:rsidRPr="006B4962">
        <w:rPr>
          <w:b/>
          <w:sz w:val="22"/>
          <w:szCs w:val="22"/>
        </w:rPr>
        <w:t>requiring respondents to report information to the agency more often than quarterly;</w:t>
      </w:r>
    </w:p>
    <w:p w:rsidRPr="006B4962" w:rsidR="006B4962" w:rsidP="00457E07" w:rsidRDefault="006B4962" w14:paraId="42353675" w14:textId="77777777">
      <w:pPr>
        <w:pStyle w:val="ListParagraph"/>
        <w:widowControl/>
        <w:numPr>
          <w:ilvl w:val="0"/>
          <w:numId w:val="44"/>
        </w:numPr>
        <w:spacing w:line="259" w:lineRule="auto"/>
        <w:contextualSpacing/>
        <w:rPr>
          <w:b/>
          <w:sz w:val="22"/>
          <w:szCs w:val="22"/>
        </w:rPr>
      </w:pPr>
      <w:r w:rsidRPr="006B4962">
        <w:rPr>
          <w:b/>
          <w:sz w:val="22"/>
          <w:szCs w:val="22"/>
        </w:rPr>
        <w:t>requiring respondents to prepare a written response to a collection of information in fewer than 30 days after receipt of it;</w:t>
      </w:r>
    </w:p>
    <w:p w:rsidRPr="006B4962" w:rsidR="006B4962" w:rsidP="00457E07" w:rsidRDefault="006B4962" w14:paraId="0E770930" w14:textId="77777777">
      <w:pPr>
        <w:pStyle w:val="ListParagraph"/>
        <w:widowControl/>
        <w:numPr>
          <w:ilvl w:val="0"/>
          <w:numId w:val="44"/>
        </w:numPr>
        <w:spacing w:line="259" w:lineRule="auto"/>
        <w:contextualSpacing/>
        <w:rPr>
          <w:b/>
          <w:sz w:val="22"/>
          <w:szCs w:val="22"/>
        </w:rPr>
      </w:pPr>
      <w:r w:rsidRPr="006B4962">
        <w:rPr>
          <w:b/>
          <w:sz w:val="22"/>
          <w:szCs w:val="22"/>
        </w:rPr>
        <w:t>requiring respondents to submit more than an original and two copies of any document;</w:t>
      </w:r>
    </w:p>
    <w:p w:rsidRPr="006B4962" w:rsidR="006B4962" w:rsidP="00457E07" w:rsidRDefault="006B4962" w14:paraId="07A83262" w14:textId="77777777">
      <w:pPr>
        <w:pStyle w:val="ListParagraph"/>
        <w:widowControl/>
        <w:numPr>
          <w:ilvl w:val="0"/>
          <w:numId w:val="44"/>
        </w:numPr>
        <w:spacing w:line="259" w:lineRule="auto"/>
        <w:contextualSpacing/>
        <w:rPr>
          <w:b/>
          <w:sz w:val="22"/>
          <w:szCs w:val="22"/>
        </w:rPr>
      </w:pPr>
      <w:r w:rsidRPr="006B4962">
        <w:rPr>
          <w:b/>
          <w:sz w:val="22"/>
          <w:szCs w:val="22"/>
        </w:rPr>
        <w:t>requiring respondents to retain records, other than health, medical, government contract, grant-in-aid, or tax records, for more than three years;</w:t>
      </w:r>
    </w:p>
    <w:p w:rsidRPr="006B4962" w:rsidR="006B4962" w:rsidP="00457E07" w:rsidRDefault="006B4962" w14:paraId="5AA19911" w14:textId="77777777">
      <w:pPr>
        <w:pStyle w:val="ListParagraph"/>
        <w:widowControl/>
        <w:numPr>
          <w:ilvl w:val="0"/>
          <w:numId w:val="44"/>
        </w:numPr>
        <w:spacing w:line="259" w:lineRule="auto"/>
        <w:contextualSpacing/>
        <w:rPr>
          <w:b/>
          <w:sz w:val="22"/>
          <w:szCs w:val="22"/>
        </w:rPr>
      </w:pPr>
      <w:r w:rsidRPr="006B4962">
        <w:rPr>
          <w:b/>
          <w:sz w:val="22"/>
          <w:szCs w:val="22"/>
        </w:rPr>
        <w:t>in connection with a statistical survey, that is not designed to produce valid and reliable results that can be generalized to the universe of study;</w:t>
      </w:r>
    </w:p>
    <w:p w:rsidRPr="006B4962" w:rsidR="006B4962" w:rsidP="00457E07" w:rsidRDefault="006B4962" w14:paraId="0479F540" w14:textId="77777777">
      <w:pPr>
        <w:pStyle w:val="ListParagraph"/>
        <w:widowControl/>
        <w:numPr>
          <w:ilvl w:val="0"/>
          <w:numId w:val="44"/>
        </w:numPr>
        <w:spacing w:line="259" w:lineRule="auto"/>
        <w:contextualSpacing/>
        <w:rPr>
          <w:b/>
          <w:sz w:val="22"/>
          <w:szCs w:val="22"/>
        </w:rPr>
      </w:pPr>
      <w:r w:rsidRPr="006B4962">
        <w:rPr>
          <w:b/>
          <w:sz w:val="22"/>
          <w:szCs w:val="22"/>
        </w:rPr>
        <w:t>requiring the use of a statistical data classification that has not been reviewed and approved by OMB;</w:t>
      </w:r>
    </w:p>
    <w:p w:rsidRPr="006B4962" w:rsidR="006B4962" w:rsidP="00457E07" w:rsidRDefault="006B4962" w14:paraId="55C24415" w14:textId="77777777">
      <w:pPr>
        <w:pStyle w:val="ListParagraph"/>
        <w:widowControl/>
        <w:numPr>
          <w:ilvl w:val="0"/>
          <w:numId w:val="44"/>
        </w:numPr>
        <w:spacing w:line="259" w:lineRule="auto"/>
        <w:contextualSpacing/>
        <w:rPr>
          <w:b/>
          <w:sz w:val="22"/>
          <w:szCs w:val="22"/>
        </w:rPr>
      </w:pPr>
      <w:r w:rsidRPr="006B4962">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4962" w:rsidP="00457E07" w:rsidRDefault="006B4962" w14:paraId="18BABD70" w14:textId="49DCAE3A">
      <w:pPr>
        <w:pStyle w:val="ListParagraph"/>
        <w:widowControl/>
        <w:numPr>
          <w:ilvl w:val="0"/>
          <w:numId w:val="44"/>
        </w:numPr>
        <w:spacing w:line="259" w:lineRule="auto"/>
        <w:contextualSpacing/>
        <w:rPr>
          <w:b/>
          <w:sz w:val="22"/>
          <w:szCs w:val="22"/>
        </w:rPr>
      </w:pPr>
      <w:r w:rsidRPr="006B4962">
        <w:rPr>
          <w:b/>
          <w:sz w:val="22"/>
          <w:szCs w:val="22"/>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702365" w:rsidR="006B4962" w:rsidP="006B4962" w:rsidRDefault="006B4962" w14:paraId="3354E786" w14:textId="1737D15F">
      <w:pPr>
        <w:pStyle w:val="Heading2"/>
        <w:rPr>
          <w:rFonts w:ascii="Times New Roman" w:hAnsi="Times New Roman" w:cs="Times New Roman"/>
          <w:sz w:val="22"/>
          <w:szCs w:val="22"/>
        </w:rPr>
      </w:pPr>
    </w:p>
    <w:p w:rsidRPr="00702365" w:rsidR="006B4962" w:rsidP="006B4962" w:rsidRDefault="006B4962" w14:paraId="5B42D3B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6B4962" w:rsidP="006B4962" w:rsidRDefault="006B4962" w14:paraId="2DC23EF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This ICR adheres to the guidelines stated in the 1995 Paperwork Reduction Act as amended, OMB's implementing regulations, OMB's </w:t>
      </w:r>
      <w:r w:rsidRPr="00702365">
        <w:rPr>
          <w:sz w:val="22"/>
          <w:szCs w:val="22"/>
          <w:u w:val="single"/>
        </w:rPr>
        <w:t>Information Collection Request Handbook</w:t>
      </w:r>
      <w:r w:rsidRPr="00702365">
        <w:rPr>
          <w:sz w:val="22"/>
          <w:szCs w:val="22"/>
        </w:rPr>
        <w:t xml:space="preserve"> (EPA, February 1999), and other applicable OMB guidance, except for the records retention period.  The BIF regulations require that records be retained until closure of the facility.</w:t>
      </w:r>
    </w:p>
    <w:p w:rsidRPr="006B4962" w:rsidR="006B4962" w:rsidP="006B4962" w:rsidRDefault="006B4962" w14:paraId="3214D1F5" w14:textId="77777777">
      <w:pPr>
        <w:widowControl/>
        <w:spacing w:line="259" w:lineRule="auto"/>
        <w:contextualSpacing/>
        <w:rPr>
          <w:b/>
          <w:sz w:val="22"/>
          <w:szCs w:val="22"/>
        </w:rPr>
      </w:pPr>
    </w:p>
    <w:p w:rsidRPr="00702365" w:rsidR="005B6DDF" w:rsidRDefault="005B6DDF" w14:paraId="5D0320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6B4962" w:rsidR="006B4962" w:rsidP="006B4962" w:rsidRDefault="006B4962" w14:paraId="35B1B328" w14:textId="77777777">
      <w:pPr>
        <w:rPr>
          <w:b/>
          <w:sz w:val="22"/>
          <w:szCs w:val="22"/>
        </w:rPr>
      </w:pPr>
      <w:bookmarkStart w:name="_Toc116104381" w:id="4"/>
      <w:r w:rsidRPr="006B4962">
        <w:rPr>
          <w:b/>
          <w:sz w:val="22"/>
          <w:szCs w:val="22"/>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B4962" w:rsidR="006B4962" w:rsidP="006B4962" w:rsidRDefault="006B4962" w14:paraId="7D32C9F0" w14:textId="77777777">
      <w:pPr>
        <w:rPr>
          <w:b/>
          <w:sz w:val="22"/>
          <w:szCs w:val="22"/>
        </w:rPr>
      </w:pPr>
    </w:p>
    <w:p w:rsidRPr="006B4962" w:rsidR="006B4962" w:rsidP="006B4962" w:rsidRDefault="006B4962" w14:paraId="2079F62C" w14:textId="77777777">
      <w:pPr>
        <w:rPr>
          <w:b/>
          <w:sz w:val="22"/>
          <w:szCs w:val="22"/>
        </w:rPr>
      </w:pPr>
      <w:r w:rsidRPr="006B4962">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B4962" w:rsidR="006B4962" w:rsidP="006B4962" w:rsidRDefault="006B4962" w14:paraId="01E5C4BD" w14:textId="77777777">
      <w:pPr>
        <w:rPr>
          <w:b/>
          <w:sz w:val="22"/>
          <w:szCs w:val="22"/>
        </w:rPr>
      </w:pPr>
    </w:p>
    <w:p w:rsidRPr="006B4962" w:rsidR="006B4962" w:rsidP="006B4962" w:rsidRDefault="006B4962" w14:paraId="66B93676" w14:textId="77777777">
      <w:pPr>
        <w:rPr>
          <w:b/>
          <w:sz w:val="22"/>
          <w:szCs w:val="22"/>
        </w:rPr>
      </w:pPr>
      <w:r w:rsidRPr="006B4962">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bookmarkEnd w:id="4"/>
    <w:p w:rsidRPr="00702365" w:rsidR="005B6DDF" w:rsidRDefault="005B6DDF" w14:paraId="588EE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CB91D4D" w14:textId="7F5DA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Pr="00974BDA" w:rsidR="009875FD">
        <w:rPr>
          <w:sz w:val="22"/>
          <w:szCs w:val="22"/>
        </w:rPr>
        <w:t xml:space="preserve">In compliance with the Paperwork Reduction Act of 1995, EPA issued a public notice in the </w:t>
      </w:r>
      <w:r w:rsidRPr="00974BDA" w:rsidR="009875FD">
        <w:rPr>
          <w:i/>
          <w:iCs/>
          <w:sz w:val="22"/>
          <w:szCs w:val="22"/>
        </w:rPr>
        <w:t xml:space="preserve">Federal Register </w:t>
      </w:r>
      <w:r w:rsidR="009875FD">
        <w:rPr>
          <w:sz w:val="22"/>
          <w:szCs w:val="22"/>
        </w:rPr>
        <w:t>on March 26, 2020</w:t>
      </w:r>
      <w:r w:rsidRPr="00974BDA" w:rsidR="009875FD">
        <w:rPr>
          <w:sz w:val="22"/>
          <w:szCs w:val="22"/>
        </w:rPr>
        <w:t xml:space="preserve"> (</w:t>
      </w:r>
      <w:r w:rsidR="009875FD">
        <w:rPr>
          <w:sz w:val="22"/>
          <w:szCs w:val="22"/>
        </w:rPr>
        <w:t>85</w:t>
      </w:r>
      <w:r w:rsidRPr="00974BDA" w:rsidR="009875FD">
        <w:rPr>
          <w:sz w:val="22"/>
          <w:szCs w:val="22"/>
        </w:rPr>
        <w:t xml:space="preserve"> FR </w:t>
      </w:r>
      <w:r w:rsidR="009875FD">
        <w:rPr>
          <w:sz w:val="22"/>
          <w:szCs w:val="22"/>
        </w:rPr>
        <w:t>17056</w:t>
      </w:r>
      <w:r w:rsidRPr="00974BDA" w:rsidR="009875FD">
        <w:rPr>
          <w:sz w:val="22"/>
          <w:szCs w:val="22"/>
        </w:rPr>
        <w:t xml:space="preserve">), and provided a 60 day comment period.  </w:t>
      </w:r>
      <w:r w:rsidR="009875FD">
        <w:rPr>
          <w:sz w:val="22"/>
          <w:szCs w:val="22"/>
        </w:rPr>
        <w:t>One comment was received but it was about the upcoming election and not about the ICR.</w:t>
      </w:r>
    </w:p>
    <w:p w:rsidRPr="00702365" w:rsidR="005B6DDF" w:rsidRDefault="005B6DDF" w14:paraId="64A601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228142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F85821" w:rsidR="005A0313" w:rsidP="004A0030" w:rsidRDefault="005B6DDF" w14:paraId="304DD2D9" w14:textId="1C437B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55351">
        <w:rPr>
          <w:sz w:val="22"/>
          <w:szCs w:val="22"/>
        </w:rPr>
        <w:tab/>
      </w:r>
      <w:bookmarkStart w:name="_Toc116104383" w:id="5"/>
      <w:r w:rsidR="006B4962">
        <w:rPr>
          <w:sz w:val="22"/>
          <w:szCs w:val="22"/>
        </w:rPr>
        <w:t>In compliance with the PRA of 1995, EPA consulted with three companies</w:t>
      </w:r>
      <w:r w:rsidR="00D6228F">
        <w:rPr>
          <w:sz w:val="22"/>
          <w:szCs w:val="22"/>
        </w:rPr>
        <w:t xml:space="preserve">: </w:t>
      </w:r>
      <w:r w:rsidR="002547CC">
        <w:rPr>
          <w:sz w:val="22"/>
          <w:szCs w:val="22"/>
        </w:rPr>
        <w:t>Eco Services</w:t>
      </w:r>
      <w:r w:rsidR="00D6228F">
        <w:rPr>
          <w:sz w:val="22"/>
          <w:szCs w:val="22"/>
        </w:rPr>
        <w:t xml:space="preserve">, </w:t>
      </w:r>
      <w:r w:rsidR="002547CC">
        <w:rPr>
          <w:sz w:val="22"/>
          <w:szCs w:val="22"/>
        </w:rPr>
        <w:t>Eastman Chemical Co.</w:t>
      </w:r>
      <w:r w:rsidR="00281E82">
        <w:rPr>
          <w:sz w:val="22"/>
          <w:szCs w:val="22"/>
        </w:rPr>
        <w:t xml:space="preserve"> </w:t>
      </w:r>
      <w:r w:rsidR="00D6228F">
        <w:rPr>
          <w:sz w:val="22"/>
          <w:szCs w:val="22"/>
        </w:rPr>
        <w:t xml:space="preserve">and </w:t>
      </w:r>
      <w:r w:rsidR="002547CC">
        <w:rPr>
          <w:sz w:val="22"/>
          <w:szCs w:val="22"/>
        </w:rPr>
        <w:t>Chemical</w:t>
      </w:r>
      <w:r w:rsidR="00D6228F">
        <w:rPr>
          <w:sz w:val="22"/>
          <w:szCs w:val="22"/>
        </w:rPr>
        <w:t>.</w:t>
      </w:r>
      <w:r w:rsidR="00281E82">
        <w:rPr>
          <w:sz w:val="22"/>
          <w:szCs w:val="22"/>
        </w:rPr>
        <w:t xml:space="preserve"> There were no responses from these consultations.</w:t>
      </w:r>
    </w:p>
    <w:bookmarkEnd w:id="5"/>
    <w:p w:rsidRPr="00702365" w:rsidR="005B6DDF" w:rsidP="008A6E89" w:rsidRDefault="005B6DDF" w14:paraId="174B069D"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B6DDF" w:rsidP="008A6E89" w:rsidRDefault="005B6DDF" w14:paraId="7E04C93A" w14:textId="35DA657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EPA proposes to collect information only to the extent necessary for the implementation of the promulgated rule and does not intend to collect any information related to trade secrets of the stake-holders.  Section 3007(b) of RCRA and 40 </w:t>
      </w:r>
      <w:r w:rsidRPr="00507A44">
        <w:rPr>
          <w:sz w:val="22"/>
          <w:szCs w:val="22"/>
        </w:rPr>
        <w:t>CFR</w:t>
      </w:r>
      <w:r w:rsidRPr="00702365">
        <w:rPr>
          <w:sz w:val="22"/>
          <w:szCs w:val="22"/>
        </w:rPr>
        <w:t xml:space="preserve"> Part 2, Subpart B define EPA’s general policy on the public disclosure of information, and contain provisions for confidentiality of business information.  EPA protects from public disclosure all Confidential Business Information (CBI) obtained under RCRA, and has provided businesses with procedures to claim confidentiality for such CBI.  EPA makes extra efforts to protect the confidentiality of this CBI.</w:t>
      </w:r>
    </w:p>
    <w:p w:rsidRPr="00702365" w:rsidR="00D6228F" w:rsidP="008A6E89" w:rsidRDefault="00D6228F" w14:paraId="1673CFD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D6228F" w:rsidR="00D6228F" w:rsidP="00D6228F" w:rsidRDefault="00D6228F" w14:paraId="192B86AD" w14:textId="77777777">
      <w:pPr>
        <w:rPr>
          <w:b/>
          <w:sz w:val="22"/>
          <w:szCs w:val="22"/>
        </w:rPr>
      </w:pPr>
      <w:bookmarkStart w:name="_Toc116104386" w:id="6"/>
      <w:r w:rsidRPr="00D6228F">
        <w:rPr>
          <w:b/>
          <w:sz w:val="22"/>
          <w:szCs w:val="22"/>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6"/>
    <w:p w:rsidR="005B6DDF" w:rsidP="000726AB" w:rsidRDefault="005B6DDF" w14:paraId="27575AAB" w14:textId="1F27CCF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No questions of a sensitive nature are included in any of the information collection requirements.  This ICR complies with the Privacy Act of 1974 and OMB Circular A-130.</w:t>
      </w:r>
    </w:p>
    <w:p w:rsidR="00D6228F" w:rsidP="000726AB" w:rsidRDefault="00D6228F" w14:paraId="54EF2A0C" w14:textId="1306DEA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D6228F" w:rsidP="000726AB" w:rsidRDefault="00D6228F" w14:paraId="09981CA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D6228F" w:rsidR="00D6228F" w:rsidP="00243027" w:rsidRDefault="00D6228F" w14:paraId="424E2205" w14:textId="77777777">
      <w:pPr>
        <w:rPr>
          <w:b/>
          <w:sz w:val="22"/>
          <w:szCs w:val="22"/>
        </w:rPr>
      </w:pPr>
      <w:bookmarkStart w:name="_Toc116104387" w:id="7"/>
      <w:r w:rsidRPr="00D6228F">
        <w:rPr>
          <w:b/>
          <w:sz w:val="22"/>
          <w:szCs w:val="22"/>
        </w:rPr>
        <w:t>12. Provide estimates of the hour burden of the collection of information. The statement should:</w:t>
      </w:r>
    </w:p>
    <w:p w:rsidRPr="00D6228F" w:rsidR="00D6228F" w:rsidP="00281E82" w:rsidRDefault="00D6228F" w14:paraId="4A7BFE85" w14:textId="77777777">
      <w:pPr>
        <w:pStyle w:val="ListParagraph"/>
        <w:widowControl/>
        <w:numPr>
          <w:ilvl w:val="0"/>
          <w:numId w:val="45"/>
        </w:numPr>
        <w:spacing w:line="259" w:lineRule="auto"/>
        <w:contextualSpacing/>
        <w:rPr>
          <w:b/>
          <w:sz w:val="22"/>
          <w:szCs w:val="22"/>
        </w:rPr>
      </w:pPr>
      <w:r w:rsidRPr="00D6228F">
        <w:rPr>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6228F" w:rsidR="00D6228F" w:rsidP="00281E82" w:rsidRDefault="00D6228F" w14:paraId="11E012F4" w14:textId="77777777">
      <w:pPr>
        <w:pStyle w:val="ListParagraph"/>
        <w:widowControl/>
        <w:numPr>
          <w:ilvl w:val="0"/>
          <w:numId w:val="45"/>
        </w:numPr>
        <w:spacing w:line="259" w:lineRule="auto"/>
        <w:contextualSpacing/>
        <w:rPr>
          <w:b/>
          <w:sz w:val="22"/>
          <w:szCs w:val="22"/>
        </w:rPr>
      </w:pPr>
      <w:r w:rsidRPr="00D6228F">
        <w:rPr>
          <w:b/>
          <w:sz w:val="22"/>
          <w:szCs w:val="22"/>
        </w:rPr>
        <w:t>If this request for approval covers more than one form, provide separate hour burden estimates for each form and aggregate the hour burdens.</w:t>
      </w:r>
    </w:p>
    <w:p w:rsidRPr="00D6228F" w:rsidR="00D6228F" w:rsidP="00281E82" w:rsidRDefault="00D6228F" w14:paraId="5C43DDED" w14:textId="77777777">
      <w:pPr>
        <w:pStyle w:val="ListParagraph"/>
        <w:widowControl/>
        <w:numPr>
          <w:ilvl w:val="0"/>
          <w:numId w:val="45"/>
        </w:numPr>
        <w:spacing w:line="259" w:lineRule="auto"/>
        <w:contextualSpacing/>
        <w:rPr>
          <w:b/>
          <w:sz w:val="22"/>
          <w:szCs w:val="22"/>
        </w:rPr>
      </w:pPr>
      <w:r w:rsidRPr="00D6228F">
        <w:rPr>
          <w:b/>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tbl>
      <w:tblPr>
        <w:tblW w:w="0" w:type="auto"/>
        <w:jc w:val="center"/>
        <w:tblLayout w:type="fixed"/>
        <w:tblCellMar>
          <w:left w:w="11" w:type="dxa"/>
          <w:right w:w="11" w:type="dxa"/>
        </w:tblCellMar>
        <w:tblLook w:val="0000" w:firstRow="0" w:lastRow="0" w:firstColumn="0" w:lastColumn="0" w:noHBand="0" w:noVBand="0"/>
      </w:tblPr>
      <w:tblGrid>
        <w:gridCol w:w="6070"/>
        <w:gridCol w:w="1549"/>
        <w:gridCol w:w="1640"/>
      </w:tblGrid>
      <w:tr w:rsidRPr="00702365" w:rsidR="005B6DDF" w14:paraId="277031CB" w14:textId="77777777">
        <w:trPr>
          <w:tblHeader/>
          <w:jc w:val="center"/>
        </w:trPr>
        <w:tc>
          <w:tcPr>
            <w:tcW w:w="6070" w:type="dxa"/>
            <w:tcBorders>
              <w:top w:val="single" w:color="000000" w:sz="7" w:space="0"/>
              <w:left w:val="single" w:color="000000" w:sz="7" w:space="0"/>
              <w:bottom w:val="single" w:color="000000" w:sz="7" w:space="0"/>
              <w:right w:val="single" w:color="000000" w:sz="7" w:space="0"/>
            </w:tcBorders>
          </w:tcPr>
          <w:bookmarkEnd w:id="7"/>
          <w:p w:rsidR="000726AB" w:rsidRDefault="005B6DDF" w14:paraId="6B79B823" w14:textId="3799FBF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702365">
              <w:rPr>
                <w:sz w:val="22"/>
                <w:szCs w:val="22"/>
              </w:rPr>
              <w:lastRenderedPageBreak/>
              <w:tab/>
              <w:t>The following is a list of Standard Industrial Classification (SIC) codes and corresponding North American Industrial Classification System (NAICS) codes associated with facilities most likely affected by the information requirements covered in this ICR.</w:t>
            </w:r>
          </w:p>
          <w:p w:rsidRPr="00702365" w:rsidR="005B6DDF" w:rsidRDefault="005B6DDF" w14:paraId="7121A1E6" w14:textId="52A6FE6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Industry Sector</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24CEEB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SIC Code(s)</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C6DB2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b/>
                <w:sz w:val="22"/>
                <w:szCs w:val="22"/>
              </w:rPr>
              <w:t>NAICS Code(s)</w:t>
            </w:r>
          </w:p>
        </w:tc>
      </w:tr>
      <w:tr w:rsidRPr="00702365" w:rsidR="005B6DDF" w14:paraId="7C3A487D"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63306C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Mining: Nonmetallic Minerals, Except Fuels: Miscellaneous Nonmetallic Minerals, not elsewhere classified</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E96AA9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1499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51B87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212399 </w:t>
            </w:r>
          </w:p>
        </w:tc>
      </w:tr>
      <w:tr w:rsidRPr="00702365" w:rsidR="005B6DDF" w14:paraId="5A76ADC0"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2FBE8D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Commercial Printing, Lithographic</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752106B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2752</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F0C00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323110 </w:t>
            </w:r>
          </w:p>
        </w:tc>
      </w:tr>
      <w:tr w:rsidRPr="00702365" w:rsidR="005B6DDF" w14:paraId="28B5550F"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5F480E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All Other Miscellaneous Chemical Product and Preparation Manufacturing</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60021C2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2819, 2899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BFFA04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325998</w:t>
            </w:r>
          </w:p>
        </w:tc>
      </w:tr>
      <w:tr w:rsidRPr="00702365" w:rsidR="005B6DDF" w14:paraId="1E80A542"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F8CE4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Plastics Material and Resin Manufacturing</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6B377F6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2821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B1FD02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325211</w:t>
            </w:r>
          </w:p>
        </w:tc>
      </w:tr>
      <w:tr w:rsidRPr="00702365" w:rsidR="005B6DDF" w14:paraId="504A0864"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850A6F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Paints and Allied Products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5921872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2851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64BAD7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Pr="00702365" w:rsidR="005B6DDF" w14:paraId="49DF66D4"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330C8A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 xml:space="preserve">All Other Basic Organic Chemical Manufacturing </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418EB7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2869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B16845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325199</w:t>
            </w:r>
          </w:p>
        </w:tc>
      </w:tr>
      <w:tr w:rsidRPr="00702365" w:rsidR="005B6DDF" w14:paraId="6CB19D2A"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A78A47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Petroleum Refineries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14A2DB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2911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5C8A01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32411</w:t>
            </w:r>
          </w:p>
        </w:tc>
      </w:tr>
      <w:tr w:rsidRPr="00702365" w:rsidR="005B6DDF" w14:paraId="5B1B92BE"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4E7512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0" w:hanging="750"/>
              <w:rPr>
                <w:sz w:val="22"/>
                <w:szCs w:val="22"/>
              </w:rPr>
            </w:pPr>
            <w:r w:rsidRPr="00702365">
              <w:rPr>
                <w:sz w:val="22"/>
                <w:szCs w:val="22"/>
              </w:rPr>
              <w:t>Manufacturing: Stone, Clay and Glass Products: Cement, Hydraulic</w:t>
            </w:r>
            <w:r w:rsidRPr="00702365">
              <w:rPr>
                <w:sz w:val="22"/>
                <w:szCs w:val="22"/>
              </w:rPr>
              <w:tab/>
            </w:r>
            <w:r w:rsidRPr="00702365">
              <w:rPr>
                <w:sz w:val="22"/>
                <w:szCs w:val="22"/>
              </w:rPr>
              <w:tab/>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69218A4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3241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6C3A84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 xml:space="preserve">32731 </w:t>
            </w:r>
          </w:p>
        </w:tc>
      </w:tr>
      <w:tr w:rsidRPr="00702365" w:rsidR="005B6DDF" w14:paraId="51C3CF9B"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BD972E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Concrete Block and Brick</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701975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BCE3B4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327331</w:t>
            </w:r>
          </w:p>
        </w:tc>
      </w:tr>
      <w:tr w:rsidRPr="00702365" w:rsidR="005B6DDF" w14:paraId="348E6D4C"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000407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Ready-Mixed Concrete</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04B679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772A77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32732</w:t>
            </w:r>
          </w:p>
        </w:tc>
      </w:tr>
      <w:tr w:rsidRPr="00702365" w:rsidR="005B6DDF" w14:paraId="60779F5D"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703CEE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Minerals, Ground or Treated</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4824788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3295</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A300D3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21232, 21239</w:t>
            </w:r>
          </w:p>
        </w:tc>
      </w:tr>
      <w:tr w:rsidRPr="00702365" w:rsidR="005B6DDF" w14:paraId="33BF089B"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829AF5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Manufacturing: Stone, Clay and Glass Products: Non-metallic Mineral Products, not elsewhere classified</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2378BE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3299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7FF99E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327999</w:t>
            </w:r>
          </w:p>
        </w:tc>
      </w:tr>
      <w:tr w:rsidRPr="00702365" w:rsidR="005B6DDF" w14:paraId="6917D5ED"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2BA012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Plating and Polishing</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74CBA6C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3471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3CB4B6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332813</w:t>
            </w:r>
          </w:p>
        </w:tc>
      </w:tr>
      <w:tr w:rsidRPr="00702365" w:rsidR="005B6DDF" w14:paraId="061BD860"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276D1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Industrial Machinery</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34DCEE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3599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4B07D2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333999</w:t>
            </w:r>
          </w:p>
        </w:tc>
      </w:tr>
      <w:tr w:rsidRPr="00702365" w:rsidR="005B6DDF" w14:paraId="16BC9F0C"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5488CC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Electronic Components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7B4D871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3679</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84413E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334419</w:t>
            </w:r>
          </w:p>
        </w:tc>
      </w:tr>
      <w:tr w:rsidRPr="00702365" w:rsidR="005B6DDF" w14:paraId="1A8F8BAE"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D2E5B2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Motor Vehicle Parts and Accessories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566D136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3714</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18D735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3363</w:t>
            </w:r>
          </w:p>
        </w:tc>
      </w:tr>
      <w:tr w:rsidRPr="00702365" w:rsidR="005B6DDF" w14:paraId="41423AF8"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FEE645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Local Trucking Without Storage</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478BEDB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4212</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E2B615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48411, 56211</w:t>
            </w:r>
          </w:p>
        </w:tc>
      </w:tr>
      <w:tr w:rsidRPr="00702365" w:rsidR="005B6DDF" w14:paraId="24087A65"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24DD194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Electric Systems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51209DA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4911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B4DD59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2211</w:t>
            </w:r>
          </w:p>
        </w:tc>
      </w:tr>
      <w:tr w:rsidRPr="00702365" w:rsidR="005B6DDF" w14:paraId="0D6570C2"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44C3B7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Sewerage Systems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B9369E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4952</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1538D6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22132</w:t>
            </w:r>
          </w:p>
        </w:tc>
      </w:tr>
      <w:tr w:rsidRPr="00702365" w:rsidR="005B6DDF" w14:paraId="02E10419"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7A3740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Waste Treatment and Disposal</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4A626A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4953</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5268C4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5622</w:t>
            </w:r>
          </w:p>
        </w:tc>
      </w:tr>
      <w:tr w:rsidRPr="00702365" w:rsidR="005B6DDF" w14:paraId="5D9A0EB7"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D66E74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Petroleum Bulk Stations and Terminals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FC48C5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5171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248600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42271</w:t>
            </w:r>
          </w:p>
        </w:tc>
      </w:tr>
      <w:tr w:rsidRPr="00702365" w:rsidR="005B6DDF" w14:paraId="279285D9"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7A3378A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New and Used Car Dealers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3A8169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5511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0276EDE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4411</w:t>
            </w:r>
          </w:p>
        </w:tc>
      </w:tr>
      <w:tr w:rsidRPr="00702365" w:rsidR="005B6DDF" w14:paraId="183A5F80"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3B25AD2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Gasoline Service Stations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2F6F868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5541</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6489DEE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4471</w:t>
            </w:r>
          </w:p>
        </w:tc>
      </w:tr>
      <w:tr w:rsidRPr="00702365" w:rsidR="005B6DDF" w14:paraId="590B228C" w14:textId="77777777">
        <w:trPr>
          <w:jc w:val="center"/>
        </w:trPr>
        <w:tc>
          <w:tcPr>
            <w:tcW w:w="6070" w:type="dxa"/>
            <w:tcBorders>
              <w:top w:val="single" w:color="000000" w:sz="7" w:space="0"/>
              <w:left w:val="single" w:color="000000" w:sz="7" w:space="0"/>
              <w:bottom w:val="single" w:color="000000" w:sz="7" w:space="0"/>
              <w:right w:val="single" w:color="000000" w:sz="7" w:space="0"/>
            </w:tcBorders>
          </w:tcPr>
          <w:p w:rsidRPr="00702365" w:rsidR="005B6DDF" w:rsidRDefault="005B6DDF" w14:paraId="126E81D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General Automotive Repair Shops</w:t>
            </w:r>
          </w:p>
        </w:tc>
        <w:tc>
          <w:tcPr>
            <w:tcW w:w="1549" w:type="dxa"/>
            <w:tcBorders>
              <w:top w:val="single" w:color="000000" w:sz="7" w:space="0"/>
              <w:left w:val="single" w:color="000000" w:sz="7" w:space="0"/>
              <w:bottom w:val="single" w:color="000000" w:sz="7" w:space="0"/>
              <w:right w:val="single" w:color="000000" w:sz="7" w:space="0"/>
            </w:tcBorders>
          </w:tcPr>
          <w:p w:rsidRPr="00702365" w:rsidR="005B6DDF" w:rsidRDefault="005B6DDF" w14:paraId="34774AB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7538</w:t>
            </w:r>
          </w:p>
        </w:tc>
        <w:tc>
          <w:tcPr>
            <w:tcW w:w="1640" w:type="dxa"/>
            <w:tcBorders>
              <w:top w:val="single" w:color="000000" w:sz="7" w:space="0"/>
              <w:left w:val="single" w:color="000000" w:sz="7" w:space="0"/>
              <w:bottom w:val="single" w:color="000000" w:sz="7" w:space="0"/>
              <w:right w:val="single" w:color="000000" w:sz="7" w:space="0"/>
            </w:tcBorders>
          </w:tcPr>
          <w:p w:rsidRPr="00702365" w:rsidR="005B6DDF" w:rsidRDefault="005B6DDF" w14:paraId="5F79A71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702365">
              <w:rPr>
                <w:sz w:val="22"/>
                <w:szCs w:val="22"/>
              </w:rPr>
              <w:t>811111</w:t>
            </w:r>
          </w:p>
        </w:tc>
      </w:tr>
    </w:tbl>
    <w:p w:rsidR="005B6DDF" w:rsidRDefault="005B6DDF" w14:paraId="1B3939DE" w14:textId="4D24E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202393" w:rsidP="00202393" w:rsidRDefault="00202393" w14:paraId="08E36A3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202393" w:rsidP="00202393" w:rsidRDefault="00202393" w14:paraId="176EBF2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Pr>
          <w:sz w:val="22"/>
          <w:szCs w:val="22"/>
        </w:rPr>
        <w:t>In the attached excel file, exhibits 1 – 4 provide a detailed breakdown of the respondent burden hours and cost associated with all of the information collections requirements covered this ICR</w:t>
      </w:r>
      <w:r w:rsidRPr="00702365">
        <w:rPr>
          <w:sz w:val="22"/>
          <w:szCs w:val="22"/>
        </w:rPr>
        <w:t xml:space="preserve">.  These exhibits show the average number of hours required to conduct the information collection activity and the average cost associated with each requirement.  </w:t>
      </w:r>
      <w:r>
        <w:rPr>
          <w:sz w:val="22"/>
          <w:szCs w:val="22"/>
        </w:rPr>
        <w:t>Table 2</w:t>
      </w:r>
      <w:r w:rsidRPr="00702365">
        <w:rPr>
          <w:sz w:val="22"/>
          <w:szCs w:val="22"/>
        </w:rPr>
        <w:t xml:space="preserve"> </w:t>
      </w:r>
      <w:r>
        <w:rPr>
          <w:sz w:val="22"/>
          <w:szCs w:val="22"/>
        </w:rPr>
        <w:t xml:space="preserve">below </w:t>
      </w:r>
      <w:r w:rsidRPr="00702365">
        <w:rPr>
          <w:sz w:val="22"/>
          <w:szCs w:val="22"/>
        </w:rPr>
        <w:t xml:space="preserve">summarizes the total respondent burden and costs and provides annual bottom-line burden and costs associated with all information collection requirements applicable to facilities with BIF units. </w:t>
      </w:r>
    </w:p>
    <w:p w:rsidRPr="00702365" w:rsidR="00202393" w:rsidP="00202393" w:rsidRDefault="00202393" w14:paraId="0EA75E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202393" w:rsidP="00202393" w:rsidRDefault="00202393" w14:paraId="45E35A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lastRenderedPageBreak/>
        <w:tab/>
        <w:t>The estimated burden and cost represents the average burden and cost incurred by a facility with BIF units.  In developing these estimates, EPA recognizes that the burden for each facility will vary, depending on the number, capacity, and complexity of the BIF units at the facility.  Consequently, the burden estimates included in this ICR neither supersede existing technical guidance nor constitute new guidance on the frequency or cost of complying with the information collection requirements associated with the BIF regulations.</w:t>
      </w:r>
    </w:p>
    <w:p w:rsidRPr="00702365" w:rsidR="00202393" w:rsidP="00202393" w:rsidRDefault="00202393" w14:paraId="3E0C51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202393" w:rsidP="00202393" w:rsidRDefault="00202393" w14:paraId="76F8FD6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02393" w:rsidP="00202393" w:rsidRDefault="00202393" w14:paraId="491E98B0" w14:textId="34156A8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For purposes of this analysis, EPA estimates an average hourly respondent labor cost of $1</w:t>
      </w:r>
      <w:r>
        <w:rPr>
          <w:sz w:val="22"/>
          <w:szCs w:val="22"/>
        </w:rPr>
        <w:t>70.23</w:t>
      </w:r>
      <w:r w:rsidRPr="00702365">
        <w:rPr>
          <w:sz w:val="22"/>
          <w:szCs w:val="22"/>
        </w:rPr>
        <w:t xml:space="preserve"> for legal staff, $</w:t>
      </w:r>
      <w:r>
        <w:rPr>
          <w:sz w:val="22"/>
          <w:szCs w:val="22"/>
        </w:rPr>
        <w:t>121.96</w:t>
      </w:r>
      <w:r w:rsidRPr="00702365">
        <w:rPr>
          <w:sz w:val="22"/>
          <w:szCs w:val="22"/>
        </w:rPr>
        <w:t xml:space="preserve"> for managerial staff, $</w:t>
      </w:r>
      <w:r>
        <w:rPr>
          <w:sz w:val="22"/>
          <w:szCs w:val="22"/>
        </w:rPr>
        <w:t>67.86</w:t>
      </w:r>
      <w:r w:rsidRPr="00702365">
        <w:rPr>
          <w:sz w:val="22"/>
          <w:szCs w:val="22"/>
        </w:rPr>
        <w:t xml:space="preserve"> for technical staff, and $</w:t>
      </w:r>
      <w:r>
        <w:rPr>
          <w:sz w:val="22"/>
          <w:szCs w:val="22"/>
        </w:rPr>
        <w:t>39.02</w:t>
      </w:r>
      <w:r w:rsidRPr="00702365">
        <w:rPr>
          <w:sz w:val="22"/>
          <w:szCs w:val="22"/>
        </w:rPr>
        <w:t xml:space="preserve"> for clerical staff.  These wage rates are based on salaries, overhead and fringe benefits for the industries listed </w:t>
      </w:r>
      <w:r w:rsidR="00B82000">
        <w:rPr>
          <w:sz w:val="22"/>
          <w:szCs w:val="22"/>
        </w:rPr>
        <w:t xml:space="preserve">the table above titled </w:t>
      </w:r>
      <w:r w:rsidRPr="00702365">
        <w:rPr>
          <w:sz w:val="22"/>
          <w:szCs w:val="22"/>
        </w:rPr>
        <w:t>“Respondent NAICS Codes”, according to the Bureau of Labor Statistics labor rates for 20</w:t>
      </w:r>
      <w:r>
        <w:rPr>
          <w:sz w:val="22"/>
          <w:szCs w:val="22"/>
        </w:rPr>
        <w:t>20</w:t>
      </w:r>
      <w:r w:rsidRPr="00702365">
        <w:rPr>
          <w:sz w:val="22"/>
          <w:szCs w:val="22"/>
        </w:rPr>
        <w:t>.</w:t>
      </w:r>
    </w:p>
    <w:p w:rsidR="00B82000" w:rsidP="00202393" w:rsidRDefault="00B82000" w14:paraId="5710C3F1" w14:textId="2F0CAC3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B82000" w:rsidP="00B82000" w:rsidRDefault="00B82000" w14:paraId="0B4D15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B82000" w:rsidP="00B82000" w:rsidRDefault="00B82000" w14:paraId="274E3C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Based on data compiled from the EPA Regions, EPA estimated that, over the three-year period covered by  ICR 1361.1</w:t>
      </w:r>
      <w:r>
        <w:rPr>
          <w:sz w:val="22"/>
          <w:szCs w:val="22"/>
        </w:rPr>
        <w:t>8</w:t>
      </w:r>
      <w:r w:rsidRPr="00702365">
        <w:rPr>
          <w:sz w:val="22"/>
          <w:szCs w:val="22"/>
        </w:rPr>
        <w:t xml:space="preserve">, there will be, on average, </w:t>
      </w:r>
      <w:r>
        <w:rPr>
          <w:sz w:val="22"/>
          <w:szCs w:val="22"/>
        </w:rPr>
        <w:t>36</w:t>
      </w:r>
      <w:r w:rsidRPr="00702365">
        <w:rPr>
          <w:sz w:val="22"/>
          <w:szCs w:val="22"/>
        </w:rPr>
        <w:t xml:space="preserve"> BIF facilities in operation or in the process of closing</w:t>
      </w:r>
      <w:r>
        <w:rPr>
          <w:sz w:val="22"/>
          <w:szCs w:val="22"/>
        </w:rPr>
        <w:t>.</w:t>
      </w:r>
      <w:r w:rsidRPr="00702365">
        <w:rPr>
          <w:sz w:val="22"/>
          <w:szCs w:val="22"/>
        </w:rPr>
        <w:t xml:space="preserve"> </w:t>
      </w:r>
    </w:p>
    <w:p w:rsidRPr="00702365" w:rsidR="00B82000" w:rsidP="00B82000" w:rsidRDefault="00B82000" w14:paraId="7F683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B82000" w:rsidP="00B82000" w:rsidRDefault="00B82000" w14:paraId="5D44D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b/>
          <w:sz w:val="22"/>
          <w:szCs w:val="22"/>
        </w:rPr>
        <w:t>Table</w:t>
      </w:r>
      <w:r w:rsidRPr="00702365">
        <w:rPr>
          <w:b/>
          <w:sz w:val="22"/>
          <w:szCs w:val="22"/>
        </w:rPr>
        <w:t xml:space="preserve"> 1</w:t>
      </w:r>
    </w:p>
    <w:p w:rsidRPr="00702365" w:rsidR="00B82000" w:rsidP="00B82000" w:rsidRDefault="00B82000" w14:paraId="35F17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Pr>
          <w:b/>
          <w:sz w:val="22"/>
          <w:szCs w:val="22"/>
        </w:rPr>
        <w:t>Number of Facilities with Operating BIFs</w:t>
      </w:r>
    </w:p>
    <w:p w:rsidRPr="00702365" w:rsidR="00B82000" w:rsidP="00B82000" w:rsidRDefault="00B82000" w14:paraId="0B8040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bl>
      <w:tblPr>
        <w:tblW w:w="0" w:type="auto"/>
        <w:tblInd w:w="108" w:type="dxa"/>
        <w:tblBorders>
          <w:top w:val="single" w:color="000000" w:sz="12" w:space="0"/>
          <w:bottom w:val="single" w:color="000000" w:sz="12" w:space="0"/>
          <w:insideH w:val="single" w:color="000000" w:sz="6" w:space="0"/>
        </w:tblBorders>
        <w:tblLayout w:type="fixed"/>
        <w:tblLook w:val="0000" w:firstRow="0" w:lastRow="0" w:firstColumn="0" w:lastColumn="0" w:noHBand="0" w:noVBand="0"/>
      </w:tblPr>
      <w:tblGrid>
        <w:gridCol w:w="3600"/>
        <w:gridCol w:w="3600"/>
      </w:tblGrid>
      <w:tr w:rsidRPr="00702365" w:rsidR="00B82000" w:rsidTr="00243027" w14:paraId="5D3442AF" w14:textId="77777777">
        <w:trPr>
          <w:trHeight w:val="656" w:hRule="exact"/>
        </w:trPr>
        <w:tc>
          <w:tcPr>
            <w:tcW w:w="3600" w:type="dxa"/>
            <w:shd w:val="clear" w:color="auto" w:fill="auto"/>
          </w:tcPr>
          <w:p w:rsidRPr="00702365" w:rsidR="00B82000" w:rsidP="00243027" w:rsidRDefault="00B82000" w14:paraId="5231CB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b/>
                <w:sz w:val="22"/>
                <w:szCs w:val="22"/>
              </w:rPr>
              <w:t>BIF Facility Type</w:t>
            </w:r>
          </w:p>
        </w:tc>
        <w:tc>
          <w:tcPr>
            <w:tcW w:w="3600" w:type="dxa"/>
            <w:shd w:val="clear" w:color="auto" w:fill="auto"/>
          </w:tcPr>
          <w:p w:rsidRPr="00702365" w:rsidR="00B82000" w:rsidP="00243027" w:rsidRDefault="00B82000" w14:paraId="5B4ABC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sz w:val="22"/>
                <w:szCs w:val="22"/>
              </w:rPr>
            </w:pPr>
            <w:r>
              <w:rPr>
                <w:b/>
                <w:sz w:val="22"/>
                <w:szCs w:val="22"/>
              </w:rPr>
              <w:t>Number</w:t>
            </w:r>
          </w:p>
        </w:tc>
      </w:tr>
      <w:tr w:rsidRPr="00702365" w:rsidR="00B82000" w:rsidTr="00243027" w14:paraId="490FE895" w14:textId="77777777">
        <w:trPr>
          <w:trHeight w:val="432" w:hRule="exact"/>
        </w:trPr>
        <w:tc>
          <w:tcPr>
            <w:tcW w:w="7200" w:type="dxa"/>
            <w:gridSpan w:val="2"/>
            <w:shd w:val="clear" w:color="auto" w:fill="auto"/>
          </w:tcPr>
          <w:p w:rsidRPr="00702365" w:rsidR="00B82000" w:rsidP="00243027" w:rsidRDefault="00B82000" w14:paraId="38EF229E" w14:textId="77777777">
            <w:pPr>
              <w:tabs>
                <w:tab w:val="left" w:pos="0"/>
                <w:tab w:val="left" w:pos="720"/>
                <w:tab w:val="left" w:pos="1440"/>
                <w:tab w:val="left" w:pos="5544"/>
              </w:tabs>
              <w:spacing w:before="84" w:after="927"/>
              <w:rPr>
                <w:sz w:val="22"/>
                <w:szCs w:val="22"/>
              </w:rPr>
            </w:pPr>
            <w:r w:rsidRPr="00702365">
              <w:rPr>
                <w:b/>
                <w:sz w:val="22"/>
                <w:szCs w:val="22"/>
              </w:rPr>
              <w:t>Interim Status</w:t>
            </w:r>
            <w:r>
              <w:rPr>
                <w:b/>
                <w:sz w:val="22"/>
                <w:szCs w:val="22"/>
              </w:rPr>
              <w:tab/>
              <w:t xml:space="preserve">                                                                     </w:t>
            </w:r>
            <w:r w:rsidRPr="00AC7539">
              <w:rPr>
                <w:bCs/>
                <w:sz w:val="22"/>
                <w:szCs w:val="22"/>
              </w:rPr>
              <w:t>0</w:t>
            </w:r>
          </w:p>
        </w:tc>
      </w:tr>
      <w:tr w:rsidRPr="00702365" w:rsidR="00B82000" w:rsidTr="00243027" w14:paraId="610DF80D" w14:textId="77777777">
        <w:trPr>
          <w:trHeight w:val="432" w:hRule="exact"/>
        </w:trPr>
        <w:tc>
          <w:tcPr>
            <w:tcW w:w="7200" w:type="dxa"/>
            <w:gridSpan w:val="2"/>
            <w:shd w:val="clear" w:color="auto" w:fill="auto"/>
          </w:tcPr>
          <w:p w:rsidRPr="00702365" w:rsidR="00B82000" w:rsidP="00243027" w:rsidRDefault="00B82000" w14:paraId="025A662A" w14:textId="77777777">
            <w:pPr>
              <w:tabs>
                <w:tab w:val="left" w:pos="0"/>
                <w:tab w:val="left" w:pos="720"/>
                <w:tab w:val="left" w:pos="5640"/>
              </w:tabs>
              <w:spacing w:before="84" w:after="927"/>
              <w:rPr>
                <w:sz w:val="22"/>
                <w:szCs w:val="22"/>
              </w:rPr>
            </w:pPr>
            <w:r w:rsidRPr="00702365">
              <w:rPr>
                <w:b/>
                <w:sz w:val="22"/>
                <w:szCs w:val="22"/>
              </w:rPr>
              <w:t>Permitted</w:t>
            </w:r>
            <w:r>
              <w:rPr>
                <w:b/>
                <w:sz w:val="22"/>
                <w:szCs w:val="22"/>
              </w:rPr>
              <w:t xml:space="preserve">                                                                             </w:t>
            </w:r>
            <w:r w:rsidRPr="00AC7539">
              <w:rPr>
                <w:bCs/>
                <w:sz w:val="22"/>
                <w:szCs w:val="22"/>
              </w:rPr>
              <w:t>36</w:t>
            </w:r>
          </w:p>
        </w:tc>
      </w:tr>
      <w:tr w:rsidRPr="00702365" w:rsidR="00B82000" w:rsidTr="00243027" w14:paraId="79865B9A" w14:textId="77777777">
        <w:trPr>
          <w:trHeight w:val="432" w:hRule="exact"/>
        </w:trPr>
        <w:tc>
          <w:tcPr>
            <w:tcW w:w="3600" w:type="dxa"/>
            <w:shd w:val="clear" w:color="auto" w:fill="auto"/>
          </w:tcPr>
          <w:p w:rsidRPr="00702365" w:rsidR="00B82000" w:rsidP="00243027" w:rsidRDefault="00B82000" w14:paraId="6FF1F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sz w:val="22"/>
                <w:szCs w:val="22"/>
              </w:rPr>
            </w:pPr>
            <w:r w:rsidRPr="00702365">
              <w:rPr>
                <w:b/>
                <w:sz w:val="22"/>
                <w:szCs w:val="22"/>
              </w:rPr>
              <w:t>Total</w:t>
            </w:r>
          </w:p>
        </w:tc>
        <w:tc>
          <w:tcPr>
            <w:tcW w:w="3600" w:type="dxa"/>
            <w:shd w:val="clear" w:color="auto" w:fill="auto"/>
          </w:tcPr>
          <w:p w:rsidRPr="00AC7539" w:rsidR="00B82000" w:rsidP="00243027" w:rsidRDefault="00B82000" w14:paraId="319D45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b/>
                <w:bCs/>
                <w:sz w:val="22"/>
                <w:szCs w:val="22"/>
              </w:rPr>
            </w:pPr>
            <w:r w:rsidRPr="00AC7539">
              <w:rPr>
                <w:b/>
                <w:bCs/>
                <w:sz w:val="22"/>
                <w:szCs w:val="22"/>
              </w:rPr>
              <w:t>36</w:t>
            </w:r>
          </w:p>
        </w:tc>
      </w:tr>
      <w:tr w:rsidRPr="00702365" w:rsidR="00B82000" w:rsidTr="00243027" w14:paraId="1A186B5B" w14:textId="77777777">
        <w:trPr>
          <w:trHeight w:val="432" w:hRule="exact"/>
        </w:trPr>
        <w:tc>
          <w:tcPr>
            <w:tcW w:w="3600" w:type="dxa"/>
            <w:shd w:val="clear" w:color="auto" w:fill="auto"/>
          </w:tcPr>
          <w:p w:rsidR="00B82000" w:rsidP="00243027" w:rsidRDefault="00B82000" w14:paraId="392551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b/>
                <w:sz w:val="22"/>
                <w:szCs w:val="22"/>
              </w:rPr>
            </w:pPr>
          </w:p>
          <w:p w:rsidRPr="00702365" w:rsidR="00B82000" w:rsidP="00243027" w:rsidRDefault="00B82000" w14:paraId="598F3BD0" w14:textId="35DB4C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rPr>
                <w:b/>
                <w:sz w:val="22"/>
                <w:szCs w:val="22"/>
              </w:rPr>
            </w:pPr>
          </w:p>
        </w:tc>
        <w:tc>
          <w:tcPr>
            <w:tcW w:w="3600" w:type="dxa"/>
            <w:shd w:val="clear" w:color="auto" w:fill="auto"/>
          </w:tcPr>
          <w:p w:rsidRPr="00AC7539" w:rsidR="00B82000" w:rsidP="00243027" w:rsidRDefault="00B82000" w14:paraId="66F683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4" w:after="927"/>
              <w:jc w:val="center"/>
              <w:rPr>
                <w:b/>
                <w:bCs/>
                <w:sz w:val="22"/>
                <w:szCs w:val="22"/>
              </w:rPr>
            </w:pPr>
          </w:p>
        </w:tc>
      </w:tr>
    </w:tbl>
    <w:p w:rsidRPr="00702365" w:rsidR="00B82000" w:rsidP="00202393" w:rsidRDefault="00B82000" w14:paraId="14383E5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B82000" w:rsidP="00B82000" w:rsidRDefault="00B82000" w14:paraId="7AC785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B82000" w:rsidP="00B82000" w:rsidRDefault="00B82000" w14:paraId="53668483" w14:textId="120D1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The annualized burden to is estimated to be </w:t>
      </w:r>
      <w:r>
        <w:rPr>
          <w:rStyle w:val="footnoteref"/>
          <w:sz w:val="22"/>
          <w:szCs w:val="22"/>
          <w:vertAlign w:val="baseline"/>
        </w:rPr>
        <w:t>39,758</w:t>
      </w:r>
      <w:r w:rsidRPr="00702365">
        <w:rPr>
          <w:rStyle w:val="footnoteref"/>
          <w:sz w:val="22"/>
          <w:szCs w:val="22"/>
          <w:vertAlign w:val="baseline"/>
        </w:rPr>
        <w:t xml:space="preserve"> hours, and </w:t>
      </w:r>
      <w:r>
        <w:rPr>
          <w:rStyle w:val="footnoteref"/>
          <w:sz w:val="22"/>
          <w:szCs w:val="22"/>
          <w:vertAlign w:val="baseline"/>
        </w:rPr>
        <w:t>900</w:t>
      </w:r>
      <w:r w:rsidRPr="00702365">
        <w:rPr>
          <w:rStyle w:val="footnoteref"/>
          <w:sz w:val="22"/>
          <w:szCs w:val="22"/>
          <w:vertAlign w:val="baseline"/>
        </w:rPr>
        <w:t xml:space="preserve"> responses.  The average response burden works out to</w:t>
      </w:r>
      <w:r>
        <w:rPr>
          <w:rStyle w:val="footnoteref"/>
          <w:sz w:val="22"/>
          <w:szCs w:val="22"/>
          <w:vertAlign w:val="baseline"/>
        </w:rPr>
        <w:t xml:space="preserve"> 44</w:t>
      </w:r>
      <w:r w:rsidRPr="00702365">
        <w:rPr>
          <w:rStyle w:val="footnoteref"/>
          <w:sz w:val="22"/>
          <w:szCs w:val="22"/>
          <w:vertAlign w:val="baseline"/>
        </w:rPr>
        <w:t xml:space="preserve"> hours per response.  </w:t>
      </w:r>
      <w:r>
        <w:rPr>
          <w:rStyle w:val="footnoteref"/>
          <w:sz w:val="22"/>
          <w:szCs w:val="22"/>
          <w:vertAlign w:val="baseline"/>
        </w:rPr>
        <w:t>For additional information please see the excel sheet for calculations and a detailed breakdown.</w:t>
      </w:r>
    </w:p>
    <w:p w:rsidRPr="00702365" w:rsidR="00202393" w:rsidP="00202393" w:rsidRDefault="00202393" w14:paraId="35D465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202393" w:rsidR="00202393" w:rsidP="00202393" w:rsidRDefault="00202393" w14:paraId="7DAE7B79" w14:textId="77777777">
      <w:pPr>
        <w:rPr>
          <w:b/>
          <w:sz w:val="22"/>
          <w:szCs w:val="22"/>
        </w:rPr>
      </w:pPr>
      <w:r w:rsidRPr="00202393">
        <w:rPr>
          <w:b/>
          <w:sz w:val="22"/>
          <w:szCs w:val="22"/>
        </w:rPr>
        <w:t>13. Provide an estimate for the total annual cost burden to respondents or record keepers resulting from the collection of information. (Do not include the cost of any hour burden already reflected on the burden worksheet).</w:t>
      </w:r>
    </w:p>
    <w:p w:rsidRPr="00202393" w:rsidR="00202393" w:rsidP="00281E82" w:rsidRDefault="00202393" w14:paraId="29C3CCAA" w14:textId="77777777">
      <w:pPr>
        <w:pStyle w:val="ListParagraph"/>
        <w:widowControl/>
        <w:numPr>
          <w:ilvl w:val="0"/>
          <w:numId w:val="46"/>
        </w:numPr>
        <w:spacing w:line="259" w:lineRule="auto"/>
        <w:contextualSpacing/>
        <w:rPr>
          <w:b/>
          <w:sz w:val="22"/>
          <w:szCs w:val="22"/>
        </w:rPr>
      </w:pPr>
      <w:r w:rsidRPr="00202393">
        <w:rPr>
          <w:b/>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w:t>
      </w:r>
      <w:r w:rsidRPr="00202393">
        <w:rPr>
          <w:b/>
          <w:sz w:val="22"/>
          <w:szCs w:val="22"/>
        </w:rPr>
        <w:lastRenderedPageBreak/>
        <w:t>other items, preparations for collecting information such as purchasing computers and software; monitoring, sampling, drilling and testing equipment; and record storage facilities.</w:t>
      </w:r>
    </w:p>
    <w:p w:rsidRPr="00202393" w:rsidR="00202393" w:rsidP="00281E82" w:rsidRDefault="00202393" w14:paraId="578F6B66" w14:textId="77777777">
      <w:pPr>
        <w:pStyle w:val="ListParagraph"/>
        <w:widowControl/>
        <w:numPr>
          <w:ilvl w:val="0"/>
          <w:numId w:val="46"/>
        </w:numPr>
        <w:spacing w:line="259" w:lineRule="auto"/>
        <w:contextualSpacing/>
        <w:rPr>
          <w:b/>
          <w:sz w:val="22"/>
          <w:szCs w:val="22"/>
        </w:rPr>
      </w:pPr>
      <w:r w:rsidRPr="00202393">
        <w:rPr>
          <w:b/>
          <w:sz w:val="22"/>
          <w:szCs w:val="22"/>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02393" w:rsidR="00202393" w:rsidP="00281E82" w:rsidRDefault="00202393" w14:paraId="3418197F" w14:textId="77777777">
      <w:pPr>
        <w:pStyle w:val="ListParagraph"/>
        <w:widowControl/>
        <w:numPr>
          <w:ilvl w:val="0"/>
          <w:numId w:val="46"/>
        </w:numPr>
        <w:spacing w:line="259" w:lineRule="auto"/>
        <w:contextualSpacing/>
        <w:rPr>
          <w:b/>
          <w:sz w:val="22"/>
          <w:szCs w:val="22"/>
        </w:rPr>
      </w:pPr>
      <w:r w:rsidRPr="00202393">
        <w:rPr>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02365" w:rsidR="00202393" w:rsidP="00202393" w:rsidRDefault="00202393" w14:paraId="30578566" w14:textId="44B711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202393" w:rsidP="00202393" w:rsidRDefault="00202393" w14:paraId="28A5726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202393" w:rsidP="00202393" w:rsidRDefault="00202393" w14:paraId="6E226C7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 xml:space="preserve">Capital costs usually include any produced physical good needed to provide the needed information, such as machinery, computers, and other equipment.  Capital costs incurred by respondents in this ICR include the cost to buy a monitor, sampling system, and data acquisition system for respondents required to conduct monitoring and inspections of hazardous waste.  </w:t>
      </w:r>
    </w:p>
    <w:p w:rsidRPr="00702365" w:rsidR="00202393" w:rsidP="00202393" w:rsidRDefault="00202393" w14:paraId="39A756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202393" w:rsidP="00202393" w:rsidRDefault="00202393" w14:paraId="63BC23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t>Operation and maintenance (O&amp;M) costs are those costs associated with a paperwork requirement incurred continually over the life of the ICR.  They are defined by the PRA as “the recurring dollar amount of costs associated with O&amp;M or purchasing services.”  O&amp;M costs covered in this ICR include the following:</w:t>
      </w:r>
    </w:p>
    <w:p w:rsidRPr="00702365" w:rsidR="00202393" w:rsidP="00202393" w:rsidRDefault="00202393" w14:paraId="439B1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202393" w:rsidP="00202393" w:rsidRDefault="00202393" w14:paraId="30939B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Mailing or long-distance phone call (estimated at $4.40 per response);</w:t>
      </w:r>
    </w:p>
    <w:p w:rsidRPr="00702365" w:rsidR="00202393" w:rsidP="00202393" w:rsidRDefault="00202393" w14:paraId="29CBB6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Photocopying and document storage overhead (estimated at $.15 per page); and</w:t>
      </w:r>
    </w:p>
    <w:p w:rsidRPr="00702365" w:rsidR="00202393" w:rsidP="00202393" w:rsidRDefault="00202393" w14:paraId="072DAF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2"/>
          <w:szCs w:val="22"/>
        </w:rPr>
      </w:pPr>
      <w:r w:rsidRPr="00702365">
        <w:rPr>
          <w:sz w:val="22"/>
          <w:szCs w:val="22"/>
        </w:rPr>
        <w:t>•</w:t>
      </w:r>
      <w:r w:rsidRPr="00702365">
        <w:rPr>
          <w:sz w:val="22"/>
          <w:szCs w:val="22"/>
        </w:rPr>
        <w:tab/>
        <w:t xml:space="preserve">Laboratory analysis </w:t>
      </w:r>
      <w:r>
        <w:rPr>
          <w:sz w:val="22"/>
          <w:szCs w:val="22"/>
        </w:rPr>
        <w:t>(</w:t>
      </w:r>
      <w:r w:rsidRPr="00702365">
        <w:rPr>
          <w:sz w:val="22"/>
          <w:szCs w:val="22"/>
        </w:rPr>
        <w:t>varies</w:t>
      </w:r>
      <w:r>
        <w:rPr>
          <w:sz w:val="22"/>
          <w:szCs w:val="22"/>
        </w:rPr>
        <w:t>)</w:t>
      </w:r>
      <w:r w:rsidRPr="00702365">
        <w:rPr>
          <w:sz w:val="22"/>
          <w:szCs w:val="22"/>
        </w:rPr>
        <w:t>.</w:t>
      </w:r>
    </w:p>
    <w:p w:rsidR="00202393" w:rsidRDefault="00202393" w14:paraId="1C7EF513" w14:textId="2F36AD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B82000" w:rsidRDefault="00B82000" w14:paraId="5FB9CA1C" w14:textId="758B7C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B82000" w:rsidP="00B82000" w:rsidRDefault="00B82000" w14:paraId="380EF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The total annualized capital/start-up cost is $</w:t>
      </w:r>
      <w:r>
        <w:rPr>
          <w:rStyle w:val="footnoteref"/>
          <w:sz w:val="22"/>
          <w:szCs w:val="22"/>
          <w:vertAlign w:val="baseline"/>
        </w:rPr>
        <w:t>0</w:t>
      </w:r>
      <w:r w:rsidRPr="00702365">
        <w:rPr>
          <w:rStyle w:val="footnoteref"/>
          <w:sz w:val="22"/>
          <w:szCs w:val="22"/>
          <w:vertAlign w:val="baseline"/>
        </w:rPr>
        <w:t xml:space="preserve"> and the O&amp;M is $</w:t>
      </w:r>
      <w:r>
        <w:rPr>
          <w:rStyle w:val="footnoteref"/>
          <w:sz w:val="22"/>
          <w:szCs w:val="22"/>
          <w:vertAlign w:val="baseline"/>
        </w:rPr>
        <w:t>2,823,121</w:t>
      </w:r>
      <w:r w:rsidRPr="00702365">
        <w:rPr>
          <w:rStyle w:val="footnoteref"/>
          <w:sz w:val="22"/>
          <w:szCs w:val="22"/>
          <w:vertAlign w:val="baseline"/>
        </w:rPr>
        <w:t xml:space="preserve">.  </w:t>
      </w:r>
      <w:r>
        <w:rPr>
          <w:rStyle w:val="footnoteref"/>
          <w:sz w:val="22"/>
          <w:szCs w:val="22"/>
          <w:vertAlign w:val="baseline"/>
        </w:rPr>
        <w:t>For additional information please see the excel sheet for calculations and a detailed breakdown.</w:t>
      </w:r>
    </w:p>
    <w:p w:rsidRPr="00702365" w:rsidR="00B82000" w:rsidRDefault="00B82000" w14:paraId="0335E1AD" w14:textId="0234A0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D378018" w14:textId="6A79A4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B82000" w:rsidRDefault="005B6DDF" w14:paraId="7F1EF0CE" w14:textId="15509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6108FE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P="005F7A57" w:rsidRDefault="005B6DDF" w14:paraId="3863C258" w14:textId="6D19F55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Pr="00702365" w:rsidR="005B6DDF" w:rsidRDefault="005B6DDF" w14:paraId="66236A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7509A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5F7A57" w:rsidR="005B6DDF" w:rsidRDefault="005B6DDF" w14:paraId="3A42F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5F7A57" w:rsidR="005F7A57" w:rsidP="005F7A57" w:rsidRDefault="005F7A57" w14:paraId="515A7F93" w14:textId="77777777">
      <w:pPr>
        <w:rPr>
          <w:b/>
          <w:sz w:val="22"/>
          <w:szCs w:val="22"/>
        </w:rPr>
      </w:pPr>
      <w:r w:rsidRPr="005F7A57">
        <w:rPr>
          <w:b/>
          <w:sz w:val="22"/>
          <w:szCs w:val="22"/>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w:t>
      </w:r>
      <w:r w:rsidRPr="005F7A57">
        <w:rPr>
          <w:b/>
          <w:sz w:val="22"/>
          <w:szCs w:val="22"/>
        </w:rPr>
        <w:lastRenderedPageBreak/>
        <w:t>estimates from Items 12, 13, and 14 in a single table.</w:t>
      </w:r>
    </w:p>
    <w:p w:rsidRPr="00702365" w:rsidR="005B6DDF" w:rsidRDefault="005B6DDF" w14:paraId="0878ED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851508" w:rsidP="00851508" w:rsidRDefault="00851508" w14:paraId="222EFD5C" w14:textId="7F9C5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sidRPr="00702365">
        <w:rPr>
          <w:sz w:val="22"/>
          <w:szCs w:val="22"/>
        </w:rPr>
        <w:t>EPA estimates an average hourly Agency labor cost of $</w:t>
      </w:r>
      <w:r w:rsidR="00DB5A36">
        <w:rPr>
          <w:sz w:val="22"/>
          <w:szCs w:val="22"/>
        </w:rPr>
        <w:t>83.84</w:t>
      </w:r>
      <w:r w:rsidRPr="00702365">
        <w:rPr>
          <w:sz w:val="22"/>
          <w:szCs w:val="22"/>
        </w:rPr>
        <w:t xml:space="preserve"> for legal staff, $</w:t>
      </w:r>
      <w:r w:rsidR="00DB5A36">
        <w:rPr>
          <w:sz w:val="22"/>
          <w:szCs w:val="22"/>
        </w:rPr>
        <w:t>60.32</w:t>
      </w:r>
      <w:r w:rsidRPr="00702365">
        <w:rPr>
          <w:sz w:val="22"/>
          <w:szCs w:val="22"/>
        </w:rPr>
        <w:t xml:space="preserve"> for managerial staff, $</w:t>
      </w:r>
      <w:r w:rsidR="00DB5A36">
        <w:rPr>
          <w:sz w:val="22"/>
          <w:szCs w:val="22"/>
        </w:rPr>
        <w:t>42.32</w:t>
      </w:r>
      <w:r w:rsidRPr="00702365">
        <w:rPr>
          <w:sz w:val="22"/>
          <w:szCs w:val="22"/>
        </w:rPr>
        <w:t xml:space="preserve"> for technical staff, and $</w:t>
      </w:r>
      <w:r w:rsidR="00DB5A36">
        <w:rPr>
          <w:sz w:val="22"/>
          <w:szCs w:val="22"/>
        </w:rPr>
        <w:t>25.73</w:t>
      </w:r>
      <w:r w:rsidRPr="00702365">
        <w:rPr>
          <w:sz w:val="22"/>
          <w:szCs w:val="22"/>
        </w:rPr>
        <w:t xml:space="preserve"> for clerical staff.  EPA used the 20</w:t>
      </w:r>
      <w:r w:rsidR="00DB5A36">
        <w:rPr>
          <w:sz w:val="22"/>
          <w:szCs w:val="22"/>
        </w:rPr>
        <w:t>20</w:t>
      </w:r>
      <w:r w:rsidRPr="00702365">
        <w:rPr>
          <w:sz w:val="22"/>
          <w:szCs w:val="22"/>
        </w:rPr>
        <w:t xml:space="preserve"> Federal Pay Schedule salary figures</w:t>
      </w:r>
      <w:r w:rsidRPr="00702365" w:rsidR="006F1EAB">
        <w:rPr>
          <w:sz w:val="22"/>
          <w:szCs w:val="22"/>
        </w:rPr>
        <w:t>,</w:t>
      </w:r>
      <w:r w:rsidRPr="00702365">
        <w:rPr>
          <w:sz w:val="22"/>
          <w:szCs w:val="22"/>
        </w:rPr>
        <w:t xml:space="preserve"> </w:t>
      </w:r>
      <w:r w:rsidRPr="00702365" w:rsidR="006F1EAB">
        <w:rPr>
          <w:sz w:val="22"/>
          <w:szCs w:val="22"/>
        </w:rPr>
        <w:t xml:space="preserve">adjusted by 1.6 for overhead, </w:t>
      </w:r>
      <w:r w:rsidRPr="00702365">
        <w:rPr>
          <w:sz w:val="22"/>
          <w:szCs w:val="22"/>
        </w:rPr>
        <w:t>to estimate annual compensation of Regional legal, managerial, technical, and clerical staff.  For purposes of this ICR, EPA assigned Regional staff the following government service levels:</w:t>
      </w:r>
    </w:p>
    <w:p w:rsidRPr="00702365" w:rsidR="00851508" w:rsidP="00851508" w:rsidRDefault="00851508" w14:paraId="7FBA8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2"/>
          <w:szCs w:val="22"/>
        </w:rPr>
      </w:pPr>
    </w:p>
    <w:p w:rsidRPr="00702365" w:rsidR="00851508" w:rsidP="00851508" w:rsidRDefault="00851508" w14:paraId="31C661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 w:val="22"/>
          <w:szCs w:val="22"/>
        </w:rPr>
      </w:pPr>
      <w:r w:rsidRPr="00702365">
        <w:rPr>
          <w:sz w:val="22"/>
          <w:szCs w:val="22"/>
        </w:rPr>
        <w:t>Legal staff</w:t>
      </w:r>
      <w:r w:rsidRPr="00702365">
        <w:rPr>
          <w:sz w:val="22"/>
          <w:szCs w:val="22"/>
        </w:rPr>
        <w:tab/>
      </w:r>
      <w:r w:rsidRPr="00702365">
        <w:rPr>
          <w:sz w:val="22"/>
          <w:szCs w:val="22"/>
        </w:rPr>
        <w:tab/>
        <w:t>GS-15, Step 1</w:t>
      </w:r>
    </w:p>
    <w:p w:rsidRPr="00702365" w:rsidR="00851508" w:rsidP="00851508" w:rsidRDefault="00851508" w14:paraId="22A94A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Managerial staff</w:t>
      </w:r>
      <w:r w:rsidRPr="00702365">
        <w:rPr>
          <w:sz w:val="22"/>
          <w:szCs w:val="22"/>
        </w:rPr>
        <w:tab/>
        <w:t>GS-13, Step 1</w:t>
      </w:r>
    </w:p>
    <w:p w:rsidRPr="00702365" w:rsidR="00851508" w:rsidP="00851508" w:rsidRDefault="00851508" w14:paraId="53AE11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Technical staff</w:t>
      </w:r>
      <w:r w:rsidRPr="00702365">
        <w:rPr>
          <w:sz w:val="22"/>
          <w:szCs w:val="22"/>
        </w:rPr>
        <w:tab/>
      </w:r>
      <w:r w:rsidRPr="00702365">
        <w:rPr>
          <w:sz w:val="22"/>
          <w:szCs w:val="22"/>
        </w:rPr>
        <w:tab/>
        <w:t>GS-11, Step 1</w:t>
      </w:r>
    </w:p>
    <w:p w:rsidRPr="00702365" w:rsidR="00851508" w:rsidP="00851508" w:rsidRDefault="00851508" w14:paraId="57D56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sidRPr="00702365">
        <w:rPr>
          <w:sz w:val="22"/>
          <w:szCs w:val="22"/>
        </w:rPr>
        <w:t>Clerical staff</w:t>
      </w:r>
      <w:r w:rsidRPr="00702365">
        <w:rPr>
          <w:sz w:val="22"/>
          <w:szCs w:val="22"/>
        </w:rPr>
        <w:tab/>
      </w:r>
      <w:r w:rsidRPr="00702365">
        <w:rPr>
          <w:sz w:val="22"/>
          <w:szCs w:val="22"/>
        </w:rPr>
        <w:tab/>
        <w:t>GS-06, Step 1</w:t>
      </w:r>
    </w:p>
    <w:p w:rsidRPr="00702365" w:rsidR="00851508" w:rsidRDefault="005B6DDF" w14:paraId="312533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p>
    <w:p w:rsidR="005B6DDF" w:rsidRDefault="00851508" w14:paraId="7B333643" w14:textId="77FD92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sz w:val="22"/>
          <w:szCs w:val="22"/>
        </w:rPr>
        <w:tab/>
      </w:r>
      <w:r w:rsidR="007A49AA">
        <w:rPr>
          <w:sz w:val="22"/>
          <w:szCs w:val="22"/>
        </w:rPr>
        <w:t xml:space="preserve">In the attached excel file, exhibits 5 – 7 provide a detailed breakdown of the Agency burden hours and cost associated with all of the information collections requirements covered this ICR. Table 3 below </w:t>
      </w:r>
      <w:r w:rsidRPr="00702365" w:rsidR="005B6DDF">
        <w:rPr>
          <w:sz w:val="22"/>
          <w:szCs w:val="22"/>
        </w:rPr>
        <w:t>is a summary table of the bottom line Agency burden and cost.</w:t>
      </w:r>
    </w:p>
    <w:p w:rsidR="005F7A57" w:rsidRDefault="005F7A57" w14:paraId="55D90B89" w14:textId="7C083F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F7A57" w:rsidP="005F7A57" w:rsidRDefault="005F7A57" w14:paraId="2EB40B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5F7A57" w:rsidP="005F7A57" w:rsidRDefault="005F7A57" w14:paraId="4C2EE0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 xml:space="preserve">The annual burden to the Agency under the BIF requirements is estimated to be </w:t>
      </w:r>
      <w:r>
        <w:rPr>
          <w:rStyle w:val="footnoteref"/>
          <w:sz w:val="22"/>
          <w:szCs w:val="22"/>
          <w:vertAlign w:val="baseline"/>
        </w:rPr>
        <w:t>2,872</w:t>
      </w:r>
      <w:r w:rsidRPr="00702365">
        <w:rPr>
          <w:rStyle w:val="footnoteref"/>
          <w:sz w:val="22"/>
          <w:szCs w:val="22"/>
          <w:vertAlign w:val="baseline"/>
        </w:rPr>
        <w:t xml:space="preserve"> hours, at a</w:t>
      </w:r>
      <w:r>
        <w:rPr>
          <w:rStyle w:val="footnoteref"/>
          <w:sz w:val="22"/>
          <w:szCs w:val="22"/>
          <w:vertAlign w:val="baseline"/>
        </w:rPr>
        <w:t xml:space="preserve"> total</w:t>
      </w:r>
      <w:r w:rsidRPr="00702365">
        <w:rPr>
          <w:rStyle w:val="footnoteref"/>
          <w:sz w:val="22"/>
          <w:szCs w:val="22"/>
          <w:vertAlign w:val="baseline"/>
        </w:rPr>
        <w:t xml:space="preserve"> cost of $</w:t>
      </w:r>
      <w:r>
        <w:rPr>
          <w:rStyle w:val="footnoteref"/>
          <w:sz w:val="22"/>
          <w:szCs w:val="22"/>
          <w:vertAlign w:val="baseline"/>
        </w:rPr>
        <w:t>136,624</w:t>
      </w:r>
      <w:r w:rsidRPr="00702365">
        <w:rPr>
          <w:rStyle w:val="footnoteref"/>
          <w:sz w:val="22"/>
          <w:szCs w:val="22"/>
          <w:vertAlign w:val="baseline"/>
        </w:rPr>
        <w:t xml:space="preserve">.  </w:t>
      </w:r>
    </w:p>
    <w:p w:rsidRPr="00702365" w:rsidR="005F7A57" w:rsidRDefault="005F7A57" w14:paraId="637AEB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6B59B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0E1D5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169623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5B6DDF" w:rsidRDefault="005B6DDF" w14:paraId="79666E8B" w14:textId="3BC7B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4D2057" w:rsidP="004D2057" w:rsidRDefault="004D2057" w14:paraId="7E220D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p>
    <w:p w:rsidRPr="00702365" w:rsidR="004D2057" w:rsidP="004D2057" w:rsidRDefault="005F7A57" w14:paraId="5FBE2228" w14:textId="75A55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bookmarkStart w:name="_Toc116104401" w:id="8"/>
      <w:r w:rsidRPr="005F7A57">
        <w:rPr>
          <w:b/>
          <w:sz w:val="22"/>
          <w:szCs w:val="22"/>
        </w:rPr>
        <w:t>15. Explain the reasons for any program changes or adjustments reported on the burden worksheet (in hour or cost burden.)</w:t>
      </w:r>
      <w:bookmarkEnd w:id="8"/>
    </w:p>
    <w:p w:rsidRPr="00702365" w:rsidR="004D2057" w:rsidP="004D2057" w:rsidRDefault="004D2057" w14:paraId="1C313332" w14:textId="64F77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
          <w:sz w:val="22"/>
          <w:szCs w:val="22"/>
          <w:vertAlign w:val="baseline"/>
        </w:rPr>
      </w:pPr>
      <w:r w:rsidRPr="00702365">
        <w:rPr>
          <w:rStyle w:val="footnoteref"/>
          <w:sz w:val="22"/>
          <w:szCs w:val="22"/>
          <w:vertAlign w:val="baseline"/>
        </w:rPr>
        <w:tab/>
        <w:t>The previously appr</w:t>
      </w:r>
      <w:r w:rsidRPr="00702365" w:rsidR="00BD2D57">
        <w:rPr>
          <w:rStyle w:val="footnoteref"/>
          <w:sz w:val="22"/>
          <w:szCs w:val="22"/>
          <w:vertAlign w:val="baseline"/>
        </w:rPr>
        <w:t>o</w:t>
      </w:r>
      <w:r w:rsidRPr="00702365">
        <w:rPr>
          <w:rStyle w:val="footnoteref"/>
          <w:sz w:val="22"/>
          <w:szCs w:val="22"/>
          <w:vertAlign w:val="baseline"/>
        </w:rPr>
        <w:t xml:space="preserve">ved ICR estimated an annual respondent burden of </w:t>
      </w:r>
      <w:r w:rsidR="00D40AE0">
        <w:rPr>
          <w:rStyle w:val="footnoteref"/>
          <w:sz w:val="22"/>
          <w:szCs w:val="22"/>
          <w:vertAlign w:val="baseline"/>
        </w:rPr>
        <w:t>271,137</w:t>
      </w:r>
      <w:r w:rsidRPr="00702365">
        <w:rPr>
          <w:rStyle w:val="footnoteref"/>
          <w:sz w:val="22"/>
          <w:szCs w:val="22"/>
          <w:vertAlign w:val="baseline"/>
        </w:rPr>
        <w:t xml:space="preserve"> hours.  This </w:t>
      </w:r>
      <w:r w:rsidR="00C530FC">
        <w:rPr>
          <w:rStyle w:val="footnoteref"/>
          <w:sz w:val="22"/>
          <w:szCs w:val="22"/>
          <w:vertAlign w:val="baseline"/>
        </w:rPr>
        <w:t>renewal</w:t>
      </w:r>
      <w:r w:rsidRPr="00702365">
        <w:rPr>
          <w:rStyle w:val="footnoteref"/>
          <w:sz w:val="22"/>
          <w:szCs w:val="22"/>
          <w:vertAlign w:val="baseline"/>
        </w:rPr>
        <w:t xml:space="preserve"> estimates an annual respondent burden of  hours, which is a </w:t>
      </w:r>
      <w:r w:rsidR="00793EF9">
        <w:rPr>
          <w:rStyle w:val="footnoteref"/>
          <w:sz w:val="22"/>
          <w:szCs w:val="22"/>
          <w:vertAlign w:val="baseline"/>
        </w:rPr>
        <w:t>de</w:t>
      </w:r>
      <w:r w:rsidRPr="00702365">
        <w:rPr>
          <w:rStyle w:val="footnoteref"/>
          <w:sz w:val="22"/>
          <w:szCs w:val="22"/>
          <w:vertAlign w:val="baseline"/>
        </w:rPr>
        <w:t xml:space="preserve">crease of </w:t>
      </w:r>
      <w:r w:rsidR="00C530FC">
        <w:rPr>
          <w:rStyle w:val="footnoteref"/>
          <w:sz w:val="22"/>
          <w:szCs w:val="22"/>
          <w:vertAlign w:val="baseline"/>
        </w:rPr>
        <w:t>231,379</w:t>
      </w:r>
      <w:r w:rsidRPr="00702365">
        <w:rPr>
          <w:rStyle w:val="footnoteref"/>
          <w:sz w:val="22"/>
          <w:szCs w:val="22"/>
          <w:vertAlign w:val="baseline"/>
        </w:rPr>
        <w:t xml:space="preserve"> hours.</w:t>
      </w:r>
      <w:r w:rsidRPr="00702365" w:rsidR="00D433E4">
        <w:rPr>
          <w:rStyle w:val="footnoteref"/>
          <w:sz w:val="22"/>
          <w:szCs w:val="22"/>
          <w:vertAlign w:val="baseline"/>
        </w:rPr>
        <w:t xml:space="preserve">  </w:t>
      </w:r>
      <w:r w:rsidR="00C530FC">
        <w:rPr>
          <w:rStyle w:val="footnoteref"/>
          <w:sz w:val="22"/>
          <w:szCs w:val="22"/>
          <w:vertAlign w:val="baseline"/>
        </w:rPr>
        <w:t xml:space="preserve">The reason for this decrease is </w:t>
      </w:r>
      <w:bookmarkStart w:name="_Hlk54342750" w:id="9"/>
      <w:r w:rsidR="00C530FC">
        <w:rPr>
          <w:rStyle w:val="footnoteref"/>
          <w:sz w:val="22"/>
          <w:szCs w:val="22"/>
          <w:vertAlign w:val="baseline"/>
        </w:rPr>
        <w:t>a decrease in the size of the universe</w:t>
      </w:r>
      <w:r w:rsidR="0075539E">
        <w:rPr>
          <w:rStyle w:val="footnoteref"/>
          <w:sz w:val="22"/>
          <w:szCs w:val="22"/>
          <w:vertAlign w:val="baseline"/>
        </w:rPr>
        <w:t>, from 105 facilities to 36</w:t>
      </w:r>
      <w:r w:rsidR="002B0DAD">
        <w:rPr>
          <w:rStyle w:val="footnoteref"/>
          <w:sz w:val="22"/>
          <w:szCs w:val="22"/>
          <w:vertAlign w:val="baseline"/>
        </w:rPr>
        <w:t xml:space="preserve"> facilities</w:t>
      </w:r>
      <w:r w:rsidR="00C530FC">
        <w:rPr>
          <w:rStyle w:val="footnoteref"/>
          <w:sz w:val="22"/>
          <w:szCs w:val="22"/>
          <w:vertAlign w:val="baseline"/>
        </w:rPr>
        <w:t xml:space="preserve">. This decrease is due </w:t>
      </w:r>
      <w:r w:rsidR="0075539E">
        <w:rPr>
          <w:rStyle w:val="footnoteref"/>
          <w:sz w:val="22"/>
          <w:szCs w:val="22"/>
          <w:vertAlign w:val="baseline"/>
        </w:rPr>
        <w:t xml:space="preserve">partly </w:t>
      </w:r>
      <w:r w:rsidR="00C530FC">
        <w:rPr>
          <w:rStyle w:val="footnoteref"/>
          <w:sz w:val="22"/>
          <w:szCs w:val="22"/>
          <w:vertAlign w:val="baseline"/>
        </w:rPr>
        <w:t xml:space="preserve">to closures of boilers in both permitted and interim status facilities, </w:t>
      </w:r>
      <w:r w:rsidR="0075539E">
        <w:rPr>
          <w:rStyle w:val="footnoteref"/>
          <w:sz w:val="22"/>
          <w:szCs w:val="22"/>
          <w:vertAlign w:val="baseline"/>
        </w:rPr>
        <w:t>but is mostly due to</w:t>
      </w:r>
      <w:r w:rsidR="00C530FC">
        <w:rPr>
          <w:rStyle w:val="footnoteref"/>
          <w:sz w:val="22"/>
          <w:szCs w:val="22"/>
          <w:vertAlign w:val="baseline"/>
        </w:rPr>
        <w:t xml:space="preserve"> a clean up </w:t>
      </w:r>
      <w:r w:rsidR="0075539E">
        <w:rPr>
          <w:rStyle w:val="footnoteref"/>
          <w:sz w:val="22"/>
          <w:szCs w:val="22"/>
          <w:vertAlign w:val="baseline"/>
        </w:rPr>
        <w:t xml:space="preserve">of the data, because </w:t>
      </w:r>
      <w:r w:rsidR="002B0DAD">
        <w:rPr>
          <w:rStyle w:val="footnoteref"/>
          <w:sz w:val="22"/>
          <w:szCs w:val="22"/>
          <w:vertAlign w:val="baseline"/>
        </w:rPr>
        <w:t xml:space="preserve">previously </w:t>
      </w:r>
      <w:r w:rsidR="0075539E">
        <w:rPr>
          <w:rStyle w:val="footnoteref"/>
          <w:sz w:val="22"/>
          <w:szCs w:val="22"/>
          <w:vertAlign w:val="baseline"/>
        </w:rPr>
        <w:t xml:space="preserve">there </w:t>
      </w:r>
      <w:r w:rsidR="002B0DAD">
        <w:rPr>
          <w:rStyle w:val="footnoteref"/>
          <w:sz w:val="22"/>
          <w:szCs w:val="22"/>
          <w:vertAlign w:val="baseline"/>
        </w:rPr>
        <w:t>had been</w:t>
      </w:r>
      <w:r w:rsidR="0075539E">
        <w:rPr>
          <w:rStyle w:val="footnoteref"/>
          <w:sz w:val="22"/>
          <w:szCs w:val="22"/>
          <w:vertAlign w:val="baseline"/>
        </w:rPr>
        <w:t xml:space="preserve"> double-counting of facilities as being both permitted and interim status. The reason for the double-counting was that </w:t>
      </w:r>
      <w:r w:rsidR="002B0DAD">
        <w:rPr>
          <w:rStyle w:val="footnoteref"/>
          <w:sz w:val="22"/>
          <w:szCs w:val="22"/>
          <w:vertAlign w:val="baseline"/>
        </w:rPr>
        <w:t>one</w:t>
      </w:r>
      <w:r w:rsidR="0075539E">
        <w:rPr>
          <w:rStyle w:val="footnoteref"/>
          <w:sz w:val="22"/>
          <w:szCs w:val="22"/>
          <w:vertAlign w:val="baseline"/>
        </w:rPr>
        <w:t xml:space="preserve"> facility could have </w:t>
      </w:r>
      <w:r w:rsidR="002B0DAD">
        <w:rPr>
          <w:rStyle w:val="footnoteref"/>
          <w:sz w:val="22"/>
          <w:szCs w:val="22"/>
          <w:vertAlign w:val="baseline"/>
        </w:rPr>
        <w:t xml:space="preserve">both </w:t>
      </w:r>
      <w:r w:rsidR="0075539E">
        <w:rPr>
          <w:rStyle w:val="footnoteref"/>
          <w:sz w:val="22"/>
          <w:szCs w:val="22"/>
          <w:vertAlign w:val="baseline"/>
        </w:rPr>
        <w:t xml:space="preserve">permitted </w:t>
      </w:r>
      <w:r w:rsidR="002B0DAD">
        <w:rPr>
          <w:rStyle w:val="footnoteref"/>
          <w:sz w:val="22"/>
          <w:szCs w:val="22"/>
          <w:vertAlign w:val="baseline"/>
        </w:rPr>
        <w:t xml:space="preserve">boilers </w:t>
      </w:r>
      <w:r w:rsidR="0075539E">
        <w:rPr>
          <w:rStyle w:val="footnoteref"/>
          <w:sz w:val="22"/>
          <w:szCs w:val="22"/>
          <w:vertAlign w:val="baseline"/>
        </w:rPr>
        <w:t xml:space="preserve">and </w:t>
      </w:r>
      <w:r w:rsidR="002B0DAD">
        <w:rPr>
          <w:rStyle w:val="footnoteref"/>
          <w:sz w:val="22"/>
          <w:szCs w:val="22"/>
          <w:vertAlign w:val="baseline"/>
        </w:rPr>
        <w:t>non-permitted boilers (i.e., in interim status)</w:t>
      </w:r>
      <w:r w:rsidR="0075539E">
        <w:rPr>
          <w:rStyle w:val="footnoteref"/>
          <w:sz w:val="22"/>
          <w:szCs w:val="22"/>
          <w:vertAlign w:val="baseline"/>
        </w:rPr>
        <w:t>. Currently</w:t>
      </w:r>
      <w:r w:rsidR="002B0DAD">
        <w:rPr>
          <w:rStyle w:val="footnoteref"/>
          <w:sz w:val="22"/>
          <w:szCs w:val="22"/>
          <w:vertAlign w:val="baseline"/>
        </w:rPr>
        <w:t>, however,</w:t>
      </w:r>
      <w:r w:rsidR="0075539E">
        <w:rPr>
          <w:rStyle w:val="footnoteref"/>
          <w:sz w:val="22"/>
          <w:szCs w:val="22"/>
          <w:vertAlign w:val="baseline"/>
        </w:rPr>
        <w:t xml:space="preserve"> there are no boilers in interim status; they are either permitted or they have been closed.</w:t>
      </w:r>
    </w:p>
    <w:bookmarkEnd w:id="9"/>
    <w:p w:rsidR="004D2057" w:rsidP="004D2057" w:rsidRDefault="004D2057" w14:paraId="2685D6C3" w14:textId="2B920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F7A57" w:rsidP="004D2057" w:rsidRDefault="005F7A57" w14:paraId="1BB72A9C" w14:textId="5CEA6A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5F7A57" w:rsidR="005F7A57" w:rsidP="005F7A57" w:rsidRDefault="005F7A57" w14:paraId="68DD2ADC" w14:textId="77777777">
      <w:pPr>
        <w:rPr>
          <w:b/>
          <w:sz w:val="22"/>
          <w:szCs w:val="22"/>
        </w:rPr>
      </w:pPr>
      <w:r w:rsidRPr="005F7A57">
        <w:rPr>
          <w:b/>
          <w:sz w:val="22"/>
          <w:szCs w:val="22"/>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F7A57" w:rsidP="005F7A57" w:rsidRDefault="005F7A57" w14:paraId="07C221B4" w14:textId="214B3AE2">
      <w:pPr>
        <w:rPr>
          <w:b/>
          <w:sz w:val="22"/>
          <w:szCs w:val="22"/>
        </w:rPr>
      </w:pPr>
    </w:p>
    <w:p w:rsidR="00281E82" w:rsidP="00813A27" w:rsidRDefault="00281E82" w14:paraId="5E1EAF31" w14:textId="37F131E9">
      <w:pPr>
        <w:ind w:firstLine="720"/>
        <w:rPr>
          <w:b/>
          <w:sz w:val="22"/>
          <w:szCs w:val="22"/>
        </w:rPr>
      </w:pPr>
      <w:r>
        <w:rPr>
          <w:bCs/>
        </w:rPr>
        <w:t>No collection of information will be published.</w:t>
      </w:r>
    </w:p>
    <w:p w:rsidRPr="005F7A57" w:rsidR="00281E82" w:rsidP="005F7A57" w:rsidRDefault="00281E82" w14:paraId="0EB55D22" w14:textId="77777777">
      <w:pPr>
        <w:rPr>
          <w:b/>
          <w:sz w:val="22"/>
          <w:szCs w:val="22"/>
        </w:rPr>
      </w:pPr>
    </w:p>
    <w:p w:rsidRPr="005F7A57" w:rsidR="005F7A57" w:rsidP="005F7A57" w:rsidRDefault="005F7A57" w14:paraId="3D939975" w14:textId="77777777">
      <w:pPr>
        <w:rPr>
          <w:b/>
          <w:sz w:val="22"/>
          <w:szCs w:val="22"/>
        </w:rPr>
      </w:pPr>
      <w:r w:rsidRPr="005F7A57">
        <w:rPr>
          <w:b/>
          <w:sz w:val="22"/>
          <w:szCs w:val="22"/>
        </w:rPr>
        <w:t xml:space="preserve">17. If seeking approval to not display the expiration date for OMB approval of the information </w:t>
      </w:r>
      <w:r w:rsidRPr="005F7A57">
        <w:rPr>
          <w:b/>
          <w:sz w:val="22"/>
          <w:szCs w:val="22"/>
        </w:rPr>
        <w:lastRenderedPageBreak/>
        <w:t>collection, explain the reasons that display would be inappropriate.</w:t>
      </w:r>
    </w:p>
    <w:p w:rsidR="005F7A57" w:rsidP="005F7A57" w:rsidRDefault="005F7A57" w14:paraId="6272F7A4" w14:textId="5EC29CEB">
      <w:pPr>
        <w:rPr>
          <w:b/>
          <w:sz w:val="22"/>
          <w:szCs w:val="22"/>
        </w:rPr>
      </w:pPr>
    </w:p>
    <w:p w:rsidR="00281E82" w:rsidP="00281E82" w:rsidRDefault="00281E82" w14:paraId="019E2055" w14:textId="54BE8FDD">
      <w:pPr>
        <w:ind w:firstLine="720"/>
        <w:rPr>
          <w:b/>
        </w:rPr>
      </w:pPr>
      <w:r w:rsidRPr="001B58D7">
        <w:rPr>
          <w:bCs/>
        </w:rPr>
        <w:t>Not seeking to not display the expiration date</w:t>
      </w:r>
      <w:r>
        <w:rPr>
          <w:bCs/>
        </w:rPr>
        <w:t>.</w:t>
      </w:r>
    </w:p>
    <w:p w:rsidR="00281E82" w:rsidP="005F7A57" w:rsidRDefault="00281E82" w14:paraId="6B0ACCB8" w14:textId="185C9785">
      <w:pPr>
        <w:rPr>
          <w:b/>
          <w:sz w:val="22"/>
          <w:szCs w:val="22"/>
        </w:rPr>
      </w:pPr>
    </w:p>
    <w:p w:rsidRPr="005F7A57" w:rsidR="00281E82" w:rsidP="005F7A57" w:rsidRDefault="00281E82" w14:paraId="332D99B7" w14:textId="77777777">
      <w:pPr>
        <w:rPr>
          <w:b/>
          <w:sz w:val="22"/>
          <w:szCs w:val="22"/>
        </w:rPr>
      </w:pPr>
    </w:p>
    <w:p w:rsidRPr="005F7A57" w:rsidR="005F7A57" w:rsidP="005F7A57" w:rsidRDefault="005F7A57" w14:paraId="6F933C1F" w14:textId="77777777">
      <w:pPr>
        <w:rPr>
          <w:b/>
          <w:sz w:val="22"/>
          <w:szCs w:val="22"/>
        </w:rPr>
      </w:pPr>
      <w:r w:rsidRPr="005F7A57">
        <w:rPr>
          <w:b/>
          <w:sz w:val="22"/>
          <w:szCs w:val="22"/>
        </w:rPr>
        <w:t>18.Explain each exception to the topics of the certification statement identified in “Certification for Paperwork Reduction Act Submissions.”</w:t>
      </w:r>
    </w:p>
    <w:p w:rsidRPr="00702365" w:rsidR="005F7A57" w:rsidP="004D2057" w:rsidRDefault="005F7A57" w14:paraId="28087E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702365" w:rsidR="00704419" w:rsidP="005F7A57" w:rsidRDefault="004D2057" w14:paraId="456DA198" w14:textId="644396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02365">
        <w:rPr>
          <w:b/>
          <w:sz w:val="22"/>
          <w:szCs w:val="22"/>
        </w:rPr>
        <w:tab/>
      </w:r>
      <w:r w:rsidRPr="00702365" w:rsidR="00D433E4">
        <w:rPr>
          <w:sz w:val="22"/>
          <w:szCs w:val="22"/>
        </w:rPr>
        <w:t xml:space="preserve"> </w:t>
      </w:r>
      <w:r w:rsidRPr="001B58D7" w:rsidR="00281E82">
        <w:rPr>
          <w:bCs/>
        </w:rPr>
        <w:t>No exception to the topics of the certification statement.</w:t>
      </w:r>
    </w:p>
    <w:p w:rsidR="00704419" w:rsidP="0010781A" w:rsidRDefault="00704419" w14:paraId="571F652A" w14:textId="77777777">
      <w:pPr>
        <w:rPr>
          <w:sz w:val="22"/>
          <w:szCs w:val="22"/>
        </w:rPr>
      </w:pPr>
    </w:p>
    <w:p w:rsidR="00C23850" w:rsidP="0010781A" w:rsidRDefault="00C23850" w14:paraId="387679B0" w14:textId="77777777">
      <w:pPr>
        <w:rPr>
          <w:sz w:val="22"/>
          <w:szCs w:val="22"/>
        </w:rPr>
      </w:pPr>
    </w:p>
    <w:p w:rsidR="00C23850" w:rsidP="0010781A" w:rsidRDefault="00C23850" w14:paraId="43092D96" w14:textId="36488C65"/>
    <w:p w:rsidR="00C23850" w:rsidP="0010781A" w:rsidRDefault="00C23850" w14:paraId="19DD1871" w14:textId="6387F25D">
      <w:pPr>
        <w:rPr>
          <w:sz w:val="22"/>
          <w:szCs w:val="22"/>
        </w:rPr>
        <w:sectPr w:rsidR="00C23850" w:rsidSect="00C23850">
          <w:headerReference w:type="even" r:id="rId8"/>
          <w:headerReference w:type="default" r:id="rId9"/>
          <w:footerReference w:type="even" r:id="rId10"/>
          <w:footerReference w:type="default" r:id="rId11"/>
          <w:endnotePr>
            <w:numFmt w:val="decimal"/>
          </w:endnotePr>
          <w:type w:val="continuous"/>
          <w:pgSz w:w="12240" w:h="15840"/>
          <w:pgMar w:top="1080" w:right="1325" w:bottom="1440" w:left="1440" w:header="1440" w:footer="1080" w:gutter="0"/>
          <w:cols w:space="720"/>
        </w:sectPr>
      </w:pPr>
    </w:p>
    <w:p w:rsidR="00C23850" w:rsidP="0010781A" w:rsidRDefault="00C23850" w14:paraId="02EB46F6" w14:textId="3D7DD005">
      <w:pPr>
        <w:rPr>
          <w:rStyle w:val="footnoteref"/>
          <w:sz w:val="20"/>
          <w:vertAlign w:val="baseline"/>
        </w:rPr>
      </w:pPr>
      <w:r w:rsidRPr="00C23850">
        <w:rPr>
          <w:rStyle w:val="footnoteref"/>
          <w:noProof/>
          <w:sz w:val="20"/>
          <w:vertAlign w:val="baseline"/>
        </w:rPr>
        <w:lastRenderedPageBreak/>
        <w:drawing>
          <wp:inline distT="0" distB="0" distL="0" distR="0" wp14:anchorId="2F1657E6" wp14:editId="0406F97D">
            <wp:extent cx="6016625" cy="323596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6625" cy="3235960"/>
                    </a:xfrm>
                    <a:prstGeom prst="rect">
                      <a:avLst/>
                    </a:prstGeom>
                    <a:noFill/>
                    <a:ln>
                      <a:noFill/>
                    </a:ln>
                  </pic:spPr>
                </pic:pic>
              </a:graphicData>
            </a:graphic>
          </wp:inline>
        </w:drawing>
      </w:r>
    </w:p>
    <w:p w:rsidR="00C23850" w:rsidP="0010781A" w:rsidRDefault="00C23850" w14:paraId="0C83D257" w14:textId="77777777">
      <w:pPr>
        <w:rPr>
          <w:rStyle w:val="footnoteref"/>
          <w:sz w:val="20"/>
          <w:vertAlign w:val="baseline"/>
        </w:rPr>
      </w:pPr>
    </w:p>
    <w:p w:rsidR="00C23850" w:rsidP="0010781A" w:rsidRDefault="00C23850" w14:paraId="190A21EA" w14:textId="77777777">
      <w:pPr>
        <w:rPr>
          <w:rStyle w:val="footnoteref"/>
          <w:sz w:val="20"/>
          <w:vertAlign w:val="baseline"/>
        </w:rPr>
      </w:pPr>
    </w:p>
    <w:p w:rsidR="00C23850" w:rsidP="0010781A" w:rsidRDefault="00C23850" w14:paraId="58B6B79E" w14:textId="77777777">
      <w:pPr>
        <w:rPr>
          <w:rStyle w:val="footnoteref"/>
          <w:sz w:val="20"/>
          <w:vertAlign w:val="baseline"/>
        </w:rPr>
      </w:pPr>
    </w:p>
    <w:p w:rsidR="00C23850" w:rsidP="0010781A" w:rsidRDefault="00C23850" w14:paraId="7B03B829" w14:textId="77777777">
      <w:pPr>
        <w:rPr>
          <w:rStyle w:val="footnoteref"/>
          <w:sz w:val="20"/>
          <w:vertAlign w:val="baseline"/>
        </w:rPr>
      </w:pPr>
    </w:p>
    <w:p w:rsidR="00C23850" w:rsidP="0010781A" w:rsidRDefault="00C23850" w14:paraId="672F23D7" w14:textId="77777777">
      <w:pPr>
        <w:rPr>
          <w:rStyle w:val="footnoteref"/>
          <w:sz w:val="20"/>
          <w:vertAlign w:val="baseline"/>
        </w:rPr>
      </w:pPr>
    </w:p>
    <w:p w:rsidR="00C23850" w:rsidP="0010781A" w:rsidRDefault="00C23850" w14:paraId="1E286174" w14:textId="77777777">
      <w:pPr>
        <w:rPr>
          <w:rStyle w:val="footnoteref"/>
          <w:sz w:val="20"/>
          <w:vertAlign w:val="baseline"/>
        </w:rPr>
      </w:pPr>
    </w:p>
    <w:p w:rsidR="00684D09" w:rsidP="0010781A" w:rsidRDefault="00C23850" w14:paraId="19FC0AB0" w14:textId="35B6C9DC">
      <w:pPr>
        <w:rPr>
          <w:rStyle w:val="footnoteref"/>
          <w:szCs w:val="22"/>
          <w:vertAlign w:val="baseline"/>
        </w:rPr>
      </w:pPr>
      <w:r w:rsidRPr="00C23850">
        <w:rPr>
          <w:rStyle w:val="footnoteref"/>
          <w:noProof/>
          <w:sz w:val="20"/>
          <w:vertAlign w:val="baseline"/>
        </w:rPr>
        <w:drawing>
          <wp:inline distT="0" distB="0" distL="0" distR="0" wp14:anchorId="3C847C69" wp14:editId="7DB564DD">
            <wp:extent cx="6016625" cy="286194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6625" cy="2861945"/>
                    </a:xfrm>
                    <a:prstGeom prst="rect">
                      <a:avLst/>
                    </a:prstGeom>
                    <a:noFill/>
                    <a:ln>
                      <a:noFill/>
                    </a:ln>
                  </pic:spPr>
                </pic:pic>
              </a:graphicData>
            </a:graphic>
          </wp:inline>
        </w:drawing>
      </w:r>
    </w:p>
    <w:sectPr w:rsidR="00684D09" w:rsidSect="00F43FEF">
      <w:endnotePr>
        <w:numFmt w:val="decimal"/>
      </w:endnotePr>
      <w:pgSz w:w="12240" w:h="15840"/>
      <w:pgMar w:top="1440" w:right="1325" w:bottom="1440" w:left="1440" w:header="144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DF55F" w14:textId="77777777" w:rsidR="00C270D1" w:rsidRDefault="00C270D1">
      <w:r>
        <w:separator/>
      </w:r>
    </w:p>
  </w:endnote>
  <w:endnote w:type="continuationSeparator" w:id="0">
    <w:p w14:paraId="00DD546C" w14:textId="77777777" w:rsidR="00C270D1" w:rsidRDefault="00C2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E2AC" w14:textId="732F265A" w:rsidR="00C270D1" w:rsidRDefault="00C270D1" w:rsidP="005B6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146</w:t>
    </w:r>
    <w:r>
      <w:rPr>
        <w:rStyle w:val="PageNumber"/>
      </w:rPr>
      <w:fldChar w:fldCharType="end"/>
    </w:r>
  </w:p>
  <w:p w14:paraId="135EC21E" w14:textId="77777777" w:rsidR="00C270D1" w:rsidRDefault="00C270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40"/>
    </w:pPr>
    <w:r>
      <w:rPr>
        <w:i/>
      </w:rPr>
      <w:tab/>
    </w:r>
    <w:r>
      <w:rPr>
        <w:i/>
      </w:rPr>
      <w:tab/>
    </w:r>
    <w:r>
      <w:rPr>
        <w:i/>
      </w:rPr>
      <w:tab/>
    </w:r>
    <w:r>
      <w:rPr>
        <w: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C23AB" w14:textId="3F309E77" w:rsidR="00C270D1" w:rsidRDefault="00C270D1" w:rsidP="005B6D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145</w:t>
    </w:r>
    <w:r>
      <w:rPr>
        <w:rStyle w:val="PageNumber"/>
      </w:rPr>
      <w:fldChar w:fldCharType="end"/>
    </w:r>
  </w:p>
  <w:p w14:paraId="06014C50" w14:textId="77777777" w:rsidR="00C270D1" w:rsidRDefault="00C270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8640"/>
    </w:pPr>
    <w:r>
      <w:rPr>
        <w:i/>
      </w:rPr>
      <w:tab/>
    </w:r>
    <w:r>
      <w:rPr>
        <w:i/>
      </w:rPr>
      <w:tab/>
    </w:r>
    <w:r>
      <w:rPr>
        <w:i/>
      </w:rPr>
      <w:tab/>
    </w: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890CB" w14:textId="77777777" w:rsidR="00C270D1" w:rsidRDefault="00C270D1">
      <w:r>
        <w:separator/>
      </w:r>
    </w:p>
  </w:footnote>
  <w:footnote w:type="continuationSeparator" w:id="0">
    <w:p w14:paraId="144015FA" w14:textId="77777777" w:rsidR="00C270D1" w:rsidRDefault="00C27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F3B5" w14:textId="77777777" w:rsidR="00C270D1" w:rsidRDefault="00C27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rPr>
    </w:pPr>
  </w:p>
  <w:p w14:paraId="47312219" w14:textId="77777777" w:rsidR="00C270D1" w:rsidRDefault="00C27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622B7" w14:textId="77777777" w:rsidR="00C270D1" w:rsidRDefault="00C27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rPr>
    </w:pPr>
  </w:p>
  <w:p w14:paraId="538EBC0B" w14:textId="77777777" w:rsidR="00C270D1" w:rsidRDefault="00C270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3"/>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01C71DA"/>
    <w:multiLevelType w:val="multilevel"/>
    <w:tmpl w:val="2FDC83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11585F"/>
    <w:multiLevelType w:val="hybridMultilevel"/>
    <w:tmpl w:val="736C8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039CC"/>
    <w:multiLevelType w:val="hybridMultilevel"/>
    <w:tmpl w:val="9314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5158"/>
    <w:multiLevelType w:val="hybridMultilevel"/>
    <w:tmpl w:val="69D8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C2210"/>
    <w:multiLevelType w:val="hybridMultilevel"/>
    <w:tmpl w:val="468A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B15CB"/>
    <w:multiLevelType w:val="hybridMultilevel"/>
    <w:tmpl w:val="172C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A79F9"/>
    <w:multiLevelType w:val="hybridMultilevel"/>
    <w:tmpl w:val="252E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B1492"/>
    <w:multiLevelType w:val="hybridMultilevel"/>
    <w:tmpl w:val="6294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2C671F7"/>
    <w:multiLevelType w:val="hybridMultilevel"/>
    <w:tmpl w:val="E738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B670D"/>
    <w:multiLevelType w:val="hybridMultilevel"/>
    <w:tmpl w:val="898E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6664D4"/>
    <w:multiLevelType w:val="hybridMultilevel"/>
    <w:tmpl w:val="03B2FE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A941BA"/>
    <w:multiLevelType w:val="hybridMultilevel"/>
    <w:tmpl w:val="A06A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44BD9"/>
    <w:multiLevelType w:val="hybridMultilevel"/>
    <w:tmpl w:val="0282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2024E"/>
    <w:multiLevelType w:val="hybridMultilevel"/>
    <w:tmpl w:val="FE105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02971"/>
    <w:multiLevelType w:val="hybridMultilevel"/>
    <w:tmpl w:val="FF68DE94"/>
    <w:lvl w:ilvl="0" w:tplc="A0D6BF74">
      <w:start w:val="1"/>
      <w:numFmt w:val="bullet"/>
      <w:lvlText w:val=""/>
      <w:lvlJc w:val="left"/>
      <w:pPr>
        <w:tabs>
          <w:tab w:val="num" w:pos="360"/>
        </w:tabs>
        <w:ind w:left="0" w:firstLine="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0F0526D"/>
    <w:multiLevelType w:val="hybridMultilevel"/>
    <w:tmpl w:val="24AE6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A7FD1"/>
    <w:multiLevelType w:val="hybridMultilevel"/>
    <w:tmpl w:val="7D606C7A"/>
    <w:lvl w:ilvl="0" w:tplc="A0D6BF74">
      <w:start w:val="1"/>
      <w:numFmt w:val="bullet"/>
      <w:lvlText w:val=""/>
      <w:lvlJc w:val="left"/>
      <w:pPr>
        <w:tabs>
          <w:tab w:val="num" w:pos="720"/>
        </w:tabs>
        <w:ind w:left="36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4B111D"/>
    <w:multiLevelType w:val="hybridMultilevel"/>
    <w:tmpl w:val="3BE8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25ECD"/>
    <w:multiLevelType w:val="hybridMultilevel"/>
    <w:tmpl w:val="5820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DF2A02"/>
    <w:multiLevelType w:val="hybridMultilevel"/>
    <w:tmpl w:val="B124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72B68"/>
    <w:multiLevelType w:val="hybridMultilevel"/>
    <w:tmpl w:val="C06A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40650A"/>
    <w:multiLevelType w:val="hybridMultilevel"/>
    <w:tmpl w:val="9FE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E1BAA"/>
    <w:multiLevelType w:val="hybridMultilevel"/>
    <w:tmpl w:val="112E5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127867"/>
    <w:multiLevelType w:val="hybridMultilevel"/>
    <w:tmpl w:val="88FC9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960E33"/>
    <w:multiLevelType w:val="hybridMultilevel"/>
    <w:tmpl w:val="DA76740C"/>
    <w:lvl w:ilvl="0" w:tplc="A0D6BF74">
      <w:start w:val="1"/>
      <w:numFmt w:val="bullet"/>
      <w:lvlText w:val=""/>
      <w:lvlJc w:val="left"/>
      <w:pPr>
        <w:tabs>
          <w:tab w:val="num" w:pos="2160"/>
        </w:tabs>
        <w:ind w:left="1800" w:firstLine="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24F1C74"/>
    <w:multiLevelType w:val="hybridMultilevel"/>
    <w:tmpl w:val="928A5912"/>
    <w:lvl w:ilvl="0" w:tplc="A0D6BF74">
      <w:start w:val="1"/>
      <w:numFmt w:val="bullet"/>
      <w:lvlText w:val=""/>
      <w:lvlJc w:val="left"/>
      <w:pPr>
        <w:tabs>
          <w:tab w:val="num" w:pos="1440"/>
        </w:tabs>
        <w:ind w:left="1080" w:firstLine="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7794084"/>
    <w:multiLevelType w:val="hybridMultilevel"/>
    <w:tmpl w:val="4336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6279B"/>
    <w:multiLevelType w:val="hybridMultilevel"/>
    <w:tmpl w:val="44EC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96433"/>
    <w:multiLevelType w:val="hybridMultilevel"/>
    <w:tmpl w:val="9506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C5AA5"/>
    <w:multiLevelType w:val="hybridMultilevel"/>
    <w:tmpl w:val="76E83C28"/>
    <w:lvl w:ilvl="0" w:tplc="A0D6BF74">
      <w:start w:val="1"/>
      <w:numFmt w:val="bullet"/>
      <w:lvlText w:val=""/>
      <w:lvlJc w:val="left"/>
      <w:pPr>
        <w:tabs>
          <w:tab w:val="num" w:pos="780"/>
        </w:tabs>
        <w:ind w:left="420" w:firstLine="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A2745EA"/>
    <w:multiLevelType w:val="hybridMultilevel"/>
    <w:tmpl w:val="161A3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B91B49"/>
    <w:multiLevelType w:val="hybridMultilevel"/>
    <w:tmpl w:val="D50E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B05E9"/>
    <w:multiLevelType w:val="hybridMultilevel"/>
    <w:tmpl w:val="C6EA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F6042"/>
    <w:multiLevelType w:val="hybridMultilevel"/>
    <w:tmpl w:val="23E4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E1AE4"/>
    <w:multiLevelType w:val="hybridMultilevel"/>
    <w:tmpl w:val="8BE0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77C65"/>
    <w:multiLevelType w:val="hybridMultilevel"/>
    <w:tmpl w:val="648A909A"/>
    <w:lvl w:ilvl="0" w:tplc="A0D6BF74">
      <w:start w:val="1"/>
      <w:numFmt w:val="bullet"/>
      <w:lvlText w:val=""/>
      <w:lvlJc w:val="left"/>
      <w:pPr>
        <w:tabs>
          <w:tab w:val="num" w:pos="720"/>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7844A5"/>
    <w:multiLevelType w:val="hybridMultilevel"/>
    <w:tmpl w:val="C1C4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C6259"/>
    <w:multiLevelType w:val="hybridMultilevel"/>
    <w:tmpl w:val="4102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F6139"/>
    <w:multiLevelType w:val="hybridMultilevel"/>
    <w:tmpl w:val="6B5A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E14AF4"/>
    <w:multiLevelType w:val="hybridMultilevel"/>
    <w:tmpl w:val="93B4D9BC"/>
    <w:lvl w:ilvl="0" w:tplc="A0D6BF74">
      <w:start w:val="1"/>
      <w:numFmt w:val="bullet"/>
      <w:lvlText w:val=""/>
      <w:lvlJc w:val="left"/>
      <w:pPr>
        <w:tabs>
          <w:tab w:val="num" w:pos="780"/>
        </w:tabs>
        <w:ind w:left="420" w:firstLine="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E92193E"/>
    <w:multiLevelType w:val="hybridMultilevel"/>
    <w:tmpl w:val="4B0C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62D40"/>
    <w:multiLevelType w:val="hybridMultilevel"/>
    <w:tmpl w:val="5770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56C6B"/>
    <w:multiLevelType w:val="hybridMultilevel"/>
    <w:tmpl w:val="EA28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6EA4451"/>
    <w:multiLevelType w:val="hybridMultilevel"/>
    <w:tmpl w:val="0198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108AC"/>
    <w:multiLevelType w:val="hybridMultilevel"/>
    <w:tmpl w:val="8834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665F8"/>
    <w:multiLevelType w:val="hybridMultilevel"/>
    <w:tmpl w:val="2A36D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30"/>
  </w:num>
  <w:num w:numId="4">
    <w:abstractNumId w:val="15"/>
  </w:num>
  <w:num w:numId="5">
    <w:abstractNumId w:val="17"/>
  </w:num>
  <w:num w:numId="6">
    <w:abstractNumId w:val="36"/>
  </w:num>
  <w:num w:numId="7">
    <w:abstractNumId w:val="26"/>
  </w:num>
  <w:num w:numId="8">
    <w:abstractNumId w:val="25"/>
  </w:num>
  <w:num w:numId="9">
    <w:abstractNumId w:val="43"/>
  </w:num>
  <w:num w:numId="10">
    <w:abstractNumId w:val="35"/>
  </w:num>
  <w:num w:numId="11">
    <w:abstractNumId w:val="27"/>
  </w:num>
  <w:num w:numId="12">
    <w:abstractNumId w:val="6"/>
  </w:num>
  <w:num w:numId="13">
    <w:abstractNumId w:val="31"/>
  </w:num>
  <w:num w:numId="14">
    <w:abstractNumId w:val="29"/>
  </w:num>
  <w:num w:numId="15">
    <w:abstractNumId w:val="9"/>
  </w:num>
  <w:num w:numId="16">
    <w:abstractNumId w:val="41"/>
  </w:num>
  <w:num w:numId="17">
    <w:abstractNumId w:val="4"/>
  </w:num>
  <w:num w:numId="18">
    <w:abstractNumId w:val="5"/>
  </w:num>
  <w:num w:numId="19">
    <w:abstractNumId w:val="37"/>
  </w:num>
  <w:num w:numId="20">
    <w:abstractNumId w:val="45"/>
  </w:num>
  <w:num w:numId="21">
    <w:abstractNumId w:val="39"/>
  </w:num>
  <w:num w:numId="22">
    <w:abstractNumId w:val="3"/>
  </w:num>
  <w:num w:numId="23">
    <w:abstractNumId w:val="7"/>
  </w:num>
  <w:num w:numId="24">
    <w:abstractNumId w:val="14"/>
  </w:num>
  <w:num w:numId="25">
    <w:abstractNumId w:val="22"/>
  </w:num>
  <w:num w:numId="26">
    <w:abstractNumId w:val="24"/>
  </w:num>
  <w:num w:numId="27">
    <w:abstractNumId w:val="21"/>
  </w:num>
  <w:num w:numId="28">
    <w:abstractNumId w:val="44"/>
  </w:num>
  <w:num w:numId="29">
    <w:abstractNumId w:val="13"/>
  </w:num>
  <w:num w:numId="30">
    <w:abstractNumId w:val="32"/>
  </w:num>
  <w:num w:numId="31">
    <w:abstractNumId w:val="16"/>
  </w:num>
  <w:num w:numId="32">
    <w:abstractNumId w:val="10"/>
  </w:num>
  <w:num w:numId="33">
    <w:abstractNumId w:val="19"/>
  </w:num>
  <w:num w:numId="34">
    <w:abstractNumId w:val="28"/>
  </w:num>
  <w:num w:numId="35">
    <w:abstractNumId w:val="2"/>
  </w:num>
  <w:num w:numId="36">
    <w:abstractNumId w:val="18"/>
  </w:num>
  <w:num w:numId="37">
    <w:abstractNumId w:val="42"/>
  </w:num>
  <w:num w:numId="38">
    <w:abstractNumId w:val="38"/>
  </w:num>
  <w:num w:numId="39">
    <w:abstractNumId w:val="12"/>
  </w:num>
  <w:num w:numId="40">
    <w:abstractNumId w:val="46"/>
  </w:num>
  <w:num w:numId="41">
    <w:abstractNumId w:val="8"/>
  </w:num>
  <w:num w:numId="42">
    <w:abstractNumId w:val="11"/>
  </w:num>
  <w:num w:numId="43">
    <w:abstractNumId w:val="23"/>
  </w:num>
  <w:num w:numId="44">
    <w:abstractNumId w:val="20"/>
  </w:num>
  <w:num w:numId="45">
    <w:abstractNumId w:val="34"/>
  </w:num>
  <w:num w:numId="46">
    <w:abstractNumId w:val="33"/>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E14"/>
    <w:rsid w:val="000005B1"/>
    <w:rsid w:val="000043DB"/>
    <w:rsid w:val="00012361"/>
    <w:rsid w:val="00013647"/>
    <w:rsid w:val="000154FC"/>
    <w:rsid w:val="00015FE6"/>
    <w:rsid w:val="00016360"/>
    <w:rsid w:val="000359A5"/>
    <w:rsid w:val="00035E0A"/>
    <w:rsid w:val="00047353"/>
    <w:rsid w:val="000503D4"/>
    <w:rsid w:val="000726AB"/>
    <w:rsid w:val="00074552"/>
    <w:rsid w:val="000770B0"/>
    <w:rsid w:val="0009125D"/>
    <w:rsid w:val="000A01EA"/>
    <w:rsid w:val="000A087C"/>
    <w:rsid w:val="000A766F"/>
    <w:rsid w:val="000B22FA"/>
    <w:rsid w:val="000D026A"/>
    <w:rsid w:val="000E7E49"/>
    <w:rsid w:val="000F0BA7"/>
    <w:rsid w:val="000F4B3C"/>
    <w:rsid w:val="0010781A"/>
    <w:rsid w:val="00113F9D"/>
    <w:rsid w:val="00126CBA"/>
    <w:rsid w:val="0013282D"/>
    <w:rsid w:val="00135A73"/>
    <w:rsid w:val="00136907"/>
    <w:rsid w:val="0014328E"/>
    <w:rsid w:val="001436BE"/>
    <w:rsid w:val="00146725"/>
    <w:rsid w:val="001506F8"/>
    <w:rsid w:val="0015660F"/>
    <w:rsid w:val="0016455B"/>
    <w:rsid w:val="001657D5"/>
    <w:rsid w:val="001742D4"/>
    <w:rsid w:val="001843D8"/>
    <w:rsid w:val="00186C48"/>
    <w:rsid w:val="001937EA"/>
    <w:rsid w:val="00193C5C"/>
    <w:rsid w:val="001B6144"/>
    <w:rsid w:val="001C74C9"/>
    <w:rsid w:val="001D0810"/>
    <w:rsid w:val="001F0C06"/>
    <w:rsid w:val="00202393"/>
    <w:rsid w:val="00202FF8"/>
    <w:rsid w:val="00213087"/>
    <w:rsid w:val="00221225"/>
    <w:rsid w:val="002228EC"/>
    <w:rsid w:val="00243027"/>
    <w:rsid w:val="00251C29"/>
    <w:rsid w:val="002547CC"/>
    <w:rsid w:val="002776A4"/>
    <w:rsid w:val="00280D60"/>
    <w:rsid w:val="00281E82"/>
    <w:rsid w:val="00285427"/>
    <w:rsid w:val="00293034"/>
    <w:rsid w:val="002A5356"/>
    <w:rsid w:val="002A64E8"/>
    <w:rsid w:val="002A692C"/>
    <w:rsid w:val="002A6F8A"/>
    <w:rsid w:val="002B0DAD"/>
    <w:rsid w:val="002B1B9C"/>
    <w:rsid w:val="002B29EA"/>
    <w:rsid w:val="002B3CB3"/>
    <w:rsid w:val="002B6DB8"/>
    <w:rsid w:val="002D47EC"/>
    <w:rsid w:val="002D5E14"/>
    <w:rsid w:val="003003F2"/>
    <w:rsid w:val="00304D85"/>
    <w:rsid w:val="00305EB9"/>
    <w:rsid w:val="0030741A"/>
    <w:rsid w:val="00313D39"/>
    <w:rsid w:val="00313F65"/>
    <w:rsid w:val="00314901"/>
    <w:rsid w:val="00317762"/>
    <w:rsid w:val="003235D4"/>
    <w:rsid w:val="00333592"/>
    <w:rsid w:val="003348CE"/>
    <w:rsid w:val="00337D7E"/>
    <w:rsid w:val="003451D3"/>
    <w:rsid w:val="003557E6"/>
    <w:rsid w:val="00357842"/>
    <w:rsid w:val="0036037E"/>
    <w:rsid w:val="00367E19"/>
    <w:rsid w:val="003734A6"/>
    <w:rsid w:val="00376641"/>
    <w:rsid w:val="003855F2"/>
    <w:rsid w:val="00392962"/>
    <w:rsid w:val="003A6B52"/>
    <w:rsid w:val="003A701E"/>
    <w:rsid w:val="003A75B2"/>
    <w:rsid w:val="003B37AE"/>
    <w:rsid w:val="003C598F"/>
    <w:rsid w:val="003D2890"/>
    <w:rsid w:val="003D6B59"/>
    <w:rsid w:val="004000F4"/>
    <w:rsid w:val="004141CA"/>
    <w:rsid w:val="0042156C"/>
    <w:rsid w:val="00423C0F"/>
    <w:rsid w:val="00424C46"/>
    <w:rsid w:val="004348E9"/>
    <w:rsid w:val="00446F62"/>
    <w:rsid w:val="0045233A"/>
    <w:rsid w:val="00454222"/>
    <w:rsid w:val="004553C4"/>
    <w:rsid w:val="00457E07"/>
    <w:rsid w:val="00472064"/>
    <w:rsid w:val="00472EFD"/>
    <w:rsid w:val="00475101"/>
    <w:rsid w:val="00480B09"/>
    <w:rsid w:val="0049039C"/>
    <w:rsid w:val="004A0030"/>
    <w:rsid w:val="004B3E35"/>
    <w:rsid w:val="004D0AD7"/>
    <w:rsid w:val="004D2057"/>
    <w:rsid w:val="004E2237"/>
    <w:rsid w:val="004E4320"/>
    <w:rsid w:val="004E6BA8"/>
    <w:rsid w:val="004F1E6E"/>
    <w:rsid w:val="004F338E"/>
    <w:rsid w:val="00507A44"/>
    <w:rsid w:val="00523C9E"/>
    <w:rsid w:val="00524FE6"/>
    <w:rsid w:val="00533093"/>
    <w:rsid w:val="00534EDA"/>
    <w:rsid w:val="00555351"/>
    <w:rsid w:val="00556627"/>
    <w:rsid w:val="00557D23"/>
    <w:rsid w:val="005709B2"/>
    <w:rsid w:val="00580300"/>
    <w:rsid w:val="00584263"/>
    <w:rsid w:val="00585FE7"/>
    <w:rsid w:val="005A0313"/>
    <w:rsid w:val="005A0A88"/>
    <w:rsid w:val="005B2F0A"/>
    <w:rsid w:val="005B6DDF"/>
    <w:rsid w:val="005B7811"/>
    <w:rsid w:val="005C0A3D"/>
    <w:rsid w:val="005C0A53"/>
    <w:rsid w:val="005D430D"/>
    <w:rsid w:val="005D5A2F"/>
    <w:rsid w:val="005D7E4F"/>
    <w:rsid w:val="005E3636"/>
    <w:rsid w:val="005E4010"/>
    <w:rsid w:val="005F2CB9"/>
    <w:rsid w:val="005F6391"/>
    <w:rsid w:val="005F7A57"/>
    <w:rsid w:val="006229AE"/>
    <w:rsid w:val="00632F03"/>
    <w:rsid w:val="0063502C"/>
    <w:rsid w:val="00636069"/>
    <w:rsid w:val="00636C9F"/>
    <w:rsid w:val="006415C3"/>
    <w:rsid w:val="006426C4"/>
    <w:rsid w:val="00653CAA"/>
    <w:rsid w:val="0065488F"/>
    <w:rsid w:val="00670237"/>
    <w:rsid w:val="00684D09"/>
    <w:rsid w:val="00685E5E"/>
    <w:rsid w:val="00692DBA"/>
    <w:rsid w:val="0069591F"/>
    <w:rsid w:val="006B0A8F"/>
    <w:rsid w:val="006B4962"/>
    <w:rsid w:val="006D50DD"/>
    <w:rsid w:val="006E38F2"/>
    <w:rsid w:val="006E6306"/>
    <w:rsid w:val="006E75DF"/>
    <w:rsid w:val="006F1EAB"/>
    <w:rsid w:val="006F364D"/>
    <w:rsid w:val="006F450B"/>
    <w:rsid w:val="006F7364"/>
    <w:rsid w:val="00702365"/>
    <w:rsid w:val="00704419"/>
    <w:rsid w:val="00707F98"/>
    <w:rsid w:val="007152BA"/>
    <w:rsid w:val="00715DCE"/>
    <w:rsid w:val="00721964"/>
    <w:rsid w:val="00733A87"/>
    <w:rsid w:val="007370A5"/>
    <w:rsid w:val="00745A7B"/>
    <w:rsid w:val="0075539E"/>
    <w:rsid w:val="00755DFE"/>
    <w:rsid w:val="00760025"/>
    <w:rsid w:val="00762A42"/>
    <w:rsid w:val="00763F4E"/>
    <w:rsid w:val="00767FD8"/>
    <w:rsid w:val="007741FC"/>
    <w:rsid w:val="00793233"/>
    <w:rsid w:val="00793EF9"/>
    <w:rsid w:val="007A49AA"/>
    <w:rsid w:val="007A5B19"/>
    <w:rsid w:val="007A68D6"/>
    <w:rsid w:val="007B34BD"/>
    <w:rsid w:val="007B4540"/>
    <w:rsid w:val="007C691F"/>
    <w:rsid w:val="007D0E20"/>
    <w:rsid w:val="007D47BB"/>
    <w:rsid w:val="007F140D"/>
    <w:rsid w:val="00813A27"/>
    <w:rsid w:val="008275C0"/>
    <w:rsid w:val="00830DF2"/>
    <w:rsid w:val="00842668"/>
    <w:rsid w:val="00842DBE"/>
    <w:rsid w:val="00851508"/>
    <w:rsid w:val="0085679B"/>
    <w:rsid w:val="0087350F"/>
    <w:rsid w:val="008842B0"/>
    <w:rsid w:val="0088597F"/>
    <w:rsid w:val="00885D53"/>
    <w:rsid w:val="00893D79"/>
    <w:rsid w:val="008944C3"/>
    <w:rsid w:val="008964DB"/>
    <w:rsid w:val="008A6E89"/>
    <w:rsid w:val="008B6A14"/>
    <w:rsid w:val="008C3DE2"/>
    <w:rsid w:val="008C6C0F"/>
    <w:rsid w:val="008D290B"/>
    <w:rsid w:val="008D330E"/>
    <w:rsid w:val="008D5813"/>
    <w:rsid w:val="008E03F5"/>
    <w:rsid w:val="008E0AF8"/>
    <w:rsid w:val="008F4B5E"/>
    <w:rsid w:val="00930EFA"/>
    <w:rsid w:val="009349C8"/>
    <w:rsid w:val="009358DA"/>
    <w:rsid w:val="00950944"/>
    <w:rsid w:val="00956C55"/>
    <w:rsid w:val="00957DF6"/>
    <w:rsid w:val="00964346"/>
    <w:rsid w:val="009875FD"/>
    <w:rsid w:val="0099040D"/>
    <w:rsid w:val="009915F4"/>
    <w:rsid w:val="00992C26"/>
    <w:rsid w:val="009A239B"/>
    <w:rsid w:val="009B7873"/>
    <w:rsid w:val="009C3904"/>
    <w:rsid w:val="009D16F8"/>
    <w:rsid w:val="009D3B33"/>
    <w:rsid w:val="009D5942"/>
    <w:rsid w:val="009D64C0"/>
    <w:rsid w:val="009E2F0D"/>
    <w:rsid w:val="009E3D91"/>
    <w:rsid w:val="009E5270"/>
    <w:rsid w:val="009E7DD8"/>
    <w:rsid w:val="009F5C11"/>
    <w:rsid w:val="00A23204"/>
    <w:rsid w:val="00A26592"/>
    <w:rsid w:val="00A305E3"/>
    <w:rsid w:val="00A52DE4"/>
    <w:rsid w:val="00A52FA3"/>
    <w:rsid w:val="00A618DA"/>
    <w:rsid w:val="00A73F68"/>
    <w:rsid w:val="00A74F8F"/>
    <w:rsid w:val="00A75F26"/>
    <w:rsid w:val="00A84BF5"/>
    <w:rsid w:val="00AA1F5B"/>
    <w:rsid w:val="00AA2C26"/>
    <w:rsid w:val="00AA7254"/>
    <w:rsid w:val="00AC7539"/>
    <w:rsid w:val="00AF48F4"/>
    <w:rsid w:val="00B01BF9"/>
    <w:rsid w:val="00B11EA5"/>
    <w:rsid w:val="00B12032"/>
    <w:rsid w:val="00B149BE"/>
    <w:rsid w:val="00B14AD7"/>
    <w:rsid w:val="00B16595"/>
    <w:rsid w:val="00B16D6F"/>
    <w:rsid w:val="00B245B9"/>
    <w:rsid w:val="00B27B3B"/>
    <w:rsid w:val="00B33A4D"/>
    <w:rsid w:val="00B33E8A"/>
    <w:rsid w:val="00B5049A"/>
    <w:rsid w:val="00B5206F"/>
    <w:rsid w:val="00B54B3F"/>
    <w:rsid w:val="00B55BB3"/>
    <w:rsid w:val="00B60C73"/>
    <w:rsid w:val="00B63A4F"/>
    <w:rsid w:val="00B65D85"/>
    <w:rsid w:val="00B82000"/>
    <w:rsid w:val="00BB0113"/>
    <w:rsid w:val="00BC65DA"/>
    <w:rsid w:val="00BD2D57"/>
    <w:rsid w:val="00BD52A6"/>
    <w:rsid w:val="00BE44D7"/>
    <w:rsid w:val="00BE6766"/>
    <w:rsid w:val="00C00B06"/>
    <w:rsid w:val="00C059C1"/>
    <w:rsid w:val="00C2194E"/>
    <w:rsid w:val="00C23850"/>
    <w:rsid w:val="00C24E59"/>
    <w:rsid w:val="00C25515"/>
    <w:rsid w:val="00C256CD"/>
    <w:rsid w:val="00C270D1"/>
    <w:rsid w:val="00C31870"/>
    <w:rsid w:val="00C41E1B"/>
    <w:rsid w:val="00C461F4"/>
    <w:rsid w:val="00C530FC"/>
    <w:rsid w:val="00C56A71"/>
    <w:rsid w:val="00C61912"/>
    <w:rsid w:val="00C6756C"/>
    <w:rsid w:val="00C67912"/>
    <w:rsid w:val="00C72C32"/>
    <w:rsid w:val="00C904A1"/>
    <w:rsid w:val="00CA3A36"/>
    <w:rsid w:val="00CB00E3"/>
    <w:rsid w:val="00CB293B"/>
    <w:rsid w:val="00CB6597"/>
    <w:rsid w:val="00CB70D1"/>
    <w:rsid w:val="00CC7FA0"/>
    <w:rsid w:val="00CE6458"/>
    <w:rsid w:val="00CF6996"/>
    <w:rsid w:val="00D061CF"/>
    <w:rsid w:val="00D13A8E"/>
    <w:rsid w:val="00D23D40"/>
    <w:rsid w:val="00D270DD"/>
    <w:rsid w:val="00D34E0D"/>
    <w:rsid w:val="00D37EF8"/>
    <w:rsid w:val="00D40AE0"/>
    <w:rsid w:val="00D42798"/>
    <w:rsid w:val="00D433E4"/>
    <w:rsid w:val="00D45485"/>
    <w:rsid w:val="00D462EE"/>
    <w:rsid w:val="00D5252A"/>
    <w:rsid w:val="00D548DC"/>
    <w:rsid w:val="00D6228F"/>
    <w:rsid w:val="00D623BB"/>
    <w:rsid w:val="00D64698"/>
    <w:rsid w:val="00D64EC3"/>
    <w:rsid w:val="00D73E74"/>
    <w:rsid w:val="00D7579C"/>
    <w:rsid w:val="00D76386"/>
    <w:rsid w:val="00D8627E"/>
    <w:rsid w:val="00D95C49"/>
    <w:rsid w:val="00D967B7"/>
    <w:rsid w:val="00DA1EBA"/>
    <w:rsid w:val="00DA4932"/>
    <w:rsid w:val="00DB5A36"/>
    <w:rsid w:val="00DC11D3"/>
    <w:rsid w:val="00DC76E9"/>
    <w:rsid w:val="00DD0678"/>
    <w:rsid w:val="00DD44F9"/>
    <w:rsid w:val="00DD64AD"/>
    <w:rsid w:val="00DE16E1"/>
    <w:rsid w:val="00DE4E14"/>
    <w:rsid w:val="00DE5727"/>
    <w:rsid w:val="00DE732E"/>
    <w:rsid w:val="00E23065"/>
    <w:rsid w:val="00E23316"/>
    <w:rsid w:val="00E23FE8"/>
    <w:rsid w:val="00E31681"/>
    <w:rsid w:val="00E318E3"/>
    <w:rsid w:val="00E414CF"/>
    <w:rsid w:val="00E5032C"/>
    <w:rsid w:val="00E6223A"/>
    <w:rsid w:val="00E73C60"/>
    <w:rsid w:val="00E95C46"/>
    <w:rsid w:val="00EA5027"/>
    <w:rsid w:val="00EB2126"/>
    <w:rsid w:val="00EB27D5"/>
    <w:rsid w:val="00EB284D"/>
    <w:rsid w:val="00EB45D7"/>
    <w:rsid w:val="00EC12AA"/>
    <w:rsid w:val="00EC1A6C"/>
    <w:rsid w:val="00EE12FF"/>
    <w:rsid w:val="00EF0645"/>
    <w:rsid w:val="00F01B48"/>
    <w:rsid w:val="00F118E7"/>
    <w:rsid w:val="00F22869"/>
    <w:rsid w:val="00F23689"/>
    <w:rsid w:val="00F31754"/>
    <w:rsid w:val="00F329E6"/>
    <w:rsid w:val="00F43FEF"/>
    <w:rsid w:val="00F72012"/>
    <w:rsid w:val="00F749D6"/>
    <w:rsid w:val="00F80170"/>
    <w:rsid w:val="00F85821"/>
    <w:rsid w:val="00F87441"/>
    <w:rsid w:val="00F905EA"/>
    <w:rsid w:val="00F930B5"/>
    <w:rsid w:val="00F93E3E"/>
    <w:rsid w:val="00F94C91"/>
    <w:rsid w:val="00F96B95"/>
    <w:rsid w:val="00FA22C8"/>
    <w:rsid w:val="00FC1913"/>
    <w:rsid w:val="00FC7A70"/>
    <w:rsid w:val="00FE3D29"/>
    <w:rsid w:val="00FE6192"/>
    <w:rsid w:val="00FE619E"/>
    <w:rsid w:val="00FF0CA4"/>
    <w:rsid w:val="00FF1A70"/>
    <w:rsid w:val="00FF53D8"/>
    <w:rsid w:val="00FF5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70E7"/>
  <w15:docId w15:val="{452C50B6-4ED1-4999-BDDD-D89F2688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NormalChar"/>
    <w:rsid w:val="0036037E"/>
    <w:pPr>
      <w:widowControl w:val="0"/>
    </w:pPr>
  </w:style>
  <w:style w:type="paragraph" w:styleId="Heading1">
    <w:name w:val="heading 1"/>
    <w:basedOn w:val="Normal"/>
    <w:next w:val="Normal"/>
    <w:qFormat/>
    <w:rsid w:val="002A5356"/>
    <w:pPr>
      <w:keepNext/>
      <w:spacing w:before="240" w:after="60"/>
      <w:outlineLvl w:val="0"/>
    </w:pPr>
    <w:rPr>
      <w:rFonts w:ascii="Arial" w:hAnsi="Arial" w:cs="Arial"/>
      <w:b/>
      <w:bCs/>
      <w:kern w:val="32"/>
      <w:sz w:val="28"/>
      <w:szCs w:val="32"/>
      <w:u w:val="single"/>
    </w:rPr>
  </w:style>
  <w:style w:type="paragraph" w:styleId="Heading2">
    <w:name w:val="heading 2"/>
    <w:basedOn w:val="Normal"/>
    <w:next w:val="Normal"/>
    <w:qFormat/>
    <w:rsid w:val="009C3904"/>
    <w:pPr>
      <w:keepNext/>
      <w:spacing w:before="240" w:after="60"/>
      <w:outlineLvl w:val="1"/>
    </w:pPr>
    <w:rPr>
      <w:rFonts w:ascii="Arial" w:hAnsi="Arial"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2D5E14"/>
    <w:pPr>
      <w:shd w:val="clear" w:color="auto" w:fill="000080"/>
    </w:pPr>
    <w:rPr>
      <w:rFonts w:ascii="Tahoma" w:hAnsi="Tahoma" w:cs="Tahoma"/>
    </w:rPr>
  </w:style>
  <w:style w:type="paragraph" w:customStyle="1" w:styleId="Level1">
    <w:name w:val="Level 1"/>
    <w:basedOn w:val="Normal"/>
    <w:rsid w:val="0036037E"/>
  </w:style>
  <w:style w:type="character" w:customStyle="1" w:styleId="DefaultPara">
    <w:name w:val="Default Para"/>
    <w:rsid w:val="0036037E"/>
    <w:rPr>
      <w:sz w:val="24"/>
    </w:rPr>
  </w:style>
  <w:style w:type="character" w:customStyle="1" w:styleId="EndnoteText1">
    <w:name w:val="Endnote Text1"/>
    <w:rsid w:val="0036037E"/>
    <w:rPr>
      <w:rFonts w:ascii="Arial" w:hAnsi="Arial"/>
      <w:sz w:val="24"/>
    </w:rPr>
  </w:style>
  <w:style w:type="character" w:customStyle="1" w:styleId="endnoterefe">
    <w:name w:val="endnote refe"/>
    <w:rsid w:val="0036037E"/>
    <w:rPr>
      <w:sz w:val="24"/>
      <w:vertAlign w:val="superscript"/>
    </w:rPr>
  </w:style>
  <w:style w:type="character" w:customStyle="1" w:styleId="footnotetex">
    <w:name w:val="footnote tex"/>
    <w:rsid w:val="0036037E"/>
    <w:rPr>
      <w:rFonts w:ascii="Arial" w:hAnsi="Arial"/>
      <w:sz w:val="24"/>
    </w:rPr>
  </w:style>
  <w:style w:type="character" w:customStyle="1" w:styleId="footnoteref">
    <w:name w:val="footnote ref"/>
    <w:rsid w:val="0036037E"/>
    <w:rPr>
      <w:sz w:val="24"/>
      <w:vertAlign w:val="superscript"/>
    </w:rPr>
  </w:style>
  <w:style w:type="character" w:customStyle="1" w:styleId="Document8">
    <w:name w:val="Document 8"/>
    <w:rsid w:val="0036037E"/>
    <w:rPr>
      <w:sz w:val="24"/>
    </w:rPr>
  </w:style>
  <w:style w:type="character" w:customStyle="1" w:styleId="Document4">
    <w:name w:val="Document 4"/>
    <w:rsid w:val="0036037E"/>
    <w:rPr>
      <w:b/>
      <w:i/>
      <w:sz w:val="20"/>
    </w:rPr>
  </w:style>
  <w:style w:type="character" w:customStyle="1" w:styleId="Document6">
    <w:name w:val="Document 6"/>
    <w:rsid w:val="0036037E"/>
    <w:rPr>
      <w:sz w:val="24"/>
    </w:rPr>
  </w:style>
  <w:style w:type="character" w:customStyle="1" w:styleId="Document5">
    <w:name w:val="Document 5"/>
    <w:rsid w:val="0036037E"/>
    <w:rPr>
      <w:sz w:val="24"/>
    </w:rPr>
  </w:style>
  <w:style w:type="character" w:customStyle="1" w:styleId="Document2">
    <w:name w:val="Document 2"/>
    <w:rsid w:val="0036037E"/>
  </w:style>
  <w:style w:type="character" w:customStyle="1" w:styleId="Document7">
    <w:name w:val="Document 7"/>
    <w:rsid w:val="0036037E"/>
    <w:rPr>
      <w:sz w:val="24"/>
    </w:rPr>
  </w:style>
  <w:style w:type="character" w:customStyle="1" w:styleId="Bibliogrphy">
    <w:name w:val="Bibliogrphy"/>
    <w:rsid w:val="0036037E"/>
    <w:rPr>
      <w:sz w:val="24"/>
    </w:rPr>
  </w:style>
  <w:style w:type="character" w:customStyle="1" w:styleId="RightPar1">
    <w:name w:val="Right Par 1"/>
    <w:rsid w:val="0036037E"/>
    <w:rPr>
      <w:sz w:val="24"/>
    </w:rPr>
  </w:style>
  <w:style w:type="character" w:customStyle="1" w:styleId="RightPar2">
    <w:name w:val="Right Par 2"/>
    <w:rsid w:val="0036037E"/>
    <w:rPr>
      <w:sz w:val="24"/>
    </w:rPr>
  </w:style>
  <w:style w:type="character" w:customStyle="1" w:styleId="Document3">
    <w:name w:val="Document 3"/>
    <w:rsid w:val="0036037E"/>
  </w:style>
  <w:style w:type="character" w:customStyle="1" w:styleId="RightPar3">
    <w:name w:val="Right Par 3"/>
    <w:rsid w:val="0036037E"/>
    <w:rPr>
      <w:sz w:val="24"/>
    </w:rPr>
  </w:style>
  <w:style w:type="character" w:customStyle="1" w:styleId="RightPar4">
    <w:name w:val="Right Par 4"/>
    <w:rsid w:val="0036037E"/>
    <w:rPr>
      <w:sz w:val="24"/>
    </w:rPr>
  </w:style>
  <w:style w:type="character" w:customStyle="1" w:styleId="RightPar5">
    <w:name w:val="Right Par 5"/>
    <w:rsid w:val="0036037E"/>
    <w:rPr>
      <w:sz w:val="24"/>
    </w:rPr>
  </w:style>
  <w:style w:type="character" w:customStyle="1" w:styleId="RightPar6">
    <w:name w:val="Right Par 6"/>
    <w:rsid w:val="0036037E"/>
    <w:rPr>
      <w:sz w:val="24"/>
    </w:rPr>
  </w:style>
  <w:style w:type="character" w:customStyle="1" w:styleId="RightPar7">
    <w:name w:val="Right Par 7"/>
    <w:rsid w:val="0036037E"/>
    <w:rPr>
      <w:sz w:val="24"/>
    </w:rPr>
  </w:style>
  <w:style w:type="character" w:customStyle="1" w:styleId="RightPar8">
    <w:name w:val="Right Par 8"/>
    <w:rsid w:val="0036037E"/>
    <w:rPr>
      <w:sz w:val="24"/>
    </w:rPr>
  </w:style>
  <w:style w:type="character" w:customStyle="1" w:styleId="Document1">
    <w:name w:val="Document 1"/>
    <w:rsid w:val="0036037E"/>
  </w:style>
  <w:style w:type="character" w:customStyle="1" w:styleId="DocInit">
    <w:name w:val="Doc Init"/>
    <w:rsid w:val="0036037E"/>
    <w:rPr>
      <w:sz w:val="24"/>
    </w:rPr>
  </w:style>
  <w:style w:type="character" w:customStyle="1" w:styleId="TechInit">
    <w:name w:val="Tech Init"/>
    <w:rsid w:val="0036037E"/>
  </w:style>
  <w:style w:type="character" w:customStyle="1" w:styleId="Technical5">
    <w:name w:val="Technical 5"/>
    <w:rsid w:val="0036037E"/>
    <w:rPr>
      <w:sz w:val="24"/>
    </w:rPr>
  </w:style>
  <w:style w:type="character" w:customStyle="1" w:styleId="Technical6">
    <w:name w:val="Technical 6"/>
    <w:rsid w:val="0036037E"/>
    <w:rPr>
      <w:sz w:val="24"/>
    </w:rPr>
  </w:style>
  <w:style w:type="character" w:customStyle="1" w:styleId="Technical2">
    <w:name w:val="Technical 2"/>
    <w:rsid w:val="0036037E"/>
  </w:style>
  <w:style w:type="character" w:customStyle="1" w:styleId="Technical3">
    <w:name w:val="Technical 3"/>
    <w:rsid w:val="0036037E"/>
  </w:style>
  <w:style w:type="character" w:customStyle="1" w:styleId="Technical4">
    <w:name w:val="Technical 4"/>
    <w:rsid w:val="0036037E"/>
    <w:rPr>
      <w:sz w:val="24"/>
    </w:rPr>
  </w:style>
  <w:style w:type="character" w:customStyle="1" w:styleId="Technical1">
    <w:name w:val="Technical 1"/>
    <w:rsid w:val="0036037E"/>
  </w:style>
  <w:style w:type="character" w:customStyle="1" w:styleId="Technical7">
    <w:name w:val="Technical 7"/>
    <w:rsid w:val="0036037E"/>
    <w:rPr>
      <w:sz w:val="24"/>
    </w:rPr>
  </w:style>
  <w:style w:type="character" w:customStyle="1" w:styleId="Technical8">
    <w:name w:val="Technical 8"/>
    <w:rsid w:val="0036037E"/>
    <w:rPr>
      <w:sz w:val="24"/>
    </w:rPr>
  </w:style>
  <w:style w:type="character" w:customStyle="1" w:styleId="TOC11">
    <w:name w:val="TOC 11"/>
    <w:rsid w:val="0036037E"/>
  </w:style>
  <w:style w:type="character" w:customStyle="1" w:styleId="TOC21">
    <w:name w:val="TOC 21"/>
    <w:rsid w:val="0036037E"/>
  </w:style>
  <w:style w:type="character" w:customStyle="1" w:styleId="TOC31">
    <w:name w:val="TOC 31"/>
    <w:rsid w:val="0036037E"/>
  </w:style>
  <w:style w:type="character" w:customStyle="1" w:styleId="TOC41">
    <w:name w:val="TOC 41"/>
    <w:rsid w:val="0036037E"/>
  </w:style>
  <w:style w:type="character" w:customStyle="1" w:styleId="TOC51">
    <w:name w:val="TOC 51"/>
    <w:rsid w:val="0036037E"/>
  </w:style>
  <w:style w:type="character" w:customStyle="1" w:styleId="TOC61">
    <w:name w:val="TOC 61"/>
    <w:rsid w:val="0036037E"/>
  </w:style>
  <w:style w:type="character" w:customStyle="1" w:styleId="TOC71">
    <w:name w:val="TOC 71"/>
    <w:rsid w:val="0036037E"/>
  </w:style>
  <w:style w:type="character" w:customStyle="1" w:styleId="TOC81">
    <w:name w:val="TOC 81"/>
    <w:rsid w:val="0036037E"/>
  </w:style>
  <w:style w:type="character" w:customStyle="1" w:styleId="TOC91">
    <w:name w:val="TOC 91"/>
    <w:rsid w:val="0036037E"/>
  </w:style>
  <w:style w:type="character" w:customStyle="1" w:styleId="Index11">
    <w:name w:val="Index 11"/>
    <w:rsid w:val="0036037E"/>
  </w:style>
  <w:style w:type="character" w:customStyle="1" w:styleId="Index21">
    <w:name w:val="Index 21"/>
    <w:rsid w:val="0036037E"/>
  </w:style>
  <w:style w:type="character" w:customStyle="1" w:styleId="TOAHeading1">
    <w:name w:val="TOA Heading1"/>
    <w:rsid w:val="0036037E"/>
  </w:style>
  <w:style w:type="character" w:customStyle="1" w:styleId="Caption1">
    <w:name w:val="Caption1"/>
    <w:rsid w:val="0036037E"/>
    <w:rPr>
      <w:rFonts w:ascii="Arial" w:hAnsi="Arial"/>
      <w:sz w:val="24"/>
    </w:rPr>
  </w:style>
  <w:style w:type="character" w:customStyle="1" w:styleId="EquationCa">
    <w:name w:val="_Equation Ca"/>
    <w:rsid w:val="0036037E"/>
    <w:rPr>
      <w:sz w:val="24"/>
    </w:rPr>
  </w:style>
  <w:style w:type="character" w:customStyle="1" w:styleId="Header1">
    <w:name w:val="Header1"/>
    <w:rsid w:val="0036037E"/>
  </w:style>
  <w:style w:type="character" w:customStyle="1" w:styleId="Footer1">
    <w:name w:val="Footer1"/>
    <w:rsid w:val="0036037E"/>
  </w:style>
  <w:style w:type="paragraph" w:customStyle="1" w:styleId="DefinitionT">
    <w:name w:val="Definition T"/>
    <w:basedOn w:val="Normal"/>
    <w:rsid w:val="0036037E"/>
  </w:style>
  <w:style w:type="paragraph" w:customStyle="1" w:styleId="DefinitionL">
    <w:name w:val="Definition L"/>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36037E"/>
    <w:rPr>
      <w:i/>
    </w:rPr>
  </w:style>
  <w:style w:type="paragraph" w:customStyle="1" w:styleId="H1">
    <w:name w:val="H1"/>
    <w:basedOn w:val="Normal"/>
    <w:rsid w:val="0036037E"/>
    <w:rPr>
      <w:b/>
      <w:sz w:val="48"/>
    </w:rPr>
  </w:style>
  <w:style w:type="paragraph" w:customStyle="1" w:styleId="H2">
    <w:name w:val="H2"/>
    <w:basedOn w:val="Normal"/>
    <w:rsid w:val="0036037E"/>
    <w:rPr>
      <w:b/>
      <w:sz w:val="36"/>
    </w:rPr>
  </w:style>
  <w:style w:type="paragraph" w:customStyle="1" w:styleId="H3">
    <w:name w:val="H3"/>
    <w:basedOn w:val="Normal"/>
    <w:rsid w:val="0036037E"/>
    <w:rPr>
      <w:b/>
      <w:sz w:val="28"/>
    </w:rPr>
  </w:style>
  <w:style w:type="paragraph" w:customStyle="1" w:styleId="H4">
    <w:name w:val="H4"/>
    <w:basedOn w:val="Normal"/>
    <w:rsid w:val="0036037E"/>
    <w:rPr>
      <w:b/>
    </w:rPr>
  </w:style>
  <w:style w:type="paragraph" w:customStyle="1" w:styleId="H5">
    <w:name w:val="H5"/>
    <w:basedOn w:val="Normal"/>
    <w:rsid w:val="0036037E"/>
    <w:rPr>
      <w:b/>
    </w:rPr>
  </w:style>
  <w:style w:type="paragraph" w:customStyle="1" w:styleId="H6">
    <w:name w:val="H6"/>
    <w:basedOn w:val="Normal"/>
    <w:rsid w:val="0036037E"/>
    <w:rPr>
      <w:b/>
      <w:sz w:val="16"/>
    </w:rPr>
  </w:style>
  <w:style w:type="paragraph" w:customStyle="1" w:styleId="Address">
    <w:name w:val="Address"/>
    <w:basedOn w:val="Normal"/>
    <w:rsid w:val="0036037E"/>
    <w:rPr>
      <w:i/>
    </w:rPr>
  </w:style>
  <w:style w:type="paragraph" w:customStyle="1" w:styleId="Blockquote">
    <w:name w:val="Blockquote"/>
    <w:basedOn w:val="Normal"/>
    <w:rsid w:val="0036037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36037E"/>
    <w:rPr>
      <w:i/>
    </w:rPr>
  </w:style>
  <w:style w:type="character" w:customStyle="1" w:styleId="CODE">
    <w:name w:val="CODE"/>
    <w:rsid w:val="0036037E"/>
    <w:rPr>
      <w:rFonts w:ascii="Courier New" w:hAnsi="Courier New"/>
      <w:sz w:val="20"/>
    </w:rPr>
  </w:style>
  <w:style w:type="character" w:customStyle="1" w:styleId="WP9Emphasis">
    <w:name w:val="WP9_Emphasis"/>
    <w:rsid w:val="0036037E"/>
    <w:rPr>
      <w:i/>
    </w:rPr>
  </w:style>
  <w:style w:type="character" w:customStyle="1" w:styleId="WP9Hyperlink">
    <w:name w:val="WP9_Hyperlink"/>
    <w:rsid w:val="0036037E"/>
    <w:rPr>
      <w:color w:val="0000FF"/>
      <w:u w:val="single"/>
    </w:rPr>
  </w:style>
  <w:style w:type="character" w:customStyle="1" w:styleId="FollowedHype">
    <w:name w:val="FollowedHype"/>
    <w:rsid w:val="0036037E"/>
    <w:rPr>
      <w:color w:val="800080"/>
      <w:u w:val="single"/>
    </w:rPr>
  </w:style>
  <w:style w:type="character" w:customStyle="1" w:styleId="Keyboard">
    <w:name w:val="Keyboard"/>
    <w:rsid w:val="0036037E"/>
    <w:rPr>
      <w:rFonts w:ascii="Courier New" w:hAnsi="Courier New"/>
      <w:b/>
      <w:sz w:val="20"/>
    </w:rPr>
  </w:style>
  <w:style w:type="paragraph" w:customStyle="1" w:styleId="Preformatted">
    <w:name w:val="Preformatted"/>
    <w:basedOn w:val="Normal"/>
    <w:rsid w:val="0036037E"/>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36037E"/>
    <w:pPr>
      <w:pBdr>
        <w:top w:val="double" w:sz="5" w:space="2" w:color="000000"/>
      </w:pBdr>
      <w:shd w:val="pct50" w:color="000000" w:fill="0000FF"/>
      <w:jc w:val="center"/>
    </w:pPr>
    <w:rPr>
      <w:rFonts w:ascii="Arial" w:hAnsi="Arial"/>
      <w:vanish/>
      <w:color w:val="000080"/>
      <w:sz w:val="16"/>
    </w:rPr>
  </w:style>
  <w:style w:type="paragraph" w:customStyle="1" w:styleId="zTopofFor">
    <w:name w:val="zTop of For"/>
    <w:basedOn w:val="Normal"/>
    <w:rsid w:val="0036037E"/>
    <w:pPr>
      <w:pBdr>
        <w:bottom w:val="double" w:sz="5" w:space="2" w:color="000000"/>
      </w:pBdr>
      <w:shd w:val="pct50" w:color="000000" w:fill="0000FF"/>
      <w:jc w:val="center"/>
    </w:pPr>
    <w:rPr>
      <w:rFonts w:ascii="Arial" w:hAnsi="Arial"/>
      <w:vanish/>
      <w:color w:val="000080"/>
      <w:sz w:val="16"/>
    </w:rPr>
  </w:style>
  <w:style w:type="character" w:customStyle="1" w:styleId="Sample">
    <w:name w:val="Sample"/>
    <w:rsid w:val="0036037E"/>
    <w:rPr>
      <w:rFonts w:ascii="Courier New" w:hAnsi="Courier New"/>
    </w:rPr>
  </w:style>
  <w:style w:type="character" w:customStyle="1" w:styleId="WP9Strong">
    <w:name w:val="WP9_Strong"/>
    <w:rsid w:val="0036037E"/>
    <w:rPr>
      <w:b/>
    </w:rPr>
  </w:style>
  <w:style w:type="character" w:customStyle="1" w:styleId="Typewriter">
    <w:name w:val="Typewriter"/>
    <w:rsid w:val="0036037E"/>
    <w:rPr>
      <w:rFonts w:ascii="Courier New" w:hAnsi="Courier New"/>
      <w:sz w:val="20"/>
    </w:rPr>
  </w:style>
  <w:style w:type="character" w:customStyle="1" w:styleId="Variable">
    <w:name w:val="Variable"/>
    <w:rsid w:val="0036037E"/>
    <w:rPr>
      <w:i/>
    </w:rPr>
  </w:style>
  <w:style w:type="character" w:customStyle="1" w:styleId="HTMLMarkup">
    <w:name w:val="HTML Markup"/>
    <w:rsid w:val="0036037E"/>
    <w:rPr>
      <w:vanish/>
      <w:color w:val="FF0000"/>
    </w:rPr>
  </w:style>
  <w:style w:type="character" w:customStyle="1" w:styleId="Comment">
    <w:name w:val="Comment"/>
    <w:rsid w:val="0036037E"/>
    <w:rPr>
      <w:vanish/>
    </w:rPr>
  </w:style>
  <w:style w:type="paragraph" w:styleId="TOC1">
    <w:name w:val="toc 1"/>
    <w:basedOn w:val="Normal"/>
    <w:next w:val="Normal"/>
    <w:autoRedefine/>
    <w:semiHidden/>
    <w:rsid w:val="002A5356"/>
    <w:pPr>
      <w:spacing w:before="360"/>
    </w:pPr>
    <w:rPr>
      <w:rFonts w:ascii="Arial" w:hAnsi="Arial" w:cs="Arial"/>
      <w:b/>
      <w:bCs/>
      <w:caps/>
      <w:szCs w:val="24"/>
    </w:rPr>
  </w:style>
  <w:style w:type="paragraph" w:styleId="TOC2">
    <w:name w:val="toc 2"/>
    <w:basedOn w:val="Normal"/>
    <w:next w:val="Normal"/>
    <w:autoRedefine/>
    <w:semiHidden/>
    <w:rsid w:val="002A5356"/>
    <w:pPr>
      <w:spacing w:before="240"/>
    </w:pPr>
    <w:rPr>
      <w:b/>
      <w:bCs/>
    </w:rPr>
  </w:style>
  <w:style w:type="paragraph" w:styleId="TOC3">
    <w:name w:val="toc 3"/>
    <w:basedOn w:val="Normal"/>
    <w:next w:val="Normal"/>
    <w:autoRedefine/>
    <w:semiHidden/>
    <w:rsid w:val="002A5356"/>
    <w:pPr>
      <w:ind w:left="240"/>
    </w:pPr>
  </w:style>
  <w:style w:type="paragraph" w:styleId="TOC4">
    <w:name w:val="toc 4"/>
    <w:basedOn w:val="Normal"/>
    <w:next w:val="Normal"/>
    <w:autoRedefine/>
    <w:semiHidden/>
    <w:rsid w:val="002A5356"/>
    <w:pPr>
      <w:ind w:left="480"/>
    </w:pPr>
  </w:style>
  <w:style w:type="paragraph" w:styleId="TOC5">
    <w:name w:val="toc 5"/>
    <w:basedOn w:val="Normal"/>
    <w:next w:val="Normal"/>
    <w:autoRedefine/>
    <w:semiHidden/>
    <w:rsid w:val="002A5356"/>
    <w:pPr>
      <w:ind w:left="720"/>
    </w:pPr>
  </w:style>
  <w:style w:type="paragraph" w:styleId="TOC6">
    <w:name w:val="toc 6"/>
    <w:basedOn w:val="Normal"/>
    <w:next w:val="Normal"/>
    <w:autoRedefine/>
    <w:semiHidden/>
    <w:rsid w:val="002A5356"/>
    <w:pPr>
      <w:ind w:left="960"/>
    </w:pPr>
  </w:style>
  <w:style w:type="paragraph" w:styleId="TOC7">
    <w:name w:val="toc 7"/>
    <w:basedOn w:val="Normal"/>
    <w:next w:val="Normal"/>
    <w:autoRedefine/>
    <w:semiHidden/>
    <w:rsid w:val="002A5356"/>
    <w:pPr>
      <w:ind w:left="1200"/>
    </w:pPr>
  </w:style>
  <w:style w:type="paragraph" w:styleId="TOC8">
    <w:name w:val="toc 8"/>
    <w:basedOn w:val="Normal"/>
    <w:next w:val="Normal"/>
    <w:autoRedefine/>
    <w:semiHidden/>
    <w:rsid w:val="002A5356"/>
    <w:pPr>
      <w:ind w:left="1440"/>
    </w:pPr>
  </w:style>
  <w:style w:type="paragraph" w:styleId="TOC9">
    <w:name w:val="toc 9"/>
    <w:basedOn w:val="Normal"/>
    <w:next w:val="Normal"/>
    <w:autoRedefine/>
    <w:semiHidden/>
    <w:rsid w:val="002A5356"/>
    <w:pPr>
      <w:ind w:left="1680"/>
    </w:pPr>
  </w:style>
  <w:style w:type="character" w:styleId="Hyperlink">
    <w:name w:val="Hyperlink"/>
    <w:basedOn w:val="DefaultParagraphFont"/>
    <w:rsid w:val="002A5356"/>
    <w:rPr>
      <w:color w:val="0000FF"/>
      <w:u w:val="single"/>
    </w:rPr>
  </w:style>
  <w:style w:type="paragraph" w:styleId="Footer">
    <w:name w:val="footer"/>
    <w:basedOn w:val="Normal"/>
    <w:rsid w:val="002A5356"/>
    <w:pPr>
      <w:tabs>
        <w:tab w:val="center" w:pos="4320"/>
        <w:tab w:val="right" w:pos="8640"/>
      </w:tabs>
    </w:pPr>
  </w:style>
  <w:style w:type="character" w:styleId="PageNumber">
    <w:name w:val="page number"/>
    <w:basedOn w:val="DefaultParagraphFont"/>
    <w:rsid w:val="002A5356"/>
  </w:style>
  <w:style w:type="character" w:customStyle="1" w:styleId="NormalChar">
    <w:name w:val="Normal Char"/>
    <w:basedOn w:val="DefaultParagraphFont"/>
    <w:rsid w:val="000A01EA"/>
    <w:rPr>
      <w:lang w:val="en-US" w:eastAsia="en-US" w:bidi="ar-SA"/>
    </w:rPr>
  </w:style>
  <w:style w:type="paragraph" w:styleId="BodyText">
    <w:name w:val="Body Text"/>
    <w:basedOn w:val="Normal"/>
    <w:rsid w:val="00146725"/>
    <w:rPr>
      <w:snapToGrid w:val="0"/>
      <w:color w:val="000000"/>
    </w:rPr>
  </w:style>
  <w:style w:type="table" w:styleId="TableList3">
    <w:name w:val="Table List 3"/>
    <w:basedOn w:val="TableNormal"/>
    <w:rsid w:val="009A23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basedOn w:val="Normal"/>
    <w:semiHidden/>
    <w:rsid w:val="000154FC"/>
  </w:style>
  <w:style w:type="character" w:styleId="FootnoteReference">
    <w:name w:val="footnote reference"/>
    <w:basedOn w:val="DefaultParagraphFont"/>
    <w:semiHidden/>
    <w:rsid w:val="000154FC"/>
    <w:rPr>
      <w:vertAlign w:val="superscript"/>
    </w:rPr>
  </w:style>
  <w:style w:type="paragraph" w:styleId="ListParagraph">
    <w:name w:val="List Paragraph"/>
    <w:basedOn w:val="Normal"/>
    <w:uiPriority w:val="34"/>
    <w:qFormat/>
    <w:rsid w:val="00A75F26"/>
    <w:pPr>
      <w:ind w:left="720"/>
    </w:pPr>
  </w:style>
  <w:style w:type="paragraph" w:styleId="BalloonText">
    <w:name w:val="Balloon Text"/>
    <w:basedOn w:val="Normal"/>
    <w:link w:val="BalloonTextChar"/>
    <w:rsid w:val="00136907"/>
    <w:rPr>
      <w:rFonts w:ascii="Tahoma" w:hAnsi="Tahoma" w:cs="Tahoma"/>
      <w:sz w:val="16"/>
      <w:szCs w:val="16"/>
    </w:rPr>
  </w:style>
  <w:style w:type="character" w:customStyle="1" w:styleId="BalloonTextChar">
    <w:name w:val="Balloon Text Char"/>
    <w:basedOn w:val="DefaultParagraphFont"/>
    <w:link w:val="BalloonText"/>
    <w:rsid w:val="00136907"/>
    <w:rPr>
      <w:rFonts w:ascii="Tahoma" w:hAnsi="Tahoma" w:cs="Tahoma"/>
      <w:sz w:val="16"/>
      <w:szCs w:val="16"/>
    </w:rPr>
  </w:style>
  <w:style w:type="character" w:styleId="CommentReference">
    <w:name w:val="annotation reference"/>
    <w:basedOn w:val="DefaultParagraphFont"/>
    <w:rsid w:val="00136907"/>
    <w:rPr>
      <w:sz w:val="16"/>
      <w:szCs w:val="16"/>
    </w:rPr>
  </w:style>
  <w:style w:type="paragraph" w:styleId="CommentText">
    <w:name w:val="annotation text"/>
    <w:basedOn w:val="Normal"/>
    <w:link w:val="CommentTextChar"/>
    <w:rsid w:val="00136907"/>
  </w:style>
  <w:style w:type="character" w:customStyle="1" w:styleId="CommentTextChar">
    <w:name w:val="Comment Text Char"/>
    <w:basedOn w:val="DefaultParagraphFont"/>
    <w:link w:val="CommentText"/>
    <w:rsid w:val="00136907"/>
  </w:style>
  <w:style w:type="paragraph" w:styleId="CommentSubject">
    <w:name w:val="annotation subject"/>
    <w:basedOn w:val="CommentText"/>
    <w:next w:val="CommentText"/>
    <w:link w:val="CommentSubjectChar"/>
    <w:rsid w:val="00136907"/>
    <w:rPr>
      <w:b/>
      <w:bCs/>
    </w:rPr>
  </w:style>
  <w:style w:type="character" w:customStyle="1" w:styleId="CommentSubjectChar">
    <w:name w:val="Comment Subject Char"/>
    <w:basedOn w:val="CommentTextChar"/>
    <w:link w:val="CommentSubject"/>
    <w:rsid w:val="00136907"/>
    <w:rPr>
      <w:b/>
      <w:bCs/>
    </w:rPr>
  </w:style>
  <w:style w:type="table" w:styleId="TableGrid">
    <w:name w:val="Table Grid"/>
    <w:basedOn w:val="TableNormal"/>
    <w:uiPriority w:val="39"/>
    <w:rsid w:val="003177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301480">
      <w:bodyDiv w:val="1"/>
      <w:marLeft w:val="0"/>
      <w:marRight w:val="0"/>
      <w:marTop w:val="0"/>
      <w:marBottom w:val="0"/>
      <w:divBdr>
        <w:top w:val="none" w:sz="0" w:space="0" w:color="auto"/>
        <w:left w:val="none" w:sz="0" w:space="0" w:color="auto"/>
        <w:bottom w:val="none" w:sz="0" w:space="0" w:color="auto"/>
        <w:right w:val="none" w:sz="0" w:space="0" w:color="auto"/>
      </w:divBdr>
    </w:div>
    <w:div w:id="1484739520">
      <w:bodyDiv w:val="1"/>
      <w:marLeft w:val="0"/>
      <w:marRight w:val="0"/>
      <w:marTop w:val="0"/>
      <w:marBottom w:val="0"/>
      <w:divBdr>
        <w:top w:val="none" w:sz="0" w:space="0" w:color="auto"/>
        <w:left w:val="none" w:sz="0" w:space="0" w:color="auto"/>
        <w:bottom w:val="none" w:sz="0" w:space="0" w:color="auto"/>
        <w:right w:val="none" w:sz="0" w:space="0" w:color="auto"/>
      </w:divBdr>
    </w:div>
    <w:div w:id="1830054258">
      <w:bodyDiv w:val="1"/>
      <w:marLeft w:val="0"/>
      <w:marRight w:val="0"/>
      <w:marTop w:val="0"/>
      <w:marBottom w:val="0"/>
      <w:divBdr>
        <w:top w:val="none" w:sz="0" w:space="0" w:color="auto"/>
        <w:left w:val="none" w:sz="0" w:space="0" w:color="auto"/>
        <w:bottom w:val="none" w:sz="0" w:space="0" w:color="auto"/>
        <w:right w:val="none" w:sz="0" w:space="0" w:color="auto"/>
      </w:divBdr>
    </w:div>
    <w:div w:id="19110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6797-49D7-4B3E-8FB9-44DE9301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5204</Words>
  <Characters>30286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EERGC</Company>
  <LinksUpToDate>false</LinksUpToDate>
  <CharactersWithSpaces>35420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Vyas, Peggy</cp:lastModifiedBy>
  <cp:revision>5</cp:revision>
  <cp:lastPrinted>2017-12-06T15:40:00Z</cp:lastPrinted>
  <dcterms:created xsi:type="dcterms:W3CDTF">2021-12-13T16:20:00Z</dcterms:created>
  <dcterms:modified xsi:type="dcterms:W3CDTF">2021-12-20T22:06:00Z</dcterms:modified>
</cp:coreProperties>
</file>