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7E6F" w:rsidR="00D80727" w:rsidP="000C0ED7" w:rsidRDefault="00FA36F1" w14:paraId="748B8C36" w14:textId="77777777">
      <w:pPr>
        <w:pStyle w:val="Title"/>
      </w:pPr>
      <w:r w:rsidRPr="00AD7E6F">
        <w:t>SUPPORTING STATEMENT</w:t>
      </w:r>
    </w:p>
    <w:p w:rsidRPr="008C053B" w:rsidR="00FA36F1" w:rsidP="000C0ED7" w:rsidRDefault="00FA36F1" w14:paraId="288EF10D" w14:textId="58D46712">
      <w:pPr>
        <w:pStyle w:val="Title"/>
      </w:pPr>
      <w:r w:rsidRPr="00AD7E6F">
        <w:t xml:space="preserve">Information Collection Request (ICR) for </w:t>
      </w:r>
      <w:r w:rsidRPr="00AD7E6F" w:rsidR="001A65EF">
        <w:t>the Lead and Copper Rule Revisions (</w:t>
      </w:r>
      <w:r w:rsidR="00C018A3">
        <w:t>LCRR</w:t>
      </w:r>
      <w:r w:rsidRPr="00AD7E6F" w:rsidR="001A65EF">
        <w:t>)</w:t>
      </w:r>
    </w:p>
    <w:p w:rsidR="00FA36F1" w:rsidP="006770D4" w:rsidRDefault="00FA36F1" w14:paraId="0EC235E6" w14:textId="77777777"/>
    <w:p w:rsidRPr="00AD7E6F" w:rsidR="00D96FE1" w:rsidP="000C0ED7" w:rsidRDefault="00D96FE1" w14:paraId="4B9A788B" w14:textId="77777777">
      <w:pPr>
        <w:pStyle w:val="Heading1"/>
      </w:pPr>
      <w:bookmarkStart w:name="_Toc160872046" w:id="0"/>
      <w:bookmarkStart w:name="_Ref4506932" w:id="1"/>
      <w:bookmarkStart w:name="_Ref4506941" w:id="2"/>
      <w:r w:rsidRPr="00AD7E6F">
        <w:t xml:space="preserve">1 </w:t>
      </w:r>
      <w:r w:rsidRPr="00AD7E6F" w:rsidR="009D42EE">
        <w:tab/>
      </w:r>
      <w:r w:rsidRPr="00AD7E6F">
        <w:t>IDENTIFICATION OF THE INFORMATION COLLECTION</w:t>
      </w:r>
      <w:bookmarkEnd w:id="0"/>
      <w:bookmarkEnd w:id="1"/>
      <w:bookmarkEnd w:id="2"/>
    </w:p>
    <w:p w:rsidRPr="008C053B" w:rsidR="00D96FE1" w:rsidP="000C0ED7" w:rsidRDefault="00D96FE1" w14:paraId="000F4AFC" w14:textId="77777777">
      <w:pPr>
        <w:pStyle w:val="Heading2"/>
      </w:pPr>
      <w:bookmarkStart w:name="_Toc160872047" w:id="3"/>
      <w:r w:rsidRPr="00AD7E6F">
        <w:t xml:space="preserve">1(a) </w:t>
      </w:r>
      <w:r w:rsidRPr="00AD7E6F" w:rsidR="009D42EE">
        <w:tab/>
      </w:r>
      <w:r w:rsidRPr="00AD7E6F" w:rsidR="00FA36F1">
        <w:t>Title a</w:t>
      </w:r>
      <w:r w:rsidRPr="00AD7E6F">
        <w:t>nd Nu</w:t>
      </w:r>
      <w:r w:rsidRPr="00AD7E6F" w:rsidR="00BE682D">
        <w:t>mber of t</w:t>
      </w:r>
      <w:r w:rsidRPr="008C053B">
        <w:t>he Information Collection</w:t>
      </w:r>
      <w:bookmarkEnd w:id="3"/>
    </w:p>
    <w:p w:rsidR="00D96FE1" w:rsidP="00D96FE1" w:rsidRDefault="00D96FE1" w14:paraId="65BC5AE5" w14:textId="67830BD5">
      <w:pPr>
        <w:autoSpaceDE w:val="0"/>
        <w:autoSpaceDN w:val="0"/>
        <w:adjustRightInd w:val="0"/>
        <w:rPr>
          <w:bCs/>
        </w:rPr>
      </w:pPr>
      <w:r w:rsidRPr="00423550">
        <w:rPr>
          <w:b/>
          <w:bCs/>
        </w:rPr>
        <w:t>TITLE</w:t>
      </w:r>
      <w:r w:rsidRPr="00423550">
        <w:rPr>
          <w:bCs/>
        </w:rPr>
        <w:t xml:space="preserve">: </w:t>
      </w:r>
      <w:r w:rsidRPr="00871D24" w:rsidR="00871D24">
        <w:rPr>
          <w:bCs/>
        </w:rPr>
        <w:t>Info</w:t>
      </w:r>
      <w:r w:rsidR="00871D24">
        <w:rPr>
          <w:bCs/>
        </w:rPr>
        <w:t>rmation Collection Request</w:t>
      </w:r>
      <w:r w:rsidRPr="00871D24" w:rsidR="00871D24">
        <w:rPr>
          <w:bCs/>
        </w:rPr>
        <w:t xml:space="preserve"> for </w:t>
      </w:r>
      <w:r w:rsidR="001A65EF">
        <w:rPr>
          <w:bCs/>
        </w:rPr>
        <w:t>Lead and Copper Rule Revisions</w:t>
      </w:r>
      <w:r w:rsidRPr="00423550" w:rsidR="009D42EE">
        <w:rPr>
          <w:bCs/>
        </w:rPr>
        <w:t xml:space="preserve"> </w:t>
      </w:r>
      <w:r w:rsidR="0034332A">
        <w:rPr>
          <w:bCs/>
        </w:rPr>
        <w:t>(</w:t>
      </w:r>
      <w:r w:rsidR="00C018A3">
        <w:rPr>
          <w:bCs/>
        </w:rPr>
        <w:t>LCRR</w:t>
      </w:r>
      <w:r w:rsidR="0034332A">
        <w:rPr>
          <w:bCs/>
        </w:rPr>
        <w:t>)</w:t>
      </w:r>
    </w:p>
    <w:p w:rsidRPr="00423550" w:rsidR="00871D24" w:rsidP="00D96FE1" w:rsidRDefault="00871D24" w14:paraId="05F7E9A0" w14:textId="77777777">
      <w:pPr>
        <w:autoSpaceDE w:val="0"/>
        <w:autoSpaceDN w:val="0"/>
        <w:adjustRightInd w:val="0"/>
        <w:rPr>
          <w:bCs/>
        </w:rPr>
      </w:pPr>
    </w:p>
    <w:p w:rsidR="00BE682D" w:rsidP="00D96FE1" w:rsidRDefault="00D96FE1" w14:paraId="12CA457E" w14:textId="1B61B365">
      <w:pPr>
        <w:autoSpaceDE w:val="0"/>
        <w:autoSpaceDN w:val="0"/>
        <w:adjustRightInd w:val="0"/>
        <w:rPr>
          <w:b/>
          <w:bCs/>
        </w:rPr>
      </w:pPr>
      <w:r w:rsidRPr="00423550">
        <w:rPr>
          <w:b/>
          <w:bCs/>
        </w:rPr>
        <w:t xml:space="preserve">EPA ICR Number: </w:t>
      </w:r>
      <w:r w:rsidR="00631340">
        <w:t>2606.02</w:t>
      </w:r>
    </w:p>
    <w:p w:rsidR="00871D24" w:rsidP="00D96FE1" w:rsidRDefault="00871D24" w14:paraId="74D8A63F" w14:textId="77777777">
      <w:pPr>
        <w:autoSpaceDE w:val="0"/>
        <w:autoSpaceDN w:val="0"/>
        <w:adjustRightInd w:val="0"/>
        <w:rPr>
          <w:b/>
          <w:bCs/>
        </w:rPr>
      </w:pPr>
    </w:p>
    <w:p w:rsidR="00D96FE1" w:rsidP="007E3A3C" w:rsidRDefault="00D96FE1" w14:paraId="366EB6EC" w14:textId="37F0FD00">
      <w:pPr>
        <w:tabs>
          <w:tab w:val="left" w:pos="3309"/>
        </w:tabs>
        <w:autoSpaceDE w:val="0"/>
        <w:autoSpaceDN w:val="0"/>
        <w:adjustRightInd w:val="0"/>
        <w:rPr>
          <w:b/>
          <w:bCs/>
        </w:rPr>
      </w:pPr>
      <w:r w:rsidRPr="009820CB">
        <w:rPr>
          <w:b/>
          <w:bCs/>
        </w:rPr>
        <w:t>OMB Control Number:</w:t>
      </w:r>
      <w:r w:rsidR="00573F58">
        <w:rPr>
          <w:b/>
          <w:bCs/>
        </w:rPr>
        <w:t xml:space="preserve"> </w:t>
      </w:r>
      <w:r w:rsidRPr="00C72F27" w:rsidR="004C44E2">
        <w:t>2040-</w:t>
      </w:r>
      <w:r w:rsidRPr="00562B44" w:rsidR="004C44E2">
        <w:t>02</w:t>
      </w:r>
      <w:r w:rsidR="00631340">
        <w:t>97</w:t>
      </w:r>
    </w:p>
    <w:p w:rsidRPr="00423550" w:rsidR="00573F58" w:rsidP="00D96FE1" w:rsidRDefault="00573F58" w14:paraId="506C5546" w14:textId="77777777">
      <w:pPr>
        <w:autoSpaceDE w:val="0"/>
        <w:autoSpaceDN w:val="0"/>
        <w:adjustRightInd w:val="0"/>
        <w:rPr>
          <w:b/>
          <w:bCs/>
        </w:rPr>
      </w:pPr>
    </w:p>
    <w:p w:rsidRPr="00423550" w:rsidR="00D96FE1" w:rsidP="000C0ED7" w:rsidRDefault="00D96FE1" w14:paraId="67103A97" w14:textId="77777777">
      <w:pPr>
        <w:pStyle w:val="Heading2"/>
      </w:pPr>
      <w:bookmarkStart w:name="_Toc160872048" w:id="4"/>
      <w:r w:rsidRPr="00423550">
        <w:t xml:space="preserve">1(b) </w:t>
      </w:r>
      <w:r w:rsidRPr="00423550" w:rsidR="009D42EE">
        <w:tab/>
      </w:r>
      <w:r w:rsidRPr="00423550">
        <w:t>Short Characterization/Abstract</w:t>
      </w:r>
      <w:bookmarkEnd w:id="4"/>
    </w:p>
    <w:p w:rsidRPr="00423550" w:rsidR="00FB24CD" w:rsidP="00021325" w:rsidRDefault="00A84311" w14:paraId="74A49CBA" w14:textId="6E10E62D">
      <w:pPr>
        <w:pStyle w:val="NormalIndent"/>
      </w:pPr>
      <w:r w:rsidRPr="00423550">
        <w:t xml:space="preserve">The National Primary Drinking Water Regulations (NPDWRs) for Lead and Copper (The Lead and Copper Rule or LCR), promulgated by </w:t>
      </w:r>
      <w:r w:rsidR="006A5532">
        <w:t xml:space="preserve">the </w:t>
      </w:r>
      <w:r w:rsidRPr="00423550">
        <w:t xml:space="preserve">EPA in 1991, is a </w:t>
      </w:r>
      <w:r w:rsidR="00C018A3">
        <w:t>regulation promulgated under</w:t>
      </w:r>
      <w:r w:rsidRPr="00423550">
        <w:t xml:space="preserve"> the Safe</w:t>
      </w:r>
      <w:r w:rsidRPr="00423550" w:rsidR="006B6576">
        <w:t xml:space="preserve"> D</w:t>
      </w:r>
      <w:r w:rsidRPr="00423550">
        <w:t xml:space="preserve">rinking Water Act (SDWA). The LCR’s goal is to reduce the levels </w:t>
      </w:r>
      <w:r w:rsidR="005925CA">
        <w:t xml:space="preserve">of lead and copper </w:t>
      </w:r>
      <w:r w:rsidR="00856859">
        <w:t>in drinking water. T</w:t>
      </w:r>
      <w:r w:rsidRPr="00423550">
        <w:t xml:space="preserve">he </w:t>
      </w:r>
      <w:r w:rsidR="00FB24CD">
        <w:t>Lead and Copper Rule Revision</w:t>
      </w:r>
      <w:r w:rsidR="00896295">
        <w:t>s (</w:t>
      </w:r>
      <w:r w:rsidR="00C018A3">
        <w:t>LCRR</w:t>
      </w:r>
      <w:r w:rsidR="00FB24CD">
        <w:t xml:space="preserve">) </w:t>
      </w:r>
      <w:r w:rsidRPr="00423550">
        <w:t>require community and non-transient non-community water systems</w:t>
      </w:r>
      <w:r w:rsidRPr="00423550">
        <w:rPr>
          <w:rStyle w:val="FootnoteReference"/>
        </w:rPr>
        <w:footnoteReference w:id="2"/>
      </w:r>
      <w:r w:rsidRPr="00423550">
        <w:t xml:space="preserve"> to optimize corrosion control and, under specified conditions, install source water treatment, conduct public education, and/or replace lead service lines </w:t>
      </w:r>
      <w:r w:rsidR="00D76E3F">
        <w:t xml:space="preserve">(LSLs) </w:t>
      </w:r>
      <w:r w:rsidRPr="00423550">
        <w:t>in the distribution system.</w:t>
      </w:r>
      <w:r w:rsidRPr="00FB24CD" w:rsidR="00FB24CD">
        <w:t xml:space="preserve"> </w:t>
      </w:r>
      <w:r w:rsidR="00FB24CD">
        <w:t xml:space="preserve">The </w:t>
      </w:r>
      <w:r w:rsidR="00C018A3">
        <w:t>LCRR</w:t>
      </w:r>
      <w:r w:rsidR="00FB24CD">
        <w:t xml:space="preserve"> also expands public education requirements for lead, requires greater public access to information on lead, and further targets sensitive subpopulations by requiring additional lead in drinking water testing at schools and </w:t>
      </w:r>
      <w:r w:rsidR="00631340">
        <w:t>childcare</w:t>
      </w:r>
      <w:r w:rsidR="00FB24CD">
        <w:t xml:space="preserve"> facilities.</w:t>
      </w:r>
    </w:p>
    <w:p w:rsidR="00E167C6" w:rsidP="00021325" w:rsidRDefault="00E167C6" w14:paraId="6A1D7EA8" w14:textId="073CCF60">
      <w:pPr>
        <w:pStyle w:val="NormalIndent"/>
      </w:pPr>
      <w:r>
        <w:t xml:space="preserve">The </w:t>
      </w:r>
      <w:r w:rsidR="00C018A3">
        <w:t>LCRR</w:t>
      </w:r>
      <w:r>
        <w:t xml:space="preserve"> is </w:t>
      </w:r>
      <w:r w:rsidRPr="00DF4E7F">
        <w:t xml:space="preserve">designed to identify and reduce lead exposure at systems with elevated lead concentrations in their drinking water </w:t>
      </w:r>
      <w:r>
        <w:t>by establishing a new lead trigger level (TL) of 10</w:t>
      </w:r>
      <w:r w:rsidR="0034332A">
        <w:t xml:space="preserve"> micrograms per liter (</w:t>
      </w:r>
      <w:r>
        <w:t>μg/L</w:t>
      </w:r>
      <w:r w:rsidR="0034332A">
        <w:t>)</w:t>
      </w:r>
      <w:r>
        <w:t xml:space="preserve"> in addition to the action level (AL) of 15 μg/L under the </w:t>
      </w:r>
      <w:r w:rsidR="00643877">
        <w:t>previous</w:t>
      </w:r>
      <w:r>
        <w:t xml:space="preserve"> </w:t>
      </w:r>
      <w:r w:rsidR="00C018A3">
        <w:t>r</w:t>
      </w:r>
      <w:r>
        <w:t xml:space="preserve">ule. </w:t>
      </w:r>
      <w:r w:rsidRPr="003B1C4D">
        <w:t xml:space="preserve">The </w:t>
      </w:r>
      <w:r w:rsidR="00C018A3">
        <w:t>LCRR</w:t>
      </w:r>
      <w:r w:rsidRPr="003B1C4D">
        <w:t xml:space="preserve"> w</w:t>
      </w:r>
      <w:r>
        <w:t xml:space="preserve">ould </w:t>
      </w:r>
      <w:r w:rsidRPr="003B1C4D">
        <w:t xml:space="preserve">retain the AL, </w:t>
      </w:r>
      <w:r>
        <w:t>revise requirements for systems with a lead action level exceedance</w:t>
      </w:r>
      <w:r w:rsidR="00856859">
        <w:rPr>
          <w:rStyle w:val="FootnoteReference"/>
        </w:rPr>
        <w:footnoteReference w:id="3"/>
      </w:r>
      <w:r>
        <w:t xml:space="preserve"> (ALE)</w:t>
      </w:r>
      <w:r w:rsidRPr="003B1C4D">
        <w:t xml:space="preserve"> and set additional requirements for systems with a trigger level exceedance</w:t>
      </w:r>
      <w:r w:rsidR="00856859">
        <w:rPr>
          <w:rStyle w:val="FootnoteReference"/>
        </w:rPr>
        <w:footnoteReference w:id="4"/>
      </w:r>
      <w:r w:rsidRPr="003B1C4D">
        <w:t xml:space="preserve"> (TLE)</w:t>
      </w:r>
      <w:r w:rsidR="002A6726">
        <w:t>.</w:t>
      </w:r>
      <w:r w:rsidRPr="003B1C4D">
        <w:t xml:space="preserve"> </w:t>
      </w:r>
    </w:p>
    <w:p w:rsidRPr="00423550" w:rsidR="00A84311" w:rsidP="00021325" w:rsidRDefault="00A84311" w14:paraId="0890F33D" w14:textId="77777777">
      <w:pPr>
        <w:pStyle w:val="NormalIndent"/>
      </w:pPr>
      <w:r w:rsidRPr="00423550">
        <w:t xml:space="preserve">Water systems include Federal, </w:t>
      </w:r>
      <w:r w:rsidR="00BB55A4">
        <w:t>state, t</w:t>
      </w:r>
      <w:r w:rsidRPr="00423550">
        <w:t>ribal, and local governmental entities as well as</w:t>
      </w:r>
      <w:r w:rsidR="00BB55A4">
        <w:t xml:space="preserve"> private entities. States (and t</w:t>
      </w:r>
      <w:r w:rsidRPr="00423550">
        <w:t>ribes) that have been granted primary enforcement authority (</w:t>
      </w:r>
      <w:r w:rsidRPr="00423550">
        <w:rPr>
          <w:i/>
          <w:iCs/>
        </w:rPr>
        <w:t>i.e</w:t>
      </w:r>
      <w:r w:rsidRPr="00423550">
        <w:t>., primacy) for the</w:t>
      </w:r>
      <w:r w:rsidRPr="00423550" w:rsidR="006B6576">
        <w:t xml:space="preserve"> L</w:t>
      </w:r>
      <w:r w:rsidRPr="00423550">
        <w:t xml:space="preserve">CR are responsible for overseeing rule implementation by systems within their jurisdiction. In instances where a </w:t>
      </w:r>
      <w:r w:rsidR="00BB55A4">
        <w:t>state or t</w:t>
      </w:r>
      <w:r w:rsidRPr="00423550">
        <w:t xml:space="preserve">ribe does not have primacy, the EPA Region is the </w:t>
      </w:r>
      <w:r w:rsidR="00E5250C">
        <w:lastRenderedPageBreak/>
        <w:t>primacy agency</w:t>
      </w:r>
      <w:r w:rsidRPr="00423550">
        <w:t>.</w:t>
      </w:r>
      <w:r w:rsidRPr="00423550">
        <w:rPr>
          <w:rStyle w:val="FootnoteReference"/>
        </w:rPr>
        <w:footnoteReference w:id="5"/>
      </w:r>
      <w:r w:rsidRPr="00423550">
        <w:t xml:space="preserve"> Systems demonstrate compliance through reporting the analytical results of collected samples and other information to the </w:t>
      </w:r>
      <w:r w:rsidR="00BB55A4">
        <w:t>state</w:t>
      </w:r>
      <w:r w:rsidRPr="00423550">
        <w:t xml:space="preserve">. Systems use these data to demonstrate compliance, assess treatment options, operate and maintain installed treatment, and communicate water quality information to consumers served by the system. </w:t>
      </w:r>
      <w:r w:rsidR="00E604CC">
        <w:t>Primacy agencies</w:t>
      </w:r>
      <w:r w:rsidRPr="00423550">
        <w:t xml:space="preserve"> utilize the data to determine compliance and designate treatment to be installed and enforceable operating parameters. </w:t>
      </w:r>
      <w:r w:rsidR="00E604CC">
        <w:t>Primacy agencies</w:t>
      </w:r>
      <w:r w:rsidRPr="00423550">
        <w:t xml:space="preserve"> also are required to report a subset of the data to </w:t>
      </w:r>
      <w:r w:rsidR="006A5532">
        <w:t>the</w:t>
      </w:r>
      <w:r w:rsidRPr="00423550">
        <w:t xml:space="preserve"> EPA which utilizes this information to protect public health by ensuring compliance with the LCR, measuring progress toward meeting the LCR’s goals, and evaluating the appropriateness of </w:t>
      </w:r>
      <w:r w:rsidR="00BB55A4">
        <w:t>state</w:t>
      </w:r>
      <w:r w:rsidRPr="00423550">
        <w:t xml:space="preserve"> implementation activities. </w:t>
      </w:r>
      <w:r w:rsidR="00FB24CD">
        <w:t>T</w:t>
      </w:r>
      <w:r w:rsidRPr="00423550">
        <w:t xml:space="preserve">he information reported by </w:t>
      </w:r>
      <w:r w:rsidR="007606BB">
        <w:t>primacy agencies</w:t>
      </w:r>
      <w:r w:rsidRPr="00423550">
        <w:t xml:space="preserve"> </w:t>
      </w:r>
      <w:r w:rsidR="00FB24CD">
        <w:t xml:space="preserve">to </w:t>
      </w:r>
      <w:r w:rsidR="006A5532">
        <w:t>the</w:t>
      </w:r>
      <w:r w:rsidR="00FB24CD">
        <w:t xml:space="preserve"> </w:t>
      </w:r>
      <w:r w:rsidRPr="00423550" w:rsidR="00FB24CD">
        <w:t xml:space="preserve">EPA </w:t>
      </w:r>
      <w:r w:rsidR="00FB24CD">
        <w:t>ca</w:t>
      </w:r>
      <w:r w:rsidRPr="00423550">
        <w:t xml:space="preserve">n </w:t>
      </w:r>
      <w:r w:rsidR="00FB24CD">
        <w:t xml:space="preserve">be found in the </w:t>
      </w:r>
      <w:r w:rsidRPr="00423550">
        <w:t>Safe Drinking Water Information System (SDWIS).</w:t>
      </w:r>
    </w:p>
    <w:p w:rsidR="00BE05D2" w:rsidP="002B4324" w:rsidRDefault="00BE05D2" w14:paraId="3BD01678" w14:textId="2885BF4D">
      <w:pPr>
        <w:ind w:firstLine="720"/>
      </w:pPr>
      <w:r>
        <w:t xml:space="preserve">Under the </w:t>
      </w:r>
      <w:r w:rsidR="00C018A3">
        <w:t>LCRR</w:t>
      </w:r>
      <w:r>
        <w:t>, sampling, public education, and other requirements are dependent on the system’s lead 90</w:t>
      </w:r>
      <w:r w:rsidRPr="00BE05D2">
        <w:rPr>
          <w:vertAlign w:val="superscript"/>
        </w:rPr>
        <w:t>th</w:t>
      </w:r>
      <w:r>
        <w:t xml:space="preserve"> percentile level. </w:t>
      </w:r>
      <w:r>
        <w:rPr>
          <w:lang w:bidi="en-US"/>
        </w:rPr>
        <w:t>In addition to requirements that apply to all systems, the rule would set specific requirements based on whether a system’s lead 90</w:t>
      </w:r>
      <w:r w:rsidRPr="00BE05D2">
        <w:rPr>
          <w:vertAlign w:val="superscript"/>
          <w:lang w:bidi="en-US"/>
        </w:rPr>
        <w:t>th</w:t>
      </w:r>
      <w:r>
        <w:rPr>
          <w:lang w:bidi="en-US"/>
        </w:rPr>
        <w:t xml:space="preserve"> percentile is above the action level of 15 </w:t>
      </w:r>
      <w:r w:rsidRPr="003A0244">
        <w:rPr>
          <w:rFonts w:cstheme="minorHAnsi"/>
          <w:lang w:bidi="en-US"/>
        </w:rPr>
        <w:t>µ</w:t>
      </w:r>
      <w:r>
        <w:rPr>
          <w:lang w:bidi="en-US"/>
        </w:rPr>
        <w:t xml:space="preserve">g/L (ALE), above the trigger level of 10 </w:t>
      </w:r>
      <w:r>
        <w:rPr>
          <w:rFonts w:cstheme="minorHAnsi"/>
          <w:lang w:bidi="en-US"/>
        </w:rPr>
        <w:t>µg/L</w:t>
      </w:r>
      <w:r>
        <w:rPr>
          <w:b/>
          <w:lang w:bidi="en-US"/>
        </w:rPr>
        <w:t xml:space="preserve"> </w:t>
      </w:r>
      <w:r w:rsidRPr="00BE05D2">
        <w:rPr>
          <w:lang w:bidi="en-US"/>
        </w:rPr>
        <w:t>(TLE)</w:t>
      </w:r>
      <w:r>
        <w:rPr>
          <w:b/>
          <w:lang w:bidi="en-US"/>
        </w:rPr>
        <w:t xml:space="preserve">, </w:t>
      </w:r>
      <w:r w:rsidRPr="00BE05D2">
        <w:rPr>
          <w:lang w:bidi="en-US"/>
        </w:rPr>
        <w:t>or at or below 10</w:t>
      </w:r>
      <w:r>
        <w:rPr>
          <w:lang w:bidi="en-US"/>
        </w:rPr>
        <w:t xml:space="preserve"> </w:t>
      </w:r>
      <w:r>
        <w:rPr>
          <w:rFonts w:cstheme="minorHAnsi"/>
          <w:lang w:bidi="en-US"/>
        </w:rPr>
        <w:t>µg/L</w:t>
      </w:r>
      <w:r>
        <w:rPr>
          <w:b/>
          <w:lang w:bidi="en-US"/>
        </w:rPr>
        <w:t>.</w:t>
      </w:r>
      <w:r w:rsidRPr="00BE05D2">
        <w:t xml:space="preserve"> </w:t>
      </w:r>
      <w:r>
        <w:t xml:space="preserve">The </w:t>
      </w:r>
      <w:r w:rsidR="00C018A3">
        <w:t>LCRR</w:t>
      </w:r>
      <w:r>
        <w:t xml:space="preserve"> begins by determining the system’s lead 90</w:t>
      </w:r>
      <w:r w:rsidRPr="00BE05D2">
        <w:rPr>
          <w:vertAlign w:val="superscript"/>
        </w:rPr>
        <w:t>th</w:t>
      </w:r>
      <w:r>
        <w:t xml:space="preserve"> percentile using sampling data, and a </w:t>
      </w:r>
      <w:r w:rsidRPr="003D2F89">
        <w:t xml:space="preserve">system can use grandfathered data </w:t>
      </w:r>
      <w:r>
        <w:t xml:space="preserve">that meets the sampling protocol under the </w:t>
      </w:r>
      <w:r w:rsidR="00C018A3">
        <w:t>LCRR</w:t>
      </w:r>
      <w:r>
        <w:t xml:space="preserve">. </w:t>
      </w:r>
    </w:p>
    <w:p w:rsidR="00BE05D2" w:rsidP="00BE05D2" w:rsidRDefault="00BE05D2" w14:paraId="38FAD2FC" w14:textId="77777777">
      <w:pPr>
        <w:rPr>
          <w:b/>
          <w:lang w:bidi="en-US"/>
        </w:rPr>
      </w:pPr>
    </w:p>
    <w:p w:rsidR="00BE05D2" w:rsidP="002B4324" w:rsidRDefault="00BE05D2" w14:paraId="097CDBC7" w14:textId="2E08AF23">
      <w:pPr>
        <w:ind w:firstLine="720"/>
      </w:pPr>
      <w:r>
        <w:t>Requirements affected by 90</w:t>
      </w:r>
      <w:r w:rsidRPr="00BE05D2">
        <w:rPr>
          <w:vertAlign w:val="superscript"/>
        </w:rPr>
        <w:t>th</w:t>
      </w:r>
      <w:r>
        <w:t xml:space="preserve"> percentile levels are related to lead and copper tap samples</w:t>
      </w:r>
      <w:r w:rsidRPr="00C018A3" w:rsidR="00C018A3">
        <w:t xml:space="preserve"> </w:t>
      </w:r>
      <w:r w:rsidR="00C018A3">
        <w:t>including sampling frequency and number of</w:t>
      </w:r>
      <w:r>
        <w:t xml:space="preserve"> samples, corrosion control treatment (CCT), lead service line replacements (LSLR), </w:t>
      </w:r>
      <w:r w:rsidR="00C018A3">
        <w:t>source water monitoring/treatment,</w:t>
      </w:r>
      <w:r>
        <w:t xml:space="preserve"> and public education. Rule requirements for systems that are at or below the trigger level are </w:t>
      </w:r>
      <w:proofErr w:type="gramStart"/>
      <w:r>
        <w:t>similar to</w:t>
      </w:r>
      <w:proofErr w:type="gramEnd"/>
      <w:r>
        <w:t xml:space="preserve"> the </w:t>
      </w:r>
      <w:r w:rsidR="00643877">
        <w:t>previous</w:t>
      </w:r>
      <w:r>
        <w:t xml:space="preserve"> Rule for systems at or below the action level.</w:t>
      </w:r>
      <w:bookmarkStart w:name="_Hlk2922505" w:id="5"/>
    </w:p>
    <w:p w:rsidR="00BE05D2" w:rsidP="00BE05D2" w:rsidRDefault="00BE05D2" w14:paraId="160806AF" w14:textId="77777777">
      <w:pPr>
        <w:ind w:firstLine="360"/>
      </w:pPr>
    </w:p>
    <w:bookmarkEnd w:id="5"/>
    <w:p w:rsidRPr="00EC602C" w:rsidR="008F74FB" w:rsidP="00EC602C" w:rsidRDefault="00F23DFC" w14:paraId="4CF5338D" w14:textId="5C5C48B1">
      <w:pPr>
        <w:pStyle w:val="NormalIndent"/>
      </w:pPr>
      <w:r>
        <w:t>T</w:t>
      </w:r>
      <w:r w:rsidRPr="00423550" w:rsidR="00A84311">
        <w:t xml:space="preserve">his ICR </w:t>
      </w:r>
      <w:r>
        <w:t xml:space="preserve">supporting statement estimates the </w:t>
      </w:r>
      <w:r w:rsidR="00562B44">
        <w:t xml:space="preserve">incremental burden </w:t>
      </w:r>
      <w:r>
        <w:t xml:space="preserve">impacts of revisions </w:t>
      </w:r>
      <w:r w:rsidRPr="00423550" w:rsidR="003B42BF">
        <w:t xml:space="preserve">to the </w:t>
      </w:r>
      <w:r>
        <w:t xml:space="preserve">LCR </w:t>
      </w:r>
      <w:r w:rsidRPr="00423550" w:rsidR="004C6BFE">
        <w:t xml:space="preserve">in terms of </w:t>
      </w:r>
      <w:r w:rsidRPr="00C16859" w:rsidR="004C6BFE">
        <w:t>the</w:t>
      </w:r>
      <w:r w:rsidRPr="00C16859" w:rsidR="003B42BF">
        <w:t xml:space="preserve"> burden and costs for </w:t>
      </w:r>
      <w:r w:rsidRPr="00C16859" w:rsidR="00E02157">
        <w:t>the first three years after the final rule is published (estimated as</w:t>
      </w:r>
      <w:r w:rsidRPr="00C16859" w:rsidR="000A2961">
        <w:t xml:space="preserve"> </w:t>
      </w:r>
      <w:r w:rsidRPr="006E64B0" w:rsidR="000A2961">
        <w:t>20</w:t>
      </w:r>
      <w:r w:rsidRPr="006E64B0" w:rsidR="00C018A3">
        <w:t>20</w:t>
      </w:r>
      <w:r w:rsidRPr="006E64B0" w:rsidR="006E64B0">
        <w:t>)</w:t>
      </w:r>
      <w:r w:rsidRPr="006E64B0" w:rsidR="00E02157">
        <w:t>.</w:t>
      </w:r>
      <w:r w:rsidRPr="006E64B0" w:rsidR="008A1E9A">
        <w:t xml:space="preserve"> </w:t>
      </w:r>
      <w:r w:rsidRPr="006E64B0" w:rsidR="0073053D">
        <w:t>It</w:t>
      </w:r>
      <w:r w:rsidR="0073053D">
        <w:t xml:space="preserve"> modifies </w:t>
      </w:r>
      <w:r w:rsidR="00624775">
        <w:t xml:space="preserve">the extension to </w:t>
      </w:r>
      <w:r w:rsidR="0073053D">
        <w:t>t</w:t>
      </w:r>
      <w:r w:rsidRPr="00C72F27" w:rsidR="0073053D">
        <w:t>he ICR e</w:t>
      </w:r>
      <w:r w:rsidR="0073053D">
        <w:t>ntitled</w:t>
      </w:r>
      <w:r w:rsidRPr="00C72F27" w:rsidR="0073053D">
        <w:t xml:space="preserve"> </w:t>
      </w:r>
      <w:r w:rsidRPr="00C72F27" w:rsidR="0073053D">
        <w:rPr>
          <w:i/>
        </w:rPr>
        <w:t>Disinfectants/Disinfection</w:t>
      </w:r>
      <w:r w:rsidR="0073053D">
        <w:rPr>
          <w:i/>
        </w:rPr>
        <w:t xml:space="preserve"> </w:t>
      </w:r>
      <w:r w:rsidRPr="00C72F27" w:rsidR="0073053D">
        <w:rPr>
          <w:i/>
        </w:rPr>
        <w:t>Byproducts, Chemical, and Radionuclides Rules</w:t>
      </w:r>
      <w:r w:rsidR="0073053D">
        <w:t xml:space="preserve"> (</w:t>
      </w:r>
      <w:r w:rsidR="00624775">
        <w:t xml:space="preserve">80 </w:t>
      </w:r>
      <w:r w:rsidRPr="00F74B39" w:rsidR="00624775">
        <w:rPr>
          <w:i/>
        </w:rPr>
        <w:t>Federal Register</w:t>
      </w:r>
      <w:r w:rsidR="00624775">
        <w:t xml:space="preserve"> 78224, December 16, 2015</w:t>
      </w:r>
      <w:r w:rsidR="0073053D">
        <w:t>, Office of Management and Budget (</w:t>
      </w:r>
      <w:r w:rsidRPr="000C08CF" w:rsidR="0073053D">
        <w:t>OMB</w:t>
      </w:r>
      <w:r w:rsidR="0073053D">
        <w:t>)</w:t>
      </w:r>
      <w:r w:rsidRPr="00C72F27" w:rsidR="0073053D">
        <w:t xml:space="preserve"> </w:t>
      </w:r>
      <w:r w:rsidR="0073053D">
        <w:t xml:space="preserve">control </w:t>
      </w:r>
      <w:r w:rsidRPr="00C72F27" w:rsidR="0073053D">
        <w:t>number 2040-020</w:t>
      </w:r>
      <w:r w:rsidR="00562B44">
        <w:t>4</w:t>
      </w:r>
      <w:r w:rsidR="0073053D">
        <w:t xml:space="preserve">), which expires on </w:t>
      </w:r>
      <w:r w:rsidR="001415F4">
        <w:t xml:space="preserve">March 31, 2023 </w:t>
      </w:r>
      <w:r w:rsidR="0073053D">
        <w:t xml:space="preserve">and </w:t>
      </w:r>
      <w:r w:rsidRPr="00C72F27" w:rsidR="0073053D">
        <w:t xml:space="preserve">estimates </w:t>
      </w:r>
      <w:r w:rsidR="0073053D">
        <w:t xml:space="preserve">the </w:t>
      </w:r>
      <w:r w:rsidRPr="00C72F27" w:rsidR="0073053D">
        <w:t xml:space="preserve">burden and costs </w:t>
      </w:r>
      <w:r w:rsidR="0073053D">
        <w:t xml:space="preserve">associated with </w:t>
      </w:r>
      <w:r w:rsidRPr="00C72F27" w:rsidR="0073053D">
        <w:t xml:space="preserve">the </w:t>
      </w:r>
      <w:r w:rsidR="00643877">
        <w:t>previous</w:t>
      </w:r>
      <w:r w:rsidR="0073053D">
        <w:t xml:space="preserve"> </w:t>
      </w:r>
      <w:r w:rsidRPr="00C72F27" w:rsidR="0073053D">
        <w:t>LCR</w:t>
      </w:r>
      <w:r w:rsidR="0073053D">
        <w:t>, as well as other rules,</w:t>
      </w:r>
      <w:r w:rsidRPr="00C72F27" w:rsidR="0073053D">
        <w:t xml:space="preserve"> </w:t>
      </w:r>
      <w:r w:rsidR="00171B45">
        <w:t>(the “</w:t>
      </w:r>
      <w:r w:rsidR="00624775">
        <w:t xml:space="preserve">2015 </w:t>
      </w:r>
      <w:r w:rsidR="00171B45">
        <w:t>ICR”)</w:t>
      </w:r>
      <w:r w:rsidRPr="00C72F27" w:rsidR="0073053D">
        <w:t>.</w:t>
      </w:r>
      <w:r w:rsidRPr="00C16859" w:rsidR="003B42BF">
        <w:t>The</w:t>
      </w:r>
      <w:r w:rsidRPr="00C16859" w:rsidR="00DC4B8F">
        <w:t xml:space="preserve"> </w:t>
      </w:r>
      <w:r w:rsidRPr="00C16859" w:rsidR="00E167C6">
        <w:t>Long-Term Revisions</w:t>
      </w:r>
      <w:r w:rsidRPr="00C16859">
        <w:t xml:space="preserve"> are</w:t>
      </w:r>
      <w:r w:rsidRPr="00C16859" w:rsidR="002D6A2E">
        <w:t xml:space="preserve"> </w:t>
      </w:r>
      <w:r w:rsidRPr="00EC602C" w:rsidR="00DC4B8F">
        <w:t>intended to strengthen the implementation of the LCR in the areas of</w:t>
      </w:r>
      <w:r w:rsidRPr="00EC602C" w:rsidR="00961E46">
        <w:t xml:space="preserve"> </w:t>
      </w:r>
      <w:r w:rsidRPr="00EC602C" w:rsidR="008C3210">
        <w:t>CCT</w:t>
      </w:r>
      <w:r w:rsidRPr="00EC602C" w:rsidR="00681E07">
        <w:t>,</w:t>
      </w:r>
      <w:r w:rsidRPr="00EC602C" w:rsidR="00DC4B8F">
        <w:t xml:space="preserve"> customer awareness, and </w:t>
      </w:r>
      <w:r w:rsidRPr="00EC602C" w:rsidR="00D76E3F">
        <w:t>LSL</w:t>
      </w:r>
      <w:r w:rsidR="00C018A3">
        <w:t>R</w:t>
      </w:r>
      <w:r w:rsidRPr="00EC602C" w:rsidR="007624F1">
        <w:t xml:space="preserve">. </w:t>
      </w:r>
      <w:r w:rsidRPr="00C16859" w:rsidR="002D5402">
        <w:t xml:space="preserve">The changes are expected to ensure and enhance </w:t>
      </w:r>
      <w:r w:rsidR="004377B5">
        <w:t>the</w:t>
      </w:r>
      <w:r w:rsidRPr="00C16859" w:rsidR="002D5402">
        <w:t xml:space="preserve"> protection of public health through the reduction in lead exposure</w:t>
      </w:r>
      <w:r w:rsidR="004377B5">
        <w:t xml:space="preserve"> in drinking water</w:t>
      </w:r>
      <w:r w:rsidRPr="00C16859" w:rsidR="002D5402">
        <w:t xml:space="preserve">. </w:t>
      </w:r>
      <w:r w:rsidR="004377B5">
        <w:t xml:space="preserve">The </w:t>
      </w:r>
      <w:r w:rsidRPr="00EC602C" w:rsidR="006A49B5">
        <w:t>A</w:t>
      </w:r>
      <w:r w:rsidRPr="00EC602C" w:rsidR="004377B5">
        <w:t xml:space="preserve">L and </w:t>
      </w:r>
      <w:r w:rsidRPr="00423550" w:rsidR="00D76E3F">
        <w:t xml:space="preserve">maximum contaminant level goals </w:t>
      </w:r>
      <w:r w:rsidR="00D76E3F">
        <w:t>(</w:t>
      </w:r>
      <w:r w:rsidRPr="00EC602C" w:rsidR="0045786C">
        <w:t>MCLG</w:t>
      </w:r>
      <w:r w:rsidRPr="00EC602C" w:rsidR="005D3ED5">
        <w:t>s</w:t>
      </w:r>
      <w:r w:rsidRPr="00EC602C" w:rsidR="00D76E3F">
        <w:t>)</w:t>
      </w:r>
      <w:r w:rsidRPr="00EC602C" w:rsidR="002D5402">
        <w:t xml:space="preserve"> </w:t>
      </w:r>
      <w:r w:rsidRPr="00EC602C" w:rsidR="004377B5">
        <w:t xml:space="preserve">have </w:t>
      </w:r>
      <w:r w:rsidRPr="00EC602C" w:rsidR="002D5402">
        <w:t xml:space="preserve">not changed in the </w:t>
      </w:r>
      <w:r w:rsidR="00C018A3">
        <w:t>LCRR</w:t>
      </w:r>
      <w:r w:rsidRPr="00EC602C" w:rsidR="004829C4">
        <w:t>.</w:t>
      </w:r>
      <w:r w:rsidRPr="00EC602C" w:rsidR="00C16859">
        <w:t xml:space="preserve"> </w:t>
      </w:r>
      <w:r w:rsidRPr="00EC602C" w:rsidR="004829C4">
        <w:t>A</w:t>
      </w:r>
      <w:r w:rsidRPr="00EC602C" w:rsidR="00C16859">
        <w:t xml:space="preserve"> new lead </w:t>
      </w:r>
      <w:r w:rsidRPr="00EC602C" w:rsidR="00896295">
        <w:t>TL</w:t>
      </w:r>
      <w:r w:rsidRPr="00EC602C" w:rsidR="004829C4">
        <w:t>, however,</w:t>
      </w:r>
      <w:r w:rsidRPr="00EC602C" w:rsidR="004377B5">
        <w:t xml:space="preserve"> has been added</w:t>
      </w:r>
      <w:r w:rsidRPr="00EC602C" w:rsidR="007624F1">
        <w:t xml:space="preserve">. </w:t>
      </w:r>
    </w:p>
    <w:p w:rsidR="0034332A" w:rsidP="00021325" w:rsidRDefault="0034332A" w14:paraId="75C7891A" w14:textId="77777777">
      <w:pPr>
        <w:pStyle w:val="NormalIndent"/>
      </w:pPr>
      <w:r>
        <w:t xml:space="preserve">During the initial </w:t>
      </w:r>
      <w:r w:rsidR="00C018A3">
        <w:t>three-</w:t>
      </w:r>
      <w:r>
        <w:t xml:space="preserve">year period, public water systems </w:t>
      </w:r>
      <w:r w:rsidR="00CF00D6">
        <w:t>will conduct</w:t>
      </w:r>
      <w:r>
        <w:t xml:space="preserve"> one-time startup activities that include the following:</w:t>
      </w:r>
    </w:p>
    <w:p w:rsidR="0034332A" w:rsidP="00021325" w:rsidRDefault="0034332A" w14:paraId="02E3A555" w14:textId="77777777">
      <w:pPr>
        <w:pStyle w:val="Bullets"/>
      </w:pPr>
      <w:r>
        <w:t xml:space="preserve">Reading and understanding the </w:t>
      </w:r>
      <w:r w:rsidR="00C018A3">
        <w:t>LCRR</w:t>
      </w:r>
    </w:p>
    <w:p w:rsidR="0034332A" w:rsidP="00021325" w:rsidRDefault="0034332A" w14:paraId="724A5D28" w14:textId="77777777">
      <w:pPr>
        <w:pStyle w:val="Bullets"/>
      </w:pPr>
      <w:r>
        <w:t>Assigning personnel and resources for rule implementation</w:t>
      </w:r>
    </w:p>
    <w:p w:rsidR="005E5A5E" w:rsidP="00021325" w:rsidRDefault="0034332A" w14:paraId="29E4B8FA" w14:textId="77777777">
      <w:pPr>
        <w:pStyle w:val="Bullets"/>
      </w:pPr>
      <w:r>
        <w:t>Attending training and receiving technical assistance from the state</w:t>
      </w:r>
    </w:p>
    <w:p w:rsidR="0034332A" w:rsidP="00021325" w:rsidRDefault="005E5A5E" w14:paraId="46991986" w14:textId="77777777">
      <w:pPr>
        <w:pStyle w:val="Bullets"/>
      </w:pPr>
      <w:r>
        <w:t>D</w:t>
      </w:r>
      <w:r w:rsidRPr="0063474A">
        <w:t>evelop</w:t>
      </w:r>
      <w:r>
        <w:t>ing</w:t>
      </w:r>
      <w:r w:rsidRPr="0063474A">
        <w:t xml:space="preserve"> </w:t>
      </w:r>
      <w:r>
        <w:t>LSL</w:t>
      </w:r>
      <w:r w:rsidRPr="0063474A">
        <w:t xml:space="preserve"> inventor</w:t>
      </w:r>
      <w:r>
        <w:t>ies</w:t>
      </w:r>
      <w:r w:rsidRPr="0063474A">
        <w:t xml:space="preserve"> or submit</w:t>
      </w:r>
      <w:r>
        <w:t xml:space="preserve">ting </w:t>
      </w:r>
      <w:r w:rsidRPr="0063474A">
        <w:t>demonstration</w:t>
      </w:r>
      <w:r>
        <w:t>s</w:t>
      </w:r>
      <w:r w:rsidRPr="0063474A">
        <w:t xml:space="preserve"> that they do not have </w:t>
      </w:r>
      <w:r>
        <w:t>LSL</w:t>
      </w:r>
      <w:r w:rsidRPr="0063474A">
        <w:t>s</w:t>
      </w:r>
    </w:p>
    <w:p w:rsidRPr="00021325" w:rsidR="00FC46DC" w:rsidP="00021325" w:rsidRDefault="00B62F26" w14:paraId="7A750730" w14:textId="22E89D97">
      <w:pPr>
        <w:pStyle w:val="Bullets"/>
      </w:pPr>
      <w:r>
        <w:lastRenderedPageBreak/>
        <w:t>Conferring with states on initial planning for LSLR</w:t>
      </w:r>
      <w:r w:rsidR="00FC46DC">
        <w:t xml:space="preserve"> </w:t>
      </w:r>
      <w:r w:rsidR="00E23F91">
        <w:t xml:space="preserve">and preparing an LSLR plan </w:t>
      </w:r>
      <w:r w:rsidR="00FC46DC">
        <w:t xml:space="preserve">when LSLs are present. </w:t>
      </w:r>
    </w:p>
    <w:p w:rsidR="0034332A" w:rsidP="00021325" w:rsidRDefault="0034332A" w14:paraId="76A1B0A6" w14:textId="77777777">
      <w:pPr>
        <w:pStyle w:val="NormalIndent"/>
      </w:pPr>
      <w:r>
        <w:t xml:space="preserve">During the </w:t>
      </w:r>
      <w:r w:rsidR="00CF00D6">
        <w:t>same</w:t>
      </w:r>
      <w:r>
        <w:t xml:space="preserve"> period, primacy agencies </w:t>
      </w:r>
      <w:r w:rsidR="00CF00D6">
        <w:t xml:space="preserve">will conduct </w:t>
      </w:r>
      <w:r>
        <w:t>one-time startup activities that include the following:</w:t>
      </w:r>
    </w:p>
    <w:p w:rsidR="0034332A" w:rsidP="00021325" w:rsidRDefault="0034332A" w14:paraId="69736F14" w14:textId="77777777">
      <w:pPr>
        <w:pStyle w:val="Bullets"/>
      </w:pPr>
      <w:r>
        <w:t>Adopting the rule and developing a program to implement it</w:t>
      </w:r>
    </w:p>
    <w:p w:rsidRPr="006770D4" w:rsidR="0034332A" w:rsidP="00021325" w:rsidRDefault="0034332A" w14:paraId="0C793420" w14:textId="77777777">
      <w:pPr>
        <w:pStyle w:val="Bullets"/>
      </w:pPr>
      <w:r>
        <w:t>Modifying their data system</w:t>
      </w:r>
    </w:p>
    <w:p w:rsidR="005E5A5E" w:rsidP="00021325" w:rsidRDefault="0034332A" w14:paraId="20D16BA5" w14:textId="68AA41BF">
      <w:pPr>
        <w:pStyle w:val="Bullets"/>
      </w:pPr>
      <w:r>
        <w:t xml:space="preserve">Providing </w:t>
      </w:r>
      <w:r w:rsidR="00822C9A">
        <w:t xml:space="preserve">system </w:t>
      </w:r>
      <w:r>
        <w:t>staff with training and technical assistance</w:t>
      </w:r>
    </w:p>
    <w:p w:rsidR="00822C9A" w:rsidP="00021325" w:rsidRDefault="00822C9A" w14:paraId="3C4C057C" w14:textId="5E74859A">
      <w:pPr>
        <w:pStyle w:val="Bullets"/>
      </w:pPr>
      <w:r>
        <w:t>Providing internal staff with training for implementation</w:t>
      </w:r>
    </w:p>
    <w:p w:rsidR="005048A2" w:rsidP="00021325" w:rsidRDefault="005048A2" w14:paraId="44303E1C" w14:textId="09CB9E3A">
      <w:pPr>
        <w:pStyle w:val="Bullets"/>
      </w:pPr>
      <w:r>
        <w:t>Assisting with LSL inventories and reviewing inventories</w:t>
      </w:r>
    </w:p>
    <w:p w:rsidR="0034332A" w:rsidP="00021325" w:rsidRDefault="005E5A5E" w14:paraId="1D1B5F60" w14:textId="77777777">
      <w:pPr>
        <w:pStyle w:val="Bullets"/>
      </w:pPr>
      <w:r>
        <w:t>Reviewing demonstrations of no LSLs from systems</w:t>
      </w:r>
    </w:p>
    <w:p w:rsidRPr="006770D4" w:rsidR="00FC46DC" w:rsidP="00021325" w:rsidRDefault="00F00B30" w14:paraId="3E26B5D3" w14:textId="66A938C4">
      <w:pPr>
        <w:pStyle w:val="Bullets"/>
      </w:pPr>
      <w:r>
        <w:t xml:space="preserve">Conferring with systems on initial planning for </w:t>
      </w:r>
      <w:r w:rsidR="00822C9A">
        <w:t>LSLR</w:t>
      </w:r>
      <w:r>
        <w:t xml:space="preserve"> and reviewing plan.</w:t>
      </w:r>
    </w:p>
    <w:p w:rsidR="0034332A" w:rsidP="003A1A83" w:rsidRDefault="0034332A" w14:paraId="6E1A3239" w14:textId="6E69D006">
      <w:pPr>
        <w:pStyle w:val="NormalIndent"/>
      </w:pPr>
      <w:r>
        <w:t xml:space="preserve">Activities outside the initial </w:t>
      </w:r>
      <w:r w:rsidR="006135D5">
        <w:t>3-</w:t>
      </w:r>
      <w:r>
        <w:t>year period are not included in this ICR supporting statement’s burden estimates.</w:t>
      </w:r>
      <w:r w:rsidR="00792F80">
        <w:t xml:space="preserve"> </w:t>
      </w:r>
      <w:r w:rsidR="00792F80">
        <w:fldChar w:fldCharType="begin"/>
      </w:r>
      <w:r w:rsidR="00792F80">
        <w:instrText xml:space="preserve"> REF _Ref4507333 \h </w:instrText>
      </w:r>
      <w:r w:rsidR="00792F80">
        <w:fldChar w:fldCharType="separate"/>
      </w:r>
      <w:r w:rsidR="00106B5A">
        <w:t xml:space="preserve">Exhibit </w:t>
      </w:r>
      <w:r w:rsidR="00106B5A">
        <w:rPr>
          <w:noProof/>
        </w:rPr>
        <w:t>1</w:t>
      </w:r>
      <w:r w:rsidR="00792F80">
        <w:fldChar w:fldCharType="end"/>
      </w:r>
      <w:r>
        <w:t xml:space="preserve">, however, lists regulatory changes that could impose burden and/or cost on respondents after the initial three years. </w:t>
      </w:r>
    </w:p>
    <w:p w:rsidR="00446AC8" w:rsidP="00446AC8" w:rsidRDefault="005048A2" w14:paraId="7E0594FD" w14:textId="5C10ABF0">
      <w:pPr>
        <w:pStyle w:val="NormalIndent"/>
      </w:pPr>
      <w:r>
        <w:t xml:space="preserve">The EPA estimated a low cost and high cost scenario for the costs and benefits of the </w:t>
      </w:r>
      <w:r w:rsidR="00134208">
        <w:t xml:space="preserve">final </w:t>
      </w:r>
      <w:r>
        <w:t xml:space="preserve">rule, and the ranges presented in this ICR represent those scenarios. The </w:t>
      </w:r>
      <w:r w:rsidRPr="005048A2">
        <w:t>EPA used data from Cornwell et al. (2016)</w:t>
      </w:r>
      <w:r>
        <w:rPr>
          <w:rStyle w:val="FootnoteReference"/>
        </w:rPr>
        <w:footnoteReference w:id="6"/>
      </w:r>
      <w:r w:rsidRPr="005048A2">
        <w:t xml:space="preserve"> to generate the </w:t>
      </w:r>
      <w:r w:rsidRPr="005048A2" w:rsidR="00631340">
        <w:t>low-cost</w:t>
      </w:r>
      <w:r w:rsidRPr="005048A2">
        <w:t xml:space="preserve"> scenario estimate and the 1991 RIA (USEPA, 1991)</w:t>
      </w:r>
      <w:r>
        <w:rPr>
          <w:rStyle w:val="FootnoteReference"/>
        </w:rPr>
        <w:footnoteReference w:id="7"/>
      </w:r>
      <w:r w:rsidRPr="005048A2">
        <w:t xml:space="preserve"> to generate the high cost scenario estimate of </w:t>
      </w:r>
      <w:r>
        <w:t>the</w:t>
      </w:r>
      <w:r w:rsidRPr="005048A2">
        <w:t xml:space="preserve"> LSL inventory parameters</w:t>
      </w:r>
      <w:r>
        <w:t xml:space="preserve">. </w:t>
      </w:r>
      <w:r w:rsidR="003A1A83">
        <w:t xml:space="preserve">For the first three years after the final rule </w:t>
      </w:r>
      <w:r w:rsidRPr="0027631A" w:rsidR="003A1A83">
        <w:t>is</w:t>
      </w:r>
      <w:r w:rsidR="003A1A83">
        <w:t xml:space="preserve"> published</w:t>
      </w:r>
      <w:r w:rsidRPr="00847F36" w:rsidR="003A1A83">
        <w:t xml:space="preserve">, </w:t>
      </w:r>
      <w:r w:rsidR="00446AC8">
        <w:t xml:space="preserve">the </w:t>
      </w:r>
      <w:r w:rsidR="007237B0">
        <w:t xml:space="preserve">average </w:t>
      </w:r>
      <w:r w:rsidR="00446AC8">
        <w:t xml:space="preserve">burden associated with this ICR is estimated to be </w:t>
      </w:r>
      <w:r w:rsidR="00261098">
        <w:rPr>
          <w:szCs w:val="24"/>
        </w:rPr>
        <w:t xml:space="preserve">1,057,025 to </w:t>
      </w:r>
      <w:r w:rsidRPr="00261098" w:rsidR="00261098">
        <w:rPr>
          <w:szCs w:val="24"/>
        </w:rPr>
        <w:t>1,129,340</w:t>
      </w:r>
      <w:r w:rsidR="00822C9A">
        <w:rPr>
          <w:szCs w:val="24"/>
        </w:rPr>
        <w:t xml:space="preserve"> </w:t>
      </w:r>
      <w:r w:rsidR="00446AC8">
        <w:t>burden hours</w:t>
      </w:r>
      <w:r w:rsidR="00F74B39">
        <w:t xml:space="preserve"> </w:t>
      </w:r>
      <w:r w:rsidR="0073053D">
        <w:t>per year</w:t>
      </w:r>
      <w:r w:rsidR="00446AC8">
        <w:t>. The corresponding costs are estimated to be</w:t>
      </w:r>
      <w:r w:rsidR="004568E3">
        <w:t xml:space="preserve"> </w:t>
      </w:r>
      <w:r w:rsidR="00261098">
        <w:rPr>
          <w:szCs w:val="24"/>
        </w:rPr>
        <w:t xml:space="preserve">$38,385,074 to </w:t>
      </w:r>
      <w:r w:rsidRPr="00261098" w:rsidR="00261098">
        <w:rPr>
          <w:szCs w:val="24"/>
        </w:rPr>
        <w:t xml:space="preserve">$41,114,928 </w:t>
      </w:r>
      <w:r w:rsidR="00F00B30">
        <w:rPr>
          <w:szCs w:val="24"/>
        </w:rPr>
        <w:t>per</w:t>
      </w:r>
      <w:r w:rsidR="0073053D">
        <w:rPr>
          <w:szCs w:val="24"/>
        </w:rPr>
        <w:t xml:space="preserve"> year</w:t>
      </w:r>
      <w:r w:rsidR="00446AC8">
        <w:t xml:space="preserve">. </w:t>
      </w:r>
      <w:r w:rsidRPr="00663BE6" w:rsidR="00446AC8">
        <w:t xml:space="preserve">EPA estimates the </w:t>
      </w:r>
      <w:r w:rsidR="0073053D">
        <w:t xml:space="preserve">average </w:t>
      </w:r>
      <w:r w:rsidRPr="00663BE6" w:rsidR="00446AC8">
        <w:t xml:space="preserve">respondent burden for PWSs to be </w:t>
      </w:r>
      <w:r w:rsidRPr="00822C9A" w:rsidR="00822C9A">
        <w:t>838,014</w:t>
      </w:r>
      <w:r w:rsidR="00822C9A">
        <w:t xml:space="preserve"> to </w:t>
      </w:r>
      <w:r w:rsidRPr="00822C9A" w:rsidR="00822C9A">
        <w:t>896,641</w:t>
      </w:r>
      <w:r w:rsidR="00822C9A">
        <w:t xml:space="preserve"> </w:t>
      </w:r>
      <w:r w:rsidRPr="00663BE6" w:rsidR="00446AC8">
        <w:t>hours</w:t>
      </w:r>
      <w:r w:rsidR="0073053D">
        <w:t xml:space="preserve"> per year</w:t>
      </w:r>
      <w:r w:rsidRPr="00663BE6" w:rsidR="00446AC8">
        <w:t>.</w:t>
      </w:r>
      <w:r w:rsidR="001F2124">
        <w:t xml:space="preserve"> </w:t>
      </w:r>
      <w:r w:rsidRPr="00663BE6" w:rsidR="00446AC8">
        <w:t>Respondent costs for PWSs are estimated to be</w:t>
      </w:r>
      <w:r w:rsidR="00D70AE0">
        <w:t xml:space="preserve"> </w:t>
      </w:r>
      <w:r w:rsidRPr="00822C9A" w:rsidR="00822C9A">
        <w:t xml:space="preserve">$25,848,865 </w:t>
      </w:r>
      <w:r w:rsidR="00822C9A">
        <w:t xml:space="preserve">to $27,795,257 </w:t>
      </w:r>
      <w:r w:rsidR="00F00B30">
        <w:rPr>
          <w:szCs w:val="24"/>
        </w:rPr>
        <w:t>per</w:t>
      </w:r>
      <w:r w:rsidR="0073053D">
        <w:rPr>
          <w:szCs w:val="24"/>
        </w:rPr>
        <w:t xml:space="preserve"> year</w:t>
      </w:r>
      <w:r w:rsidR="00446AC8">
        <w:t xml:space="preserve">. </w:t>
      </w:r>
      <w:r w:rsidRPr="00663BE6" w:rsidR="00446AC8">
        <w:t xml:space="preserve">The Agency estimates that the </w:t>
      </w:r>
      <w:r w:rsidR="007237B0">
        <w:t xml:space="preserve">average </w:t>
      </w:r>
      <w:r w:rsidRPr="00663BE6" w:rsidR="00446AC8">
        <w:t xml:space="preserve">burden for </w:t>
      </w:r>
      <w:r w:rsidR="007606BB">
        <w:t>primacy agencies</w:t>
      </w:r>
      <w:r w:rsidRPr="00663BE6" w:rsidR="00446AC8">
        <w:t xml:space="preserve"> is </w:t>
      </w:r>
      <w:r w:rsidR="00261098">
        <w:t xml:space="preserve">219,011 to </w:t>
      </w:r>
      <w:r w:rsidRPr="00261098" w:rsidR="00261098">
        <w:t>232,699</w:t>
      </w:r>
      <w:r w:rsidR="00261098">
        <w:t xml:space="preserve"> </w:t>
      </w:r>
      <w:r w:rsidRPr="00663BE6" w:rsidR="00446AC8">
        <w:t>hours</w:t>
      </w:r>
      <w:r w:rsidR="00261EB6">
        <w:t xml:space="preserve"> per year</w:t>
      </w:r>
      <w:r w:rsidR="00446AC8">
        <w:t xml:space="preserve">. </w:t>
      </w:r>
      <w:r w:rsidRPr="00663BE6" w:rsidR="00446AC8">
        <w:t xml:space="preserve">The corresponding respondent costs for </w:t>
      </w:r>
      <w:r w:rsidR="007606BB">
        <w:t>primacy agencies</w:t>
      </w:r>
      <w:r w:rsidRPr="00663BE6" w:rsidR="00446AC8">
        <w:t xml:space="preserve"> are estimated to be</w:t>
      </w:r>
      <w:r w:rsidR="00567583">
        <w:t xml:space="preserve"> </w:t>
      </w:r>
      <w:r w:rsidR="00261EB6">
        <w:t xml:space="preserve">an average of </w:t>
      </w:r>
      <w:r w:rsidR="00261098">
        <w:t xml:space="preserve">$12,536,209 to </w:t>
      </w:r>
      <w:r w:rsidRPr="00261098" w:rsidR="00261098">
        <w:t xml:space="preserve">$13,319,672 </w:t>
      </w:r>
      <w:r w:rsidR="00F00B30">
        <w:rPr>
          <w:szCs w:val="24"/>
        </w:rPr>
        <w:t>per</w:t>
      </w:r>
      <w:r w:rsidR="007237B0">
        <w:rPr>
          <w:szCs w:val="24"/>
        </w:rPr>
        <w:t xml:space="preserve"> year</w:t>
      </w:r>
      <w:r w:rsidRPr="00663BE6" w:rsidR="00446AC8">
        <w:t>.</w:t>
      </w:r>
      <w:r w:rsidR="00446AC8">
        <w:t xml:space="preserve"> The rule implementation and startup activities </w:t>
      </w:r>
      <w:r w:rsidR="00B32286">
        <w:t xml:space="preserve">for PWSs </w:t>
      </w:r>
      <w:r w:rsidR="00446AC8">
        <w:t xml:space="preserve">are assumed to occur in the first year while the implementation of the </w:t>
      </w:r>
      <w:r w:rsidR="00822C9A">
        <w:t>LSL</w:t>
      </w:r>
      <w:r w:rsidR="00446AC8">
        <w:t xml:space="preserve"> inventory</w:t>
      </w:r>
      <w:r w:rsidR="00E07F9F">
        <w:t xml:space="preserve">, </w:t>
      </w:r>
      <w:r w:rsidR="00822C9A">
        <w:t>LSLR</w:t>
      </w:r>
      <w:r w:rsidR="00E07F9F">
        <w:t xml:space="preserve"> plan, demonstration of no </w:t>
      </w:r>
      <w:r w:rsidR="00822C9A">
        <w:t>LSLs</w:t>
      </w:r>
      <w:r w:rsidR="00B32286">
        <w:t>, and the primacy agency adoption and training costs are</w:t>
      </w:r>
      <w:r w:rsidR="00446AC8">
        <w:t xml:space="preserve"> distributed over the first three years. There is no Agency burden or cost except where the Agency acts as </w:t>
      </w:r>
      <w:r w:rsidR="00C018A3">
        <w:t xml:space="preserve">the </w:t>
      </w:r>
      <w:r w:rsidR="00446AC8">
        <w:t>primacy agency.</w:t>
      </w:r>
      <w:r w:rsidR="007237B0">
        <w:t xml:space="preserve"> However, </w:t>
      </w:r>
      <w:r w:rsidRPr="007237B0" w:rsidR="007237B0">
        <w:t xml:space="preserve">burden and costs for </w:t>
      </w:r>
      <w:r w:rsidR="007237B0">
        <w:t>cases where the Agency acts as primacy agency</w:t>
      </w:r>
      <w:r w:rsidRPr="007237B0" w:rsidR="007237B0">
        <w:t xml:space="preserve"> are accounted for under the primacy agency burden</w:t>
      </w:r>
      <w:r w:rsidR="007237B0">
        <w:t xml:space="preserve"> above.</w:t>
      </w:r>
    </w:p>
    <w:p w:rsidR="003A1A83" w:rsidP="003A1A83" w:rsidRDefault="003A1A83" w14:paraId="3731977C" w14:textId="795AF405">
      <w:pPr>
        <w:pStyle w:val="NormalIndent"/>
      </w:pPr>
      <w:r>
        <w:t>The total number of respondents for this ICR is 67,712. Fifty-six of these respondents are primacy agencies and the remaining 67,656 respondents are water systems. The total number of responses for these responde</w:t>
      </w:r>
      <w:r w:rsidR="00025BF6">
        <w:t>nts is</w:t>
      </w:r>
      <w:r w:rsidR="00446AC8">
        <w:t xml:space="preserve"> </w:t>
      </w:r>
      <w:r w:rsidR="00822C9A">
        <w:t xml:space="preserve">346,164 to </w:t>
      </w:r>
      <w:r w:rsidRPr="00822C9A" w:rsidR="00822C9A">
        <w:t>351,796</w:t>
      </w:r>
      <w:r w:rsidR="00822C9A">
        <w:t xml:space="preserve"> </w:t>
      </w:r>
      <w:r w:rsidR="00481470">
        <w:t>with</w:t>
      </w:r>
      <w:r w:rsidRPr="00566FBA" w:rsidR="00566FBA">
        <w:t xml:space="preserve"> </w:t>
      </w:r>
      <w:r w:rsidR="00822C9A">
        <w:t xml:space="preserve">274,454 to </w:t>
      </w:r>
      <w:r w:rsidRPr="00822C9A" w:rsidR="00822C9A">
        <w:t>277,270</w:t>
      </w:r>
      <w:r w:rsidR="00822C9A">
        <w:t xml:space="preserve"> </w:t>
      </w:r>
      <w:r w:rsidR="00C40649">
        <w:t xml:space="preserve">responses </w:t>
      </w:r>
      <w:r w:rsidRPr="00C16859">
        <w:t xml:space="preserve">for water systems and </w:t>
      </w:r>
      <w:r w:rsidR="00822C9A">
        <w:t xml:space="preserve">71,710 to </w:t>
      </w:r>
      <w:r w:rsidRPr="00822C9A" w:rsidR="00822C9A">
        <w:t>74,526</w:t>
      </w:r>
      <w:r w:rsidR="00822C9A">
        <w:t xml:space="preserve"> </w:t>
      </w:r>
      <w:r w:rsidR="00C40649">
        <w:t xml:space="preserve">responses </w:t>
      </w:r>
      <w:r w:rsidRPr="00C16859">
        <w:t>for primacy agencies.</w:t>
      </w:r>
      <w:r w:rsidR="00274686">
        <w:t xml:space="preserve"> The average burden per response is </w:t>
      </w:r>
      <w:r w:rsidR="00261098">
        <w:t xml:space="preserve">9.16 to </w:t>
      </w:r>
      <w:r w:rsidRPr="00261098" w:rsidR="00261098">
        <w:t>9.63</w:t>
      </w:r>
      <w:r w:rsidR="00CF08B1">
        <w:t xml:space="preserve"> </w:t>
      </w:r>
      <w:r w:rsidR="00274686">
        <w:t>hours. Th</w:t>
      </w:r>
      <w:r w:rsidR="00C33DF8">
        <w:t xml:space="preserve">e average cost per response is </w:t>
      </w:r>
      <w:r w:rsidR="00261098">
        <w:t xml:space="preserve">$333 to </w:t>
      </w:r>
      <w:r w:rsidRPr="00261098" w:rsidR="00261098">
        <w:t>$351</w:t>
      </w:r>
      <w:r w:rsidR="00274686">
        <w:t>.</w:t>
      </w:r>
    </w:p>
    <w:p w:rsidR="003A1A83" w:rsidP="003A1A83" w:rsidRDefault="003A1A83" w14:paraId="048D4758" w14:textId="0B3F03F4">
      <w:pPr>
        <w:pStyle w:val="NormalIndent"/>
      </w:pPr>
      <w:r w:rsidRPr="00847F36">
        <w:lastRenderedPageBreak/>
        <w:t xml:space="preserve">These burden and cost estimates represent those activities that </w:t>
      </w:r>
      <w:r w:rsidR="006A5532">
        <w:t xml:space="preserve">the </w:t>
      </w:r>
      <w:r w:rsidRPr="00847F36">
        <w:t xml:space="preserve">EPA expects would occur in the initial three-year period. During this period, systems and </w:t>
      </w:r>
      <w:r w:rsidR="007606BB">
        <w:t>primacy agencies</w:t>
      </w:r>
      <w:r w:rsidRPr="00847F36">
        <w:t xml:space="preserve"> would perform the initial, one-time activities related to rule review and primacy requirements. </w:t>
      </w:r>
      <w:r>
        <w:t xml:space="preserve">Because </w:t>
      </w:r>
      <w:r w:rsidR="006135D5">
        <w:t xml:space="preserve">many </w:t>
      </w:r>
      <w:r>
        <w:t xml:space="preserve">implementation </w:t>
      </w:r>
      <w:r w:rsidR="006135D5">
        <w:t xml:space="preserve">actions </w:t>
      </w:r>
      <w:r>
        <w:t>do not begin during the initial three-year period, this ICR does not include burden and costs for activities that are required during full rule implementation (e.g., primacy agencies reporting data to SDWIS and water systems reporting changes in tap location during tap sampling).</w:t>
      </w:r>
    </w:p>
    <w:p w:rsidR="00792F80" w:rsidP="00792F80" w:rsidRDefault="00792F80" w14:paraId="3AF69F89" w14:textId="77777777">
      <w:pPr>
        <w:pStyle w:val="Caption"/>
      </w:pPr>
      <w:bookmarkStart w:name="_Ref4507333" w:id="6"/>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106B5A">
        <w:rPr>
          <w:noProof/>
        </w:rPr>
        <w:t>1</w:t>
      </w:r>
      <w:r w:rsidR="00856859">
        <w:rPr>
          <w:noProof/>
        </w:rPr>
        <w:fldChar w:fldCharType="end"/>
      </w:r>
      <w:bookmarkEnd w:id="6"/>
      <w:r>
        <w:rPr>
          <w:noProof/>
        </w:rPr>
        <w:t xml:space="preserve">. </w:t>
      </w:r>
      <w:r w:rsidRPr="000757B1">
        <w:rPr>
          <w:noProof/>
        </w:rPr>
        <w:t xml:space="preserve">Summary of Additional Activities Required by </w:t>
      </w:r>
      <w:r w:rsidR="00C018A3">
        <w:rPr>
          <w:noProof/>
        </w:rPr>
        <w:t>LCRR</w:t>
      </w: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83"/>
        <w:gridCol w:w="1327"/>
        <w:gridCol w:w="1530"/>
        <w:gridCol w:w="1728"/>
        <w:gridCol w:w="1242"/>
        <w:gridCol w:w="1350"/>
      </w:tblGrid>
      <w:tr w:rsidRPr="00344F30" w:rsidR="0034332A" w:rsidTr="00344F30" w14:paraId="57D52A29" w14:textId="77777777">
        <w:trPr>
          <w:tblHeader/>
        </w:trPr>
        <w:tc>
          <w:tcPr>
            <w:tcW w:w="2183" w:type="dxa"/>
            <w:vMerge w:val="restart"/>
            <w:shd w:val="clear" w:color="auto" w:fill="auto"/>
            <w:vAlign w:val="center"/>
          </w:tcPr>
          <w:p w:rsidRPr="00344F30" w:rsidR="0034332A" w:rsidP="00344F30" w:rsidRDefault="0034332A" w14:paraId="225316D3" w14:textId="77777777">
            <w:pPr>
              <w:pStyle w:val="Table"/>
              <w:jc w:val="center"/>
              <w:rPr>
                <w:b/>
              </w:rPr>
            </w:pPr>
            <w:r w:rsidRPr="00344F30">
              <w:rPr>
                <w:b/>
              </w:rPr>
              <w:t>Regulatory</w:t>
            </w:r>
          </w:p>
          <w:p w:rsidRPr="00344F30" w:rsidR="0034332A" w:rsidP="00344F30" w:rsidRDefault="0034332A" w14:paraId="689F5E23" w14:textId="77777777">
            <w:pPr>
              <w:pStyle w:val="Table"/>
              <w:jc w:val="center"/>
              <w:rPr>
                <w:b/>
              </w:rPr>
            </w:pPr>
            <w:r w:rsidRPr="00344F30">
              <w:rPr>
                <w:b/>
              </w:rPr>
              <w:t>Change</w:t>
            </w:r>
          </w:p>
        </w:tc>
        <w:tc>
          <w:tcPr>
            <w:tcW w:w="5827" w:type="dxa"/>
            <w:gridSpan w:val="4"/>
            <w:shd w:val="clear" w:color="auto" w:fill="auto"/>
            <w:vAlign w:val="center"/>
          </w:tcPr>
          <w:p w:rsidRPr="00344F30" w:rsidR="0034332A" w:rsidP="00344F30" w:rsidRDefault="0034332A" w14:paraId="44EB5B7A" w14:textId="77777777">
            <w:pPr>
              <w:pStyle w:val="Table"/>
              <w:jc w:val="center"/>
              <w:rPr>
                <w:b/>
              </w:rPr>
            </w:pPr>
            <w:r w:rsidRPr="00344F30">
              <w:rPr>
                <w:b/>
              </w:rPr>
              <w:t>System Costs</w:t>
            </w:r>
          </w:p>
        </w:tc>
        <w:tc>
          <w:tcPr>
            <w:tcW w:w="1350" w:type="dxa"/>
            <w:shd w:val="clear" w:color="auto" w:fill="auto"/>
            <w:vAlign w:val="center"/>
          </w:tcPr>
          <w:p w:rsidRPr="00344F30" w:rsidR="0034332A" w:rsidP="00C0304A" w:rsidRDefault="00E604CC" w14:paraId="14212D57" w14:textId="77777777">
            <w:pPr>
              <w:pStyle w:val="Table"/>
              <w:jc w:val="center"/>
              <w:rPr>
                <w:b/>
              </w:rPr>
            </w:pPr>
            <w:r>
              <w:rPr>
                <w:b/>
              </w:rPr>
              <w:t xml:space="preserve">Primacy </w:t>
            </w:r>
            <w:r w:rsidR="00C0304A">
              <w:rPr>
                <w:b/>
              </w:rPr>
              <w:t>Agency</w:t>
            </w:r>
            <w:r w:rsidRPr="00344F30" w:rsidR="00C0304A">
              <w:rPr>
                <w:b/>
              </w:rPr>
              <w:t xml:space="preserve"> </w:t>
            </w:r>
            <w:r w:rsidRPr="00344F30" w:rsidR="0034332A">
              <w:rPr>
                <w:b/>
              </w:rPr>
              <w:t>Costs</w:t>
            </w:r>
          </w:p>
        </w:tc>
      </w:tr>
      <w:tr w:rsidRPr="00344F30" w:rsidR="0034332A" w:rsidTr="00344F30" w14:paraId="4C247F85" w14:textId="77777777">
        <w:trPr>
          <w:trHeight w:val="20"/>
          <w:tblHeader/>
        </w:trPr>
        <w:tc>
          <w:tcPr>
            <w:tcW w:w="2183" w:type="dxa"/>
            <w:vMerge/>
            <w:shd w:val="clear" w:color="auto" w:fill="auto"/>
            <w:vAlign w:val="center"/>
          </w:tcPr>
          <w:p w:rsidRPr="00344F30" w:rsidR="0034332A" w:rsidP="00344F30" w:rsidRDefault="0034332A" w14:paraId="27BF52A5" w14:textId="77777777">
            <w:pPr>
              <w:pStyle w:val="Table"/>
              <w:jc w:val="center"/>
              <w:rPr>
                <w:b/>
              </w:rPr>
            </w:pPr>
          </w:p>
        </w:tc>
        <w:tc>
          <w:tcPr>
            <w:tcW w:w="1327" w:type="dxa"/>
            <w:shd w:val="clear" w:color="auto" w:fill="auto"/>
            <w:vAlign w:val="center"/>
          </w:tcPr>
          <w:p w:rsidRPr="00344F30" w:rsidR="0034332A" w:rsidP="00344F30" w:rsidRDefault="0034332A" w14:paraId="71D23F0F" w14:textId="77777777">
            <w:pPr>
              <w:pStyle w:val="Table"/>
              <w:jc w:val="center"/>
              <w:rPr>
                <w:b/>
              </w:rPr>
            </w:pPr>
            <w:r w:rsidRPr="00344F30">
              <w:rPr>
                <w:b/>
              </w:rPr>
              <w:t>System Reporting</w:t>
            </w:r>
          </w:p>
        </w:tc>
        <w:tc>
          <w:tcPr>
            <w:tcW w:w="1530" w:type="dxa"/>
            <w:shd w:val="clear" w:color="auto" w:fill="auto"/>
            <w:vAlign w:val="center"/>
          </w:tcPr>
          <w:p w:rsidRPr="00344F30" w:rsidR="0034332A" w:rsidP="00344F30" w:rsidRDefault="0034332A" w14:paraId="29CA085A" w14:textId="77777777">
            <w:pPr>
              <w:pStyle w:val="Table"/>
              <w:jc w:val="center"/>
              <w:rPr>
                <w:b/>
              </w:rPr>
            </w:pPr>
            <w:r w:rsidRPr="00344F30">
              <w:rPr>
                <w:b/>
              </w:rPr>
              <w:t>Tap Water Monitoring</w:t>
            </w:r>
          </w:p>
        </w:tc>
        <w:tc>
          <w:tcPr>
            <w:tcW w:w="1728" w:type="dxa"/>
            <w:shd w:val="clear" w:color="auto" w:fill="auto"/>
            <w:vAlign w:val="center"/>
          </w:tcPr>
          <w:p w:rsidRPr="00344F30" w:rsidR="0034332A" w:rsidP="00344F30" w:rsidRDefault="0034332A" w14:paraId="46AF3FBC" w14:textId="77777777">
            <w:pPr>
              <w:pStyle w:val="Table"/>
              <w:jc w:val="center"/>
              <w:rPr>
                <w:b/>
              </w:rPr>
            </w:pPr>
            <w:r w:rsidRPr="00344F30">
              <w:rPr>
                <w:b/>
              </w:rPr>
              <w:t>Water Quality Parameter Monitoring</w:t>
            </w:r>
          </w:p>
        </w:tc>
        <w:tc>
          <w:tcPr>
            <w:tcW w:w="1242" w:type="dxa"/>
            <w:shd w:val="clear" w:color="auto" w:fill="auto"/>
            <w:vAlign w:val="center"/>
          </w:tcPr>
          <w:p w:rsidRPr="00344F30" w:rsidR="0034332A" w:rsidP="00344F30" w:rsidRDefault="0034332A" w14:paraId="4C2CDD5F" w14:textId="77777777">
            <w:pPr>
              <w:pStyle w:val="Table"/>
              <w:jc w:val="center"/>
              <w:rPr>
                <w:b/>
              </w:rPr>
            </w:pPr>
            <w:r w:rsidRPr="00344F30">
              <w:rPr>
                <w:b/>
              </w:rPr>
              <w:t>Public Education</w:t>
            </w:r>
          </w:p>
        </w:tc>
        <w:tc>
          <w:tcPr>
            <w:tcW w:w="1350" w:type="dxa"/>
            <w:shd w:val="clear" w:color="auto" w:fill="auto"/>
            <w:vAlign w:val="center"/>
          </w:tcPr>
          <w:p w:rsidRPr="00344F30" w:rsidR="0034332A" w:rsidP="00C0304A" w:rsidRDefault="00E604CC" w14:paraId="703569B0" w14:textId="77777777">
            <w:pPr>
              <w:pStyle w:val="Table"/>
              <w:jc w:val="center"/>
              <w:rPr>
                <w:b/>
              </w:rPr>
            </w:pPr>
            <w:r>
              <w:rPr>
                <w:b/>
              </w:rPr>
              <w:t xml:space="preserve">Primacy </w:t>
            </w:r>
            <w:r w:rsidR="00C0304A">
              <w:rPr>
                <w:b/>
              </w:rPr>
              <w:t>Agency</w:t>
            </w:r>
            <w:r w:rsidRPr="00344F30" w:rsidR="00C0304A">
              <w:rPr>
                <w:b/>
              </w:rPr>
              <w:t xml:space="preserve"> </w:t>
            </w:r>
            <w:r w:rsidRPr="00344F30" w:rsidR="0034332A">
              <w:rPr>
                <w:b/>
              </w:rPr>
              <w:t>Review</w:t>
            </w:r>
          </w:p>
        </w:tc>
      </w:tr>
      <w:tr w:rsidR="0034332A" w:rsidTr="00344F30" w14:paraId="366D8C21" w14:textId="77777777">
        <w:trPr>
          <w:trHeight w:val="20"/>
        </w:trPr>
        <w:tc>
          <w:tcPr>
            <w:tcW w:w="2183" w:type="dxa"/>
            <w:vAlign w:val="center"/>
          </w:tcPr>
          <w:p w:rsidRPr="00713A46" w:rsidR="0034332A" w:rsidP="00344F30" w:rsidRDefault="0034332A" w14:paraId="2F3CF173" w14:textId="77777777">
            <w:pPr>
              <w:pStyle w:val="Table"/>
            </w:pPr>
            <w:r w:rsidRPr="00713A46">
              <w:t>Lead and Copper Tap Monitoring</w:t>
            </w:r>
          </w:p>
        </w:tc>
        <w:tc>
          <w:tcPr>
            <w:tcW w:w="1327" w:type="dxa"/>
            <w:shd w:val="clear" w:color="auto" w:fill="auto"/>
            <w:vAlign w:val="center"/>
          </w:tcPr>
          <w:p w:rsidRPr="00800169" w:rsidR="0034332A" w:rsidP="00344F30" w:rsidRDefault="0034332A" w14:paraId="5007A457" w14:textId="77777777">
            <w:pPr>
              <w:pStyle w:val="Table"/>
              <w:jc w:val="center"/>
            </w:pPr>
            <w:r>
              <w:t>x</w:t>
            </w:r>
          </w:p>
        </w:tc>
        <w:tc>
          <w:tcPr>
            <w:tcW w:w="1530" w:type="dxa"/>
            <w:shd w:val="clear" w:color="auto" w:fill="auto"/>
            <w:vAlign w:val="center"/>
          </w:tcPr>
          <w:p w:rsidRPr="00800169" w:rsidR="0034332A" w:rsidP="00344F30" w:rsidRDefault="0034332A" w14:paraId="50387618" w14:textId="77777777">
            <w:pPr>
              <w:pStyle w:val="Table"/>
              <w:jc w:val="center"/>
            </w:pPr>
            <w:r>
              <w:t>x</w:t>
            </w:r>
          </w:p>
        </w:tc>
        <w:tc>
          <w:tcPr>
            <w:tcW w:w="1728" w:type="dxa"/>
            <w:shd w:val="clear" w:color="auto" w:fill="auto"/>
            <w:vAlign w:val="center"/>
          </w:tcPr>
          <w:p w:rsidRPr="00800169" w:rsidR="0034332A" w:rsidP="00344F30" w:rsidRDefault="0034332A" w14:paraId="2117646A" w14:textId="77777777">
            <w:pPr>
              <w:pStyle w:val="Table"/>
              <w:jc w:val="center"/>
            </w:pPr>
          </w:p>
        </w:tc>
        <w:tc>
          <w:tcPr>
            <w:tcW w:w="1242" w:type="dxa"/>
            <w:vAlign w:val="center"/>
          </w:tcPr>
          <w:p w:rsidR="0034332A" w:rsidP="00344F30" w:rsidRDefault="0034332A" w14:paraId="19740D5A" w14:textId="77777777">
            <w:pPr>
              <w:pStyle w:val="Table"/>
              <w:jc w:val="center"/>
            </w:pPr>
            <w:r>
              <w:t>x</w:t>
            </w:r>
          </w:p>
        </w:tc>
        <w:tc>
          <w:tcPr>
            <w:tcW w:w="1350" w:type="dxa"/>
            <w:shd w:val="clear" w:color="auto" w:fill="auto"/>
            <w:vAlign w:val="center"/>
          </w:tcPr>
          <w:p w:rsidRPr="00800169" w:rsidR="0034332A" w:rsidP="00344F30" w:rsidRDefault="0034332A" w14:paraId="1430FD2E" w14:textId="77777777">
            <w:pPr>
              <w:pStyle w:val="Table"/>
              <w:jc w:val="center"/>
            </w:pPr>
            <w:r>
              <w:t>x</w:t>
            </w:r>
          </w:p>
        </w:tc>
      </w:tr>
      <w:tr w:rsidR="0034332A" w:rsidTr="00344F30" w14:paraId="32BA3531" w14:textId="77777777">
        <w:trPr>
          <w:trHeight w:val="20"/>
        </w:trPr>
        <w:tc>
          <w:tcPr>
            <w:tcW w:w="2183" w:type="dxa"/>
            <w:vAlign w:val="center"/>
          </w:tcPr>
          <w:p w:rsidRPr="00800169" w:rsidR="0034332A" w:rsidP="00344F30" w:rsidRDefault="0034332A" w14:paraId="23A58D3B" w14:textId="61895EB9">
            <w:pPr>
              <w:pStyle w:val="Table"/>
            </w:pPr>
            <w:r>
              <w:t>Corrosion Control Treatment and Water Quality Parameter Monitoring</w:t>
            </w:r>
          </w:p>
        </w:tc>
        <w:tc>
          <w:tcPr>
            <w:tcW w:w="1327" w:type="dxa"/>
            <w:vAlign w:val="center"/>
          </w:tcPr>
          <w:p w:rsidRPr="00800169" w:rsidR="0034332A" w:rsidP="00344F30" w:rsidRDefault="0034332A" w14:paraId="2127CF9A" w14:textId="77777777">
            <w:pPr>
              <w:pStyle w:val="Table"/>
              <w:jc w:val="center"/>
            </w:pPr>
            <w:r>
              <w:t>x</w:t>
            </w:r>
          </w:p>
        </w:tc>
        <w:tc>
          <w:tcPr>
            <w:tcW w:w="1530" w:type="dxa"/>
            <w:vAlign w:val="center"/>
          </w:tcPr>
          <w:p w:rsidRPr="00800169" w:rsidR="0034332A" w:rsidP="00344F30" w:rsidRDefault="0034332A" w14:paraId="0F53FF25" w14:textId="77777777">
            <w:pPr>
              <w:pStyle w:val="Table"/>
              <w:jc w:val="center"/>
            </w:pPr>
            <w:r>
              <w:t>x</w:t>
            </w:r>
          </w:p>
        </w:tc>
        <w:tc>
          <w:tcPr>
            <w:tcW w:w="1728" w:type="dxa"/>
            <w:vAlign w:val="center"/>
          </w:tcPr>
          <w:p w:rsidRPr="00800169" w:rsidR="0034332A" w:rsidP="00344F30" w:rsidRDefault="00E2664C" w14:paraId="246FEAC3" w14:textId="27852222">
            <w:pPr>
              <w:pStyle w:val="Table"/>
              <w:jc w:val="center"/>
            </w:pPr>
            <w:r>
              <w:t>x</w:t>
            </w:r>
          </w:p>
        </w:tc>
        <w:tc>
          <w:tcPr>
            <w:tcW w:w="1242" w:type="dxa"/>
            <w:vAlign w:val="center"/>
          </w:tcPr>
          <w:p w:rsidR="0034332A" w:rsidP="00344F30" w:rsidRDefault="0034332A" w14:paraId="748DF6C8" w14:textId="77777777">
            <w:pPr>
              <w:pStyle w:val="Table"/>
              <w:jc w:val="center"/>
            </w:pPr>
          </w:p>
        </w:tc>
        <w:tc>
          <w:tcPr>
            <w:tcW w:w="1350" w:type="dxa"/>
            <w:vAlign w:val="center"/>
          </w:tcPr>
          <w:p w:rsidRPr="00800169" w:rsidR="0034332A" w:rsidP="00344F30" w:rsidRDefault="0034332A" w14:paraId="05413C7D" w14:textId="77777777">
            <w:pPr>
              <w:pStyle w:val="Table"/>
              <w:jc w:val="center"/>
            </w:pPr>
            <w:r>
              <w:t>x</w:t>
            </w:r>
          </w:p>
        </w:tc>
      </w:tr>
      <w:tr w:rsidR="0034332A" w:rsidTr="00344F30" w14:paraId="7F3BB8DE" w14:textId="77777777">
        <w:trPr>
          <w:trHeight w:val="20"/>
        </w:trPr>
        <w:tc>
          <w:tcPr>
            <w:tcW w:w="2183" w:type="dxa"/>
            <w:vAlign w:val="center"/>
          </w:tcPr>
          <w:p w:rsidR="0034332A" w:rsidP="00344F30" w:rsidRDefault="0034332A" w14:paraId="2C9771F8" w14:textId="4F59918C">
            <w:pPr>
              <w:pStyle w:val="Table"/>
            </w:pPr>
            <w:r>
              <w:t>Lead Service Line Inventory</w:t>
            </w:r>
            <w:r w:rsidR="006135D5">
              <w:t xml:space="preserve"> Updates</w:t>
            </w:r>
          </w:p>
        </w:tc>
        <w:tc>
          <w:tcPr>
            <w:tcW w:w="1327" w:type="dxa"/>
            <w:vAlign w:val="center"/>
          </w:tcPr>
          <w:p w:rsidR="0034332A" w:rsidP="00344F30" w:rsidRDefault="0034332A" w14:paraId="48FBF06A" w14:textId="77777777">
            <w:pPr>
              <w:pStyle w:val="Table"/>
              <w:jc w:val="center"/>
            </w:pPr>
            <w:r>
              <w:t>x</w:t>
            </w:r>
          </w:p>
        </w:tc>
        <w:tc>
          <w:tcPr>
            <w:tcW w:w="1530" w:type="dxa"/>
            <w:vAlign w:val="center"/>
          </w:tcPr>
          <w:p w:rsidR="0034332A" w:rsidP="00344F30" w:rsidRDefault="0034332A" w14:paraId="0442EAA1" w14:textId="77777777">
            <w:pPr>
              <w:pStyle w:val="Table"/>
              <w:jc w:val="center"/>
            </w:pPr>
          </w:p>
        </w:tc>
        <w:tc>
          <w:tcPr>
            <w:tcW w:w="1728" w:type="dxa"/>
            <w:vAlign w:val="center"/>
          </w:tcPr>
          <w:p w:rsidRPr="00800169" w:rsidR="0034332A" w:rsidP="00344F30" w:rsidRDefault="0034332A" w14:paraId="162FC6FB" w14:textId="77777777">
            <w:pPr>
              <w:pStyle w:val="Table"/>
              <w:jc w:val="center"/>
            </w:pPr>
          </w:p>
        </w:tc>
        <w:tc>
          <w:tcPr>
            <w:tcW w:w="1242" w:type="dxa"/>
            <w:vAlign w:val="center"/>
          </w:tcPr>
          <w:p w:rsidR="0034332A" w:rsidP="00344F30" w:rsidRDefault="0034332A" w14:paraId="41F15045" w14:textId="77777777">
            <w:pPr>
              <w:pStyle w:val="Table"/>
              <w:jc w:val="center"/>
            </w:pPr>
          </w:p>
        </w:tc>
        <w:tc>
          <w:tcPr>
            <w:tcW w:w="1350" w:type="dxa"/>
            <w:vAlign w:val="center"/>
          </w:tcPr>
          <w:p w:rsidR="0034332A" w:rsidP="00344F30" w:rsidRDefault="0034332A" w14:paraId="61A12CAC" w14:textId="77777777">
            <w:pPr>
              <w:pStyle w:val="Table"/>
              <w:jc w:val="center"/>
            </w:pPr>
            <w:r>
              <w:t>x</w:t>
            </w:r>
          </w:p>
        </w:tc>
      </w:tr>
      <w:tr w:rsidR="0034332A" w:rsidTr="00344F30" w14:paraId="224C3BD3" w14:textId="77777777">
        <w:trPr>
          <w:trHeight w:val="20"/>
        </w:trPr>
        <w:tc>
          <w:tcPr>
            <w:tcW w:w="2183" w:type="dxa"/>
            <w:vAlign w:val="center"/>
          </w:tcPr>
          <w:p w:rsidRPr="00800169" w:rsidR="0034332A" w:rsidP="00344F30" w:rsidRDefault="0034332A" w14:paraId="31301C8D" w14:textId="77777777">
            <w:pPr>
              <w:pStyle w:val="Table"/>
            </w:pPr>
            <w:r>
              <w:t>Lead Service Line Testing and Replacement</w:t>
            </w:r>
          </w:p>
        </w:tc>
        <w:tc>
          <w:tcPr>
            <w:tcW w:w="1327" w:type="dxa"/>
            <w:vAlign w:val="center"/>
          </w:tcPr>
          <w:p w:rsidRPr="00800169" w:rsidR="0034332A" w:rsidP="00344F30" w:rsidRDefault="0034332A" w14:paraId="1DC42976" w14:textId="77777777">
            <w:pPr>
              <w:pStyle w:val="Table"/>
              <w:jc w:val="center"/>
            </w:pPr>
            <w:r>
              <w:t>x</w:t>
            </w:r>
          </w:p>
        </w:tc>
        <w:tc>
          <w:tcPr>
            <w:tcW w:w="1530" w:type="dxa"/>
            <w:vAlign w:val="center"/>
          </w:tcPr>
          <w:p w:rsidRPr="00800169" w:rsidR="0034332A" w:rsidP="00344F30" w:rsidRDefault="0034332A" w14:paraId="09775E59" w14:textId="77777777">
            <w:pPr>
              <w:pStyle w:val="Table"/>
              <w:jc w:val="center"/>
            </w:pPr>
            <w:r>
              <w:t>x</w:t>
            </w:r>
          </w:p>
        </w:tc>
        <w:tc>
          <w:tcPr>
            <w:tcW w:w="1728" w:type="dxa"/>
            <w:vAlign w:val="center"/>
          </w:tcPr>
          <w:p w:rsidRPr="00800169" w:rsidR="0034332A" w:rsidP="00344F30" w:rsidRDefault="0034332A" w14:paraId="436B44F0" w14:textId="77777777">
            <w:pPr>
              <w:pStyle w:val="Table"/>
              <w:jc w:val="center"/>
            </w:pPr>
          </w:p>
        </w:tc>
        <w:tc>
          <w:tcPr>
            <w:tcW w:w="1242" w:type="dxa"/>
            <w:vAlign w:val="center"/>
          </w:tcPr>
          <w:p w:rsidR="0034332A" w:rsidP="00344F30" w:rsidRDefault="0034332A" w14:paraId="05408568" w14:textId="77777777">
            <w:pPr>
              <w:pStyle w:val="Table"/>
              <w:jc w:val="center"/>
            </w:pPr>
            <w:r>
              <w:t>x</w:t>
            </w:r>
          </w:p>
        </w:tc>
        <w:tc>
          <w:tcPr>
            <w:tcW w:w="1350" w:type="dxa"/>
            <w:vAlign w:val="center"/>
          </w:tcPr>
          <w:p w:rsidRPr="00800169" w:rsidR="0034332A" w:rsidP="00344F30" w:rsidRDefault="0034332A" w14:paraId="174A8E92" w14:textId="77777777">
            <w:pPr>
              <w:pStyle w:val="Table"/>
              <w:jc w:val="center"/>
            </w:pPr>
            <w:r>
              <w:t>x</w:t>
            </w:r>
          </w:p>
        </w:tc>
      </w:tr>
      <w:tr w:rsidR="0034332A" w:rsidTr="00344F30" w14:paraId="4C736F78" w14:textId="77777777">
        <w:trPr>
          <w:trHeight w:val="20"/>
        </w:trPr>
        <w:tc>
          <w:tcPr>
            <w:tcW w:w="2183" w:type="dxa"/>
            <w:vAlign w:val="center"/>
          </w:tcPr>
          <w:p w:rsidRPr="00800169" w:rsidR="0034332A" w:rsidP="00344F30" w:rsidRDefault="0034332A" w14:paraId="619FDDC0" w14:textId="77777777">
            <w:pPr>
              <w:pStyle w:val="Table"/>
            </w:pPr>
            <w:r>
              <w:t>Alternative to Corrosion Control Treatment and Lead Service Line Replacement</w:t>
            </w:r>
          </w:p>
        </w:tc>
        <w:tc>
          <w:tcPr>
            <w:tcW w:w="1327" w:type="dxa"/>
            <w:vAlign w:val="center"/>
          </w:tcPr>
          <w:p w:rsidRPr="00800169" w:rsidR="0034332A" w:rsidP="00344F30" w:rsidRDefault="0034332A" w14:paraId="4D0AEF42" w14:textId="77777777">
            <w:pPr>
              <w:pStyle w:val="Table"/>
              <w:jc w:val="center"/>
            </w:pPr>
            <w:r>
              <w:t>x</w:t>
            </w:r>
          </w:p>
        </w:tc>
        <w:tc>
          <w:tcPr>
            <w:tcW w:w="1530" w:type="dxa"/>
            <w:vAlign w:val="center"/>
          </w:tcPr>
          <w:p w:rsidRPr="00800169" w:rsidR="0034332A" w:rsidP="00344F30" w:rsidRDefault="0034332A" w14:paraId="37898F05" w14:textId="77777777">
            <w:pPr>
              <w:pStyle w:val="Table"/>
              <w:jc w:val="center"/>
            </w:pPr>
            <w:r>
              <w:t>x</w:t>
            </w:r>
          </w:p>
        </w:tc>
        <w:tc>
          <w:tcPr>
            <w:tcW w:w="1728" w:type="dxa"/>
            <w:vAlign w:val="center"/>
          </w:tcPr>
          <w:p w:rsidRPr="00800169" w:rsidR="0034332A" w:rsidP="00344F30" w:rsidRDefault="0034332A" w14:paraId="334076B4" w14:textId="77777777">
            <w:pPr>
              <w:pStyle w:val="Table"/>
              <w:jc w:val="center"/>
            </w:pPr>
          </w:p>
        </w:tc>
        <w:tc>
          <w:tcPr>
            <w:tcW w:w="1242" w:type="dxa"/>
            <w:vAlign w:val="center"/>
          </w:tcPr>
          <w:p w:rsidR="0034332A" w:rsidP="00344F30" w:rsidRDefault="0034332A" w14:paraId="4B16A098" w14:textId="77777777">
            <w:pPr>
              <w:pStyle w:val="Table"/>
              <w:jc w:val="center"/>
            </w:pPr>
            <w:r>
              <w:t>x</w:t>
            </w:r>
          </w:p>
        </w:tc>
        <w:tc>
          <w:tcPr>
            <w:tcW w:w="1350" w:type="dxa"/>
            <w:vAlign w:val="center"/>
          </w:tcPr>
          <w:p w:rsidRPr="00800169" w:rsidR="0034332A" w:rsidP="00344F30" w:rsidRDefault="0034332A" w14:paraId="3E1BD2D1" w14:textId="77777777">
            <w:pPr>
              <w:pStyle w:val="Table"/>
              <w:jc w:val="center"/>
            </w:pPr>
            <w:r>
              <w:t>x</w:t>
            </w:r>
          </w:p>
        </w:tc>
      </w:tr>
      <w:tr w:rsidR="0034332A" w:rsidTr="00344F30" w14:paraId="659B9504" w14:textId="77777777">
        <w:trPr>
          <w:trHeight w:val="20"/>
        </w:trPr>
        <w:tc>
          <w:tcPr>
            <w:tcW w:w="2183" w:type="dxa"/>
            <w:vAlign w:val="center"/>
          </w:tcPr>
          <w:p w:rsidR="0034332A" w:rsidP="00344F30" w:rsidRDefault="0034332A" w14:paraId="03883CBE" w14:textId="77777777">
            <w:pPr>
              <w:pStyle w:val="Table"/>
            </w:pPr>
            <w:r>
              <w:t>Lead Public Education and Outreach</w:t>
            </w:r>
          </w:p>
        </w:tc>
        <w:tc>
          <w:tcPr>
            <w:tcW w:w="1327" w:type="dxa"/>
            <w:vAlign w:val="center"/>
          </w:tcPr>
          <w:p w:rsidR="0034332A" w:rsidP="00344F30" w:rsidRDefault="0034332A" w14:paraId="1C8EF8F4" w14:textId="77777777">
            <w:pPr>
              <w:pStyle w:val="Table"/>
              <w:jc w:val="center"/>
            </w:pPr>
            <w:r>
              <w:t>x</w:t>
            </w:r>
          </w:p>
        </w:tc>
        <w:tc>
          <w:tcPr>
            <w:tcW w:w="1530" w:type="dxa"/>
            <w:vAlign w:val="center"/>
          </w:tcPr>
          <w:p w:rsidRPr="00800169" w:rsidR="0034332A" w:rsidP="00344F30" w:rsidRDefault="0034332A" w14:paraId="33F15766" w14:textId="77777777">
            <w:pPr>
              <w:pStyle w:val="Table"/>
              <w:jc w:val="center"/>
            </w:pPr>
          </w:p>
        </w:tc>
        <w:tc>
          <w:tcPr>
            <w:tcW w:w="1728" w:type="dxa"/>
            <w:vAlign w:val="center"/>
          </w:tcPr>
          <w:p w:rsidRPr="00800169" w:rsidR="0034332A" w:rsidP="00344F30" w:rsidRDefault="0034332A" w14:paraId="4CB2A4B8" w14:textId="77777777">
            <w:pPr>
              <w:pStyle w:val="Table"/>
              <w:jc w:val="center"/>
            </w:pPr>
          </w:p>
        </w:tc>
        <w:tc>
          <w:tcPr>
            <w:tcW w:w="1242" w:type="dxa"/>
            <w:vAlign w:val="center"/>
          </w:tcPr>
          <w:p w:rsidR="0034332A" w:rsidP="00344F30" w:rsidRDefault="0034332A" w14:paraId="7C65F750" w14:textId="77777777">
            <w:pPr>
              <w:pStyle w:val="Table"/>
              <w:jc w:val="center"/>
            </w:pPr>
            <w:r>
              <w:t>x</w:t>
            </w:r>
          </w:p>
        </w:tc>
        <w:tc>
          <w:tcPr>
            <w:tcW w:w="1350" w:type="dxa"/>
            <w:vAlign w:val="center"/>
          </w:tcPr>
          <w:p w:rsidR="0034332A" w:rsidP="00344F30" w:rsidRDefault="0034332A" w14:paraId="6ECDBB69" w14:textId="77777777">
            <w:pPr>
              <w:pStyle w:val="Table"/>
              <w:jc w:val="center"/>
            </w:pPr>
            <w:r>
              <w:t>x</w:t>
            </w:r>
          </w:p>
        </w:tc>
      </w:tr>
      <w:tr w:rsidR="0034332A" w:rsidTr="00344F30" w14:paraId="1E7ADB6E" w14:textId="77777777">
        <w:trPr>
          <w:trHeight w:val="20"/>
        </w:trPr>
        <w:tc>
          <w:tcPr>
            <w:tcW w:w="2183" w:type="dxa"/>
            <w:vAlign w:val="center"/>
          </w:tcPr>
          <w:p w:rsidRPr="00800169" w:rsidR="0034332A" w:rsidP="00344F30" w:rsidRDefault="0034332A" w14:paraId="1CB0AD9F" w14:textId="77777777">
            <w:pPr>
              <w:pStyle w:val="Table"/>
            </w:pPr>
            <w:r>
              <w:t>Change in Source or Treatment</w:t>
            </w:r>
          </w:p>
        </w:tc>
        <w:tc>
          <w:tcPr>
            <w:tcW w:w="1327" w:type="dxa"/>
            <w:vAlign w:val="center"/>
          </w:tcPr>
          <w:p w:rsidRPr="00800169" w:rsidR="0034332A" w:rsidP="00344F30" w:rsidRDefault="0034332A" w14:paraId="41016735" w14:textId="77777777">
            <w:pPr>
              <w:pStyle w:val="Table"/>
              <w:jc w:val="center"/>
            </w:pPr>
            <w:r>
              <w:t>x</w:t>
            </w:r>
          </w:p>
        </w:tc>
        <w:tc>
          <w:tcPr>
            <w:tcW w:w="1530" w:type="dxa"/>
            <w:vAlign w:val="center"/>
          </w:tcPr>
          <w:p w:rsidRPr="00800169" w:rsidR="0034332A" w:rsidP="00344F30" w:rsidRDefault="0034332A" w14:paraId="6DE129CD" w14:textId="77777777">
            <w:pPr>
              <w:pStyle w:val="Table"/>
              <w:jc w:val="center"/>
            </w:pPr>
          </w:p>
        </w:tc>
        <w:tc>
          <w:tcPr>
            <w:tcW w:w="1728" w:type="dxa"/>
            <w:vAlign w:val="center"/>
          </w:tcPr>
          <w:p w:rsidRPr="00800169" w:rsidR="0034332A" w:rsidP="00344F30" w:rsidRDefault="0034332A" w14:paraId="720D9D99" w14:textId="77777777">
            <w:pPr>
              <w:pStyle w:val="Table"/>
              <w:jc w:val="center"/>
            </w:pPr>
          </w:p>
        </w:tc>
        <w:tc>
          <w:tcPr>
            <w:tcW w:w="1242" w:type="dxa"/>
            <w:vAlign w:val="center"/>
          </w:tcPr>
          <w:p w:rsidR="0034332A" w:rsidP="00344F30" w:rsidRDefault="0034332A" w14:paraId="0F63E7CD" w14:textId="77777777">
            <w:pPr>
              <w:pStyle w:val="Table"/>
              <w:jc w:val="center"/>
            </w:pPr>
          </w:p>
        </w:tc>
        <w:tc>
          <w:tcPr>
            <w:tcW w:w="1350" w:type="dxa"/>
            <w:vAlign w:val="center"/>
          </w:tcPr>
          <w:p w:rsidRPr="00800169" w:rsidR="0034332A" w:rsidP="00344F30" w:rsidRDefault="0034332A" w14:paraId="06C068A3" w14:textId="77777777">
            <w:pPr>
              <w:pStyle w:val="Table"/>
              <w:jc w:val="center"/>
            </w:pPr>
            <w:r>
              <w:t>x</w:t>
            </w:r>
          </w:p>
        </w:tc>
      </w:tr>
      <w:tr w:rsidR="0034332A" w:rsidTr="00344F30" w14:paraId="137D538A" w14:textId="77777777">
        <w:trPr>
          <w:trHeight w:val="20"/>
        </w:trPr>
        <w:tc>
          <w:tcPr>
            <w:tcW w:w="2183" w:type="dxa"/>
            <w:vAlign w:val="center"/>
          </w:tcPr>
          <w:p w:rsidRPr="00800169" w:rsidR="0034332A" w:rsidP="00344F30" w:rsidRDefault="0034332A" w14:paraId="6A40D6DC" w14:textId="77777777">
            <w:pPr>
              <w:pStyle w:val="Table"/>
            </w:pPr>
            <w:r>
              <w:t>Source Water Monitoring and Treatment</w:t>
            </w:r>
          </w:p>
        </w:tc>
        <w:tc>
          <w:tcPr>
            <w:tcW w:w="1327" w:type="dxa"/>
            <w:vAlign w:val="center"/>
          </w:tcPr>
          <w:p w:rsidRPr="00800169" w:rsidR="0034332A" w:rsidP="00344F30" w:rsidRDefault="0034332A" w14:paraId="547FB633" w14:textId="77777777">
            <w:pPr>
              <w:pStyle w:val="Table"/>
              <w:jc w:val="center"/>
            </w:pPr>
            <w:r>
              <w:t>x</w:t>
            </w:r>
          </w:p>
        </w:tc>
        <w:tc>
          <w:tcPr>
            <w:tcW w:w="1530" w:type="dxa"/>
            <w:vAlign w:val="center"/>
          </w:tcPr>
          <w:p w:rsidRPr="00800169" w:rsidR="0034332A" w:rsidP="00344F30" w:rsidRDefault="0034332A" w14:paraId="427D9B2B" w14:textId="77777777">
            <w:pPr>
              <w:pStyle w:val="Table"/>
              <w:jc w:val="center"/>
            </w:pPr>
          </w:p>
        </w:tc>
        <w:tc>
          <w:tcPr>
            <w:tcW w:w="1728" w:type="dxa"/>
            <w:vAlign w:val="center"/>
          </w:tcPr>
          <w:p w:rsidRPr="00800169" w:rsidR="0034332A" w:rsidP="00344F30" w:rsidRDefault="0034332A" w14:paraId="67B695E3" w14:textId="77777777">
            <w:pPr>
              <w:pStyle w:val="Table"/>
              <w:jc w:val="center"/>
            </w:pPr>
            <w:r>
              <w:t>x</w:t>
            </w:r>
          </w:p>
        </w:tc>
        <w:tc>
          <w:tcPr>
            <w:tcW w:w="1242" w:type="dxa"/>
            <w:vAlign w:val="center"/>
          </w:tcPr>
          <w:p w:rsidR="0034332A" w:rsidP="00344F30" w:rsidRDefault="0034332A" w14:paraId="62A11A6D" w14:textId="77777777">
            <w:pPr>
              <w:pStyle w:val="Table"/>
              <w:jc w:val="center"/>
            </w:pPr>
          </w:p>
        </w:tc>
        <w:tc>
          <w:tcPr>
            <w:tcW w:w="1350" w:type="dxa"/>
            <w:vAlign w:val="center"/>
          </w:tcPr>
          <w:p w:rsidRPr="00800169" w:rsidR="0034332A" w:rsidP="00344F30" w:rsidRDefault="0034332A" w14:paraId="597FB631" w14:textId="77777777">
            <w:pPr>
              <w:pStyle w:val="Table"/>
              <w:jc w:val="center"/>
            </w:pPr>
            <w:r>
              <w:t>x</w:t>
            </w:r>
          </w:p>
        </w:tc>
      </w:tr>
      <w:tr w:rsidR="0034332A" w:rsidTr="00344F30" w14:paraId="74003199" w14:textId="77777777">
        <w:trPr>
          <w:trHeight w:val="20"/>
        </w:trPr>
        <w:tc>
          <w:tcPr>
            <w:tcW w:w="2183" w:type="dxa"/>
            <w:vAlign w:val="center"/>
          </w:tcPr>
          <w:p w:rsidRPr="00800169" w:rsidR="0034332A" w:rsidP="00344F30" w:rsidRDefault="0034332A" w14:paraId="49FA9186" w14:textId="77777777">
            <w:pPr>
              <w:pStyle w:val="Table"/>
            </w:pPr>
            <w:r>
              <w:t>Lead in Drinking Water Testing Program at Schools and Child Care Facilities</w:t>
            </w:r>
          </w:p>
        </w:tc>
        <w:tc>
          <w:tcPr>
            <w:tcW w:w="1327" w:type="dxa"/>
            <w:vAlign w:val="center"/>
          </w:tcPr>
          <w:p w:rsidRPr="00800169" w:rsidR="0034332A" w:rsidP="00344F30" w:rsidRDefault="0034332A" w14:paraId="2CADAAF5" w14:textId="77777777">
            <w:pPr>
              <w:pStyle w:val="Table"/>
              <w:jc w:val="center"/>
            </w:pPr>
            <w:r>
              <w:t>x</w:t>
            </w:r>
          </w:p>
        </w:tc>
        <w:tc>
          <w:tcPr>
            <w:tcW w:w="1530" w:type="dxa"/>
            <w:vAlign w:val="center"/>
          </w:tcPr>
          <w:p w:rsidRPr="00800169" w:rsidR="0034332A" w:rsidP="00344F30" w:rsidRDefault="0034332A" w14:paraId="1D843459" w14:textId="77777777">
            <w:pPr>
              <w:pStyle w:val="Table"/>
              <w:jc w:val="center"/>
            </w:pPr>
            <w:r>
              <w:t>x</w:t>
            </w:r>
          </w:p>
        </w:tc>
        <w:tc>
          <w:tcPr>
            <w:tcW w:w="1728" w:type="dxa"/>
            <w:vAlign w:val="center"/>
          </w:tcPr>
          <w:p w:rsidRPr="00800169" w:rsidR="0034332A" w:rsidP="00344F30" w:rsidRDefault="0034332A" w14:paraId="73D90EC6" w14:textId="77777777">
            <w:pPr>
              <w:pStyle w:val="Table"/>
              <w:jc w:val="center"/>
            </w:pPr>
          </w:p>
        </w:tc>
        <w:tc>
          <w:tcPr>
            <w:tcW w:w="1242" w:type="dxa"/>
            <w:vAlign w:val="center"/>
          </w:tcPr>
          <w:p w:rsidR="0034332A" w:rsidP="00344F30" w:rsidRDefault="0034332A" w14:paraId="6918B6F7" w14:textId="77777777">
            <w:pPr>
              <w:pStyle w:val="Table"/>
              <w:jc w:val="center"/>
            </w:pPr>
            <w:r>
              <w:t>x</w:t>
            </w:r>
          </w:p>
        </w:tc>
        <w:tc>
          <w:tcPr>
            <w:tcW w:w="1350" w:type="dxa"/>
            <w:vAlign w:val="center"/>
          </w:tcPr>
          <w:p w:rsidRPr="00800169" w:rsidR="0034332A" w:rsidP="00344F30" w:rsidRDefault="0034332A" w14:paraId="74301771" w14:textId="77777777">
            <w:pPr>
              <w:pStyle w:val="Table"/>
              <w:jc w:val="center"/>
            </w:pPr>
            <w:r>
              <w:t>x</w:t>
            </w:r>
          </w:p>
        </w:tc>
      </w:tr>
    </w:tbl>
    <w:p w:rsidR="00344F30" w:rsidP="003A1A83" w:rsidRDefault="00344F30" w14:paraId="467BBBFC" w14:textId="77777777">
      <w:pPr>
        <w:pStyle w:val="TableNote"/>
      </w:pPr>
      <w:bookmarkStart w:name="_Toc160872049" w:id="7"/>
    </w:p>
    <w:p w:rsidRPr="00423550" w:rsidR="002D4A38" w:rsidP="00344F30" w:rsidRDefault="002D4A38" w14:paraId="13E780B3" w14:textId="77777777">
      <w:pPr>
        <w:pStyle w:val="Heading1"/>
      </w:pPr>
      <w:r w:rsidRPr="007E3A3C">
        <w:t xml:space="preserve">2 </w:t>
      </w:r>
      <w:r w:rsidRPr="007E3A3C" w:rsidR="009D42EE">
        <w:tab/>
      </w:r>
      <w:r w:rsidRPr="007E3A3C">
        <w:t>NEED FOR AND USE OF THE COLLECTION</w:t>
      </w:r>
      <w:bookmarkEnd w:id="7"/>
    </w:p>
    <w:p w:rsidRPr="00423550" w:rsidR="002D4A38" w:rsidP="007E3A3C" w:rsidRDefault="002D4A38" w14:paraId="334117D0" w14:textId="77777777">
      <w:pPr>
        <w:pStyle w:val="Heading2"/>
        <w:tabs>
          <w:tab w:val="left" w:pos="720"/>
          <w:tab w:val="left" w:pos="1440"/>
          <w:tab w:val="left" w:pos="2160"/>
          <w:tab w:val="left" w:pos="2880"/>
          <w:tab w:val="left" w:pos="3600"/>
          <w:tab w:val="left" w:pos="5340"/>
        </w:tabs>
      </w:pPr>
      <w:bookmarkStart w:name="_Toc160872050" w:id="8"/>
      <w:r w:rsidRPr="00423550">
        <w:t xml:space="preserve">2(a) </w:t>
      </w:r>
      <w:r w:rsidRPr="00423550" w:rsidR="009D42EE">
        <w:tab/>
      </w:r>
      <w:r w:rsidRPr="00423550">
        <w:t xml:space="preserve">Need/Authority </w:t>
      </w:r>
      <w:r w:rsidR="007F35A0">
        <w:t>for t</w:t>
      </w:r>
      <w:r w:rsidRPr="00423550">
        <w:t>he Collection</w:t>
      </w:r>
      <w:bookmarkEnd w:id="8"/>
      <w:r w:rsidR="007E3A3C">
        <w:tab/>
      </w:r>
    </w:p>
    <w:p w:rsidRPr="00423550" w:rsidR="002D4A38" w:rsidP="00EC602C" w:rsidRDefault="00BD2482" w14:paraId="633B56A9" w14:textId="77777777">
      <w:pPr>
        <w:pStyle w:val="NormalIndent"/>
      </w:pPr>
      <w:r>
        <w:t xml:space="preserve">The </w:t>
      </w:r>
      <w:r w:rsidRPr="00423550" w:rsidR="002D4A38">
        <w:t xml:space="preserve">EPA needs comprehensive and current information on lead and copper </w:t>
      </w:r>
      <w:r w:rsidR="00F02641">
        <w:t>exposure</w:t>
      </w:r>
      <w:r w:rsidRPr="00423550" w:rsidR="00F02641">
        <w:t xml:space="preserve"> </w:t>
      </w:r>
      <w:r w:rsidRPr="00423550" w:rsidR="002D4A38">
        <w:t xml:space="preserve">and associated enforcement activities to implement its program oversight and enforcement </w:t>
      </w:r>
      <w:r w:rsidRPr="00423550" w:rsidR="002D4A38">
        <w:lastRenderedPageBreak/>
        <w:t xml:space="preserve">responsibilities mandated by the Safe Drinking Water Act (SDWA). </w:t>
      </w:r>
      <w:r>
        <w:t xml:space="preserve">The </w:t>
      </w:r>
      <w:r w:rsidRPr="00423550" w:rsidR="00964DA6">
        <w:t>EPA identified rule changes</w:t>
      </w:r>
      <w:r w:rsidR="00D606FF">
        <w:t xml:space="preserve"> in </w:t>
      </w:r>
      <w:r w:rsidRPr="00FD72F1" w:rsidR="00FD72F1">
        <w:t>eight</w:t>
      </w:r>
      <w:r w:rsidRPr="00FD72F1" w:rsidR="00D606FF">
        <w:t xml:space="preserve"> </w:t>
      </w:r>
      <w:r w:rsidR="00D606FF">
        <w:t>areas</w:t>
      </w:r>
      <w:r w:rsidRPr="00423550" w:rsidR="00964DA6">
        <w:t xml:space="preserve"> that clarify the intent of the LCR and ensure and enhance protection of public health through reduction in lead exposure</w:t>
      </w:r>
      <w:r w:rsidR="007624F1">
        <w:t xml:space="preserve">. </w:t>
      </w:r>
      <w:r>
        <w:t xml:space="preserve">The </w:t>
      </w:r>
      <w:r w:rsidRPr="00423550" w:rsidR="00964DA6">
        <w:t xml:space="preserve">EPA will use the information collected to support the responsibilities outlined in </w:t>
      </w:r>
      <w:r>
        <w:t xml:space="preserve">the </w:t>
      </w:r>
      <w:r w:rsidRPr="00423550" w:rsidR="00964DA6">
        <w:t>SDWA</w:t>
      </w:r>
      <w:r w:rsidR="00F02641">
        <w:t>.</w:t>
      </w:r>
      <w:r w:rsidRPr="00423550" w:rsidR="00964DA6">
        <w:t xml:space="preserve"> </w:t>
      </w:r>
      <w:r>
        <w:t>The</w:t>
      </w:r>
      <w:r w:rsidRPr="00423550" w:rsidR="00964DA6">
        <w:t xml:space="preserve"> </w:t>
      </w:r>
      <w:r w:rsidR="00F02641">
        <w:t xml:space="preserve">EPA will be able to </w:t>
      </w:r>
      <w:r w:rsidRPr="00423550" w:rsidR="00964DA6">
        <w:t xml:space="preserve">strengthen the implementation of the LCR in the areas of monitoring, customer awareness, </w:t>
      </w:r>
      <w:r w:rsidR="00D76E3F">
        <w:t>CCT</w:t>
      </w:r>
      <w:r w:rsidR="00D606FF">
        <w:t xml:space="preserve">, </w:t>
      </w:r>
      <w:r w:rsidRPr="00423550" w:rsidR="00964DA6">
        <w:t xml:space="preserve">and </w:t>
      </w:r>
      <w:r w:rsidR="00D76E3F">
        <w:t>LSL</w:t>
      </w:r>
      <w:r w:rsidRPr="00423550" w:rsidR="00964DA6">
        <w:t xml:space="preserve"> replacement. </w:t>
      </w:r>
      <w:r w:rsidRPr="00423550" w:rsidR="002D4A38">
        <w:t xml:space="preserve">The </w:t>
      </w:r>
      <w:r w:rsidR="00F02641">
        <w:t>revisions to the LCR</w:t>
      </w:r>
      <w:r w:rsidRPr="00423550" w:rsidR="002D4A38">
        <w:t xml:space="preserve"> are intended to improve the implementation of the LCR, and do not alter the </w:t>
      </w:r>
      <w:r w:rsidR="00F02641">
        <w:t>current</w:t>
      </w:r>
      <w:r w:rsidRPr="00423550" w:rsidR="00F02641">
        <w:t xml:space="preserve"> </w:t>
      </w:r>
      <w:r w:rsidR="00F02641">
        <w:t xml:space="preserve">MCLGs </w:t>
      </w:r>
      <w:r w:rsidRPr="00423550" w:rsidR="002D4A38">
        <w:t xml:space="preserve">or the </w:t>
      </w:r>
      <w:r>
        <w:t xml:space="preserve">treatment technique </w:t>
      </w:r>
      <w:r w:rsidRPr="00423550" w:rsidR="002D4A38">
        <w:t xml:space="preserve">approach to controlling lead and copper in drinking water. </w:t>
      </w:r>
    </w:p>
    <w:p w:rsidRPr="00423550" w:rsidR="00235BC2" w:rsidP="00B3516F" w:rsidRDefault="00235BC2" w14:paraId="767871E6" w14:textId="5BD55D2B">
      <w:pPr>
        <w:pStyle w:val="NormalIndent"/>
      </w:pPr>
      <w:r w:rsidRPr="00423550">
        <w:t>Section 1401(1)(D) of the SDWA requires that “criteria and procedures to assure a supply of drinking water which dependably complies with such maximum contaminant levels</w:t>
      </w:r>
      <w:r w:rsidR="00655074">
        <w:t xml:space="preserve"> [or treatment techniques promulgated in lieu of a maximum contaminant level];</w:t>
      </w:r>
      <w:r w:rsidRPr="00423550">
        <w:t xml:space="preserve"> including </w:t>
      </w:r>
      <w:r w:rsidR="00655074">
        <w:t xml:space="preserve">accepted methods for </w:t>
      </w:r>
      <w:r w:rsidRPr="00423550">
        <w:t xml:space="preserve">quality control and testing procedures to insure compliance with such levels and to </w:t>
      </w:r>
      <w:r w:rsidR="00FA7A2B">
        <w:t>e</w:t>
      </w:r>
      <w:r w:rsidRPr="00423550">
        <w:t>nsure proper operation and maintenance of the system...” Furthermore, Section 1445(a)(1)</w:t>
      </w:r>
      <w:r w:rsidR="00B3516F">
        <w:t>(A)</w:t>
      </w:r>
      <w:r w:rsidRPr="00423550">
        <w:t xml:space="preserve"> of the SDWA requires that “</w:t>
      </w:r>
      <w:r w:rsidR="00655074">
        <w:t>[</w:t>
      </w:r>
      <w:r w:rsidRPr="00423550">
        <w:t>e</w:t>
      </w:r>
      <w:r w:rsidR="00655074">
        <w:t>]</w:t>
      </w:r>
      <w:r w:rsidR="00B3516F">
        <w:t>very person who is subject to any requirement of this subchapter or who is a grantee, shall establish and maintain such records, make such reports, conduct such monitoring, and provide such information as the Administrator may reasonably require by regulation to assist the Administrator in establishing regulations under this subchapter, in determining whether such person has acted or is acting in compliance with this subchapter</w:t>
      </w:r>
      <w:r w:rsidRPr="00423550">
        <w:t xml:space="preserve">...” In addition, Section 1413(a)(3) of the SDWA requires </w:t>
      </w:r>
      <w:r w:rsidR="00E604CC">
        <w:t>primacy agencies</w:t>
      </w:r>
      <w:r w:rsidRPr="00423550">
        <w:t xml:space="preserve"> to “keep such records and make such reports...as the Administrator may require by regulation.”</w:t>
      </w:r>
    </w:p>
    <w:p w:rsidRPr="00423550" w:rsidR="00235BC2" w:rsidP="00021325" w:rsidRDefault="00235BC2" w14:paraId="05B682F6" w14:textId="77777777">
      <w:pPr>
        <w:pStyle w:val="NormalIndent"/>
      </w:pPr>
      <w:r w:rsidRPr="00423550">
        <w:t xml:space="preserve">The sections from the SDWA 1996 Amendments, discussed above, are included as </w:t>
      </w:r>
      <w:r w:rsidRPr="007205C1">
        <w:t xml:space="preserve">Appendix </w:t>
      </w:r>
      <w:r w:rsidRPr="007205C1" w:rsidR="007205C1">
        <w:t>A</w:t>
      </w:r>
      <w:r w:rsidRPr="007205C1">
        <w:t xml:space="preserve"> to</w:t>
      </w:r>
      <w:r w:rsidRPr="00423550">
        <w:t xml:space="preserve"> this document.</w:t>
      </w:r>
    </w:p>
    <w:p w:rsidRPr="00423550" w:rsidR="00C01319" w:rsidP="000C0ED7" w:rsidRDefault="00C01319" w14:paraId="45CADB54" w14:textId="77777777">
      <w:pPr>
        <w:pStyle w:val="Heading2"/>
      </w:pPr>
      <w:bookmarkStart w:name="_Toc160872051" w:id="9"/>
      <w:r w:rsidRPr="00423550">
        <w:t xml:space="preserve">2(b) </w:t>
      </w:r>
      <w:r w:rsidRPr="00423550" w:rsidR="009D42EE">
        <w:tab/>
      </w:r>
      <w:r w:rsidRPr="00423550">
        <w:t>Uses/Users of the Data</w:t>
      </w:r>
      <w:bookmarkEnd w:id="9"/>
    </w:p>
    <w:p w:rsidRPr="00423550" w:rsidR="00C01319" w:rsidP="0027631A" w:rsidRDefault="00C01319" w14:paraId="124CF5B1" w14:textId="77777777">
      <w:pPr>
        <w:pStyle w:val="Heading3"/>
      </w:pPr>
      <w:r w:rsidRPr="00423550">
        <w:t>2(b)(</w:t>
      </w:r>
      <w:proofErr w:type="spellStart"/>
      <w:r w:rsidRPr="00423550">
        <w:t>i</w:t>
      </w:r>
      <w:proofErr w:type="spellEnd"/>
      <w:r w:rsidRPr="00423550">
        <w:t xml:space="preserve">) </w:t>
      </w:r>
      <w:r w:rsidRPr="00423550" w:rsidR="00160FCF">
        <w:tab/>
        <w:t xml:space="preserve"> </w:t>
      </w:r>
      <w:r w:rsidRPr="00423550">
        <w:t>Uses of the Data</w:t>
      </w:r>
    </w:p>
    <w:p w:rsidR="00C01319" w:rsidP="00021325" w:rsidRDefault="00C01319" w14:paraId="2D7A486A" w14:textId="77777777">
      <w:pPr>
        <w:pStyle w:val="NormalIndent"/>
      </w:pPr>
      <w:r w:rsidRPr="00423550">
        <w:t xml:space="preserve">Primary users of the data collected under this ICR are EPA Headquarters, </w:t>
      </w:r>
      <w:r w:rsidR="006C3017">
        <w:t>water system</w:t>
      </w:r>
      <w:r w:rsidRPr="00423550">
        <w:t xml:space="preserve"> managers, </w:t>
      </w:r>
      <w:r w:rsidR="008F74FB">
        <w:t xml:space="preserve">consumers, </w:t>
      </w:r>
      <w:r w:rsidRPr="00423550">
        <w:t xml:space="preserve">and primacy agencies, which include </w:t>
      </w:r>
      <w:r w:rsidR="00BB55A4">
        <w:t xml:space="preserve">state, territorial, and tribal regulators </w:t>
      </w:r>
      <w:r w:rsidRPr="00423550">
        <w:t xml:space="preserve">and, in some instances, </w:t>
      </w:r>
      <w:r w:rsidR="006A5532">
        <w:t xml:space="preserve">the </w:t>
      </w:r>
      <w:r w:rsidRPr="00423550">
        <w:t>EPA Regional Administrators</w:t>
      </w:r>
      <w:r w:rsidRPr="009820CB">
        <w:t xml:space="preserve">. This section contains more information about how </w:t>
      </w:r>
      <w:r w:rsidRPr="009820CB" w:rsidR="008F74FB">
        <w:t xml:space="preserve">the </w:t>
      </w:r>
      <w:r w:rsidRPr="009820CB">
        <w:t xml:space="preserve">lead and copper data </w:t>
      </w:r>
      <w:r w:rsidRPr="009820CB" w:rsidR="008F74FB">
        <w:t xml:space="preserve">generated by the regulatory changes will be </w:t>
      </w:r>
      <w:r w:rsidRPr="009820CB">
        <w:t>used.</w:t>
      </w:r>
    </w:p>
    <w:p w:rsidR="00817AFC" w:rsidP="00021325" w:rsidRDefault="00F36AFA" w14:paraId="4738DE6D" w14:textId="7893F847">
      <w:pPr>
        <w:pStyle w:val="NormalIndent"/>
      </w:pPr>
      <w:r>
        <w:t>The</w:t>
      </w:r>
      <w:r w:rsidR="00F8006D">
        <w:t xml:space="preserve"> </w:t>
      </w:r>
      <w:r w:rsidR="00C018A3">
        <w:t>LCRR</w:t>
      </w:r>
      <w:r>
        <w:t xml:space="preserve"> </w:t>
      </w:r>
      <w:r w:rsidR="004829C4">
        <w:t>makes</w:t>
      </w:r>
      <w:r>
        <w:t xml:space="preserve"> several changes to </w:t>
      </w:r>
      <w:r w:rsidR="004829C4">
        <w:t>l</w:t>
      </w:r>
      <w:r w:rsidR="003A67D2">
        <w:t xml:space="preserve">ead </w:t>
      </w:r>
      <w:r w:rsidR="004829C4">
        <w:t xml:space="preserve">and copper tap </w:t>
      </w:r>
      <w:r w:rsidR="00F91DF7">
        <w:t>sampling</w:t>
      </w:r>
      <w:r>
        <w:t xml:space="preserve">. It </w:t>
      </w:r>
      <w:r w:rsidR="00704984">
        <w:t>require</w:t>
      </w:r>
      <w:r>
        <w:t>s</w:t>
      </w:r>
      <w:r w:rsidR="00704984">
        <w:t xml:space="preserve"> all </w:t>
      </w:r>
      <w:r w:rsidR="00CD6CE3">
        <w:t>systems</w:t>
      </w:r>
      <w:r w:rsidR="009E00B0">
        <w:t xml:space="preserve"> to</w:t>
      </w:r>
      <w:r w:rsidR="00CD6CE3">
        <w:t xml:space="preserve"> </w:t>
      </w:r>
      <w:r w:rsidR="00704984">
        <w:t xml:space="preserve">re-evaluate </w:t>
      </w:r>
      <w:r w:rsidR="00CD6CE3">
        <w:t xml:space="preserve">their </w:t>
      </w:r>
      <w:r w:rsidR="00F91DF7">
        <w:t xml:space="preserve">tap </w:t>
      </w:r>
      <w:r w:rsidR="00704984">
        <w:t xml:space="preserve">sampling location based on </w:t>
      </w:r>
      <w:r w:rsidR="00CD6CE3">
        <w:t xml:space="preserve">their </w:t>
      </w:r>
      <w:r w:rsidR="00704984">
        <w:t>LSL inventory</w:t>
      </w:r>
      <w:r w:rsidR="00CD6CE3">
        <w:t xml:space="preserve"> </w:t>
      </w:r>
      <w:r w:rsidR="00F91DF7">
        <w:t xml:space="preserve">to ensure they are collecting tap samples from sites with an LSL </w:t>
      </w:r>
      <w:r w:rsidR="00B261B7">
        <w:t xml:space="preserve">(i.e., highest risk sites) </w:t>
      </w:r>
      <w:r w:rsidR="00F91DF7">
        <w:t xml:space="preserve">and LSL inventories must be updated </w:t>
      </w:r>
      <w:r w:rsidR="00CD6CE3">
        <w:t>annually</w:t>
      </w:r>
      <w:r w:rsidR="00F02641">
        <w:t xml:space="preserve">. </w:t>
      </w:r>
      <w:r w:rsidR="00B261B7">
        <w:t xml:space="preserve">The LCRR would codify the tap sampling protocol guidance issued by the EPA in February 2016. </w:t>
      </w:r>
      <w:r w:rsidR="009E00B0">
        <w:t xml:space="preserve">In addition, </w:t>
      </w:r>
      <w:r w:rsidR="00B261B7">
        <w:t xml:space="preserve">the LCRR modifies how </w:t>
      </w:r>
      <w:r w:rsidR="009E00B0">
        <w:t>s</w:t>
      </w:r>
      <w:r w:rsidR="00CB46AF">
        <w:t xml:space="preserve">ystems </w:t>
      </w:r>
      <w:r w:rsidR="00B261B7">
        <w:t xml:space="preserve">calculate </w:t>
      </w:r>
      <w:r w:rsidR="00BD2DC9">
        <w:t xml:space="preserve">the </w:t>
      </w:r>
      <w:r w:rsidR="00B261B7">
        <w:t>90</w:t>
      </w:r>
      <w:r w:rsidRPr="00734756" w:rsidR="00B261B7">
        <w:rPr>
          <w:vertAlign w:val="superscript"/>
        </w:rPr>
        <w:t>th</w:t>
      </w:r>
      <w:r w:rsidR="00B261B7">
        <w:t xml:space="preserve"> percentile lead level. For example</w:t>
      </w:r>
      <w:r w:rsidR="00BD2DC9">
        <w:t>,</w:t>
      </w:r>
      <w:r w:rsidR="00B261B7">
        <w:t xml:space="preserve"> water </w:t>
      </w:r>
      <w:r w:rsidR="009E00B0">
        <w:t>s</w:t>
      </w:r>
      <w:r w:rsidR="00CB46AF">
        <w:t xml:space="preserve">ystems with LSLs </w:t>
      </w:r>
      <w:r w:rsidR="00B261B7">
        <w:t>and non-LSL</w:t>
      </w:r>
      <w:r w:rsidR="00BD2DC9">
        <w:t>s</w:t>
      </w:r>
      <w:r w:rsidR="00B261B7">
        <w:t xml:space="preserve"> w</w:t>
      </w:r>
      <w:r w:rsidR="009E00B0">
        <w:t xml:space="preserve">ould use samples </w:t>
      </w:r>
      <w:r w:rsidR="00066ED3">
        <w:t>with</w:t>
      </w:r>
      <w:r w:rsidR="009E00B0">
        <w:t xml:space="preserve"> the highest lead results from non-LSL sites when </w:t>
      </w:r>
      <w:r w:rsidR="00B261B7">
        <w:t>more than the minimum number of tap samples are collected.</w:t>
      </w:r>
      <w:r w:rsidR="009E00B0">
        <w:t xml:space="preserve"> A system’s lead 90</w:t>
      </w:r>
      <w:r w:rsidRPr="004829C4" w:rsidR="009E00B0">
        <w:rPr>
          <w:vertAlign w:val="superscript"/>
        </w:rPr>
        <w:t>th</w:t>
      </w:r>
      <w:r w:rsidR="009E00B0">
        <w:t xml:space="preserve"> percentile will be use</w:t>
      </w:r>
      <w:r w:rsidR="00BD2DC9">
        <w:t>d</w:t>
      </w:r>
      <w:r w:rsidR="009E00B0">
        <w:t xml:space="preserve"> as a criterion to determine </w:t>
      </w:r>
      <w:r w:rsidR="00B261B7">
        <w:t xml:space="preserve">additional </w:t>
      </w:r>
      <w:r w:rsidR="009E00B0">
        <w:t>requirements</w:t>
      </w:r>
      <w:r w:rsidR="00704984">
        <w:t xml:space="preserve">. </w:t>
      </w:r>
      <w:r w:rsidR="006A5532">
        <w:t xml:space="preserve">The </w:t>
      </w:r>
      <w:r w:rsidRPr="00D7448B" w:rsidR="00704984">
        <w:t xml:space="preserve">EPA is not </w:t>
      </w:r>
      <w:r w:rsidR="002D7AF5">
        <w:t>changed</w:t>
      </w:r>
      <w:r w:rsidRPr="00D7448B" w:rsidR="00704984">
        <w:t xml:space="preserve"> the minimum number of required samples (see </w:t>
      </w:r>
      <w:r w:rsidR="00704984">
        <w:t>§</w:t>
      </w:r>
      <w:r w:rsidRPr="00D7448B" w:rsidR="00704984">
        <w:t>141.86 for specific requirements)</w:t>
      </w:r>
      <w:r w:rsidR="00704984">
        <w:t xml:space="preserve"> or the requirements to analyze a tap sample for both lead and copper</w:t>
      </w:r>
      <w:r w:rsidRPr="00D7448B" w:rsidR="00704984">
        <w:t xml:space="preserve">. </w:t>
      </w:r>
      <w:r w:rsidR="00817AFC">
        <w:t xml:space="preserve">The burden for these revisions begins to accrue in year four. </w:t>
      </w:r>
      <w:r w:rsidR="00704984">
        <w:t xml:space="preserve">The tap monitoring will </w:t>
      </w:r>
      <w:r w:rsidR="00817AFC">
        <w:t xml:space="preserve">also </w:t>
      </w:r>
      <w:r w:rsidR="00704984">
        <w:t>be used to:</w:t>
      </w:r>
      <w:r w:rsidRPr="00704984" w:rsidR="00704984">
        <w:t xml:space="preserve"> </w:t>
      </w:r>
    </w:p>
    <w:p w:rsidRPr="009820CB" w:rsidR="00704984" w:rsidP="0027631A" w:rsidRDefault="00704984" w14:paraId="6BB9E638" w14:textId="77777777">
      <w:pPr>
        <w:pStyle w:val="Bullets"/>
      </w:pPr>
      <w:r w:rsidRPr="009820CB">
        <w:lastRenderedPageBreak/>
        <w:t>Evaluate the quality of water delivered to customers</w:t>
      </w:r>
      <w:r w:rsidR="00817AFC">
        <w:t>;</w:t>
      </w:r>
    </w:p>
    <w:p w:rsidRPr="009820CB" w:rsidR="00704984" w:rsidP="0027631A" w:rsidRDefault="00704984" w14:paraId="55C1DE64" w14:textId="77777777">
      <w:pPr>
        <w:pStyle w:val="Bullets"/>
      </w:pPr>
      <w:r w:rsidRPr="009820CB">
        <w:t>Evaluate system-specific needs, including examining treatment effectiveness</w:t>
      </w:r>
      <w:r w:rsidR="00817AFC">
        <w:t>;</w:t>
      </w:r>
    </w:p>
    <w:p w:rsidR="00817AFC" w:rsidP="0027631A" w:rsidRDefault="00817AFC" w14:paraId="097D7979" w14:textId="77777777">
      <w:pPr>
        <w:pStyle w:val="Bullets"/>
      </w:pPr>
      <w:r>
        <w:t>Inform educational material provided to the public, including tap sample results;</w:t>
      </w:r>
    </w:p>
    <w:p w:rsidRPr="009820CB" w:rsidR="00704984" w:rsidP="0027631A" w:rsidRDefault="00704984" w14:paraId="2DA9D3F3" w14:textId="77777777">
      <w:pPr>
        <w:pStyle w:val="Bullets"/>
      </w:pPr>
      <w:r w:rsidRPr="009820CB">
        <w:t>Assess compliance and determine when it is necessary to alert the public of possible health risks resulting from non-compliance with federal or State regulations</w:t>
      </w:r>
      <w:r w:rsidR="00817AFC">
        <w:t>; and</w:t>
      </w:r>
    </w:p>
    <w:p w:rsidRPr="009820CB" w:rsidR="00704984" w:rsidP="0027631A" w:rsidRDefault="00704984" w14:paraId="6734E592" w14:textId="77777777">
      <w:pPr>
        <w:pStyle w:val="Bullets"/>
      </w:pPr>
      <w:r w:rsidRPr="009820CB">
        <w:t>Modify monitoring frequencies to address potential health risks</w:t>
      </w:r>
      <w:r>
        <w:t>.</w:t>
      </w:r>
    </w:p>
    <w:p w:rsidR="00C52AB4" w:rsidP="00C52AB4" w:rsidRDefault="00817AFC" w14:paraId="7357F923" w14:textId="4A172298">
      <w:pPr>
        <w:pStyle w:val="NormalIndent"/>
      </w:pPr>
      <w:r>
        <w:t xml:space="preserve">The </w:t>
      </w:r>
      <w:r w:rsidR="00C018A3">
        <w:t>LCRR</w:t>
      </w:r>
      <w:r>
        <w:t xml:space="preserve"> </w:t>
      </w:r>
      <w:r w:rsidR="004829C4">
        <w:t>includes</w:t>
      </w:r>
      <w:r w:rsidR="00CE1E13">
        <w:t xml:space="preserve"> </w:t>
      </w:r>
      <w:r>
        <w:t xml:space="preserve">revisions to </w:t>
      </w:r>
      <w:r w:rsidR="00D76E3F">
        <w:t>CCT</w:t>
      </w:r>
      <w:r w:rsidR="003A67D2">
        <w:t xml:space="preserve"> and </w:t>
      </w:r>
      <w:r w:rsidR="004829C4">
        <w:t xml:space="preserve">WQP </w:t>
      </w:r>
      <w:r w:rsidR="00CB46AF">
        <w:t>m</w:t>
      </w:r>
      <w:r>
        <w:t>onitoring including the removal of calcium carbonate stabilization as a treatment technique and calcium as a regulated WQP</w:t>
      </w:r>
      <w:r w:rsidR="00CE1E13">
        <w:t xml:space="preserve">. </w:t>
      </w:r>
      <w:r w:rsidR="00B261B7">
        <w:t xml:space="preserve">For water systems with CCT, exceedance of the lead TL or AL requires re-optimization; </w:t>
      </w:r>
      <w:r w:rsidR="000B754E">
        <w:t xml:space="preserve">a </w:t>
      </w:r>
      <w:r w:rsidR="00B261B7">
        <w:t xml:space="preserve">water system without CCT would conduct a CCT study if </w:t>
      </w:r>
      <w:r w:rsidR="000B754E">
        <w:t>it</w:t>
      </w:r>
      <w:r w:rsidR="00B261B7">
        <w:t xml:space="preserve"> exceeds the lead TL and would implement CCT if it subsequently exceeded the lead AL. Another CCT-related change includes the revision of sanitary survey requirements to include CCT review and WQP assessment and consideration of potential CCT changes based on updated guidance that has been issued by the EPA.</w:t>
      </w:r>
      <w:r w:rsidRPr="00C52AB4" w:rsidR="00C52AB4">
        <w:t xml:space="preserve"> </w:t>
      </w:r>
      <w:r w:rsidR="00B310F7">
        <w:t>The LCCR will add a new find and fix provision requiring water system</w:t>
      </w:r>
      <w:r w:rsidR="00BD2DC9">
        <w:t>s</w:t>
      </w:r>
      <w:r w:rsidR="00B310F7">
        <w:t xml:space="preserve"> to collect a follow-up sample for each lead tap sample that exceeds 15 μg/L. Systems with CCT are also required to collect a WQP sample and evaluate if localized or system wide CCT adjustment is needed. </w:t>
      </w:r>
      <w:r w:rsidR="00C52AB4">
        <w:t>As with tap</w:t>
      </w:r>
      <w:r w:rsidR="00B310F7">
        <w:t xml:space="preserve"> </w:t>
      </w:r>
      <w:r w:rsidR="00C52AB4">
        <w:t>sampling, WQP monitoring will be used to:</w:t>
      </w:r>
    </w:p>
    <w:p w:rsidRPr="009820CB" w:rsidR="00C52AB4" w:rsidP="00481470" w:rsidRDefault="00C52AB4" w14:paraId="10FDB186" w14:textId="77777777">
      <w:pPr>
        <w:pStyle w:val="NormalIndent"/>
        <w:numPr>
          <w:ilvl w:val="0"/>
          <w:numId w:val="41"/>
        </w:numPr>
        <w:spacing w:after="0"/>
      </w:pPr>
      <w:r w:rsidRPr="009820CB">
        <w:t>Evaluate the quality of water delivered to customers</w:t>
      </w:r>
      <w:r>
        <w:t>;</w:t>
      </w:r>
    </w:p>
    <w:p w:rsidRPr="009820CB" w:rsidR="00C52AB4" w:rsidP="00481470" w:rsidRDefault="00C52AB4" w14:paraId="6F901441" w14:textId="77777777">
      <w:pPr>
        <w:pStyle w:val="Bullets"/>
        <w:spacing w:after="0"/>
      </w:pPr>
      <w:r w:rsidRPr="009820CB">
        <w:t>Evaluate system-specific needs, including examining treatment effectiveness</w:t>
      </w:r>
      <w:r>
        <w:t>;</w:t>
      </w:r>
    </w:p>
    <w:p w:rsidRPr="009820CB" w:rsidR="00C52AB4" w:rsidP="00481470" w:rsidRDefault="00C52AB4" w14:paraId="0565F2C2" w14:textId="77777777">
      <w:pPr>
        <w:pStyle w:val="Bullets"/>
        <w:spacing w:after="0"/>
      </w:pPr>
      <w:r w:rsidRPr="009820CB">
        <w:t>Assess compliance and determine when it is necessary to alert the public of possible health risks resulting from non-compliance with federal or State regulations</w:t>
      </w:r>
      <w:r>
        <w:t>; and</w:t>
      </w:r>
    </w:p>
    <w:p w:rsidR="00C52AB4" w:rsidP="00481470" w:rsidRDefault="00C52AB4" w14:paraId="331EBABE" w14:textId="77777777">
      <w:pPr>
        <w:pStyle w:val="Bullets"/>
        <w:spacing w:after="0"/>
      </w:pPr>
      <w:r w:rsidRPr="009820CB">
        <w:t>Modify monitoring frequencies to address potential health risks</w:t>
      </w:r>
      <w:r>
        <w:t>.</w:t>
      </w:r>
    </w:p>
    <w:p w:rsidRPr="009820CB" w:rsidR="00B310F7" w:rsidP="00734756" w:rsidRDefault="00B310F7" w14:paraId="3CEEE2B1" w14:textId="77777777">
      <w:pPr>
        <w:pStyle w:val="Bullets"/>
        <w:numPr>
          <w:ilvl w:val="0"/>
          <w:numId w:val="0"/>
        </w:numPr>
        <w:spacing w:after="0"/>
        <w:ind w:left="720"/>
      </w:pPr>
    </w:p>
    <w:p w:rsidR="009B1180" w:rsidP="00021325" w:rsidRDefault="00817AFC" w14:paraId="337B67B5" w14:textId="74970625">
      <w:pPr>
        <w:pStyle w:val="NormalIndent"/>
      </w:pPr>
      <w:r>
        <w:t xml:space="preserve">The </w:t>
      </w:r>
      <w:r w:rsidR="00C018A3">
        <w:t>LCRR</w:t>
      </w:r>
      <w:r>
        <w:t xml:space="preserve"> requires that systems complete and annually update a</w:t>
      </w:r>
      <w:r w:rsidR="00C52AB4">
        <w:t>n</w:t>
      </w:r>
      <w:r>
        <w:t xml:space="preserve"> </w:t>
      </w:r>
      <w:r w:rsidR="00D76E3F">
        <w:t>LSL</w:t>
      </w:r>
      <w:r>
        <w:t xml:space="preserve"> inventory</w:t>
      </w:r>
      <w:r w:rsidR="00147889">
        <w:t xml:space="preserve">, </w:t>
      </w:r>
      <w:r>
        <w:t xml:space="preserve">a </w:t>
      </w:r>
      <w:r w:rsidRPr="00483B33">
        <w:t xml:space="preserve">comprehensive </w:t>
      </w:r>
      <w:r>
        <w:t>service line materials inventory that identifies LSLs and</w:t>
      </w:r>
      <w:r w:rsidR="00C52AB4">
        <w:t xml:space="preserve"> galvanized pipes that are </w:t>
      </w:r>
      <w:r w:rsidR="00147889">
        <w:t xml:space="preserve">currently </w:t>
      </w:r>
      <w:r w:rsidR="00C52AB4">
        <w:t>or have been upstream of an LSL</w:t>
      </w:r>
      <w:r>
        <w:t xml:space="preserve">. The inventory will be used to inform </w:t>
      </w:r>
      <w:r w:rsidR="00D76E3F">
        <w:t>LSL</w:t>
      </w:r>
      <w:r w:rsidR="00225815">
        <w:t>R</w:t>
      </w:r>
      <w:r>
        <w:t xml:space="preserve"> efforts, lead and copper tap sampling</w:t>
      </w:r>
      <w:r w:rsidR="00147889">
        <w:t xml:space="preserve"> sites</w:t>
      </w:r>
      <w:r>
        <w:t>, and public education efforts.</w:t>
      </w:r>
      <w:r w:rsidR="003A67D2">
        <w:t xml:space="preserve"> </w:t>
      </w:r>
    </w:p>
    <w:p w:rsidR="002220B5" w:rsidP="00021325" w:rsidRDefault="002220B5" w14:paraId="20466891" w14:textId="60D3ACFB">
      <w:pPr>
        <w:pStyle w:val="NormalIndent"/>
      </w:pPr>
      <w:r>
        <w:t xml:space="preserve">The revisions to the LCR requirements for </w:t>
      </w:r>
      <w:r w:rsidR="00D76E3F">
        <w:t>LSL</w:t>
      </w:r>
      <w:r>
        <w:t xml:space="preserve"> </w:t>
      </w:r>
      <w:r w:rsidR="00D76E3F">
        <w:t>t</w:t>
      </w:r>
      <w:r>
        <w:t xml:space="preserve">esting and </w:t>
      </w:r>
      <w:r w:rsidR="00D76E3F">
        <w:t>r</w:t>
      </w:r>
      <w:r>
        <w:t xml:space="preserve">eplacement include </w:t>
      </w:r>
      <w:r w:rsidR="00384684">
        <w:t>r</w:t>
      </w:r>
      <w:r w:rsidR="00E513B3">
        <w:t>equiring mandatory full lead service line replacement (LSL</w:t>
      </w:r>
      <w:r>
        <w:t>R</w:t>
      </w:r>
      <w:r w:rsidR="00E513B3">
        <w:t>)</w:t>
      </w:r>
      <w:r>
        <w:t xml:space="preserve"> at a minimum of three percent per year in response to a lead ALE and full LSLR based on </w:t>
      </w:r>
      <w:r w:rsidR="00F236F9">
        <w:t xml:space="preserve">a </w:t>
      </w:r>
      <w:r>
        <w:t xml:space="preserve">goal </w:t>
      </w:r>
      <w:r w:rsidR="00F236F9">
        <w:t>rate</w:t>
      </w:r>
      <w:r>
        <w:t xml:space="preserve"> negotiated by the system and the </w:t>
      </w:r>
      <w:r w:rsidR="00E604CC">
        <w:t>primacy agency</w:t>
      </w:r>
      <w:r>
        <w:t xml:space="preserve"> in response to a lead TLE</w:t>
      </w:r>
      <w:r w:rsidR="00F26ACD">
        <w:t xml:space="preserve">. </w:t>
      </w:r>
      <w:r w:rsidR="00406EBD">
        <w:t xml:space="preserve">The </w:t>
      </w:r>
      <w:r w:rsidR="00C018A3">
        <w:t>LCRR</w:t>
      </w:r>
      <w:r w:rsidR="00F26ACD">
        <w:t xml:space="preserve"> </w:t>
      </w:r>
      <w:r>
        <w:t>p</w:t>
      </w:r>
      <w:r w:rsidRPr="0007203F">
        <w:t>rohibi</w:t>
      </w:r>
      <w:r>
        <w:t>t</w:t>
      </w:r>
      <w:r w:rsidR="00F26ACD">
        <w:t>s</w:t>
      </w:r>
      <w:r w:rsidRPr="0007203F">
        <w:t xml:space="preserve"> systems from counting partial </w:t>
      </w:r>
      <w:r w:rsidR="00147889">
        <w:t>LSLRs</w:t>
      </w:r>
      <w:r w:rsidR="00E513B3">
        <w:t xml:space="preserve"> </w:t>
      </w:r>
      <w:r w:rsidRPr="0007203F">
        <w:t xml:space="preserve">toward </w:t>
      </w:r>
      <w:r>
        <w:t xml:space="preserve">their mandatory rate or </w:t>
      </w:r>
      <w:r w:rsidRPr="0007203F">
        <w:t>replacement goal</w:t>
      </w:r>
      <w:r w:rsidR="00F26ACD">
        <w:t xml:space="preserve"> and </w:t>
      </w:r>
      <w:r>
        <w:t>eliminat</w:t>
      </w:r>
      <w:r w:rsidR="00F26ACD">
        <w:t xml:space="preserve">es </w:t>
      </w:r>
      <w:r>
        <w:t>the “tested out” provision</w:t>
      </w:r>
      <w:r w:rsidR="00F26ACD">
        <w:rPr>
          <w:rStyle w:val="FootnoteReference"/>
        </w:rPr>
        <w:footnoteReference w:id="8"/>
      </w:r>
      <w:r>
        <w:t xml:space="preserve">; </w:t>
      </w:r>
      <w:r w:rsidR="00FB4F7D">
        <w:t xml:space="preserve">Systems are </w:t>
      </w:r>
      <w:r>
        <w:t>requir</w:t>
      </w:r>
      <w:r w:rsidR="00FB4F7D">
        <w:t xml:space="preserve">ed </w:t>
      </w:r>
      <w:r>
        <w:t xml:space="preserve">to replace their portion of the LSL if they are made aware that the customer is replacing their portion. </w:t>
      </w:r>
    </w:p>
    <w:p w:rsidR="002220B5" w:rsidP="00021325" w:rsidRDefault="002220B5" w14:paraId="48264609" w14:textId="77777777">
      <w:pPr>
        <w:pStyle w:val="NormalIndent"/>
      </w:pPr>
      <w:r>
        <w:t>The revisions also require that systems p</w:t>
      </w:r>
      <w:r w:rsidRPr="00CC4D4E">
        <w:t xml:space="preserve">rovide a pitcher filter certified to remove lead and replacement cartridges to last a minimum of </w:t>
      </w:r>
      <w:r>
        <w:t>three</w:t>
      </w:r>
      <w:r w:rsidRPr="00CC4D4E">
        <w:t xml:space="preserve"> months and collect one follow-up lead tap sample at the end of the </w:t>
      </w:r>
      <w:r>
        <w:t>three</w:t>
      </w:r>
      <w:r w:rsidRPr="00CC4D4E">
        <w:t xml:space="preserve"> months period</w:t>
      </w:r>
      <w:r>
        <w:t xml:space="preserve"> for each affected residence after any LSLR</w:t>
      </w:r>
      <w:r w:rsidR="00F707BD">
        <w:t>. Systems must also</w:t>
      </w:r>
      <w:r>
        <w:t xml:space="preserve"> develop </w:t>
      </w:r>
      <w:r w:rsidRPr="00F13C4C">
        <w:t>standard operating procedures that help define operations that disturb LSLs and practices to minimize disturbance and consumer exposure to lead</w:t>
      </w:r>
      <w:r w:rsidR="00F707BD">
        <w:t xml:space="preserve">. Also, systems are to </w:t>
      </w:r>
      <w:r>
        <w:t>conduct targeted</w:t>
      </w:r>
      <w:r w:rsidR="000C08CF">
        <w:t xml:space="preserve"> public education</w:t>
      </w:r>
      <w:r>
        <w:t xml:space="preserve"> </w:t>
      </w:r>
      <w:r w:rsidR="000C08CF">
        <w:t>(</w:t>
      </w:r>
      <w:r w:rsidRPr="000C08CF">
        <w:t>PE</w:t>
      </w:r>
      <w:r w:rsidR="000C08CF">
        <w:t>)</w:t>
      </w:r>
      <w:r>
        <w:t xml:space="preserve"> to customers with LSLs to encourage them to participate in the LSLR program. The data collected as the result of this revision will primarily be used to</w:t>
      </w:r>
      <w:r w:rsidRPr="009820CB">
        <w:t xml:space="preserve"> </w:t>
      </w:r>
      <w:r w:rsidR="00F236F9">
        <w:lastRenderedPageBreak/>
        <w:t>demonstrate</w:t>
      </w:r>
      <w:r w:rsidRPr="009820CB">
        <w:t xml:space="preserve"> compliance and determine when it is necessary to alert the public of possible health risks</w:t>
      </w:r>
      <w:r w:rsidR="000A6323">
        <w:t>.</w:t>
      </w:r>
    </w:p>
    <w:p w:rsidR="00147889" w:rsidP="007D078D" w:rsidRDefault="00147889" w14:paraId="7F59AC6B" w14:textId="250D9B89">
      <w:pPr>
        <w:spacing w:after="240"/>
        <w:ind w:firstLine="720"/>
      </w:pPr>
      <w:r>
        <w:t>The LCRR would provide three compliance alternatives for a lead action level exceedance to allow increased flexibility for small CWS that serve 3,300 or fewer people and four compliance alternatives for NTNCWS. The rule w</w:t>
      </w:r>
      <w:r w:rsidR="002D7AF5">
        <w:t>ill</w:t>
      </w:r>
      <w:r>
        <w:t xml:space="preserve"> allow these water systems to choose among options, which would allow them to select the most financially and technologically viable strategy that is effective in reducing lead in drinking water. The EPA </w:t>
      </w:r>
      <w:r w:rsidR="002D7AF5">
        <w:t>set</w:t>
      </w:r>
      <w:r>
        <w:t xml:space="preserve"> the following compliance alternatives for small community water systems: 1) full lead service line replacement</w:t>
      </w:r>
      <w:r w:rsidR="002D7AF5">
        <w:t xml:space="preserve"> and replacement of lead bearing materials</w:t>
      </w:r>
      <w:r>
        <w:t xml:space="preserve">, 2) installation and maintenance of optimized corrosion control treatment, and 3) installation and maintenance of point-of-use (POU) devices. The EPA </w:t>
      </w:r>
      <w:r w:rsidR="002D7AF5">
        <w:t>has also set</w:t>
      </w:r>
      <w:r>
        <w:t xml:space="preserve"> the above three flexibilities for NTNCWS and an additional option of replacement of all </w:t>
      </w:r>
      <w:r w:rsidR="002F6581">
        <w:t>lead-</w:t>
      </w:r>
      <w:r>
        <w:t xml:space="preserve">bearing plumbing fixtures at every tap where water could be used for human consumption. The NTNCWS must have control of all plumbing materials to </w:t>
      </w:r>
      <w:r w:rsidR="006E64B0">
        <w:t xml:space="preserve">select this option. </w:t>
      </w:r>
      <w:r w:rsidR="00DD2769">
        <w:t>The data collected as the result of this revision will primarily be used to</w:t>
      </w:r>
      <w:r w:rsidRPr="009820CB" w:rsidR="00DD2769">
        <w:t xml:space="preserve"> </w:t>
      </w:r>
      <w:r>
        <w:t xml:space="preserve">determine </w:t>
      </w:r>
      <w:r w:rsidRPr="009820CB" w:rsidR="00DD2769">
        <w:t>compliance and determine when it is necessary to alert the public of possible health risks resulting from non-compliance with federal or State regulations</w:t>
      </w:r>
      <w:r w:rsidR="00DD2769">
        <w:t>.</w:t>
      </w:r>
    </w:p>
    <w:p w:rsidR="00DD2769" w:rsidP="00021325" w:rsidRDefault="00DD2769" w14:paraId="2E388D51" w14:textId="026AB474">
      <w:pPr>
        <w:pStyle w:val="NormalIndent"/>
      </w:pPr>
      <w:r>
        <w:t xml:space="preserve">The </w:t>
      </w:r>
      <w:r w:rsidR="00C018A3">
        <w:t>LCRR</w:t>
      </w:r>
      <w:r>
        <w:t xml:space="preserve"> adds</w:t>
      </w:r>
      <w:r w:rsidR="00384684">
        <w:t xml:space="preserve"> additional </w:t>
      </w:r>
      <w:r w:rsidR="004829C4">
        <w:t>lead public e</w:t>
      </w:r>
      <w:r>
        <w:t xml:space="preserve">ducation </w:t>
      </w:r>
      <w:r w:rsidR="004829C4">
        <w:t>and o</w:t>
      </w:r>
      <w:r w:rsidR="00384684">
        <w:t xml:space="preserve">utreach </w:t>
      </w:r>
      <w:r>
        <w:t xml:space="preserve">requirements to those already required of systems responding to a lead ALE. The </w:t>
      </w:r>
      <w:r w:rsidR="00C018A3">
        <w:t>LCRR</w:t>
      </w:r>
      <w:r>
        <w:t xml:space="preserve"> also codifies the </w:t>
      </w:r>
      <w:r w:rsidR="00147889">
        <w:t>Water Infrastructure Improvement</w:t>
      </w:r>
      <w:r w:rsidR="006E64B0">
        <w:t>s for the Nation Act (WIIN Act),</w:t>
      </w:r>
      <w:r w:rsidR="00147889">
        <w:t xml:space="preserve"> which requires water</w:t>
      </w:r>
      <w:r>
        <w:t xml:space="preserve"> systems to provide public notice of a lead ALE within 24 hours. Most of the new public education requirements apply to systems regardless of their lead 90</w:t>
      </w:r>
      <w:r w:rsidRPr="000259B1">
        <w:rPr>
          <w:vertAlign w:val="superscript"/>
        </w:rPr>
        <w:t>th</w:t>
      </w:r>
      <w:r>
        <w:t xml:space="preserve"> percentile levels. The revisions include additional outreach to those potentially impacted by water-related work, new customers, and individual households with high lead results. Revisions would also increase information available to health care providers and the public and require updated lead language in the Consumer Confidence Report. </w:t>
      </w:r>
      <w:bookmarkStart w:name="_Ref511655337" w:id="10"/>
      <w:r>
        <w:t>CWSs that are conducting</w:t>
      </w:r>
      <w:r w:rsidR="000A6323">
        <w:t xml:space="preserve"> voluntary or mandatory LSLR </w:t>
      </w:r>
      <w:r w:rsidR="006E64B0">
        <w:t xml:space="preserve">would also be </w:t>
      </w:r>
      <w:r>
        <w:t>required to perform targeted outreach to customers with LSLs and CWSs that are providing and maintaining POU devices</w:t>
      </w:r>
      <w:r w:rsidR="00B32286">
        <w:t xml:space="preserve"> would be required</w:t>
      </w:r>
      <w:r>
        <w:t xml:space="preserve"> to provide educational materials to customers. The data collection required for these programs will be used to inform the public of possible health risks and asses compliance. </w:t>
      </w:r>
    </w:p>
    <w:bookmarkEnd w:id="10"/>
    <w:p w:rsidR="003A67D2" w:rsidP="00021325" w:rsidRDefault="00384684" w14:paraId="4A922D6C" w14:textId="77777777">
      <w:pPr>
        <w:pStyle w:val="NormalIndent"/>
        <w:rPr>
          <w:lang w:bidi="en-US"/>
        </w:rPr>
      </w:pPr>
      <w:r>
        <w:rPr>
          <w:lang w:bidi="en-US"/>
        </w:rPr>
        <w:t>Under the revisions for a</w:t>
      </w:r>
      <w:r w:rsidR="00EB1327">
        <w:rPr>
          <w:lang w:bidi="en-US"/>
        </w:rPr>
        <w:t xml:space="preserve"> c</w:t>
      </w:r>
      <w:r>
        <w:rPr>
          <w:lang w:bidi="en-US"/>
        </w:rPr>
        <w:t xml:space="preserve">hange in </w:t>
      </w:r>
      <w:r w:rsidR="00EB1327">
        <w:rPr>
          <w:lang w:bidi="en-US"/>
        </w:rPr>
        <w:t>s</w:t>
      </w:r>
      <w:r>
        <w:rPr>
          <w:lang w:bidi="en-US"/>
        </w:rPr>
        <w:t xml:space="preserve">ource or </w:t>
      </w:r>
      <w:r w:rsidR="00EB1327">
        <w:rPr>
          <w:lang w:bidi="en-US"/>
        </w:rPr>
        <w:t>t</w:t>
      </w:r>
      <w:r>
        <w:rPr>
          <w:lang w:bidi="en-US"/>
        </w:rPr>
        <w:t>reatment, all CWSs and NTNCWSs regardless of lead 90</w:t>
      </w:r>
      <w:r w:rsidRPr="00C548D6">
        <w:rPr>
          <w:vertAlign w:val="superscript"/>
          <w:lang w:bidi="en-US"/>
        </w:rPr>
        <w:t>th</w:t>
      </w:r>
      <w:r>
        <w:rPr>
          <w:lang w:bidi="en-US"/>
        </w:rPr>
        <w:t xml:space="preserve"> percentile levels are required to obtain </w:t>
      </w:r>
      <w:r w:rsidR="006E64B0">
        <w:rPr>
          <w:lang w:bidi="en-US"/>
        </w:rPr>
        <w:t>p</w:t>
      </w:r>
      <w:r w:rsidR="00E5250C">
        <w:rPr>
          <w:lang w:bidi="en-US"/>
        </w:rPr>
        <w:t>rimacy agency</w:t>
      </w:r>
      <w:r>
        <w:rPr>
          <w:lang w:bidi="en-US"/>
        </w:rPr>
        <w:t xml:space="preserve"> approval prior to making any long-term treatment changes or adding a new source and to sample source water in response to a significant change in source. The data collected under this revision will be used to:</w:t>
      </w:r>
    </w:p>
    <w:p w:rsidRPr="009820CB" w:rsidR="00384684" w:rsidP="0027631A" w:rsidRDefault="00384684" w14:paraId="64E56FA2" w14:textId="77777777">
      <w:pPr>
        <w:pStyle w:val="Bullets"/>
      </w:pPr>
      <w:r w:rsidRPr="009820CB">
        <w:t>Evaluate the quality of water delivered to customers</w:t>
      </w:r>
      <w:r>
        <w:t>;</w:t>
      </w:r>
    </w:p>
    <w:p w:rsidRPr="009820CB" w:rsidR="00384684" w:rsidP="0027631A" w:rsidRDefault="00384684" w14:paraId="50F88D2A" w14:textId="77777777">
      <w:pPr>
        <w:pStyle w:val="Bullets"/>
      </w:pPr>
      <w:r w:rsidRPr="009820CB">
        <w:t>Evaluate system-specific needs, including examining treatment effectiveness</w:t>
      </w:r>
      <w:r>
        <w:t>;</w:t>
      </w:r>
      <w:r w:rsidR="005C0DD7">
        <w:t xml:space="preserve"> and</w:t>
      </w:r>
    </w:p>
    <w:p w:rsidRPr="009820CB" w:rsidR="00384684" w:rsidP="0027631A" w:rsidRDefault="00384684" w14:paraId="6A4C7300" w14:textId="77777777">
      <w:pPr>
        <w:pStyle w:val="Bullets"/>
      </w:pPr>
      <w:r w:rsidRPr="009820CB">
        <w:t>Modify monitoring frequencies to address potential health risks</w:t>
      </w:r>
      <w:r>
        <w:t>.</w:t>
      </w:r>
    </w:p>
    <w:p w:rsidR="003A67D2" w:rsidP="00021325" w:rsidRDefault="00384684" w14:paraId="11E4B2AD" w14:textId="5299824F">
      <w:pPr>
        <w:pStyle w:val="NormalIndent"/>
      </w:pPr>
      <w:r>
        <w:t xml:space="preserve">Source Water Monitoring and Treatment has one revision under the </w:t>
      </w:r>
      <w:r w:rsidR="00C018A3">
        <w:t>LCRR</w:t>
      </w:r>
      <w:r>
        <w:t xml:space="preserve">. The source water monitoring requirements would only apply to the first time in which a water system exceeds the lead or copper </w:t>
      </w:r>
      <w:r w:rsidR="00FE664D">
        <w:t>AL</w:t>
      </w:r>
      <w:r>
        <w:t>. The source water monitoring and treatment requirements are independent of lead 90</w:t>
      </w:r>
      <w:r w:rsidRPr="00C548D6">
        <w:rPr>
          <w:vertAlign w:val="superscript"/>
        </w:rPr>
        <w:t>th</w:t>
      </w:r>
      <w:r>
        <w:t xml:space="preserve"> percentile levels. This is a reduction in burden. </w:t>
      </w:r>
    </w:p>
    <w:p w:rsidR="00FC0AB1" w:rsidP="00021325" w:rsidRDefault="00FC0AB1" w14:paraId="0DA74B00" w14:textId="6515ABDD">
      <w:pPr>
        <w:pStyle w:val="NormalIndent"/>
      </w:pPr>
      <w:r>
        <w:lastRenderedPageBreak/>
        <w:t xml:space="preserve">The </w:t>
      </w:r>
      <w:r w:rsidR="00C018A3">
        <w:t>LCRR</w:t>
      </w:r>
      <w:r>
        <w:t xml:space="preserve"> creates a new requirement for </w:t>
      </w:r>
      <w:r w:rsidR="005C0DD7">
        <w:t>CWSs</w:t>
      </w:r>
      <w:r>
        <w:t xml:space="preserve"> to conduct lead in drinking water testing and public education at schools and </w:t>
      </w:r>
      <w:r w:rsidR="00631340">
        <w:t>childcare</w:t>
      </w:r>
      <w:r>
        <w:t xml:space="preserve"> facilities. Systems would be required to provide public education to each sampled school or </w:t>
      </w:r>
      <w:r w:rsidR="00631340">
        <w:t>childcare</w:t>
      </w:r>
      <w:r>
        <w:t xml:space="preserve"> facility and provide </w:t>
      </w:r>
      <w:r w:rsidR="005C0DD7">
        <w:t xml:space="preserve">testing results to the facility, </w:t>
      </w:r>
      <w:r w:rsidR="006E64B0">
        <w:t>p</w:t>
      </w:r>
      <w:r w:rsidR="00E5250C">
        <w:t>rimacy agency</w:t>
      </w:r>
      <w:r w:rsidR="005C0DD7">
        <w:t>, and state and local health departments</w:t>
      </w:r>
      <w:r>
        <w:t xml:space="preserve">. </w:t>
      </w:r>
    </w:p>
    <w:p w:rsidRPr="008C053B" w:rsidR="00C01319" w:rsidP="000C0ED7" w:rsidRDefault="00C01319" w14:paraId="65F502A9" w14:textId="77777777">
      <w:pPr>
        <w:pStyle w:val="Heading3"/>
      </w:pPr>
      <w:bookmarkStart w:name="_Toc160872052" w:id="11"/>
      <w:r w:rsidRPr="008C053B">
        <w:t>2(b)(ii) Users of the Data</w:t>
      </w:r>
      <w:bookmarkEnd w:id="11"/>
    </w:p>
    <w:p w:rsidRPr="0079196D" w:rsidR="000F6F69" w:rsidP="00021325" w:rsidRDefault="000F6F69" w14:paraId="0373E810" w14:textId="77777777">
      <w:pPr>
        <w:pStyle w:val="NormalIndent"/>
      </w:pPr>
      <w:r>
        <w:t xml:space="preserve">Primary users of the data </w:t>
      </w:r>
      <w:r w:rsidR="006C3017">
        <w:t>collected under this ICR</w:t>
      </w:r>
      <w:r>
        <w:t xml:space="preserve"> are </w:t>
      </w:r>
      <w:r w:rsidR="006C3017">
        <w:t xml:space="preserve">water </w:t>
      </w:r>
      <w:r>
        <w:t xml:space="preserve">systems and their customers, primacy agencies, and </w:t>
      </w:r>
      <w:r w:rsidR="005C0DD7">
        <w:t xml:space="preserve">the </w:t>
      </w:r>
      <w:r>
        <w:t>EPA</w:t>
      </w:r>
      <w:r w:rsidR="007624F1">
        <w:t xml:space="preserve">. </w:t>
      </w:r>
      <w:r w:rsidR="006C3017">
        <w:t xml:space="preserve">The information collected by </w:t>
      </w:r>
      <w:r w:rsidR="005C0DD7">
        <w:t xml:space="preserve">the </w:t>
      </w:r>
      <w:r w:rsidRPr="0079196D" w:rsidR="009E3ED6">
        <w:t xml:space="preserve">EPA </w:t>
      </w:r>
      <w:r w:rsidR="006C3017">
        <w:t xml:space="preserve">is available to the public, via </w:t>
      </w:r>
      <w:r w:rsidR="006A5532">
        <w:t>the</w:t>
      </w:r>
      <w:r w:rsidR="006C3017">
        <w:t xml:space="preserve"> EPA’</w:t>
      </w:r>
      <w:r w:rsidR="00CE5FD6">
        <w:t>s webs</w:t>
      </w:r>
      <w:r w:rsidR="006C3017">
        <w:t>i</w:t>
      </w:r>
      <w:r w:rsidR="00CE5FD6">
        <w:t>t</w:t>
      </w:r>
      <w:r w:rsidR="006C3017">
        <w:t>e (</w:t>
      </w:r>
      <w:hyperlink w:history="1" r:id="rId12">
        <w:r w:rsidRPr="00E76254" w:rsidR="00504F66">
          <w:rPr>
            <w:rStyle w:val="Hyperlink"/>
          </w:rPr>
          <w:t>https://www3.epa.gov/enviro/facts/sdwis/search.html</w:t>
        </w:r>
      </w:hyperlink>
      <w:r w:rsidR="00CE5FD6">
        <w:t>) or by requesting the data</w:t>
      </w:r>
      <w:r w:rsidRPr="0079196D" w:rsidR="009E3ED6">
        <w:t xml:space="preserve"> under the Freedom of Information Act</w:t>
      </w:r>
      <w:r w:rsidRPr="0079196D" w:rsidR="003A5675">
        <w:t xml:space="preserve"> </w:t>
      </w:r>
      <w:r w:rsidRPr="0079196D" w:rsidR="009E3ED6">
        <w:t xml:space="preserve">(FOIA; 40 CFR, Chapter 1, Part 2). </w:t>
      </w:r>
      <w:r w:rsidRPr="0079196D">
        <w:t xml:space="preserve">Other </w:t>
      </w:r>
      <w:r w:rsidR="00CE5FD6">
        <w:t>organizations</w:t>
      </w:r>
      <w:r w:rsidR="0034332A">
        <w:t xml:space="preserve"> and individuals</w:t>
      </w:r>
      <w:r w:rsidRPr="0079196D">
        <w:t xml:space="preserve"> that may utilize</w:t>
      </w:r>
      <w:r w:rsidR="00CE5FD6">
        <w:t xml:space="preserve"> the data include the following:</w:t>
      </w:r>
    </w:p>
    <w:p w:rsidR="0034332A" w:rsidP="0027631A" w:rsidRDefault="0034332A" w14:paraId="109A590D" w14:textId="77777777">
      <w:pPr>
        <w:pStyle w:val="Bullets"/>
      </w:pPr>
      <w:r>
        <w:t>Individual consumers, realtors, potential homebuyers, homeowners, households, and other members of the public</w:t>
      </w:r>
    </w:p>
    <w:p w:rsidRPr="0079196D" w:rsidR="003A5675" w:rsidP="0027631A" w:rsidRDefault="00CE5FD6" w14:paraId="0C56F3C9" w14:textId="77777777">
      <w:pPr>
        <w:pStyle w:val="Bullets"/>
      </w:pPr>
      <w:r>
        <w:t>News o</w:t>
      </w:r>
      <w:r w:rsidRPr="0079196D" w:rsidR="004B6F37">
        <w:t>rganizations</w:t>
      </w:r>
    </w:p>
    <w:p w:rsidRPr="0079196D" w:rsidR="00763332" w:rsidP="0027631A" w:rsidRDefault="00C01319" w14:paraId="7ED31200" w14:textId="77777777">
      <w:pPr>
        <w:pStyle w:val="Bullets"/>
      </w:pPr>
      <w:r w:rsidRPr="0079196D">
        <w:t>Staff from other EPA programs (such as Superfund, the Resource Conservation and</w:t>
      </w:r>
      <w:r w:rsidRPr="0079196D" w:rsidR="00763332">
        <w:t xml:space="preserve"> </w:t>
      </w:r>
      <w:r w:rsidRPr="0079196D">
        <w:t>Recovery Act, and the O</w:t>
      </w:r>
      <w:r w:rsidR="00CE5FD6">
        <w:t xml:space="preserve">ffice of </w:t>
      </w:r>
      <w:r w:rsidRPr="0079196D">
        <w:t>E</w:t>
      </w:r>
      <w:r w:rsidR="00CE5FD6">
        <w:t>nforcement and Compliance Assurance</w:t>
      </w:r>
      <w:r w:rsidRPr="0079196D">
        <w:t>)</w:t>
      </w:r>
    </w:p>
    <w:p w:rsidRPr="0079196D" w:rsidR="00763332" w:rsidP="0027631A" w:rsidRDefault="00C01319" w14:paraId="02667BBF" w14:textId="77777777">
      <w:pPr>
        <w:pStyle w:val="Bullets"/>
      </w:pPr>
      <w:r w:rsidRPr="0079196D">
        <w:t>The Federal Emergency Management Administration</w:t>
      </w:r>
    </w:p>
    <w:p w:rsidRPr="0079196D" w:rsidR="00763332" w:rsidP="0027631A" w:rsidRDefault="00C01319" w14:paraId="30A5F7AC" w14:textId="77777777">
      <w:pPr>
        <w:pStyle w:val="Bullets"/>
      </w:pPr>
      <w:r w:rsidRPr="0079196D">
        <w:t xml:space="preserve">Centers for </w:t>
      </w:r>
      <w:r w:rsidR="00E513B3">
        <w:t>Disease Control and Prevention</w:t>
      </w:r>
    </w:p>
    <w:p w:rsidRPr="0079196D" w:rsidR="00763332" w:rsidP="0027631A" w:rsidRDefault="00C01319" w14:paraId="6A1B5E8C" w14:textId="77777777">
      <w:pPr>
        <w:pStyle w:val="Bullets"/>
      </w:pPr>
      <w:r w:rsidRPr="0079196D">
        <w:t>Military bases</w:t>
      </w:r>
    </w:p>
    <w:p w:rsidRPr="0079196D" w:rsidR="00763332" w:rsidP="0027631A" w:rsidRDefault="00C01319" w14:paraId="37070244" w14:textId="77777777">
      <w:pPr>
        <w:pStyle w:val="Bullets"/>
      </w:pPr>
      <w:r w:rsidRPr="0079196D">
        <w:t>Farmers Home Administration</w:t>
      </w:r>
    </w:p>
    <w:p w:rsidRPr="0079196D" w:rsidR="00763332" w:rsidP="0027631A" w:rsidRDefault="00C01319" w14:paraId="22EEC9A4" w14:textId="77777777">
      <w:pPr>
        <w:pStyle w:val="Bullets"/>
      </w:pPr>
      <w:r w:rsidRPr="0079196D">
        <w:t>Department of Interior</w:t>
      </w:r>
    </w:p>
    <w:p w:rsidRPr="0079196D" w:rsidR="00763332" w:rsidP="0027631A" w:rsidRDefault="00C01319" w14:paraId="3DBA5160" w14:textId="77777777">
      <w:pPr>
        <w:pStyle w:val="Bullets"/>
      </w:pPr>
      <w:r w:rsidRPr="0079196D">
        <w:t>Department of Housing and Urban Development</w:t>
      </w:r>
    </w:p>
    <w:p w:rsidRPr="0079196D" w:rsidR="00763332" w:rsidP="0027631A" w:rsidRDefault="00C01319" w14:paraId="2FD09D94" w14:textId="77777777">
      <w:pPr>
        <w:pStyle w:val="Bullets"/>
      </w:pPr>
      <w:r w:rsidRPr="0079196D">
        <w:t>U.S. Army Corps of Engineers</w:t>
      </w:r>
    </w:p>
    <w:p w:rsidRPr="0079196D" w:rsidR="00763332" w:rsidP="0027631A" w:rsidRDefault="00C01319" w14:paraId="7139F81A" w14:textId="77777777">
      <w:pPr>
        <w:pStyle w:val="Bullets"/>
      </w:pPr>
      <w:r w:rsidRPr="0079196D">
        <w:t>White House Task Forces</w:t>
      </w:r>
    </w:p>
    <w:p w:rsidRPr="0079196D" w:rsidR="00763332" w:rsidP="0027631A" w:rsidRDefault="00C01319" w14:paraId="57EFE645" w14:textId="77777777">
      <w:pPr>
        <w:pStyle w:val="Bullets"/>
      </w:pPr>
      <w:r w:rsidRPr="0079196D">
        <w:t>American Water Works Association</w:t>
      </w:r>
    </w:p>
    <w:p w:rsidRPr="0079196D" w:rsidR="00763332" w:rsidP="0027631A" w:rsidRDefault="00C01319" w14:paraId="2961C367" w14:textId="77777777">
      <w:pPr>
        <w:pStyle w:val="Bullets"/>
      </w:pPr>
      <w:r w:rsidRPr="0079196D">
        <w:t>Association of Metropolitan Water Agencies</w:t>
      </w:r>
    </w:p>
    <w:p w:rsidRPr="0079196D" w:rsidR="00763332" w:rsidP="0027631A" w:rsidRDefault="00C01319" w14:paraId="26921432" w14:textId="77777777">
      <w:pPr>
        <w:pStyle w:val="Bullets"/>
      </w:pPr>
      <w:r w:rsidRPr="0079196D">
        <w:t>National Rural Water Association</w:t>
      </w:r>
    </w:p>
    <w:p w:rsidRPr="0079196D" w:rsidR="00763332" w:rsidP="0027631A" w:rsidRDefault="00C01319" w14:paraId="4D1D8A78" w14:textId="77777777">
      <w:pPr>
        <w:pStyle w:val="Bullets"/>
      </w:pPr>
      <w:r w:rsidRPr="0079196D">
        <w:t>National Association of Water Companies</w:t>
      </w:r>
    </w:p>
    <w:p w:rsidRPr="0079196D" w:rsidR="00763332" w:rsidP="0027631A" w:rsidRDefault="00C01319" w14:paraId="0156024D" w14:textId="77777777">
      <w:pPr>
        <w:pStyle w:val="Bullets"/>
      </w:pPr>
      <w:r w:rsidRPr="0079196D">
        <w:t>Association of State Drinking Water Administrators</w:t>
      </w:r>
      <w:r w:rsidR="00E513B3">
        <w:t xml:space="preserve"> </w:t>
      </w:r>
    </w:p>
    <w:p w:rsidRPr="0079196D" w:rsidR="00763332" w:rsidP="0027631A" w:rsidRDefault="00C01319" w14:paraId="5BA2FC3E" w14:textId="77777777">
      <w:pPr>
        <w:pStyle w:val="Bullets"/>
      </w:pPr>
      <w:r w:rsidRPr="0079196D">
        <w:t>Natural Resources Defense Council</w:t>
      </w:r>
    </w:p>
    <w:p w:rsidR="00344F30" w:rsidP="00344F30" w:rsidRDefault="00C01319" w14:paraId="16B3C02D" w14:textId="77777777">
      <w:pPr>
        <w:pStyle w:val="Bullets"/>
      </w:pPr>
      <w:r w:rsidRPr="0079196D">
        <w:t>Consumers Federation of America</w:t>
      </w:r>
      <w:r w:rsidR="00CE5FD6">
        <w:t>.</w:t>
      </w:r>
      <w:bookmarkStart w:name="_Toc160872053" w:id="12"/>
    </w:p>
    <w:p w:rsidRPr="00423550" w:rsidR="003A5675" w:rsidP="00344F30" w:rsidRDefault="003A5675" w14:paraId="08E041A3" w14:textId="77777777">
      <w:pPr>
        <w:pStyle w:val="Heading1"/>
      </w:pPr>
      <w:r w:rsidRPr="00423550">
        <w:t>3</w:t>
      </w:r>
      <w:r w:rsidRPr="00423550" w:rsidR="009D42EE">
        <w:tab/>
      </w:r>
      <w:r w:rsidRPr="00423550">
        <w:t>NON-DUPLICATION, CONSULTATIONS, AND OTHER COLLECTION</w:t>
      </w:r>
      <w:bookmarkEnd w:id="12"/>
      <w:r w:rsidR="00896295">
        <w:t xml:space="preserve"> </w:t>
      </w:r>
      <w:r w:rsidRPr="00423550">
        <w:t>CRITERIA</w:t>
      </w:r>
    </w:p>
    <w:p w:rsidRPr="00423550" w:rsidR="003A5675" w:rsidP="000C0ED7" w:rsidRDefault="003A5675" w14:paraId="1E42C20A" w14:textId="77777777">
      <w:pPr>
        <w:pStyle w:val="Heading2"/>
      </w:pPr>
      <w:bookmarkStart w:name="_Toc160872054" w:id="13"/>
      <w:r w:rsidRPr="00423550">
        <w:t xml:space="preserve">3(a) </w:t>
      </w:r>
      <w:r w:rsidRPr="00423550" w:rsidR="009D42EE">
        <w:tab/>
      </w:r>
      <w:r w:rsidRPr="00423550">
        <w:t>Non-duplication</w:t>
      </w:r>
      <w:bookmarkEnd w:id="13"/>
    </w:p>
    <w:p w:rsidRPr="00423550" w:rsidR="003A5675" w:rsidP="00021325" w:rsidRDefault="006A5532" w14:paraId="021AB97A" w14:textId="77777777">
      <w:pPr>
        <w:pStyle w:val="NormalIndent"/>
      </w:pPr>
      <w:r>
        <w:t xml:space="preserve">The </w:t>
      </w:r>
      <w:r w:rsidRPr="00423550" w:rsidR="00EA5A71">
        <w:t>EPA has consulte</w:t>
      </w:r>
      <w:r w:rsidR="00EA5A71">
        <w:t>d with other federal agencies, s</w:t>
      </w:r>
      <w:r w:rsidRPr="00423550" w:rsidR="00EA5A71">
        <w:t>tate agencies, industry organizations, water systems, and tribal organizations to ensure non-duplication of this information collection</w:t>
      </w:r>
      <w:r w:rsidR="00663BE6">
        <w:t xml:space="preserve">. </w:t>
      </w:r>
      <w:r w:rsidRPr="00423550" w:rsidR="003A5675">
        <w:t>To the best of the Agency's knowledge, data required b</w:t>
      </w:r>
      <w:r w:rsidRPr="00423550" w:rsidR="009D42EE">
        <w:t xml:space="preserve">y the </w:t>
      </w:r>
      <w:r w:rsidR="0007094A">
        <w:t>revisions to the LCR</w:t>
      </w:r>
      <w:r w:rsidRPr="00423550" w:rsidR="009D42EE">
        <w:t xml:space="preserve"> are not </w:t>
      </w:r>
      <w:r w:rsidRPr="00423550" w:rsidR="003A5675">
        <w:t>available from any other source.</w:t>
      </w:r>
    </w:p>
    <w:p w:rsidRPr="00423550" w:rsidR="009D42EE" w:rsidP="000C0ED7" w:rsidRDefault="009D42EE" w14:paraId="564A2781" w14:textId="77777777">
      <w:pPr>
        <w:pStyle w:val="Heading2"/>
      </w:pPr>
      <w:bookmarkStart w:name="_Toc160872055" w:id="14"/>
      <w:r w:rsidRPr="00423550">
        <w:lastRenderedPageBreak/>
        <w:t xml:space="preserve">3(b) </w:t>
      </w:r>
      <w:r w:rsidRPr="00423550">
        <w:tab/>
        <w:t>Public Notice Required Prior to ICR Submission to OMB</w:t>
      </w:r>
      <w:bookmarkEnd w:id="14"/>
    </w:p>
    <w:p w:rsidRPr="009820CB" w:rsidR="009D42EE" w:rsidP="00021325" w:rsidRDefault="009D42EE" w14:paraId="75DA63D1" w14:textId="5902989A">
      <w:pPr>
        <w:pStyle w:val="NormalIndent"/>
      </w:pPr>
      <w:r w:rsidRPr="00423550">
        <w:t xml:space="preserve">To comply with the 1995 Amendments to the Paperwork Reduction Act, the Agency </w:t>
      </w:r>
      <w:r w:rsidRPr="009820CB">
        <w:t>solicit</w:t>
      </w:r>
      <w:r w:rsidR="00134208">
        <w:t>ed</w:t>
      </w:r>
      <w:r w:rsidR="008E7DC2">
        <w:t xml:space="preserve"> public comment on </w:t>
      </w:r>
      <w:r w:rsidR="00134208">
        <w:t>the</w:t>
      </w:r>
      <w:r w:rsidRPr="009820CB" w:rsidR="00134208">
        <w:t xml:space="preserve"> </w:t>
      </w:r>
      <w:r w:rsidRPr="009820CB">
        <w:t xml:space="preserve">draft ICR during a 60-day public comment period </w:t>
      </w:r>
      <w:r w:rsidR="00E5250C">
        <w:t xml:space="preserve">coinciding </w:t>
      </w:r>
      <w:r w:rsidRPr="009820CB">
        <w:t xml:space="preserve">with the comment period for the </w:t>
      </w:r>
      <w:r w:rsidR="002D7AF5">
        <w:t>final LCRR</w:t>
      </w:r>
      <w:r w:rsidRPr="009820CB">
        <w:t xml:space="preserve">. </w:t>
      </w:r>
      <w:r w:rsidR="003F0C6E">
        <w:t>T</w:t>
      </w:r>
      <w:r w:rsidR="006A5532">
        <w:t xml:space="preserve">he </w:t>
      </w:r>
      <w:r w:rsidR="002B7D61">
        <w:t>EPA request</w:t>
      </w:r>
      <w:r w:rsidR="00134208">
        <w:t>ed</w:t>
      </w:r>
      <w:r w:rsidR="002B7D61">
        <w:t xml:space="preserve"> comment on the estimated respondent burden and other aspects of this information collection. </w:t>
      </w:r>
      <w:r w:rsidR="003F0C6E">
        <w:t>T</w:t>
      </w:r>
      <w:r w:rsidRPr="009820CB">
        <w:t xml:space="preserve">he Agency </w:t>
      </w:r>
      <w:r w:rsidR="003F0C6E">
        <w:t xml:space="preserve">considered the comments. The </w:t>
      </w:r>
      <w:r w:rsidRPr="009820CB">
        <w:t xml:space="preserve">burden and costs </w:t>
      </w:r>
      <w:proofErr w:type="gramStart"/>
      <w:r w:rsidRPr="009820CB">
        <w:t>estimates</w:t>
      </w:r>
      <w:proofErr w:type="gramEnd"/>
      <w:r w:rsidRPr="009820CB">
        <w:t xml:space="preserve"> in </w:t>
      </w:r>
      <w:r w:rsidR="00134208">
        <w:t xml:space="preserve">this </w:t>
      </w:r>
      <w:r w:rsidR="008E7DC2">
        <w:t>final</w:t>
      </w:r>
      <w:r w:rsidRPr="009820CB">
        <w:t xml:space="preserve"> ICR</w:t>
      </w:r>
      <w:r w:rsidR="008E7DC2">
        <w:t xml:space="preserve"> </w:t>
      </w:r>
      <w:r w:rsidR="003F0C6E">
        <w:t>reflect recommended changes</w:t>
      </w:r>
      <w:r w:rsidRPr="009820CB">
        <w:t>.</w:t>
      </w:r>
    </w:p>
    <w:p w:rsidRPr="00423550" w:rsidR="00144C78" w:rsidP="000C0ED7" w:rsidRDefault="00144C78" w14:paraId="5634459B" w14:textId="77777777">
      <w:pPr>
        <w:pStyle w:val="Heading2"/>
      </w:pPr>
      <w:bookmarkStart w:name="_Toc160872056" w:id="15"/>
      <w:r w:rsidRPr="00423550">
        <w:t xml:space="preserve">3(c) </w:t>
      </w:r>
      <w:r w:rsidRPr="00423550" w:rsidR="009F0C3F">
        <w:tab/>
      </w:r>
      <w:r w:rsidRPr="00423550">
        <w:t>Consultations</w:t>
      </w:r>
      <w:bookmarkEnd w:id="15"/>
    </w:p>
    <w:p w:rsidR="00A0427B" w:rsidP="00021325" w:rsidRDefault="00A0427B" w14:paraId="2E5F2EBD" w14:textId="66166EEA">
      <w:pPr>
        <w:pStyle w:val="NormalIndent"/>
      </w:pPr>
      <w:r>
        <w:t xml:space="preserve">To help shape the </w:t>
      </w:r>
      <w:r w:rsidR="001A65EF">
        <w:t>revised</w:t>
      </w:r>
      <w:r w:rsidR="001E4BBC">
        <w:t xml:space="preserve"> LCR</w:t>
      </w:r>
      <w:r>
        <w:t xml:space="preserve">, </w:t>
      </w:r>
      <w:r w:rsidR="006A5532">
        <w:t>the</w:t>
      </w:r>
      <w:r>
        <w:t xml:space="preserve"> EPA engaged with multiple stakeholders representing a wide range of expertise. The sections </w:t>
      </w:r>
      <w:r w:rsidR="00AC37F9">
        <w:t>below describe these activities</w:t>
      </w:r>
      <w:r w:rsidR="00FF49E7">
        <w:t>.</w:t>
      </w:r>
      <w:r w:rsidR="00AC37F9">
        <w:t xml:space="preserve"> </w:t>
      </w:r>
      <w:r w:rsidR="00FF49E7">
        <w:t>S</w:t>
      </w:r>
      <w:r w:rsidR="00AC37F9">
        <w:t xml:space="preserve">ummaries from meetings and consultations </w:t>
      </w:r>
      <w:r w:rsidRPr="007F78FA" w:rsidR="00AC37F9">
        <w:t xml:space="preserve">are available in the docket for the </w:t>
      </w:r>
      <w:r w:rsidR="00AC37F9">
        <w:t>rule</w:t>
      </w:r>
      <w:r w:rsidRPr="007F78FA" w:rsidR="00AC37F9">
        <w:t xml:space="preserve"> under </w:t>
      </w:r>
      <w:r w:rsidRPr="00CB0209" w:rsidR="00AC37F9">
        <w:t>EPA-HQ-OW-201</w:t>
      </w:r>
      <w:r w:rsidR="00AC37F9">
        <w:t>7-0300</w:t>
      </w:r>
      <w:r w:rsidRPr="007F78FA" w:rsidR="00AC37F9">
        <w:t xml:space="preserve"> at </w:t>
      </w:r>
      <w:hyperlink w:history="1" r:id="rId13">
        <w:r w:rsidRPr="00475F46" w:rsidR="00AC37F9">
          <w:rPr>
            <w:rStyle w:val="Hyperlink"/>
          </w:rPr>
          <w:t>https://www.regulations.g</w:t>
        </w:r>
        <w:r w:rsidRPr="00475F46" w:rsidR="00AC37F9">
          <w:rPr>
            <w:rStyle w:val="Hyperlink"/>
          </w:rPr>
          <w:t>ov</w:t>
        </w:r>
      </w:hyperlink>
      <w:r w:rsidR="00AC37F9">
        <w:rPr>
          <w:rStyle w:val="Hyperlink"/>
        </w:rPr>
        <w:t>.</w:t>
      </w:r>
    </w:p>
    <w:p w:rsidR="00AC37F9" w:rsidP="00AC37F9" w:rsidRDefault="00AC37F9" w14:paraId="1490E3ED" w14:textId="77777777">
      <w:pPr>
        <w:pStyle w:val="Heading4"/>
      </w:pPr>
      <w:r>
        <w:t>Consultation with State and Local Government</w:t>
      </w:r>
      <w:r w:rsidR="002E3588">
        <w:t xml:space="preserve"> and Stakeholder</w:t>
      </w:r>
      <w:r>
        <w:t xml:space="preserve"> Organizations</w:t>
      </w:r>
    </w:p>
    <w:p w:rsidR="00072E45" w:rsidP="00BE598F" w:rsidRDefault="00072E45" w14:paraId="1584B7B8" w14:textId="77777777">
      <w:pPr>
        <w:spacing w:after="240"/>
        <w:ind w:firstLine="720"/>
      </w:pPr>
      <w:r>
        <w:t>In October 2008, the EPA held a two</w:t>
      </w:r>
      <w:r w:rsidRPr="00CE5679">
        <w:t>-day stakeholder meeting at the Carnegie Institution for Science. The purpose of this meeting was to gather stakeholder input on actions that could be taken on</w:t>
      </w:r>
      <w:r>
        <w:t xml:space="preserve"> revisions to the LCR</w:t>
      </w:r>
      <w:r w:rsidRPr="00CE5679">
        <w:t>. Discussion topics included changes to the tiering criteria for lead and copper, LSLR requirements, particulate lead in tap water samples, op</w:t>
      </w:r>
      <w:r w:rsidR="00FF49E7">
        <w:t>timal water quality parameters</w:t>
      </w:r>
      <w:r w:rsidRPr="00CE5679">
        <w:t>, tap sampling issues, and CCT technologies</w:t>
      </w:r>
      <w:r>
        <w:rPr>
          <w:rStyle w:val="CommentReference"/>
        </w:rPr>
        <w:t>.</w:t>
      </w:r>
      <w:r>
        <w:t xml:space="preserve"> The EPA</w:t>
      </w:r>
      <w:r w:rsidRPr="00CE5679">
        <w:t xml:space="preserve"> presented summaries of the scientific data that the Agency had compiled on these issues.</w:t>
      </w:r>
      <w:r>
        <w:t xml:space="preserve"> The EPA</w:t>
      </w:r>
      <w:r w:rsidRPr="00CE5679">
        <w:t xml:space="preserve"> also requested stakeholder input and feedback on other issues</w:t>
      </w:r>
      <w:r>
        <w:t xml:space="preserve"> the EPA</w:t>
      </w:r>
      <w:r w:rsidRPr="00CE5679">
        <w:t xml:space="preserve"> could consider for potential future action on the LCR.</w:t>
      </w:r>
      <w:r w:rsidR="00BE598F">
        <w:t xml:space="preserve"> </w:t>
      </w:r>
      <w:r>
        <w:t xml:space="preserve">The EPA also held a public meeting on November 4, 2010 to discuss potential Long-Term Revisions to the LCR. The meeting was held to obtain stakeholder feedback about key issues and options to address the issues. </w:t>
      </w:r>
    </w:p>
    <w:p w:rsidR="000543B3" w:rsidP="00EE0A26" w:rsidRDefault="00072E45" w14:paraId="1F88BF4C" w14:textId="77777777">
      <w:pPr>
        <w:tabs>
          <w:tab w:val="left" w:pos="720"/>
        </w:tabs>
        <w:spacing w:after="240"/>
        <w:rPr>
          <w:color w:val="000000" w:themeColor="text1"/>
        </w:rPr>
      </w:pPr>
      <w:r>
        <w:tab/>
      </w:r>
      <w:r w:rsidR="00FF49E7">
        <w:t xml:space="preserve">The </w:t>
      </w:r>
      <w:r w:rsidR="000543B3">
        <w:t>EPA</w:t>
      </w:r>
      <w:r w:rsidRPr="00C32BE3" w:rsidR="000543B3">
        <w:t xml:space="preserve"> held a Federalism consultation on November</w:t>
      </w:r>
      <w:r w:rsidRPr="00DD73BC" w:rsidR="000543B3">
        <w:rPr>
          <w:color w:val="000000" w:themeColor="text1"/>
        </w:rPr>
        <w:t xml:space="preserve"> 15, 2011 with representatives from </w:t>
      </w:r>
      <w:r w:rsidR="000543B3">
        <w:rPr>
          <w:color w:val="000000" w:themeColor="text1"/>
        </w:rPr>
        <w:t>state</w:t>
      </w:r>
      <w:r w:rsidRPr="00DD73BC" w:rsidR="000543B3">
        <w:rPr>
          <w:color w:val="000000" w:themeColor="text1"/>
        </w:rPr>
        <w:t xml:space="preserve"> and </w:t>
      </w:r>
      <w:r w:rsidR="000543B3">
        <w:rPr>
          <w:color w:val="000000" w:themeColor="text1"/>
        </w:rPr>
        <w:t>l</w:t>
      </w:r>
      <w:r w:rsidRPr="00DD73BC" w:rsidR="000543B3">
        <w:rPr>
          <w:color w:val="000000" w:themeColor="text1"/>
        </w:rPr>
        <w:t xml:space="preserve">ocal </w:t>
      </w:r>
      <w:r w:rsidR="000543B3">
        <w:rPr>
          <w:color w:val="000000" w:themeColor="text1"/>
        </w:rPr>
        <w:t>g</w:t>
      </w:r>
      <w:r w:rsidRPr="00DD73BC" w:rsidR="000543B3">
        <w:rPr>
          <w:color w:val="000000" w:themeColor="text1"/>
        </w:rPr>
        <w:t>overnment organizations to solicit feedback on potential regulatory revisions to the LCR. In its capacity as an advisory committee to the</w:t>
      </w:r>
      <w:r w:rsidR="000543B3">
        <w:rPr>
          <w:color w:val="000000" w:themeColor="text1"/>
        </w:rPr>
        <w:t xml:space="preserve"> EPA</w:t>
      </w:r>
      <w:r w:rsidRPr="00DD73BC" w:rsidR="000543B3">
        <w:rPr>
          <w:color w:val="000000" w:themeColor="text1"/>
        </w:rPr>
        <w:t>, the Local Government Advisory Committee (LGAC) periodically makes recommendations and comments to the Agency on issues impacting local governments.</w:t>
      </w:r>
      <w:r w:rsidR="000543B3">
        <w:rPr>
          <w:color w:val="000000" w:themeColor="text1"/>
        </w:rPr>
        <w:t xml:space="preserve"> The EPA</w:t>
      </w:r>
      <w:r w:rsidRPr="00DD73BC" w:rsidR="000543B3">
        <w:rPr>
          <w:color w:val="000000" w:themeColor="text1"/>
        </w:rPr>
        <w:t xml:space="preserve"> received comments that addressed sample site collection criteria and lead sampli</w:t>
      </w:r>
      <w:r w:rsidR="000543B3">
        <w:rPr>
          <w:color w:val="000000" w:themeColor="text1"/>
        </w:rPr>
        <w:t>ng protocol at lead service line (LSL)</w:t>
      </w:r>
      <w:r w:rsidRPr="00DD73BC" w:rsidR="000543B3">
        <w:rPr>
          <w:color w:val="000000" w:themeColor="text1"/>
        </w:rPr>
        <w:t xml:space="preserve"> sites. </w:t>
      </w:r>
    </w:p>
    <w:p w:rsidRPr="00CE5679" w:rsidR="00072E45" w:rsidP="00072E45" w:rsidRDefault="00072E45" w14:paraId="5C1F9BF4" w14:textId="05AA021E">
      <w:pPr>
        <w:spacing w:after="240"/>
        <w:ind w:firstLine="720"/>
      </w:pPr>
      <w:r>
        <w:t xml:space="preserve">In May and June of 2016, the Administrator and other high-ranking EPA officials conducted meetings with state officials, water system officials, and non-government organizations (NGOs). Sixteen state officials and 16 PWS officials met with the EPA on May 26 and June 1, 2016, respectively. The EPA met with 15 NGOs on June 2, 2016. During each meeting, the EPA and stakeholder officials discussed critical needs and key opportunities for addressing drinking water challenges and four priority issues including the LCR with the goal of strengthening implementation of the </w:t>
      </w:r>
      <w:r w:rsidR="00643877">
        <w:t>previous</w:t>
      </w:r>
      <w:r>
        <w:t xml:space="preserve"> LCR and improving public health protection through updates to the rule. </w:t>
      </w:r>
    </w:p>
    <w:p w:rsidR="00072E45" w:rsidP="00BE598F" w:rsidRDefault="00072E45" w14:paraId="43AEB535" w14:textId="77777777">
      <w:pPr>
        <w:spacing w:after="240"/>
        <w:ind w:firstLine="720"/>
      </w:pPr>
      <w:r>
        <w:t xml:space="preserve">In 2017, the EPA </w:t>
      </w:r>
      <w:r w:rsidR="00BE598F">
        <w:t>sent</w:t>
      </w:r>
      <w:r>
        <w:t xml:space="preserve"> a questionnaire to nine states regarding the burden and cost associated with </w:t>
      </w:r>
      <w:r w:rsidR="00A35D18">
        <w:t>the National Drinking Water Advisory Council’s (NDWAC)</w:t>
      </w:r>
      <w:r>
        <w:t xml:space="preserve"> recommendation to require all systems to develop a comprehensive LSL inventory and to expand the definition of an LSL to include lead connectors even if the service line is not made of lead. The questionnaire </w:t>
      </w:r>
      <w:r>
        <w:lastRenderedPageBreak/>
        <w:t xml:space="preserve">asked states how they would manage the LSL inventory requirement and their estimates for costs associated with reviewing PWS inventory documentation. The nine states were selected based on geographic diversity, high incidence of LSLs, and knowledge of existing LSLR programs. Seven states (Illinois, Michigan, Washington, Wisconsin, New Jersey, Rhode Island, and Ohio) out of the nine states responded to the questionnaire. </w:t>
      </w:r>
    </w:p>
    <w:p w:rsidR="00072E45" w:rsidP="004718E8" w:rsidRDefault="000543B3" w14:paraId="206A9CBB" w14:textId="60136C92">
      <w:pPr>
        <w:ind w:firstLine="720"/>
      </w:pPr>
      <w:r>
        <w:t>The EPA held another Federalism meeting on January 8, 2018, in Washington D.C., with 17 intergovernmental associations and several associations representing state and local governments.</w:t>
      </w:r>
      <w:r>
        <w:rPr>
          <w:rStyle w:val="FootnoteReference"/>
        </w:rPr>
        <w:footnoteReference w:id="9"/>
      </w:r>
      <w:r>
        <w:t xml:space="preserve"> The EPA also held five follow-up briefings between January 8 and March 8, 2018. A total of 82 state and local governments and related associations provided input during the meetings and within 60 days after the initial meeting. Common issues discussed included LSLR, CCT, transparency and PE, tap sampling, and copper. The EPA considered Federalism comments received in 2011 and 2018 when developing the LCRR.</w:t>
      </w:r>
      <w:r w:rsidR="00072E45">
        <w:t xml:space="preserve"> The Association of State Drinking Water Administrators (ASDWA) provided Federalism input on March 8, 2018 that informed the framework of the LCRR. To address ASDWA’s concerns, the EPA </w:t>
      </w:r>
      <w:r w:rsidR="00FA7A2B">
        <w:t>created:</w:t>
      </w:r>
      <w:r w:rsidR="00072E45">
        <w:t xml:space="preserve"> a new TL of 10 μg/L in addition to retaining the current AL of 15 μg/L, a new set of requirements for systems with a TLE, and a revised set of requirements for systems with an ALE.</w:t>
      </w:r>
    </w:p>
    <w:p w:rsidR="00072E45" w:rsidP="00072E45" w:rsidRDefault="00072E45" w14:paraId="350B69AE" w14:textId="74D4922A">
      <w:pPr>
        <w:pStyle w:val="NormalIndent"/>
      </w:pPr>
      <w:r>
        <w:t xml:space="preserve">Summaries from meetings and consultations </w:t>
      </w:r>
      <w:r w:rsidRPr="007F78FA">
        <w:t xml:space="preserve">are available in the docket for the </w:t>
      </w:r>
      <w:r>
        <w:t>rule</w:t>
      </w:r>
      <w:r w:rsidRPr="007F78FA">
        <w:t xml:space="preserve"> under </w:t>
      </w:r>
      <w:r w:rsidRPr="00CB0209">
        <w:t>EPA-HQ-OW-201</w:t>
      </w:r>
      <w:r>
        <w:t>7-0300</w:t>
      </w:r>
      <w:r w:rsidRPr="007F78FA">
        <w:t xml:space="preserve"> at </w:t>
      </w:r>
      <w:hyperlink w:history="1" r:id="rId14">
        <w:r w:rsidRPr="00475F46">
          <w:rPr>
            <w:rStyle w:val="Hyperlink"/>
          </w:rPr>
          <w:t>https://www.regulations.gov</w:t>
        </w:r>
      </w:hyperlink>
      <w:r w:rsidRPr="004718E8">
        <w:rPr>
          <w:rStyle w:val="Hyperlink"/>
        </w:rPr>
        <w:t>.</w:t>
      </w:r>
      <w:r w:rsidDel="00072E45">
        <w:t xml:space="preserve"> </w:t>
      </w:r>
    </w:p>
    <w:p w:rsidR="00A0427B" w:rsidP="00217F97" w:rsidRDefault="00A0427B" w14:paraId="11E21773" w14:textId="77777777">
      <w:pPr>
        <w:pStyle w:val="Heading4"/>
      </w:pPr>
      <w:r w:rsidRPr="00A0427B">
        <w:t>National Drinking Water Advisory Council Lead and Copper Rule Working Group</w:t>
      </w:r>
    </w:p>
    <w:p w:rsidR="00A0427B" w:rsidP="00021325" w:rsidRDefault="00A0427B" w14:paraId="29AA4516" w14:textId="77777777">
      <w:pPr>
        <w:pStyle w:val="NormalIndent"/>
      </w:pPr>
      <w:r>
        <w:t xml:space="preserve">The </w:t>
      </w:r>
      <w:r w:rsidRPr="005524D7" w:rsidR="005524D7">
        <w:t xml:space="preserve">NDWAC </w:t>
      </w:r>
      <w:r>
        <w:t xml:space="preserve">Lead and Copper Rule Working Group </w:t>
      </w:r>
      <w:r w:rsidRPr="00A43A29" w:rsidR="00A43A29">
        <w:t xml:space="preserve">held seven in-person meetings from March 2014 through June 2015, participated in multiple conference calls, and spent time outside these meetings to provide input to the NDWAC on key issues. The </w:t>
      </w:r>
      <w:r w:rsidR="00A43A29">
        <w:t>Working Group</w:t>
      </w:r>
      <w:r w:rsidRPr="00A43A29" w:rsidR="00A43A29">
        <w:t xml:space="preserve"> focused their time to </w:t>
      </w:r>
      <w:r>
        <w:t xml:space="preserve">provide advice to </w:t>
      </w:r>
      <w:r w:rsidR="006A5532">
        <w:t xml:space="preserve">the </w:t>
      </w:r>
      <w:r>
        <w:t>EPA in addressing the five issues listed below:</w:t>
      </w:r>
    </w:p>
    <w:p w:rsidR="00A0427B" w:rsidP="00983901" w:rsidRDefault="00DE0686" w14:paraId="04291A36" w14:textId="77777777">
      <w:pPr>
        <w:pStyle w:val="Bullets"/>
      </w:pPr>
      <w:r>
        <w:t>Tap s</w:t>
      </w:r>
      <w:r w:rsidR="00A0427B">
        <w:t>ample site selection criteria</w:t>
      </w:r>
    </w:p>
    <w:p w:rsidR="00A0427B" w:rsidP="00983901" w:rsidRDefault="00A0427B" w14:paraId="37DF4C74" w14:textId="77777777">
      <w:pPr>
        <w:pStyle w:val="Bullets"/>
      </w:pPr>
      <w:r>
        <w:t>Lead sampling protocols</w:t>
      </w:r>
    </w:p>
    <w:p w:rsidR="00A0427B" w:rsidP="00983901" w:rsidRDefault="00A0427B" w14:paraId="0C84D8E2" w14:textId="77777777">
      <w:pPr>
        <w:pStyle w:val="Bullets"/>
      </w:pPr>
      <w:r>
        <w:t>Public education for copper</w:t>
      </w:r>
    </w:p>
    <w:p w:rsidR="00A0427B" w:rsidP="00983901" w:rsidRDefault="00A0427B" w14:paraId="5F81084D" w14:textId="77777777">
      <w:pPr>
        <w:pStyle w:val="Bullets"/>
      </w:pPr>
      <w:r>
        <w:t xml:space="preserve">Measures to ensure optimal </w:t>
      </w:r>
      <w:r w:rsidR="00D76E3F">
        <w:t>CCT</w:t>
      </w:r>
    </w:p>
    <w:p w:rsidR="00A0427B" w:rsidP="00983901" w:rsidRDefault="00D76E3F" w14:paraId="742866A2" w14:textId="77777777">
      <w:pPr>
        <w:pStyle w:val="Bullets"/>
      </w:pPr>
      <w:r>
        <w:t>LSL</w:t>
      </w:r>
      <w:r w:rsidR="00A0427B">
        <w:t xml:space="preserve"> replacement.</w:t>
      </w:r>
    </w:p>
    <w:p w:rsidR="00A0427B" w:rsidP="00021325" w:rsidRDefault="005524D7" w14:paraId="4CF64DEF" w14:textId="76736015">
      <w:pPr>
        <w:pStyle w:val="NormalIndent"/>
      </w:pPr>
      <w:r>
        <w:t xml:space="preserve">The </w:t>
      </w:r>
      <w:r w:rsidR="00A0427B">
        <w:t xml:space="preserve">NDWAC Recommendations to the Administrator </w:t>
      </w:r>
      <w:r>
        <w:t>and meeting s</w:t>
      </w:r>
      <w:r w:rsidR="00A0427B">
        <w:t>ummaries</w:t>
      </w:r>
      <w:r>
        <w:t xml:space="preserve"> are available </w:t>
      </w:r>
      <w:r w:rsidRPr="007F78FA" w:rsidR="00663BE6">
        <w:t xml:space="preserve">in the docket for the </w:t>
      </w:r>
      <w:r w:rsidR="00EC28F6">
        <w:t>rule</w:t>
      </w:r>
      <w:r w:rsidRPr="007F78FA" w:rsidR="00663BE6">
        <w:t xml:space="preserve"> under </w:t>
      </w:r>
      <w:r w:rsidRPr="00CB0209" w:rsidR="00663BE6">
        <w:t>EPA-HQ-OW-</w:t>
      </w:r>
      <w:r w:rsidRPr="00CB0209" w:rsidR="00944D98">
        <w:t>201</w:t>
      </w:r>
      <w:r w:rsidR="00944D98">
        <w:t>7-0300</w:t>
      </w:r>
      <w:r w:rsidRPr="007F78FA" w:rsidR="00944D98">
        <w:t xml:space="preserve"> </w:t>
      </w:r>
      <w:r w:rsidRPr="007F78FA" w:rsidR="00663BE6">
        <w:t xml:space="preserve">at </w:t>
      </w:r>
      <w:hyperlink w:history="1" r:id="rId15">
        <w:r w:rsidRPr="00475F46" w:rsidR="00663BE6">
          <w:rPr>
            <w:rStyle w:val="Hyperlink"/>
          </w:rPr>
          <w:t>https://www.regulations.gov</w:t>
        </w:r>
      </w:hyperlink>
      <w:r w:rsidR="00663BE6">
        <w:t>.</w:t>
      </w:r>
      <w:r w:rsidR="00663BE6">
        <w:rPr>
          <w:rStyle w:val="FootnoteReference"/>
        </w:rPr>
        <w:footnoteReference w:id="10"/>
      </w:r>
    </w:p>
    <w:p w:rsidRPr="005524D7" w:rsidR="00A0427B" w:rsidDel="00711504" w:rsidP="00217F97" w:rsidRDefault="00A0427B" w14:paraId="2018B80C" w14:textId="77777777">
      <w:pPr>
        <w:pStyle w:val="Heading4"/>
      </w:pPr>
      <w:r w:rsidRPr="005524D7" w:rsidDel="00711504">
        <w:lastRenderedPageBreak/>
        <w:t>Science Advisory Board Evaluation of the Effectiveness of Partial Lead Service Line Replacements</w:t>
      </w:r>
    </w:p>
    <w:p w:rsidR="00A0427B" w:rsidDel="00711504" w:rsidP="00021325" w:rsidRDefault="006A5532" w14:paraId="6F595F40" w14:textId="77777777">
      <w:pPr>
        <w:pStyle w:val="NormalIndent"/>
      </w:pPr>
      <w:r w:rsidDel="00711504">
        <w:t xml:space="preserve">The </w:t>
      </w:r>
      <w:r w:rsidDel="00711504" w:rsidR="00A0427B">
        <w:t xml:space="preserve">EPA’s Office of Water requested the Science Advisory Board (SAB) evaluate the current scientific data to determine the effectiveness of </w:t>
      </w:r>
      <w:r w:rsidDel="00711504" w:rsidR="00DE0686">
        <w:t xml:space="preserve">partial </w:t>
      </w:r>
      <w:r w:rsidDel="00711504" w:rsidR="00A0427B">
        <w:t>LSLR</w:t>
      </w:r>
      <w:r w:rsidDel="00711504" w:rsidR="00E513B3">
        <w:t>s</w:t>
      </w:r>
      <w:r w:rsidDel="00711504" w:rsidR="00A0427B">
        <w:t xml:space="preserve"> in reducing drinking water lead levels. The SAB convened the Drinking Water Committee Augmented for the Review of the Effectiveness of Partial Lead Service Line Replacements to study the issue and report their findings and conclusions. The</w:t>
      </w:r>
      <w:r w:rsidDel="00711504" w:rsidR="005524D7">
        <w:t xml:space="preserve"> charge to the SAB </w:t>
      </w:r>
      <w:r w:rsidDel="00711504" w:rsidR="00A43A29">
        <w:t>included</w:t>
      </w:r>
      <w:r w:rsidDel="00711504" w:rsidR="00A0427B">
        <w:t xml:space="preserve"> five issues</w:t>
      </w:r>
      <w:r w:rsidDel="00711504" w:rsidR="00A43A29">
        <w:t>:</w:t>
      </w:r>
      <w:r w:rsidDel="00711504" w:rsidR="00A0427B">
        <w:t xml:space="preserve"> </w:t>
      </w:r>
    </w:p>
    <w:p w:rsidR="00A0427B" w:rsidDel="00711504" w:rsidP="00983901" w:rsidRDefault="00A0427B" w14:paraId="52A8119C" w14:textId="77777777">
      <w:pPr>
        <w:pStyle w:val="Bullets"/>
      </w:pPr>
      <w:r w:rsidDel="00711504">
        <w:t xml:space="preserve">Associations between </w:t>
      </w:r>
      <w:r w:rsidDel="00711504" w:rsidR="00DE0686">
        <w:t xml:space="preserve">partial </w:t>
      </w:r>
      <w:r w:rsidDel="00711504">
        <w:t>LSLR an</w:t>
      </w:r>
      <w:r w:rsidDel="00711504" w:rsidR="005524D7">
        <w:t>d blood lead levels in children</w:t>
      </w:r>
    </w:p>
    <w:p w:rsidR="00A0427B" w:rsidDel="00711504" w:rsidP="00983901" w:rsidRDefault="00A0427B" w14:paraId="14B87527" w14:textId="77777777">
      <w:pPr>
        <w:pStyle w:val="Bullets"/>
      </w:pPr>
      <w:r w:rsidDel="00711504">
        <w:t>Water sampling data at</w:t>
      </w:r>
      <w:r w:rsidDel="00711504" w:rsidR="005524D7">
        <w:t xml:space="preserve"> the tap before and after </w:t>
      </w:r>
      <w:r w:rsidDel="00711504" w:rsidR="00DE0686">
        <w:t xml:space="preserve">partial </w:t>
      </w:r>
      <w:r w:rsidDel="00711504" w:rsidR="005524D7">
        <w:t>LSLR</w:t>
      </w:r>
    </w:p>
    <w:p w:rsidR="00A0427B" w:rsidDel="00711504" w:rsidP="00983901" w:rsidRDefault="00A0427B" w14:paraId="037306BA" w14:textId="77777777">
      <w:pPr>
        <w:pStyle w:val="Bullets"/>
      </w:pPr>
      <w:r w:rsidDel="00711504">
        <w:t>Comparisons between partial and full</w:t>
      </w:r>
      <w:r w:rsidDel="00711504" w:rsidR="005524D7">
        <w:t xml:space="preserve"> </w:t>
      </w:r>
      <w:r w:rsidDel="00711504" w:rsidR="00D76E3F">
        <w:t>LSL</w:t>
      </w:r>
      <w:r w:rsidDel="00711504" w:rsidR="00DE0686">
        <w:t>R</w:t>
      </w:r>
    </w:p>
    <w:p w:rsidR="00A0427B" w:rsidDel="00711504" w:rsidP="00983901" w:rsidRDefault="00DE0686" w14:paraId="6ED5D1D4" w14:textId="77777777">
      <w:pPr>
        <w:pStyle w:val="Bullets"/>
      </w:pPr>
      <w:r w:rsidDel="00711504">
        <w:t xml:space="preserve">Partial </w:t>
      </w:r>
      <w:r w:rsidDel="00711504" w:rsidR="005524D7">
        <w:t>LSLR techniques</w:t>
      </w:r>
    </w:p>
    <w:p w:rsidR="00A0427B" w:rsidDel="00711504" w:rsidP="00983901" w:rsidRDefault="00A0427B" w14:paraId="1BDF9E11" w14:textId="77777777">
      <w:pPr>
        <w:pStyle w:val="Bullets"/>
      </w:pPr>
      <w:r w:rsidDel="00711504">
        <w:t xml:space="preserve">The impact of galvanic corrosion. </w:t>
      </w:r>
    </w:p>
    <w:p w:rsidR="00A0427B" w:rsidDel="00711504" w:rsidP="00021325" w:rsidRDefault="005524D7" w14:paraId="6CBFA2F4" w14:textId="7825E39D">
      <w:pPr>
        <w:pStyle w:val="NormalIndent"/>
      </w:pPr>
      <w:r w:rsidDel="00711504">
        <w:t>T</w:t>
      </w:r>
      <w:r w:rsidDel="00711504" w:rsidR="00A0427B">
        <w:t xml:space="preserve">he SAB's </w:t>
      </w:r>
      <w:r w:rsidRPr="00A43A29" w:rsidDel="00711504" w:rsidR="00A0427B">
        <w:t>September 2011</w:t>
      </w:r>
      <w:r w:rsidDel="00711504" w:rsidR="00A0427B">
        <w:t xml:space="preserve"> report and recommendations</w:t>
      </w:r>
      <w:r w:rsidDel="00711504">
        <w:t xml:space="preserve"> are </w:t>
      </w:r>
      <w:r w:rsidDel="00711504" w:rsidR="00663BE6">
        <w:t xml:space="preserve">available </w:t>
      </w:r>
      <w:r w:rsidRPr="007F78FA" w:rsidDel="00711504" w:rsidR="00663BE6">
        <w:t xml:space="preserve">in the docket for the </w:t>
      </w:r>
      <w:r w:rsidR="00EC28F6">
        <w:t>rule</w:t>
      </w:r>
      <w:r w:rsidRPr="007F78FA" w:rsidDel="00711504" w:rsidR="00663BE6">
        <w:t xml:space="preserve"> under </w:t>
      </w:r>
      <w:r w:rsidRPr="00CB0209" w:rsidDel="00711504" w:rsidR="00663BE6">
        <w:t>EPA-HQ-OW-</w:t>
      </w:r>
      <w:r w:rsidRPr="00CB0209" w:rsidDel="00711504" w:rsidR="00944D98">
        <w:t>201</w:t>
      </w:r>
      <w:r w:rsidDel="00711504" w:rsidR="00944D98">
        <w:t>7-0300</w:t>
      </w:r>
      <w:r w:rsidRPr="007F78FA" w:rsidDel="00711504" w:rsidR="00944D98">
        <w:t xml:space="preserve"> </w:t>
      </w:r>
      <w:r w:rsidRPr="007F78FA" w:rsidDel="00711504" w:rsidR="00663BE6">
        <w:t>at</w:t>
      </w:r>
      <w:r w:rsidDel="00711504" w:rsidR="00663BE6">
        <w:t xml:space="preserve"> </w:t>
      </w:r>
      <w:hyperlink w:history="1" r:id="rId16">
        <w:r w:rsidRPr="00475F46" w:rsidDel="00711504" w:rsidR="00663BE6">
          <w:rPr>
            <w:rStyle w:val="Hyperlink"/>
          </w:rPr>
          <w:t>https://www.regulations.gov</w:t>
        </w:r>
      </w:hyperlink>
      <w:r w:rsidDel="00711504" w:rsidR="00663BE6">
        <w:rPr>
          <w:rStyle w:val="Hyperlink"/>
        </w:rPr>
        <w:t>.</w:t>
      </w:r>
      <w:r w:rsidRPr="007F78FA" w:rsidDel="00711504" w:rsidR="00663BE6">
        <w:t xml:space="preserve"> </w:t>
      </w:r>
    </w:p>
    <w:p w:rsidRPr="00CE5679" w:rsidR="00711504" w:rsidP="00600A40" w:rsidRDefault="00711504" w14:paraId="0EDB4E00" w14:textId="77777777">
      <w:pPr>
        <w:pStyle w:val="Heading4"/>
      </w:pPr>
      <w:bookmarkStart w:name="_Toc7358532" w:id="16"/>
      <w:bookmarkStart w:name="_Toc11246047" w:id="17"/>
      <w:r w:rsidRPr="00CE5679">
        <w:t xml:space="preserve">Input from </w:t>
      </w:r>
      <w:r>
        <w:t xml:space="preserve">Public Water Systems (PWS) and </w:t>
      </w:r>
      <w:r w:rsidRPr="00CE5679">
        <w:t>Small Business Stakeholders</w:t>
      </w:r>
      <w:bookmarkEnd w:id="16"/>
      <w:bookmarkEnd w:id="17"/>
    </w:p>
    <w:p w:rsidR="00711504" w:rsidP="00600A40" w:rsidRDefault="00711504" w14:paraId="0E4C0416" w14:textId="08A9EDE6">
      <w:pPr>
        <w:spacing w:after="240"/>
        <w:ind w:firstLine="720"/>
      </w:pPr>
      <w:r>
        <w:t xml:space="preserve">The </w:t>
      </w:r>
      <w:r w:rsidRPr="00A80823">
        <w:t xml:space="preserve">EPA sought input from PWSs regarding the cost and burden of potential provisions in </w:t>
      </w:r>
      <w:r w:rsidR="00EC28F6">
        <w:t xml:space="preserve">developing </w:t>
      </w:r>
      <w:r w:rsidRPr="00A80823">
        <w:t>the</w:t>
      </w:r>
      <w:r w:rsidR="00F8006D">
        <w:t xml:space="preserve"> </w:t>
      </w:r>
      <w:r w:rsidRPr="00A80823">
        <w:t xml:space="preserve">LCRR. </w:t>
      </w:r>
      <w:r w:rsidR="00BE598F">
        <w:t>For example,</w:t>
      </w:r>
      <w:r w:rsidRPr="00A80823">
        <w:t xml:space="preserve"> the EPA issued questionnaires to nine systems regarding their LSL inventories</w:t>
      </w:r>
      <w:r w:rsidR="00BC5E8A">
        <w:t>.</w:t>
      </w:r>
      <w:r w:rsidR="00BE598F">
        <w:t xml:space="preserve"> </w:t>
      </w:r>
      <w:r w:rsidRPr="00A80823">
        <w:t>The questionnaire was designed to obtain information about the activities and costs needed to develop a comprehensive LSL inventory, how systems have achieved successful LSLR programs, and the cost associated with LSLR. Fort Worth was the only PWS to respond to the questionnaire</w:t>
      </w:r>
      <w:r w:rsidR="00BC5E8A">
        <w:t>.</w:t>
      </w:r>
    </w:p>
    <w:p w:rsidR="00343063" w:rsidP="00343063" w:rsidRDefault="00711504" w14:paraId="1545684E" w14:textId="7A1833C5">
      <w:pPr>
        <w:spacing w:after="240"/>
        <w:ind w:firstLine="720"/>
      </w:pPr>
      <w:r w:rsidRPr="00343063">
        <w:t xml:space="preserve">On August 14, 2012, the EPA convened </w:t>
      </w:r>
      <w:r w:rsidRPr="00343063" w:rsidR="0090069E">
        <w:t xml:space="preserve">a </w:t>
      </w:r>
      <w:r w:rsidRPr="00343063" w:rsidR="00BC5E8A">
        <w:t>Small Business Advocacy Review (SBAR) Panel</w:t>
      </w:r>
      <w:r w:rsidRPr="00343063">
        <w:t>. The SBAR Panel submitted its report to the EPA in October 2012</w:t>
      </w:r>
      <w:r w:rsidRPr="00343063" w:rsidR="00BC5E8A">
        <w:t>, which</w:t>
      </w:r>
      <w:r w:rsidRPr="00343063">
        <w:t xml:space="preserve"> provided recommendation regarding the sample site selection criteria, PE for copper, the process for re-evaluating and revising CCT, copper monitoring waivers for systems that can demonstrate their water is non-aggressive toward copper; point-of-use (POU) treatment units in lieu of CCT for NTNCWSs serving 10,000 or fewer people; the sampling protocol at sites served by LSLs; and mandatory LSLR requirements. </w:t>
      </w:r>
      <w:r w:rsidRPr="00343063" w:rsidR="00BC5E8A">
        <w:t xml:space="preserve">To minimize impacts on small systems </w:t>
      </w:r>
      <w:r w:rsidRPr="00343063" w:rsidR="007A3488">
        <w:t>serving 3,300 and fewer people</w:t>
      </w:r>
      <w:r w:rsidRPr="00343063" w:rsidR="00BC5E8A">
        <w:t>, under the rule these systems with LSLs</w:t>
      </w:r>
      <w:r w:rsidRPr="00343063" w:rsidR="007A3488">
        <w:t xml:space="preserve"> would not be required to have a LSLR plan unless LSLR was the selected compliance option. See Section 8 of the SBREFA Panel Report.</w:t>
      </w:r>
    </w:p>
    <w:p w:rsidRPr="00343063" w:rsidR="00A0427B" w:rsidP="00343063" w:rsidRDefault="00A0427B" w14:paraId="22BF478A" w14:textId="77777777">
      <w:pPr>
        <w:pStyle w:val="Heading4"/>
      </w:pPr>
      <w:r w:rsidRPr="00343063">
        <w:t>Tribal Consultations</w:t>
      </w:r>
    </w:p>
    <w:p w:rsidR="00343063" w:rsidP="00343063" w:rsidRDefault="00A72C5F" w14:paraId="1F282C63" w14:textId="1682C272">
      <w:pPr>
        <w:spacing w:after="240"/>
      </w:pPr>
      <w:r w:rsidRPr="00343063">
        <w:tab/>
      </w:r>
      <w:r w:rsidRPr="00343063" w:rsidR="00890B2C">
        <w:t xml:space="preserve">The EPA consulted with tribal officials in developing the LCRR through the EPA American Indian Environmental Office. The EPA held consultations with </w:t>
      </w:r>
      <w:r w:rsidRPr="00343063" w:rsidR="00631340">
        <w:t>federally recognized</w:t>
      </w:r>
      <w:r w:rsidRPr="00343063" w:rsidR="00890B2C">
        <w:t xml:space="preserve"> Indian tribes in 2011 and 2018. The 2018 consultations with </w:t>
      </w:r>
      <w:r w:rsidRPr="00343063" w:rsidR="00631340">
        <w:t>federally recognized</w:t>
      </w:r>
      <w:r w:rsidRPr="00343063" w:rsidR="00890B2C">
        <w:t xml:space="preserve"> Indian tribes began on January 16, 2018 and ended March 16, 2018. The first national webinar was held January 31, 2018, while the second national webinar was held February 15, 2018. A total of 48 tribal representatives participated in the two webinars. Updates on the consultation process were provided to the National Tribal Water Council upon request at regularly scheduled monthly meetings during the consultation process. Also, upon request, informational webinars were </w:t>
      </w:r>
      <w:r w:rsidRPr="00343063" w:rsidR="00890B2C">
        <w:lastRenderedPageBreak/>
        <w:t>provided to the National Tribal Toxics Council’s Lead Subcommittee on January 30, 2018, and the EPA Region 9’s Regional Tribal Operations Committee on February 8, 2018. Additionally, the EPA received written comments from the following tribes and tribal organizations: Navajo Tribal Utility Authority, National Tribal Water Council, United South and Eastern Tribes Sovereignty Protection Fund, and Yukon River Inter-Tribal Watershed Council. A summary report of the views expressed during tribal con</w:t>
      </w:r>
      <w:r w:rsidRPr="00343063" w:rsidR="00FF49E7">
        <w:t>sultations is available in the d</w:t>
      </w:r>
      <w:r w:rsidRPr="00343063" w:rsidR="00890B2C">
        <w:t>ocket (</w:t>
      </w:r>
      <w:r w:rsidRPr="00F8006D" w:rsidR="00890B2C">
        <w:t>EPA-HQ-OW-2017-0300</w:t>
      </w:r>
      <w:r w:rsidRPr="00343063" w:rsidR="00890B2C">
        <w:t>).</w:t>
      </w:r>
      <w:r w:rsidR="00343063">
        <w:rPr>
          <w:rStyle w:val="FootnoteReference"/>
        </w:rPr>
        <w:footnoteReference w:id="11"/>
      </w:r>
    </w:p>
    <w:p w:rsidRPr="00343063" w:rsidR="00A0427B" w:rsidP="00343063" w:rsidRDefault="00A0427B" w14:paraId="633B8EBB" w14:textId="77777777">
      <w:pPr>
        <w:pStyle w:val="Heading4"/>
      </w:pPr>
      <w:r w:rsidRPr="00343063">
        <w:t>Environmental Justice</w:t>
      </w:r>
    </w:p>
    <w:p w:rsidR="00011FB1" w:rsidP="00021325" w:rsidRDefault="00A0427B" w14:paraId="7EDF81AF" w14:textId="77777777">
      <w:pPr>
        <w:pStyle w:val="NormalIndent"/>
      </w:pPr>
      <w:r>
        <w:t xml:space="preserve">Because LCR revisions may have environmental justice impacts, in </w:t>
      </w:r>
      <w:r w:rsidR="00711504">
        <w:t xml:space="preserve">March </w:t>
      </w:r>
      <w:r>
        <w:t xml:space="preserve">2011 </w:t>
      </w:r>
      <w:r w:rsidR="006A5532">
        <w:t xml:space="preserve">the </w:t>
      </w:r>
      <w:r>
        <w:t>EPA held a public meeting to discuss environmental justice considerations.</w:t>
      </w:r>
      <w:r w:rsidR="00433A38">
        <w:t xml:space="preserve"> </w:t>
      </w:r>
      <w:r w:rsidR="006A5532">
        <w:t>The</w:t>
      </w:r>
      <w:r w:rsidR="00433A38">
        <w:t xml:space="preserve"> EPA published public notice of the meeting in the </w:t>
      </w:r>
      <w:r w:rsidR="00433A38">
        <w:rPr>
          <w:i/>
        </w:rPr>
        <w:t xml:space="preserve">Federal Register </w:t>
      </w:r>
      <w:r w:rsidR="00433A38">
        <w:t xml:space="preserve">on February 15, 2011 (76 FR </w:t>
      </w:r>
      <w:r w:rsidRPr="00433A38" w:rsidR="00433A38">
        <w:t>8674</w:t>
      </w:r>
      <w:r w:rsidR="00433A38">
        <w:t>).</w:t>
      </w:r>
    </w:p>
    <w:p w:rsidRPr="00423550" w:rsidR="009F0C3F" w:rsidP="000C0ED7" w:rsidRDefault="009F0C3F" w14:paraId="5F7F0A0A" w14:textId="77777777">
      <w:pPr>
        <w:pStyle w:val="Heading2"/>
      </w:pPr>
      <w:bookmarkStart w:name="_Toc160872057" w:id="18"/>
      <w:r w:rsidRPr="00423550">
        <w:t xml:space="preserve">3(d) </w:t>
      </w:r>
      <w:r w:rsidRPr="00423550">
        <w:tab/>
        <w:t>Effects of Less Frequent Collection</w:t>
      </w:r>
      <w:bookmarkEnd w:id="18"/>
    </w:p>
    <w:p w:rsidR="00432B6A" w:rsidP="00021325" w:rsidRDefault="006A5532" w14:paraId="27B0F807" w14:textId="77777777">
      <w:pPr>
        <w:pStyle w:val="NormalIndent"/>
      </w:pPr>
      <w:r>
        <w:t xml:space="preserve">The </w:t>
      </w:r>
      <w:r w:rsidRPr="00423550" w:rsidR="009F0C3F">
        <w:t xml:space="preserve">EPA has considered a wide range of alternatives for frequency of data collection. </w:t>
      </w:r>
      <w:r>
        <w:t>The</w:t>
      </w:r>
      <w:r w:rsidRPr="00423550" w:rsidR="009F0C3F">
        <w:t xml:space="preserve"> EPA has chosen to require the least frequent collection that remains consistent with the overall goal of protecting public health. If data are collected less frequently, primacy agencies may not identify in a </w:t>
      </w:r>
      <w:r w:rsidRPr="00423550">
        <w:t>timely fashion significant contaminant concentration</w:t>
      </w:r>
      <w:r w:rsidRPr="00423550" w:rsidR="009F0C3F">
        <w:t xml:space="preserve"> that might threaten the health and safety of drinking water consumers.</w:t>
      </w:r>
      <w:r w:rsidR="00432B6A">
        <w:t xml:space="preserve"> Monitoring frequencies have been carefully devised based on the following factors</w:t>
      </w:r>
      <w:r w:rsidR="008E7DC2">
        <w:t>:</w:t>
      </w:r>
    </w:p>
    <w:p w:rsidR="00432B6A" w:rsidP="00983901" w:rsidRDefault="00432B6A" w14:paraId="4B27E894" w14:textId="77777777">
      <w:pPr>
        <w:pStyle w:val="Bullets"/>
      </w:pPr>
      <w:r>
        <w:t>Data quality nee</w:t>
      </w:r>
      <w:r w:rsidR="008E7DC2">
        <w:t>ded for a representative sample</w:t>
      </w:r>
    </w:p>
    <w:p w:rsidR="00432B6A" w:rsidP="00983901" w:rsidRDefault="00432B6A" w14:paraId="55124CE8" w14:textId="77777777">
      <w:pPr>
        <w:pStyle w:val="Bullets"/>
      </w:pPr>
      <w:r>
        <w:t>Precision and accuracy needed</w:t>
      </w:r>
      <w:r w:rsidR="008E7DC2">
        <w:t xml:space="preserve"> from the representative sample</w:t>
      </w:r>
    </w:p>
    <w:p w:rsidR="00432B6A" w:rsidP="00983901" w:rsidRDefault="00432B6A" w14:paraId="3A1D43A3" w14:textId="77777777">
      <w:pPr>
        <w:pStyle w:val="Bullets"/>
      </w:pPr>
      <w:r>
        <w:t>Number</w:t>
      </w:r>
      <w:r w:rsidR="008E7DC2">
        <w:t xml:space="preserve"> of people served by the system</w:t>
      </w:r>
    </w:p>
    <w:p w:rsidR="00432B6A" w:rsidP="00983901" w:rsidRDefault="00432B6A" w14:paraId="0FB89883" w14:textId="77777777">
      <w:pPr>
        <w:pStyle w:val="Bullets"/>
      </w:pPr>
      <w:r>
        <w:t>Source of the supply (e.g.,</w:t>
      </w:r>
      <w:r w:rsidR="008E7DC2">
        <w:t xml:space="preserve"> surface water or ground water)</w:t>
      </w:r>
    </w:p>
    <w:p w:rsidR="00432B6A" w:rsidP="00983901" w:rsidRDefault="008E7DC2" w14:paraId="37BF9A54" w14:textId="77777777">
      <w:pPr>
        <w:pStyle w:val="Bullets"/>
      </w:pPr>
      <w:r>
        <w:t>Contaminants likely to be found</w:t>
      </w:r>
    </w:p>
    <w:p w:rsidR="00432B6A" w:rsidP="00983901" w:rsidRDefault="00432B6A" w14:paraId="4C905FF5" w14:textId="77777777">
      <w:pPr>
        <w:pStyle w:val="Bullets"/>
      </w:pPr>
      <w:r>
        <w:t>Temporal variability in occurrence.</w:t>
      </w:r>
    </w:p>
    <w:p w:rsidRPr="0014413B" w:rsidR="00663BE6" w:rsidP="00983901" w:rsidRDefault="00663BE6" w14:paraId="59BE12DE" w14:textId="39AA22E1">
      <w:pPr>
        <w:pStyle w:val="NormalIndent"/>
      </w:pPr>
      <w:r>
        <w:t xml:space="preserve">The </w:t>
      </w:r>
      <w:r w:rsidR="00C018A3">
        <w:t>LCRR</w:t>
      </w:r>
      <w:r>
        <w:t xml:space="preserve"> puts in place a framework with a new </w:t>
      </w:r>
      <w:r w:rsidR="00896295">
        <w:t>TL</w:t>
      </w:r>
      <w:r>
        <w:t xml:space="preserve"> in addition to </w:t>
      </w:r>
      <w:r w:rsidR="00896295">
        <w:t>an AL</w:t>
      </w:r>
      <w:r>
        <w:t>. Systems are required to perform more frequent monitoring and reporting if th</w:t>
      </w:r>
      <w:r w:rsidR="00D92095">
        <w:t xml:space="preserve">ey exceed the </w:t>
      </w:r>
      <w:r w:rsidR="00896295">
        <w:t>TL</w:t>
      </w:r>
      <w:r w:rsidR="00D92095">
        <w:t xml:space="preserve">. </w:t>
      </w:r>
      <w:r>
        <w:t xml:space="preserve">Under the </w:t>
      </w:r>
      <w:r w:rsidR="00C018A3">
        <w:t>LCRR</w:t>
      </w:r>
      <w:r>
        <w:t xml:space="preserve">, a system may be on a different monitoring schedule for lead and copper. </w:t>
      </w:r>
      <w:r w:rsidR="00D92095">
        <w:t>F</w:t>
      </w:r>
      <w:r>
        <w:t>or lead, the frequency of tap sampling and number of required samples would depend solely on a system’s lead 90</w:t>
      </w:r>
      <w:r w:rsidRPr="00F461C4">
        <w:rPr>
          <w:vertAlign w:val="superscript"/>
        </w:rPr>
        <w:t>th</w:t>
      </w:r>
      <w:r>
        <w:t xml:space="preserve"> percentile level as follows: </w:t>
      </w:r>
    </w:p>
    <w:p w:rsidR="00663BE6" w:rsidP="00983901" w:rsidRDefault="00663BE6" w14:paraId="6BE6B8D2" w14:textId="23D2437C">
      <w:pPr>
        <w:pStyle w:val="Bullets"/>
      </w:pPr>
      <w:r w:rsidRPr="00D92095">
        <w:t>Systems with an ALE</w:t>
      </w:r>
      <w:r>
        <w:t xml:space="preserve"> would monitor every six months at the standard number of sampling locations in the </w:t>
      </w:r>
      <w:r w:rsidR="00643877">
        <w:t>previous</w:t>
      </w:r>
      <w:r>
        <w:t xml:space="preserve"> </w:t>
      </w:r>
      <w:r w:rsidR="003D2974">
        <w:t>r</w:t>
      </w:r>
      <w:r>
        <w:t>ule. These systems are not eligible for reduced monitoring.</w:t>
      </w:r>
    </w:p>
    <w:p w:rsidR="00663BE6" w:rsidP="00983901" w:rsidRDefault="00663BE6" w14:paraId="0D4D38E4" w14:textId="73C13D94">
      <w:pPr>
        <w:pStyle w:val="Bullets"/>
      </w:pPr>
      <w:r w:rsidRPr="00D92095">
        <w:t>Systems with a TLE</w:t>
      </w:r>
      <w:r>
        <w:t xml:space="preserve"> would monitor annually at the standard number of sampling </w:t>
      </w:r>
      <w:r w:rsidRPr="00D92095">
        <w:t xml:space="preserve">locations in the </w:t>
      </w:r>
      <w:r w:rsidR="00643877">
        <w:t>previous</w:t>
      </w:r>
      <w:r w:rsidRPr="00D92095">
        <w:t xml:space="preserve"> </w:t>
      </w:r>
      <w:r w:rsidR="003D2974">
        <w:t>r</w:t>
      </w:r>
      <w:r w:rsidRPr="00D92095">
        <w:t>ule and would not be eligible to collect samples at the reduced number of sites or to qualify</w:t>
      </w:r>
      <w:r>
        <w:t xml:space="preserve"> for triennial </w:t>
      </w:r>
      <w:r w:rsidR="00D92095">
        <w:t>or nine-</w:t>
      </w:r>
      <w:r>
        <w:t xml:space="preserve">year monitoring. </w:t>
      </w:r>
    </w:p>
    <w:p w:rsidR="00663BE6" w:rsidP="00983901" w:rsidRDefault="00663BE6" w14:paraId="668C4C2E" w14:textId="77777777">
      <w:pPr>
        <w:pStyle w:val="Bullets"/>
      </w:pPr>
      <w:r w:rsidRPr="00D92095">
        <w:lastRenderedPageBreak/>
        <w:t>Systems without a TLE or ALE</w:t>
      </w:r>
      <w:r>
        <w:t xml:space="preserve"> would conduct monitoring annually, triennially, or every nine years at the reduced number of sites. </w:t>
      </w:r>
    </w:p>
    <w:p w:rsidR="00663BE6" w:rsidP="00983901" w:rsidRDefault="00663BE6" w14:paraId="2F537A3F" w14:textId="40A28BAB">
      <w:pPr>
        <w:pStyle w:val="NormalIndent"/>
      </w:pPr>
      <w:r>
        <w:t xml:space="preserve">The copper monitoring requirements are </w:t>
      </w:r>
      <w:proofErr w:type="gramStart"/>
      <w:r>
        <w:t>similar to</w:t>
      </w:r>
      <w:proofErr w:type="gramEnd"/>
      <w:r>
        <w:t xml:space="preserve"> those under the </w:t>
      </w:r>
      <w:r w:rsidR="00643877">
        <w:t>previous</w:t>
      </w:r>
      <w:r>
        <w:t xml:space="preserve"> </w:t>
      </w:r>
      <w:r w:rsidR="003D2974">
        <w:t>r</w:t>
      </w:r>
      <w:r>
        <w:t>ule, which are based on the system’s copper 90</w:t>
      </w:r>
      <w:r w:rsidRPr="00D37250">
        <w:rPr>
          <w:vertAlign w:val="superscript"/>
        </w:rPr>
        <w:t>th</w:t>
      </w:r>
      <w:r>
        <w:t xml:space="preserve"> percentile level and compliance with a system’s optimal WQP specifications. One difference is that a system’s lead 90</w:t>
      </w:r>
      <w:r w:rsidRPr="00D37250">
        <w:rPr>
          <w:vertAlign w:val="superscript"/>
        </w:rPr>
        <w:t>th</w:t>
      </w:r>
      <w:r>
        <w:t xml:space="preserve"> percentile level is not a factor in determining the system’s copper monitoring requirements. </w:t>
      </w:r>
    </w:p>
    <w:p w:rsidRPr="00423550" w:rsidR="006929D3" w:rsidP="000C0ED7" w:rsidRDefault="006929D3" w14:paraId="30858E31" w14:textId="77777777">
      <w:pPr>
        <w:pStyle w:val="Heading2"/>
      </w:pPr>
      <w:bookmarkStart w:name="_Toc160872058" w:id="19"/>
      <w:r w:rsidRPr="00D92095">
        <w:t xml:space="preserve">3(e) </w:t>
      </w:r>
      <w:r w:rsidRPr="00D92095">
        <w:tab/>
        <w:t>General Guidelines</w:t>
      </w:r>
      <w:bookmarkEnd w:id="19"/>
    </w:p>
    <w:p w:rsidRPr="004C44E2" w:rsidR="00D33386" w:rsidP="00021325" w:rsidRDefault="00596543" w14:paraId="0EACB656" w14:textId="77777777">
      <w:pPr>
        <w:pStyle w:val="NormalIndent"/>
      </w:pPr>
      <w:proofErr w:type="gramStart"/>
      <w:r>
        <w:t>W</w:t>
      </w:r>
      <w:r w:rsidRPr="00423550">
        <w:t xml:space="preserve">ith </w:t>
      </w:r>
      <w:r w:rsidRPr="00423550" w:rsidR="006929D3">
        <w:t xml:space="preserve">the exception </w:t>
      </w:r>
      <w:r w:rsidRPr="004C44E2" w:rsidR="00890A40">
        <w:t>of</w:t>
      </w:r>
      <w:proofErr w:type="gramEnd"/>
      <w:r w:rsidRPr="004C44E2" w:rsidR="00890A40">
        <w:t xml:space="preserve"> two instances noted below, t</w:t>
      </w:r>
      <w:r w:rsidRPr="00D33386" w:rsidR="006714B4">
        <w:t xml:space="preserve">his </w:t>
      </w:r>
      <w:r w:rsidRPr="004C44E2" w:rsidR="00890A40">
        <w:t>collection will not violate the guidelines codified under 5 CFR 1320.5(d)(2)</w:t>
      </w:r>
      <w:r w:rsidRPr="004C44E2" w:rsidR="00D33386">
        <w:t xml:space="preserve">.  </w:t>
      </w:r>
    </w:p>
    <w:p w:rsidR="00E70219" w:rsidP="00021325" w:rsidRDefault="00D33386" w14:paraId="12DBAE21" w14:textId="77777777">
      <w:pPr>
        <w:pStyle w:val="NormalIndent"/>
      </w:pPr>
      <w:r w:rsidRPr="004C44E2">
        <w:t>R</w:t>
      </w:r>
      <w:r w:rsidRPr="00D33386" w:rsidR="006929D3">
        <w:t>ecords are required to be retained for a period greater than three years. In particular, the 1991 LCR requires</w:t>
      </w:r>
      <w:r w:rsidRPr="00423550" w:rsidR="006929D3">
        <w:t xml:space="preserve"> all PWSs to retain on their premise original records of all sampling data and analyses, reports, surveys, letters, evaluations, schedules and any other information required by the </w:t>
      </w:r>
      <w:r w:rsidR="00BB55A4">
        <w:t>state</w:t>
      </w:r>
      <w:r w:rsidRPr="00423550" w:rsidR="006929D3">
        <w:t xml:space="preserve"> for no fewer than 12 years. </w:t>
      </w:r>
      <w:r w:rsidR="00E604CC">
        <w:t>Primacy agencies</w:t>
      </w:r>
      <w:r w:rsidRPr="00423550" w:rsidR="006929D3">
        <w:t xml:space="preserve"> are subject to the same record retention period, except that </w:t>
      </w:r>
      <w:r w:rsidR="007606BB">
        <w:t>primacy agencies</w:t>
      </w:r>
      <w:r w:rsidRPr="00423550" w:rsidR="006929D3">
        <w:t xml:space="preserve"> are required to retain information relating to the decisions in §142.14(d)(8) until a new decision, determination, or designation has been issued, if no change is made to the </w:t>
      </w:r>
      <w:r w:rsidR="00BB55A4">
        <w:t>state</w:t>
      </w:r>
      <w:r w:rsidRPr="00423550" w:rsidR="006929D3">
        <w:t xml:space="preserve"> decision during the 12-year retention period. The Agency justified these record retention periods and received approval for them under the original 1991 </w:t>
      </w:r>
      <w:r w:rsidR="002B6EF4">
        <w:t xml:space="preserve">LCR </w:t>
      </w:r>
      <w:r w:rsidRPr="00423550" w:rsidR="006929D3">
        <w:t xml:space="preserve">ICR. </w:t>
      </w:r>
    </w:p>
    <w:p w:rsidRPr="00423550" w:rsidR="006929D3" w:rsidP="00021325" w:rsidRDefault="00E70219" w14:paraId="10B3D3E6" w14:textId="36D503AD">
      <w:pPr>
        <w:pStyle w:val="NormalIndent"/>
      </w:pPr>
      <w:r>
        <w:t>In addition, t</w:t>
      </w:r>
      <w:r w:rsidRPr="00423550">
        <w:t xml:space="preserve">he </w:t>
      </w:r>
      <w:r w:rsidR="00C018A3">
        <w:t>LCRR</w:t>
      </w:r>
      <w:r w:rsidRPr="00423550" w:rsidR="006929D3">
        <w:t xml:space="preserve"> </w:t>
      </w:r>
      <w:r w:rsidR="00D92095">
        <w:t xml:space="preserve">codifies §2106 of the Water Infrastructure Improvements for the Nation Act (WIIN Act) revised §1414 of SDWA to require PWSs to notify customers, the </w:t>
      </w:r>
      <w:r w:rsidR="002B6EF4">
        <w:t>p</w:t>
      </w:r>
      <w:r w:rsidR="00E5250C">
        <w:t>rimacy agency</w:t>
      </w:r>
      <w:r w:rsidR="00D92095">
        <w:t xml:space="preserve">, and </w:t>
      </w:r>
      <w:r w:rsidR="00C15CD4">
        <w:t xml:space="preserve">the </w:t>
      </w:r>
      <w:r w:rsidR="00D92095">
        <w:t xml:space="preserve">EPA of a lead ALE within 24 hours of learning of the ALE. </w:t>
      </w:r>
    </w:p>
    <w:p w:rsidRPr="00423550" w:rsidR="006929D3" w:rsidP="000C0ED7" w:rsidRDefault="006929D3" w14:paraId="5DD4E2F6" w14:textId="77777777">
      <w:pPr>
        <w:pStyle w:val="Heading2"/>
      </w:pPr>
      <w:bookmarkStart w:name="_Toc160872059" w:id="20"/>
      <w:r w:rsidRPr="00423550">
        <w:t xml:space="preserve">3(f) </w:t>
      </w:r>
      <w:r w:rsidRPr="00423550">
        <w:tab/>
        <w:t>Confidentiality</w:t>
      </w:r>
      <w:bookmarkEnd w:id="20"/>
    </w:p>
    <w:p w:rsidRPr="00423550" w:rsidR="006929D3" w:rsidP="00021325" w:rsidRDefault="006714B4" w14:paraId="4B13F15A" w14:textId="77777777">
      <w:pPr>
        <w:pStyle w:val="NormalIndent"/>
      </w:pPr>
      <w:r>
        <w:t>No confidential information will be collected as a result of this ICR</w:t>
      </w:r>
      <w:r w:rsidRPr="00423550" w:rsidR="006929D3">
        <w:t>.</w:t>
      </w:r>
    </w:p>
    <w:p w:rsidRPr="00423550" w:rsidR="006929D3" w:rsidP="000C0ED7" w:rsidRDefault="006929D3" w14:paraId="571ED872" w14:textId="77777777">
      <w:pPr>
        <w:pStyle w:val="Heading2"/>
      </w:pPr>
      <w:bookmarkStart w:name="_Toc160872060" w:id="21"/>
      <w:r w:rsidRPr="00423550">
        <w:t xml:space="preserve">3(g) </w:t>
      </w:r>
      <w:r w:rsidRPr="00423550">
        <w:tab/>
        <w:t>Sensitive Questions</w:t>
      </w:r>
      <w:bookmarkEnd w:id="21"/>
    </w:p>
    <w:p w:rsidR="00344F30" w:rsidP="00344F30" w:rsidRDefault="00B9766D" w14:paraId="55626395" w14:textId="77777777">
      <w:pPr>
        <w:pStyle w:val="NormalIndent"/>
      </w:pPr>
      <w:r w:rsidRPr="00B9766D">
        <w:t>This information collection does not ask any questions concerning sexual behavior or attitudes, religious beliefs, or other matters usually considered private.</w:t>
      </w:r>
      <w:bookmarkStart w:name="_Toc160872061" w:id="22"/>
    </w:p>
    <w:p w:rsidRPr="00423550" w:rsidR="007E013F" w:rsidP="00344F30" w:rsidRDefault="007E013F" w14:paraId="3A93209F" w14:textId="77777777">
      <w:pPr>
        <w:pStyle w:val="Heading1"/>
      </w:pPr>
      <w:r w:rsidRPr="00423550">
        <w:t xml:space="preserve">4 </w:t>
      </w:r>
      <w:r w:rsidRPr="00423550">
        <w:tab/>
        <w:t>THE RESPONDENTS AND THE INFORMATION REQUESTED</w:t>
      </w:r>
      <w:bookmarkEnd w:id="22"/>
    </w:p>
    <w:p w:rsidRPr="00423550" w:rsidR="007E013F" w:rsidP="00021325" w:rsidRDefault="007E013F" w14:paraId="39575744" w14:textId="77777777">
      <w:pPr>
        <w:pStyle w:val="NormalIndent"/>
      </w:pPr>
      <w:r w:rsidRPr="00423550">
        <w:t>The following sections contain information on the respondents and the information they are requested to provide.</w:t>
      </w:r>
    </w:p>
    <w:p w:rsidRPr="00423550" w:rsidR="007E013F" w:rsidP="005F368E" w:rsidRDefault="007E013F" w14:paraId="66BBADEF" w14:textId="77777777">
      <w:pPr>
        <w:pStyle w:val="Heading2"/>
      </w:pPr>
      <w:bookmarkStart w:name="_Toc160872062" w:id="23"/>
      <w:r w:rsidRPr="00423550">
        <w:t xml:space="preserve">4(a) </w:t>
      </w:r>
      <w:r w:rsidRPr="00423550">
        <w:tab/>
        <w:t>Respondents/</w:t>
      </w:r>
      <w:bookmarkEnd w:id="23"/>
      <w:r w:rsidRPr="00B9766D" w:rsidR="00B9766D">
        <w:t>North American Industry Classification System Codes</w:t>
      </w:r>
    </w:p>
    <w:p w:rsidRPr="00423550" w:rsidR="00D26536" w:rsidP="00021325" w:rsidRDefault="00D26536" w14:paraId="490C88AF" w14:textId="77777777">
      <w:pPr>
        <w:pStyle w:val="NormalIndent"/>
      </w:pPr>
      <w:r w:rsidRPr="00423550">
        <w:t xml:space="preserve">Data associated with this ICR are collected and maintained at the </w:t>
      </w:r>
      <w:r w:rsidRPr="000C08CF">
        <w:t>PWS</w:t>
      </w:r>
      <w:r w:rsidRPr="00423550">
        <w:t xml:space="preserve">, </w:t>
      </w:r>
      <w:r w:rsidR="00BB55A4">
        <w:t>state</w:t>
      </w:r>
      <w:r w:rsidRPr="00423550">
        <w:t>, and Fede</w:t>
      </w:r>
      <w:r w:rsidR="00B9766D">
        <w:t>ral levels. Respondents include:</w:t>
      </w:r>
    </w:p>
    <w:p w:rsidR="00045AAA" w:rsidP="00983901" w:rsidRDefault="00D26536" w14:paraId="00E479C5" w14:textId="77777777">
      <w:pPr>
        <w:pStyle w:val="Bullets"/>
      </w:pPr>
      <w:r w:rsidRPr="00423550">
        <w:t xml:space="preserve">Owners/operators of PWSs, </w:t>
      </w:r>
      <w:r w:rsidR="00045AAA">
        <w:t>who must report to their primacy agency.</w:t>
      </w:r>
    </w:p>
    <w:p w:rsidRPr="00423550" w:rsidR="00D26536" w:rsidP="00983901" w:rsidRDefault="00E604CC" w14:paraId="58202606" w14:textId="77777777">
      <w:pPr>
        <w:pStyle w:val="Bullets"/>
      </w:pPr>
      <w:r>
        <w:t>Primacy agencies</w:t>
      </w:r>
      <w:r w:rsidR="00045AAA">
        <w:t xml:space="preserve">, and </w:t>
      </w:r>
      <w:r w:rsidR="00E62E42">
        <w:t>the</w:t>
      </w:r>
      <w:r w:rsidR="00045AAA">
        <w:t xml:space="preserve"> EPA Regions that act as primacy agencies for states, territories, and tribal lands that do not have primacy</w:t>
      </w:r>
      <w:r w:rsidRPr="00423550" w:rsidR="00D26536">
        <w:t>.</w:t>
      </w:r>
    </w:p>
    <w:p w:rsidR="00B9766D" w:rsidP="00021325" w:rsidRDefault="00B9766D" w14:paraId="645F9B81" w14:textId="77777777">
      <w:pPr>
        <w:pStyle w:val="NormalIndent"/>
      </w:pPr>
      <w:r w:rsidRPr="00B9766D">
        <w:lastRenderedPageBreak/>
        <w:t xml:space="preserve">The North American Industry Classification System (NAICS) code for </w:t>
      </w:r>
      <w:r w:rsidR="00A85FD9">
        <w:t xml:space="preserve">privately owned </w:t>
      </w:r>
      <w:r w:rsidRPr="00B9766D">
        <w:t>PWSs is 22131. The NAICS codes for state agencies that include drinking water programs are 92411 (Administration of Air and Water Resources and Solid Waste Management Programs) or 92312 (Administration of Public Health Programs). Ancillary systems (system</w:t>
      </w:r>
      <w:r>
        <w:t>s</w:t>
      </w:r>
      <w:r w:rsidRPr="00B9766D">
        <w:t xml:space="preserve"> where pro</w:t>
      </w:r>
      <w:r>
        <w:t>viding water is ancillary to a primary business, e.g.,</w:t>
      </w:r>
      <w:r w:rsidRPr="00B9766D">
        <w:t xml:space="preserve"> mobile home park</w:t>
      </w:r>
      <w:r>
        <w:t>s</w:t>
      </w:r>
      <w:r w:rsidRPr="00B9766D">
        <w:t>) cannot be categorized in a single NAICS code. For ancillary systems, the NAICS code is that of the primary establishment or industry.</w:t>
      </w:r>
    </w:p>
    <w:p w:rsidRPr="00423550" w:rsidR="004C383C" w:rsidP="005F368E" w:rsidRDefault="004C383C" w14:paraId="42DD9BAC" w14:textId="77777777">
      <w:pPr>
        <w:pStyle w:val="Heading2"/>
      </w:pPr>
      <w:bookmarkStart w:name="_Toc160872063" w:id="24"/>
      <w:r w:rsidRPr="00423550">
        <w:t xml:space="preserve">4(b) </w:t>
      </w:r>
      <w:r w:rsidR="00F41F38">
        <w:tab/>
      </w:r>
      <w:r w:rsidRPr="00423550">
        <w:t>Information Requested</w:t>
      </w:r>
      <w:bookmarkEnd w:id="24"/>
    </w:p>
    <w:p w:rsidRPr="00045AAA" w:rsidR="004C383C" w:rsidP="005F368E" w:rsidRDefault="00045AAA" w14:paraId="4AAA0055" w14:textId="77777777">
      <w:pPr>
        <w:pStyle w:val="Heading3"/>
      </w:pPr>
      <w:r w:rsidRPr="00045AAA">
        <w:t>4(b)</w:t>
      </w:r>
      <w:r w:rsidRPr="00045AAA" w:rsidR="00432B6A">
        <w:t>(</w:t>
      </w:r>
      <w:proofErr w:type="spellStart"/>
      <w:r w:rsidRPr="00045AAA" w:rsidR="00432B6A">
        <w:t>i</w:t>
      </w:r>
      <w:proofErr w:type="spellEnd"/>
      <w:r w:rsidRPr="00045AAA" w:rsidR="00432B6A">
        <w:t>) Data items</w:t>
      </w:r>
    </w:p>
    <w:p w:rsidR="00EE7E1D" w:rsidP="00021325" w:rsidRDefault="0034332A" w14:paraId="76DB9777" w14:textId="77777777">
      <w:pPr>
        <w:pStyle w:val="NormalIndent"/>
      </w:pPr>
      <w:r>
        <w:t xml:space="preserve">For activities occurring in the first three years of implementation, </w:t>
      </w:r>
      <w:r w:rsidR="00792F80">
        <w:fldChar w:fldCharType="begin"/>
      </w:r>
      <w:r w:rsidR="00792F80">
        <w:instrText xml:space="preserve"> REF _Ref4507356 \h </w:instrText>
      </w:r>
      <w:r w:rsidR="00792F80">
        <w:fldChar w:fldCharType="separate"/>
      </w:r>
      <w:r w:rsidR="00106B5A">
        <w:t xml:space="preserve">Exhibit </w:t>
      </w:r>
      <w:r w:rsidR="00106B5A">
        <w:rPr>
          <w:noProof/>
        </w:rPr>
        <w:t>2</w:t>
      </w:r>
      <w:r w:rsidR="00792F80">
        <w:fldChar w:fldCharType="end"/>
      </w:r>
      <w:r w:rsidR="00792F80">
        <w:t xml:space="preserve"> and </w:t>
      </w:r>
      <w:r w:rsidR="0029725E">
        <w:fldChar w:fldCharType="begin"/>
      </w:r>
      <w:r w:rsidR="0029725E">
        <w:instrText xml:space="preserve"> REF _Ref4740241 \h </w:instrText>
      </w:r>
      <w:r w:rsidR="0029725E">
        <w:fldChar w:fldCharType="separate"/>
      </w:r>
      <w:r w:rsidR="00106B5A">
        <w:t xml:space="preserve">Exhibit </w:t>
      </w:r>
      <w:r w:rsidR="00106B5A">
        <w:rPr>
          <w:noProof/>
        </w:rPr>
        <w:t>3</w:t>
      </w:r>
      <w:r w:rsidR="0029725E">
        <w:fldChar w:fldCharType="end"/>
      </w:r>
      <w:r w:rsidR="00792F80">
        <w:t xml:space="preserve"> </w:t>
      </w:r>
      <w:r>
        <w:t xml:space="preserve">list the data items required from PWSs and </w:t>
      </w:r>
      <w:r w:rsidR="007606BB">
        <w:t>primacy agencies</w:t>
      </w:r>
      <w:r>
        <w:t xml:space="preserve">, respectively. </w:t>
      </w:r>
    </w:p>
    <w:p w:rsidR="00792F80" w:rsidP="00792F80" w:rsidRDefault="00792F80" w14:paraId="614EA138" w14:textId="77777777">
      <w:pPr>
        <w:pStyle w:val="Caption"/>
      </w:pPr>
      <w:bookmarkStart w:name="_Ref4507356" w:id="25"/>
      <w:r>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106B5A">
        <w:rPr>
          <w:noProof/>
        </w:rPr>
        <w:t>2</w:t>
      </w:r>
      <w:r w:rsidR="00856859">
        <w:rPr>
          <w:noProof/>
        </w:rPr>
        <w:fldChar w:fldCharType="end"/>
      </w:r>
      <w:bookmarkEnd w:id="25"/>
      <w:r>
        <w:t xml:space="preserve">. </w:t>
      </w:r>
      <w:r w:rsidRPr="00823E46">
        <w:rPr>
          <w:noProof/>
        </w:rPr>
        <w:t>Changes in PWSs Reporting Data Items</w:t>
      </w:r>
    </w:p>
    <w:tbl>
      <w:tblPr>
        <w:tblStyle w:val="TableGrid"/>
        <w:tblW w:w="9360" w:type="dxa"/>
        <w:jc w:val="center"/>
        <w:tblLayout w:type="fixed"/>
        <w:tblCellMar>
          <w:left w:w="72" w:type="dxa"/>
          <w:right w:w="72" w:type="dxa"/>
        </w:tblCellMar>
        <w:tblLook w:val="01E0" w:firstRow="1" w:lastRow="1" w:firstColumn="1" w:lastColumn="1" w:noHBand="0" w:noVBand="0"/>
      </w:tblPr>
      <w:tblGrid>
        <w:gridCol w:w="3120"/>
        <w:gridCol w:w="3120"/>
        <w:gridCol w:w="3120"/>
      </w:tblGrid>
      <w:tr w:rsidRPr="005674E2" w:rsidR="0034332A" w:rsidTr="0027766C" w14:paraId="26643A6A" w14:textId="77777777">
        <w:trPr>
          <w:tblHeader/>
          <w:jc w:val="center"/>
        </w:trPr>
        <w:tc>
          <w:tcPr>
            <w:tcW w:w="3120" w:type="dxa"/>
            <w:vAlign w:val="center"/>
          </w:tcPr>
          <w:p w:rsidRPr="00504F66" w:rsidR="0034332A" w:rsidP="00504F66" w:rsidRDefault="0034332A" w14:paraId="208BDE40" w14:textId="77777777">
            <w:pPr>
              <w:pStyle w:val="Table"/>
              <w:jc w:val="center"/>
              <w:rPr>
                <w:b/>
              </w:rPr>
            </w:pPr>
            <w:r w:rsidRPr="00504F66">
              <w:rPr>
                <w:b/>
              </w:rPr>
              <w:t>Requirement</w:t>
            </w:r>
          </w:p>
        </w:tc>
        <w:tc>
          <w:tcPr>
            <w:tcW w:w="3120" w:type="dxa"/>
            <w:vAlign w:val="center"/>
          </w:tcPr>
          <w:p w:rsidRPr="00504F66" w:rsidR="0034332A" w:rsidP="00504F66" w:rsidRDefault="0034332A" w14:paraId="30DA0F39" w14:textId="77777777">
            <w:pPr>
              <w:pStyle w:val="Table"/>
              <w:jc w:val="center"/>
              <w:rPr>
                <w:b/>
              </w:rPr>
            </w:pPr>
            <w:r w:rsidRPr="00504F66">
              <w:rPr>
                <w:b/>
              </w:rPr>
              <w:t>Change in Requirement</w:t>
            </w:r>
          </w:p>
        </w:tc>
        <w:tc>
          <w:tcPr>
            <w:tcW w:w="3120" w:type="dxa"/>
            <w:vAlign w:val="center"/>
          </w:tcPr>
          <w:p w:rsidRPr="00504F66" w:rsidR="0034332A" w:rsidP="00504F66" w:rsidRDefault="0034332A" w14:paraId="3886CC9B" w14:textId="77777777">
            <w:pPr>
              <w:pStyle w:val="Table"/>
              <w:jc w:val="center"/>
              <w:rPr>
                <w:b/>
              </w:rPr>
            </w:pPr>
            <w:r w:rsidRPr="00504F66">
              <w:rPr>
                <w:b/>
              </w:rPr>
              <w:t>Frequency</w:t>
            </w:r>
          </w:p>
        </w:tc>
      </w:tr>
      <w:tr w:rsidRPr="005674E2" w:rsidR="0034332A" w:rsidTr="0027766C" w14:paraId="7B57E903" w14:textId="77777777">
        <w:trPr>
          <w:trHeight w:val="591"/>
          <w:jc w:val="center"/>
        </w:trPr>
        <w:tc>
          <w:tcPr>
            <w:tcW w:w="3120" w:type="dxa"/>
            <w:vAlign w:val="center"/>
          </w:tcPr>
          <w:p w:rsidRPr="0047658E" w:rsidR="0034332A" w:rsidP="00504F66" w:rsidRDefault="0034332A" w14:paraId="6E21C1C2" w14:textId="77777777">
            <w:pPr>
              <w:pStyle w:val="Table"/>
            </w:pPr>
            <w:r>
              <w:t xml:space="preserve">System reads and understands the </w:t>
            </w:r>
            <w:r w:rsidR="00C018A3">
              <w:t>LCRR</w:t>
            </w:r>
          </w:p>
        </w:tc>
        <w:tc>
          <w:tcPr>
            <w:tcW w:w="3120" w:type="dxa"/>
            <w:vAlign w:val="center"/>
          </w:tcPr>
          <w:p w:rsidRPr="0047658E" w:rsidR="0034332A" w:rsidP="00504F66" w:rsidRDefault="0034332A" w14:paraId="201313BC" w14:textId="77777777">
            <w:pPr>
              <w:pStyle w:val="Table"/>
              <w:jc w:val="center"/>
            </w:pPr>
            <w:r>
              <w:t>Implementation activity</w:t>
            </w:r>
          </w:p>
        </w:tc>
        <w:tc>
          <w:tcPr>
            <w:tcW w:w="3120" w:type="dxa"/>
            <w:vAlign w:val="center"/>
          </w:tcPr>
          <w:p w:rsidRPr="00E82C11" w:rsidR="0034332A" w:rsidP="00504F66" w:rsidRDefault="0034332A" w14:paraId="16E8C846" w14:textId="77777777">
            <w:pPr>
              <w:pStyle w:val="Table"/>
              <w:jc w:val="center"/>
            </w:pPr>
            <w:r>
              <w:t>Once</w:t>
            </w:r>
          </w:p>
        </w:tc>
      </w:tr>
      <w:tr w:rsidRPr="005674E2" w:rsidR="0034332A" w:rsidTr="0027766C" w14:paraId="7BAFE633" w14:textId="77777777">
        <w:trPr>
          <w:trHeight w:val="350"/>
          <w:jc w:val="center"/>
        </w:trPr>
        <w:tc>
          <w:tcPr>
            <w:tcW w:w="3120" w:type="dxa"/>
            <w:vAlign w:val="center"/>
          </w:tcPr>
          <w:p w:rsidRPr="006076AB" w:rsidR="0034332A" w:rsidP="00504F66" w:rsidRDefault="0034332A" w14:paraId="76931225" w14:textId="77777777">
            <w:pPr>
              <w:pStyle w:val="Table"/>
            </w:pPr>
            <w:r>
              <w:t>System assigns personnel and resources for rule implementation</w:t>
            </w:r>
          </w:p>
        </w:tc>
        <w:tc>
          <w:tcPr>
            <w:tcW w:w="3120" w:type="dxa"/>
            <w:vAlign w:val="center"/>
          </w:tcPr>
          <w:p w:rsidR="0034332A" w:rsidP="00504F66" w:rsidRDefault="0034332A" w14:paraId="032C119A" w14:textId="77777777">
            <w:pPr>
              <w:pStyle w:val="Table"/>
              <w:jc w:val="center"/>
              <w:rPr>
                <w:i/>
              </w:rPr>
            </w:pPr>
            <w:r>
              <w:t>Implementation activity</w:t>
            </w:r>
          </w:p>
        </w:tc>
        <w:tc>
          <w:tcPr>
            <w:tcW w:w="3120" w:type="dxa"/>
            <w:vAlign w:val="center"/>
          </w:tcPr>
          <w:p w:rsidRPr="00E82C11" w:rsidR="0034332A" w:rsidP="00504F66" w:rsidRDefault="0034332A" w14:paraId="4CABF3AC" w14:textId="77777777">
            <w:pPr>
              <w:pStyle w:val="Table"/>
              <w:jc w:val="center"/>
            </w:pPr>
            <w:r>
              <w:t>Once</w:t>
            </w:r>
          </w:p>
        </w:tc>
      </w:tr>
      <w:tr w:rsidRPr="005674E2" w:rsidR="0034332A" w:rsidTr="0027766C" w14:paraId="2A86F1F5" w14:textId="77777777">
        <w:trPr>
          <w:trHeight w:val="1077"/>
          <w:jc w:val="center"/>
        </w:trPr>
        <w:tc>
          <w:tcPr>
            <w:tcW w:w="3120" w:type="dxa"/>
            <w:vAlign w:val="center"/>
          </w:tcPr>
          <w:p w:rsidRPr="00E82C11" w:rsidR="0034332A" w:rsidP="00504F66" w:rsidRDefault="0034332A" w14:paraId="261F25C5" w14:textId="77777777">
            <w:pPr>
              <w:pStyle w:val="Table"/>
            </w:pPr>
            <w:r>
              <w:t xml:space="preserve">System attends training and receives technical assistance from the primacy agency during implementation of the </w:t>
            </w:r>
            <w:r w:rsidR="00C018A3">
              <w:t>LCRR</w:t>
            </w:r>
          </w:p>
        </w:tc>
        <w:tc>
          <w:tcPr>
            <w:tcW w:w="3120" w:type="dxa"/>
            <w:vAlign w:val="center"/>
          </w:tcPr>
          <w:p w:rsidRPr="006076AB" w:rsidR="0034332A" w:rsidP="00504F66" w:rsidRDefault="0034332A" w14:paraId="13F8B822" w14:textId="77777777">
            <w:pPr>
              <w:pStyle w:val="Table"/>
              <w:jc w:val="center"/>
            </w:pPr>
            <w:r>
              <w:t>Implementation activity</w:t>
            </w:r>
          </w:p>
        </w:tc>
        <w:tc>
          <w:tcPr>
            <w:tcW w:w="3120" w:type="dxa"/>
            <w:vAlign w:val="center"/>
          </w:tcPr>
          <w:p w:rsidRPr="00E82C11" w:rsidR="0034332A" w:rsidP="00504F66" w:rsidRDefault="0034332A" w14:paraId="47BCA15B" w14:textId="77777777">
            <w:pPr>
              <w:pStyle w:val="Table"/>
              <w:jc w:val="center"/>
            </w:pPr>
            <w:r>
              <w:t>Once</w:t>
            </w:r>
          </w:p>
        </w:tc>
      </w:tr>
      <w:tr w:rsidRPr="005674E2" w:rsidR="0027766C" w:rsidTr="0027766C" w14:paraId="2838B05C" w14:textId="77777777">
        <w:trPr>
          <w:trHeight w:val="1077"/>
          <w:jc w:val="center"/>
        </w:trPr>
        <w:tc>
          <w:tcPr>
            <w:tcW w:w="3120" w:type="dxa"/>
            <w:vAlign w:val="center"/>
          </w:tcPr>
          <w:p w:rsidR="0027766C" w:rsidP="0027766C" w:rsidRDefault="0027766C" w14:paraId="15FD0BF0" w14:textId="3AEE6FBE">
            <w:pPr>
              <w:pStyle w:val="Table"/>
            </w:pPr>
            <w:r w:rsidRPr="0063474A">
              <w:t>System develop</w:t>
            </w:r>
            <w:r w:rsidR="00E07F9F">
              <w:t>s</w:t>
            </w:r>
            <w:r w:rsidRPr="0063474A">
              <w:t xml:space="preserve"> lead service line inventory or submit</w:t>
            </w:r>
            <w:r w:rsidR="00445ADD">
              <w:t>s</w:t>
            </w:r>
            <w:r w:rsidRPr="0063474A">
              <w:t xml:space="preserve"> a demonstration to the primacy agency that they do not have lead service lines</w:t>
            </w:r>
          </w:p>
        </w:tc>
        <w:tc>
          <w:tcPr>
            <w:tcW w:w="3120" w:type="dxa"/>
            <w:vAlign w:val="center"/>
          </w:tcPr>
          <w:p w:rsidR="0027766C" w:rsidP="0027766C" w:rsidRDefault="0027766C" w14:paraId="27BFB80D" w14:textId="77777777">
            <w:pPr>
              <w:pStyle w:val="Table"/>
              <w:jc w:val="center"/>
            </w:pPr>
            <w:r>
              <w:t>Lead Service Line Inventory</w:t>
            </w:r>
          </w:p>
        </w:tc>
        <w:tc>
          <w:tcPr>
            <w:tcW w:w="3120" w:type="dxa"/>
            <w:vAlign w:val="center"/>
          </w:tcPr>
          <w:p w:rsidR="0027766C" w:rsidP="0027766C" w:rsidRDefault="0027766C" w14:paraId="0104979A" w14:textId="77777777">
            <w:pPr>
              <w:pStyle w:val="Table"/>
              <w:jc w:val="center"/>
            </w:pPr>
            <w:r>
              <w:t>Once</w:t>
            </w:r>
          </w:p>
        </w:tc>
      </w:tr>
      <w:tr w:rsidRPr="005674E2" w:rsidR="00E07F9F" w:rsidTr="0027766C" w14:paraId="537F55B8" w14:textId="77777777">
        <w:trPr>
          <w:trHeight w:val="1077"/>
          <w:jc w:val="center"/>
        </w:trPr>
        <w:tc>
          <w:tcPr>
            <w:tcW w:w="3120" w:type="dxa"/>
            <w:vAlign w:val="center"/>
          </w:tcPr>
          <w:p w:rsidRPr="0063474A" w:rsidR="00E07F9F" w:rsidP="00EB792F" w:rsidRDefault="00E07F9F" w14:paraId="21D282DB" w14:textId="24FAD48C">
            <w:pPr>
              <w:pStyle w:val="Table"/>
            </w:pPr>
            <w:r>
              <w:t xml:space="preserve">System </w:t>
            </w:r>
            <w:r w:rsidR="00EB792F">
              <w:t>confers with states on initial planning for LSLR and prepares LSLR plan</w:t>
            </w:r>
            <w:r>
              <w:t xml:space="preserve"> </w:t>
            </w:r>
          </w:p>
        </w:tc>
        <w:tc>
          <w:tcPr>
            <w:tcW w:w="3120" w:type="dxa"/>
            <w:vAlign w:val="center"/>
          </w:tcPr>
          <w:p w:rsidR="00E07F9F" w:rsidP="0027766C" w:rsidRDefault="00AA47AC" w14:paraId="23F2CAD6" w14:textId="77777777">
            <w:pPr>
              <w:pStyle w:val="Table"/>
              <w:jc w:val="center"/>
            </w:pPr>
            <w:r>
              <w:t>Lead Service Line Replacement</w:t>
            </w:r>
          </w:p>
        </w:tc>
        <w:tc>
          <w:tcPr>
            <w:tcW w:w="3120" w:type="dxa"/>
            <w:vAlign w:val="center"/>
          </w:tcPr>
          <w:p w:rsidR="00E07F9F" w:rsidP="0027766C" w:rsidRDefault="00AA47AC" w14:paraId="345C4993" w14:textId="77777777">
            <w:pPr>
              <w:pStyle w:val="Table"/>
              <w:jc w:val="center"/>
            </w:pPr>
            <w:r>
              <w:t>Once</w:t>
            </w:r>
          </w:p>
        </w:tc>
      </w:tr>
    </w:tbl>
    <w:p w:rsidR="00AC7FF0" w:rsidP="00AC7FF0" w:rsidRDefault="00AC7FF0" w14:paraId="570856B6" w14:textId="77777777">
      <w:pPr>
        <w:autoSpaceDE w:val="0"/>
        <w:autoSpaceDN w:val="0"/>
        <w:adjustRightInd w:val="0"/>
        <w:rPr>
          <w:sz w:val="20"/>
          <w:szCs w:val="20"/>
        </w:rPr>
      </w:pPr>
    </w:p>
    <w:p w:rsidR="00792F80" w:rsidP="00792F80" w:rsidRDefault="00792F80" w14:paraId="75F3649F" w14:textId="77777777">
      <w:pPr>
        <w:pStyle w:val="Caption"/>
      </w:pPr>
      <w:bookmarkStart w:name="_Ref4740241" w:id="26"/>
      <w:r>
        <w:lastRenderedPageBreak/>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106B5A">
        <w:rPr>
          <w:noProof/>
        </w:rPr>
        <w:t>3</w:t>
      </w:r>
      <w:r w:rsidR="00856859">
        <w:rPr>
          <w:noProof/>
        </w:rPr>
        <w:fldChar w:fldCharType="end"/>
      </w:r>
      <w:bookmarkEnd w:id="26"/>
      <w:r>
        <w:rPr>
          <w:noProof/>
        </w:rPr>
        <w:t xml:space="preserve">. </w:t>
      </w:r>
      <w:r w:rsidRPr="00141C12">
        <w:rPr>
          <w:noProof/>
        </w:rPr>
        <w:t>State/Primacy Agency Reporting Data Items</w:t>
      </w:r>
    </w:p>
    <w:tbl>
      <w:tblPr>
        <w:tblStyle w:val="TableGrid"/>
        <w:tblW w:w="9360" w:type="dxa"/>
        <w:jc w:val="center"/>
        <w:tblLayout w:type="fixed"/>
        <w:tblCellMar>
          <w:left w:w="72" w:type="dxa"/>
          <w:right w:w="72" w:type="dxa"/>
        </w:tblCellMar>
        <w:tblLook w:val="01E0" w:firstRow="1" w:lastRow="1" w:firstColumn="1" w:lastColumn="1" w:noHBand="0" w:noVBand="0"/>
      </w:tblPr>
      <w:tblGrid>
        <w:gridCol w:w="3120"/>
        <w:gridCol w:w="3120"/>
        <w:gridCol w:w="3120"/>
      </w:tblGrid>
      <w:tr w:rsidRPr="005674E2" w:rsidR="0034332A" w:rsidTr="0027766C" w14:paraId="4422E073" w14:textId="77777777">
        <w:trPr>
          <w:tblHeader/>
          <w:jc w:val="center"/>
        </w:trPr>
        <w:tc>
          <w:tcPr>
            <w:tcW w:w="3120" w:type="dxa"/>
            <w:vAlign w:val="center"/>
          </w:tcPr>
          <w:p w:rsidRPr="00504F66" w:rsidR="0034332A" w:rsidP="00504F66" w:rsidRDefault="0034332A" w14:paraId="1568262B" w14:textId="77777777">
            <w:pPr>
              <w:pStyle w:val="Table"/>
              <w:jc w:val="center"/>
              <w:rPr>
                <w:b/>
              </w:rPr>
            </w:pPr>
            <w:r w:rsidRPr="00504F66">
              <w:rPr>
                <w:b/>
              </w:rPr>
              <w:t>Requirement</w:t>
            </w:r>
          </w:p>
        </w:tc>
        <w:tc>
          <w:tcPr>
            <w:tcW w:w="3120" w:type="dxa"/>
            <w:vAlign w:val="center"/>
          </w:tcPr>
          <w:p w:rsidRPr="00504F66" w:rsidR="0034332A" w:rsidP="00504F66" w:rsidRDefault="0034332A" w14:paraId="578D0394" w14:textId="77777777">
            <w:pPr>
              <w:pStyle w:val="Table"/>
              <w:jc w:val="center"/>
              <w:rPr>
                <w:b/>
              </w:rPr>
            </w:pPr>
            <w:r w:rsidRPr="00504F66">
              <w:rPr>
                <w:b/>
              </w:rPr>
              <w:t>Change in Requirement</w:t>
            </w:r>
          </w:p>
        </w:tc>
        <w:tc>
          <w:tcPr>
            <w:tcW w:w="3120" w:type="dxa"/>
            <w:vAlign w:val="center"/>
          </w:tcPr>
          <w:p w:rsidRPr="00504F66" w:rsidR="0034332A" w:rsidP="00504F66" w:rsidRDefault="0034332A" w14:paraId="57CF3B4D" w14:textId="77777777">
            <w:pPr>
              <w:pStyle w:val="Table"/>
              <w:jc w:val="center"/>
              <w:rPr>
                <w:b/>
              </w:rPr>
            </w:pPr>
            <w:r w:rsidRPr="00504F66">
              <w:rPr>
                <w:b/>
              </w:rPr>
              <w:t>Frequency</w:t>
            </w:r>
          </w:p>
        </w:tc>
      </w:tr>
      <w:tr w:rsidRPr="00E82C11" w:rsidR="0034332A" w:rsidTr="0027766C" w14:paraId="762C3870" w14:textId="77777777">
        <w:trPr>
          <w:trHeight w:val="170"/>
          <w:jc w:val="center"/>
        </w:trPr>
        <w:tc>
          <w:tcPr>
            <w:tcW w:w="3120" w:type="dxa"/>
            <w:vAlign w:val="center"/>
          </w:tcPr>
          <w:p w:rsidRPr="006076AB" w:rsidR="0034332A" w:rsidP="00504F66" w:rsidRDefault="00E604CC" w14:paraId="167D708B" w14:textId="77777777">
            <w:pPr>
              <w:pStyle w:val="Table"/>
            </w:pPr>
            <w:r>
              <w:t>Primacy agency</w:t>
            </w:r>
            <w:r w:rsidR="0034332A">
              <w:t xml:space="preserve"> adopts the rule and develop</w:t>
            </w:r>
            <w:r w:rsidR="00127423">
              <w:t>s</w:t>
            </w:r>
            <w:r w:rsidR="0034332A">
              <w:t xml:space="preserve"> program to implement the </w:t>
            </w:r>
            <w:r w:rsidR="00C018A3">
              <w:t>LCRR</w:t>
            </w:r>
          </w:p>
        </w:tc>
        <w:tc>
          <w:tcPr>
            <w:tcW w:w="3120" w:type="dxa"/>
            <w:vAlign w:val="center"/>
          </w:tcPr>
          <w:p w:rsidR="0034332A" w:rsidP="00504F66" w:rsidRDefault="0034332A" w14:paraId="65533AAB" w14:textId="77777777">
            <w:pPr>
              <w:pStyle w:val="Table"/>
              <w:jc w:val="center"/>
              <w:rPr>
                <w:i/>
              </w:rPr>
            </w:pPr>
            <w:r>
              <w:t>Implementation activity</w:t>
            </w:r>
          </w:p>
        </w:tc>
        <w:tc>
          <w:tcPr>
            <w:tcW w:w="3120" w:type="dxa"/>
            <w:vAlign w:val="center"/>
          </w:tcPr>
          <w:p w:rsidRPr="00E82C11" w:rsidR="0034332A" w:rsidP="00504F66" w:rsidRDefault="0034332A" w14:paraId="44FE9879" w14:textId="77777777">
            <w:pPr>
              <w:pStyle w:val="Table"/>
              <w:jc w:val="center"/>
            </w:pPr>
            <w:r>
              <w:t>Once</w:t>
            </w:r>
          </w:p>
        </w:tc>
      </w:tr>
      <w:tr w:rsidRPr="00E82C11" w:rsidR="0034332A" w:rsidTr="0027766C" w14:paraId="7DB5D51E" w14:textId="77777777">
        <w:trPr>
          <w:trHeight w:val="188"/>
          <w:jc w:val="center"/>
        </w:trPr>
        <w:tc>
          <w:tcPr>
            <w:tcW w:w="3120" w:type="dxa"/>
            <w:vAlign w:val="center"/>
          </w:tcPr>
          <w:p w:rsidRPr="00E82C11" w:rsidR="0034332A" w:rsidP="00504F66" w:rsidRDefault="00E604CC" w14:paraId="197E22C4" w14:textId="77777777">
            <w:pPr>
              <w:pStyle w:val="Table"/>
            </w:pPr>
            <w:r>
              <w:t>Primacy agency</w:t>
            </w:r>
            <w:r w:rsidR="0034332A">
              <w:t xml:space="preserve"> modifies their data system while implementing the </w:t>
            </w:r>
            <w:r w:rsidR="00C018A3">
              <w:t>LCRR</w:t>
            </w:r>
          </w:p>
        </w:tc>
        <w:tc>
          <w:tcPr>
            <w:tcW w:w="3120" w:type="dxa"/>
            <w:vAlign w:val="center"/>
          </w:tcPr>
          <w:p w:rsidRPr="006076AB" w:rsidR="0034332A" w:rsidP="00504F66" w:rsidRDefault="0034332A" w14:paraId="17087945" w14:textId="77777777">
            <w:pPr>
              <w:pStyle w:val="Table"/>
              <w:jc w:val="center"/>
            </w:pPr>
            <w:r>
              <w:t>Implementation activity</w:t>
            </w:r>
          </w:p>
        </w:tc>
        <w:tc>
          <w:tcPr>
            <w:tcW w:w="3120" w:type="dxa"/>
            <w:vAlign w:val="center"/>
          </w:tcPr>
          <w:p w:rsidRPr="00E82C11" w:rsidR="0034332A" w:rsidP="00504F66" w:rsidRDefault="0034332A" w14:paraId="3B210B28" w14:textId="77777777">
            <w:pPr>
              <w:pStyle w:val="Table"/>
              <w:jc w:val="center"/>
            </w:pPr>
            <w:r>
              <w:t>Once</w:t>
            </w:r>
          </w:p>
        </w:tc>
      </w:tr>
      <w:tr w:rsidRPr="00E82C11" w:rsidR="0034332A" w:rsidTr="0027766C" w14:paraId="27F71F30" w14:textId="77777777">
        <w:trPr>
          <w:trHeight w:val="665"/>
          <w:jc w:val="center"/>
        </w:trPr>
        <w:tc>
          <w:tcPr>
            <w:tcW w:w="3120" w:type="dxa"/>
            <w:vAlign w:val="center"/>
          </w:tcPr>
          <w:p w:rsidRPr="00FB0654" w:rsidR="0034332A" w:rsidP="00B34301" w:rsidRDefault="00E604CC" w14:paraId="43BDED10" w14:textId="24137CFB">
            <w:pPr>
              <w:pStyle w:val="Table"/>
            </w:pPr>
            <w:r>
              <w:t>Primacy agency</w:t>
            </w:r>
            <w:r w:rsidR="0034332A">
              <w:t xml:space="preserve"> provides </w:t>
            </w:r>
            <w:r w:rsidR="00B34301">
              <w:t>internal</w:t>
            </w:r>
            <w:r w:rsidR="0034332A">
              <w:t xml:space="preserve"> staff with training and technical assistance during implementation of the </w:t>
            </w:r>
            <w:r w:rsidR="00C018A3">
              <w:t>LCRR</w:t>
            </w:r>
          </w:p>
        </w:tc>
        <w:tc>
          <w:tcPr>
            <w:tcW w:w="3120" w:type="dxa"/>
            <w:vAlign w:val="center"/>
          </w:tcPr>
          <w:p w:rsidR="0034332A" w:rsidP="00504F66" w:rsidRDefault="0034332A" w14:paraId="683C60BE" w14:textId="77777777">
            <w:pPr>
              <w:pStyle w:val="Table"/>
              <w:jc w:val="center"/>
            </w:pPr>
            <w:r>
              <w:t>Implementation activity</w:t>
            </w:r>
          </w:p>
        </w:tc>
        <w:tc>
          <w:tcPr>
            <w:tcW w:w="3120" w:type="dxa"/>
            <w:vAlign w:val="center"/>
          </w:tcPr>
          <w:p w:rsidRPr="00E82C11" w:rsidR="0034332A" w:rsidP="00504F66" w:rsidRDefault="0034332A" w14:paraId="6F58425F" w14:textId="77777777">
            <w:pPr>
              <w:pStyle w:val="Table"/>
              <w:jc w:val="center"/>
            </w:pPr>
            <w:r>
              <w:t>Once</w:t>
            </w:r>
          </w:p>
        </w:tc>
      </w:tr>
      <w:tr w:rsidRPr="00E82C11" w:rsidR="0034332A" w:rsidTr="0027766C" w14:paraId="748FC16F" w14:textId="77777777">
        <w:trPr>
          <w:trHeight w:val="179"/>
          <w:jc w:val="center"/>
        </w:trPr>
        <w:tc>
          <w:tcPr>
            <w:tcW w:w="3120" w:type="dxa"/>
            <w:vAlign w:val="center"/>
          </w:tcPr>
          <w:p w:rsidRPr="00FB0654" w:rsidR="0034332A" w:rsidP="00504F66" w:rsidRDefault="00E604CC" w14:paraId="4E7444D6" w14:textId="77777777">
            <w:pPr>
              <w:pStyle w:val="Table"/>
            </w:pPr>
            <w:r>
              <w:t>Primacy agency</w:t>
            </w:r>
            <w:r w:rsidR="0034332A">
              <w:t xml:space="preserve"> provides system staff with training for implementation of the </w:t>
            </w:r>
            <w:r w:rsidR="00C018A3">
              <w:t>LCRR</w:t>
            </w:r>
          </w:p>
        </w:tc>
        <w:tc>
          <w:tcPr>
            <w:tcW w:w="3120" w:type="dxa"/>
            <w:vAlign w:val="center"/>
          </w:tcPr>
          <w:p w:rsidR="0034332A" w:rsidP="00504F66" w:rsidRDefault="0034332A" w14:paraId="5D819BC2" w14:textId="77777777">
            <w:pPr>
              <w:pStyle w:val="Table"/>
              <w:jc w:val="center"/>
            </w:pPr>
            <w:r>
              <w:t>Implementation activity</w:t>
            </w:r>
          </w:p>
        </w:tc>
        <w:tc>
          <w:tcPr>
            <w:tcW w:w="3120" w:type="dxa"/>
            <w:vAlign w:val="center"/>
          </w:tcPr>
          <w:p w:rsidRPr="00E82C11" w:rsidR="0034332A" w:rsidP="00504F66" w:rsidRDefault="0034332A" w14:paraId="50414F65" w14:textId="77777777">
            <w:pPr>
              <w:pStyle w:val="Table"/>
              <w:jc w:val="center"/>
            </w:pPr>
            <w:r>
              <w:t>Once</w:t>
            </w:r>
          </w:p>
        </w:tc>
      </w:tr>
      <w:tr w:rsidRPr="00E82C11" w:rsidR="00EF1824" w:rsidTr="0027766C" w14:paraId="0FA5AB68" w14:textId="77777777">
        <w:trPr>
          <w:trHeight w:val="179"/>
          <w:jc w:val="center"/>
        </w:trPr>
        <w:tc>
          <w:tcPr>
            <w:tcW w:w="3120" w:type="dxa"/>
            <w:vAlign w:val="center"/>
          </w:tcPr>
          <w:p w:rsidR="00EF1824" w:rsidP="00EF1824" w:rsidRDefault="00EF1824" w14:paraId="1090C533" w14:textId="48FCA20F">
            <w:pPr>
              <w:pStyle w:val="Table"/>
            </w:pPr>
            <w:r>
              <w:t>Primacy agency</w:t>
            </w:r>
            <w:r w:rsidRPr="0063474A">
              <w:t xml:space="preserve"> </w:t>
            </w:r>
            <w:r>
              <w:t>assists systems with creation of LSL inventory and reviews submission of inventory</w:t>
            </w:r>
          </w:p>
        </w:tc>
        <w:tc>
          <w:tcPr>
            <w:tcW w:w="3120" w:type="dxa"/>
            <w:vAlign w:val="center"/>
          </w:tcPr>
          <w:p w:rsidR="00EF1824" w:rsidP="00EF1824" w:rsidRDefault="00EF1824" w14:paraId="1CE9DE37" w14:textId="3E2DD25B">
            <w:pPr>
              <w:pStyle w:val="Table"/>
              <w:jc w:val="center"/>
            </w:pPr>
            <w:r>
              <w:t>Lead Service Line Inventory</w:t>
            </w:r>
          </w:p>
        </w:tc>
        <w:tc>
          <w:tcPr>
            <w:tcW w:w="3120" w:type="dxa"/>
            <w:vAlign w:val="center"/>
          </w:tcPr>
          <w:p w:rsidR="00EF1824" w:rsidP="00EF1824" w:rsidRDefault="00EF1824" w14:paraId="52FEAFA8" w14:textId="7EEBB25D">
            <w:pPr>
              <w:pStyle w:val="Table"/>
              <w:jc w:val="center"/>
            </w:pPr>
            <w:r>
              <w:t>Once</w:t>
            </w:r>
          </w:p>
        </w:tc>
      </w:tr>
      <w:tr w:rsidRPr="00E82C11" w:rsidR="0027766C" w:rsidTr="0027766C" w14:paraId="2CB1CFD0" w14:textId="77777777">
        <w:trPr>
          <w:trHeight w:val="179"/>
          <w:jc w:val="center"/>
        </w:trPr>
        <w:tc>
          <w:tcPr>
            <w:tcW w:w="3120" w:type="dxa"/>
            <w:vAlign w:val="center"/>
          </w:tcPr>
          <w:p w:rsidR="0027766C" w:rsidP="0027766C" w:rsidRDefault="00E604CC" w14:paraId="49FCC72B" w14:textId="77777777">
            <w:pPr>
              <w:pStyle w:val="Table"/>
            </w:pPr>
            <w:r>
              <w:t>Primacy agency</w:t>
            </w:r>
            <w:r w:rsidRPr="0063474A" w:rsidR="0027766C">
              <w:t xml:space="preserve"> reviews demonstration of no lead service lines from systems</w:t>
            </w:r>
          </w:p>
        </w:tc>
        <w:tc>
          <w:tcPr>
            <w:tcW w:w="3120" w:type="dxa"/>
            <w:vAlign w:val="center"/>
          </w:tcPr>
          <w:p w:rsidR="0027766C" w:rsidP="0027766C" w:rsidRDefault="0027766C" w14:paraId="0171A29A" w14:textId="77777777">
            <w:pPr>
              <w:pStyle w:val="Table"/>
              <w:jc w:val="center"/>
            </w:pPr>
            <w:r>
              <w:t>Lead Service Line Inventory</w:t>
            </w:r>
          </w:p>
        </w:tc>
        <w:tc>
          <w:tcPr>
            <w:tcW w:w="3120" w:type="dxa"/>
            <w:vAlign w:val="center"/>
          </w:tcPr>
          <w:p w:rsidR="0027766C" w:rsidP="0027766C" w:rsidRDefault="0027766C" w14:paraId="7F77A996" w14:textId="77777777">
            <w:pPr>
              <w:pStyle w:val="Table"/>
              <w:jc w:val="center"/>
            </w:pPr>
            <w:r>
              <w:t>Once</w:t>
            </w:r>
          </w:p>
        </w:tc>
      </w:tr>
      <w:tr w:rsidRPr="00E82C11" w:rsidR="00AA47AC" w:rsidTr="0027766C" w14:paraId="2FCEC239" w14:textId="77777777">
        <w:trPr>
          <w:trHeight w:val="179"/>
          <w:jc w:val="center"/>
        </w:trPr>
        <w:tc>
          <w:tcPr>
            <w:tcW w:w="3120" w:type="dxa"/>
            <w:vAlign w:val="center"/>
          </w:tcPr>
          <w:p w:rsidRPr="0063474A" w:rsidR="00AA47AC" w:rsidP="002C2B30" w:rsidRDefault="00E604CC" w14:paraId="3C7E285E" w14:textId="77777777">
            <w:pPr>
              <w:pStyle w:val="Table"/>
            </w:pPr>
            <w:r>
              <w:t>Primacy agency</w:t>
            </w:r>
            <w:r w:rsidR="00AA47AC">
              <w:t xml:space="preserve"> reviews lead service replacement plan </w:t>
            </w:r>
          </w:p>
        </w:tc>
        <w:tc>
          <w:tcPr>
            <w:tcW w:w="3120" w:type="dxa"/>
            <w:vAlign w:val="center"/>
          </w:tcPr>
          <w:p w:rsidR="00AA47AC" w:rsidP="00AA47AC" w:rsidRDefault="00AA47AC" w14:paraId="4EDF74C4" w14:textId="77777777">
            <w:pPr>
              <w:pStyle w:val="Table"/>
              <w:jc w:val="center"/>
            </w:pPr>
            <w:r>
              <w:t>Lead Service Line Replacement</w:t>
            </w:r>
          </w:p>
        </w:tc>
        <w:tc>
          <w:tcPr>
            <w:tcW w:w="3120" w:type="dxa"/>
            <w:vAlign w:val="center"/>
          </w:tcPr>
          <w:p w:rsidR="00AA47AC" w:rsidP="00AA47AC" w:rsidRDefault="00AA47AC" w14:paraId="6D8F5C24" w14:textId="77777777">
            <w:pPr>
              <w:pStyle w:val="Table"/>
              <w:jc w:val="center"/>
            </w:pPr>
            <w:r>
              <w:t>Once</w:t>
            </w:r>
          </w:p>
        </w:tc>
      </w:tr>
    </w:tbl>
    <w:p w:rsidR="00AC7FF0" w:rsidP="00AC7FF0" w:rsidRDefault="00AC7FF0" w14:paraId="29FDC2F9" w14:textId="77777777">
      <w:pPr>
        <w:autoSpaceDE w:val="0"/>
        <w:autoSpaceDN w:val="0"/>
        <w:adjustRightInd w:val="0"/>
        <w:jc w:val="center"/>
        <w:rPr>
          <w:b/>
          <w:bCs/>
        </w:rPr>
      </w:pPr>
    </w:p>
    <w:p w:rsidRPr="00045AAA" w:rsidR="00AA1AF8" w:rsidP="000C0ED7" w:rsidRDefault="00045AAA" w14:paraId="072DA220" w14:textId="77777777">
      <w:pPr>
        <w:pStyle w:val="Heading3"/>
      </w:pPr>
      <w:r w:rsidRPr="00045AAA">
        <w:t>4(b)</w:t>
      </w:r>
      <w:r w:rsidRPr="00045AAA" w:rsidR="00A566CB">
        <w:t>(ii) Respondent Activities</w:t>
      </w:r>
    </w:p>
    <w:p w:rsidR="00D071C5" w:rsidP="00983901" w:rsidRDefault="00983901" w14:paraId="7CB16D07" w14:textId="77777777">
      <w:pPr>
        <w:pStyle w:val="Heading4"/>
      </w:pPr>
      <w:r>
        <w:t>Reading and U</w:t>
      </w:r>
      <w:r w:rsidR="00D071C5">
        <w:t xml:space="preserve">nderstanding the </w:t>
      </w:r>
      <w:r w:rsidR="00C018A3">
        <w:t>LCRR</w:t>
      </w:r>
    </w:p>
    <w:p w:rsidR="00BD0EC9" w:rsidP="00983901" w:rsidRDefault="00BD0EC9" w14:paraId="3DB0A9B8" w14:textId="77777777">
      <w:pPr>
        <w:pStyle w:val="Heading5"/>
      </w:pPr>
      <w:r w:rsidRPr="00423550">
        <w:t xml:space="preserve">Activities for </w:t>
      </w:r>
      <w:r w:rsidR="00D071C5">
        <w:t>Systems</w:t>
      </w:r>
    </w:p>
    <w:p w:rsidRPr="000C0ED7" w:rsidR="00D071C5" w:rsidP="00983901" w:rsidRDefault="00D071C5" w14:paraId="3D6BBB34" w14:textId="77777777">
      <w:pPr>
        <w:pStyle w:val="NormalIndent"/>
      </w:pPr>
      <w:r>
        <w:t xml:space="preserve">Systems are required to read and understand the rule as part of the implementation of the </w:t>
      </w:r>
      <w:r w:rsidR="00C018A3">
        <w:t>LCRR</w:t>
      </w:r>
      <w:r>
        <w:t>.</w:t>
      </w:r>
    </w:p>
    <w:p w:rsidRPr="000C0ED7" w:rsidR="00D071C5" w:rsidP="00983901" w:rsidRDefault="00983901" w14:paraId="6EE80F30" w14:textId="77777777">
      <w:pPr>
        <w:pStyle w:val="Heading4"/>
      </w:pPr>
      <w:r>
        <w:t>Adopting and I</w:t>
      </w:r>
      <w:r w:rsidR="00D071C5">
        <w:t xml:space="preserve">mplementing the </w:t>
      </w:r>
      <w:r w:rsidR="00C018A3">
        <w:t>LCRR</w:t>
      </w:r>
    </w:p>
    <w:p w:rsidR="00D071C5" w:rsidP="00983901" w:rsidRDefault="00D071C5" w14:paraId="579B84DE" w14:textId="77777777">
      <w:pPr>
        <w:pStyle w:val="Heading5"/>
      </w:pPr>
      <w:r w:rsidRPr="00423550">
        <w:t xml:space="preserve">Activities for </w:t>
      </w:r>
      <w:r>
        <w:t>Systems</w:t>
      </w:r>
    </w:p>
    <w:p w:rsidR="00D071C5" w:rsidP="00983901" w:rsidRDefault="00D071C5" w14:paraId="0445302A" w14:textId="77777777">
      <w:pPr>
        <w:pStyle w:val="NormalIndent"/>
      </w:pPr>
      <w:r>
        <w:t xml:space="preserve">Systems must conduct planning and mobilization for the implementation of the </w:t>
      </w:r>
      <w:r w:rsidR="00C018A3">
        <w:t>LCRR</w:t>
      </w:r>
      <w:r>
        <w:t>, including 1) assigning personnel and resources, and 2) dedicating staff to attend training and receive technical assistance from the primacy agency.</w:t>
      </w:r>
    </w:p>
    <w:p w:rsidR="00D071C5" w:rsidP="00983901" w:rsidRDefault="00D071C5" w14:paraId="6D5563DE" w14:textId="77777777">
      <w:pPr>
        <w:pStyle w:val="Heading5"/>
      </w:pPr>
      <w:r w:rsidRPr="00423550">
        <w:t xml:space="preserve">Activities for </w:t>
      </w:r>
      <w:r>
        <w:t>Primacy Agencies</w:t>
      </w:r>
    </w:p>
    <w:p w:rsidR="0034332A" w:rsidP="00983901" w:rsidRDefault="00E604CC" w14:paraId="7FE526B8" w14:textId="77777777">
      <w:pPr>
        <w:pStyle w:val="NormalIndent"/>
      </w:pPr>
      <w:r>
        <w:t>Primacy agencies</w:t>
      </w:r>
      <w:r w:rsidRPr="000C0ED7" w:rsidR="0034332A">
        <w:t xml:space="preserve"> </w:t>
      </w:r>
      <w:r w:rsidR="0034332A">
        <w:t xml:space="preserve">must 1) adopt the rule and develop an implementation program, 2) develop primacy agency programs to support implementation, train staff, and provide technical assistance, and 3) modify data management systems. </w:t>
      </w:r>
    </w:p>
    <w:p w:rsidR="0027766C" w:rsidP="0027766C" w:rsidRDefault="0027766C" w14:paraId="150B506A" w14:textId="77777777">
      <w:pPr>
        <w:pStyle w:val="Heading4"/>
      </w:pPr>
      <w:r>
        <w:t>Developing and reporting the lead service line inventory</w:t>
      </w:r>
    </w:p>
    <w:p w:rsidR="0027766C" w:rsidP="0027766C" w:rsidRDefault="0027766C" w14:paraId="6E18B7D0" w14:textId="77777777">
      <w:pPr>
        <w:pStyle w:val="Heading5"/>
      </w:pPr>
      <w:r w:rsidRPr="00423550">
        <w:t xml:space="preserve">Activities for </w:t>
      </w:r>
      <w:r>
        <w:t>Systems</w:t>
      </w:r>
    </w:p>
    <w:p w:rsidRPr="0027766C" w:rsidR="0027766C" w:rsidP="0027766C" w:rsidRDefault="0027766C" w14:paraId="4550A770" w14:textId="77777777">
      <w:r>
        <w:tab/>
        <w:t xml:space="preserve">Systems with </w:t>
      </w:r>
      <w:r w:rsidR="005E5A5E">
        <w:t>LSLs</w:t>
      </w:r>
      <w:r>
        <w:t xml:space="preserve"> must prepare a comprehensive service line material inventory that identifies </w:t>
      </w:r>
      <w:r w:rsidR="005E5A5E">
        <w:t xml:space="preserve">LSLs </w:t>
      </w:r>
      <w:r>
        <w:t xml:space="preserve">within the first three years. The inventory does not need to be developed if the </w:t>
      </w:r>
      <w:r>
        <w:lastRenderedPageBreak/>
        <w:t xml:space="preserve">system has an existing inventory that meets the standards of the </w:t>
      </w:r>
      <w:r w:rsidR="00C018A3">
        <w:t>LCRR</w:t>
      </w:r>
      <w:r>
        <w:t xml:space="preserve"> or if the system does not have lead service lines and can demonstrate that to the primacy agency.</w:t>
      </w:r>
      <w:r w:rsidR="001F2124">
        <w:t xml:space="preserve"> </w:t>
      </w:r>
    </w:p>
    <w:p w:rsidRPr="0027766C" w:rsidR="0027766C" w:rsidP="0027766C" w:rsidRDefault="0027766C" w14:paraId="42345DB6" w14:textId="77777777"/>
    <w:p w:rsidR="0027766C" w:rsidP="0027766C" w:rsidRDefault="0027766C" w14:paraId="6DFBE9C7" w14:textId="77777777">
      <w:pPr>
        <w:pStyle w:val="Heading5"/>
      </w:pPr>
      <w:r w:rsidRPr="00423550">
        <w:t xml:space="preserve">Activities for </w:t>
      </w:r>
      <w:r>
        <w:t>Primacy Agencies</w:t>
      </w:r>
    </w:p>
    <w:p w:rsidR="0027766C" w:rsidP="0027766C" w:rsidRDefault="0027766C" w14:paraId="74446F40" w14:textId="5B7561B7">
      <w:r>
        <w:tab/>
      </w:r>
      <w:r w:rsidR="00E604CC">
        <w:t>Primacy agencies</w:t>
      </w:r>
      <w:r>
        <w:t xml:space="preserve"> must </w:t>
      </w:r>
      <w:proofErr w:type="gramStart"/>
      <w:r w:rsidR="00547019">
        <w:t>provide assistance to</w:t>
      </w:r>
      <w:proofErr w:type="gramEnd"/>
      <w:r w:rsidR="00547019">
        <w:t xml:space="preserve"> systems with the creation of LSL inventor</w:t>
      </w:r>
      <w:r w:rsidR="00AE14EF">
        <w:t>ies</w:t>
      </w:r>
      <w:r w:rsidR="00547019">
        <w:t xml:space="preserve">. Primacy agencies must also </w:t>
      </w:r>
      <w:r>
        <w:t xml:space="preserve">review the submissions from systems </w:t>
      </w:r>
      <w:r w:rsidR="00A278E1">
        <w:t>for completeness of LSL inventory and submissions</w:t>
      </w:r>
      <w:r>
        <w:t xml:space="preserve"> that demonstrate the system does not have any within the first three years. </w:t>
      </w:r>
    </w:p>
    <w:p w:rsidR="00AA47AC" w:rsidP="0027766C" w:rsidRDefault="00AA47AC" w14:paraId="006CE31D" w14:textId="77777777"/>
    <w:p w:rsidR="00AA47AC" w:rsidP="00AA47AC" w:rsidRDefault="00AA47AC" w14:paraId="6C51828F" w14:textId="77777777">
      <w:pPr>
        <w:pStyle w:val="Heading4"/>
      </w:pPr>
      <w:r>
        <w:t>Developing and reporting the lead service line replacement plan</w:t>
      </w:r>
    </w:p>
    <w:p w:rsidR="00AA47AC" w:rsidP="00AA47AC" w:rsidRDefault="00AA47AC" w14:paraId="0E0A9C8B" w14:textId="77777777">
      <w:pPr>
        <w:pStyle w:val="Heading5"/>
      </w:pPr>
      <w:r w:rsidRPr="00423550">
        <w:t xml:space="preserve">Activities for </w:t>
      </w:r>
      <w:r>
        <w:t>Systems</w:t>
      </w:r>
    </w:p>
    <w:p w:rsidR="00AA47AC" w:rsidP="00AA47AC" w:rsidRDefault="00AA47AC" w14:paraId="4824316D" w14:textId="77777777">
      <w:r>
        <w:tab/>
        <w:t xml:space="preserve">Systems with LSLs must create a lead service line replacement plan. The plan would include: </w:t>
      </w:r>
    </w:p>
    <w:p w:rsidRPr="00AA47AC" w:rsidR="00AA47AC" w:rsidP="00AA47AC" w:rsidRDefault="00AA47AC" w14:paraId="2F88ED87" w14:textId="77777777"/>
    <w:p w:rsidRPr="00AA47AC" w:rsidR="00AA47AC" w:rsidP="00AA47AC" w:rsidRDefault="00AA47AC" w14:paraId="330D2019" w14:textId="77777777">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communication plan to alert consumers before LSLR. The plan must include customer notification within 24 hours of emergency repairs and within 45 days o</w:t>
      </w:r>
      <w:r w:rsidR="00986121">
        <w:rPr>
          <w:rFonts w:ascii="Times New Roman" w:hAnsi="Times New Roman" w:cs="Times New Roman"/>
          <w:sz w:val="24"/>
          <w:szCs w:val="24"/>
        </w:rPr>
        <w:t>f planned full or partial LSLR</w:t>
      </w:r>
    </w:p>
    <w:p w:rsidRPr="00AA47AC" w:rsidR="00AA47AC" w:rsidP="00AA47AC" w:rsidRDefault="00AA47AC" w14:paraId="19952092" w14:textId="77777777">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Procedures for coordinating the full LSLR where the ownership is shared betwe</w:t>
      </w:r>
      <w:r w:rsidR="00986121">
        <w:rPr>
          <w:rFonts w:ascii="Times New Roman" w:hAnsi="Times New Roman" w:cs="Times New Roman"/>
          <w:sz w:val="24"/>
          <w:szCs w:val="24"/>
        </w:rPr>
        <w:t>en the system and the homeowner</w:t>
      </w:r>
    </w:p>
    <w:p w:rsidRPr="00AA47AC" w:rsidR="00AA47AC" w:rsidP="00AA47AC" w:rsidRDefault="00AA47AC" w14:paraId="090F5171" w14:textId="77777777">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fundi</w:t>
      </w:r>
      <w:r w:rsidR="00986121">
        <w:rPr>
          <w:rFonts w:ascii="Times New Roman" w:hAnsi="Times New Roman" w:cs="Times New Roman"/>
          <w:sz w:val="24"/>
          <w:szCs w:val="24"/>
        </w:rPr>
        <w:t>ng strategy for conducting LSLR</w:t>
      </w:r>
      <w:r w:rsidRPr="00AA47AC">
        <w:rPr>
          <w:rFonts w:ascii="Times New Roman" w:hAnsi="Times New Roman" w:cs="Times New Roman"/>
          <w:sz w:val="24"/>
          <w:szCs w:val="24"/>
        </w:rPr>
        <w:t xml:space="preserve"> </w:t>
      </w:r>
    </w:p>
    <w:p w:rsidRPr="00AA47AC" w:rsidR="00AA47AC" w:rsidP="00AA47AC" w:rsidRDefault="00AA47AC" w14:paraId="2BB40BB5" w14:textId="77777777">
      <w:pPr>
        <w:pStyle w:val="ListParagraph"/>
        <w:numPr>
          <w:ilvl w:val="0"/>
          <w:numId w:val="40"/>
        </w:numPr>
        <w:spacing w:after="0"/>
        <w:rPr>
          <w:rFonts w:ascii="Times New Roman" w:hAnsi="Times New Roman" w:cs="Times New Roman"/>
          <w:sz w:val="24"/>
          <w:szCs w:val="24"/>
        </w:rPr>
      </w:pPr>
      <w:r w:rsidRPr="00AA47AC">
        <w:rPr>
          <w:rFonts w:ascii="Times New Roman" w:hAnsi="Times New Roman" w:cs="Times New Roman"/>
          <w:sz w:val="24"/>
          <w:szCs w:val="24"/>
        </w:rPr>
        <w:t>A pitcher filte</w:t>
      </w:r>
      <w:r w:rsidR="00986121">
        <w:rPr>
          <w:rFonts w:ascii="Times New Roman" w:hAnsi="Times New Roman" w:cs="Times New Roman"/>
          <w:sz w:val="24"/>
          <w:szCs w:val="24"/>
        </w:rPr>
        <w:t>r tracking and maintenance plan.</w:t>
      </w:r>
      <w:r w:rsidRPr="00AA47AC">
        <w:rPr>
          <w:rFonts w:ascii="Times New Roman" w:hAnsi="Times New Roman" w:cs="Times New Roman"/>
          <w:sz w:val="24"/>
          <w:szCs w:val="24"/>
        </w:rPr>
        <w:t xml:space="preserve"> </w:t>
      </w:r>
    </w:p>
    <w:p w:rsidRPr="0027766C" w:rsidR="00AA47AC" w:rsidP="00AA47AC" w:rsidRDefault="00AA47AC" w14:paraId="3531E650" w14:textId="77777777"/>
    <w:p w:rsidR="00AA47AC" w:rsidP="00AA47AC" w:rsidRDefault="00AA47AC" w14:paraId="565D5072" w14:textId="77777777">
      <w:pPr>
        <w:pStyle w:val="Heading5"/>
      </w:pPr>
      <w:r w:rsidRPr="00423550">
        <w:t xml:space="preserve">Activities for </w:t>
      </w:r>
      <w:r>
        <w:t>Primacy Agencies</w:t>
      </w:r>
    </w:p>
    <w:p w:rsidR="00AA47AC" w:rsidP="00AA47AC" w:rsidRDefault="00AA47AC" w14:paraId="54E406E5" w14:textId="5456996C">
      <w:r>
        <w:tab/>
      </w:r>
      <w:r w:rsidR="00E604CC">
        <w:t>Primacy agencies</w:t>
      </w:r>
      <w:r>
        <w:t xml:space="preserve"> must</w:t>
      </w:r>
      <w:r w:rsidR="00415776">
        <w:t xml:space="preserve"> confer with systems and</w:t>
      </w:r>
      <w:r>
        <w:t xml:space="preserve"> review the lead service line replacement plans </w:t>
      </w:r>
      <w:r w:rsidR="002C2B30">
        <w:t>submitted by systems</w:t>
      </w:r>
      <w:r>
        <w:t xml:space="preserve">. </w:t>
      </w:r>
    </w:p>
    <w:p w:rsidR="00AA47AC" w:rsidP="0027766C" w:rsidRDefault="00AA47AC" w14:paraId="4AE96518" w14:textId="77777777"/>
    <w:p w:rsidRPr="00A46240" w:rsidR="00FD2D01" w:rsidP="00983901" w:rsidRDefault="00FD2D01" w14:paraId="76D824C1" w14:textId="77777777">
      <w:pPr>
        <w:pStyle w:val="Heading4"/>
      </w:pPr>
      <w:r>
        <w:t xml:space="preserve">Additional Activities Required by </w:t>
      </w:r>
      <w:r w:rsidR="00C018A3">
        <w:t>LCRR</w:t>
      </w:r>
    </w:p>
    <w:p w:rsidR="0034332A" w:rsidP="00983901" w:rsidRDefault="00792F80" w14:paraId="5D06F48D" w14:textId="77777777">
      <w:pPr>
        <w:pStyle w:val="NormalIndent"/>
      </w:pPr>
      <w:r>
        <w:fldChar w:fldCharType="begin"/>
      </w:r>
      <w:r>
        <w:instrText xml:space="preserve"> REF _Ref4507333 \h </w:instrText>
      </w:r>
      <w:r>
        <w:fldChar w:fldCharType="separate"/>
      </w:r>
      <w:r w:rsidR="00106B5A">
        <w:t xml:space="preserve">Exhibit </w:t>
      </w:r>
      <w:r w:rsidR="00106B5A">
        <w:rPr>
          <w:noProof/>
        </w:rPr>
        <w:t>1</w:t>
      </w:r>
      <w:r>
        <w:fldChar w:fldCharType="end"/>
      </w:r>
      <w:r>
        <w:t xml:space="preserve"> </w:t>
      </w:r>
      <w:r w:rsidR="0034332A">
        <w:t xml:space="preserve">in </w:t>
      </w:r>
      <w:r>
        <w:t>Section 1</w:t>
      </w:r>
      <w:r w:rsidR="0034332A">
        <w:t xml:space="preserve"> summarizes additional activities required by the </w:t>
      </w:r>
      <w:r w:rsidR="00C018A3">
        <w:t>LCRR</w:t>
      </w:r>
      <w:r w:rsidR="0034332A">
        <w:t xml:space="preserve"> that will take place after the initial three years.</w:t>
      </w:r>
      <w:r w:rsidRPr="00423550" w:rsidR="0034332A">
        <w:t xml:space="preserve"> </w:t>
      </w:r>
    </w:p>
    <w:p w:rsidRPr="00423550" w:rsidR="00CF00D6" w:rsidP="00CF00D6" w:rsidRDefault="00CF00D6" w14:paraId="6EE0A98D" w14:textId="77777777">
      <w:pPr>
        <w:pStyle w:val="Heading1"/>
      </w:pPr>
      <w:r>
        <w:t>5</w:t>
      </w:r>
      <w:r>
        <w:tab/>
      </w:r>
      <w:r w:rsidRPr="00CF00D6">
        <w:t>THE INFORMATION COLLECTED—AGENCY ACTIVITIES, COLLECTION METHODOLOGY, AND INFORMATION MANAGEMENT</w:t>
      </w:r>
    </w:p>
    <w:p w:rsidRPr="00423550" w:rsidR="00484C51" w:rsidP="0038118E" w:rsidRDefault="00484C51" w14:paraId="3BD56861" w14:textId="77777777">
      <w:pPr>
        <w:pStyle w:val="Heading2"/>
      </w:pPr>
      <w:bookmarkStart w:name="_Toc160872066" w:id="27"/>
      <w:r w:rsidRPr="00423550">
        <w:t xml:space="preserve">5(a) </w:t>
      </w:r>
      <w:r w:rsidRPr="00423550" w:rsidR="00883D78">
        <w:tab/>
      </w:r>
      <w:r w:rsidRPr="00423550">
        <w:t>Agency Activities</w:t>
      </w:r>
      <w:bookmarkEnd w:id="27"/>
    </w:p>
    <w:p w:rsidRPr="00423550" w:rsidR="00484C51" w:rsidP="00021325" w:rsidRDefault="00484C51" w14:paraId="05122948" w14:textId="77777777">
      <w:pPr>
        <w:pStyle w:val="NormalIndent"/>
      </w:pPr>
      <w:r w:rsidRPr="00423550">
        <w:t xml:space="preserve">The Agency is responsible for promulgating and overseeing the implementation of the </w:t>
      </w:r>
      <w:r w:rsidR="005173B4">
        <w:t>revision</w:t>
      </w:r>
      <w:r w:rsidR="00266F7C">
        <w:t>s</w:t>
      </w:r>
      <w:r w:rsidRPr="00423550">
        <w:t xml:space="preserve"> to the LCR. The Agency is involved in the following activities that assist </w:t>
      </w:r>
      <w:r w:rsidR="007606BB">
        <w:t>primacy agencies</w:t>
      </w:r>
      <w:r w:rsidRPr="00423550">
        <w:t xml:space="preserve"> in implementing the modifications:</w:t>
      </w:r>
    </w:p>
    <w:p w:rsidRPr="00423550" w:rsidR="00484C51" w:rsidP="00983901" w:rsidRDefault="00484C51" w14:paraId="24C6730B" w14:textId="77777777">
      <w:pPr>
        <w:pStyle w:val="Bullets"/>
      </w:pPr>
      <w:r w:rsidRPr="00423550">
        <w:t xml:space="preserve">Develop the </w:t>
      </w:r>
      <w:r w:rsidR="00266F7C">
        <w:t>revised</w:t>
      </w:r>
      <w:r w:rsidRPr="00423550" w:rsidR="00883D78">
        <w:t xml:space="preserve"> </w:t>
      </w:r>
      <w:r w:rsidRPr="00423550">
        <w:t>regulations</w:t>
      </w:r>
    </w:p>
    <w:p w:rsidR="00127423" w:rsidP="00983901" w:rsidRDefault="00484C51" w14:paraId="6C383633" w14:textId="77777777">
      <w:pPr>
        <w:pStyle w:val="Bullets"/>
      </w:pPr>
      <w:r w:rsidRPr="00423550">
        <w:t xml:space="preserve">Respond to questions on the </w:t>
      </w:r>
      <w:r w:rsidR="00266F7C">
        <w:t>revised</w:t>
      </w:r>
      <w:r w:rsidRPr="00423550" w:rsidR="00883D78">
        <w:t xml:space="preserve"> </w:t>
      </w:r>
      <w:r w:rsidR="005173B4">
        <w:t>regulations</w:t>
      </w:r>
      <w:r w:rsidR="00381F71">
        <w:t>.</w:t>
      </w:r>
    </w:p>
    <w:p w:rsidR="00127423" w:rsidP="003A725C" w:rsidRDefault="003A725C" w14:paraId="43842E20" w14:textId="77777777">
      <w:pPr>
        <w:pStyle w:val="NormalIndent"/>
      </w:pPr>
      <w:r>
        <w:t>The Agency will also conduct primacy activities in states, tribes, and territories that do not have primacy. Specifically, EPA Regions will be involved in the following activities:</w:t>
      </w:r>
    </w:p>
    <w:p w:rsidR="003A725C" w:rsidP="003A725C" w:rsidRDefault="00D23847" w14:paraId="40EA552C" w14:textId="77777777">
      <w:pPr>
        <w:pStyle w:val="Bullets"/>
      </w:pPr>
      <w:r>
        <w:lastRenderedPageBreak/>
        <w:t>Reviewing demonstrations of no lead service lines from systems</w:t>
      </w:r>
    </w:p>
    <w:p w:rsidR="00D23847" w:rsidP="003A725C" w:rsidRDefault="00D23847" w14:paraId="78D240C3" w14:textId="77777777">
      <w:pPr>
        <w:pStyle w:val="Bullets"/>
      </w:pPr>
      <w:r>
        <w:t>Reviewing lead service line replacement plans.</w:t>
      </w:r>
    </w:p>
    <w:p w:rsidRPr="00D23847" w:rsidR="00D23847" w:rsidP="00D23847" w:rsidRDefault="00D23847" w14:paraId="350B797E" w14:textId="77777777">
      <w:pPr>
        <w:pStyle w:val="NormalIndent"/>
      </w:pPr>
      <w:r w:rsidRPr="00D23847">
        <w:t xml:space="preserve">However, burden and costs for these activities are accounted for under the primacy agency burden (see section 6). </w:t>
      </w:r>
    </w:p>
    <w:p w:rsidRPr="00423550" w:rsidR="00883D78" w:rsidP="0038118E" w:rsidRDefault="00883D78" w14:paraId="1440ABF8" w14:textId="77777777">
      <w:pPr>
        <w:pStyle w:val="Heading2"/>
      </w:pPr>
      <w:bookmarkStart w:name="_Toc160872067" w:id="28"/>
      <w:r w:rsidRPr="00423550">
        <w:t xml:space="preserve">5(b) </w:t>
      </w:r>
      <w:r w:rsidRPr="00423550">
        <w:tab/>
        <w:t>Col</w:t>
      </w:r>
      <w:r w:rsidR="003D2CC4">
        <w:t>lection Methodology a</w:t>
      </w:r>
      <w:r w:rsidRPr="00423550">
        <w:t>nd Management</w:t>
      </w:r>
      <w:bookmarkEnd w:id="28"/>
    </w:p>
    <w:p w:rsidRPr="00423550" w:rsidR="00883D78" w:rsidP="00021325" w:rsidRDefault="00883D78" w14:paraId="101210BA" w14:textId="77777777">
      <w:pPr>
        <w:pStyle w:val="NormalIndent"/>
      </w:pPr>
      <w:r w:rsidRPr="0079196D">
        <w:t xml:space="preserve">The data generated as a result of the </w:t>
      </w:r>
      <w:r w:rsidRPr="0079196D" w:rsidR="00DC717E">
        <w:t xml:space="preserve">regulatory changes </w:t>
      </w:r>
      <w:r w:rsidRPr="0079196D">
        <w:t>will be integrated in the existing quarterly SDWIS repo</w:t>
      </w:r>
      <w:r w:rsidRPr="0079196D" w:rsidR="00DC717E">
        <w:t>rting process</w:t>
      </w:r>
      <w:r w:rsidRPr="0079196D" w:rsidR="007624F1">
        <w:t xml:space="preserve">. </w:t>
      </w:r>
      <w:r w:rsidRPr="0079196D" w:rsidR="00DC717E">
        <w:t>The</w:t>
      </w:r>
      <w:r w:rsidR="00DC717E">
        <w:t xml:space="preserve"> collection methodology and management of SDWIS is described in the </w:t>
      </w:r>
      <w:r w:rsidR="00624775">
        <w:t xml:space="preserve">2015 </w:t>
      </w:r>
      <w:r w:rsidR="00DC717E">
        <w:t>ICR.</w:t>
      </w:r>
    </w:p>
    <w:p w:rsidRPr="00423550" w:rsidR="00883D78" w:rsidP="0038118E" w:rsidRDefault="00883D78" w14:paraId="20187BED" w14:textId="77777777">
      <w:pPr>
        <w:pStyle w:val="Heading2"/>
      </w:pPr>
      <w:bookmarkStart w:name="_Toc160872068" w:id="29"/>
      <w:r w:rsidRPr="0079196D">
        <w:t xml:space="preserve">5(c) </w:t>
      </w:r>
      <w:r w:rsidRPr="0079196D">
        <w:tab/>
        <w:t>Small Entity Flexibility</w:t>
      </w:r>
      <w:bookmarkEnd w:id="29"/>
    </w:p>
    <w:p w:rsidR="00266F7C" w:rsidP="00021325" w:rsidRDefault="00266F7C" w14:paraId="6656EA18" w14:textId="77777777">
      <w:pPr>
        <w:pStyle w:val="NormalIndent"/>
      </w:pPr>
      <w:r>
        <w:t xml:space="preserve">In developing the revisions to the LCR ICR, </w:t>
      </w:r>
      <w:r w:rsidR="00E62E42">
        <w:t>the</w:t>
      </w:r>
      <w:r>
        <w:t xml:space="preserve"> EPA considered the requirement of the Small Business Regulatory Enforcement Fairness Act (SBREFA) to minimize the burden of information collections on small entities. Small entities include “small businesses,” “small organizations” and </w:t>
      </w:r>
      <w:r w:rsidR="00B276C0">
        <w:t>“small government jurisdictions,</w:t>
      </w:r>
      <w:r>
        <w:t xml:space="preserve">” </w:t>
      </w:r>
      <w:r w:rsidR="00B276C0">
        <w:t>and are</w:t>
      </w:r>
      <w:r>
        <w:t xml:space="preserve"> defined </w:t>
      </w:r>
      <w:r w:rsidR="00B276C0">
        <w:t>as follows:</w:t>
      </w:r>
    </w:p>
    <w:p w:rsidR="00B276C0" w:rsidP="00983901" w:rsidRDefault="00266F7C" w14:paraId="2F5F80FF" w14:textId="77777777">
      <w:pPr>
        <w:pStyle w:val="Bullets"/>
      </w:pPr>
      <w:r>
        <w:t>A small business is any business that is independently owned and operated and not dominant in its field, as defined by the Small Business Administration regulations under section 3 of the Small Business Act.</w:t>
      </w:r>
    </w:p>
    <w:p w:rsidR="00B276C0" w:rsidP="00983901" w:rsidRDefault="00266F7C" w14:paraId="7DE48E26" w14:textId="77777777">
      <w:pPr>
        <w:pStyle w:val="Bullets"/>
      </w:pPr>
      <w:r>
        <w:t>A small organization is any non-profit enterprise that is independently owned and operated and not dominant in its field.</w:t>
      </w:r>
    </w:p>
    <w:p w:rsidR="00266F7C" w:rsidP="00983901" w:rsidRDefault="00266F7C" w14:paraId="442E4E00" w14:textId="77777777">
      <w:pPr>
        <w:pStyle w:val="Bullets"/>
      </w:pPr>
      <w:r>
        <w:t xml:space="preserve">A small governmental jurisdiction is the government of a city, county, town, township, village, school district, or special district that has a population of fewer than 50,000. This definition may also include </w:t>
      </w:r>
      <w:r w:rsidR="00B276C0">
        <w:t>tribal governments</w:t>
      </w:r>
      <w:r>
        <w:t>.</w:t>
      </w:r>
    </w:p>
    <w:p w:rsidRPr="00423550" w:rsidR="00883D78" w:rsidP="00021325" w:rsidRDefault="00266F7C" w14:paraId="3F733C21" w14:textId="77777777">
      <w:pPr>
        <w:pStyle w:val="NormalIndent"/>
      </w:pPr>
      <w:r>
        <w:t>The major requirement under SBREFA is a regulatory flexibility analysis of all rules that have a “significant economic impact on a substantial number of small entities.”</w:t>
      </w:r>
      <w:r w:rsidRPr="00423550" w:rsidR="00883D78">
        <w:t xml:space="preserve"> </w:t>
      </w:r>
    </w:p>
    <w:p w:rsidR="0048008A" w:rsidP="00021325" w:rsidRDefault="00E62E42" w14:paraId="42D68791" w14:textId="64391419">
      <w:pPr>
        <w:pStyle w:val="NormalIndent"/>
      </w:pPr>
      <w:r>
        <w:t xml:space="preserve">The </w:t>
      </w:r>
      <w:r w:rsidRPr="009820CB" w:rsidR="00FB7532">
        <w:t xml:space="preserve">EPA considered the </w:t>
      </w:r>
      <w:proofErr w:type="gramStart"/>
      <w:r w:rsidRPr="009820CB" w:rsidR="00FB7532">
        <w:t>particular needs</w:t>
      </w:r>
      <w:proofErr w:type="gramEnd"/>
      <w:r w:rsidRPr="009820CB" w:rsidR="00FB7532">
        <w:t xml:space="preserve"> of small </w:t>
      </w:r>
      <w:r w:rsidR="00A85FD9">
        <w:t>businesses, small governments, and small organizations</w:t>
      </w:r>
      <w:r w:rsidRPr="009820CB" w:rsidR="00FB7532">
        <w:t xml:space="preserve"> in the </w:t>
      </w:r>
      <w:r w:rsidR="00C018A3">
        <w:t>LCRR</w:t>
      </w:r>
      <w:r w:rsidRPr="009820CB" w:rsidR="00FB7532">
        <w:t xml:space="preserve">. For example, </w:t>
      </w:r>
      <w:r>
        <w:t>the</w:t>
      </w:r>
      <w:r w:rsidRPr="009820CB" w:rsidR="00FB7532">
        <w:t xml:space="preserve"> </w:t>
      </w:r>
      <w:r w:rsidR="0048008A">
        <w:t xml:space="preserve">EPA has prepared a Regulatory Flexibility Act analysis for the </w:t>
      </w:r>
      <w:r w:rsidR="00EC28F6">
        <w:t>rule</w:t>
      </w:r>
      <w:r w:rsidR="0048008A">
        <w:t>, which can be found in the Economic Analysis</w:t>
      </w:r>
      <w:r w:rsidR="007624F1">
        <w:t>.</w:t>
      </w:r>
      <w:r w:rsidR="00A85FD9">
        <w:t xml:space="preserve"> </w:t>
      </w:r>
      <w:r>
        <w:t>The</w:t>
      </w:r>
      <w:r w:rsidR="00A85FD9">
        <w:t xml:space="preserve"> </w:t>
      </w:r>
      <w:r w:rsidR="0048008A">
        <w:t xml:space="preserve">EPA recognizes that </w:t>
      </w:r>
      <w:r w:rsidR="009F5BB6">
        <w:t>many</w:t>
      </w:r>
      <w:r w:rsidR="0048008A">
        <w:t xml:space="preserve"> water systems are sm</w:t>
      </w:r>
      <w:r w:rsidR="00DE306D">
        <w:t xml:space="preserve">all entities; therefore, the </w:t>
      </w:r>
      <w:r w:rsidR="00C018A3">
        <w:t>LCRR</w:t>
      </w:r>
      <w:r w:rsidR="0048008A">
        <w:t xml:space="preserve"> reduces to the extent practicable and appropriate the burden on PWSs, especially smaller systems. The regulations include the following examples of reduced burden for small systems:</w:t>
      </w:r>
    </w:p>
    <w:p w:rsidR="0048008A" w:rsidP="002034F3" w:rsidRDefault="0048008A" w14:paraId="3B1BADC0" w14:textId="77777777">
      <w:pPr>
        <w:pStyle w:val="Bullets"/>
      </w:pPr>
      <w:r>
        <w:t xml:space="preserve">Different </w:t>
      </w:r>
      <w:r w:rsidR="009F5BB6">
        <w:t xml:space="preserve">monitoring, </w:t>
      </w:r>
      <w:r>
        <w:t>compliance</w:t>
      </w:r>
      <w:r w:rsidR="009F5BB6">
        <w:t>,</w:t>
      </w:r>
      <w:r>
        <w:t xml:space="preserve"> or reporting requirements or schedules that </w:t>
      </w:r>
      <w:proofErr w:type="gramStart"/>
      <w:r>
        <w:t>take into account</w:t>
      </w:r>
      <w:proofErr w:type="gramEnd"/>
      <w:r>
        <w:t xml:space="preserve"> the resources available to smaller water systems. </w:t>
      </w:r>
    </w:p>
    <w:p w:rsidR="0048008A" w:rsidP="002034F3" w:rsidRDefault="0048008A" w14:paraId="2FE5840E" w14:textId="77777777">
      <w:pPr>
        <w:pStyle w:val="Bullets"/>
      </w:pPr>
      <w:r>
        <w:t>Consolidated or simplified compliance and reporting requirements.</w:t>
      </w:r>
    </w:p>
    <w:p w:rsidR="00B037A1" w:rsidP="002034F3" w:rsidRDefault="0048008A" w14:paraId="1307D6BE" w14:textId="77777777">
      <w:pPr>
        <w:pStyle w:val="Bullets"/>
      </w:pPr>
      <w:r>
        <w:t>No unnecessary or redundant requirements.</w:t>
      </w:r>
    </w:p>
    <w:p w:rsidRPr="00423550" w:rsidR="00B037A1" w:rsidP="0038118E" w:rsidRDefault="00B037A1" w14:paraId="2EC5FFB5" w14:textId="77777777">
      <w:pPr>
        <w:pStyle w:val="Heading2"/>
      </w:pPr>
      <w:bookmarkStart w:name="_Toc160872069" w:id="30"/>
      <w:r w:rsidRPr="00C01CAF">
        <w:t xml:space="preserve">5(d) </w:t>
      </w:r>
      <w:r w:rsidRPr="00C01CAF">
        <w:tab/>
        <w:t>Collection Schedule</w:t>
      </w:r>
      <w:bookmarkEnd w:id="30"/>
    </w:p>
    <w:p w:rsidRPr="00423550" w:rsidR="005911AB" w:rsidP="00021325" w:rsidRDefault="005911AB" w14:paraId="7CEF7D92" w14:textId="3269DFEC">
      <w:pPr>
        <w:pStyle w:val="NormalIndent"/>
      </w:pPr>
      <w:r w:rsidRPr="00423550">
        <w:t xml:space="preserve">For both the LCR and </w:t>
      </w:r>
      <w:r w:rsidR="00C018A3">
        <w:t>LCRR</w:t>
      </w:r>
      <w:r w:rsidRPr="00423550">
        <w:t xml:space="preserve"> the Agency considered a wide range of alternatives for frequency of data collection and </w:t>
      </w:r>
      <w:r w:rsidR="0053501C">
        <w:t xml:space="preserve">chose </w:t>
      </w:r>
      <w:r w:rsidRPr="00423550">
        <w:t xml:space="preserve">the option that requires the least frequent collection </w:t>
      </w:r>
      <w:r w:rsidRPr="00423550">
        <w:lastRenderedPageBreak/>
        <w:t>possible while still</w:t>
      </w:r>
      <w:r w:rsidR="00BB2E1B">
        <w:t xml:space="preserve"> protecting public health. When </w:t>
      </w:r>
      <w:r w:rsidRPr="00423550">
        <w:t xml:space="preserve">possible, </w:t>
      </w:r>
      <w:r w:rsidR="0053501C">
        <w:t xml:space="preserve">primacy agency </w:t>
      </w:r>
      <w:r w:rsidRPr="00423550">
        <w:t xml:space="preserve">discretion in adjusting these frequencies has been allowed. Monitoring frequencies for PWSs have been carefully devised based on the following factors: system size, source </w:t>
      </w:r>
      <w:r w:rsidR="0053501C">
        <w:t xml:space="preserve">water </w:t>
      </w:r>
      <w:r w:rsidRPr="00423550">
        <w:t>type, system</w:t>
      </w:r>
      <w:r w:rsidR="0053501C">
        <w:t xml:space="preserve"> type (e.g., CWS, NTNCWS)</w:t>
      </w:r>
      <w:r w:rsidRPr="00423550">
        <w:t>, and contaminant history.</w:t>
      </w:r>
      <w:r w:rsidR="0038118E">
        <w:t xml:space="preserve"> The collection schedule for the first three years assumes that systems and primacy agencies will conduct all rule implementation activities in the first year. </w:t>
      </w:r>
    </w:p>
    <w:p w:rsidRPr="009820CB" w:rsidR="005911AB" w:rsidP="002034F3" w:rsidRDefault="005911AB" w14:paraId="0AB13A6F" w14:textId="22C04105">
      <w:pPr>
        <w:pStyle w:val="NormalIndent"/>
      </w:pPr>
      <w:r w:rsidRPr="009820CB">
        <w:t xml:space="preserve">Some of the regulatory changes associated with the </w:t>
      </w:r>
      <w:r w:rsidR="00C018A3">
        <w:t>LCRR</w:t>
      </w:r>
      <w:r w:rsidRPr="009820CB" w:rsidR="008514F4">
        <w:t xml:space="preserve"> </w:t>
      </w:r>
      <w:r w:rsidR="0038118E">
        <w:t xml:space="preserve">in subsequent years </w:t>
      </w:r>
      <w:r w:rsidRPr="009820CB">
        <w:t xml:space="preserve">increase the frequency of data collection and reporting. </w:t>
      </w:r>
      <w:r w:rsidR="00E62E42">
        <w:t>The</w:t>
      </w:r>
      <w:r w:rsidRPr="009820CB">
        <w:t xml:space="preserve"> EPA h</w:t>
      </w:r>
      <w:r w:rsidR="002034F3">
        <w:t xml:space="preserve">as deemed this change necessary </w:t>
      </w:r>
      <w:r w:rsidRPr="009820CB">
        <w:t xml:space="preserve">to continue to protect public health and ensure the quality of drinking water. </w:t>
      </w:r>
    </w:p>
    <w:p w:rsidRPr="0027584B" w:rsidR="000B17BF" w:rsidP="0038118E" w:rsidRDefault="000B17BF" w14:paraId="4C1B797C" w14:textId="77777777">
      <w:pPr>
        <w:pStyle w:val="Heading1"/>
      </w:pPr>
      <w:bookmarkStart w:name="_Toc160872070" w:id="31"/>
      <w:r w:rsidRPr="0027584B">
        <w:t xml:space="preserve">6. </w:t>
      </w:r>
      <w:r w:rsidRPr="0027584B">
        <w:tab/>
        <w:t>ESTIMATING THE BURDEN AND COST OF THE COLLECTION</w:t>
      </w:r>
      <w:bookmarkEnd w:id="31"/>
    </w:p>
    <w:p w:rsidRPr="0027584B" w:rsidR="00C203D5" w:rsidP="002034F3" w:rsidRDefault="00C203D5" w14:paraId="5510569F" w14:textId="2855A3E4">
      <w:pPr>
        <w:pStyle w:val="NormalIndent"/>
      </w:pPr>
      <w:r w:rsidRPr="0027584B">
        <w:t xml:space="preserve">This section describes the estimates of burden and </w:t>
      </w:r>
      <w:r>
        <w:t xml:space="preserve">direct </w:t>
      </w:r>
      <w:r w:rsidRPr="0027584B">
        <w:t xml:space="preserve">costs to </w:t>
      </w:r>
      <w:r w:rsidR="00066B78">
        <w:t xml:space="preserve">water systems and </w:t>
      </w:r>
      <w:r w:rsidR="007606BB">
        <w:t>primacy agencies</w:t>
      </w:r>
      <w:r w:rsidDel="002A61D7">
        <w:t xml:space="preserve"> </w:t>
      </w:r>
      <w:r>
        <w:t xml:space="preserve">associated with the </w:t>
      </w:r>
      <w:r w:rsidRPr="0027584B">
        <w:t>regulatory changes.</w:t>
      </w:r>
      <w:r w:rsidRPr="0027584B">
        <w:rPr>
          <w:rStyle w:val="FootnoteReference"/>
        </w:rPr>
        <w:footnoteReference w:id="12"/>
      </w:r>
      <w:r w:rsidRPr="0027584B">
        <w:t xml:space="preserve"> This ICR only focuses on the</w:t>
      </w:r>
      <w:r>
        <w:t xml:space="preserve"> incremental changes to burden and costs that will result from the </w:t>
      </w:r>
      <w:r w:rsidR="00C018A3">
        <w:t>LCRR</w:t>
      </w:r>
      <w:r w:rsidR="00F8006D">
        <w:t xml:space="preserve"> based on the revisions</w:t>
      </w:r>
      <w:r>
        <w:t xml:space="preserve">. The burden and costs associated the other elements of the </w:t>
      </w:r>
      <w:r w:rsidR="00896295">
        <w:t>LCR</w:t>
      </w:r>
      <w:r>
        <w:t xml:space="preserve"> continue to be described and accounted for in the 201</w:t>
      </w:r>
      <w:r w:rsidR="00DC7772">
        <w:t>9</w:t>
      </w:r>
      <w:r>
        <w:t xml:space="preserve"> ICR</w:t>
      </w:r>
      <w:r w:rsidRPr="0027584B">
        <w:t xml:space="preserve">. </w:t>
      </w:r>
    </w:p>
    <w:p w:rsidRPr="0027584B" w:rsidR="000B17BF" w:rsidP="002034F3" w:rsidRDefault="000B17BF" w14:paraId="6ED80406" w14:textId="77777777">
      <w:pPr>
        <w:pStyle w:val="NormalIndent"/>
      </w:pPr>
      <w:r>
        <w:t>The burden and cost estimates in this ICR are based on the calculations documented in the Economic Analysis and Supporting Analyses for the Regulatory Revisions to the Lead and Copper Rule</w:t>
      </w:r>
      <w:r w:rsidR="00B128E9">
        <w:t xml:space="preserve">. </w:t>
      </w:r>
      <w:r>
        <w:t>Major underlying assumptions</w:t>
      </w:r>
      <w:r w:rsidR="0038118E">
        <w:t>,</w:t>
      </w:r>
      <w:r>
        <w:t xml:space="preserve"> data sources</w:t>
      </w:r>
      <w:r w:rsidR="0038118E">
        <w:t>, and calculations are detailed in</w:t>
      </w:r>
      <w:r>
        <w:t xml:space="preserve"> in the Economic Analysis.</w:t>
      </w:r>
      <w:r w:rsidR="00292CBC">
        <w:t xml:space="preserve"> </w:t>
      </w:r>
    </w:p>
    <w:p w:rsidR="000B17BF" w:rsidP="0038118E" w:rsidRDefault="000B17BF" w14:paraId="701F5A74" w14:textId="77777777">
      <w:pPr>
        <w:pStyle w:val="Heading2"/>
      </w:pPr>
      <w:bookmarkStart w:name="_Toc160872071" w:id="32"/>
      <w:r w:rsidRPr="0027584B">
        <w:t xml:space="preserve">6(a) </w:t>
      </w:r>
      <w:r w:rsidRPr="0027584B">
        <w:tab/>
        <w:t>Estimating Respondent Burden</w:t>
      </w:r>
      <w:bookmarkEnd w:id="32"/>
    </w:p>
    <w:p w:rsidRPr="00EC602C" w:rsidR="00F967F6" w:rsidP="00021325" w:rsidRDefault="00786106" w14:paraId="7DDE1324" w14:textId="77777777">
      <w:pPr>
        <w:pStyle w:val="NormalIndent"/>
      </w:pPr>
      <w:r>
        <w:t xml:space="preserve">The following sections discuss the burden faced by PWSs and </w:t>
      </w:r>
      <w:r w:rsidR="00A067CC">
        <w:t>primacy agencies</w:t>
      </w:r>
      <w:r w:rsidR="00B276C0">
        <w:t xml:space="preserve">. </w:t>
      </w:r>
      <w:r w:rsidR="00792F80">
        <w:fldChar w:fldCharType="begin"/>
      </w:r>
      <w:r w:rsidR="00792F80">
        <w:instrText xml:space="preserve"> REF _Ref4507412 \h </w:instrText>
      </w:r>
      <w:r w:rsidR="00792F80">
        <w:fldChar w:fldCharType="separate"/>
      </w:r>
      <w:r w:rsidR="00106B5A">
        <w:t xml:space="preserve">Exhibit </w:t>
      </w:r>
      <w:r w:rsidR="00106B5A">
        <w:rPr>
          <w:noProof/>
        </w:rPr>
        <w:t>4</w:t>
      </w:r>
      <w:r w:rsidR="00792F80">
        <w:fldChar w:fldCharType="end"/>
      </w:r>
      <w:r w:rsidR="00792F80">
        <w:t xml:space="preserve"> </w:t>
      </w:r>
      <w:r>
        <w:t xml:space="preserve">presents a </w:t>
      </w:r>
      <w:r w:rsidR="000E01AE">
        <w:t xml:space="preserve">summary of estimated responses and </w:t>
      </w:r>
      <w:r>
        <w:t>burden</w:t>
      </w:r>
      <w:r w:rsidR="000E01AE">
        <w:t xml:space="preserve"> for</w:t>
      </w:r>
      <w:r>
        <w:t xml:space="preserve"> the </w:t>
      </w:r>
      <w:r w:rsidR="009214D9">
        <w:t>three</w:t>
      </w:r>
      <w:r w:rsidR="00510CDC">
        <w:t>-</w:t>
      </w:r>
      <w:r>
        <w:t>year window of the ICR</w:t>
      </w:r>
      <w:r w:rsidR="000E01AE">
        <w:t>.</w:t>
      </w:r>
      <w:r w:rsidR="005E7FD0">
        <w:t xml:space="preserve"> There is one response per respondent</w:t>
      </w:r>
      <w:r w:rsidR="00510CDC">
        <w:t xml:space="preserve"> per requirement</w:t>
      </w:r>
      <w:r w:rsidR="005E7FD0">
        <w:t>.</w:t>
      </w:r>
      <w:r w:rsidR="001F2124">
        <w:t xml:space="preserve"> </w:t>
      </w:r>
    </w:p>
    <w:p w:rsidR="00792F80" w:rsidP="00792F80" w:rsidRDefault="00792F80" w14:paraId="4B9147C9" w14:textId="787D29E8">
      <w:pPr>
        <w:pStyle w:val="Caption"/>
      </w:pPr>
      <w:bookmarkStart w:name="_Ref4507412" w:id="33"/>
      <w:r>
        <w:lastRenderedPageBreak/>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106B5A">
        <w:rPr>
          <w:noProof/>
        </w:rPr>
        <w:t>4</w:t>
      </w:r>
      <w:r w:rsidR="00856859">
        <w:rPr>
          <w:noProof/>
        </w:rPr>
        <w:fldChar w:fldCharType="end"/>
      </w:r>
      <w:bookmarkEnd w:id="33"/>
      <w:r>
        <w:rPr>
          <w:noProof/>
        </w:rPr>
        <w:t xml:space="preserve">. </w:t>
      </w:r>
      <w:r w:rsidRPr="00480AC7">
        <w:rPr>
          <w:noProof/>
        </w:rPr>
        <w:t xml:space="preserve">Respondents and Burden for </w:t>
      </w:r>
      <w:r w:rsidR="00F8006D">
        <w:rPr>
          <w:noProof/>
        </w:rPr>
        <w:t xml:space="preserve">the </w:t>
      </w:r>
      <w:r w:rsidR="00C018A3">
        <w:rPr>
          <w:noProof/>
        </w:rPr>
        <w:t>LCRR</w:t>
      </w:r>
    </w:p>
    <w:tbl>
      <w:tblPr>
        <w:tblStyle w:val="TableGrid"/>
        <w:tblW w:w="0" w:type="auto"/>
        <w:tblLook w:val="04A0" w:firstRow="1" w:lastRow="0" w:firstColumn="1" w:lastColumn="0" w:noHBand="0" w:noVBand="1"/>
      </w:tblPr>
      <w:tblGrid>
        <w:gridCol w:w="3505"/>
        <w:gridCol w:w="1980"/>
        <w:gridCol w:w="1620"/>
        <w:gridCol w:w="2245"/>
      </w:tblGrid>
      <w:tr w:rsidRPr="004F0396" w:rsidR="00ED07F9" w:rsidTr="004F0396" w14:paraId="367D9CA5" w14:textId="77777777">
        <w:trPr>
          <w:tblHeader/>
        </w:trPr>
        <w:tc>
          <w:tcPr>
            <w:tcW w:w="3505" w:type="dxa"/>
            <w:vAlign w:val="center"/>
            <w:hideMark/>
          </w:tcPr>
          <w:p w:rsidRPr="004F0396" w:rsidR="00ED07F9" w:rsidP="004F0396" w:rsidRDefault="00ED07F9" w14:paraId="1F7BBFAA" w14:textId="77777777">
            <w:pPr>
              <w:pStyle w:val="Table"/>
              <w:jc w:val="center"/>
              <w:rPr>
                <w:b/>
                <w:sz w:val="18"/>
              </w:rPr>
            </w:pPr>
            <w:r w:rsidRPr="004F0396">
              <w:rPr>
                <w:b/>
                <w:sz w:val="18"/>
              </w:rPr>
              <w:t>Requirement</w:t>
            </w:r>
          </w:p>
        </w:tc>
        <w:tc>
          <w:tcPr>
            <w:tcW w:w="1980" w:type="dxa"/>
            <w:vAlign w:val="center"/>
            <w:hideMark/>
          </w:tcPr>
          <w:p w:rsidRPr="004F0396" w:rsidR="00ED07F9" w:rsidP="004F0396" w:rsidRDefault="00ED07F9" w14:paraId="6974A7D5" w14:textId="77777777">
            <w:pPr>
              <w:pStyle w:val="Table"/>
              <w:jc w:val="center"/>
              <w:rPr>
                <w:b/>
                <w:sz w:val="18"/>
              </w:rPr>
            </w:pPr>
            <w:r w:rsidRPr="004F0396">
              <w:rPr>
                <w:b/>
                <w:sz w:val="18"/>
              </w:rPr>
              <w:t>Responses</w:t>
            </w:r>
          </w:p>
        </w:tc>
        <w:tc>
          <w:tcPr>
            <w:tcW w:w="1620" w:type="dxa"/>
            <w:vAlign w:val="center"/>
            <w:hideMark/>
          </w:tcPr>
          <w:p w:rsidRPr="004F0396" w:rsidR="00ED07F9" w:rsidP="004F0396" w:rsidRDefault="00ED07F9" w14:paraId="3B5796BB" w14:textId="77777777">
            <w:pPr>
              <w:pStyle w:val="Table"/>
              <w:jc w:val="center"/>
              <w:rPr>
                <w:b/>
                <w:sz w:val="18"/>
              </w:rPr>
            </w:pPr>
            <w:r w:rsidRPr="004F0396">
              <w:rPr>
                <w:b/>
                <w:sz w:val="18"/>
              </w:rPr>
              <w:t>Respondents</w:t>
            </w:r>
          </w:p>
        </w:tc>
        <w:tc>
          <w:tcPr>
            <w:tcW w:w="2245" w:type="dxa"/>
            <w:vAlign w:val="center"/>
            <w:hideMark/>
          </w:tcPr>
          <w:p w:rsidRPr="004F0396" w:rsidR="00ED07F9" w:rsidP="004F0396" w:rsidRDefault="00ED07F9" w14:paraId="2A3E638B" w14:textId="77777777">
            <w:pPr>
              <w:pStyle w:val="Table"/>
              <w:jc w:val="center"/>
              <w:rPr>
                <w:b/>
                <w:sz w:val="18"/>
              </w:rPr>
            </w:pPr>
            <w:r w:rsidRPr="004F0396">
              <w:rPr>
                <w:b/>
                <w:sz w:val="18"/>
              </w:rPr>
              <w:t>Average Burden Hours per Response per Respondent</w:t>
            </w:r>
          </w:p>
        </w:tc>
      </w:tr>
      <w:tr w:rsidRPr="004F0396" w:rsidR="00D32894" w:rsidTr="004F0396" w14:paraId="7D36DC79" w14:textId="77777777">
        <w:tc>
          <w:tcPr>
            <w:tcW w:w="3505" w:type="dxa"/>
            <w:vAlign w:val="center"/>
            <w:hideMark/>
          </w:tcPr>
          <w:p w:rsidRPr="004F0396" w:rsidR="00D32894" w:rsidP="00D32894" w:rsidRDefault="00D32894" w14:paraId="0BEF34EB" w14:textId="77777777">
            <w:pPr>
              <w:pStyle w:val="Table"/>
              <w:rPr>
                <w:sz w:val="18"/>
              </w:rPr>
            </w:pPr>
            <w:r w:rsidRPr="004F0396">
              <w:rPr>
                <w:sz w:val="18"/>
              </w:rPr>
              <w:t xml:space="preserve">System reads and understands the </w:t>
            </w:r>
            <w:r>
              <w:rPr>
                <w:sz w:val="18"/>
              </w:rPr>
              <w:t>LCRR</w:t>
            </w:r>
          </w:p>
        </w:tc>
        <w:tc>
          <w:tcPr>
            <w:tcW w:w="1980" w:type="dxa"/>
            <w:vAlign w:val="center"/>
            <w:hideMark/>
          </w:tcPr>
          <w:p w:rsidRPr="004F0396" w:rsidR="00D32894" w:rsidP="00D32894" w:rsidRDefault="00D32894" w14:paraId="72CDE014" w14:textId="77777777">
            <w:pPr>
              <w:pStyle w:val="Table"/>
              <w:jc w:val="center"/>
              <w:rPr>
                <w:sz w:val="18"/>
              </w:rPr>
            </w:pPr>
            <w:r w:rsidRPr="004F0396">
              <w:rPr>
                <w:sz w:val="18"/>
              </w:rPr>
              <w:t>67,656</w:t>
            </w:r>
          </w:p>
        </w:tc>
        <w:tc>
          <w:tcPr>
            <w:tcW w:w="1620" w:type="dxa"/>
            <w:vAlign w:val="center"/>
            <w:hideMark/>
          </w:tcPr>
          <w:p w:rsidRPr="004F0396" w:rsidR="00D32894" w:rsidP="00D32894" w:rsidRDefault="00D32894" w14:paraId="5F1A4EC2" w14:textId="77777777">
            <w:pPr>
              <w:pStyle w:val="Table"/>
              <w:jc w:val="center"/>
              <w:rPr>
                <w:sz w:val="18"/>
              </w:rPr>
            </w:pPr>
            <w:r w:rsidRPr="004F0396">
              <w:rPr>
                <w:sz w:val="18"/>
              </w:rPr>
              <w:t>67,656</w:t>
            </w:r>
          </w:p>
        </w:tc>
        <w:tc>
          <w:tcPr>
            <w:tcW w:w="2245" w:type="dxa"/>
            <w:vAlign w:val="center"/>
            <w:hideMark/>
          </w:tcPr>
          <w:p w:rsidRPr="004F0396" w:rsidR="00D32894" w:rsidP="00D32894" w:rsidRDefault="00D32894" w14:paraId="0F4C4D1C" w14:textId="41329F6B">
            <w:pPr>
              <w:pStyle w:val="Table"/>
              <w:jc w:val="center"/>
              <w:rPr>
                <w:sz w:val="18"/>
              </w:rPr>
            </w:pPr>
            <w:r>
              <w:rPr>
                <w:color w:val="000000"/>
                <w:sz w:val="18"/>
                <w:szCs w:val="18"/>
              </w:rPr>
              <w:t>4</w:t>
            </w:r>
          </w:p>
        </w:tc>
      </w:tr>
      <w:tr w:rsidRPr="004F0396" w:rsidR="00D32894" w:rsidTr="004F0396" w14:paraId="5F34B899" w14:textId="77777777">
        <w:tc>
          <w:tcPr>
            <w:tcW w:w="3505" w:type="dxa"/>
            <w:vAlign w:val="center"/>
            <w:hideMark/>
          </w:tcPr>
          <w:p w:rsidRPr="004F0396" w:rsidR="00D32894" w:rsidP="00D32894" w:rsidRDefault="00D32894" w14:paraId="3CB4FBBA" w14:textId="77777777">
            <w:pPr>
              <w:pStyle w:val="Table"/>
              <w:rPr>
                <w:sz w:val="18"/>
              </w:rPr>
            </w:pPr>
            <w:r w:rsidRPr="004F0396">
              <w:rPr>
                <w:sz w:val="18"/>
              </w:rPr>
              <w:t>System assigns personnel and resources for rule implementation</w:t>
            </w:r>
          </w:p>
        </w:tc>
        <w:tc>
          <w:tcPr>
            <w:tcW w:w="1980" w:type="dxa"/>
            <w:vAlign w:val="center"/>
            <w:hideMark/>
          </w:tcPr>
          <w:p w:rsidRPr="004F0396" w:rsidR="00D32894" w:rsidP="00D32894" w:rsidRDefault="00D32894" w14:paraId="0629EC76" w14:textId="77777777">
            <w:pPr>
              <w:pStyle w:val="Table"/>
              <w:jc w:val="center"/>
              <w:rPr>
                <w:sz w:val="18"/>
              </w:rPr>
            </w:pPr>
            <w:r w:rsidRPr="004F0396">
              <w:rPr>
                <w:sz w:val="18"/>
              </w:rPr>
              <w:t>67,656</w:t>
            </w:r>
          </w:p>
        </w:tc>
        <w:tc>
          <w:tcPr>
            <w:tcW w:w="1620" w:type="dxa"/>
            <w:vAlign w:val="center"/>
            <w:hideMark/>
          </w:tcPr>
          <w:p w:rsidRPr="004F0396" w:rsidR="00D32894" w:rsidP="00D32894" w:rsidRDefault="00D32894" w14:paraId="11610ED6" w14:textId="77777777">
            <w:pPr>
              <w:pStyle w:val="Table"/>
              <w:jc w:val="center"/>
              <w:rPr>
                <w:sz w:val="18"/>
              </w:rPr>
            </w:pPr>
            <w:r w:rsidRPr="004F0396">
              <w:rPr>
                <w:sz w:val="18"/>
              </w:rPr>
              <w:t>67,656</w:t>
            </w:r>
          </w:p>
        </w:tc>
        <w:tc>
          <w:tcPr>
            <w:tcW w:w="2245" w:type="dxa"/>
            <w:vAlign w:val="center"/>
            <w:hideMark/>
          </w:tcPr>
          <w:p w:rsidRPr="004F0396" w:rsidR="00D32894" w:rsidP="00D32894" w:rsidRDefault="00D32894" w14:paraId="5382E269" w14:textId="4E1AA1F7">
            <w:pPr>
              <w:pStyle w:val="Table"/>
              <w:jc w:val="center"/>
              <w:rPr>
                <w:sz w:val="18"/>
              </w:rPr>
            </w:pPr>
            <w:r>
              <w:rPr>
                <w:color w:val="000000"/>
                <w:sz w:val="18"/>
                <w:szCs w:val="18"/>
              </w:rPr>
              <w:t>8</w:t>
            </w:r>
          </w:p>
        </w:tc>
      </w:tr>
      <w:tr w:rsidRPr="004F0396" w:rsidR="00D32894" w:rsidTr="004F0396" w14:paraId="5197FF8B" w14:textId="77777777">
        <w:tc>
          <w:tcPr>
            <w:tcW w:w="3505" w:type="dxa"/>
            <w:vAlign w:val="center"/>
            <w:hideMark/>
          </w:tcPr>
          <w:p w:rsidRPr="004F0396" w:rsidR="00D32894" w:rsidP="00D32894" w:rsidRDefault="00D32894" w14:paraId="049AB95A" w14:textId="77777777">
            <w:pPr>
              <w:pStyle w:val="Table"/>
              <w:rPr>
                <w:sz w:val="18"/>
              </w:rPr>
            </w:pPr>
            <w:r w:rsidRPr="004F0396">
              <w:rPr>
                <w:sz w:val="18"/>
              </w:rPr>
              <w:t xml:space="preserve">System attends training and receives technical assistance from the state during implementation of the </w:t>
            </w:r>
            <w:r>
              <w:rPr>
                <w:sz w:val="18"/>
              </w:rPr>
              <w:t>LCRR</w:t>
            </w:r>
          </w:p>
        </w:tc>
        <w:tc>
          <w:tcPr>
            <w:tcW w:w="1980" w:type="dxa"/>
            <w:vAlign w:val="center"/>
            <w:hideMark/>
          </w:tcPr>
          <w:p w:rsidRPr="004F0396" w:rsidR="00D32894" w:rsidP="00D32894" w:rsidRDefault="00D32894" w14:paraId="3EC55729" w14:textId="77777777">
            <w:pPr>
              <w:pStyle w:val="Table"/>
              <w:jc w:val="center"/>
              <w:rPr>
                <w:sz w:val="18"/>
              </w:rPr>
            </w:pPr>
            <w:r w:rsidRPr="004F0396">
              <w:rPr>
                <w:sz w:val="18"/>
              </w:rPr>
              <w:t>67,656</w:t>
            </w:r>
          </w:p>
        </w:tc>
        <w:tc>
          <w:tcPr>
            <w:tcW w:w="1620" w:type="dxa"/>
            <w:vAlign w:val="center"/>
            <w:hideMark/>
          </w:tcPr>
          <w:p w:rsidRPr="004F0396" w:rsidR="00D32894" w:rsidP="00D32894" w:rsidRDefault="00D32894" w14:paraId="33AD92D7" w14:textId="77777777">
            <w:pPr>
              <w:pStyle w:val="Table"/>
              <w:jc w:val="center"/>
              <w:rPr>
                <w:sz w:val="18"/>
              </w:rPr>
            </w:pPr>
            <w:r w:rsidRPr="004F0396">
              <w:rPr>
                <w:sz w:val="18"/>
              </w:rPr>
              <w:t>67,656</w:t>
            </w:r>
          </w:p>
        </w:tc>
        <w:tc>
          <w:tcPr>
            <w:tcW w:w="2245" w:type="dxa"/>
            <w:vAlign w:val="center"/>
            <w:hideMark/>
          </w:tcPr>
          <w:p w:rsidRPr="004F0396" w:rsidR="00D32894" w:rsidP="00D32894" w:rsidRDefault="00D32894" w14:paraId="24E71EDE" w14:textId="6EC44F41">
            <w:pPr>
              <w:pStyle w:val="Table"/>
              <w:jc w:val="center"/>
              <w:rPr>
                <w:sz w:val="18"/>
              </w:rPr>
            </w:pPr>
            <w:r>
              <w:rPr>
                <w:color w:val="000000"/>
                <w:sz w:val="18"/>
                <w:szCs w:val="18"/>
              </w:rPr>
              <w:t>8</w:t>
            </w:r>
          </w:p>
        </w:tc>
      </w:tr>
      <w:tr w:rsidRPr="004F0396" w:rsidR="00D32894" w:rsidTr="009719BA" w14:paraId="2A0268A5" w14:textId="77777777">
        <w:tc>
          <w:tcPr>
            <w:tcW w:w="3505" w:type="dxa"/>
            <w:vAlign w:val="center"/>
            <w:hideMark/>
          </w:tcPr>
          <w:p w:rsidRPr="004F0396" w:rsidR="00D32894" w:rsidP="00D32894" w:rsidRDefault="00D32894" w14:paraId="4F33499E" w14:textId="77777777">
            <w:pPr>
              <w:pStyle w:val="Table"/>
              <w:rPr>
                <w:sz w:val="18"/>
              </w:rPr>
            </w:pPr>
            <w:r>
              <w:rPr>
                <w:sz w:val="18"/>
              </w:rPr>
              <w:t>System</w:t>
            </w:r>
            <w:r w:rsidRPr="004F0396">
              <w:rPr>
                <w:sz w:val="18"/>
              </w:rPr>
              <w:t xml:space="preserve"> develop</w:t>
            </w:r>
            <w:r>
              <w:rPr>
                <w:sz w:val="18"/>
              </w:rPr>
              <w:t>s</w:t>
            </w:r>
            <w:r w:rsidRPr="004F0396">
              <w:rPr>
                <w:sz w:val="18"/>
              </w:rPr>
              <w:t xml:space="preserve"> lead service line inventory</w:t>
            </w:r>
          </w:p>
        </w:tc>
        <w:tc>
          <w:tcPr>
            <w:tcW w:w="1980" w:type="dxa"/>
            <w:vAlign w:val="center"/>
            <w:hideMark/>
          </w:tcPr>
          <w:p w:rsidRPr="00A355B6" w:rsidR="00D32894" w:rsidP="00D32894" w:rsidRDefault="00BF0D7A" w14:paraId="7D9C0F3B" w14:textId="1907521B">
            <w:pPr>
              <w:pStyle w:val="Table"/>
              <w:jc w:val="center"/>
              <w:rPr>
                <w:sz w:val="18"/>
                <w:szCs w:val="18"/>
              </w:rPr>
            </w:pPr>
            <w:r>
              <w:rPr>
                <w:sz w:val="18"/>
                <w:szCs w:val="18"/>
              </w:rPr>
              <w:t xml:space="preserve">10,269 to </w:t>
            </w:r>
            <w:r w:rsidRPr="00BF0D7A">
              <w:rPr>
                <w:sz w:val="18"/>
                <w:szCs w:val="18"/>
              </w:rPr>
              <w:t>12,624</w:t>
            </w:r>
          </w:p>
        </w:tc>
        <w:tc>
          <w:tcPr>
            <w:tcW w:w="1620" w:type="dxa"/>
            <w:vAlign w:val="center"/>
            <w:hideMark/>
          </w:tcPr>
          <w:p w:rsidRPr="00A355B6" w:rsidR="00D32894" w:rsidP="00D32894" w:rsidRDefault="00BF0D7A" w14:paraId="67014CA8" w14:textId="17547DE4">
            <w:pPr>
              <w:pStyle w:val="Table"/>
              <w:jc w:val="center"/>
              <w:rPr>
                <w:sz w:val="18"/>
                <w:szCs w:val="18"/>
              </w:rPr>
            </w:pPr>
            <w:r>
              <w:rPr>
                <w:sz w:val="18"/>
                <w:szCs w:val="18"/>
              </w:rPr>
              <w:t xml:space="preserve">10,269 to </w:t>
            </w:r>
            <w:r w:rsidRPr="00BF0D7A">
              <w:rPr>
                <w:sz w:val="18"/>
                <w:szCs w:val="18"/>
              </w:rPr>
              <w:t>12,624</w:t>
            </w:r>
          </w:p>
        </w:tc>
        <w:tc>
          <w:tcPr>
            <w:tcW w:w="2245" w:type="dxa"/>
            <w:vAlign w:val="center"/>
            <w:hideMark/>
          </w:tcPr>
          <w:p w:rsidRPr="004F0396" w:rsidR="00D32894" w:rsidP="00D32894" w:rsidRDefault="00BF0D7A" w14:paraId="37E6BD8C" w14:textId="4D88730E">
            <w:pPr>
              <w:pStyle w:val="Table"/>
              <w:jc w:val="center"/>
              <w:rPr>
                <w:sz w:val="18"/>
              </w:rPr>
            </w:pPr>
            <w:r>
              <w:rPr>
                <w:color w:val="000000"/>
                <w:sz w:val="18"/>
                <w:szCs w:val="18"/>
              </w:rPr>
              <w:t>20 to 400</w:t>
            </w:r>
          </w:p>
        </w:tc>
      </w:tr>
      <w:tr w:rsidRPr="004F0396" w:rsidR="00D32894" w:rsidTr="004F0396" w14:paraId="0064572A" w14:textId="77777777">
        <w:tc>
          <w:tcPr>
            <w:tcW w:w="3505" w:type="dxa"/>
            <w:vAlign w:val="center"/>
            <w:hideMark/>
          </w:tcPr>
          <w:p w:rsidRPr="00C76509" w:rsidR="00D32894" w:rsidP="00D32894" w:rsidRDefault="00D32894" w14:paraId="3975520A" w14:textId="77777777">
            <w:pPr>
              <w:pStyle w:val="Table"/>
              <w:rPr>
                <w:sz w:val="18"/>
                <w:szCs w:val="18"/>
              </w:rPr>
            </w:pPr>
            <w:r>
              <w:rPr>
                <w:sz w:val="18"/>
                <w:szCs w:val="18"/>
              </w:rPr>
              <w:t>System</w:t>
            </w:r>
            <w:r w:rsidRPr="00C76509">
              <w:rPr>
                <w:sz w:val="18"/>
                <w:szCs w:val="18"/>
              </w:rPr>
              <w:t xml:space="preserve"> submit</w:t>
            </w:r>
            <w:r>
              <w:rPr>
                <w:sz w:val="18"/>
                <w:szCs w:val="18"/>
              </w:rPr>
              <w:t>s</w:t>
            </w:r>
            <w:r w:rsidRPr="00C76509">
              <w:rPr>
                <w:sz w:val="18"/>
                <w:szCs w:val="18"/>
              </w:rPr>
              <w:t xml:space="preserve"> a demonstration to the </w:t>
            </w:r>
            <w:r>
              <w:rPr>
                <w:sz w:val="18"/>
                <w:szCs w:val="18"/>
              </w:rPr>
              <w:t>primacy agency</w:t>
            </w:r>
            <w:r w:rsidRPr="00C76509">
              <w:rPr>
                <w:sz w:val="18"/>
                <w:szCs w:val="18"/>
              </w:rPr>
              <w:t xml:space="preserve"> that they do not have lead service lines</w:t>
            </w:r>
          </w:p>
        </w:tc>
        <w:tc>
          <w:tcPr>
            <w:tcW w:w="1980" w:type="dxa"/>
            <w:vAlign w:val="center"/>
            <w:hideMark/>
          </w:tcPr>
          <w:p w:rsidRPr="00C92CD1" w:rsidR="00D32894" w:rsidP="00D32894" w:rsidRDefault="00BF0D7A" w14:paraId="64D92A23" w14:textId="52A1475E">
            <w:pPr>
              <w:pStyle w:val="Table"/>
              <w:jc w:val="center"/>
              <w:rPr>
                <w:sz w:val="18"/>
                <w:szCs w:val="18"/>
              </w:rPr>
            </w:pPr>
            <w:r>
              <w:rPr>
                <w:sz w:val="18"/>
                <w:szCs w:val="18"/>
              </w:rPr>
              <w:t xml:space="preserve">49,435 to </w:t>
            </w:r>
            <w:r w:rsidRPr="00BF0D7A">
              <w:rPr>
                <w:sz w:val="18"/>
                <w:szCs w:val="18"/>
              </w:rPr>
              <w:t>47,104</w:t>
            </w:r>
          </w:p>
        </w:tc>
        <w:tc>
          <w:tcPr>
            <w:tcW w:w="1620" w:type="dxa"/>
            <w:vAlign w:val="center"/>
            <w:hideMark/>
          </w:tcPr>
          <w:p w:rsidRPr="00C92CD1" w:rsidR="00D32894" w:rsidP="00D32894" w:rsidRDefault="00BF0D7A" w14:paraId="7A327F1E" w14:textId="70696687">
            <w:pPr>
              <w:pStyle w:val="Table"/>
              <w:jc w:val="center"/>
              <w:rPr>
                <w:sz w:val="18"/>
                <w:szCs w:val="18"/>
              </w:rPr>
            </w:pPr>
            <w:r>
              <w:rPr>
                <w:sz w:val="18"/>
                <w:szCs w:val="18"/>
              </w:rPr>
              <w:t xml:space="preserve">49,435 to </w:t>
            </w:r>
            <w:r w:rsidRPr="00BF0D7A">
              <w:rPr>
                <w:sz w:val="18"/>
                <w:szCs w:val="18"/>
              </w:rPr>
              <w:t>47,104</w:t>
            </w:r>
          </w:p>
        </w:tc>
        <w:tc>
          <w:tcPr>
            <w:tcW w:w="2245" w:type="dxa"/>
            <w:vAlign w:val="center"/>
            <w:hideMark/>
          </w:tcPr>
          <w:p w:rsidRPr="00C92CD1" w:rsidR="00D32894" w:rsidP="00D32894" w:rsidRDefault="00D32894" w14:paraId="7E438C25" w14:textId="020D69A3">
            <w:pPr>
              <w:pStyle w:val="Table"/>
              <w:jc w:val="center"/>
              <w:rPr>
                <w:sz w:val="18"/>
                <w:szCs w:val="18"/>
              </w:rPr>
            </w:pPr>
            <w:r>
              <w:rPr>
                <w:color w:val="000000"/>
                <w:sz w:val="18"/>
                <w:szCs w:val="18"/>
              </w:rPr>
              <w:t>5 to 40</w:t>
            </w:r>
          </w:p>
        </w:tc>
      </w:tr>
      <w:tr w:rsidRPr="004F0396" w:rsidR="00D32894" w:rsidTr="00C33DF8" w14:paraId="5121D7B8" w14:textId="77777777">
        <w:tc>
          <w:tcPr>
            <w:tcW w:w="3505" w:type="dxa"/>
          </w:tcPr>
          <w:p w:rsidRPr="00C76509" w:rsidR="00D32894" w:rsidP="00BF0D7A" w:rsidRDefault="00D32894" w14:paraId="24709324" w14:textId="1C74B8C2">
            <w:pPr>
              <w:pStyle w:val="Table"/>
              <w:rPr>
                <w:sz w:val="18"/>
                <w:szCs w:val="18"/>
              </w:rPr>
            </w:pPr>
            <w:r>
              <w:rPr>
                <w:sz w:val="18"/>
                <w:szCs w:val="18"/>
              </w:rPr>
              <w:t>System</w:t>
            </w:r>
            <w:r w:rsidRPr="00C33DF8">
              <w:rPr>
                <w:sz w:val="18"/>
                <w:szCs w:val="18"/>
              </w:rPr>
              <w:t xml:space="preserve"> </w:t>
            </w:r>
            <w:r w:rsidRPr="00BF0D7A" w:rsidR="00BF0D7A">
              <w:rPr>
                <w:sz w:val="18"/>
                <w:szCs w:val="18"/>
              </w:rPr>
              <w:t>confer</w:t>
            </w:r>
            <w:r w:rsidR="00BF0D7A">
              <w:rPr>
                <w:sz w:val="18"/>
                <w:szCs w:val="18"/>
              </w:rPr>
              <w:t>s</w:t>
            </w:r>
            <w:r w:rsidRPr="00BF0D7A" w:rsidR="00BF0D7A">
              <w:rPr>
                <w:sz w:val="18"/>
                <w:szCs w:val="18"/>
              </w:rPr>
              <w:t xml:space="preserve"> with </w:t>
            </w:r>
            <w:r w:rsidR="00BF0D7A">
              <w:rPr>
                <w:sz w:val="18"/>
                <w:szCs w:val="18"/>
              </w:rPr>
              <w:t>primacy agency</w:t>
            </w:r>
            <w:r w:rsidRPr="00BF0D7A" w:rsidR="00BF0D7A">
              <w:rPr>
                <w:sz w:val="18"/>
                <w:szCs w:val="18"/>
              </w:rPr>
              <w:t xml:space="preserve"> on initial planning for LSLR</w:t>
            </w:r>
            <w:r w:rsidR="00E23F91">
              <w:rPr>
                <w:sz w:val="18"/>
                <w:szCs w:val="18"/>
              </w:rPr>
              <w:t xml:space="preserve"> and prepares plan</w:t>
            </w:r>
          </w:p>
        </w:tc>
        <w:tc>
          <w:tcPr>
            <w:tcW w:w="1980" w:type="dxa"/>
            <w:vAlign w:val="center"/>
          </w:tcPr>
          <w:p w:rsidRPr="00C76509" w:rsidR="00D32894" w:rsidP="00D32894" w:rsidRDefault="00D32894" w14:paraId="0DC99E5B" w14:textId="56AF4F1C">
            <w:pPr>
              <w:pStyle w:val="Table"/>
              <w:jc w:val="center"/>
              <w:rPr>
                <w:sz w:val="18"/>
                <w:szCs w:val="18"/>
              </w:rPr>
            </w:pPr>
            <w:r>
              <w:rPr>
                <w:sz w:val="18"/>
                <w:szCs w:val="18"/>
              </w:rPr>
              <w:t xml:space="preserve">11,782 to </w:t>
            </w:r>
            <w:r w:rsidRPr="00D32894">
              <w:rPr>
                <w:sz w:val="18"/>
                <w:szCs w:val="18"/>
              </w:rPr>
              <w:t>14,574</w:t>
            </w:r>
          </w:p>
        </w:tc>
        <w:tc>
          <w:tcPr>
            <w:tcW w:w="1620" w:type="dxa"/>
            <w:vAlign w:val="center"/>
          </w:tcPr>
          <w:p w:rsidRPr="00C76509" w:rsidR="00D32894" w:rsidP="00D32894" w:rsidRDefault="00D32894" w14:paraId="0ACCB57F" w14:textId="1E7AC2FC">
            <w:pPr>
              <w:pStyle w:val="Table"/>
              <w:jc w:val="center"/>
              <w:rPr>
                <w:sz w:val="18"/>
                <w:szCs w:val="18"/>
              </w:rPr>
            </w:pPr>
            <w:r>
              <w:rPr>
                <w:sz w:val="18"/>
                <w:szCs w:val="18"/>
              </w:rPr>
              <w:t xml:space="preserve">11,782 to </w:t>
            </w:r>
            <w:r w:rsidRPr="00D32894">
              <w:rPr>
                <w:sz w:val="18"/>
                <w:szCs w:val="18"/>
              </w:rPr>
              <w:t>14,574</w:t>
            </w:r>
          </w:p>
        </w:tc>
        <w:tc>
          <w:tcPr>
            <w:tcW w:w="2245" w:type="dxa"/>
            <w:vAlign w:val="center"/>
          </w:tcPr>
          <w:p w:rsidRPr="00C76509" w:rsidR="00D32894" w:rsidP="00D32894" w:rsidRDefault="00BF0D7A" w14:paraId="6A5B7199" w14:textId="7183E250">
            <w:pPr>
              <w:pStyle w:val="Table"/>
              <w:jc w:val="center"/>
              <w:rPr>
                <w:sz w:val="18"/>
                <w:szCs w:val="18"/>
              </w:rPr>
            </w:pPr>
            <w:r>
              <w:rPr>
                <w:color w:val="000000"/>
                <w:sz w:val="18"/>
                <w:szCs w:val="18"/>
              </w:rPr>
              <w:t>12 to 52</w:t>
            </w:r>
          </w:p>
        </w:tc>
      </w:tr>
      <w:tr w:rsidRPr="004F0396" w:rsidR="00C76509" w:rsidTr="00C33DF8" w14:paraId="10A86CE0" w14:textId="77777777">
        <w:tc>
          <w:tcPr>
            <w:tcW w:w="3505" w:type="dxa"/>
            <w:hideMark/>
          </w:tcPr>
          <w:p w:rsidRPr="00C33DF8" w:rsidR="00C76509" w:rsidP="00C76509" w:rsidRDefault="00C76509" w14:paraId="1A5D7F38" w14:textId="77777777">
            <w:pPr>
              <w:pStyle w:val="Table"/>
              <w:rPr>
                <w:b/>
                <w:sz w:val="18"/>
                <w:szCs w:val="18"/>
              </w:rPr>
            </w:pPr>
            <w:r w:rsidRPr="00C33DF8">
              <w:rPr>
                <w:b/>
                <w:sz w:val="18"/>
                <w:szCs w:val="18"/>
              </w:rPr>
              <w:t>System Subtotal</w:t>
            </w:r>
          </w:p>
        </w:tc>
        <w:tc>
          <w:tcPr>
            <w:tcW w:w="1980" w:type="dxa"/>
            <w:vAlign w:val="center"/>
            <w:hideMark/>
          </w:tcPr>
          <w:p w:rsidRPr="00C76509" w:rsidR="00C76509" w:rsidP="00C76509" w:rsidRDefault="00BF0D7A" w14:paraId="0FE644DD" w14:textId="03F0B858">
            <w:pPr>
              <w:pStyle w:val="Table"/>
              <w:jc w:val="center"/>
              <w:rPr>
                <w:b/>
                <w:sz w:val="18"/>
                <w:szCs w:val="18"/>
              </w:rPr>
            </w:pPr>
            <w:r>
              <w:rPr>
                <w:b/>
                <w:sz w:val="18"/>
                <w:szCs w:val="18"/>
              </w:rPr>
              <w:t xml:space="preserve">274,454 to </w:t>
            </w:r>
            <w:r w:rsidRPr="00BF0D7A">
              <w:rPr>
                <w:b/>
                <w:sz w:val="18"/>
                <w:szCs w:val="18"/>
              </w:rPr>
              <w:t>277,270</w:t>
            </w:r>
          </w:p>
        </w:tc>
        <w:tc>
          <w:tcPr>
            <w:tcW w:w="1620" w:type="dxa"/>
            <w:vAlign w:val="center"/>
            <w:hideMark/>
          </w:tcPr>
          <w:p w:rsidRPr="00567583" w:rsidR="00C76509" w:rsidP="00651313" w:rsidRDefault="00C76509" w14:paraId="0FEC8AA2" w14:textId="77777777">
            <w:pPr>
              <w:pStyle w:val="Table"/>
              <w:jc w:val="center"/>
              <w:rPr>
                <w:b/>
                <w:sz w:val="18"/>
                <w:szCs w:val="18"/>
              </w:rPr>
            </w:pPr>
            <w:r w:rsidRPr="00C33DF8">
              <w:rPr>
                <w:b/>
                <w:sz w:val="18"/>
                <w:szCs w:val="18"/>
              </w:rPr>
              <w:t>67,656</w:t>
            </w:r>
          </w:p>
        </w:tc>
        <w:tc>
          <w:tcPr>
            <w:tcW w:w="2245" w:type="dxa"/>
            <w:vAlign w:val="center"/>
            <w:hideMark/>
          </w:tcPr>
          <w:p w:rsidRPr="00567583" w:rsidR="00C76509" w:rsidP="00987C22" w:rsidRDefault="000474EA" w14:paraId="008F331C" w14:textId="77777777">
            <w:pPr>
              <w:pStyle w:val="Table"/>
              <w:jc w:val="center"/>
              <w:rPr>
                <w:b/>
                <w:sz w:val="18"/>
                <w:szCs w:val="18"/>
              </w:rPr>
            </w:pPr>
            <w:r>
              <w:rPr>
                <w:b/>
                <w:sz w:val="18"/>
                <w:szCs w:val="18"/>
              </w:rPr>
              <w:t>varies</w:t>
            </w:r>
          </w:p>
        </w:tc>
      </w:tr>
      <w:tr w:rsidRPr="004F0396" w:rsidR="00D32894" w:rsidTr="004F0396" w14:paraId="0DFADE40" w14:textId="77777777">
        <w:tc>
          <w:tcPr>
            <w:tcW w:w="3505" w:type="dxa"/>
            <w:vAlign w:val="center"/>
            <w:hideMark/>
          </w:tcPr>
          <w:p w:rsidRPr="004F0396" w:rsidR="00D32894" w:rsidP="00D32894" w:rsidRDefault="00D32894" w14:paraId="009D1D03" w14:textId="77777777">
            <w:pPr>
              <w:pStyle w:val="Table"/>
              <w:rPr>
                <w:sz w:val="18"/>
              </w:rPr>
            </w:pPr>
            <w:r>
              <w:rPr>
                <w:sz w:val="18"/>
              </w:rPr>
              <w:t>Primacy agency</w:t>
            </w:r>
            <w:r w:rsidRPr="004F0396">
              <w:rPr>
                <w:sz w:val="18"/>
              </w:rPr>
              <w:t xml:space="preserve"> adopts the rule and develop program to implement the </w:t>
            </w:r>
            <w:r>
              <w:rPr>
                <w:sz w:val="18"/>
              </w:rPr>
              <w:t>LCRR</w:t>
            </w:r>
          </w:p>
        </w:tc>
        <w:tc>
          <w:tcPr>
            <w:tcW w:w="1980" w:type="dxa"/>
            <w:vAlign w:val="center"/>
            <w:hideMark/>
          </w:tcPr>
          <w:p w:rsidRPr="004F0396" w:rsidR="00D32894" w:rsidP="00D32894" w:rsidRDefault="00D32894" w14:paraId="266E9E09" w14:textId="77777777">
            <w:pPr>
              <w:pStyle w:val="Table"/>
              <w:jc w:val="center"/>
              <w:rPr>
                <w:sz w:val="18"/>
              </w:rPr>
            </w:pPr>
            <w:r w:rsidRPr="004F0396">
              <w:rPr>
                <w:sz w:val="18"/>
              </w:rPr>
              <w:t>56</w:t>
            </w:r>
          </w:p>
        </w:tc>
        <w:tc>
          <w:tcPr>
            <w:tcW w:w="1620" w:type="dxa"/>
            <w:vAlign w:val="center"/>
            <w:hideMark/>
          </w:tcPr>
          <w:p w:rsidRPr="004F0396" w:rsidR="00D32894" w:rsidP="00D32894" w:rsidRDefault="00D32894" w14:paraId="7CB17D9C" w14:textId="77777777">
            <w:pPr>
              <w:pStyle w:val="Table"/>
              <w:jc w:val="center"/>
              <w:rPr>
                <w:sz w:val="18"/>
              </w:rPr>
            </w:pPr>
            <w:r w:rsidRPr="004F0396">
              <w:rPr>
                <w:sz w:val="18"/>
              </w:rPr>
              <w:t>56</w:t>
            </w:r>
          </w:p>
        </w:tc>
        <w:tc>
          <w:tcPr>
            <w:tcW w:w="2245" w:type="dxa"/>
            <w:vAlign w:val="center"/>
            <w:hideMark/>
          </w:tcPr>
          <w:p w:rsidRPr="004F0396" w:rsidR="00D32894" w:rsidP="00D32894" w:rsidRDefault="008C7BA6" w14:paraId="402CB3CF" w14:textId="315053FD">
            <w:pPr>
              <w:pStyle w:val="Table"/>
              <w:jc w:val="center"/>
              <w:rPr>
                <w:sz w:val="18"/>
              </w:rPr>
            </w:pPr>
            <w:r>
              <w:rPr>
                <w:color w:val="000000"/>
                <w:sz w:val="18"/>
                <w:szCs w:val="18"/>
              </w:rPr>
              <w:t>1,920</w:t>
            </w:r>
          </w:p>
        </w:tc>
      </w:tr>
      <w:tr w:rsidRPr="004F0396" w:rsidR="00D32894" w:rsidTr="004F0396" w14:paraId="79197FE1" w14:textId="77777777">
        <w:tc>
          <w:tcPr>
            <w:tcW w:w="3505" w:type="dxa"/>
            <w:vAlign w:val="center"/>
            <w:hideMark/>
          </w:tcPr>
          <w:p w:rsidRPr="004F0396" w:rsidR="00D32894" w:rsidP="00D32894" w:rsidRDefault="00D32894" w14:paraId="6C2CECC1" w14:textId="77777777">
            <w:pPr>
              <w:pStyle w:val="Table"/>
              <w:rPr>
                <w:sz w:val="18"/>
              </w:rPr>
            </w:pPr>
            <w:r>
              <w:rPr>
                <w:sz w:val="18"/>
              </w:rPr>
              <w:t>Primacy agency</w:t>
            </w:r>
            <w:r w:rsidRPr="004F0396">
              <w:rPr>
                <w:sz w:val="18"/>
              </w:rPr>
              <w:t xml:space="preserve"> modifies their data system while implementing the </w:t>
            </w:r>
            <w:r>
              <w:rPr>
                <w:sz w:val="18"/>
              </w:rPr>
              <w:t>LCRR</w:t>
            </w:r>
          </w:p>
        </w:tc>
        <w:tc>
          <w:tcPr>
            <w:tcW w:w="1980" w:type="dxa"/>
            <w:vAlign w:val="center"/>
            <w:hideMark/>
          </w:tcPr>
          <w:p w:rsidRPr="004F0396" w:rsidR="00D32894" w:rsidP="00D32894" w:rsidRDefault="00D32894" w14:paraId="12838819" w14:textId="77777777">
            <w:pPr>
              <w:pStyle w:val="Table"/>
              <w:jc w:val="center"/>
              <w:rPr>
                <w:sz w:val="18"/>
              </w:rPr>
            </w:pPr>
            <w:r w:rsidRPr="004F0396">
              <w:rPr>
                <w:sz w:val="18"/>
              </w:rPr>
              <w:t>56</w:t>
            </w:r>
          </w:p>
        </w:tc>
        <w:tc>
          <w:tcPr>
            <w:tcW w:w="1620" w:type="dxa"/>
            <w:vAlign w:val="center"/>
            <w:hideMark/>
          </w:tcPr>
          <w:p w:rsidRPr="004F0396" w:rsidR="00D32894" w:rsidP="00D32894" w:rsidRDefault="00D32894" w14:paraId="5B08F4C8" w14:textId="77777777">
            <w:pPr>
              <w:pStyle w:val="Table"/>
              <w:jc w:val="center"/>
              <w:rPr>
                <w:sz w:val="18"/>
              </w:rPr>
            </w:pPr>
            <w:r w:rsidRPr="004F0396">
              <w:rPr>
                <w:sz w:val="18"/>
              </w:rPr>
              <w:t>56</w:t>
            </w:r>
          </w:p>
        </w:tc>
        <w:tc>
          <w:tcPr>
            <w:tcW w:w="2245" w:type="dxa"/>
            <w:vAlign w:val="center"/>
            <w:hideMark/>
          </w:tcPr>
          <w:p w:rsidRPr="004F0396" w:rsidR="00D32894" w:rsidP="00D32894" w:rsidRDefault="007277F0" w14:paraId="01A3845C" w14:textId="2635F386">
            <w:pPr>
              <w:pStyle w:val="Table"/>
              <w:jc w:val="center"/>
              <w:rPr>
                <w:sz w:val="18"/>
              </w:rPr>
            </w:pPr>
            <w:r>
              <w:rPr>
                <w:color w:val="000000"/>
                <w:sz w:val="18"/>
                <w:szCs w:val="18"/>
              </w:rPr>
              <w:t>2,220</w:t>
            </w:r>
          </w:p>
        </w:tc>
      </w:tr>
      <w:tr w:rsidRPr="004F0396" w:rsidR="00D32894" w:rsidTr="004F0396" w14:paraId="56F2E686" w14:textId="77777777">
        <w:tc>
          <w:tcPr>
            <w:tcW w:w="3505" w:type="dxa"/>
            <w:vAlign w:val="center"/>
            <w:hideMark/>
          </w:tcPr>
          <w:p w:rsidRPr="004F0396" w:rsidR="00D32894" w:rsidP="00D32894" w:rsidRDefault="00D32894" w14:paraId="624BDF5C" w14:textId="1D000CAB">
            <w:pPr>
              <w:pStyle w:val="Table"/>
              <w:rPr>
                <w:sz w:val="18"/>
              </w:rPr>
            </w:pPr>
            <w:r>
              <w:rPr>
                <w:sz w:val="18"/>
              </w:rPr>
              <w:t>Primacy agency</w:t>
            </w:r>
            <w:r w:rsidRPr="004F0396">
              <w:rPr>
                <w:sz w:val="18"/>
              </w:rPr>
              <w:t xml:space="preserve"> provides </w:t>
            </w:r>
            <w:r w:rsidR="007277F0">
              <w:rPr>
                <w:sz w:val="18"/>
              </w:rPr>
              <w:t xml:space="preserve">system </w:t>
            </w:r>
            <w:r w:rsidRPr="004F0396">
              <w:rPr>
                <w:sz w:val="18"/>
              </w:rPr>
              <w:t xml:space="preserve">staff with training and technical assistance during implementation of the </w:t>
            </w:r>
            <w:r>
              <w:rPr>
                <w:sz w:val="18"/>
              </w:rPr>
              <w:t>LCRR</w:t>
            </w:r>
          </w:p>
        </w:tc>
        <w:tc>
          <w:tcPr>
            <w:tcW w:w="1980" w:type="dxa"/>
            <w:vAlign w:val="center"/>
            <w:hideMark/>
          </w:tcPr>
          <w:p w:rsidRPr="004F0396" w:rsidR="00D32894" w:rsidP="00D32894" w:rsidRDefault="00D32894" w14:paraId="13C4C522" w14:textId="77777777">
            <w:pPr>
              <w:pStyle w:val="Table"/>
              <w:jc w:val="center"/>
              <w:rPr>
                <w:sz w:val="18"/>
              </w:rPr>
            </w:pPr>
            <w:r w:rsidRPr="004F0396">
              <w:rPr>
                <w:sz w:val="18"/>
              </w:rPr>
              <w:t>56</w:t>
            </w:r>
          </w:p>
        </w:tc>
        <w:tc>
          <w:tcPr>
            <w:tcW w:w="1620" w:type="dxa"/>
            <w:vAlign w:val="center"/>
            <w:hideMark/>
          </w:tcPr>
          <w:p w:rsidRPr="004F0396" w:rsidR="00D32894" w:rsidP="00D32894" w:rsidRDefault="00D32894" w14:paraId="7ECB74BA" w14:textId="77777777">
            <w:pPr>
              <w:pStyle w:val="Table"/>
              <w:jc w:val="center"/>
              <w:rPr>
                <w:sz w:val="18"/>
              </w:rPr>
            </w:pPr>
            <w:r w:rsidRPr="004F0396">
              <w:rPr>
                <w:sz w:val="18"/>
              </w:rPr>
              <w:t>56</w:t>
            </w:r>
          </w:p>
        </w:tc>
        <w:tc>
          <w:tcPr>
            <w:tcW w:w="2245" w:type="dxa"/>
            <w:vAlign w:val="center"/>
            <w:hideMark/>
          </w:tcPr>
          <w:p w:rsidRPr="004F0396" w:rsidR="00D32894" w:rsidP="00D32894" w:rsidRDefault="007277F0" w14:paraId="5E49F96E" w14:textId="68F513A8">
            <w:pPr>
              <w:pStyle w:val="Table"/>
              <w:jc w:val="center"/>
              <w:rPr>
                <w:sz w:val="18"/>
              </w:rPr>
            </w:pPr>
            <w:r>
              <w:rPr>
                <w:color w:val="000000"/>
                <w:sz w:val="18"/>
                <w:szCs w:val="18"/>
              </w:rPr>
              <w:t>2,400</w:t>
            </w:r>
          </w:p>
        </w:tc>
      </w:tr>
      <w:tr w:rsidRPr="004F0396" w:rsidR="00D32894" w:rsidTr="004F0396" w14:paraId="3132F42D" w14:textId="77777777">
        <w:tc>
          <w:tcPr>
            <w:tcW w:w="3505" w:type="dxa"/>
            <w:vAlign w:val="center"/>
            <w:hideMark/>
          </w:tcPr>
          <w:p w:rsidRPr="004F0396" w:rsidR="00D32894" w:rsidP="00D32894" w:rsidRDefault="00D32894" w14:paraId="3F827C4B" w14:textId="43885C8C">
            <w:pPr>
              <w:pStyle w:val="Table"/>
              <w:rPr>
                <w:sz w:val="18"/>
              </w:rPr>
            </w:pPr>
            <w:r>
              <w:rPr>
                <w:sz w:val="18"/>
              </w:rPr>
              <w:t>Primacy agency</w:t>
            </w:r>
            <w:r w:rsidR="007277F0">
              <w:rPr>
                <w:sz w:val="18"/>
              </w:rPr>
              <w:t xml:space="preserve"> provides internal primacy agency </w:t>
            </w:r>
            <w:r w:rsidRPr="004F0396">
              <w:rPr>
                <w:sz w:val="18"/>
              </w:rPr>
              <w:t xml:space="preserve">staff with training for implementation of the </w:t>
            </w:r>
            <w:r>
              <w:rPr>
                <w:sz w:val="18"/>
              </w:rPr>
              <w:t>LCRR</w:t>
            </w:r>
          </w:p>
        </w:tc>
        <w:tc>
          <w:tcPr>
            <w:tcW w:w="1980" w:type="dxa"/>
            <w:vAlign w:val="center"/>
            <w:hideMark/>
          </w:tcPr>
          <w:p w:rsidRPr="004F0396" w:rsidR="00D32894" w:rsidP="00D32894" w:rsidRDefault="00D32894" w14:paraId="0BE72C61" w14:textId="77777777">
            <w:pPr>
              <w:pStyle w:val="Table"/>
              <w:jc w:val="center"/>
              <w:rPr>
                <w:sz w:val="18"/>
              </w:rPr>
            </w:pPr>
            <w:r w:rsidRPr="004F0396">
              <w:rPr>
                <w:sz w:val="18"/>
              </w:rPr>
              <w:t>56</w:t>
            </w:r>
          </w:p>
        </w:tc>
        <w:tc>
          <w:tcPr>
            <w:tcW w:w="1620" w:type="dxa"/>
            <w:vAlign w:val="center"/>
            <w:hideMark/>
          </w:tcPr>
          <w:p w:rsidRPr="004F0396" w:rsidR="00D32894" w:rsidP="00D32894" w:rsidRDefault="00D32894" w14:paraId="3E9E44A1" w14:textId="77777777">
            <w:pPr>
              <w:pStyle w:val="Table"/>
              <w:jc w:val="center"/>
              <w:rPr>
                <w:sz w:val="18"/>
              </w:rPr>
            </w:pPr>
            <w:r w:rsidRPr="004F0396">
              <w:rPr>
                <w:sz w:val="18"/>
              </w:rPr>
              <w:t>56</w:t>
            </w:r>
          </w:p>
        </w:tc>
        <w:tc>
          <w:tcPr>
            <w:tcW w:w="2245" w:type="dxa"/>
            <w:vAlign w:val="center"/>
            <w:hideMark/>
          </w:tcPr>
          <w:p w:rsidRPr="004F0396" w:rsidR="00D32894" w:rsidP="00D32894" w:rsidRDefault="007277F0" w14:paraId="58BBA197" w14:textId="74070D44">
            <w:pPr>
              <w:pStyle w:val="Table"/>
              <w:jc w:val="center"/>
              <w:rPr>
                <w:sz w:val="18"/>
              </w:rPr>
            </w:pPr>
            <w:r>
              <w:rPr>
                <w:color w:val="000000"/>
                <w:sz w:val="18"/>
                <w:szCs w:val="18"/>
              </w:rPr>
              <w:t>588</w:t>
            </w:r>
          </w:p>
        </w:tc>
      </w:tr>
      <w:tr w:rsidRPr="004F0396" w:rsidR="00D32894" w:rsidTr="004F0396" w14:paraId="7B37AE29" w14:textId="77777777">
        <w:tc>
          <w:tcPr>
            <w:tcW w:w="3505" w:type="dxa"/>
            <w:vAlign w:val="center"/>
          </w:tcPr>
          <w:p w:rsidR="00D32894" w:rsidP="00D32894" w:rsidRDefault="00D32894" w14:paraId="1B8FF44D" w14:textId="747CE227">
            <w:pPr>
              <w:pStyle w:val="Table"/>
              <w:rPr>
                <w:sz w:val="18"/>
              </w:rPr>
            </w:pPr>
            <w:r w:rsidRPr="0047765A">
              <w:rPr>
                <w:sz w:val="18"/>
              </w:rPr>
              <w:t>Primacy agency assists systems to develop lead service line inventory and reviews submission of the inventory</w:t>
            </w:r>
          </w:p>
        </w:tc>
        <w:tc>
          <w:tcPr>
            <w:tcW w:w="1980" w:type="dxa"/>
            <w:vAlign w:val="center"/>
          </w:tcPr>
          <w:p w:rsidRPr="004F0396" w:rsidR="00D32894" w:rsidP="00D32894" w:rsidRDefault="007277F0" w14:paraId="7C9BE2B8" w14:textId="13F05E68">
            <w:pPr>
              <w:pStyle w:val="Table"/>
              <w:jc w:val="center"/>
              <w:rPr>
                <w:sz w:val="18"/>
              </w:rPr>
            </w:pPr>
            <w:r>
              <w:rPr>
                <w:sz w:val="18"/>
              </w:rPr>
              <w:t xml:space="preserve">10,269 to </w:t>
            </w:r>
            <w:r w:rsidRPr="007277F0">
              <w:rPr>
                <w:sz w:val="18"/>
              </w:rPr>
              <w:t>12,624</w:t>
            </w:r>
          </w:p>
        </w:tc>
        <w:tc>
          <w:tcPr>
            <w:tcW w:w="1620" w:type="dxa"/>
            <w:vAlign w:val="center"/>
          </w:tcPr>
          <w:p w:rsidRPr="004F0396" w:rsidR="00D32894" w:rsidP="00D32894" w:rsidRDefault="00D32894" w14:paraId="0355A841" w14:textId="5BB1FA69">
            <w:pPr>
              <w:pStyle w:val="Table"/>
              <w:jc w:val="center"/>
              <w:rPr>
                <w:sz w:val="18"/>
              </w:rPr>
            </w:pPr>
            <w:r w:rsidRPr="004F0396">
              <w:rPr>
                <w:sz w:val="18"/>
              </w:rPr>
              <w:t>56</w:t>
            </w:r>
          </w:p>
        </w:tc>
        <w:tc>
          <w:tcPr>
            <w:tcW w:w="2245" w:type="dxa"/>
            <w:vAlign w:val="center"/>
          </w:tcPr>
          <w:p w:rsidRPr="00C76509" w:rsidR="00D32894" w:rsidP="007277F0" w:rsidRDefault="007277F0" w14:paraId="08247F63" w14:textId="7E3580F8">
            <w:pPr>
              <w:pStyle w:val="Table"/>
              <w:jc w:val="center"/>
              <w:rPr>
                <w:sz w:val="18"/>
              </w:rPr>
            </w:pPr>
            <w:r>
              <w:rPr>
                <w:color w:val="000000"/>
                <w:sz w:val="18"/>
                <w:szCs w:val="18"/>
              </w:rPr>
              <w:t>4</w:t>
            </w:r>
            <w:r w:rsidR="00D32894">
              <w:rPr>
                <w:color w:val="000000"/>
                <w:sz w:val="18"/>
                <w:szCs w:val="18"/>
              </w:rPr>
              <w:t xml:space="preserve"> to </w:t>
            </w:r>
            <w:r>
              <w:rPr>
                <w:color w:val="000000"/>
                <w:sz w:val="18"/>
                <w:szCs w:val="18"/>
              </w:rPr>
              <w:t>8</w:t>
            </w:r>
          </w:p>
        </w:tc>
      </w:tr>
      <w:tr w:rsidRPr="004F0396" w:rsidR="00D32894" w:rsidTr="004F0396" w14:paraId="19A7B432" w14:textId="77777777">
        <w:tc>
          <w:tcPr>
            <w:tcW w:w="3505" w:type="dxa"/>
            <w:vAlign w:val="center"/>
            <w:hideMark/>
          </w:tcPr>
          <w:p w:rsidRPr="004F0396" w:rsidR="00D32894" w:rsidP="00D32894" w:rsidRDefault="00D32894" w14:paraId="0ACE1F6B" w14:textId="77777777">
            <w:pPr>
              <w:pStyle w:val="Table"/>
              <w:rPr>
                <w:sz w:val="18"/>
              </w:rPr>
            </w:pPr>
            <w:r>
              <w:rPr>
                <w:sz w:val="18"/>
              </w:rPr>
              <w:t>Primacy agency</w:t>
            </w:r>
            <w:r w:rsidRPr="004F0396">
              <w:rPr>
                <w:sz w:val="18"/>
              </w:rPr>
              <w:t xml:space="preserve"> reviews demonstration of no lead service lines from systems</w:t>
            </w:r>
          </w:p>
        </w:tc>
        <w:tc>
          <w:tcPr>
            <w:tcW w:w="1980" w:type="dxa"/>
            <w:vAlign w:val="center"/>
            <w:hideMark/>
          </w:tcPr>
          <w:p w:rsidRPr="004F0396" w:rsidR="00D32894" w:rsidP="00D32894" w:rsidRDefault="007277F0" w14:paraId="209800C6" w14:textId="624A4A29">
            <w:pPr>
              <w:pStyle w:val="Table"/>
              <w:jc w:val="center"/>
              <w:rPr>
                <w:sz w:val="18"/>
              </w:rPr>
            </w:pPr>
            <w:r>
              <w:rPr>
                <w:sz w:val="18"/>
              </w:rPr>
              <w:t xml:space="preserve">49,435 to </w:t>
            </w:r>
            <w:r w:rsidRPr="007277F0">
              <w:rPr>
                <w:sz w:val="18"/>
              </w:rPr>
              <w:t>47,104</w:t>
            </w:r>
          </w:p>
        </w:tc>
        <w:tc>
          <w:tcPr>
            <w:tcW w:w="1620" w:type="dxa"/>
            <w:vAlign w:val="center"/>
            <w:hideMark/>
          </w:tcPr>
          <w:p w:rsidRPr="004F0396" w:rsidR="00D32894" w:rsidP="00D32894" w:rsidRDefault="00D32894" w14:paraId="0262688D" w14:textId="77777777">
            <w:pPr>
              <w:pStyle w:val="Table"/>
              <w:jc w:val="center"/>
              <w:rPr>
                <w:sz w:val="18"/>
              </w:rPr>
            </w:pPr>
            <w:r w:rsidRPr="004F0396">
              <w:rPr>
                <w:sz w:val="18"/>
              </w:rPr>
              <w:t>56</w:t>
            </w:r>
          </w:p>
        </w:tc>
        <w:tc>
          <w:tcPr>
            <w:tcW w:w="2245" w:type="dxa"/>
            <w:vAlign w:val="center"/>
            <w:hideMark/>
          </w:tcPr>
          <w:p w:rsidRPr="004F0396" w:rsidR="00D32894" w:rsidP="00D32894" w:rsidRDefault="008C7BA6" w14:paraId="14519AAE" w14:textId="71B2CCC6">
            <w:pPr>
              <w:pStyle w:val="Table"/>
              <w:jc w:val="center"/>
              <w:rPr>
                <w:sz w:val="18"/>
              </w:rPr>
            </w:pPr>
            <w:r>
              <w:rPr>
                <w:color w:val="000000"/>
                <w:sz w:val="18"/>
                <w:szCs w:val="18"/>
              </w:rPr>
              <w:t>2</w:t>
            </w:r>
          </w:p>
        </w:tc>
      </w:tr>
      <w:tr w:rsidRPr="004F0396" w:rsidR="00D32894" w:rsidTr="004F0396" w14:paraId="7BCDC7D6" w14:textId="77777777">
        <w:tc>
          <w:tcPr>
            <w:tcW w:w="3505" w:type="dxa"/>
            <w:vAlign w:val="center"/>
          </w:tcPr>
          <w:p w:rsidRPr="004F0396" w:rsidR="00D32894" w:rsidP="00A539B3" w:rsidRDefault="00D32894" w14:paraId="51B8A85F" w14:textId="7991787D">
            <w:pPr>
              <w:pStyle w:val="Table"/>
              <w:rPr>
                <w:sz w:val="18"/>
              </w:rPr>
            </w:pPr>
            <w:r>
              <w:rPr>
                <w:color w:val="000000"/>
                <w:sz w:val="18"/>
                <w:szCs w:val="18"/>
              </w:rPr>
              <w:t xml:space="preserve">Primacy agency confers </w:t>
            </w:r>
            <w:r w:rsidR="00A539B3">
              <w:rPr>
                <w:color w:val="000000"/>
                <w:sz w:val="18"/>
                <w:szCs w:val="18"/>
              </w:rPr>
              <w:t xml:space="preserve">on and reviews </w:t>
            </w:r>
            <w:r>
              <w:rPr>
                <w:color w:val="000000"/>
                <w:sz w:val="18"/>
                <w:szCs w:val="18"/>
              </w:rPr>
              <w:t xml:space="preserve">initial </w:t>
            </w:r>
            <w:r w:rsidR="00A539B3">
              <w:rPr>
                <w:color w:val="000000"/>
                <w:sz w:val="18"/>
                <w:szCs w:val="18"/>
              </w:rPr>
              <w:t>LSLR plan</w:t>
            </w:r>
          </w:p>
        </w:tc>
        <w:tc>
          <w:tcPr>
            <w:tcW w:w="1980" w:type="dxa"/>
            <w:vAlign w:val="center"/>
          </w:tcPr>
          <w:p w:rsidRPr="004F0396" w:rsidR="00D32894" w:rsidP="00D32894" w:rsidRDefault="00D32894" w14:paraId="342025EB" w14:textId="021D8160">
            <w:pPr>
              <w:pStyle w:val="Table"/>
              <w:jc w:val="center"/>
              <w:rPr>
                <w:sz w:val="18"/>
              </w:rPr>
            </w:pPr>
            <w:r>
              <w:rPr>
                <w:color w:val="000000"/>
                <w:sz w:val="18"/>
                <w:szCs w:val="18"/>
              </w:rPr>
              <w:t>11,782</w:t>
            </w:r>
            <w:r>
              <w:rPr>
                <w:sz w:val="18"/>
                <w:szCs w:val="18"/>
              </w:rPr>
              <w:t xml:space="preserve"> to </w:t>
            </w:r>
            <w:r w:rsidRPr="00D32894">
              <w:rPr>
                <w:color w:val="000000"/>
                <w:sz w:val="18"/>
                <w:szCs w:val="18"/>
              </w:rPr>
              <w:t>14,574</w:t>
            </w:r>
          </w:p>
        </w:tc>
        <w:tc>
          <w:tcPr>
            <w:tcW w:w="1620" w:type="dxa"/>
            <w:vAlign w:val="center"/>
          </w:tcPr>
          <w:p w:rsidRPr="004F0396" w:rsidR="00D32894" w:rsidP="00D32894" w:rsidRDefault="00D32894" w14:paraId="505B874E" w14:textId="77777777">
            <w:pPr>
              <w:pStyle w:val="Table"/>
              <w:jc w:val="center"/>
              <w:rPr>
                <w:sz w:val="18"/>
              </w:rPr>
            </w:pPr>
            <w:r>
              <w:rPr>
                <w:color w:val="000000"/>
                <w:sz w:val="18"/>
                <w:szCs w:val="18"/>
              </w:rPr>
              <w:t>56</w:t>
            </w:r>
          </w:p>
        </w:tc>
        <w:tc>
          <w:tcPr>
            <w:tcW w:w="2245" w:type="dxa"/>
            <w:vAlign w:val="center"/>
          </w:tcPr>
          <w:p w:rsidRPr="004F0396" w:rsidR="00D32894" w:rsidP="00D32894" w:rsidRDefault="007277F0" w14:paraId="62629A7E" w14:textId="66B1F404">
            <w:pPr>
              <w:pStyle w:val="Table"/>
              <w:jc w:val="center"/>
              <w:rPr>
                <w:sz w:val="18"/>
              </w:rPr>
            </w:pPr>
            <w:r>
              <w:rPr>
                <w:color w:val="000000"/>
                <w:sz w:val="18"/>
                <w:szCs w:val="18"/>
              </w:rPr>
              <w:t>6 to 26</w:t>
            </w:r>
          </w:p>
        </w:tc>
      </w:tr>
      <w:tr w:rsidRPr="004F0396" w:rsidR="00C76509" w:rsidTr="004F0396" w14:paraId="5FCA749B" w14:textId="77777777">
        <w:tc>
          <w:tcPr>
            <w:tcW w:w="3505" w:type="dxa"/>
            <w:vAlign w:val="center"/>
            <w:hideMark/>
          </w:tcPr>
          <w:p w:rsidRPr="004F0396" w:rsidR="00C76509" w:rsidP="00B44E0A" w:rsidRDefault="00E604CC" w14:paraId="20784472" w14:textId="77777777">
            <w:pPr>
              <w:pStyle w:val="Table"/>
              <w:rPr>
                <w:b/>
                <w:sz w:val="18"/>
              </w:rPr>
            </w:pPr>
            <w:r>
              <w:rPr>
                <w:b/>
                <w:bCs/>
                <w:color w:val="000000"/>
                <w:sz w:val="18"/>
                <w:szCs w:val="18"/>
              </w:rPr>
              <w:t xml:space="preserve">Primacy </w:t>
            </w:r>
            <w:r w:rsidR="00B44E0A">
              <w:rPr>
                <w:b/>
                <w:bCs/>
                <w:color w:val="000000"/>
                <w:sz w:val="18"/>
                <w:szCs w:val="18"/>
              </w:rPr>
              <w:t xml:space="preserve">Agency </w:t>
            </w:r>
            <w:r w:rsidR="00C76509">
              <w:rPr>
                <w:b/>
                <w:bCs/>
                <w:color w:val="000000"/>
                <w:sz w:val="18"/>
                <w:szCs w:val="18"/>
              </w:rPr>
              <w:t>Subtotal</w:t>
            </w:r>
          </w:p>
        </w:tc>
        <w:tc>
          <w:tcPr>
            <w:tcW w:w="1980" w:type="dxa"/>
            <w:vAlign w:val="center"/>
            <w:hideMark/>
          </w:tcPr>
          <w:p w:rsidRPr="004F0396" w:rsidR="00C76509" w:rsidP="00C76509" w:rsidRDefault="007277F0" w14:paraId="40E68BE0" w14:textId="7FCF3D1C">
            <w:pPr>
              <w:pStyle w:val="Table"/>
              <w:jc w:val="center"/>
              <w:rPr>
                <w:b/>
                <w:sz w:val="18"/>
              </w:rPr>
            </w:pPr>
            <w:r>
              <w:rPr>
                <w:b/>
                <w:bCs/>
                <w:color w:val="000000"/>
                <w:sz w:val="18"/>
                <w:szCs w:val="18"/>
              </w:rPr>
              <w:t xml:space="preserve">71,710 to </w:t>
            </w:r>
            <w:r w:rsidRPr="007277F0">
              <w:rPr>
                <w:b/>
                <w:bCs/>
                <w:color w:val="000000"/>
                <w:sz w:val="18"/>
                <w:szCs w:val="18"/>
              </w:rPr>
              <w:t>74,526</w:t>
            </w:r>
          </w:p>
        </w:tc>
        <w:tc>
          <w:tcPr>
            <w:tcW w:w="1620" w:type="dxa"/>
            <w:vAlign w:val="center"/>
            <w:hideMark/>
          </w:tcPr>
          <w:p w:rsidRPr="004F0396" w:rsidR="00C76509" w:rsidP="00C76509" w:rsidRDefault="00C76509" w14:paraId="6790EEA2" w14:textId="77777777">
            <w:pPr>
              <w:pStyle w:val="Table"/>
              <w:jc w:val="center"/>
              <w:rPr>
                <w:b/>
                <w:sz w:val="18"/>
              </w:rPr>
            </w:pPr>
            <w:r>
              <w:rPr>
                <w:b/>
                <w:bCs/>
                <w:color w:val="000000"/>
                <w:sz w:val="18"/>
                <w:szCs w:val="18"/>
              </w:rPr>
              <w:t>56</w:t>
            </w:r>
          </w:p>
        </w:tc>
        <w:tc>
          <w:tcPr>
            <w:tcW w:w="2245" w:type="dxa"/>
            <w:vAlign w:val="center"/>
            <w:hideMark/>
          </w:tcPr>
          <w:p w:rsidRPr="004F0396" w:rsidR="00C76509" w:rsidP="000474EA" w:rsidRDefault="000474EA" w14:paraId="3E1FAA06" w14:textId="77777777">
            <w:pPr>
              <w:pStyle w:val="Table"/>
              <w:jc w:val="center"/>
              <w:rPr>
                <w:b/>
                <w:sz w:val="18"/>
              </w:rPr>
            </w:pPr>
            <w:r>
              <w:rPr>
                <w:b/>
                <w:bCs/>
                <w:color w:val="000000"/>
                <w:sz w:val="18"/>
                <w:szCs w:val="18"/>
              </w:rPr>
              <w:t>varies</w:t>
            </w:r>
          </w:p>
        </w:tc>
      </w:tr>
      <w:tr w:rsidRPr="004F0396" w:rsidR="00C76509" w:rsidTr="004F0396" w14:paraId="24C40B2B" w14:textId="77777777">
        <w:tc>
          <w:tcPr>
            <w:tcW w:w="3505" w:type="dxa"/>
            <w:vAlign w:val="center"/>
            <w:hideMark/>
          </w:tcPr>
          <w:p w:rsidRPr="004F0396" w:rsidR="00C76509" w:rsidP="00B44E0A" w:rsidRDefault="00E604CC" w14:paraId="74E842A2" w14:textId="77777777">
            <w:pPr>
              <w:pStyle w:val="Table"/>
              <w:rPr>
                <w:b/>
                <w:sz w:val="18"/>
              </w:rPr>
            </w:pPr>
            <w:r>
              <w:rPr>
                <w:b/>
                <w:bCs/>
                <w:color w:val="000000"/>
                <w:sz w:val="18"/>
                <w:szCs w:val="18"/>
              </w:rPr>
              <w:t>Combined System</w:t>
            </w:r>
            <w:r w:rsidR="00C76509">
              <w:rPr>
                <w:b/>
                <w:bCs/>
                <w:color w:val="000000"/>
                <w:sz w:val="18"/>
                <w:szCs w:val="18"/>
              </w:rPr>
              <w:t xml:space="preserve"> and </w:t>
            </w:r>
            <w:r>
              <w:rPr>
                <w:b/>
                <w:bCs/>
                <w:color w:val="000000"/>
                <w:sz w:val="18"/>
                <w:szCs w:val="18"/>
              </w:rPr>
              <w:t xml:space="preserve">Primacy </w:t>
            </w:r>
            <w:r w:rsidR="00B44E0A">
              <w:rPr>
                <w:b/>
                <w:bCs/>
                <w:color w:val="000000"/>
                <w:sz w:val="18"/>
                <w:szCs w:val="18"/>
              </w:rPr>
              <w:t>Agency Total</w:t>
            </w:r>
          </w:p>
        </w:tc>
        <w:tc>
          <w:tcPr>
            <w:tcW w:w="1980" w:type="dxa"/>
            <w:vAlign w:val="center"/>
            <w:hideMark/>
          </w:tcPr>
          <w:p w:rsidRPr="004F0396" w:rsidR="00C76509" w:rsidP="00C76509" w:rsidRDefault="007277F0" w14:paraId="0D514960" w14:textId="7B626D75">
            <w:pPr>
              <w:pStyle w:val="Table"/>
              <w:jc w:val="center"/>
              <w:rPr>
                <w:b/>
                <w:sz w:val="18"/>
              </w:rPr>
            </w:pPr>
            <w:r>
              <w:rPr>
                <w:b/>
                <w:bCs/>
                <w:color w:val="000000"/>
                <w:sz w:val="18"/>
                <w:szCs w:val="18"/>
              </w:rPr>
              <w:t xml:space="preserve">346,164 to </w:t>
            </w:r>
            <w:r w:rsidRPr="007277F0">
              <w:rPr>
                <w:b/>
                <w:bCs/>
                <w:color w:val="000000"/>
                <w:sz w:val="18"/>
                <w:szCs w:val="18"/>
              </w:rPr>
              <w:t>351,796</w:t>
            </w:r>
          </w:p>
        </w:tc>
        <w:tc>
          <w:tcPr>
            <w:tcW w:w="1620" w:type="dxa"/>
            <w:vAlign w:val="center"/>
            <w:hideMark/>
          </w:tcPr>
          <w:p w:rsidRPr="004F0396" w:rsidR="00C76509" w:rsidP="00C76509" w:rsidRDefault="00C76509" w14:paraId="0278998E" w14:textId="77777777">
            <w:pPr>
              <w:pStyle w:val="Table"/>
              <w:jc w:val="center"/>
              <w:rPr>
                <w:b/>
                <w:sz w:val="18"/>
              </w:rPr>
            </w:pPr>
            <w:r>
              <w:rPr>
                <w:b/>
                <w:bCs/>
                <w:color w:val="000000"/>
                <w:sz w:val="18"/>
                <w:szCs w:val="18"/>
              </w:rPr>
              <w:t>67,712</w:t>
            </w:r>
          </w:p>
        </w:tc>
        <w:tc>
          <w:tcPr>
            <w:tcW w:w="2245" w:type="dxa"/>
            <w:vAlign w:val="center"/>
            <w:hideMark/>
          </w:tcPr>
          <w:p w:rsidRPr="004F0396" w:rsidR="00C76509" w:rsidP="000474EA" w:rsidRDefault="000474EA" w14:paraId="67A7A078" w14:textId="77777777">
            <w:pPr>
              <w:pStyle w:val="Table"/>
              <w:jc w:val="center"/>
              <w:rPr>
                <w:b/>
                <w:sz w:val="18"/>
              </w:rPr>
            </w:pPr>
            <w:r>
              <w:rPr>
                <w:b/>
                <w:bCs/>
                <w:color w:val="000000"/>
                <w:sz w:val="18"/>
                <w:szCs w:val="18"/>
              </w:rPr>
              <w:t>varies</w:t>
            </w:r>
          </w:p>
        </w:tc>
      </w:tr>
    </w:tbl>
    <w:p w:rsidR="005E15D8" w:rsidP="005E2D56" w:rsidRDefault="002B6D67" w14:paraId="0FED267F" w14:textId="53B7447C">
      <w:pPr>
        <w:pStyle w:val="TableNote"/>
      </w:pPr>
      <w:r>
        <w:t xml:space="preserve">Notes: </w:t>
      </w:r>
      <w:r w:rsidR="00FA670C">
        <w:t>Detail may not add exactly to total due to independent rounding.</w:t>
      </w:r>
      <w:r w:rsidR="007315D6">
        <w:t xml:space="preserve"> </w:t>
      </w:r>
      <w:r w:rsidR="009048AD">
        <w:t xml:space="preserve">Ranges shown for number of responses and number of respondents reflect the </w:t>
      </w:r>
      <w:r w:rsidR="00631340">
        <w:t>low-cost</w:t>
      </w:r>
      <w:r w:rsidR="009048AD">
        <w:t xml:space="preserve"> scenario to the high cost scenario. The number of systems submitting a demonstration of no LSLs is lower in the high cost scenario because more systems are estimated to have LSLs in that scenario, resulting in higher total burden and cost. Ranges shown for average burden hours per response reflect variation across system sizes. Values in this column without a range </w:t>
      </w:r>
      <w:r w:rsidR="007315D6">
        <w:t xml:space="preserve">are average estimates </w:t>
      </w:r>
      <w:r w:rsidR="000474EA">
        <w:t xml:space="preserve">per response </w:t>
      </w:r>
      <w:r w:rsidR="007315D6">
        <w:t xml:space="preserve">across all respondents; larger PWS or </w:t>
      </w:r>
      <w:r w:rsidR="007606BB">
        <w:t>primacy agencies</w:t>
      </w:r>
      <w:r w:rsidR="007315D6">
        <w:t xml:space="preserve"> may incur more hours and smaller PWS and </w:t>
      </w:r>
      <w:r w:rsidR="007606BB">
        <w:t>primacy agencies</w:t>
      </w:r>
      <w:r w:rsidR="007315D6">
        <w:t xml:space="preserve"> may incur fewer hours.</w:t>
      </w:r>
      <w:r>
        <w:t xml:space="preserve"> </w:t>
      </w:r>
      <w:r w:rsidR="000474EA">
        <w:t xml:space="preserve">Aggregate respondent totals across responses will vary according to the type of responses required and the number systems reporting to a </w:t>
      </w:r>
      <w:r w:rsidR="00E604CC">
        <w:t>primacy agency</w:t>
      </w:r>
      <w:r w:rsidR="000474EA">
        <w:t>.</w:t>
      </w:r>
    </w:p>
    <w:p w:rsidR="00E64F81" w:rsidP="005E2D56" w:rsidRDefault="00E64F81" w14:paraId="17EAA09E" w14:textId="77777777">
      <w:pPr>
        <w:pStyle w:val="Heading3"/>
      </w:pPr>
      <w:bookmarkStart w:name="_Toc160872072" w:id="34"/>
      <w:r>
        <w:t>6</w:t>
      </w:r>
      <w:r w:rsidR="00B276C0">
        <w:t>(</w:t>
      </w:r>
      <w:r>
        <w:t>a</w:t>
      </w:r>
      <w:r w:rsidR="00B276C0">
        <w:t>)</w:t>
      </w:r>
      <w:r>
        <w:t>(</w:t>
      </w:r>
      <w:proofErr w:type="spellStart"/>
      <w:r>
        <w:t>i</w:t>
      </w:r>
      <w:proofErr w:type="spellEnd"/>
      <w:r>
        <w:t>)</w:t>
      </w:r>
      <w:r>
        <w:tab/>
        <w:t>Burden to P</w:t>
      </w:r>
      <w:r w:rsidR="00B276C0">
        <w:t xml:space="preserve">ublic </w:t>
      </w:r>
      <w:r>
        <w:t>W</w:t>
      </w:r>
      <w:r w:rsidR="00B276C0">
        <w:t xml:space="preserve">ater </w:t>
      </w:r>
      <w:r>
        <w:t>S</w:t>
      </w:r>
      <w:r w:rsidR="00B276C0">
        <w:t>ystem</w:t>
      </w:r>
      <w:r>
        <w:t>s</w:t>
      </w:r>
      <w:bookmarkEnd w:id="34"/>
    </w:p>
    <w:p w:rsidR="002B6D67" w:rsidP="002B6D67" w:rsidRDefault="002B6D67" w14:paraId="1F209602" w14:textId="62D9CDB0">
      <w:pPr>
        <w:pStyle w:val="NormalIndent"/>
      </w:pPr>
      <w:r>
        <w:t xml:space="preserve">During the initial </w:t>
      </w:r>
      <w:r w:rsidR="00631340">
        <w:t>three-year</w:t>
      </w:r>
      <w:r>
        <w:t xml:space="preserve"> period, public water systems will conduct one-time startup activities that include the following:</w:t>
      </w:r>
    </w:p>
    <w:p w:rsidR="002B6D67" w:rsidP="002B6D67" w:rsidRDefault="002B6D67" w14:paraId="40277E94" w14:textId="77777777">
      <w:pPr>
        <w:pStyle w:val="Bullets"/>
      </w:pPr>
      <w:r>
        <w:t xml:space="preserve">Reading and understanding the </w:t>
      </w:r>
      <w:r w:rsidR="00C018A3">
        <w:t>LCRR</w:t>
      </w:r>
    </w:p>
    <w:p w:rsidR="002B6D67" w:rsidP="002B6D67" w:rsidRDefault="002B6D67" w14:paraId="462FC1EA" w14:textId="77777777">
      <w:pPr>
        <w:pStyle w:val="Bullets"/>
      </w:pPr>
      <w:r>
        <w:t>Assigning personnel and resources for rule implementation</w:t>
      </w:r>
    </w:p>
    <w:p w:rsidR="002B6D67" w:rsidP="009F5BB6" w:rsidRDefault="002B6D67" w14:paraId="312F1928" w14:textId="77777777">
      <w:pPr>
        <w:pStyle w:val="Bullets"/>
      </w:pPr>
      <w:r>
        <w:lastRenderedPageBreak/>
        <w:t xml:space="preserve">Attending training and receiving technical assistance from the </w:t>
      </w:r>
      <w:r w:rsidR="009F5BB6">
        <w:t>primacy agency</w:t>
      </w:r>
    </w:p>
    <w:p w:rsidR="002B6D67" w:rsidP="009F5BB6" w:rsidRDefault="002B6D67" w14:paraId="76E4E3A0" w14:textId="77777777">
      <w:pPr>
        <w:pStyle w:val="Bullets"/>
      </w:pPr>
      <w:r>
        <w:t>D</w:t>
      </w:r>
      <w:r w:rsidRPr="0063474A">
        <w:t>evelop</w:t>
      </w:r>
      <w:r>
        <w:t>ing</w:t>
      </w:r>
      <w:r w:rsidRPr="0063474A">
        <w:t xml:space="preserve"> </w:t>
      </w:r>
      <w:r>
        <w:t>LSL</w:t>
      </w:r>
      <w:r w:rsidRPr="0063474A">
        <w:t xml:space="preserve"> inventor</w:t>
      </w:r>
      <w:r>
        <w:t>ies</w:t>
      </w:r>
      <w:r w:rsidRPr="0063474A">
        <w:t xml:space="preserve"> or submit</w:t>
      </w:r>
      <w:r>
        <w:t xml:space="preserve">ting </w:t>
      </w:r>
      <w:r w:rsidRPr="0063474A">
        <w:t>demonstration</w:t>
      </w:r>
      <w:r>
        <w:t>s</w:t>
      </w:r>
      <w:r w:rsidRPr="0063474A">
        <w:t xml:space="preserve"> that they do not have </w:t>
      </w:r>
      <w:r>
        <w:t>LSL</w:t>
      </w:r>
      <w:r w:rsidRPr="0063474A">
        <w:t>s</w:t>
      </w:r>
    </w:p>
    <w:p w:rsidR="00C76509" w:rsidP="009F5BB6" w:rsidRDefault="00205F94" w14:paraId="45FD77FF" w14:textId="74BD9F71">
      <w:pPr>
        <w:pStyle w:val="Bullets"/>
      </w:pPr>
      <w:r>
        <w:t>Conferring with the primacy agency on initial planning for LSLR</w:t>
      </w:r>
      <w:r w:rsidR="00E23F91">
        <w:t xml:space="preserve"> and preparing LSLR plans</w:t>
      </w:r>
      <w:r w:rsidR="00C76509">
        <w:t>.</w:t>
      </w:r>
    </w:p>
    <w:p w:rsidR="00B1767A" w:rsidP="002034F3" w:rsidRDefault="00B95A19" w14:paraId="27F149AE" w14:textId="77777777">
      <w:pPr>
        <w:pStyle w:val="NormalIndent"/>
      </w:pPr>
      <w:r>
        <w:t>The</w:t>
      </w:r>
      <w:r w:rsidRPr="0027584B" w:rsidR="008F0759">
        <w:t xml:space="preserve"> one-time burden associated with </w:t>
      </w:r>
      <w:r w:rsidR="00B1767A">
        <w:t xml:space="preserve">reading and understanding the rule, assigning personnel and resources, and attending training is estimated </w:t>
      </w:r>
      <w:r w:rsidR="009F5BB6">
        <w:t>to average</w:t>
      </w:r>
      <w:r w:rsidR="00B1767A">
        <w:t xml:space="preserve"> 20 hours per system</w:t>
      </w:r>
      <w:r w:rsidRPr="0027584B" w:rsidR="008F0759">
        <w:t>. These activit</w:t>
      </w:r>
      <w:r w:rsidR="008F0759">
        <w:t xml:space="preserve">ies </w:t>
      </w:r>
      <w:r w:rsidRPr="0027584B" w:rsidR="008F0759">
        <w:t xml:space="preserve">will be undertaken by </w:t>
      </w:r>
      <w:r w:rsidR="00B1767A">
        <w:t>all</w:t>
      </w:r>
      <w:r w:rsidRPr="0027584B" w:rsidR="00B1767A">
        <w:t xml:space="preserve"> </w:t>
      </w:r>
      <w:r w:rsidR="000E01AE">
        <w:t>67,656</w:t>
      </w:r>
      <w:r w:rsidRPr="0027584B" w:rsidR="008F0759">
        <w:t xml:space="preserve"> CWSs and NTNCWSs that must comply with the LCR. </w:t>
      </w:r>
      <w:r w:rsidRPr="0027584B" w:rsidR="00B1767A">
        <w:t>T</w:t>
      </w:r>
      <w:r w:rsidR="00B1767A">
        <w:t>he t</w:t>
      </w:r>
      <w:r w:rsidRPr="0027584B" w:rsidR="00B1767A">
        <w:t>otal burden</w:t>
      </w:r>
      <w:r w:rsidR="00B1767A">
        <w:t xml:space="preserve"> for these activities, for the three-year period,</w:t>
      </w:r>
      <w:r w:rsidRPr="0027584B" w:rsidR="00B1767A">
        <w:t xml:space="preserve"> for all systems is estimated to be </w:t>
      </w:r>
      <w:r w:rsidR="00B1767A">
        <w:t>1,353,120 hours (67,656</w:t>
      </w:r>
      <w:r w:rsidR="00D8246F">
        <w:t xml:space="preserve"> systems</w:t>
      </w:r>
      <w:r w:rsidR="00B1767A">
        <w:t xml:space="preserve"> x 20</w:t>
      </w:r>
      <w:r w:rsidR="00D8246F">
        <w:t xml:space="preserve"> hours/system</w:t>
      </w:r>
      <w:r w:rsidR="00B1767A">
        <w:t>)</w:t>
      </w:r>
      <w:r w:rsidR="00CC0AFB">
        <w:t xml:space="preserve">, </w:t>
      </w:r>
      <w:r w:rsidR="00361B65">
        <w:t xml:space="preserve">or </w:t>
      </w:r>
      <w:r w:rsidR="00CC0AFB">
        <w:t>an average of 451,040 hours per year</w:t>
      </w:r>
      <w:r w:rsidR="00B1767A">
        <w:t>.</w:t>
      </w:r>
      <w:r w:rsidRPr="0027584B" w:rsidR="008F0759">
        <w:t xml:space="preserve"> </w:t>
      </w:r>
    </w:p>
    <w:p w:rsidR="002B6D67" w:rsidP="00120EA8" w:rsidRDefault="005B18FC" w14:paraId="6EA45C18" w14:textId="765941D5">
      <w:pPr>
        <w:pStyle w:val="NormalIndent"/>
      </w:pPr>
      <w:r>
        <w:t xml:space="preserve">The EPA’s estimates of burden for </w:t>
      </w:r>
      <w:r w:rsidR="00E8725A">
        <w:t>systems to submit demonstrations of no LSLs</w:t>
      </w:r>
      <w:r>
        <w:t xml:space="preserve"> incorporate probabilities that systems have existing documentation of no LSLs. The probabilities used to estimate </w:t>
      </w:r>
      <w:r w:rsidR="0026218F">
        <w:t xml:space="preserve">this </w:t>
      </w:r>
      <w:r>
        <w:t xml:space="preserve">burden range from 5% to </w:t>
      </w:r>
      <w:r w:rsidR="00564AAE">
        <w:t xml:space="preserve">21% </w:t>
      </w:r>
      <w:r>
        <w:t>depending on system size</w:t>
      </w:r>
      <w:r w:rsidR="00E8725A">
        <w:t xml:space="preserve"> and type (i.e., CWSs versus NTNCWSs)</w:t>
      </w:r>
      <w:r>
        <w:t xml:space="preserve">. </w:t>
      </w:r>
      <w:r w:rsidR="00E62E42">
        <w:t xml:space="preserve">The </w:t>
      </w:r>
      <w:r w:rsidR="00120EA8">
        <w:t xml:space="preserve">EPA estimates that </w:t>
      </w:r>
      <w:r w:rsidR="00564AAE">
        <w:t xml:space="preserve">49,435 to </w:t>
      </w:r>
      <w:r w:rsidRPr="00564AAE" w:rsidR="00564AAE">
        <w:t>47,104</w:t>
      </w:r>
      <w:r w:rsidR="00564AAE">
        <w:t xml:space="preserve"> </w:t>
      </w:r>
      <w:r w:rsidR="00120EA8">
        <w:t>systems will submit demonstrations of no LSLs.</w:t>
      </w:r>
      <w:r w:rsidR="00E8725A">
        <w:rPr>
          <w:rStyle w:val="FootnoteReference"/>
        </w:rPr>
        <w:footnoteReference w:id="13"/>
      </w:r>
      <w:r w:rsidR="00120EA8">
        <w:t xml:space="preserve"> The burden for </w:t>
      </w:r>
      <w:r w:rsidR="00E170F7">
        <w:t>this activity</w:t>
      </w:r>
      <w:r w:rsidR="002B6D67">
        <w:t xml:space="preserve"> is estimated to range from </w:t>
      </w:r>
      <w:r w:rsidR="00E02C57">
        <w:t xml:space="preserve">5 </w:t>
      </w:r>
      <w:r w:rsidR="002B6D67">
        <w:t xml:space="preserve">to </w:t>
      </w:r>
      <w:r w:rsidR="00D32894">
        <w:t>4</w:t>
      </w:r>
      <w:r w:rsidR="00E02C57">
        <w:t xml:space="preserve">0 </w:t>
      </w:r>
      <w:r w:rsidR="00120EA8">
        <w:t>hours per system depending on system size</w:t>
      </w:r>
      <w:r w:rsidR="0026218F">
        <w:t xml:space="preserve"> and type</w:t>
      </w:r>
      <w:r w:rsidR="00120EA8">
        <w:t xml:space="preserve">. </w:t>
      </w:r>
      <w:r w:rsidR="002B6D67">
        <w:t xml:space="preserve">The total burden for this activity is estimated to be </w:t>
      </w:r>
      <w:r w:rsidR="00564AAE">
        <w:t xml:space="preserve">477,185 to </w:t>
      </w:r>
      <w:r w:rsidRPr="00564AAE" w:rsidR="00564AAE">
        <w:t>443,055</w:t>
      </w:r>
      <w:r w:rsidR="00564AAE">
        <w:t xml:space="preserve"> </w:t>
      </w:r>
      <w:r w:rsidR="002B6D67">
        <w:t>hours</w:t>
      </w:r>
      <w:r w:rsidR="00EC1DDE">
        <w:t xml:space="preserve">, </w:t>
      </w:r>
      <w:r w:rsidR="00361B65">
        <w:t xml:space="preserve">or </w:t>
      </w:r>
      <w:r w:rsidR="00EC1DDE">
        <w:t xml:space="preserve">an average of </w:t>
      </w:r>
      <w:r w:rsidR="00564AAE">
        <w:t xml:space="preserve">159,062 to </w:t>
      </w:r>
      <w:r w:rsidRPr="00564AAE" w:rsidR="00564AAE">
        <w:t xml:space="preserve">147,685 </w:t>
      </w:r>
      <w:r w:rsidR="00EC1DDE">
        <w:t>hours</w:t>
      </w:r>
      <w:r w:rsidR="003749F0">
        <w:t xml:space="preserve"> per year</w:t>
      </w:r>
      <w:r w:rsidR="002B6D67">
        <w:t>. See Appendix B for a more detailed presentation of the data used in generating this estimate.</w:t>
      </w:r>
    </w:p>
    <w:p w:rsidR="00120EA8" w:rsidP="00120EA8" w:rsidRDefault="00120EA8" w14:paraId="326DF44A" w14:textId="66CAAFC7">
      <w:pPr>
        <w:pStyle w:val="NormalIndent"/>
      </w:pPr>
      <w:r>
        <w:t xml:space="preserve">The remaining systems will have to develop an inventory if they do not already have an existing inventory that meets the requirements of the </w:t>
      </w:r>
      <w:r w:rsidR="00C018A3">
        <w:t>LCRR</w:t>
      </w:r>
      <w:r>
        <w:t xml:space="preserve">. </w:t>
      </w:r>
      <w:r w:rsidR="00E62E42">
        <w:t>The</w:t>
      </w:r>
      <w:r>
        <w:t xml:space="preserve"> EPA’s estimates of burden </w:t>
      </w:r>
      <w:r w:rsidR="002B6D67">
        <w:t xml:space="preserve">for this provision incorporate </w:t>
      </w:r>
      <w:r w:rsidR="00F00B30">
        <w:t>probabilities that</w:t>
      </w:r>
      <w:r>
        <w:t xml:space="preserve"> systems have an</w:t>
      </w:r>
      <w:r w:rsidR="002B6D67">
        <w:t xml:space="preserve"> existing inventory. </w:t>
      </w:r>
      <w:r w:rsidR="00D23847">
        <w:t>The probabilities used to estimate burden range from</w:t>
      </w:r>
      <w:r w:rsidR="002B6D67">
        <w:t xml:space="preserve"> </w:t>
      </w:r>
      <w:r w:rsidR="00D32894">
        <w:t>5</w:t>
      </w:r>
      <w:r w:rsidR="002B6D67">
        <w:t xml:space="preserve">% to </w:t>
      </w:r>
      <w:r w:rsidR="00564AAE">
        <w:t xml:space="preserve">16% </w:t>
      </w:r>
      <w:r w:rsidR="00D23847">
        <w:t>depending on system size</w:t>
      </w:r>
      <w:r w:rsidRPr="0026218F" w:rsidR="0026218F">
        <w:t xml:space="preserve"> </w:t>
      </w:r>
      <w:r w:rsidR="0026218F">
        <w:t>and type (i.e., CWSs versus NTNCWSs)</w:t>
      </w:r>
      <w:r w:rsidR="002B6D67">
        <w:t xml:space="preserve">. </w:t>
      </w:r>
      <w:r>
        <w:t xml:space="preserve">The </w:t>
      </w:r>
      <w:r w:rsidR="005B18FC">
        <w:t xml:space="preserve">EPA estimates that </w:t>
      </w:r>
      <w:r w:rsidR="00564AAE">
        <w:t xml:space="preserve">10,269 to </w:t>
      </w:r>
      <w:r w:rsidRPr="00564AAE" w:rsidR="00564AAE">
        <w:t>12,624</w:t>
      </w:r>
      <w:r w:rsidR="00564AAE">
        <w:t xml:space="preserve"> </w:t>
      </w:r>
      <w:r w:rsidR="005B18FC">
        <w:t>systems will develop an LSL inventory</w:t>
      </w:r>
      <w:r>
        <w:t xml:space="preserve">. The </w:t>
      </w:r>
      <w:r w:rsidR="00361B65">
        <w:t xml:space="preserve">per-system </w:t>
      </w:r>
      <w:r>
        <w:t>burden is estimated to range from</w:t>
      </w:r>
      <w:r w:rsidR="00564AAE">
        <w:t xml:space="preserve"> 20 to 400 </w:t>
      </w:r>
      <w:r>
        <w:t>hours depending on system size</w:t>
      </w:r>
      <w:r w:rsidR="0026218F">
        <w:t xml:space="preserve"> and type</w:t>
      </w:r>
      <w:r>
        <w:t xml:space="preserve">. </w:t>
      </w:r>
      <w:r w:rsidR="00011D69">
        <w:t xml:space="preserve">The total burden </w:t>
      </w:r>
      <w:r w:rsidR="007F39D1">
        <w:t>estimate</w:t>
      </w:r>
      <w:r w:rsidR="009F5BB6">
        <w:t xml:space="preserve"> </w:t>
      </w:r>
      <w:r w:rsidR="00011D69">
        <w:t xml:space="preserve">for this activity </w:t>
      </w:r>
      <w:r w:rsidR="00D23847">
        <w:t>is</w:t>
      </w:r>
      <w:r w:rsidR="00564AAE">
        <w:t xml:space="preserve"> 467,081 to </w:t>
      </w:r>
      <w:r w:rsidRPr="00564AAE" w:rsidR="00564AAE">
        <w:t>613,141</w:t>
      </w:r>
      <w:r w:rsidR="00564AAE">
        <w:t xml:space="preserve"> </w:t>
      </w:r>
      <w:r w:rsidR="00EC1DDE">
        <w:t xml:space="preserve">hours, </w:t>
      </w:r>
      <w:r w:rsidR="00361B65">
        <w:t xml:space="preserve">or </w:t>
      </w:r>
      <w:r w:rsidR="00EC1DDE">
        <w:t>an average of</w:t>
      </w:r>
      <w:r w:rsidR="00564AAE">
        <w:t xml:space="preserve"> 155,694 to </w:t>
      </w:r>
      <w:r w:rsidRPr="00564AAE" w:rsidR="00564AAE">
        <w:t>204,380</w:t>
      </w:r>
      <w:r w:rsidRPr="005B18FC" w:rsidR="005B18FC">
        <w:t xml:space="preserve"> </w:t>
      </w:r>
      <w:r w:rsidR="00EC1DDE">
        <w:t>hours</w:t>
      </w:r>
      <w:r w:rsidR="003749F0">
        <w:t xml:space="preserve"> per year</w:t>
      </w:r>
      <w:r w:rsidR="00011D69">
        <w:t>. See Appendix B for a more detailed presentation of the data used in generating this estimate.</w:t>
      </w:r>
    </w:p>
    <w:p w:rsidR="00E52ED6" w:rsidP="00120EA8" w:rsidRDefault="00E52ED6" w14:paraId="3F418031" w14:textId="7D66C113">
      <w:pPr>
        <w:pStyle w:val="NormalIndent"/>
      </w:pPr>
      <w:r>
        <w:t xml:space="preserve">In addition, systems </w:t>
      </w:r>
      <w:r w:rsidR="005B18FC">
        <w:t>with LSLs</w:t>
      </w:r>
      <w:r w:rsidR="002C2B30">
        <w:t xml:space="preserve"> </w:t>
      </w:r>
      <w:r w:rsidR="00C92CD1">
        <w:t>will d</w:t>
      </w:r>
      <w:r w:rsidRPr="00C92CD1" w:rsidR="00C92CD1">
        <w:t>evelop an LSLR plan</w:t>
      </w:r>
      <w:r w:rsidR="00EB792F">
        <w:t xml:space="preserve"> includes a communication plan to alert customers before an LSLR, procedures for coordinating a full LSLR where ownership is shared between the system and homeowner, a funding strategy for conducting LSLR, and a pitcher filter tracking and maintenance plan</w:t>
      </w:r>
      <w:r w:rsidR="00C92CD1">
        <w:t xml:space="preserve">. </w:t>
      </w:r>
      <w:r w:rsidR="00E02C57">
        <w:t>The burden for this activity is estimated to range from</w:t>
      </w:r>
      <w:r w:rsidR="00564AAE">
        <w:t xml:space="preserve"> 12 to 52</w:t>
      </w:r>
      <w:r w:rsidR="005B18FC">
        <w:t xml:space="preserve"> </w:t>
      </w:r>
      <w:r w:rsidR="00E02C57">
        <w:t>hours per system depending on system size</w:t>
      </w:r>
      <w:r w:rsidR="0026218F">
        <w:t xml:space="preserve"> and type</w:t>
      </w:r>
      <w:r w:rsidR="00E02C57">
        <w:t>. The total burden for this activity is estimated to be</w:t>
      </w:r>
      <w:r w:rsidR="00564AAE">
        <w:t xml:space="preserve"> </w:t>
      </w:r>
      <w:r w:rsidRPr="00564AAE" w:rsidR="00564AAE">
        <w:t>216,656</w:t>
      </w:r>
      <w:r w:rsidR="00564AAE">
        <w:t xml:space="preserve"> to </w:t>
      </w:r>
      <w:r w:rsidRPr="00564AAE" w:rsidR="00564AAE">
        <w:t>280,608</w:t>
      </w:r>
      <w:r w:rsidRPr="005B18FC" w:rsidR="005B18FC">
        <w:t xml:space="preserve"> </w:t>
      </w:r>
      <w:r w:rsidR="00E02C57">
        <w:t>hours</w:t>
      </w:r>
      <w:r w:rsidR="00EC1DDE">
        <w:t>, an average of</w:t>
      </w:r>
      <w:r w:rsidR="00564AAE">
        <w:t xml:space="preserve"> 72,219 to </w:t>
      </w:r>
      <w:r w:rsidRPr="00564AAE" w:rsidR="00564AAE">
        <w:t>93,536</w:t>
      </w:r>
      <w:r w:rsidRPr="005B18FC" w:rsidR="005B18FC">
        <w:t xml:space="preserve"> </w:t>
      </w:r>
      <w:r w:rsidR="00EC1DDE">
        <w:t>hours</w:t>
      </w:r>
      <w:r w:rsidR="00145AA1">
        <w:t xml:space="preserve"> per year</w:t>
      </w:r>
      <w:r w:rsidR="00E02C57">
        <w:t>.</w:t>
      </w:r>
      <w:r w:rsidR="004741EF">
        <w:t xml:space="preserve"> See Appendix B for a more detailed presentation of the data used in generating this estimate.</w:t>
      </w:r>
    </w:p>
    <w:p w:rsidR="00F16140" w:rsidP="00120EA8" w:rsidRDefault="00120EA8" w14:paraId="4EDFB250" w14:textId="08776A6A">
      <w:pPr>
        <w:pStyle w:val="NormalIndent"/>
      </w:pPr>
      <w:r>
        <w:lastRenderedPageBreak/>
        <w:t xml:space="preserve">Adding the burden for </w:t>
      </w:r>
      <w:r w:rsidR="00011D69">
        <w:t xml:space="preserve">all of the activities </w:t>
      </w:r>
      <w:r>
        <w:t xml:space="preserve">for the three-year period, </w:t>
      </w:r>
      <w:r w:rsidR="00011D69">
        <w:t xml:space="preserve">the total burden </w:t>
      </w:r>
      <w:r>
        <w:t>for all systems is estimated to be</w:t>
      </w:r>
      <w:r w:rsidR="00564AAE">
        <w:t xml:space="preserve"> 2,514,042 to </w:t>
      </w:r>
      <w:r w:rsidRPr="00564AAE" w:rsidR="00564AAE">
        <w:t>2,689,924</w:t>
      </w:r>
      <w:r w:rsidR="00564AAE">
        <w:t xml:space="preserve"> </w:t>
      </w:r>
      <w:r w:rsidRPr="00663BE6" w:rsidR="006D58E6">
        <w:t>hours</w:t>
      </w:r>
      <w:r>
        <w:t xml:space="preserve">, </w:t>
      </w:r>
      <w:r w:rsidR="00F74B39">
        <w:t xml:space="preserve">or </w:t>
      </w:r>
      <w:r w:rsidR="00EC1DDE">
        <w:t>an average of</w:t>
      </w:r>
      <w:r w:rsidR="00564AAE">
        <w:t xml:space="preserve"> 838,014 to </w:t>
      </w:r>
      <w:r w:rsidRPr="00564AAE" w:rsidR="00564AAE">
        <w:t>896,641</w:t>
      </w:r>
      <w:r w:rsidRPr="005B18FC" w:rsidR="005B18FC">
        <w:t xml:space="preserve"> </w:t>
      </w:r>
      <w:r w:rsidR="00EC1DDE">
        <w:t xml:space="preserve">hours </w:t>
      </w:r>
      <w:r w:rsidR="003749F0">
        <w:t>per year</w:t>
      </w:r>
      <w:r w:rsidR="00145AA1">
        <w:t>,</w:t>
      </w:r>
      <w:r w:rsidR="003749F0">
        <w:t xml:space="preserve"> </w:t>
      </w:r>
      <w:r w:rsidR="00EC1DDE">
        <w:t xml:space="preserve">and </w:t>
      </w:r>
      <w:r>
        <w:t xml:space="preserve">an average burden </w:t>
      </w:r>
      <w:r w:rsidR="00145AA1">
        <w:t xml:space="preserve">total over three years </w:t>
      </w:r>
      <w:r w:rsidR="006D58E6">
        <w:t>of</w:t>
      </w:r>
      <w:r w:rsidR="00564AAE">
        <w:t xml:space="preserve"> 37.16 to </w:t>
      </w:r>
      <w:r w:rsidRPr="00564AAE" w:rsidR="00564AAE">
        <w:t>39.76</w:t>
      </w:r>
      <w:r w:rsidRPr="005B18FC" w:rsidR="005B18FC">
        <w:t xml:space="preserve"> </w:t>
      </w:r>
      <w:r w:rsidR="006D58E6">
        <w:t>hours per system</w:t>
      </w:r>
      <w:r>
        <w:t>.</w:t>
      </w:r>
      <w:r w:rsidR="008F0759">
        <w:t xml:space="preserve"> </w:t>
      </w:r>
    </w:p>
    <w:p w:rsidR="00E64F81" w:rsidP="002034F3" w:rsidRDefault="00C203D5" w14:paraId="76C89115" w14:textId="77777777">
      <w:pPr>
        <w:pStyle w:val="NormalIndent"/>
      </w:pPr>
      <w:r w:rsidRPr="00D92095">
        <w:t>All recurring</w:t>
      </w:r>
      <w:r w:rsidRPr="00D92095" w:rsidR="000E01AE">
        <w:t xml:space="preserve"> activities begin after the first three years and are qualitatively described in Section </w:t>
      </w:r>
      <w:r w:rsidRPr="00D92095" w:rsidR="00F16140">
        <w:t>2</w:t>
      </w:r>
      <w:r w:rsidRPr="00D92095" w:rsidR="000E01AE">
        <w:t>.</w:t>
      </w:r>
      <w:r w:rsidR="000E01AE">
        <w:t xml:space="preserve"> </w:t>
      </w:r>
    </w:p>
    <w:p w:rsidR="00E64F81" w:rsidP="005E2D56" w:rsidRDefault="00E64F81" w14:paraId="0772D3A9" w14:textId="77777777">
      <w:pPr>
        <w:pStyle w:val="Heading3"/>
      </w:pPr>
      <w:bookmarkStart w:name="_Toc160872073" w:id="35"/>
      <w:r>
        <w:t>6</w:t>
      </w:r>
      <w:r w:rsidR="00B276C0">
        <w:t>(</w:t>
      </w:r>
      <w:r>
        <w:t>a</w:t>
      </w:r>
      <w:r w:rsidR="00B276C0">
        <w:t>)</w:t>
      </w:r>
      <w:r>
        <w:t>(ii)</w:t>
      </w:r>
      <w:r>
        <w:tab/>
        <w:t xml:space="preserve">Burden to </w:t>
      </w:r>
      <w:bookmarkEnd w:id="35"/>
      <w:r w:rsidR="00B276C0">
        <w:t>Primacy Agencies</w:t>
      </w:r>
    </w:p>
    <w:p w:rsidR="00C203D5" w:rsidP="00021325" w:rsidRDefault="00C203D5" w14:paraId="5B2EA5C7" w14:textId="6DE6111E">
      <w:pPr>
        <w:pStyle w:val="NormalIndent"/>
      </w:pPr>
      <w:r>
        <w:t xml:space="preserve">During the initial </w:t>
      </w:r>
      <w:r w:rsidR="00631340">
        <w:t>three-year</w:t>
      </w:r>
      <w:r>
        <w:t xml:space="preserve"> period, primacy agencies will incur burden associated with one-time startup activities that include the following:</w:t>
      </w:r>
    </w:p>
    <w:p w:rsidR="00C203D5" w:rsidP="002034F3" w:rsidRDefault="00C203D5" w14:paraId="728507C5" w14:textId="77777777">
      <w:pPr>
        <w:pStyle w:val="Bullets"/>
      </w:pPr>
      <w:r>
        <w:t>Adopting the rule and developing a program to implement it</w:t>
      </w:r>
    </w:p>
    <w:p w:rsidR="00C203D5" w:rsidP="002034F3" w:rsidRDefault="00C203D5" w14:paraId="7488030E" w14:textId="77777777">
      <w:pPr>
        <w:pStyle w:val="Bullets"/>
      </w:pPr>
      <w:r>
        <w:t>Modifying their data system</w:t>
      </w:r>
    </w:p>
    <w:p w:rsidR="00444917" w:rsidP="002034F3" w:rsidRDefault="00C203D5" w14:paraId="20EA1EE8" w14:textId="33D48AD8">
      <w:pPr>
        <w:pStyle w:val="Bullets"/>
      </w:pPr>
      <w:r>
        <w:t xml:space="preserve">Providing </w:t>
      </w:r>
      <w:r w:rsidR="00205F94">
        <w:t xml:space="preserve">system </w:t>
      </w:r>
      <w:r>
        <w:t>staff with training and technical assistance</w:t>
      </w:r>
    </w:p>
    <w:p w:rsidR="00205F94" w:rsidP="002034F3" w:rsidRDefault="00205F94" w14:paraId="7BDF5895" w14:textId="0442ED00">
      <w:pPr>
        <w:pStyle w:val="Bullets"/>
      </w:pPr>
      <w:r>
        <w:t>Providing internal staff with training for implementation</w:t>
      </w:r>
    </w:p>
    <w:p w:rsidR="00224DF7" w:rsidP="002034F3" w:rsidRDefault="00224DF7" w14:paraId="4F732075" w14:textId="67A2CCEA">
      <w:pPr>
        <w:pStyle w:val="Bullets"/>
      </w:pPr>
      <w:proofErr w:type="gramStart"/>
      <w:r>
        <w:t>Providing assistance</w:t>
      </w:r>
      <w:proofErr w:type="gramEnd"/>
      <w:r>
        <w:t xml:space="preserve"> with the creation of LSL inventories and reviewing inventories</w:t>
      </w:r>
    </w:p>
    <w:p w:rsidR="00E02C57" w:rsidP="002034F3" w:rsidRDefault="00444917" w14:paraId="50B076A2" w14:textId="77777777">
      <w:pPr>
        <w:pStyle w:val="Bullets"/>
      </w:pPr>
      <w:r>
        <w:t>Reviewing demonstrations of no LSLs from systems</w:t>
      </w:r>
    </w:p>
    <w:p w:rsidR="00C203D5" w:rsidP="00A539B3" w:rsidRDefault="00A539B3" w14:paraId="1CC40237" w14:textId="7497B9A3">
      <w:pPr>
        <w:pStyle w:val="Bullets"/>
      </w:pPr>
      <w:r>
        <w:t>Conferring</w:t>
      </w:r>
      <w:r w:rsidRPr="00A539B3">
        <w:t xml:space="preserve"> on and </w:t>
      </w:r>
      <w:r>
        <w:t>reviewing</w:t>
      </w:r>
      <w:r w:rsidRPr="00A539B3">
        <w:t xml:space="preserve"> initial LSLR plan</w:t>
      </w:r>
      <w:r w:rsidR="00E02C57">
        <w:t>.</w:t>
      </w:r>
    </w:p>
    <w:p w:rsidR="00444917" w:rsidP="00444917" w:rsidRDefault="00444917" w14:paraId="2695B7E5" w14:textId="19A3FABC">
      <w:pPr>
        <w:pStyle w:val="NormalIndent"/>
      </w:pPr>
      <w:r>
        <w:t>The</w:t>
      </w:r>
      <w:r w:rsidRPr="0027584B">
        <w:t xml:space="preserve"> burden associated with </w:t>
      </w:r>
      <w:r w:rsidR="00E170F7">
        <w:t>adopting the rule</w:t>
      </w:r>
      <w:r>
        <w:t xml:space="preserve">, </w:t>
      </w:r>
      <w:r w:rsidR="00E170F7">
        <w:t xml:space="preserve">modifying data systems, </w:t>
      </w:r>
      <w:r>
        <w:t xml:space="preserve">and </w:t>
      </w:r>
      <w:r w:rsidR="00E170F7">
        <w:t>providing</w:t>
      </w:r>
      <w:r>
        <w:t xml:space="preserve"> training </w:t>
      </w:r>
      <w:r w:rsidR="00205F94">
        <w:t xml:space="preserve">for system staff and internal staff </w:t>
      </w:r>
      <w:r w:rsidR="00CC1D6E">
        <w:t xml:space="preserve">during the first three years </w:t>
      </w:r>
      <w:r>
        <w:t xml:space="preserve">is estimated at </w:t>
      </w:r>
      <w:r w:rsidR="00363F61">
        <w:t>an average of</w:t>
      </w:r>
      <w:r w:rsidR="00205F94">
        <w:t xml:space="preserve"> </w:t>
      </w:r>
      <w:r w:rsidR="00F22F24">
        <w:t>7,128</w:t>
      </w:r>
      <w:r w:rsidR="00205F94">
        <w:t xml:space="preserve"> </w:t>
      </w:r>
      <w:r>
        <w:t>hours per primacy agency</w:t>
      </w:r>
      <w:r w:rsidRPr="0027584B">
        <w:t>. T</w:t>
      </w:r>
      <w:r>
        <w:t>he t</w:t>
      </w:r>
      <w:r w:rsidRPr="0027584B">
        <w:t>otal burden</w:t>
      </w:r>
      <w:r>
        <w:t xml:space="preserve"> for these activities, for the three-year period,</w:t>
      </w:r>
      <w:r w:rsidRPr="0027584B">
        <w:t xml:space="preserve"> for </w:t>
      </w:r>
      <w:r w:rsidR="00E170F7">
        <w:t>the 56 primacy agencies</w:t>
      </w:r>
      <w:r w:rsidRPr="0027584B">
        <w:t xml:space="preserve"> is estimated to be</w:t>
      </w:r>
      <w:r w:rsidRPr="00205F94" w:rsidR="00205F94">
        <w:t xml:space="preserve"> </w:t>
      </w:r>
      <w:r w:rsidRPr="00F22F24" w:rsidR="00F22F24">
        <w:t xml:space="preserve">399,168 </w:t>
      </w:r>
      <w:r>
        <w:t>hours (</w:t>
      </w:r>
      <w:r w:rsidR="00E170F7">
        <w:t>56</w:t>
      </w:r>
      <w:r w:rsidR="00D8246F">
        <w:t xml:space="preserve"> agencies</w:t>
      </w:r>
      <w:r w:rsidR="00E170F7">
        <w:t xml:space="preserve"> x</w:t>
      </w:r>
      <w:r w:rsidR="00205F94">
        <w:t xml:space="preserve"> </w:t>
      </w:r>
      <w:r w:rsidR="00F22F24">
        <w:t>7,128</w:t>
      </w:r>
      <w:r w:rsidRPr="00F22F24" w:rsidR="00F22F24">
        <w:t xml:space="preserve"> </w:t>
      </w:r>
      <w:r w:rsidR="00D8246F">
        <w:t>hours/agency</w:t>
      </w:r>
      <w:r>
        <w:t>)</w:t>
      </w:r>
      <w:r w:rsidR="00EC1DDE">
        <w:t>, an average of</w:t>
      </w:r>
      <w:r w:rsidR="00205F94">
        <w:t xml:space="preserve"> </w:t>
      </w:r>
      <w:r w:rsidRPr="00F22F24" w:rsidR="00F22F24">
        <w:t>133,056</w:t>
      </w:r>
      <w:r w:rsidR="00EC1DDE">
        <w:t xml:space="preserve"> hours</w:t>
      </w:r>
      <w:r w:rsidR="00145AA1">
        <w:t xml:space="preserve"> per year</w:t>
      </w:r>
      <w:r>
        <w:t>.</w:t>
      </w:r>
      <w:r w:rsidRPr="0027584B">
        <w:t xml:space="preserve"> </w:t>
      </w:r>
    </w:p>
    <w:p w:rsidR="00224DF7" w:rsidP="00444917" w:rsidRDefault="00224DF7" w14:paraId="6B9C0F3D" w14:textId="4649199E">
      <w:pPr>
        <w:pStyle w:val="NormalIndent"/>
      </w:pPr>
      <w:r>
        <w:t xml:space="preserve">The burden for primacy agencies to </w:t>
      </w:r>
      <w:proofErr w:type="gramStart"/>
      <w:r>
        <w:t>provide assistance</w:t>
      </w:r>
      <w:proofErr w:type="gramEnd"/>
      <w:r>
        <w:t xml:space="preserve"> with the creation of the LSL inventories and review the submitted inventories is estimated to range from</w:t>
      </w:r>
      <w:r w:rsidR="00205F94">
        <w:t xml:space="preserve"> 4 to 8 hours</w:t>
      </w:r>
      <w:r>
        <w:t xml:space="preserve"> per system depending on the size of the system creating and submitting the inventory. The total burden for this activity is estimated to be</w:t>
      </w:r>
      <w:r w:rsidR="00205F94">
        <w:t xml:space="preserve"> </w:t>
      </w:r>
      <w:r w:rsidRPr="00205F94" w:rsidR="00205F94">
        <w:t>50,668</w:t>
      </w:r>
      <w:r w:rsidR="00205F94">
        <w:t xml:space="preserve"> to </w:t>
      </w:r>
      <w:r w:rsidRPr="00205F94" w:rsidR="00205F94">
        <w:t>64,416</w:t>
      </w:r>
      <w:r w:rsidR="00205F94">
        <w:t xml:space="preserve"> </w:t>
      </w:r>
      <w:r>
        <w:t>hours, an average of</w:t>
      </w:r>
      <w:r w:rsidR="00205F94">
        <w:t xml:space="preserve"> </w:t>
      </w:r>
      <w:r w:rsidRPr="00205F94" w:rsidR="00205F94">
        <w:t>16,889</w:t>
      </w:r>
      <w:r w:rsidR="00205F94">
        <w:t xml:space="preserve"> to </w:t>
      </w:r>
      <w:r w:rsidRPr="00205F94" w:rsidR="00205F94">
        <w:t xml:space="preserve">21,472 </w:t>
      </w:r>
      <w:r>
        <w:t>hours per year. See Appendix B for a more detailed presentation of the data used in generating this estimate.</w:t>
      </w:r>
    </w:p>
    <w:p w:rsidR="00444917" w:rsidP="00444917" w:rsidRDefault="00444917" w14:paraId="58BCA3B5" w14:textId="52082E08">
      <w:pPr>
        <w:pStyle w:val="NormalIndent"/>
      </w:pPr>
      <w:r>
        <w:t xml:space="preserve">The burden for </w:t>
      </w:r>
      <w:r w:rsidR="00E170F7">
        <w:t xml:space="preserve">primacy agencies to review demonstrations of no LSLs </w:t>
      </w:r>
      <w:r>
        <w:t xml:space="preserve">is estimated to </w:t>
      </w:r>
      <w:r w:rsidR="00F22F24">
        <w:t xml:space="preserve">be 2 </w:t>
      </w:r>
      <w:r>
        <w:t xml:space="preserve">hours per system </w:t>
      </w:r>
      <w:r w:rsidR="00E170F7">
        <w:t>submitting the demonstration</w:t>
      </w:r>
      <w:r>
        <w:t>. The total burden for this activity is estimated to be</w:t>
      </w:r>
      <w:r w:rsidRPr="0018431C" w:rsidR="0018431C">
        <w:t xml:space="preserve"> </w:t>
      </w:r>
      <w:r w:rsidR="00F22F24">
        <w:t xml:space="preserve">98,870 to </w:t>
      </w:r>
      <w:r w:rsidRPr="00F22F24" w:rsidR="00F22F24">
        <w:t xml:space="preserve">94,208 </w:t>
      </w:r>
      <w:r>
        <w:t>hours</w:t>
      </w:r>
      <w:r w:rsidR="00EC1DDE">
        <w:t>, an average of</w:t>
      </w:r>
      <w:r w:rsidR="0018431C">
        <w:t xml:space="preserve"> </w:t>
      </w:r>
      <w:r w:rsidR="00F22F24">
        <w:t xml:space="preserve">32,957 to </w:t>
      </w:r>
      <w:r w:rsidRPr="00F22F24" w:rsidR="00F22F24">
        <w:t xml:space="preserve">31,403 </w:t>
      </w:r>
      <w:r w:rsidR="00EC1DDE">
        <w:t>hours</w:t>
      </w:r>
      <w:r w:rsidR="00145AA1">
        <w:t xml:space="preserve"> per year</w:t>
      </w:r>
      <w:r>
        <w:t>.</w:t>
      </w:r>
      <w:r w:rsidRPr="00445ADD" w:rsidR="00445ADD">
        <w:rPr>
          <w:rStyle w:val="FootnoteReference"/>
        </w:rPr>
        <w:t xml:space="preserve"> </w:t>
      </w:r>
      <w:r w:rsidR="00445ADD">
        <w:rPr>
          <w:rStyle w:val="FootnoteReference"/>
        </w:rPr>
        <w:footnoteReference w:id="14"/>
      </w:r>
      <w:r>
        <w:t xml:space="preserve"> See Appendix B for a more detailed presentation of the data used in generating this estimate.</w:t>
      </w:r>
    </w:p>
    <w:p w:rsidRPr="00444917" w:rsidR="00E02C57" w:rsidP="00E02C57" w:rsidRDefault="00E02C57" w14:paraId="57E13696" w14:textId="510FCCEB">
      <w:pPr>
        <w:pStyle w:val="NormalIndent"/>
      </w:pPr>
      <w:r>
        <w:t xml:space="preserve">The burden for primacy agencies to </w:t>
      </w:r>
      <w:r w:rsidR="00A539B3">
        <w:t xml:space="preserve">confer on and </w:t>
      </w:r>
      <w:r>
        <w:t>review LSL</w:t>
      </w:r>
      <w:r w:rsidR="007F39D1">
        <w:t xml:space="preserve"> </w:t>
      </w:r>
      <w:r>
        <w:t>replacement plans is estimated be</w:t>
      </w:r>
      <w:r w:rsidR="00860D64">
        <w:t xml:space="preserve"> </w:t>
      </w:r>
      <w:r w:rsidR="00866884">
        <w:t xml:space="preserve">6 to 26 </w:t>
      </w:r>
      <w:r>
        <w:t xml:space="preserve">hours per system </w:t>
      </w:r>
      <w:r w:rsidR="00866884">
        <w:t xml:space="preserve">depending on the size of the system </w:t>
      </w:r>
      <w:r>
        <w:t xml:space="preserve">submitting the </w:t>
      </w:r>
      <w:r w:rsidR="00C8303B">
        <w:t>plan</w:t>
      </w:r>
      <w:r>
        <w:t>. The total burden for this activity is estimated to be</w:t>
      </w:r>
      <w:r w:rsidR="00866884">
        <w:t xml:space="preserve"> 108,328 to </w:t>
      </w:r>
      <w:r w:rsidRPr="00866884" w:rsidR="00866884">
        <w:t xml:space="preserve">140,304 </w:t>
      </w:r>
      <w:r>
        <w:t>hours</w:t>
      </w:r>
      <w:r w:rsidR="00EC1DDE">
        <w:t>, an average of</w:t>
      </w:r>
      <w:r w:rsidR="00866884">
        <w:t xml:space="preserve"> 36,109 to </w:t>
      </w:r>
      <w:r w:rsidRPr="00866884" w:rsidR="00866884">
        <w:t xml:space="preserve">46,768 </w:t>
      </w:r>
      <w:r w:rsidR="00EC1DDE">
        <w:t>hours</w:t>
      </w:r>
      <w:r w:rsidR="00145AA1">
        <w:t xml:space="preserve"> per year</w:t>
      </w:r>
      <w:r>
        <w:t xml:space="preserve">. </w:t>
      </w:r>
    </w:p>
    <w:p w:rsidR="0040026D" w:rsidP="00021325" w:rsidRDefault="00934231" w14:paraId="75F7FE8B" w14:textId="5515F39D">
      <w:pPr>
        <w:pStyle w:val="NormalIndent"/>
      </w:pPr>
      <w:r>
        <w:lastRenderedPageBreak/>
        <w:t xml:space="preserve"> </w:t>
      </w:r>
      <w:r w:rsidR="00E170F7">
        <w:t>Adding the burden for all of the activities for the three-year p</w:t>
      </w:r>
      <w:r w:rsidR="000657C8">
        <w:t>eriod, the total burden for primacy agencies</w:t>
      </w:r>
      <w:r w:rsidR="00E170F7">
        <w:t xml:space="preserve"> is estimated to be</w:t>
      </w:r>
      <w:r w:rsidR="00866884">
        <w:t xml:space="preserve"> </w:t>
      </w:r>
      <w:r w:rsidR="00F22F24">
        <w:t xml:space="preserve">657,034 to </w:t>
      </w:r>
      <w:r w:rsidRPr="00F22F24" w:rsidR="00F22F24">
        <w:t>698,096</w:t>
      </w:r>
      <w:r w:rsidR="00866884">
        <w:t xml:space="preserve"> </w:t>
      </w:r>
      <w:r w:rsidR="00E170F7">
        <w:t xml:space="preserve">hours, </w:t>
      </w:r>
      <w:r w:rsidR="00EC1DDE">
        <w:t>an average of</w:t>
      </w:r>
      <w:r w:rsidR="00F22F24">
        <w:t xml:space="preserve"> 219,011 to </w:t>
      </w:r>
      <w:r w:rsidRPr="00F22F24" w:rsidR="00F22F24">
        <w:t>232,699</w:t>
      </w:r>
      <w:r w:rsidRPr="00866884" w:rsidR="00866884">
        <w:t xml:space="preserve"> </w:t>
      </w:r>
      <w:r w:rsidR="00EC1DDE">
        <w:t>hours</w:t>
      </w:r>
      <w:r w:rsidR="00145AA1">
        <w:t xml:space="preserve"> per year,</w:t>
      </w:r>
      <w:r w:rsidR="00EC1DDE">
        <w:t xml:space="preserve"> and </w:t>
      </w:r>
      <w:r w:rsidR="00E170F7">
        <w:t xml:space="preserve">an average burden </w:t>
      </w:r>
      <w:r w:rsidR="00145AA1">
        <w:t xml:space="preserve">total over three years </w:t>
      </w:r>
      <w:r w:rsidR="00E170F7">
        <w:t xml:space="preserve">per </w:t>
      </w:r>
      <w:r w:rsidR="000657C8">
        <w:t>agency</w:t>
      </w:r>
      <w:r w:rsidR="00E170F7">
        <w:t xml:space="preserve"> of</w:t>
      </w:r>
      <w:r w:rsidR="00F22F24">
        <w:t xml:space="preserve"> 11,733 to </w:t>
      </w:r>
      <w:r w:rsidRPr="00F22F24" w:rsidR="00F22F24">
        <w:t xml:space="preserve">12,466 </w:t>
      </w:r>
      <w:r w:rsidR="00E170F7">
        <w:t>hours</w:t>
      </w:r>
      <w:r w:rsidR="00363F61">
        <w:t xml:space="preserve"> (</w:t>
      </w:r>
      <w:r w:rsidR="00F22F24">
        <w:t>657,034</w:t>
      </w:r>
      <w:r w:rsidR="00866884">
        <w:t xml:space="preserve"> </w:t>
      </w:r>
      <w:r w:rsidR="00363F61">
        <w:t>hours/56 agencies</w:t>
      </w:r>
      <w:r w:rsidR="005D291B">
        <w:t xml:space="preserve"> to </w:t>
      </w:r>
      <w:r w:rsidRPr="00F22F24" w:rsidR="00F22F24">
        <w:t>698,096</w:t>
      </w:r>
      <w:r w:rsidR="00866884">
        <w:t xml:space="preserve"> </w:t>
      </w:r>
      <w:r w:rsidR="005D291B">
        <w:t>hours/56 agencies</w:t>
      </w:r>
      <w:r w:rsidR="00363F61">
        <w:t>)</w:t>
      </w:r>
      <w:r w:rsidR="00E170F7">
        <w:t>.</w:t>
      </w:r>
    </w:p>
    <w:p w:rsidR="00BD7532" w:rsidP="000C0ED7" w:rsidRDefault="00BD7532" w14:paraId="30AAFEDE" w14:textId="77777777">
      <w:pPr>
        <w:pStyle w:val="Heading2"/>
      </w:pPr>
      <w:bookmarkStart w:name="_Toc160872075" w:id="36"/>
      <w:r>
        <w:t>6(b)</w:t>
      </w:r>
      <w:r>
        <w:tab/>
        <w:t>Estimating Respondent Costs</w:t>
      </w:r>
    </w:p>
    <w:p w:rsidR="009214D9" w:rsidP="00AE49D6" w:rsidRDefault="009214D9" w14:paraId="2B00502F" w14:textId="77777777">
      <w:pPr>
        <w:pStyle w:val="NormalIndent"/>
      </w:pPr>
      <w:r>
        <w:t xml:space="preserve">The following sections </w:t>
      </w:r>
      <w:r w:rsidR="00363F61">
        <w:t xml:space="preserve">provide the </w:t>
      </w:r>
      <w:r w:rsidR="00AE49D6">
        <w:t xml:space="preserve">estimate </w:t>
      </w:r>
      <w:r>
        <w:t xml:space="preserve">the costs </w:t>
      </w:r>
      <w:r w:rsidR="00AE49D6">
        <w:t>to</w:t>
      </w:r>
      <w:r>
        <w:t xml:space="preserve"> PWSs and primacy agencies. </w:t>
      </w:r>
    </w:p>
    <w:p w:rsidR="006927DF" w:rsidP="000C0ED7" w:rsidRDefault="006927DF" w14:paraId="4610E421" w14:textId="77777777">
      <w:pPr>
        <w:pStyle w:val="Heading3"/>
      </w:pPr>
      <w:r>
        <w:t>6(b)(</w:t>
      </w:r>
      <w:proofErr w:type="spellStart"/>
      <w:r>
        <w:t>i</w:t>
      </w:r>
      <w:proofErr w:type="spellEnd"/>
      <w:r>
        <w:t>)</w:t>
      </w:r>
      <w:r>
        <w:tab/>
        <w:t xml:space="preserve">Cost to </w:t>
      </w:r>
      <w:r w:rsidR="00B95A19">
        <w:t>Public Water Systems</w:t>
      </w:r>
    </w:p>
    <w:p w:rsidRPr="004F0396" w:rsidR="00B95A19" w:rsidP="004A1618" w:rsidRDefault="004F0396" w14:paraId="110CA3A7" w14:textId="3B82C69E">
      <w:pPr>
        <w:pStyle w:val="NormalIndent"/>
      </w:pPr>
      <w:r>
        <w:t>The labor rates associated with the initial, one-time costs included in the first three years of implementation apply to all 67,656</w:t>
      </w:r>
      <w:r w:rsidRPr="0027584B">
        <w:t xml:space="preserve"> CWSs and NTNCWSs that must comply with the LCR</w:t>
      </w:r>
      <w:r>
        <w:t xml:space="preserve">. </w:t>
      </w:r>
      <w:r w:rsidRPr="0027584B">
        <w:t xml:space="preserve">The </w:t>
      </w:r>
      <w:r w:rsidR="00D23847">
        <w:t xml:space="preserve">fully loaded </w:t>
      </w:r>
      <w:r>
        <w:t>labor rate estimate</w:t>
      </w:r>
      <w:r w:rsidR="00363F61">
        <w:t xml:space="preserve">s </w:t>
      </w:r>
      <w:r>
        <w:t>range from $28.64 to $44.38 per hour depending on system size</w:t>
      </w:r>
      <w:r w:rsidRPr="0027584B">
        <w:t>.</w:t>
      </w:r>
      <w:r>
        <w:t xml:space="preserve"> See Appendix B for more information on the development of the labor rate</w:t>
      </w:r>
      <w:r w:rsidR="00363F61">
        <w:t xml:space="preserve"> estimates</w:t>
      </w:r>
      <w:r>
        <w:t xml:space="preserve">. Based on these labor rates, </w:t>
      </w:r>
      <w:r w:rsidRPr="004F0396">
        <w:rPr>
          <w:b/>
        </w:rPr>
        <w:fldChar w:fldCharType="begin"/>
      </w:r>
      <w:r w:rsidRPr="004F0396">
        <w:rPr>
          <w:b/>
        </w:rPr>
        <w:instrText xml:space="preserve"> REF _Ref4698627 \h </w:instrText>
      </w:r>
      <w:r>
        <w:rPr>
          <w:b/>
        </w:rPr>
        <w:instrText xml:space="preserve"> \* MERGEFORMAT </w:instrText>
      </w:r>
      <w:r w:rsidRPr="004F0396">
        <w:rPr>
          <w:b/>
        </w:rPr>
      </w:r>
      <w:r w:rsidRPr="004F0396">
        <w:rPr>
          <w:b/>
        </w:rPr>
        <w:fldChar w:fldCharType="separate"/>
      </w:r>
      <w:r w:rsidRPr="00944D98" w:rsidR="00106B5A">
        <w:rPr>
          <w:b/>
        </w:rPr>
        <w:t xml:space="preserve">Exhibit </w:t>
      </w:r>
      <w:r w:rsidRPr="00944D98" w:rsidR="00106B5A">
        <w:rPr>
          <w:b/>
          <w:noProof/>
        </w:rPr>
        <w:t>5</w:t>
      </w:r>
      <w:r w:rsidRPr="004F0396">
        <w:rPr>
          <w:b/>
        </w:rPr>
        <w:fldChar w:fldCharType="end"/>
      </w:r>
      <w:r>
        <w:t xml:space="preserve"> through </w:t>
      </w:r>
      <w:r w:rsidRPr="00DD45C1" w:rsidR="00DD45C1">
        <w:rPr>
          <w:b/>
        </w:rPr>
        <w:fldChar w:fldCharType="begin"/>
      </w:r>
      <w:r w:rsidRPr="00DD45C1" w:rsidR="00DD45C1">
        <w:rPr>
          <w:b/>
        </w:rPr>
        <w:instrText xml:space="preserve"> REF _Ref11156888 \h  \* MERGEFORMAT </w:instrText>
      </w:r>
      <w:r w:rsidRPr="00DD45C1" w:rsidR="00DD45C1">
        <w:rPr>
          <w:b/>
        </w:rPr>
      </w:r>
      <w:r w:rsidRPr="00DD45C1" w:rsidR="00DD45C1">
        <w:rPr>
          <w:b/>
        </w:rPr>
        <w:fldChar w:fldCharType="separate"/>
      </w:r>
      <w:r w:rsidRPr="00734756" w:rsidR="00734756">
        <w:rPr>
          <w:b/>
        </w:rPr>
        <w:t xml:space="preserve">Exhibit </w:t>
      </w:r>
      <w:r w:rsidRPr="00734756" w:rsidR="00734756">
        <w:rPr>
          <w:b/>
          <w:noProof/>
        </w:rPr>
        <w:t>8</w:t>
      </w:r>
      <w:r w:rsidRPr="00DD45C1" w:rsidR="00DD45C1">
        <w:rPr>
          <w:b/>
        </w:rPr>
        <w:fldChar w:fldCharType="end"/>
      </w:r>
      <w:r>
        <w:rPr>
          <w:b/>
        </w:rPr>
        <w:t xml:space="preserve"> </w:t>
      </w:r>
      <w:r w:rsidR="003613B6">
        <w:t>present the costs to systems for each of the activities conducted in the first three years.</w:t>
      </w:r>
      <w:r w:rsidR="003269D1">
        <w:t xml:space="preserve"> </w:t>
      </w:r>
      <w:r w:rsidR="000657C8">
        <w:t>The total labor cost to systems for all activities in the first three years is</w:t>
      </w:r>
      <w:r w:rsidR="00AF26B4">
        <w:t xml:space="preserve"> $77,546,595 to </w:t>
      </w:r>
      <w:r w:rsidRPr="00AF26B4" w:rsidR="00AF26B4">
        <w:t>$83,385,770</w:t>
      </w:r>
      <w:r w:rsidR="00145AA1">
        <w:t>, an average of</w:t>
      </w:r>
      <w:r w:rsidR="00AF26B4">
        <w:t xml:space="preserve"> $25,848,865 to </w:t>
      </w:r>
      <w:r w:rsidRPr="00AF26B4" w:rsidR="00AF26B4">
        <w:t xml:space="preserve">$27,795,257 </w:t>
      </w:r>
      <w:r w:rsidR="00145AA1">
        <w:t>per year</w:t>
      </w:r>
      <w:r w:rsidR="000657C8">
        <w:t xml:space="preserve">. </w:t>
      </w:r>
      <w:r w:rsidR="003269D1">
        <w:t>There are no capital or O&amp;M costs associated with this period.</w:t>
      </w:r>
    </w:p>
    <w:p w:rsidR="004F0396" w:rsidP="004F0396" w:rsidRDefault="00B95A19" w14:paraId="2CEEF318" w14:textId="77777777">
      <w:pPr>
        <w:pStyle w:val="NormalIndent"/>
      </w:pPr>
      <w:r>
        <w:t xml:space="preserve">All </w:t>
      </w:r>
      <w:r w:rsidR="00C203D5">
        <w:t>recurring</w:t>
      </w:r>
      <w:r>
        <w:t xml:space="preserve"> activities begin after the first three years and are qualitatively described in </w:t>
      </w:r>
      <w:r w:rsidRPr="00792F80">
        <w:t xml:space="preserve">Section </w:t>
      </w:r>
      <w:r w:rsidRPr="00792F80" w:rsidR="007C7D21">
        <w:t>2</w:t>
      </w:r>
      <w:r w:rsidRPr="00792F80">
        <w:t>.</w:t>
      </w:r>
    </w:p>
    <w:p w:rsidR="00B95A19" w:rsidP="004F0396" w:rsidRDefault="004F0396" w14:paraId="65F0A6C0" w14:textId="77777777">
      <w:pPr>
        <w:pStyle w:val="Caption"/>
        <w:rPr>
          <w:noProof/>
        </w:rPr>
      </w:pPr>
      <w:bookmarkStart w:name="_Ref4698627" w:id="37"/>
      <w:r>
        <w:t xml:space="preserve">Exhibit </w:t>
      </w:r>
      <w:r>
        <w:rPr>
          <w:noProof/>
        </w:rPr>
        <w:fldChar w:fldCharType="begin"/>
      </w:r>
      <w:r>
        <w:rPr>
          <w:noProof/>
        </w:rPr>
        <w:instrText xml:space="preserve"> SEQ Exhibit \* ARABIC </w:instrText>
      </w:r>
      <w:r>
        <w:rPr>
          <w:noProof/>
        </w:rPr>
        <w:fldChar w:fldCharType="separate"/>
      </w:r>
      <w:r w:rsidR="00106B5A">
        <w:rPr>
          <w:noProof/>
        </w:rPr>
        <w:t>5</w:t>
      </w:r>
      <w:r>
        <w:rPr>
          <w:noProof/>
        </w:rPr>
        <w:fldChar w:fldCharType="end"/>
      </w:r>
      <w:bookmarkEnd w:id="37"/>
      <w:r>
        <w:rPr>
          <w:noProof/>
        </w:rPr>
        <w:t xml:space="preserve">. </w:t>
      </w:r>
      <w:r w:rsidRPr="004F0396">
        <w:rPr>
          <w:noProof/>
        </w:rPr>
        <w:t xml:space="preserve">Burden and Costs for </w:t>
      </w:r>
      <w:r>
        <w:rPr>
          <w:noProof/>
        </w:rPr>
        <w:t xml:space="preserve">Public Water Systems for </w:t>
      </w:r>
      <w:r w:rsidRPr="004F0396">
        <w:rPr>
          <w:noProof/>
        </w:rPr>
        <w:t>Start-up Activities</w:t>
      </w:r>
      <w:r w:rsidR="00D8246F">
        <w:rPr>
          <w:noProof/>
        </w:rPr>
        <w:t xml:space="preserve"> (Reading Rule, Assigning Personnel, Attending Training)</w:t>
      </w:r>
    </w:p>
    <w:tbl>
      <w:tblPr>
        <w:tblStyle w:val="TableGrid"/>
        <w:tblW w:w="0" w:type="auto"/>
        <w:tblLook w:val="04A0" w:firstRow="1" w:lastRow="0" w:firstColumn="1" w:lastColumn="0" w:noHBand="0" w:noVBand="1"/>
      </w:tblPr>
      <w:tblGrid>
        <w:gridCol w:w="1875"/>
        <w:gridCol w:w="1581"/>
        <w:gridCol w:w="1396"/>
        <w:gridCol w:w="1665"/>
        <w:gridCol w:w="1373"/>
        <w:gridCol w:w="1460"/>
      </w:tblGrid>
      <w:tr w:rsidRPr="003613B6" w:rsidR="003613B6" w:rsidTr="004750F7" w14:paraId="1613FB97" w14:textId="77777777">
        <w:trPr>
          <w:trHeight w:val="540"/>
          <w:tblHeader/>
        </w:trPr>
        <w:tc>
          <w:tcPr>
            <w:tcW w:w="1875" w:type="dxa"/>
            <w:vAlign w:val="center"/>
            <w:hideMark/>
          </w:tcPr>
          <w:p w:rsidRPr="003613B6" w:rsidR="003613B6" w:rsidP="003613B6" w:rsidRDefault="003613B6" w14:paraId="5C39F515" w14:textId="77777777">
            <w:pPr>
              <w:pStyle w:val="Table"/>
              <w:jc w:val="center"/>
              <w:rPr>
                <w:b/>
                <w:bCs/>
                <w:sz w:val="18"/>
              </w:rPr>
            </w:pPr>
            <w:r w:rsidRPr="003613B6">
              <w:rPr>
                <w:b/>
                <w:bCs/>
                <w:sz w:val="18"/>
              </w:rPr>
              <w:t>Respondent Type (service population size category)</w:t>
            </w:r>
          </w:p>
        </w:tc>
        <w:tc>
          <w:tcPr>
            <w:tcW w:w="1581" w:type="dxa"/>
            <w:vAlign w:val="center"/>
            <w:hideMark/>
          </w:tcPr>
          <w:p w:rsidRPr="003613B6" w:rsidR="003613B6" w:rsidP="003613B6" w:rsidRDefault="003613B6" w14:paraId="367BFE98" w14:textId="77777777">
            <w:pPr>
              <w:pStyle w:val="Table"/>
              <w:jc w:val="center"/>
              <w:rPr>
                <w:b/>
                <w:bCs/>
                <w:sz w:val="18"/>
              </w:rPr>
            </w:pPr>
            <w:r w:rsidRPr="003613B6">
              <w:rPr>
                <w:b/>
                <w:bCs/>
                <w:sz w:val="18"/>
              </w:rPr>
              <w:t>Respondents</w:t>
            </w:r>
          </w:p>
        </w:tc>
        <w:tc>
          <w:tcPr>
            <w:tcW w:w="1396" w:type="dxa"/>
            <w:vAlign w:val="center"/>
            <w:hideMark/>
          </w:tcPr>
          <w:p w:rsidRPr="003613B6" w:rsidR="003613B6" w:rsidP="003613B6" w:rsidRDefault="009B0677" w14:paraId="4DE2F080" w14:textId="77777777">
            <w:pPr>
              <w:pStyle w:val="Table"/>
              <w:jc w:val="center"/>
              <w:rPr>
                <w:b/>
                <w:bCs/>
                <w:sz w:val="18"/>
              </w:rPr>
            </w:pPr>
            <w:r>
              <w:rPr>
                <w:b/>
                <w:bCs/>
                <w:sz w:val="18"/>
              </w:rPr>
              <w:t>Burden per R</w:t>
            </w:r>
            <w:r w:rsidRPr="003613B6" w:rsidR="003613B6">
              <w:rPr>
                <w:b/>
                <w:bCs/>
                <w:sz w:val="18"/>
              </w:rPr>
              <w:t>esponse</w:t>
            </w:r>
            <w:r>
              <w:rPr>
                <w:b/>
                <w:bCs/>
                <w:sz w:val="18"/>
              </w:rPr>
              <w:t xml:space="preserve"> (hours)</w:t>
            </w:r>
          </w:p>
        </w:tc>
        <w:tc>
          <w:tcPr>
            <w:tcW w:w="1665" w:type="dxa"/>
            <w:vAlign w:val="center"/>
            <w:hideMark/>
          </w:tcPr>
          <w:p w:rsidRPr="003613B6" w:rsidR="003613B6" w:rsidP="003613B6" w:rsidRDefault="003613B6" w14:paraId="16312BD4" w14:textId="77777777">
            <w:pPr>
              <w:pStyle w:val="Table"/>
              <w:jc w:val="center"/>
              <w:rPr>
                <w:b/>
                <w:bCs/>
                <w:sz w:val="18"/>
              </w:rPr>
            </w:pPr>
            <w:r w:rsidRPr="003613B6">
              <w:rPr>
                <w:b/>
                <w:bCs/>
                <w:sz w:val="18"/>
              </w:rPr>
              <w:t>Burden</w:t>
            </w:r>
            <w:r w:rsidR="009B0677">
              <w:rPr>
                <w:b/>
                <w:bCs/>
                <w:sz w:val="18"/>
              </w:rPr>
              <w:t xml:space="preserve"> (hours)</w:t>
            </w:r>
          </w:p>
        </w:tc>
        <w:tc>
          <w:tcPr>
            <w:tcW w:w="1373" w:type="dxa"/>
            <w:vAlign w:val="center"/>
            <w:hideMark/>
          </w:tcPr>
          <w:p w:rsidRPr="003613B6" w:rsidR="003613B6" w:rsidP="003613B6" w:rsidRDefault="003613B6" w14:paraId="776B28DF" w14:textId="77777777">
            <w:pPr>
              <w:pStyle w:val="Table"/>
              <w:jc w:val="center"/>
              <w:rPr>
                <w:b/>
                <w:bCs/>
                <w:sz w:val="18"/>
              </w:rPr>
            </w:pPr>
            <w:r w:rsidRPr="003613B6">
              <w:rPr>
                <w:b/>
                <w:bCs/>
                <w:sz w:val="18"/>
              </w:rPr>
              <w:t>Labor Rate ($/hour)</w:t>
            </w:r>
          </w:p>
        </w:tc>
        <w:tc>
          <w:tcPr>
            <w:tcW w:w="1460" w:type="dxa"/>
            <w:vAlign w:val="center"/>
            <w:hideMark/>
          </w:tcPr>
          <w:p w:rsidRPr="003613B6" w:rsidR="003613B6" w:rsidP="003613B6" w:rsidRDefault="003613B6" w14:paraId="650BF071" w14:textId="77777777">
            <w:pPr>
              <w:pStyle w:val="Table"/>
              <w:jc w:val="center"/>
              <w:rPr>
                <w:b/>
                <w:bCs/>
                <w:sz w:val="18"/>
              </w:rPr>
            </w:pPr>
            <w:r w:rsidRPr="003613B6">
              <w:rPr>
                <w:b/>
                <w:bCs/>
                <w:sz w:val="18"/>
              </w:rPr>
              <w:t>Cost</w:t>
            </w:r>
            <w:r w:rsidR="009B0677">
              <w:rPr>
                <w:b/>
                <w:bCs/>
                <w:sz w:val="18"/>
              </w:rPr>
              <w:t xml:space="preserve"> (2016 dollars)</w:t>
            </w:r>
          </w:p>
        </w:tc>
      </w:tr>
      <w:tr w:rsidRPr="003613B6" w:rsidR="003613B6" w:rsidTr="00734756" w14:paraId="57964557" w14:textId="77777777">
        <w:trPr>
          <w:trHeight w:val="300"/>
        </w:trPr>
        <w:tc>
          <w:tcPr>
            <w:tcW w:w="1875" w:type="dxa"/>
            <w:vAlign w:val="center"/>
            <w:hideMark/>
          </w:tcPr>
          <w:p w:rsidRPr="003613B6" w:rsidR="003613B6" w:rsidP="003613B6" w:rsidRDefault="003613B6" w14:paraId="17A78FD9" w14:textId="77777777">
            <w:pPr>
              <w:pStyle w:val="Table"/>
              <w:rPr>
                <w:sz w:val="18"/>
              </w:rPr>
            </w:pPr>
            <w:r w:rsidRPr="003613B6">
              <w:rPr>
                <w:sz w:val="18"/>
              </w:rPr>
              <w:t xml:space="preserve">&lt;=100 </w:t>
            </w:r>
          </w:p>
        </w:tc>
        <w:tc>
          <w:tcPr>
            <w:tcW w:w="1581" w:type="dxa"/>
            <w:tcMar>
              <w:left w:w="115" w:type="dxa"/>
              <w:right w:w="360" w:type="dxa"/>
            </w:tcMar>
            <w:vAlign w:val="center"/>
            <w:hideMark/>
          </w:tcPr>
          <w:p w:rsidRPr="003613B6" w:rsidR="003613B6" w:rsidP="00734756" w:rsidRDefault="003613B6" w14:paraId="12462FF5" w14:textId="77777777">
            <w:pPr>
              <w:pStyle w:val="Table"/>
              <w:jc w:val="right"/>
              <w:rPr>
                <w:sz w:val="18"/>
              </w:rPr>
            </w:pPr>
            <w:r w:rsidRPr="003613B6">
              <w:rPr>
                <w:sz w:val="18"/>
              </w:rPr>
              <w:t>20,475</w:t>
            </w:r>
          </w:p>
        </w:tc>
        <w:tc>
          <w:tcPr>
            <w:tcW w:w="1396" w:type="dxa"/>
            <w:vAlign w:val="center"/>
            <w:hideMark/>
          </w:tcPr>
          <w:p w:rsidRPr="003613B6" w:rsidR="003613B6" w:rsidP="003613B6" w:rsidRDefault="003613B6" w14:paraId="29AA7F5B"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0CE48620" w14:textId="77777777">
            <w:pPr>
              <w:pStyle w:val="Table"/>
              <w:jc w:val="right"/>
              <w:rPr>
                <w:sz w:val="18"/>
              </w:rPr>
            </w:pPr>
            <w:r w:rsidRPr="003613B6">
              <w:rPr>
                <w:sz w:val="18"/>
              </w:rPr>
              <w:t>409,500</w:t>
            </w:r>
          </w:p>
        </w:tc>
        <w:tc>
          <w:tcPr>
            <w:tcW w:w="1373" w:type="dxa"/>
            <w:vAlign w:val="center"/>
            <w:hideMark/>
          </w:tcPr>
          <w:p w:rsidRPr="003613B6" w:rsidR="003613B6" w:rsidP="003613B6" w:rsidRDefault="003613B6" w14:paraId="35FA38B7" w14:textId="77777777">
            <w:pPr>
              <w:pStyle w:val="Table"/>
              <w:jc w:val="center"/>
              <w:rPr>
                <w:sz w:val="18"/>
              </w:rPr>
            </w:pPr>
            <w:r w:rsidRPr="003613B6">
              <w:rPr>
                <w:sz w:val="18"/>
              </w:rPr>
              <w:t>$28.64</w:t>
            </w:r>
          </w:p>
        </w:tc>
        <w:tc>
          <w:tcPr>
            <w:tcW w:w="1460" w:type="dxa"/>
            <w:noWrap/>
            <w:tcMar>
              <w:left w:w="115" w:type="dxa"/>
              <w:right w:w="288" w:type="dxa"/>
            </w:tcMar>
            <w:vAlign w:val="center"/>
            <w:hideMark/>
          </w:tcPr>
          <w:p w:rsidRPr="003613B6" w:rsidR="003613B6" w:rsidP="00734756" w:rsidRDefault="003613B6" w14:paraId="5B5E9C12" w14:textId="77777777">
            <w:pPr>
              <w:pStyle w:val="Table"/>
              <w:jc w:val="right"/>
              <w:rPr>
                <w:sz w:val="18"/>
              </w:rPr>
            </w:pPr>
            <w:r w:rsidRPr="003613B6">
              <w:rPr>
                <w:sz w:val="18"/>
              </w:rPr>
              <w:t>$11,728,080</w:t>
            </w:r>
          </w:p>
        </w:tc>
      </w:tr>
      <w:tr w:rsidRPr="003613B6" w:rsidR="003613B6" w:rsidTr="00734756" w14:paraId="5B0CE843" w14:textId="77777777">
        <w:trPr>
          <w:trHeight w:val="300"/>
        </w:trPr>
        <w:tc>
          <w:tcPr>
            <w:tcW w:w="1875" w:type="dxa"/>
            <w:vAlign w:val="center"/>
            <w:hideMark/>
          </w:tcPr>
          <w:p w:rsidRPr="003613B6" w:rsidR="003613B6" w:rsidP="003613B6" w:rsidRDefault="003613B6" w14:paraId="3AEEFC8A" w14:textId="77777777">
            <w:pPr>
              <w:pStyle w:val="Table"/>
              <w:rPr>
                <w:sz w:val="18"/>
              </w:rPr>
            </w:pPr>
            <w:r w:rsidRPr="003613B6">
              <w:rPr>
                <w:sz w:val="18"/>
              </w:rPr>
              <w:t xml:space="preserve">101-500 </w:t>
            </w:r>
          </w:p>
        </w:tc>
        <w:tc>
          <w:tcPr>
            <w:tcW w:w="1581" w:type="dxa"/>
            <w:tcMar>
              <w:left w:w="115" w:type="dxa"/>
              <w:right w:w="360" w:type="dxa"/>
            </w:tcMar>
            <w:vAlign w:val="center"/>
            <w:hideMark/>
          </w:tcPr>
          <w:p w:rsidRPr="003613B6" w:rsidR="003613B6" w:rsidP="00734756" w:rsidRDefault="003613B6" w14:paraId="7D5AFD1E" w14:textId="77777777">
            <w:pPr>
              <w:pStyle w:val="Table"/>
              <w:jc w:val="right"/>
              <w:rPr>
                <w:sz w:val="18"/>
              </w:rPr>
            </w:pPr>
            <w:r w:rsidRPr="003613B6">
              <w:rPr>
                <w:sz w:val="18"/>
              </w:rPr>
              <w:t>21,821</w:t>
            </w:r>
          </w:p>
        </w:tc>
        <w:tc>
          <w:tcPr>
            <w:tcW w:w="1396" w:type="dxa"/>
            <w:vAlign w:val="center"/>
            <w:hideMark/>
          </w:tcPr>
          <w:p w:rsidRPr="003613B6" w:rsidR="003613B6" w:rsidP="003613B6" w:rsidRDefault="003613B6" w14:paraId="26AD5093"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61F8E7CC" w14:textId="77777777">
            <w:pPr>
              <w:pStyle w:val="Table"/>
              <w:jc w:val="right"/>
              <w:rPr>
                <w:sz w:val="18"/>
              </w:rPr>
            </w:pPr>
            <w:r w:rsidRPr="003613B6">
              <w:rPr>
                <w:sz w:val="18"/>
              </w:rPr>
              <w:t>436,420</w:t>
            </w:r>
          </w:p>
        </w:tc>
        <w:tc>
          <w:tcPr>
            <w:tcW w:w="1373" w:type="dxa"/>
            <w:vAlign w:val="center"/>
            <w:hideMark/>
          </w:tcPr>
          <w:p w:rsidRPr="003613B6" w:rsidR="003613B6" w:rsidP="003613B6" w:rsidRDefault="003613B6" w14:paraId="24E1797E" w14:textId="77777777">
            <w:pPr>
              <w:pStyle w:val="Table"/>
              <w:jc w:val="center"/>
              <w:rPr>
                <w:sz w:val="18"/>
              </w:rPr>
            </w:pPr>
            <w:r w:rsidRPr="003613B6">
              <w:rPr>
                <w:sz w:val="18"/>
              </w:rPr>
              <w:t>$28.64</w:t>
            </w:r>
          </w:p>
        </w:tc>
        <w:tc>
          <w:tcPr>
            <w:tcW w:w="1460" w:type="dxa"/>
            <w:noWrap/>
            <w:tcMar>
              <w:left w:w="115" w:type="dxa"/>
              <w:right w:w="288" w:type="dxa"/>
            </w:tcMar>
            <w:vAlign w:val="center"/>
            <w:hideMark/>
          </w:tcPr>
          <w:p w:rsidRPr="003613B6" w:rsidR="003613B6" w:rsidP="00734756" w:rsidRDefault="003613B6" w14:paraId="78FE9E54" w14:textId="77777777">
            <w:pPr>
              <w:pStyle w:val="Table"/>
              <w:jc w:val="right"/>
              <w:rPr>
                <w:sz w:val="18"/>
              </w:rPr>
            </w:pPr>
            <w:r w:rsidRPr="003613B6">
              <w:rPr>
                <w:sz w:val="18"/>
              </w:rPr>
              <w:t>$12,499,069</w:t>
            </w:r>
          </w:p>
        </w:tc>
      </w:tr>
      <w:tr w:rsidRPr="003613B6" w:rsidR="003613B6" w:rsidTr="00734756" w14:paraId="15BC1902" w14:textId="77777777">
        <w:trPr>
          <w:trHeight w:val="300"/>
        </w:trPr>
        <w:tc>
          <w:tcPr>
            <w:tcW w:w="1875" w:type="dxa"/>
            <w:vAlign w:val="center"/>
            <w:hideMark/>
          </w:tcPr>
          <w:p w:rsidRPr="003613B6" w:rsidR="003613B6" w:rsidP="003613B6" w:rsidRDefault="003613B6" w14:paraId="193733F9" w14:textId="77777777">
            <w:pPr>
              <w:pStyle w:val="Table"/>
              <w:rPr>
                <w:sz w:val="18"/>
              </w:rPr>
            </w:pPr>
            <w:r w:rsidRPr="003613B6">
              <w:rPr>
                <w:sz w:val="18"/>
              </w:rPr>
              <w:t>501-1,000</w:t>
            </w:r>
          </w:p>
        </w:tc>
        <w:tc>
          <w:tcPr>
            <w:tcW w:w="1581" w:type="dxa"/>
            <w:tcMar>
              <w:left w:w="115" w:type="dxa"/>
              <w:right w:w="360" w:type="dxa"/>
            </w:tcMar>
            <w:vAlign w:val="center"/>
            <w:hideMark/>
          </w:tcPr>
          <w:p w:rsidRPr="003613B6" w:rsidR="003613B6" w:rsidP="00734756" w:rsidRDefault="003613B6" w14:paraId="75D1A4EE" w14:textId="77777777">
            <w:pPr>
              <w:pStyle w:val="Table"/>
              <w:jc w:val="right"/>
              <w:rPr>
                <w:sz w:val="18"/>
              </w:rPr>
            </w:pPr>
            <w:r w:rsidRPr="003613B6">
              <w:rPr>
                <w:sz w:val="18"/>
              </w:rPr>
              <w:t>7,004</w:t>
            </w:r>
          </w:p>
        </w:tc>
        <w:tc>
          <w:tcPr>
            <w:tcW w:w="1396" w:type="dxa"/>
            <w:vAlign w:val="center"/>
            <w:hideMark/>
          </w:tcPr>
          <w:p w:rsidRPr="003613B6" w:rsidR="003613B6" w:rsidP="003613B6" w:rsidRDefault="003613B6" w14:paraId="06B137A0"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57AF9DA9" w14:textId="77777777">
            <w:pPr>
              <w:pStyle w:val="Table"/>
              <w:jc w:val="right"/>
              <w:rPr>
                <w:sz w:val="18"/>
              </w:rPr>
            </w:pPr>
            <w:r w:rsidRPr="003613B6">
              <w:rPr>
                <w:sz w:val="18"/>
              </w:rPr>
              <w:t>140,080</w:t>
            </w:r>
          </w:p>
        </w:tc>
        <w:tc>
          <w:tcPr>
            <w:tcW w:w="1373" w:type="dxa"/>
            <w:vAlign w:val="center"/>
            <w:hideMark/>
          </w:tcPr>
          <w:p w:rsidRPr="003613B6" w:rsidR="003613B6" w:rsidP="003613B6" w:rsidRDefault="003613B6" w14:paraId="07404081" w14:textId="77777777">
            <w:pPr>
              <w:pStyle w:val="Table"/>
              <w:jc w:val="center"/>
              <w:rPr>
                <w:sz w:val="18"/>
              </w:rPr>
            </w:pPr>
            <w:r w:rsidRPr="003613B6">
              <w:rPr>
                <w:sz w:val="18"/>
              </w:rPr>
              <w:t>$28.64</w:t>
            </w:r>
          </w:p>
        </w:tc>
        <w:tc>
          <w:tcPr>
            <w:tcW w:w="1460" w:type="dxa"/>
            <w:noWrap/>
            <w:tcMar>
              <w:left w:w="115" w:type="dxa"/>
              <w:right w:w="288" w:type="dxa"/>
            </w:tcMar>
            <w:vAlign w:val="center"/>
            <w:hideMark/>
          </w:tcPr>
          <w:p w:rsidRPr="003613B6" w:rsidR="003613B6" w:rsidP="00734756" w:rsidRDefault="003613B6" w14:paraId="46F73BC0" w14:textId="77777777">
            <w:pPr>
              <w:pStyle w:val="Table"/>
              <w:jc w:val="right"/>
              <w:rPr>
                <w:sz w:val="18"/>
              </w:rPr>
            </w:pPr>
            <w:r w:rsidRPr="003613B6">
              <w:rPr>
                <w:sz w:val="18"/>
              </w:rPr>
              <w:t>$4,011,891</w:t>
            </w:r>
          </w:p>
        </w:tc>
      </w:tr>
      <w:tr w:rsidRPr="003613B6" w:rsidR="003613B6" w:rsidTr="00734756" w14:paraId="6A2D2D4E" w14:textId="77777777">
        <w:trPr>
          <w:trHeight w:val="300"/>
        </w:trPr>
        <w:tc>
          <w:tcPr>
            <w:tcW w:w="1875" w:type="dxa"/>
            <w:vAlign w:val="center"/>
            <w:hideMark/>
          </w:tcPr>
          <w:p w:rsidRPr="003613B6" w:rsidR="003613B6" w:rsidP="003613B6" w:rsidRDefault="003613B6" w14:paraId="6C18168C" w14:textId="77777777">
            <w:pPr>
              <w:pStyle w:val="Table"/>
              <w:rPr>
                <w:sz w:val="18"/>
              </w:rPr>
            </w:pPr>
            <w:r w:rsidRPr="003613B6">
              <w:rPr>
                <w:sz w:val="18"/>
              </w:rPr>
              <w:t>1,001-3,300</w:t>
            </w:r>
          </w:p>
        </w:tc>
        <w:tc>
          <w:tcPr>
            <w:tcW w:w="1581" w:type="dxa"/>
            <w:tcMar>
              <w:left w:w="115" w:type="dxa"/>
              <w:right w:w="360" w:type="dxa"/>
            </w:tcMar>
            <w:vAlign w:val="center"/>
            <w:hideMark/>
          </w:tcPr>
          <w:p w:rsidRPr="003613B6" w:rsidR="003613B6" w:rsidP="00734756" w:rsidRDefault="003613B6" w14:paraId="7325FB3B" w14:textId="77777777">
            <w:pPr>
              <w:pStyle w:val="Table"/>
              <w:jc w:val="right"/>
              <w:rPr>
                <w:sz w:val="18"/>
              </w:rPr>
            </w:pPr>
            <w:r w:rsidRPr="003613B6">
              <w:rPr>
                <w:sz w:val="18"/>
              </w:rPr>
              <w:t>8,902</w:t>
            </w:r>
          </w:p>
        </w:tc>
        <w:tc>
          <w:tcPr>
            <w:tcW w:w="1396" w:type="dxa"/>
            <w:vAlign w:val="center"/>
            <w:hideMark/>
          </w:tcPr>
          <w:p w:rsidRPr="003613B6" w:rsidR="003613B6" w:rsidP="003613B6" w:rsidRDefault="003613B6" w14:paraId="132408BD"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686FE957" w14:textId="77777777">
            <w:pPr>
              <w:pStyle w:val="Table"/>
              <w:jc w:val="right"/>
              <w:rPr>
                <w:sz w:val="18"/>
              </w:rPr>
            </w:pPr>
            <w:r w:rsidRPr="003613B6">
              <w:rPr>
                <w:sz w:val="18"/>
              </w:rPr>
              <w:t>178,040</w:t>
            </w:r>
          </w:p>
        </w:tc>
        <w:tc>
          <w:tcPr>
            <w:tcW w:w="1373" w:type="dxa"/>
            <w:vAlign w:val="center"/>
            <w:hideMark/>
          </w:tcPr>
          <w:p w:rsidRPr="003613B6" w:rsidR="003613B6" w:rsidP="003613B6" w:rsidRDefault="003613B6" w14:paraId="28578EAA" w14:textId="77777777">
            <w:pPr>
              <w:pStyle w:val="Table"/>
              <w:jc w:val="center"/>
              <w:rPr>
                <w:sz w:val="18"/>
              </w:rPr>
            </w:pPr>
            <w:r w:rsidRPr="003613B6">
              <w:rPr>
                <w:sz w:val="18"/>
              </w:rPr>
              <w:t>$28.64</w:t>
            </w:r>
          </w:p>
        </w:tc>
        <w:tc>
          <w:tcPr>
            <w:tcW w:w="1460" w:type="dxa"/>
            <w:noWrap/>
            <w:tcMar>
              <w:left w:w="115" w:type="dxa"/>
              <w:right w:w="288" w:type="dxa"/>
            </w:tcMar>
            <w:vAlign w:val="center"/>
            <w:hideMark/>
          </w:tcPr>
          <w:p w:rsidRPr="003613B6" w:rsidR="003613B6" w:rsidP="00734756" w:rsidRDefault="003613B6" w14:paraId="4208E45A" w14:textId="77777777">
            <w:pPr>
              <w:pStyle w:val="Table"/>
              <w:jc w:val="right"/>
              <w:rPr>
                <w:sz w:val="18"/>
              </w:rPr>
            </w:pPr>
            <w:r w:rsidRPr="003613B6">
              <w:rPr>
                <w:sz w:val="18"/>
              </w:rPr>
              <w:t>$5,099,066</w:t>
            </w:r>
          </w:p>
        </w:tc>
      </w:tr>
      <w:tr w:rsidRPr="003613B6" w:rsidR="003613B6" w:rsidTr="00734756" w14:paraId="0E88EFF4" w14:textId="77777777">
        <w:trPr>
          <w:trHeight w:val="300"/>
        </w:trPr>
        <w:tc>
          <w:tcPr>
            <w:tcW w:w="1875" w:type="dxa"/>
            <w:vAlign w:val="center"/>
            <w:hideMark/>
          </w:tcPr>
          <w:p w:rsidRPr="003613B6" w:rsidR="003613B6" w:rsidP="003613B6" w:rsidRDefault="003613B6" w14:paraId="622FF6A8" w14:textId="77777777">
            <w:pPr>
              <w:pStyle w:val="Table"/>
              <w:rPr>
                <w:sz w:val="18"/>
              </w:rPr>
            </w:pPr>
            <w:r w:rsidRPr="003613B6">
              <w:rPr>
                <w:sz w:val="18"/>
              </w:rPr>
              <w:t>3,301-10,000</w:t>
            </w:r>
          </w:p>
        </w:tc>
        <w:tc>
          <w:tcPr>
            <w:tcW w:w="1581" w:type="dxa"/>
            <w:tcMar>
              <w:left w:w="115" w:type="dxa"/>
              <w:right w:w="360" w:type="dxa"/>
            </w:tcMar>
            <w:vAlign w:val="center"/>
            <w:hideMark/>
          </w:tcPr>
          <w:p w:rsidRPr="003613B6" w:rsidR="003613B6" w:rsidP="00734756" w:rsidRDefault="003613B6" w14:paraId="65166565" w14:textId="77777777">
            <w:pPr>
              <w:pStyle w:val="Table"/>
              <w:jc w:val="right"/>
              <w:rPr>
                <w:sz w:val="18"/>
              </w:rPr>
            </w:pPr>
            <w:r w:rsidRPr="003613B6">
              <w:rPr>
                <w:sz w:val="18"/>
              </w:rPr>
              <w:t>5,122</w:t>
            </w:r>
          </w:p>
        </w:tc>
        <w:tc>
          <w:tcPr>
            <w:tcW w:w="1396" w:type="dxa"/>
            <w:vAlign w:val="center"/>
            <w:hideMark/>
          </w:tcPr>
          <w:p w:rsidRPr="003613B6" w:rsidR="003613B6" w:rsidP="003613B6" w:rsidRDefault="003613B6" w14:paraId="273CAFC8"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5E304832" w14:textId="77777777">
            <w:pPr>
              <w:pStyle w:val="Table"/>
              <w:jc w:val="right"/>
              <w:rPr>
                <w:sz w:val="18"/>
              </w:rPr>
            </w:pPr>
            <w:r w:rsidRPr="003613B6">
              <w:rPr>
                <w:sz w:val="18"/>
              </w:rPr>
              <w:t>102,440</w:t>
            </w:r>
          </w:p>
        </w:tc>
        <w:tc>
          <w:tcPr>
            <w:tcW w:w="1373" w:type="dxa"/>
            <w:vAlign w:val="center"/>
            <w:hideMark/>
          </w:tcPr>
          <w:p w:rsidRPr="003613B6" w:rsidR="003613B6" w:rsidP="003613B6" w:rsidRDefault="003613B6" w14:paraId="7D4E9D5F" w14:textId="77777777">
            <w:pPr>
              <w:pStyle w:val="Table"/>
              <w:jc w:val="center"/>
              <w:rPr>
                <w:sz w:val="18"/>
              </w:rPr>
            </w:pPr>
            <w:r w:rsidRPr="003613B6">
              <w:rPr>
                <w:sz w:val="18"/>
              </w:rPr>
              <w:t>$33.74</w:t>
            </w:r>
          </w:p>
        </w:tc>
        <w:tc>
          <w:tcPr>
            <w:tcW w:w="1460" w:type="dxa"/>
            <w:noWrap/>
            <w:tcMar>
              <w:left w:w="115" w:type="dxa"/>
              <w:right w:w="288" w:type="dxa"/>
            </w:tcMar>
            <w:vAlign w:val="center"/>
            <w:hideMark/>
          </w:tcPr>
          <w:p w:rsidRPr="003613B6" w:rsidR="003613B6" w:rsidP="00734756" w:rsidRDefault="003613B6" w14:paraId="4BF84557" w14:textId="77777777">
            <w:pPr>
              <w:pStyle w:val="Table"/>
              <w:jc w:val="right"/>
              <w:rPr>
                <w:sz w:val="18"/>
              </w:rPr>
            </w:pPr>
            <w:r w:rsidRPr="003613B6">
              <w:rPr>
                <w:sz w:val="18"/>
              </w:rPr>
              <w:t>$3,456,326</w:t>
            </w:r>
          </w:p>
        </w:tc>
      </w:tr>
      <w:tr w:rsidRPr="003613B6" w:rsidR="003613B6" w:rsidTr="00734756" w14:paraId="31EEF85E" w14:textId="77777777">
        <w:trPr>
          <w:trHeight w:val="300"/>
        </w:trPr>
        <w:tc>
          <w:tcPr>
            <w:tcW w:w="1875" w:type="dxa"/>
            <w:vAlign w:val="center"/>
            <w:hideMark/>
          </w:tcPr>
          <w:p w:rsidRPr="003613B6" w:rsidR="003613B6" w:rsidP="003613B6" w:rsidRDefault="003613B6" w14:paraId="366A12D9" w14:textId="77777777">
            <w:pPr>
              <w:pStyle w:val="Table"/>
              <w:rPr>
                <w:sz w:val="18"/>
              </w:rPr>
            </w:pPr>
            <w:r w:rsidRPr="003613B6">
              <w:rPr>
                <w:sz w:val="18"/>
              </w:rPr>
              <w:t>10,001-50,000</w:t>
            </w:r>
          </w:p>
        </w:tc>
        <w:tc>
          <w:tcPr>
            <w:tcW w:w="1581" w:type="dxa"/>
            <w:tcMar>
              <w:left w:w="115" w:type="dxa"/>
              <w:right w:w="360" w:type="dxa"/>
            </w:tcMar>
            <w:vAlign w:val="center"/>
            <w:hideMark/>
          </w:tcPr>
          <w:p w:rsidRPr="003613B6" w:rsidR="003613B6" w:rsidP="00734756" w:rsidRDefault="003613B6" w14:paraId="1E61D2F2" w14:textId="77777777">
            <w:pPr>
              <w:pStyle w:val="Table"/>
              <w:jc w:val="right"/>
              <w:rPr>
                <w:sz w:val="18"/>
              </w:rPr>
            </w:pPr>
            <w:r w:rsidRPr="003613B6">
              <w:rPr>
                <w:sz w:val="18"/>
              </w:rPr>
              <w:t>3,351</w:t>
            </w:r>
          </w:p>
        </w:tc>
        <w:tc>
          <w:tcPr>
            <w:tcW w:w="1396" w:type="dxa"/>
            <w:vAlign w:val="center"/>
            <w:hideMark/>
          </w:tcPr>
          <w:p w:rsidRPr="003613B6" w:rsidR="003613B6" w:rsidP="003613B6" w:rsidRDefault="003613B6" w14:paraId="29E645AA"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020B43A2" w14:textId="77777777">
            <w:pPr>
              <w:pStyle w:val="Table"/>
              <w:jc w:val="right"/>
              <w:rPr>
                <w:sz w:val="18"/>
              </w:rPr>
            </w:pPr>
            <w:r w:rsidRPr="003613B6">
              <w:rPr>
                <w:sz w:val="18"/>
              </w:rPr>
              <w:t>67,020</w:t>
            </w:r>
          </w:p>
        </w:tc>
        <w:tc>
          <w:tcPr>
            <w:tcW w:w="1373" w:type="dxa"/>
            <w:vAlign w:val="center"/>
            <w:hideMark/>
          </w:tcPr>
          <w:p w:rsidRPr="003613B6" w:rsidR="003613B6" w:rsidP="003613B6" w:rsidRDefault="003613B6" w14:paraId="052E4C29" w14:textId="77777777">
            <w:pPr>
              <w:pStyle w:val="Table"/>
              <w:jc w:val="center"/>
              <w:rPr>
                <w:sz w:val="18"/>
              </w:rPr>
            </w:pPr>
            <w:r w:rsidRPr="003613B6">
              <w:rPr>
                <w:sz w:val="18"/>
              </w:rPr>
              <w:t>$36.15</w:t>
            </w:r>
          </w:p>
        </w:tc>
        <w:tc>
          <w:tcPr>
            <w:tcW w:w="1460" w:type="dxa"/>
            <w:noWrap/>
            <w:tcMar>
              <w:left w:w="115" w:type="dxa"/>
              <w:right w:w="288" w:type="dxa"/>
            </w:tcMar>
            <w:vAlign w:val="center"/>
            <w:hideMark/>
          </w:tcPr>
          <w:p w:rsidRPr="003613B6" w:rsidR="003613B6" w:rsidP="00734756" w:rsidRDefault="003613B6" w14:paraId="5C2C7E1D" w14:textId="77777777">
            <w:pPr>
              <w:pStyle w:val="Table"/>
              <w:jc w:val="right"/>
              <w:rPr>
                <w:sz w:val="18"/>
              </w:rPr>
            </w:pPr>
            <w:r w:rsidRPr="003613B6">
              <w:rPr>
                <w:sz w:val="18"/>
              </w:rPr>
              <w:t>$2,422,773</w:t>
            </w:r>
          </w:p>
        </w:tc>
      </w:tr>
      <w:tr w:rsidRPr="003613B6" w:rsidR="003613B6" w:rsidTr="00734756" w14:paraId="59AC2F6C" w14:textId="77777777">
        <w:trPr>
          <w:trHeight w:val="300"/>
        </w:trPr>
        <w:tc>
          <w:tcPr>
            <w:tcW w:w="1875" w:type="dxa"/>
            <w:vAlign w:val="center"/>
            <w:hideMark/>
          </w:tcPr>
          <w:p w:rsidRPr="003613B6" w:rsidR="003613B6" w:rsidP="003613B6" w:rsidRDefault="003613B6" w14:paraId="37BAF089" w14:textId="77777777">
            <w:pPr>
              <w:pStyle w:val="Table"/>
              <w:rPr>
                <w:sz w:val="18"/>
              </w:rPr>
            </w:pPr>
            <w:r w:rsidRPr="003613B6">
              <w:rPr>
                <w:sz w:val="18"/>
              </w:rPr>
              <w:t>50,001-100,000</w:t>
            </w:r>
          </w:p>
        </w:tc>
        <w:tc>
          <w:tcPr>
            <w:tcW w:w="1581" w:type="dxa"/>
            <w:tcMar>
              <w:left w:w="115" w:type="dxa"/>
              <w:right w:w="360" w:type="dxa"/>
            </w:tcMar>
            <w:vAlign w:val="center"/>
            <w:hideMark/>
          </w:tcPr>
          <w:p w:rsidRPr="003613B6" w:rsidR="003613B6" w:rsidP="00734756" w:rsidRDefault="003613B6" w14:paraId="19AA8F10" w14:textId="77777777">
            <w:pPr>
              <w:pStyle w:val="Table"/>
              <w:jc w:val="right"/>
              <w:rPr>
                <w:sz w:val="18"/>
              </w:rPr>
            </w:pPr>
            <w:r w:rsidRPr="003613B6">
              <w:rPr>
                <w:sz w:val="18"/>
              </w:rPr>
              <w:t>552</w:t>
            </w:r>
          </w:p>
        </w:tc>
        <w:tc>
          <w:tcPr>
            <w:tcW w:w="1396" w:type="dxa"/>
            <w:vAlign w:val="center"/>
            <w:hideMark/>
          </w:tcPr>
          <w:p w:rsidRPr="003613B6" w:rsidR="003613B6" w:rsidP="003613B6" w:rsidRDefault="003613B6" w14:paraId="3F3F23BE"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744AFC13" w14:textId="77777777">
            <w:pPr>
              <w:pStyle w:val="Table"/>
              <w:jc w:val="right"/>
              <w:rPr>
                <w:sz w:val="18"/>
              </w:rPr>
            </w:pPr>
            <w:r w:rsidRPr="003613B6">
              <w:rPr>
                <w:sz w:val="18"/>
              </w:rPr>
              <w:t>11,040</w:t>
            </w:r>
          </w:p>
        </w:tc>
        <w:tc>
          <w:tcPr>
            <w:tcW w:w="1373" w:type="dxa"/>
            <w:vAlign w:val="center"/>
            <w:hideMark/>
          </w:tcPr>
          <w:p w:rsidRPr="003613B6" w:rsidR="003613B6" w:rsidP="003613B6" w:rsidRDefault="003613B6" w14:paraId="7BB54CC0" w14:textId="77777777">
            <w:pPr>
              <w:pStyle w:val="Table"/>
              <w:jc w:val="center"/>
              <w:rPr>
                <w:sz w:val="18"/>
              </w:rPr>
            </w:pPr>
            <w:r w:rsidRPr="003613B6">
              <w:rPr>
                <w:sz w:val="18"/>
              </w:rPr>
              <w:t>$39.01</w:t>
            </w:r>
          </w:p>
        </w:tc>
        <w:tc>
          <w:tcPr>
            <w:tcW w:w="1460" w:type="dxa"/>
            <w:noWrap/>
            <w:tcMar>
              <w:left w:w="115" w:type="dxa"/>
              <w:right w:w="288" w:type="dxa"/>
            </w:tcMar>
            <w:vAlign w:val="center"/>
            <w:hideMark/>
          </w:tcPr>
          <w:p w:rsidRPr="003613B6" w:rsidR="003613B6" w:rsidP="00734756" w:rsidRDefault="003613B6" w14:paraId="754E58A9" w14:textId="77777777">
            <w:pPr>
              <w:pStyle w:val="Table"/>
              <w:jc w:val="right"/>
              <w:rPr>
                <w:sz w:val="18"/>
              </w:rPr>
            </w:pPr>
            <w:r w:rsidRPr="003613B6">
              <w:rPr>
                <w:sz w:val="18"/>
              </w:rPr>
              <w:t>$430,670</w:t>
            </w:r>
          </w:p>
        </w:tc>
      </w:tr>
      <w:tr w:rsidRPr="003613B6" w:rsidR="003613B6" w:rsidTr="00734756" w14:paraId="69F55D06" w14:textId="77777777">
        <w:trPr>
          <w:trHeight w:val="300"/>
        </w:trPr>
        <w:tc>
          <w:tcPr>
            <w:tcW w:w="1875" w:type="dxa"/>
            <w:vAlign w:val="center"/>
            <w:hideMark/>
          </w:tcPr>
          <w:p w:rsidRPr="003613B6" w:rsidR="003613B6" w:rsidP="003613B6" w:rsidRDefault="003613B6" w14:paraId="3DA42EF5" w14:textId="77777777">
            <w:pPr>
              <w:pStyle w:val="Table"/>
              <w:rPr>
                <w:sz w:val="18"/>
              </w:rPr>
            </w:pPr>
            <w:r w:rsidRPr="003613B6">
              <w:rPr>
                <w:sz w:val="18"/>
              </w:rPr>
              <w:t>100,001-1,000,000</w:t>
            </w:r>
          </w:p>
        </w:tc>
        <w:tc>
          <w:tcPr>
            <w:tcW w:w="1581" w:type="dxa"/>
            <w:tcMar>
              <w:left w:w="115" w:type="dxa"/>
              <w:right w:w="360" w:type="dxa"/>
            </w:tcMar>
            <w:vAlign w:val="center"/>
            <w:hideMark/>
          </w:tcPr>
          <w:p w:rsidRPr="003613B6" w:rsidR="003613B6" w:rsidP="00734756" w:rsidRDefault="003613B6" w14:paraId="5EAA35FC" w14:textId="77777777">
            <w:pPr>
              <w:pStyle w:val="Table"/>
              <w:jc w:val="right"/>
              <w:rPr>
                <w:sz w:val="18"/>
              </w:rPr>
            </w:pPr>
            <w:r w:rsidRPr="003613B6">
              <w:rPr>
                <w:sz w:val="18"/>
              </w:rPr>
              <w:t>408</w:t>
            </w:r>
          </w:p>
        </w:tc>
        <w:tc>
          <w:tcPr>
            <w:tcW w:w="1396" w:type="dxa"/>
            <w:vAlign w:val="center"/>
            <w:hideMark/>
          </w:tcPr>
          <w:p w:rsidRPr="003613B6" w:rsidR="003613B6" w:rsidP="003613B6" w:rsidRDefault="003613B6" w14:paraId="42E5DB3D"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07189312" w14:textId="77777777">
            <w:pPr>
              <w:pStyle w:val="Table"/>
              <w:jc w:val="right"/>
              <w:rPr>
                <w:sz w:val="18"/>
              </w:rPr>
            </w:pPr>
            <w:r w:rsidRPr="003613B6">
              <w:rPr>
                <w:sz w:val="18"/>
              </w:rPr>
              <w:t>8,160</w:t>
            </w:r>
          </w:p>
        </w:tc>
        <w:tc>
          <w:tcPr>
            <w:tcW w:w="1373" w:type="dxa"/>
            <w:vAlign w:val="center"/>
            <w:hideMark/>
          </w:tcPr>
          <w:p w:rsidRPr="003613B6" w:rsidR="003613B6" w:rsidP="003613B6" w:rsidRDefault="003613B6" w14:paraId="54CEE032" w14:textId="77777777">
            <w:pPr>
              <w:pStyle w:val="Table"/>
              <w:jc w:val="center"/>
              <w:rPr>
                <w:sz w:val="18"/>
              </w:rPr>
            </w:pPr>
            <w:r w:rsidRPr="003613B6">
              <w:rPr>
                <w:sz w:val="18"/>
              </w:rPr>
              <w:t>$44.38</w:t>
            </w:r>
          </w:p>
        </w:tc>
        <w:tc>
          <w:tcPr>
            <w:tcW w:w="1460" w:type="dxa"/>
            <w:noWrap/>
            <w:tcMar>
              <w:left w:w="115" w:type="dxa"/>
              <w:right w:w="288" w:type="dxa"/>
            </w:tcMar>
            <w:vAlign w:val="center"/>
            <w:hideMark/>
          </w:tcPr>
          <w:p w:rsidRPr="003613B6" w:rsidR="003613B6" w:rsidP="00734756" w:rsidRDefault="003613B6" w14:paraId="1F7BC305" w14:textId="77777777">
            <w:pPr>
              <w:pStyle w:val="Table"/>
              <w:jc w:val="right"/>
              <w:rPr>
                <w:sz w:val="18"/>
              </w:rPr>
            </w:pPr>
            <w:r w:rsidRPr="003613B6">
              <w:rPr>
                <w:sz w:val="18"/>
              </w:rPr>
              <w:t>$362,141</w:t>
            </w:r>
          </w:p>
        </w:tc>
      </w:tr>
      <w:tr w:rsidRPr="003613B6" w:rsidR="003613B6" w:rsidTr="00734756" w14:paraId="363DC1A2" w14:textId="77777777">
        <w:trPr>
          <w:trHeight w:val="300"/>
        </w:trPr>
        <w:tc>
          <w:tcPr>
            <w:tcW w:w="1875" w:type="dxa"/>
            <w:vAlign w:val="center"/>
            <w:hideMark/>
          </w:tcPr>
          <w:p w:rsidRPr="003613B6" w:rsidR="003613B6" w:rsidP="003613B6" w:rsidRDefault="003613B6" w14:paraId="04FE9097" w14:textId="77777777">
            <w:pPr>
              <w:pStyle w:val="Table"/>
              <w:rPr>
                <w:sz w:val="18"/>
              </w:rPr>
            </w:pPr>
            <w:r w:rsidRPr="003613B6">
              <w:rPr>
                <w:sz w:val="18"/>
              </w:rPr>
              <w:t>&gt;1,000,000</w:t>
            </w:r>
          </w:p>
        </w:tc>
        <w:tc>
          <w:tcPr>
            <w:tcW w:w="1581" w:type="dxa"/>
            <w:tcMar>
              <w:left w:w="115" w:type="dxa"/>
              <w:right w:w="360" w:type="dxa"/>
            </w:tcMar>
            <w:vAlign w:val="center"/>
            <w:hideMark/>
          </w:tcPr>
          <w:p w:rsidRPr="003613B6" w:rsidR="003613B6" w:rsidP="00734756" w:rsidRDefault="003613B6" w14:paraId="34FDA96D" w14:textId="77777777">
            <w:pPr>
              <w:pStyle w:val="Table"/>
              <w:jc w:val="right"/>
              <w:rPr>
                <w:sz w:val="18"/>
              </w:rPr>
            </w:pPr>
            <w:r w:rsidRPr="003613B6">
              <w:rPr>
                <w:sz w:val="18"/>
              </w:rPr>
              <w:t>21</w:t>
            </w:r>
          </w:p>
        </w:tc>
        <w:tc>
          <w:tcPr>
            <w:tcW w:w="1396" w:type="dxa"/>
            <w:vAlign w:val="center"/>
            <w:hideMark/>
          </w:tcPr>
          <w:p w:rsidRPr="003613B6" w:rsidR="003613B6" w:rsidP="003613B6" w:rsidRDefault="003613B6" w14:paraId="025999C3" w14:textId="77777777">
            <w:pPr>
              <w:pStyle w:val="Table"/>
              <w:jc w:val="center"/>
              <w:rPr>
                <w:sz w:val="18"/>
              </w:rPr>
            </w:pPr>
            <w:r w:rsidRPr="003613B6">
              <w:rPr>
                <w:sz w:val="18"/>
              </w:rPr>
              <w:t>20</w:t>
            </w:r>
          </w:p>
        </w:tc>
        <w:tc>
          <w:tcPr>
            <w:tcW w:w="1665" w:type="dxa"/>
            <w:tcMar>
              <w:left w:w="115" w:type="dxa"/>
              <w:right w:w="360" w:type="dxa"/>
            </w:tcMar>
            <w:vAlign w:val="center"/>
            <w:hideMark/>
          </w:tcPr>
          <w:p w:rsidRPr="003613B6" w:rsidR="003613B6" w:rsidP="00734756" w:rsidRDefault="003613B6" w14:paraId="426C752D" w14:textId="77777777">
            <w:pPr>
              <w:pStyle w:val="Table"/>
              <w:jc w:val="right"/>
              <w:rPr>
                <w:sz w:val="18"/>
              </w:rPr>
            </w:pPr>
            <w:r w:rsidRPr="003613B6">
              <w:rPr>
                <w:sz w:val="18"/>
              </w:rPr>
              <w:t>420</w:t>
            </w:r>
          </w:p>
        </w:tc>
        <w:tc>
          <w:tcPr>
            <w:tcW w:w="1373" w:type="dxa"/>
            <w:vAlign w:val="center"/>
            <w:hideMark/>
          </w:tcPr>
          <w:p w:rsidRPr="003613B6" w:rsidR="003613B6" w:rsidP="003613B6" w:rsidRDefault="003613B6" w14:paraId="55D8270D" w14:textId="77777777">
            <w:pPr>
              <w:pStyle w:val="Table"/>
              <w:jc w:val="center"/>
              <w:rPr>
                <w:sz w:val="18"/>
              </w:rPr>
            </w:pPr>
            <w:r w:rsidRPr="003613B6">
              <w:rPr>
                <w:sz w:val="18"/>
              </w:rPr>
              <w:t>$44.38</w:t>
            </w:r>
          </w:p>
        </w:tc>
        <w:tc>
          <w:tcPr>
            <w:tcW w:w="1460" w:type="dxa"/>
            <w:noWrap/>
            <w:tcMar>
              <w:left w:w="115" w:type="dxa"/>
              <w:right w:w="288" w:type="dxa"/>
            </w:tcMar>
            <w:vAlign w:val="center"/>
            <w:hideMark/>
          </w:tcPr>
          <w:p w:rsidRPr="003613B6" w:rsidR="003613B6" w:rsidP="00734756" w:rsidRDefault="003613B6" w14:paraId="605EF72F" w14:textId="77777777">
            <w:pPr>
              <w:pStyle w:val="Table"/>
              <w:jc w:val="right"/>
              <w:rPr>
                <w:sz w:val="18"/>
              </w:rPr>
            </w:pPr>
            <w:r w:rsidRPr="003613B6">
              <w:rPr>
                <w:sz w:val="18"/>
              </w:rPr>
              <w:t>$18,640</w:t>
            </w:r>
          </w:p>
        </w:tc>
      </w:tr>
      <w:tr w:rsidRPr="003613B6" w:rsidR="003613B6" w:rsidTr="00734756" w14:paraId="3886505E" w14:textId="77777777">
        <w:trPr>
          <w:trHeight w:val="300"/>
        </w:trPr>
        <w:tc>
          <w:tcPr>
            <w:tcW w:w="1875" w:type="dxa"/>
            <w:vAlign w:val="center"/>
            <w:hideMark/>
          </w:tcPr>
          <w:p w:rsidRPr="003613B6" w:rsidR="003613B6" w:rsidP="003613B6" w:rsidRDefault="003613B6" w14:paraId="7A3A2B7B" w14:textId="77777777">
            <w:pPr>
              <w:pStyle w:val="Table"/>
              <w:rPr>
                <w:b/>
                <w:bCs/>
                <w:sz w:val="18"/>
              </w:rPr>
            </w:pPr>
            <w:r w:rsidRPr="003613B6">
              <w:rPr>
                <w:b/>
                <w:bCs/>
                <w:sz w:val="18"/>
              </w:rPr>
              <w:t xml:space="preserve">System </w:t>
            </w:r>
            <w:r w:rsidR="005A0C29">
              <w:rPr>
                <w:b/>
                <w:bCs/>
                <w:sz w:val="18"/>
              </w:rPr>
              <w:t xml:space="preserve">3-year </w:t>
            </w:r>
            <w:r w:rsidRPr="003613B6">
              <w:rPr>
                <w:b/>
                <w:bCs/>
                <w:sz w:val="18"/>
              </w:rPr>
              <w:t>Total</w:t>
            </w:r>
          </w:p>
        </w:tc>
        <w:tc>
          <w:tcPr>
            <w:tcW w:w="1581" w:type="dxa"/>
            <w:tcMar>
              <w:left w:w="115" w:type="dxa"/>
              <w:right w:w="360" w:type="dxa"/>
            </w:tcMar>
            <w:vAlign w:val="center"/>
            <w:hideMark/>
          </w:tcPr>
          <w:p w:rsidRPr="003613B6" w:rsidR="003613B6" w:rsidP="00734756" w:rsidRDefault="003613B6" w14:paraId="24A30067" w14:textId="77777777">
            <w:pPr>
              <w:pStyle w:val="Table"/>
              <w:jc w:val="right"/>
              <w:rPr>
                <w:b/>
                <w:bCs/>
                <w:sz w:val="18"/>
              </w:rPr>
            </w:pPr>
            <w:r w:rsidRPr="003613B6">
              <w:rPr>
                <w:b/>
                <w:bCs/>
                <w:sz w:val="18"/>
              </w:rPr>
              <w:t>67,656</w:t>
            </w:r>
          </w:p>
        </w:tc>
        <w:tc>
          <w:tcPr>
            <w:tcW w:w="1396" w:type="dxa"/>
            <w:vAlign w:val="center"/>
            <w:hideMark/>
          </w:tcPr>
          <w:p w:rsidRPr="003613B6" w:rsidR="003613B6" w:rsidP="003613B6" w:rsidRDefault="003613B6" w14:paraId="1C53267E" w14:textId="77777777">
            <w:pPr>
              <w:pStyle w:val="Table"/>
              <w:jc w:val="center"/>
              <w:rPr>
                <w:b/>
                <w:bCs/>
                <w:sz w:val="18"/>
              </w:rPr>
            </w:pPr>
            <w:r w:rsidRPr="003613B6">
              <w:rPr>
                <w:b/>
                <w:bCs/>
                <w:sz w:val="18"/>
              </w:rPr>
              <w:t>not applicable</w:t>
            </w:r>
          </w:p>
        </w:tc>
        <w:tc>
          <w:tcPr>
            <w:tcW w:w="1665" w:type="dxa"/>
            <w:tcMar>
              <w:left w:w="115" w:type="dxa"/>
              <w:right w:w="360" w:type="dxa"/>
            </w:tcMar>
            <w:vAlign w:val="center"/>
            <w:hideMark/>
          </w:tcPr>
          <w:p w:rsidRPr="003613B6" w:rsidR="003613B6" w:rsidP="00734756" w:rsidRDefault="003613B6" w14:paraId="3CF876A8" w14:textId="77777777">
            <w:pPr>
              <w:pStyle w:val="Table"/>
              <w:jc w:val="right"/>
              <w:rPr>
                <w:b/>
                <w:bCs/>
                <w:sz w:val="18"/>
              </w:rPr>
            </w:pPr>
            <w:r w:rsidRPr="003613B6">
              <w:rPr>
                <w:b/>
                <w:bCs/>
                <w:sz w:val="18"/>
              </w:rPr>
              <w:t>1,353,120</w:t>
            </w:r>
          </w:p>
        </w:tc>
        <w:tc>
          <w:tcPr>
            <w:tcW w:w="1373" w:type="dxa"/>
            <w:vAlign w:val="center"/>
            <w:hideMark/>
          </w:tcPr>
          <w:p w:rsidRPr="003613B6" w:rsidR="003613B6" w:rsidP="003613B6" w:rsidRDefault="003613B6" w14:paraId="22ECDE6E" w14:textId="77777777">
            <w:pPr>
              <w:pStyle w:val="Table"/>
              <w:jc w:val="center"/>
              <w:rPr>
                <w:b/>
                <w:bCs/>
                <w:sz w:val="18"/>
              </w:rPr>
            </w:pPr>
            <w:r w:rsidRPr="003613B6">
              <w:rPr>
                <w:b/>
                <w:bCs/>
                <w:sz w:val="18"/>
              </w:rPr>
              <w:t>not applicable</w:t>
            </w:r>
          </w:p>
        </w:tc>
        <w:tc>
          <w:tcPr>
            <w:tcW w:w="1460" w:type="dxa"/>
            <w:noWrap/>
            <w:tcMar>
              <w:left w:w="115" w:type="dxa"/>
              <w:right w:w="288" w:type="dxa"/>
            </w:tcMar>
            <w:vAlign w:val="center"/>
            <w:hideMark/>
          </w:tcPr>
          <w:p w:rsidRPr="003613B6" w:rsidR="003613B6" w:rsidP="00734756" w:rsidRDefault="003613B6" w14:paraId="741DDBCD" w14:textId="77777777">
            <w:pPr>
              <w:pStyle w:val="Table"/>
              <w:jc w:val="right"/>
              <w:rPr>
                <w:b/>
                <w:bCs/>
                <w:sz w:val="18"/>
              </w:rPr>
            </w:pPr>
            <w:r w:rsidRPr="003613B6">
              <w:rPr>
                <w:b/>
                <w:bCs/>
                <w:sz w:val="18"/>
              </w:rPr>
              <w:t>$40,028,655</w:t>
            </w:r>
          </w:p>
        </w:tc>
      </w:tr>
      <w:tr w:rsidRPr="003613B6" w:rsidR="005A0C29" w:rsidTr="00734756" w14:paraId="76C18CD4" w14:textId="77777777">
        <w:trPr>
          <w:trHeight w:val="300"/>
        </w:trPr>
        <w:tc>
          <w:tcPr>
            <w:tcW w:w="1875" w:type="dxa"/>
            <w:vAlign w:val="center"/>
          </w:tcPr>
          <w:p w:rsidRPr="003613B6" w:rsidR="005A0C29" w:rsidP="003613B6" w:rsidRDefault="005A0C29" w14:paraId="13C5FA98" w14:textId="77777777">
            <w:pPr>
              <w:pStyle w:val="Table"/>
              <w:rPr>
                <w:b/>
                <w:bCs/>
                <w:sz w:val="18"/>
              </w:rPr>
            </w:pPr>
            <w:r>
              <w:rPr>
                <w:b/>
                <w:bCs/>
                <w:sz w:val="18"/>
              </w:rPr>
              <w:t>Annual Average</w:t>
            </w:r>
          </w:p>
        </w:tc>
        <w:tc>
          <w:tcPr>
            <w:tcW w:w="1581" w:type="dxa"/>
            <w:vAlign w:val="center"/>
          </w:tcPr>
          <w:p w:rsidRPr="003613B6" w:rsidR="005A0C29" w:rsidP="003613B6" w:rsidRDefault="00D23847" w14:paraId="2D2B67E5" w14:textId="77777777">
            <w:pPr>
              <w:pStyle w:val="Table"/>
              <w:jc w:val="center"/>
              <w:rPr>
                <w:b/>
                <w:bCs/>
                <w:sz w:val="18"/>
              </w:rPr>
            </w:pPr>
            <w:r>
              <w:rPr>
                <w:b/>
                <w:bCs/>
                <w:sz w:val="18"/>
              </w:rPr>
              <w:t>n</w:t>
            </w:r>
            <w:r w:rsidR="005A0C29">
              <w:rPr>
                <w:b/>
                <w:bCs/>
                <w:sz w:val="18"/>
              </w:rPr>
              <w:t>ot applicable</w:t>
            </w:r>
          </w:p>
        </w:tc>
        <w:tc>
          <w:tcPr>
            <w:tcW w:w="1396" w:type="dxa"/>
            <w:vAlign w:val="center"/>
          </w:tcPr>
          <w:p w:rsidRPr="003613B6" w:rsidR="005A0C29" w:rsidP="005A0C29" w:rsidRDefault="00D23847" w14:paraId="753D8B63" w14:textId="77777777">
            <w:pPr>
              <w:pStyle w:val="Table"/>
              <w:jc w:val="center"/>
              <w:rPr>
                <w:b/>
                <w:bCs/>
                <w:sz w:val="18"/>
              </w:rPr>
            </w:pPr>
            <w:r>
              <w:rPr>
                <w:b/>
                <w:bCs/>
                <w:sz w:val="18"/>
              </w:rPr>
              <w:t>n</w:t>
            </w:r>
            <w:r w:rsidR="005A0C29">
              <w:rPr>
                <w:b/>
                <w:bCs/>
                <w:sz w:val="18"/>
              </w:rPr>
              <w:t>ot applicable</w:t>
            </w:r>
          </w:p>
        </w:tc>
        <w:tc>
          <w:tcPr>
            <w:tcW w:w="1665" w:type="dxa"/>
            <w:tcMar>
              <w:left w:w="115" w:type="dxa"/>
              <w:right w:w="360" w:type="dxa"/>
            </w:tcMar>
            <w:vAlign w:val="center"/>
          </w:tcPr>
          <w:p w:rsidRPr="003613B6" w:rsidR="005A0C29" w:rsidP="00734756" w:rsidRDefault="005A0C29" w14:paraId="551954F1" w14:textId="77777777">
            <w:pPr>
              <w:pStyle w:val="Table"/>
              <w:jc w:val="right"/>
              <w:rPr>
                <w:b/>
                <w:bCs/>
                <w:sz w:val="18"/>
              </w:rPr>
            </w:pPr>
            <w:r>
              <w:rPr>
                <w:b/>
                <w:bCs/>
                <w:sz w:val="18"/>
              </w:rPr>
              <w:t>451,040</w:t>
            </w:r>
          </w:p>
        </w:tc>
        <w:tc>
          <w:tcPr>
            <w:tcW w:w="1373" w:type="dxa"/>
            <w:vAlign w:val="center"/>
          </w:tcPr>
          <w:p w:rsidRPr="003613B6" w:rsidR="005A0C29" w:rsidP="003613B6" w:rsidRDefault="00D23847" w14:paraId="47DC84AE" w14:textId="77777777">
            <w:pPr>
              <w:pStyle w:val="Table"/>
              <w:jc w:val="center"/>
              <w:rPr>
                <w:b/>
                <w:bCs/>
                <w:sz w:val="18"/>
              </w:rPr>
            </w:pPr>
            <w:r>
              <w:rPr>
                <w:b/>
                <w:bCs/>
                <w:sz w:val="18"/>
              </w:rPr>
              <w:t>n</w:t>
            </w:r>
            <w:r w:rsidR="005A0C29">
              <w:rPr>
                <w:b/>
                <w:bCs/>
                <w:sz w:val="18"/>
              </w:rPr>
              <w:t>ot applicable</w:t>
            </w:r>
          </w:p>
        </w:tc>
        <w:tc>
          <w:tcPr>
            <w:tcW w:w="1460" w:type="dxa"/>
            <w:noWrap/>
            <w:tcMar>
              <w:left w:w="115" w:type="dxa"/>
              <w:right w:w="288" w:type="dxa"/>
            </w:tcMar>
            <w:vAlign w:val="center"/>
          </w:tcPr>
          <w:p w:rsidRPr="003613B6" w:rsidR="005A0C29" w:rsidP="00734756" w:rsidRDefault="005A0C29" w14:paraId="71DAECF6" w14:textId="77777777">
            <w:pPr>
              <w:pStyle w:val="Table"/>
              <w:jc w:val="right"/>
              <w:rPr>
                <w:b/>
                <w:bCs/>
                <w:sz w:val="18"/>
              </w:rPr>
            </w:pPr>
            <w:r>
              <w:rPr>
                <w:b/>
                <w:bCs/>
                <w:sz w:val="18"/>
              </w:rPr>
              <w:t>$13,342,885</w:t>
            </w:r>
          </w:p>
        </w:tc>
      </w:tr>
    </w:tbl>
    <w:p w:rsidRPr="004F0396" w:rsidR="004F0396" w:rsidP="004750F7" w:rsidRDefault="004750F7" w14:paraId="7A449DC5" w14:textId="77777777">
      <w:pPr>
        <w:pStyle w:val="TableNote"/>
      </w:pPr>
      <w:r>
        <w:t>Notes: Detail may not add exactly to total due to independent rounding.</w:t>
      </w:r>
    </w:p>
    <w:p w:rsidR="004F0396" w:rsidP="00EB07E2" w:rsidRDefault="00EB07E2" w14:paraId="3565790A" w14:textId="77777777">
      <w:pPr>
        <w:pStyle w:val="Caption"/>
        <w:rPr>
          <w:noProof/>
        </w:rPr>
      </w:pPr>
      <w:r>
        <w:lastRenderedPageBreak/>
        <w:t xml:space="preserve">Exhibit </w:t>
      </w:r>
      <w:r w:rsidR="00DD17DA">
        <w:rPr>
          <w:noProof/>
        </w:rPr>
        <w:fldChar w:fldCharType="begin"/>
      </w:r>
      <w:r w:rsidR="00DD17DA">
        <w:rPr>
          <w:noProof/>
        </w:rPr>
        <w:instrText xml:space="preserve"> SEQ Exhibit \* ARABIC </w:instrText>
      </w:r>
      <w:r w:rsidR="00DD17DA">
        <w:rPr>
          <w:noProof/>
        </w:rPr>
        <w:fldChar w:fldCharType="separate"/>
      </w:r>
      <w:r w:rsidR="00106B5A">
        <w:rPr>
          <w:noProof/>
        </w:rPr>
        <w:t>6</w:t>
      </w:r>
      <w:r w:rsidR="00DD17DA">
        <w:rPr>
          <w:noProof/>
        </w:rPr>
        <w:fldChar w:fldCharType="end"/>
      </w:r>
      <w:r w:rsidR="004F0396">
        <w:rPr>
          <w:noProof/>
        </w:rPr>
        <w:t xml:space="preserve">. </w:t>
      </w:r>
      <w:r w:rsidRPr="004F0396" w:rsidR="004F0396">
        <w:rPr>
          <w:noProof/>
        </w:rPr>
        <w:t xml:space="preserve">Burden and Costs for </w:t>
      </w:r>
      <w:r w:rsidR="004F0396">
        <w:rPr>
          <w:noProof/>
        </w:rPr>
        <w:t xml:space="preserve">Public Water Systems </w:t>
      </w:r>
      <w:r w:rsidRPr="004F0396" w:rsidR="004F0396">
        <w:rPr>
          <w:noProof/>
        </w:rPr>
        <w:t xml:space="preserve">Preparing a Lead Service Line Inventory </w:t>
      </w:r>
    </w:p>
    <w:tbl>
      <w:tblPr>
        <w:tblStyle w:val="TableGrid"/>
        <w:tblW w:w="9355" w:type="dxa"/>
        <w:tblCellMar>
          <w:left w:w="43" w:type="dxa"/>
          <w:right w:w="43" w:type="dxa"/>
        </w:tblCellMar>
        <w:tblLook w:val="04A0" w:firstRow="1" w:lastRow="0" w:firstColumn="1" w:lastColumn="0" w:noHBand="0" w:noVBand="1"/>
      </w:tblPr>
      <w:tblGrid>
        <w:gridCol w:w="2155"/>
        <w:gridCol w:w="1260"/>
        <w:gridCol w:w="990"/>
        <w:gridCol w:w="1710"/>
        <w:gridCol w:w="990"/>
        <w:gridCol w:w="2250"/>
      </w:tblGrid>
      <w:tr w:rsidRPr="00415776" w:rsidR="00415776" w:rsidTr="0049228A" w14:paraId="50B2CE62" w14:textId="77777777">
        <w:tc>
          <w:tcPr>
            <w:tcW w:w="2155" w:type="dxa"/>
            <w:vAlign w:val="center"/>
          </w:tcPr>
          <w:p w:rsidRPr="00415776" w:rsidR="00415776" w:rsidP="00415776" w:rsidRDefault="00415776" w14:paraId="3305BB81" w14:textId="77777777">
            <w:pPr>
              <w:pStyle w:val="TableNote"/>
              <w:spacing w:after="0"/>
              <w:jc w:val="center"/>
              <w:rPr>
                <w:rFonts w:ascii="Arial" w:hAnsi="Arial" w:cs="Arial"/>
                <w:b/>
                <w:sz w:val="18"/>
                <w:szCs w:val="18"/>
              </w:rPr>
            </w:pPr>
            <w:r w:rsidRPr="00415776">
              <w:rPr>
                <w:rFonts w:ascii="Arial" w:hAnsi="Arial" w:cs="Arial"/>
                <w:b/>
                <w:sz w:val="18"/>
                <w:szCs w:val="18"/>
              </w:rPr>
              <w:t>Respondent service population size category and type</w:t>
            </w:r>
          </w:p>
        </w:tc>
        <w:tc>
          <w:tcPr>
            <w:tcW w:w="1260" w:type="dxa"/>
            <w:vAlign w:val="center"/>
          </w:tcPr>
          <w:p w:rsidRPr="00415776" w:rsidR="00415776" w:rsidP="00415776" w:rsidRDefault="00415776" w14:paraId="7DF70114" w14:textId="77777777">
            <w:pPr>
              <w:pStyle w:val="TableNote"/>
              <w:spacing w:after="0"/>
              <w:jc w:val="center"/>
              <w:rPr>
                <w:rFonts w:ascii="Arial" w:hAnsi="Arial" w:cs="Arial"/>
                <w:b/>
                <w:sz w:val="18"/>
                <w:szCs w:val="18"/>
              </w:rPr>
            </w:pPr>
            <w:r w:rsidRPr="00415776">
              <w:rPr>
                <w:rFonts w:ascii="Arial" w:hAnsi="Arial" w:cs="Arial"/>
                <w:b/>
                <w:sz w:val="18"/>
                <w:szCs w:val="18"/>
              </w:rPr>
              <w:t>Respondents</w:t>
            </w:r>
          </w:p>
        </w:tc>
        <w:tc>
          <w:tcPr>
            <w:tcW w:w="990" w:type="dxa"/>
            <w:vAlign w:val="center"/>
          </w:tcPr>
          <w:p w:rsidRPr="00415776" w:rsidR="00415776" w:rsidP="00415776" w:rsidRDefault="00415776" w14:paraId="07F14578" w14:textId="77777777">
            <w:pPr>
              <w:pStyle w:val="TableNote"/>
              <w:spacing w:after="0"/>
              <w:jc w:val="center"/>
              <w:rPr>
                <w:rFonts w:ascii="Arial" w:hAnsi="Arial" w:cs="Arial"/>
                <w:b/>
                <w:sz w:val="18"/>
                <w:szCs w:val="18"/>
              </w:rPr>
            </w:pPr>
            <w:r w:rsidRPr="00415776">
              <w:rPr>
                <w:rFonts w:ascii="Arial" w:hAnsi="Arial" w:cs="Arial"/>
                <w:b/>
                <w:sz w:val="18"/>
                <w:szCs w:val="18"/>
              </w:rPr>
              <w:t>Burden per Response (hours)</w:t>
            </w:r>
          </w:p>
        </w:tc>
        <w:tc>
          <w:tcPr>
            <w:tcW w:w="1710" w:type="dxa"/>
            <w:vAlign w:val="center"/>
          </w:tcPr>
          <w:p w:rsidRPr="00415776" w:rsidR="00415776" w:rsidP="00415776" w:rsidRDefault="00415776" w14:paraId="4E02C0F8" w14:textId="77777777">
            <w:pPr>
              <w:pStyle w:val="TableNote"/>
              <w:spacing w:after="0"/>
              <w:jc w:val="center"/>
              <w:rPr>
                <w:rFonts w:ascii="Arial" w:hAnsi="Arial" w:cs="Arial"/>
                <w:b/>
                <w:sz w:val="18"/>
                <w:szCs w:val="18"/>
              </w:rPr>
            </w:pPr>
            <w:r w:rsidRPr="00415776">
              <w:rPr>
                <w:rFonts w:ascii="Arial" w:hAnsi="Arial" w:cs="Arial"/>
                <w:b/>
                <w:sz w:val="18"/>
                <w:szCs w:val="18"/>
              </w:rPr>
              <w:t>Burden (hours)</w:t>
            </w:r>
          </w:p>
        </w:tc>
        <w:tc>
          <w:tcPr>
            <w:tcW w:w="990" w:type="dxa"/>
            <w:vAlign w:val="center"/>
          </w:tcPr>
          <w:p w:rsidRPr="00415776" w:rsidR="00415776" w:rsidP="00415776" w:rsidRDefault="00415776" w14:paraId="5AB1C2A8" w14:textId="77777777">
            <w:pPr>
              <w:pStyle w:val="TableNote"/>
              <w:spacing w:after="0"/>
              <w:jc w:val="center"/>
              <w:rPr>
                <w:rFonts w:ascii="Arial" w:hAnsi="Arial" w:cs="Arial"/>
                <w:b/>
                <w:sz w:val="18"/>
                <w:szCs w:val="18"/>
              </w:rPr>
            </w:pPr>
            <w:r w:rsidRPr="00415776">
              <w:rPr>
                <w:rFonts w:ascii="Arial" w:hAnsi="Arial" w:cs="Arial"/>
                <w:b/>
                <w:sz w:val="18"/>
                <w:szCs w:val="18"/>
              </w:rPr>
              <w:t>Labor Rate ($/hour)</w:t>
            </w:r>
          </w:p>
        </w:tc>
        <w:tc>
          <w:tcPr>
            <w:tcW w:w="2250" w:type="dxa"/>
            <w:vAlign w:val="center"/>
          </w:tcPr>
          <w:p w:rsidRPr="00415776" w:rsidR="00415776" w:rsidP="00415776" w:rsidRDefault="00415776" w14:paraId="70859BB1" w14:textId="77777777">
            <w:pPr>
              <w:pStyle w:val="TableNote"/>
              <w:spacing w:after="0"/>
              <w:jc w:val="center"/>
              <w:rPr>
                <w:rFonts w:ascii="Arial" w:hAnsi="Arial" w:cs="Arial"/>
                <w:b/>
                <w:sz w:val="18"/>
                <w:szCs w:val="18"/>
              </w:rPr>
            </w:pPr>
            <w:r w:rsidRPr="00415776">
              <w:rPr>
                <w:rFonts w:ascii="Arial" w:hAnsi="Arial" w:cs="Arial"/>
                <w:b/>
                <w:sz w:val="18"/>
                <w:szCs w:val="18"/>
              </w:rPr>
              <w:t>Cost (2016 dollars)</w:t>
            </w:r>
          </w:p>
        </w:tc>
      </w:tr>
      <w:tr w:rsidRPr="00415776" w:rsidR="00415776" w:rsidTr="0049228A" w14:paraId="20FBD6D1" w14:textId="77777777">
        <w:tc>
          <w:tcPr>
            <w:tcW w:w="2155" w:type="dxa"/>
            <w:vAlign w:val="center"/>
          </w:tcPr>
          <w:p w:rsidRPr="00415776" w:rsidR="00415776" w:rsidP="00415776" w:rsidRDefault="00415776" w14:paraId="76A473D1" w14:textId="77777777">
            <w:pPr>
              <w:pStyle w:val="TableNote"/>
              <w:spacing w:after="0"/>
              <w:rPr>
                <w:rFonts w:ascii="Arial" w:hAnsi="Arial" w:cs="Arial"/>
                <w:sz w:val="18"/>
                <w:szCs w:val="18"/>
              </w:rPr>
            </w:pPr>
            <w:r w:rsidRPr="00415776">
              <w:rPr>
                <w:rFonts w:ascii="Arial" w:hAnsi="Arial" w:cs="Arial"/>
                <w:sz w:val="18"/>
                <w:szCs w:val="18"/>
              </w:rPr>
              <w:t>&lt;=100, CWS</w:t>
            </w:r>
          </w:p>
        </w:tc>
        <w:tc>
          <w:tcPr>
            <w:tcW w:w="1260" w:type="dxa"/>
            <w:vAlign w:val="center"/>
          </w:tcPr>
          <w:p w:rsidRPr="00415776" w:rsidR="00415776" w:rsidP="00415776" w:rsidRDefault="003059D1" w14:paraId="1DFC208C" w14:textId="6CCFC7BC">
            <w:pPr>
              <w:pStyle w:val="TableNote"/>
              <w:spacing w:after="0"/>
              <w:jc w:val="right"/>
              <w:rPr>
                <w:rFonts w:ascii="Arial" w:hAnsi="Arial" w:cs="Arial"/>
                <w:sz w:val="18"/>
                <w:szCs w:val="18"/>
              </w:rPr>
            </w:pPr>
            <w:r>
              <w:rPr>
                <w:rFonts w:ascii="Arial" w:hAnsi="Arial" w:cs="Arial"/>
                <w:sz w:val="18"/>
                <w:szCs w:val="18"/>
              </w:rPr>
              <w:t xml:space="preserve">2,163 to </w:t>
            </w:r>
            <w:r w:rsidRPr="003059D1">
              <w:rPr>
                <w:rFonts w:ascii="Arial" w:hAnsi="Arial" w:cs="Arial"/>
                <w:sz w:val="18"/>
                <w:szCs w:val="18"/>
              </w:rPr>
              <w:t>1,562</w:t>
            </w:r>
          </w:p>
        </w:tc>
        <w:tc>
          <w:tcPr>
            <w:tcW w:w="990" w:type="dxa"/>
            <w:vAlign w:val="center"/>
          </w:tcPr>
          <w:p w:rsidRPr="00415776" w:rsidR="00415776" w:rsidP="00415776" w:rsidRDefault="003059D1" w14:paraId="6C796C01" w14:textId="64058D2E">
            <w:pPr>
              <w:pStyle w:val="TableNote"/>
              <w:spacing w:after="0"/>
              <w:jc w:val="right"/>
              <w:rPr>
                <w:rFonts w:ascii="Arial" w:hAnsi="Arial" w:cs="Arial"/>
                <w:sz w:val="18"/>
                <w:szCs w:val="18"/>
              </w:rPr>
            </w:pPr>
            <w:r>
              <w:rPr>
                <w:rFonts w:ascii="Arial" w:hAnsi="Arial" w:cs="Arial"/>
                <w:sz w:val="18"/>
                <w:szCs w:val="18"/>
              </w:rPr>
              <w:t>20</w:t>
            </w:r>
          </w:p>
        </w:tc>
        <w:tc>
          <w:tcPr>
            <w:tcW w:w="1710" w:type="dxa"/>
            <w:vAlign w:val="center"/>
          </w:tcPr>
          <w:p w:rsidRPr="00415776" w:rsidR="00415776" w:rsidP="00EC1F69" w:rsidRDefault="004A3AD5" w14:paraId="093157B4" w14:textId="6075E847">
            <w:pPr>
              <w:pStyle w:val="TableNote"/>
              <w:spacing w:after="0"/>
              <w:jc w:val="right"/>
              <w:rPr>
                <w:rFonts w:ascii="Arial" w:hAnsi="Arial" w:cs="Arial"/>
                <w:sz w:val="18"/>
                <w:szCs w:val="18"/>
              </w:rPr>
            </w:pPr>
            <w:r w:rsidRPr="004A3AD5">
              <w:rPr>
                <w:rFonts w:ascii="Arial" w:hAnsi="Arial" w:cs="Arial"/>
                <w:sz w:val="18"/>
                <w:szCs w:val="18"/>
              </w:rPr>
              <w:t>43,260</w:t>
            </w:r>
            <w:r w:rsidR="00EC1F69">
              <w:rPr>
                <w:rFonts w:ascii="Arial" w:hAnsi="Arial" w:cs="Arial"/>
                <w:sz w:val="18"/>
                <w:szCs w:val="18"/>
              </w:rPr>
              <w:t xml:space="preserve"> to 3</w:t>
            </w:r>
            <w:r w:rsidRPr="004A3AD5">
              <w:rPr>
                <w:rFonts w:ascii="Arial" w:hAnsi="Arial" w:cs="Arial"/>
                <w:sz w:val="18"/>
                <w:szCs w:val="18"/>
              </w:rPr>
              <w:t>1,240</w:t>
            </w:r>
          </w:p>
        </w:tc>
        <w:tc>
          <w:tcPr>
            <w:tcW w:w="990" w:type="dxa"/>
            <w:vAlign w:val="center"/>
          </w:tcPr>
          <w:p w:rsidRPr="00415776" w:rsidR="00415776" w:rsidP="00EC1F69" w:rsidRDefault="004A3AD5" w14:paraId="44FE5940" w14:textId="539CBF45">
            <w:pPr>
              <w:pStyle w:val="TableNote"/>
              <w:spacing w:after="0"/>
              <w:jc w:val="right"/>
              <w:rPr>
                <w:rFonts w:ascii="Arial" w:hAnsi="Arial" w:cs="Arial"/>
                <w:sz w:val="18"/>
                <w:szCs w:val="18"/>
              </w:rPr>
            </w:pPr>
            <w:r>
              <w:rPr>
                <w:rFonts w:ascii="Arial" w:hAnsi="Arial" w:cs="Arial"/>
                <w:sz w:val="18"/>
                <w:szCs w:val="18"/>
              </w:rPr>
              <w:t>$</w:t>
            </w:r>
            <w:r w:rsidRPr="00415776" w:rsidR="00415776">
              <w:rPr>
                <w:rFonts w:ascii="Arial" w:hAnsi="Arial" w:cs="Arial"/>
                <w:sz w:val="18"/>
                <w:szCs w:val="18"/>
              </w:rPr>
              <w:t>28.64</w:t>
            </w:r>
          </w:p>
        </w:tc>
        <w:tc>
          <w:tcPr>
            <w:tcW w:w="2250" w:type="dxa"/>
            <w:vAlign w:val="center"/>
          </w:tcPr>
          <w:p w:rsidRPr="00415776" w:rsidR="00415776" w:rsidP="00EC1F69" w:rsidRDefault="00EC1F69" w14:paraId="6CB2C350" w14:textId="6742C542">
            <w:pPr>
              <w:pStyle w:val="TableNote"/>
              <w:spacing w:after="0"/>
              <w:jc w:val="right"/>
              <w:rPr>
                <w:rFonts w:ascii="Arial" w:hAnsi="Arial" w:cs="Arial"/>
                <w:sz w:val="18"/>
                <w:szCs w:val="18"/>
              </w:rPr>
            </w:pPr>
            <w:r w:rsidRPr="00EC1F69">
              <w:rPr>
                <w:rFonts w:ascii="Arial" w:hAnsi="Arial" w:cs="Arial"/>
                <w:sz w:val="18"/>
                <w:szCs w:val="18"/>
              </w:rPr>
              <w:t>$1,238,966</w:t>
            </w:r>
            <w:r>
              <w:rPr>
                <w:rFonts w:ascii="Arial" w:hAnsi="Arial" w:cs="Arial"/>
                <w:sz w:val="18"/>
                <w:szCs w:val="18"/>
              </w:rPr>
              <w:t xml:space="preserve"> to </w:t>
            </w:r>
            <w:r w:rsidRPr="00EC1F69">
              <w:rPr>
                <w:rFonts w:ascii="Arial" w:hAnsi="Arial" w:cs="Arial"/>
                <w:sz w:val="18"/>
                <w:szCs w:val="18"/>
              </w:rPr>
              <w:t xml:space="preserve">$894,714 </w:t>
            </w:r>
          </w:p>
        </w:tc>
      </w:tr>
      <w:tr w:rsidRPr="00415776" w:rsidR="00415776" w:rsidTr="0049228A" w14:paraId="418F9ABA" w14:textId="77777777">
        <w:tc>
          <w:tcPr>
            <w:tcW w:w="2155" w:type="dxa"/>
            <w:vAlign w:val="center"/>
          </w:tcPr>
          <w:p w:rsidRPr="00415776" w:rsidR="00415776" w:rsidP="00415776" w:rsidRDefault="00415776" w14:paraId="786CC20D" w14:textId="77777777">
            <w:pPr>
              <w:pStyle w:val="TableNote"/>
              <w:spacing w:after="0"/>
              <w:rPr>
                <w:rFonts w:ascii="Arial" w:hAnsi="Arial" w:cs="Arial"/>
                <w:sz w:val="18"/>
                <w:szCs w:val="18"/>
              </w:rPr>
            </w:pPr>
            <w:r w:rsidRPr="00415776">
              <w:rPr>
                <w:rFonts w:ascii="Arial" w:hAnsi="Arial" w:cs="Arial"/>
                <w:sz w:val="18"/>
                <w:szCs w:val="18"/>
              </w:rPr>
              <w:t>101-500, CWS</w:t>
            </w:r>
          </w:p>
        </w:tc>
        <w:tc>
          <w:tcPr>
            <w:tcW w:w="1260" w:type="dxa"/>
            <w:vAlign w:val="center"/>
          </w:tcPr>
          <w:p w:rsidRPr="00415776" w:rsidR="00415776" w:rsidP="00415776" w:rsidRDefault="003059D1" w14:paraId="7F5D5A6A" w14:textId="6194934D">
            <w:pPr>
              <w:pStyle w:val="TableNote"/>
              <w:spacing w:after="0"/>
              <w:jc w:val="right"/>
              <w:rPr>
                <w:rFonts w:ascii="Arial" w:hAnsi="Arial" w:cs="Arial"/>
                <w:sz w:val="18"/>
                <w:szCs w:val="18"/>
              </w:rPr>
            </w:pPr>
            <w:r>
              <w:rPr>
                <w:rFonts w:ascii="Arial" w:hAnsi="Arial" w:cs="Arial"/>
                <w:sz w:val="18"/>
                <w:szCs w:val="18"/>
              </w:rPr>
              <w:t xml:space="preserve">2,801 to </w:t>
            </w:r>
            <w:r w:rsidRPr="003059D1">
              <w:rPr>
                <w:rFonts w:ascii="Arial" w:hAnsi="Arial" w:cs="Arial"/>
                <w:sz w:val="18"/>
                <w:szCs w:val="18"/>
              </w:rPr>
              <w:t>2,733</w:t>
            </w:r>
          </w:p>
        </w:tc>
        <w:tc>
          <w:tcPr>
            <w:tcW w:w="990" w:type="dxa"/>
            <w:vAlign w:val="center"/>
          </w:tcPr>
          <w:p w:rsidRPr="00415776" w:rsidR="003059D1" w:rsidP="003059D1" w:rsidRDefault="003059D1" w14:paraId="3B6291B7" w14:textId="1D66E8D1">
            <w:pPr>
              <w:pStyle w:val="TableNote"/>
              <w:spacing w:after="0"/>
              <w:jc w:val="right"/>
              <w:rPr>
                <w:rFonts w:ascii="Arial" w:hAnsi="Arial" w:cs="Arial"/>
                <w:sz w:val="18"/>
                <w:szCs w:val="18"/>
              </w:rPr>
            </w:pPr>
            <w:r>
              <w:rPr>
                <w:rFonts w:ascii="Arial" w:hAnsi="Arial" w:cs="Arial"/>
                <w:sz w:val="18"/>
                <w:szCs w:val="18"/>
              </w:rPr>
              <w:t>20</w:t>
            </w:r>
          </w:p>
        </w:tc>
        <w:tc>
          <w:tcPr>
            <w:tcW w:w="1710" w:type="dxa"/>
            <w:vAlign w:val="center"/>
          </w:tcPr>
          <w:p w:rsidRPr="00415776" w:rsidR="00415776" w:rsidP="00EC1F69" w:rsidRDefault="00EC1F69" w14:paraId="4F7CE109" w14:textId="511C3DC1">
            <w:pPr>
              <w:pStyle w:val="TableNote"/>
              <w:spacing w:after="0"/>
              <w:jc w:val="right"/>
              <w:rPr>
                <w:rFonts w:ascii="Arial" w:hAnsi="Arial" w:cs="Arial"/>
                <w:sz w:val="18"/>
                <w:szCs w:val="18"/>
              </w:rPr>
            </w:pPr>
            <w:r>
              <w:rPr>
                <w:rFonts w:ascii="Arial" w:hAnsi="Arial" w:cs="Arial"/>
                <w:sz w:val="18"/>
                <w:szCs w:val="18"/>
              </w:rPr>
              <w:t xml:space="preserve">56,020 to </w:t>
            </w:r>
            <w:r w:rsidRPr="004A3AD5" w:rsidR="004A3AD5">
              <w:rPr>
                <w:rFonts w:ascii="Arial" w:hAnsi="Arial" w:cs="Arial"/>
                <w:sz w:val="18"/>
                <w:szCs w:val="18"/>
              </w:rPr>
              <w:t>54,660</w:t>
            </w:r>
          </w:p>
        </w:tc>
        <w:tc>
          <w:tcPr>
            <w:tcW w:w="990" w:type="dxa"/>
            <w:vAlign w:val="center"/>
          </w:tcPr>
          <w:p w:rsidRPr="00415776" w:rsidR="00415776" w:rsidP="00EC1F69" w:rsidRDefault="00415776" w14:paraId="04D20205" w14:textId="77777777">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rsidRPr="00415776" w:rsidR="00415776" w:rsidP="00EC1F69" w:rsidRDefault="00EC1F69" w14:paraId="07A434F0" w14:textId="305CAB6E">
            <w:pPr>
              <w:pStyle w:val="TableNote"/>
              <w:spacing w:after="0"/>
              <w:jc w:val="right"/>
              <w:rPr>
                <w:rFonts w:ascii="Arial" w:hAnsi="Arial" w:cs="Arial"/>
                <w:sz w:val="18"/>
                <w:szCs w:val="18"/>
              </w:rPr>
            </w:pPr>
            <w:r>
              <w:rPr>
                <w:rFonts w:ascii="Arial" w:hAnsi="Arial" w:cs="Arial"/>
                <w:sz w:val="18"/>
                <w:szCs w:val="18"/>
              </w:rPr>
              <w:t xml:space="preserve">$1,604,413 to </w:t>
            </w:r>
            <w:r w:rsidRPr="00EC1F69">
              <w:rPr>
                <w:rFonts w:ascii="Arial" w:hAnsi="Arial" w:cs="Arial"/>
                <w:sz w:val="18"/>
                <w:szCs w:val="18"/>
              </w:rPr>
              <w:t xml:space="preserve">$1,565,462 </w:t>
            </w:r>
          </w:p>
        </w:tc>
      </w:tr>
      <w:tr w:rsidRPr="00415776" w:rsidR="00415776" w:rsidTr="0049228A" w14:paraId="4B9917F8" w14:textId="77777777">
        <w:tc>
          <w:tcPr>
            <w:tcW w:w="2155" w:type="dxa"/>
            <w:vAlign w:val="center"/>
          </w:tcPr>
          <w:p w:rsidRPr="00415776" w:rsidR="00415776" w:rsidP="00415776" w:rsidRDefault="00415776" w14:paraId="3D2FAC9C" w14:textId="340ACCFE">
            <w:pPr>
              <w:pStyle w:val="TableNote"/>
              <w:spacing w:after="0"/>
              <w:rPr>
                <w:rFonts w:ascii="Arial" w:hAnsi="Arial" w:cs="Arial"/>
                <w:sz w:val="18"/>
                <w:szCs w:val="18"/>
              </w:rPr>
            </w:pPr>
            <w:r w:rsidRPr="00415776">
              <w:rPr>
                <w:rFonts w:ascii="Arial" w:hAnsi="Arial" w:cs="Arial"/>
                <w:sz w:val="18"/>
                <w:szCs w:val="18"/>
              </w:rPr>
              <w:t>501-1,000, CWS</w:t>
            </w:r>
          </w:p>
        </w:tc>
        <w:tc>
          <w:tcPr>
            <w:tcW w:w="1260" w:type="dxa"/>
            <w:vAlign w:val="center"/>
          </w:tcPr>
          <w:p w:rsidRPr="00415776" w:rsidR="00415776" w:rsidP="00415776" w:rsidRDefault="003059D1" w14:paraId="68FDAABF" w14:textId="0DC89526">
            <w:pPr>
              <w:pStyle w:val="TableNote"/>
              <w:spacing w:after="0"/>
              <w:jc w:val="right"/>
              <w:rPr>
                <w:rFonts w:ascii="Arial" w:hAnsi="Arial" w:cs="Arial"/>
                <w:sz w:val="18"/>
                <w:szCs w:val="18"/>
              </w:rPr>
            </w:pPr>
            <w:r>
              <w:rPr>
                <w:rFonts w:ascii="Arial" w:hAnsi="Arial" w:cs="Arial"/>
                <w:sz w:val="18"/>
                <w:szCs w:val="18"/>
              </w:rPr>
              <w:t xml:space="preserve">1,015 to </w:t>
            </w:r>
            <w:r w:rsidRPr="003059D1">
              <w:rPr>
                <w:rFonts w:ascii="Arial" w:hAnsi="Arial" w:cs="Arial"/>
                <w:sz w:val="18"/>
                <w:szCs w:val="18"/>
              </w:rPr>
              <w:t>1,776</w:t>
            </w:r>
          </w:p>
        </w:tc>
        <w:tc>
          <w:tcPr>
            <w:tcW w:w="990" w:type="dxa"/>
            <w:vAlign w:val="center"/>
          </w:tcPr>
          <w:p w:rsidRPr="00415776" w:rsidR="00415776" w:rsidP="00415776" w:rsidRDefault="003059D1" w14:paraId="668C4590" w14:textId="0FFE6AC7">
            <w:pPr>
              <w:pStyle w:val="TableNote"/>
              <w:spacing w:after="0"/>
              <w:jc w:val="right"/>
              <w:rPr>
                <w:rFonts w:ascii="Arial" w:hAnsi="Arial" w:cs="Arial"/>
                <w:sz w:val="18"/>
                <w:szCs w:val="18"/>
              </w:rPr>
            </w:pPr>
            <w:r>
              <w:rPr>
                <w:rFonts w:ascii="Arial" w:hAnsi="Arial" w:cs="Arial"/>
                <w:sz w:val="18"/>
                <w:szCs w:val="18"/>
              </w:rPr>
              <w:t>20</w:t>
            </w:r>
          </w:p>
        </w:tc>
        <w:tc>
          <w:tcPr>
            <w:tcW w:w="1710" w:type="dxa"/>
            <w:vAlign w:val="center"/>
          </w:tcPr>
          <w:p w:rsidRPr="00415776" w:rsidR="00415776" w:rsidP="00EC1F69" w:rsidRDefault="00EC1F69" w14:paraId="2E559FE6" w14:textId="56026489">
            <w:pPr>
              <w:pStyle w:val="TableNote"/>
              <w:spacing w:after="0"/>
              <w:jc w:val="right"/>
              <w:rPr>
                <w:rFonts w:ascii="Arial" w:hAnsi="Arial" w:cs="Arial"/>
                <w:sz w:val="18"/>
                <w:szCs w:val="18"/>
              </w:rPr>
            </w:pPr>
            <w:r>
              <w:rPr>
                <w:rFonts w:ascii="Arial" w:hAnsi="Arial" w:cs="Arial"/>
                <w:sz w:val="18"/>
                <w:szCs w:val="18"/>
              </w:rPr>
              <w:t xml:space="preserve">20,300 to </w:t>
            </w:r>
            <w:r w:rsidRPr="004A3AD5" w:rsidR="004A3AD5">
              <w:rPr>
                <w:rFonts w:ascii="Arial" w:hAnsi="Arial" w:cs="Arial"/>
                <w:sz w:val="18"/>
                <w:szCs w:val="18"/>
              </w:rPr>
              <w:t>35,520</w:t>
            </w:r>
          </w:p>
        </w:tc>
        <w:tc>
          <w:tcPr>
            <w:tcW w:w="990" w:type="dxa"/>
            <w:vAlign w:val="center"/>
          </w:tcPr>
          <w:p w:rsidRPr="00415776" w:rsidR="00415776" w:rsidP="00EC1F69" w:rsidRDefault="00415776" w14:paraId="25E3F454" w14:textId="77777777">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rsidRPr="00415776" w:rsidR="00415776" w:rsidP="00EC1F69" w:rsidRDefault="00EC1F69" w14:paraId="3520EFB7" w14:textId="455EE612">
            <w:pPr>
              <w:pStyle w:val="TableNote"/>
              <w:spacing w:after="0"/>
              <w:jc w:val="right"/>
              <w:rPr>
                <w:rFonts w:ascii="Arial" w:hAnsi="Arial" w:cs="Arial"/>
                <w:sz w:val="18"/>
                <w:szCs w:val="18"/>
              </w:rPr>
            </w:pPr>
            <w:r>
              <w:rPr>
                <w:rFonts w:ascii="Arial" w:hAnsi="Arial" w:cs="Arial"/>
                <w:sz w:val="18"/>
                <w:szCs w:val="18"/>
              </w:rPr>
              <w:t xml:space="preserve">$581,392 to </w:t>
            </w:r>
            <w:r w:rsidRPr="00EC1F69">
              <w:rPr>
                <w:rFonts w:ascii="Arial" w:hAnsi="Arial" w:cs="Arial"/>
                <w:sz w:val="18"/>
                <w:szCs w:val="18"/>
              </w:rPr>
              <w:t xml:space="preserve">$1,017,293 </w:t>
            </w:r>
          </w:p>
        </w:tc>
      </w:tr>
      <w:tr w:rsidRPr="00415776" w:rsidR="00415776" w:rsidTr="0049228A" w14:paraId="56D3C6AA" w14:textId="77777777">
        <w:tc>
          <w:tcPr>
            <w:tcW w:w="2155" w:type="dxa"/>
            <w:vAlign w:val="center"/>
          </w:tcPr>
          <w:p w:rsidRPr="00415776" w:rsidR="00415776" w:rsidP="00415776" w:rsidRDefault="00415776" w14:paraId="4B3972CA" w14:textId="77777777">
            <w:pPr>
              <w:pStyle w:val="TableNote"/>
              <w:spacing w:after="0"/>
              <w:rPr>
                <w:rFonts w:ascii="Arial" w:hAnsi="Arial" w:cs="Arial"/>
                <w:sz w:val="18"/>
                <w:szCs w:val="18"/>
              </w:rPr>
            </w:pPr>
            <w:r w:rsidRPr="00415776">
              <w:rPr>
                <w:rFonts w:ascii="Arial" w:hAnsi="Arial" w:cs="Arial"/>
                <w:sz w:val="18"/>
                <w:szCs w:val="18"/>
              </w:rPr>
              <w:t>1,001-3,300, CWS</w:t>
            </w:r>
          </w:p>
        </w:tc>
        <w:tc>
          <w:tcPr>
            <w:tcW w:w="1260" w:type="dxa"/>
            <w:vAlign w:val="center"/>
          </w:tcPr>
          <w:p w:rsidRPr="00415776" w:rsidR="00415776" w:rsidP="00415776" w:rsidRDefault="003059D1" w14:paraId="75F58639" w14:textId="30B7DA45">
            <w:pPr>
              <w:pStyle w:val="TableNote"/>
              <w:spacing w:after="0"/>
              <w:jc w:val="right"/>
              <w:rPr>
                <w:rFonts w:ascii="Arial" w:hAnsi="Arial" w:cs="Arial"/>
                <w:sz w:val="18"/>
                <w:szCs w:val="18"/>
              </w:rPr>
            </w:pPr>
            <w:r>
              <w:rPr>
                <w:rFonts w:ascii="Arial" w:hAnsi="Arial" w:cs="Arial"/>
                <w:sz w:val="18"/>
                <w:szCs w:val="18"/>
              </w:rPr>
              <w:t xml:space="preserve">1,470 to </w:t>
            </w:r>
            <w:r w:rsidRPr="003059D1">
              <w:rPr>
                <w:rFonts w:ascii="Arial" w:hAnsi="Arial" w:cs="Arial"/>
                <w:sz w:val="18"/>
                <w:szCs w:val="18"/>
              </w:rPr>
              <w:t>2,651</w:t>
            </w:r>
          </w:p>
        </w:tc>
        <w:tc>
          <w:tcPr>
            <w:tcW w:w="990" w:type="dxa"/>
            <w:vAlign w:val="center"/>
          </w:tcPr>
          <w:p w:rsidRPr="00415776" w:rsidR="00415776" w:rsidP="00415776" w:rsidRDefault="003059D1" w14:paraId="672B268D" w14:textId="7F5D0618">
            <w:pPr>
              <w:pStyle w:val="TableNote"/>
              <w:spacing w:after="0"/>
              <w:jc w:val="right"/>
              <w:rPr>
                <w:rFonts w:ascii="Arial" w:hAnsi="Arial" w:cs="Arial"/>
                <w:sz w:val="18"/>
                <w:szCs w:val="18"/>
              </w:rPr>
            </w:pPr>
            <w:r>
              <w:rPr>
                <w:rFonts w:ascii="Arial" w:hAnsi="Arial" w:cs="Arial"/>
                <w:sz w:val="18"/>
                <w:szCs w:val="18"/>
              </w:rPr>
              <w:t>40</w:t>
            </w:r>
          </w:p>
        </w:tc>
        <w:tc>
          <w:tcPr>
            <w:tcW w:w="1710" w:type="dxa"/>
            <w:vAlign w:val="center"/>
          </w:tcPr>
          <w:p w:rsidRPr="00415776" w:rsidR="00415776" w:rsidP="00EC1F69" w:rsidRDefault="00EC1F69" w14:paraId="7D72D426" w14:textId="121BD9B3">
            <w:pPr>
              <w:pStyle w:val="TableNote"/>
              <w:spacing w:after="0"/>
              <w:jc w:val="right"/>
              <w:rPr>
                <w:rFonts w:ascii="Arial" w:hAnsi="Arial" w:cs="Arial"/>
                <w:sz w:val="18"/>
                <w:szCs w:val="18"/>
              </w:rPr>
            </w:pPr>
            <w:r>
              <w:rPr>
                <w:rFonts w:ascii="Arial" w:hAnsi="Arial" w:cs="Arial"/>
                <w:sz w:val="18"/>
                <w:szCs w:val="18"/>
              </w:rPr>
              <w:t xml:space="preserve">58,800 to </w:t>
            </w:r>
            <w:r w:rsidRPr="004A3AD5" w:rsidR="004A3AD5">
              <w:rPr>
                <w:rFonts w:ascii="Arial" w:hAnsi="Arial" w:cs="Arial"/>
                <w:sz w:val="18"/>
                <w:szCs w:val="18"/>
              </w:rPr>
              <w:t>106,040</w:t>
            </w:r>
          </w:p>
        </w:tc>
        <w:tc>
          <w:tcPr>
            <w:tcW w:w="990" w:type="dxa"/>
            <w:vAlign w:val="center"/>
          </w:tcPr>
          <w:p w:rsidRPr="00415776" w:rsidR="00415776" w:rsidP="00EC1F69" w:rsidRDefault="00415776" w14:paraId="3941A958" w14:textId="77777777">
            <w:pPr>
              <w:pStyle w:val="TableNote"/>
              <w:spacing w:after="0"/>
              <w:jc w:val="right"/>
              <w:rPr>
                <w:rFonts w:ascii="Arial" w:hAnsi="Arial" w:cs="Arial"/>
                <w:sz w:val="18"/>
                <w:szCs w:val="18"/>
              </w:rPr>
            </w:pPr>
            <w:r w:rsidRPr="00415776">
              <w:rPr>
                <w:rFonts w:ascii="Arial" w:hAnsi="Arial" w:cs="Arial"/>
                <w:sz w:val="18"/>
                <w:szCs w:val="18"/>
              </w:rPr>
              <w:t>$28.64</w:t>
            </w:r>
          </w:p>
        </w:tc>
        <w:tc>
          <w:tcPr>
            <w:tcW w:w="2250" w:type="dxa"/>
            <w:vAlign w:val="center"/>
          </w:tcPr>
          <w:p w:rsidRPr="00415776" w:rsidR="00415776" w:rsidP="00EC1F69" w:rsidRDefault="00EC1F69" w14:paraId="270A7268" w14:textId="1A55EBB1">
            <w:pPr>
              <w:pStyle w:val="TableNote"/>
              <w:spacing w:after="0"/>
              <w:jc w:val="right"/>
              <w:rPr>
                <w:rFonts w:ascii="Arial" w:hAnsi="Arial" w:cs="Arial"/>
                <w:sz w:val="18"/>
                <w:szCs w:val="18"/>
              </w:rPr>
            </w:pPr>
            <w:r>
              <w:rPr>
                <w:rFonts w:ascii="Arial" w:hAnsi="Arial" w:cs="Arial"/>
                <w:sz w:val="18"/>
                <w:szCs w:val="18"/>
              </w:rPr>
              <w:t xml:space="preserve">$1,684,032 to </w:t>
            </w:r>
            <w:r w:rsidRPr="00EC1F69">
              <w:rPr>
                <w:rFonts w:ascii="Arial" w:hAnsi="Arial" w:cs="Arial"/>
                <w:sz w:val="18"/>
                <w:szCs w:val="18"/>
              </w:rPr>
              <w:t xml:space="preserve">$3,036,986 </w:t>
            </w:r>
          </w:p>
        </w:tc>
      </w:tr>
      <w:tr w:rsidRPr="00415776" w:rsidR="00415776" w:rsidTr="0049228A" w14:paraId="717B32E7" w14:textId="77777777">
        <w:tc>
          <w:tcPr>
            <w:tcW w:w="2155" w:type="dxa"/>
            <w:vAlign w:val="center"/>
          </w:tcPr>
          <w:p w:rsidRPr="00415776" w:rsidR="00415776" w:rsidP="00415776" w:rsidRDefault="00415776" w14:paraId="15793B28" w14:textId="77777777">
            <w:pPr>
              <w:pStyle w:val="TableNote"/>
              <w:spacing w:after="0"/>
              <w:rPr>
                <w:rFonts w:ascii="Arial" w:hAnsi="Arial" w:cs="Arial"/>
                <w:sz w:val="18"/>
                <w:szCs w:val="18"/>
              </w:rPr>
            </w:pPr>
            <w:r w:rsidRPr="00415776">
              <w:rPr>
                <w:rFonts w:ascii="Arial" w:hAnsi="Arial" w:cs="Arial"/>
                <w:sz w:val="18"/>
                <w:szCs w:val="18"/>
              </w:rPr>
              <w:t>3,301-10,000, CWS</w:t>
            </w:r>
          </w:p>
        </w:tc>
        <w:tc>
          <w:tcPr>
            <w:tcW w:w="1260" w:type="dxa"/>
            <w:vAlign w:val="center"/>
          </w:tcPr>
          <w:p w:rsidRPr="00415776" w:rsidR="00415776" w:rsidP="00415776" w:rsidRDefault="003059D1" w14:paraId="66DF2760" w14:textId="05FCB079">
            <w:pPr>
              <w:pStyle w:val="TableNote"/>
              <w:spacing w:after="0"/>
              <w:jc w:val="right"/>
              <w:rPr>
                <w:rFonts w:ascii="Arial" w:hAnsi="Arial" w:cs="Arial"/>
                <w:sz w:val="18"/>
                <w:szCs w:val="18"/>
              </w:rPr>
            </w:pPr>
            <w:r>
              <w:rPr>
                <w:rFonts w:ascii="Arial" w:hAnsi="Arial" w:cs="Arial"/>
                <w:sz w:val="18"/>
                <w:szCs w:val="18"/>
              </w:rPr>
              <w:t xml:space="preserve">896 to </w:t>
            </w:r>
            <w:r w:rsidRPr="003059D1">
              <w:rPr>
                <w:rFonts w:ascii="Arial" w:hAnsi="Arial" w:cs="Arial"/>
                <w:sz w:val="18"/>
                <w:szCs w:val="18"/>
              </w:rPr>
              <w:t>1,797</w:t>
            </w:r>
          </w:p>
        </w:tc>
        <w:tc>
          <w:tcPr>
            <w:tcW w:w="990" w:type="dxa"/>
            <w:vAlign w:val="center"/>
          </w:tcPr>
          <w:p w:rsidRPr="00415776" w:rsidR="00415776" w:rsidP="00415776" w:rsidRDefault="003059D1" w14:paraId="19F67069" w14:textId="2EBFB96F">
            <w:pPr>
              <w:pStyle w:val="TableNote"/>
              <w:spacing w:after="0"/>
              <w:jc w:val="right"/>
              <w:rPr>
                <w:rFonts w:ascii="Arial" w:hAnsi="Arial" w:cs="Arial"/>
                <w:sz w:val="18"/>
                <w:szCs w:val="18"/>
              </w:rPr>
            </w:pPr>
            <w:r>
              <w:rPr>
                <w:rFonts w:ascii="Arial" w:hAnsi="Arial" w:cs="Arial"/>
                <w:sz w:val="18"/>
                <w:szCs w:val="18"/>
              </w:rPr>
              <w:t>80</w:t>
            </w:r>
          </w:p>
        </w:tc>
        <w:tc>
          <w:tcPr>
            <w:tcW w:w="1710" w:type="dxa"/>
            <w:vAlign w:val="center"/>
          </w:tcPr>
          <w:p w:rsidRPr="00415776" w:rsidR="00415776" w:rsidP="00EC1F69" w:rsidRDefault="00EC1F69" w14:paraId="1E431A27" w14:textId="075AB40B">
            <w:pPr>
              <w:pStyle w:val="TableNote"/>
              <w:spacing w:after="0"/>
              <w:jc w:val="right"/>
              <w:rPr>
                <w:rFonts w:ascii="Arial" w:hAnsi="Arial" w:cs="Arial"/>
                <w:sz w:val="18"/>
                <w:szCs w:val="18"/>
              </w:rPr>
            </w:pPr>
            <w:r>
              <w:rPr>
                <w:rFonts w:ascii="Arial" w:hAnsi="Arial" w:cs="Arial"/>
                <w:sz w:val="18"/>
                <w:szCs w:val="18"/>
              </w:rPr>
              <w:t xml:space="preserve">71,680 to </w:t>
            </w:r>
            <w:r w:rsidRPr="004A3AD5" w:rsidR="004A3AD5">
              <w:rPr>
                <w:rFonts w:ascii="Arial" w:hAnsi="Arial" w:cs="Arial"/>
                <w:sz w:val="18"/>
                <w:szCs w:val="18"/>
              </w:rPr>
              <w:t>143,760</w:t>
            </w:r>
          </w:p>
        </w:tc>
        <w:tc>
          <w:tcPr>
            <w:tcW w:w="990" w:type="dxa"/>
            <w:vAlign w:val="center"/>
          </w:tcPr>
          <w:p w:rsidRPr="00415776" w:rsidR="00415776" w:rsidP="00EC1F69" w:rsidRDefault="00415776" w14:paraId="0F4F11E1" w14:textId="77777777">
            <w:pPr>
              <w:pStyle w:val="TableNote"/>
              <w:spacing w:after="0"/>
              <w:jc w:val="right"/>
              <w:rPr>
                <w:rFonts w:ascii="Arial" w:hAnsi="Arial" w:cs="Arial"/>
                <w:sz w:val="18"/>
                <w:szCs w:val="18"/>
              </w:rPr>
            </w:pPr>
            <w:r w:rsidRPr="00415776">
              <w:rPr>
                <w:rFonts w:ascii="Arial" w:hAnsi="Arial" w:cs="Arial"/>
                <w:sz w:val="18"/>
                <w:szCs w:val="18"/>
              </w:rPr>
              <w:t>$33.74</w:t>
            </w:r>
          </w:p>
        </w:tc>
        <w:tc>
          <w:tcPr>
            <w:tcW w:w="2250" w:type="dxa"/>
            <w:vAlign w:val="center"/>
          </w:tcPr>
          <w:p w:rsidRPr="00415776" w:rsidR="00415776" w:rsidP="00EC1F69" w:rsidRDefault="00EC1F69" w14:paraId="676D91B1" w14:textId="73F4516D">
            <w:pPr>
              <w:pStyle w:val="TableNote"/>
              <w:spacing w:after="0"/>
              <w:jc w:val="right"/>
              <w:rPr>
                <w:rFonts w:ascii="Arial" w:hAnsi="Arial" w:cs="Arial"/>
                <w:sz w:val="18"/>
                <w:szCs w:val="18"/>
              </w:rPr>
            </w:pPr>
            <w:r w:rsidRPr="00EC1F69">
              <w:rPr>
                <w:rFonts w:ascii="Arial" w:hAnsi="Arial" w:cs="Arial"/>
                <w:sz w:val="18"/>
                <w:szCs w:val="18"/>
              </w:rPr>
              <w:t>$2,</w:t>
            </w:r>
            <w:r>
              <w:rPr>
                <w:rFonts w:ascii="Arial" w:hAnsi="Arial" w:cs="Arial"/>
                <w:sz w:val="18"/>
                <w:szCs w:val="18"/>
              </w:rPr>
              <w:t xml:space="preserve">418,483 to </w:t>
            </w:r>
            <w:r w:rsidRPr="00EC1F69">
              <w:rPr>
                <w:rFonts w:ascii="Arial" w:hAnsi="Arial" w:cs="Arial"/>
                <w:sz w:val="18"/>
                <w:szCs w:val="18"/>
              </w:rPr>
              <w:t xml:space="preserve">$4,850,462 </w:t>
            </w:r>
          </w:p>
        </w:tc>
      </w:tr>
      <w:tr w:rsidRPr="00415776" w:rsidR="00415776" w:rsidTr="0049228A" w14:paraId="4FBF547D" w14:textId="77777777">
        <w:tc>
          <w:tcPr>
            <w:tcW w:w="2155" w:type="dxa"/>
            <w:vAlign w:val="center"/>
          </w:tcPr>
          <w:p w:rsidRPr="00415776" w:rsidR="00415776" w:rsidP="00415776" w:rsidRDefault="00415776" w14:paraId="1E5CAE92" w14:textId="77777777">
            <w:pPr>
              <w:pStyle w:val="TableNote"/>
              <w:spacing w:after="0"/>
              <w:rPr>
                <w:rFonts w:ascii="Arial" w:hAnsi="Arial" w:cs="Arial"/>
                <w:sz w:val="18"/>
                <w:szCs w:val="18"/>
              </w:rPr>
            </w:pPr>
            <w:r w:rsidRPr="00415776">
              <w:rPr>
                <w:rFonts w:ascii="Arial" w:hAnsi="Arial" w:cs="Arial"/>
                <w:sz w:val="18"/>
                <w:szCs w:val="18"/>
              </w:rPr>
              <w:t>10,001-50,000, CWS</w:t>
            </w:r>
          </w:p>
        </w:tc>
        <w:tc>
          <w:tcPr>
            <w:tcW w:w="1260" w:type="dxa"/>
            <w:vAlign w:val="center"/>
          </w:tcPr>
          <w:p w:rsidRPr="00415776" w:rsidR="00415776" w:rsidP="00415776" w:rsidRDefault="003059D1" w14:paraId="64A1EB2E" w14:textId="13BA08A2">
            <w:pPr>
              <w:pStyle w:val="TableNote"/>
              <w:spacing w:after="0"/>
              <w:jc w:val="right"/>
              <w:rPr>
                <w:rFonts w:ascii="Arial" w:hAnsi="Arial" w:cs="Arial"/>
                <w:sz w:val="18"/>
                <w:szCs w:val="18"/>
              </w:rPr>
            </w:pPr>
            <w:r>
              <w:rPr>
                <w:rFonts w:ascii="Arial" w:hAnsi="Arial" w:cs="Arial"/>
                <w:sz w:val="18"/>
                <w:szCs w:val="18"/>
              </w:rPr>
              <w:t xml:space="preserve">1,065 to </w:t>
            </w:r>
            <w:r w:rsidRPr="003059D1">
              <w:rPr>
                <w:rFonts w:ascii="Arial" w:hAnsi="Arial" w:cs="Arial"/>
                <w:sz w:val="18"/>
                <w:szCs w:val="18"/>
              </w:rPr>
              <w:t>1,232</w:t>
            </w:r>
          </w:p>
        </w:tc>
        <w:tc>
          <w:tcPr>
            <w:tcW w:w="990" w:type="dxa"/>
            <w:vAlign w:val="center"/>
          </w:tcPr>
          <w:p w:rsidRPr="00415776" w:rsidR="00415776" w:rsidP="00415776" w:rsidRDefault="003059D1" w14:paraId="32C8433D" w14:textId="0C39B4C3">
            <w:pPr>
              <w:pStyle w:val="TableNote"/>
              <w:spacing w:after="0"/>
              <w:jc w:val="right"/>
              <w:rPr>
                <w:rFonts w:ascii="Arial" w:hAnsi="Arial" w:cs="Arial"/>
                <w:sz w:val="18"/>
                <w:szCs w:val="18"/>
              </w:rPr>
            </w:pPr>
            <w:r>
              <w:rPr>
                <w:rFonts w:ascii="Arial" w:hAnsi="Arial" w:cs="Arial"/>
                <w:sz w:val="18"/>
                <w:szCs w:val="18"/>
              </w:rPr>
              <w:t>100</w:t>
            </w:r>
          </w:p>
        </w:tc>
        <w:tc>
          <w:tcPr>
            <w:tcW w:w="1710" w:type="dxa"/>
            <w:vAlign w:val="center"/>
          </w:tcPr>
          <w:p w:rsidRPr="00415776" w:rsidR="00415776" w:rsidP="00EC1F69" w:rsidRDefault="00EC1F69" w14:paraId="47C85AD8" w14:textId="4534CE96">
            <w:pPr>
              <w:pStyle w:val="TableNote"/>
              <w:spacing w:after="0"/>
              <w:jc w:val="right"/>
              <w:rPr>
                <w:rFonts w:ascii="Arial" w:hAnsi="Arial" w:cs="Arial"/>
                <w:sz w:val="18"/>
                <w:szCs w:val="18"/>
              </w:rPr>
            </w:pPr>
            <w:r>
              <w:rPr>
                <w:rFonts w:ascii="Arial" w:hAnsi="Arial" w:cs="Arial"/>
                <w:sz w:val="18"/>
                <w:szCs w:val="18"/>
              </w:rPr>
              <w:t xml:space="preserve">106,500 to </w:t>
            </w:r>
            <w:r w:rsidRPr="004A3AD5" w:rsidR="004A3AD5">
              <w:rPr>
                <w:rFonts w:ascii="Arial" w:hAnsi="Arial" w:cs="Arial"/>
                <w:sz w:val="18"/>
                <w:szCs w:val="18"/>
              </w:rPr>
              <w:t>123,200</w:t>
            </w:r>
          </w:p>
        </w:tc>
        <w:tc>
          <w:tcPr>
            <w:tcW w:w="990" w:type="dxa"/>
            <w:vAlign w:val="center"/>
          </w:tcPr>
          <w:p w:rsidRPr="00415776" w:rsidR="00415776" w:rsidP="00EC1F69" w:rsidRDefault="00415776" w14:paraId="6C51E895" w14:textId="77777777">
            <w:pPr>
              <w:pStyle w:val="TableNote"/>
              <w:spacing w:after="0"/>
              <w:jc w:val="right"/>
              <w:rPr>
                <w:rFonts w:ascii="Arial" w:hAnsi="Arial" w:cs="Arial"/>
                <w:sz w:val="18"/>
                <w:szCs w:val="18"/>
              </w:rPr>
            </w:pPr>
            <w:r w:rsidRPr="00415776">
              <w:rPr>
                <w:rFonts w:ascii="Arial" w:hAnsi="Arial" w:cs="Arial"/>
                <w:sz w:val="18"/>
                <w:szCs w:val="18"/>
              </w:rPr>
              <w:t>$36.15</w:t>
            </w:r>
          </w:p>
        </w:tc>
        <w:tc>
          <w:tcPr>
            <w:tcW w:w="2250" w:type="dxa"/>
            <w:vAlign w:val="center"/>
          </w:tcPr>
          <w:p w:rsidRPr="00415776" w:rsidR="00415776" w:rsidP="00EC1F69" w:rsidRDefault="00EC1F69" w14:paraId="1D548D59" w14:textId="28C467A3">
            <w:pPr>
              <w:pStyle w:val="TableNote"/>
              <w:spacing w:after="0"/>
              <w:jc w:val="right"/>
              <w:rPr>
                <w:rFonts w:ascii="Arial" w:hAnsi="Arial" w:cs="Arial"/>
                <w:sz w:val="18"/>
                <w:szCs w:val="18"/>
              </w:rPr>
            </w:pPr>
            <w:r>
              <w:rPr>
                <w:rFonts w:ascii="Arial" w:hAnsi="Arial" w:cs="Arial"/>
                <w:sz w:val="18"/>
                <w:szCs w:val="18"/>
              </w:rPr>
              <w:t xml:space="preserve">$3,849,975 to </w:t>
            </w:r>
            <w:r w:rsidRPr="00EC1F69">
              <w:rPr>
                <w:rFonts w:ascii="Arial" w:hAnsi="Arial" w:cs="Arial"/>
                <w:sz w:val="18"/>
                <w:szCs w:val="18"/>
              </w:rPr>
              <w:t xml:space="preserve">$4,453,680 </w:t>
            </w:r>
          </w:p>
        </w:tc>
      </w:tr>
      <w:tr w:rsidRPr="00415776" w:rsidR="00415776" w:rsidTr="0049228A" w14:paraId="31D5AA7B" w14:textId="77777777">
        <w:tc>
          <w:tcPr>
            <w:tcW w:w="2155" w:type="dxa"/>
            <w:vAlign w:val="center"/>
          </w:tcPr>
          <w:p w:rsidRPr="00415776" w:rsidR="00415776" w:rsidP="00415776" w:rsidRDefault="00415776" w14:paraId="7A193259" w14:textId="77777777">
            <w:pPr>
              <w:pStyle w:val="TableNote"/>
              <w:spacing w:after="0"/>
              <w:rPr>
                <w:rFonts w:ascii="Arial" w:hAnsi="Arial" w:cs="Arial"/>
                <w:sz w:val="18"/>
                <w:szCs w:val="18"/>
              </w:rPr>
            </w:pPr>
            <w:r w:rsidRPr="00415776">
              <w:rPr>
                <w:rFonts w:ascii="Arial" w:hAnsi="Arial" w:cs="Arial"/>
                <w:sz w:val="18"/>
                <w:szCs w:val="18"/>
              </w:rPr>
              <w:t>50,001-100,000, CWS</w:t>
            </w:r>
          </w:p>
        </w:tc>
        <w:tc>
          <w:tcPr>
            <w:tcW w:w="1260" w:type="dxa"/>
            <w:vAlign w:val="center"/>
          </w:tcPr>
          <w:p w:rsidRPr="00415776" w:rsidR="00415776" w:rsidP="00415776" w:rsidRDefault="003059D1" w14:paraId="33AD7299" w14:textId="38402EBF">
            <w:pPr>
              <w:pStyle w:val="TableNote"/>
              <w:spacing w:after="0"/>
              <w:jc w:val="right"/>
              <w:rPr>
                <w:rFonts w:ascii="Arial" w:hAnsi="Arial" w:cs="Arial"/>
                <w:sz w:val="18"/>
                <w:szCs w:val="18"/>
              </w:rPr>
            </w:pPr>
            <w:r>
              <w:rPr>
                <w:rFonts w:ascii="Arial" w:hAnsi="Arial" w:cs="Arial"/>
                <w:sz w:val="18"/>
                <w:szCs w:val="18"/>
              </w:rPr>
              <w:t xml:space="preserve">247 to </w:t>
            </w:r>
            <w:r w:rsidRPr="003059D1">
              <w:rPr>
                <w:rFonts w:ascii="Arial" w:hAnsi="Arial" w:cs="Arial"/>
                <w:sz w:val="18"/>
                <w:szCs w:val="18"/>
              </w:rPr>
              <w:t>209</w:t>
            </w:r>
          </w:p>
        </w:tc>
        <w:tc>
          <w:tcPr>
            <w:tcW w:w="990" w:type="dxa"/>
            <w:vAlign w:val="center"/>
          </w:tcPr>
          <w:p w:rsidRPr="00415776" w:rsidR="00415776" w:rsidP="00415776" w:rsidRDefault="003059D1" w14:paraId="20123193" w14:textId="1CD863B9">
            <w:pPr>
              <w:pStyle w:val="TableNote"/>
              <w:spacing w:after="0"/>
              <w:jc w:val="right"/>
              <w:rPr>
                <w:rFonts w:ascii="Arial" w:hAnsi="Arial" w:cs="Arial"/>
                <w:sz w:val="18"/>
                <w:szCs w:val="18"/>
              </w:rPr>
            </w:pPr>
            <w:r>
              <w:rPr>
                <w:rFonts w:ascii="Arial" w:hAnsi="Arial" w:cs="Arial"/>
                <w:sz w:val="18"/>
                <w:szCs w:val="18"/>
              </w:rPr>
              <w:t>200</w:t>
            </w:r>
          </w:p>
        </w:tc>
        <w:tc>
          <w:tcPr>
            <w:tcW w:w="1710" w:type="dxa"/>
            <w:vAlign w:val="center"/>
          </w:tcPr>
          <w:p w:rsidRPr="00415776" w:rsidR="00415776" w:rsidP="00EC1F69" w:rsidRDefault="004A3AD5" w14:paraId="75048DA5" w14:textId="74A77112">
            <w:pPr>
              <w:pStyle w:val="TableNote"/>
              <w:spacing w:after="0"/>
              <w:jc w:val="right"/>
              <w:rPr>
                <w:rFonts w:ascii="Arial" w:hAnsi="Arial" w:cs="Arial"/>
                <w:sz w:val="18"/>
                <w:szCs w:val="18"/>
              </w:rPr>
            </w:pPr>
            <w:r w:rsidRPr="004A3AD5">
              <w:rPr>
                <w:rFonts w:ascii="Arial" w:hAnsi="Arial" w:cs="Arial"/>
                <w:sz w:val="18"/>
                <w:szCs w:val="18"/>
              </w:rPr>
              <w:t>49,400</w:t>
            </w:r>
            <w:r w:rsidR="00EC1F69">
              <w:rPr>
                <w:rFonts w:ascii="Arial" w:hAnsi="Arial" w:cs="Arial"/>
                <w:sz w:val="18"/>
                <w:szCs w:val="18"/>
              </w:rPr>
              <w:t xml:space="preserve"> to </w:t>
            </w:r>
            <w:r w:rsidRPr="004A3AD5">
              <w:rPr>
                <w:rFonts w:ascii="Arial" w:hAnsi="Arial" w:cs="Arial"/>
                <w:sz w:val="18"/>
                <w:szCs w:val="18"/>
              </w:rPr>
              <w:t>41,800</w:t>
            </w:r>
          </w:p>
        </w:tc>
        <w:tc>
          <w:tcPr>
            <w:tcW w:w="990" w:type="dxa"/>
            <w:vAlign w:val="center"/>
          </w:tcPr>
          <w:p w:rsidRPr="00415776" w:rsidR="00415776" w:rsidP="00EC1F69" w:rsidRDefault="00415776" w14:paraId="4ABAEA74" w14:textId="77777777">
            <w:pPr>
              <w:pStyle w:val="TableNote"/>
              <w:spacing w:after="0"/>
              <w:jc w:val="right"/>
              <w:rPr>
                <w:rFonts w:ascii="Arial" w:hAnsi="Arial" w:cs="Arial"/>
                <w:sz w:val="18"/>
                <w:szCs w:val="18"/>
              </w:rPr>
            </w:pPr>
            <w:r w:rsidRPr="00415776">
              <w:rPr>
                <w:rFonts w:ascii="Arial" w:hAnsi="Arial" w:cs="Arial"/>
                <w:sz w:val="18"/>
                <w:szCs w:val="18"/>
              </w:rPr>
              <w:t>$39.01</w:t>
            </w:r>
          </w:p>
        </w:tc>
        <w:tc>
          <w:tcPr>
            <w:tcW w:w="2250" w:type="dxa"/>
            <w:vAlign w:val="center"/>
          </w:tcPr>
          <w:p w:rsidRPr="00415776" w:rsidR="00415776" w:rsidP="00EC1F69" w:rsidRDefault="00EC1F69" w14:paraId="7FC13330" w14:textId="5AC29C00">
            <w:pPr>
              <w:pStyle w:val="TableNote"/>
              <w:spacing w:after="0"/>
              <w:jc w:val="right"/>
              <w:rPr>
                <w:rFonts w:ascii="Arial" w:hAnsi="Arial" w:cs="Arial"/>
                <w:sz w:val="18"/>
                <w:szCs w:val="18"/>
              </w:rPr>
            </w:pPr>
            <w:r>
              <w:rPr>
                <w:rFonts w:ascii="Arial" w:hAnsi="Arial" w:cs="Arial"/>
                <w:sz w:val="18"/>
                <w:szCs w:val="18"/>
              </w:rPr>
              <w:t xml:space="preserve">$1,927,094 to </w:t>
            </w:r>
            <w:r w:rsidRPr="00EC1F69">
              <w:rPr>
                <w:rFonts w:ascii="Arial" w:hAnsi="Arial" w:cs="Arial"/>
                <w:sz w:val="18"/>
                <w:szCs w:val="18"/>
              </w:rPr>
              <w:t xml:space="preserve">$1,630,618 </w:t>
            </w:r>
          </w:p>
        </w:tc>
      </w:tr>
      <w:tr w:rsidRPr="00415776" w:rsidR="00415776" w:rsidTr="0049228A" w14:paraId="134B7371" w14:textId="77777777">
        <w:tc>
          <w:tcPr>
            <w:tcW w:w="2155" w:type="dxa"/>
            <w:vAlign w:val="center"/>
          </w:tcPr>
          <w:p w:rsidRPr="00415776" w:rsidR="00415776" w:rsidP="00415776" w:rsidRDefault="00415776" w14:paraId="6CF9F5D7" w14:textId="77777777">
            <w:pPr>
              <w:pStyle w:val="TableNote"/>
              <w:spacing w:after="0"/>
              <w:rPr>
                <w:rFonts w:ascii="Arial" w:hAnsi="Arial" w:cs="Arial"/>
                <w:sz w:val="18"/>
                <w:szCs w:val="18"/>
              </w:rPr>
            </w:pPr>
            <w:r w:rsidRPr="00415776">
              <w:rPr>
                <w:rFonts w:ascii="Arial" w:hAnsi="Arial" w:cs="Arial"/>
                <w:sz w:val="18"/>
                <w:szCs w:val="18"/>
              </w:rPr>
              <w:t>100,001-1,000,000, CWS</w:t>
            </w:r>
          </w:p>
        </w:tc>
        <w:tc>
          <w:tcPr>
            <w:tcW w:w="1260" w:type="dxa"/>
            <w:vAlign w:val="center"/>
          </w:tcPr>
          <w:p w:rsidRPr="00415776" w:rsidR="00415776" w:rsidP="00415776" w:rsidRDefault="003059D1" w14:paraId="4C592C0C" w14:textId="7D5A2E0D">
            <w:pPr>
              <w:pStyle w:val="TableNote"/>
              <w:spacing w:after="0"/>
              <w:jc w:val="right"/>
              <w:rPr>
                <w:rFonts w:ascii="Arial" w:hAnsi="Arial" w:cs="Arial"/>
                <w:sz w:val="18"/>
                <w:szCs w:val="18"/>
              </w:rPr>
            </w:pPr>
            <w:r>
              <w:rPr>
                <w:rFonts w:ascii="Arial" w:hAnsi="Arial" w:cs="Arial"/>
                <w:sz w:val="18"/>
                <w:szCs w:val="18"/>
              </w:rPr>
              <w:t xml:space="preserve">179 to </w:t>
            </w:r>
            <w:r w:rsidRPr="003059D1">
              <w:rPr>
                <w:rFonts w:ascii="Arial" w:hAnsi="Arial" w:cs="Arial"/>
                <w:sz w:val="18"/>
                <w:szCs w:val="18"/>
              </w:rPr>
              <w:t>229</w:t>
            </w:r>
          </w:p>
        </w:tc>
        <w:tc>
          <w:tcPr>
            <w:tcW w:w="990" w:type="dxa"/>
            <w:vAlign w:val="center"/>
          </w:tcPr>
          <w:p w:rsidRPr="00415776" w:rsidR="00415776" w:rsidP="00415776" w:rsidRDefault="003059D1" w14:paraId="13FB946A" w14:textId="3476839A">
            <w:pPr>
              <w:pStyle w:val="TableNote"/>
              <w:spacing w:after="0"/>
              <w:jc w:val="right"/>
              <w:rPr>
                <w:rFonts w:ascii="Arial" w:hAnsi="Arial" w:cs="Arial"/>
                <w:sz w:val="18"/>
                <w:szCs w:val="18"/>
              </w:rPr>
            </w:pPr>
            <w:r>
              <w:rPr>
                <w:rFonts w:ascii="Arial" w:hAnsi="Arial" w:cs="Arial"/>
                <w:sz w:val="18"/>
                <w:szCs w:val="18"/>
              </w:rPr>
              <w:t>300</w:t>
            </w:r>
          </w:p>
        </w:tc>
        <w:tc>
          <w:tcPr>
            <w:tcW w:w="1710" w:type="dxa"/>
            <w:vAlign w:val="center"/>
          </w:tcPr>
          <w:p w:rsidRPr="00415776" w:rsidR="00415776" w:rsidP="00EC1F69" w:rsidRDefault="00EC1F69" w14:paraId="357967FF" w14:textId="455979F2">
            <w:pPr>
              <w:pStyle w:val="TableNote"/>
              <w:spacing w:after="0"/>
              <w:jc w:val="right"/>
              <w:rPr>
                <w:rFonts w:ascii="Arial" w:hAnsi="Arial" w:cs="Arial"/>
                <w:sz w:val="18"/>
                <w:szCs w:val="18"/>
              </w:rPr>
            </w:pPr>
            <w:r>
              <w:rPr>
                <w:rFonts w:ascii="Arial" w:hAnsi="Arial" w:cs="Arial"/>
                <w:sz w:val="18"/>
                <w:szCs w:val="18"/>
              </w:rPr>
              <w:t xml:space="preserve">53,700 to </w:t>
            </w:r>
            <w:r w:rsidRPr="004A3AD5" w:rsidR="004A3AD5">
              <w:rPr>
                <w:rFonts w:ascii="Arial" w:hAnsi="Arial" w:cs="Arial"/>
                <w:sz w:val="18"/>
                <w:szCs w:val="18"/>
              </w:rPr>
              <w:t>68,700</w:t>
            </w:r>
          </w:p>
        </w:tc>
        <w:tc>
          <w:tcPr>
            <w:tcW w:w="990" w:type="dxa"/>
            <w:vAlign w:val="center"/>
          </w:tcPr>
          <w:p w:rsidRPr="00415776" w:rsidR="00415776" w:rsidP="00EC1F69" w:rsidRDefault="00415776" w14:paraId="0D97720A" w14:textId="77777777">
            <w:pPr>
              <w:pStyle w:val="TableNote"/>
              <w:spacing w:after="0"/>
              <w:jc w:val="right"/>
              <w:rPr>
                <w:rFonts w:ascii="Arial" w:hAnsi="Arial" w:cs="Arial"/>
                <w:sz w:val="18"/>
                <w:szCs w:val="18"/>
              </w:rPr>
            </w:pPr>
            <w:r w:rsidRPr="00415776">
              <w:rPr>
                <w:rFonts w:ascii="Arial" w:hAnsi="Arial" w:cs="Arial"/>
                <w:sz w:val="18"/>
                <w:szCs w:val="18"/>
              </w:rPr>
              <w:t>$44.38</w:t>
            </w:r>
          </w:p>
        </w:tc>
        <w:tc>
          <w:tcPr>
            <w:tcW w:w="2250" w:type="dxa"/>
            <w:vAlign w:val="center"/>
          </w:tcPr>
          <w:p w:rsidRPr="00415776" w:rsidR="00415776" w:rsidP="00EC1F69" w:rsidRDefault="00EC1F69" w14:paraId="05FE994B" w14:textId="74107134">
            <w:pPr>
              <w:pStyle w:val="TableNote"/>
              <w:spacing w:after="0"/>
              <w:jc w:val="right"/>
              <w:rPr>
                <w:rFonts w:ascii="Arial" w:hAnsi="Arial" w:cs="Arial"/>
                <w:sz w:val="18"/>
                <w:szCs w:val="18"/>
              </w:rPr>
            </w:pPr>
            <w:r>
              <w:rPr>
                <w:rFonts w:ascii="Arial" w:hAnsi="Arial" w:cs="Arial"/>
                <w:sz w:val="18"/>
                <w:szCs w:val="18"/>
              </w:rPr>
              <w:t xml:space="preserve">$2,383,206 to </w:t>
            </w:r>
            <w:r w:rsidRPr="00EC1F69">
              <w:rPr>
                <w:rFonts w:ascii="Arial" w:hAnsi="Arial" w:cs="Arial"/>
                <w:sz w:val="18"/>
                <w:szCs w:val="18"/>
              </w:rPr>
              <w:t xml:space="preserve">$3,048,906 </w:t>
            </w:r>
          </w:p>
        </w:tc>
      </w:tr>
      <w:tr w:rsidRPr="00415776" w:rsidR="00415776" w:rsidTr="0049228A" w14:paraId="1E3BD53D" w14:textId="77777777">
        <w:tc>
          <w:tcPr>
            <w:tcW w:w="2155" w:type="dxa"/>
            <w:vAlign w:val="center"/>
          </w:tcPr>
          <w:p w:rsidRPr="00415776" w:rsidR="00415776" w:rsidP="00415776" w:rsidRDefault="00415776" w14:paraId="50987B6F" w14:textId="77777777">
            <w:pPr>
              <w:pStyle w:val="TableNote"/>
              <w:spacing w:after="0"/>
              <w:rPr>
                <w:rFonts w:ascii="Arial" w:hAnsi="Arial" w:cs="Arial"/>
                <w:sz w:val="18"/>
                <w:szCs w:val="18"/>
              </w:rPr>
            </w:pPr>
            <w:r w:rsidRPr="00415776">
              <w:rPr>
                <w:rFonts w:ascii="Arial" w:hAnsi="Arial" w:cs="Arial"/>
                <w:sz w:val="18"/>
                <w:szCs w:val="18"/>
              </w:rPr>
              <w:t>&gt;1,000,000, CWS</w:t>
            </w:r>
          </w:p>
        </w:tc>
        <w:tc>
          <w:tcPr>
            <w:tcW w:w="1260" w:type="dxa"/>
            <w:vAlign w:val="center"/>
          </w:tcPr>
          <w:p w:rsidRPr="00415776" w:rsidR="00415776" w:rsidP="00415776" w:rsidRDefault="003059D1" w14:paraId="04C432CF" w14:textId="4C4DE98C">
            <w:pPr>
              <w:pStyle w:val="TableNote"/>
              <w:spacing w:after="0"/>
              <w:jc w:val="right"/>
              <w:rPr>
                <w:rFonts w:ascii="Arial" w:hAnsi="Arial" w:cs="Arial"/>
                <w:sz w:val="18"/>
                <w:szCs w:val="18"/>
              </w:rPr>
            </w:pPr>
            <w:r>
              <w:rPr>
                <w:rFonts w:ascii="Arial" w:hAnsi="Arial" w:cs="Arial"/>
                <w:sz w:val="18"/>
                <w:szCs w:val="18"/>
              </w:rPr>
              <w:t xml:space="preserve">11 to </w:t>
            </w:r>
            <w:r w:rsidRPr="003059D1">
              <w:rPr>
                <w:rFonts w:ascii="Arial" w:hAnsi="Arial" w:cs="Arial"/>
                <w:sz w:val="18"/>
                <w:szCs w:val="18"/>
              </w:rPr>
              <w:t>13</w:t>
            </w:r>
          </w:p>
        </w:tc>
        <w:tc>
          <w:tcPr>
            <w:tcW w:w="990" w:type="dxa"/>
            <w:vAlign w:val="center"/>
          </w:tcPr>
          <w:p w:rsidRPr="00415776" w:rsidR="00415776" w:rsidP="00415776" w:rsidRDefault="003059D1" w14:paraId="75DDEEBC" w14:textId="41A38B27">
            <w:pPr>
              <w:pStyle w:val="TableNote"/>
              <w:spacing w:after="0"/>
              <w:jc w:val="right"/>
              <w:rPr>
                <w:rFonts w:ascii="Arial" w:hAnsi="Arial" w:cs="Arial"/>
                <w:sz w:val="18"/>
                <w:szCs w:val="18"/>
              </w:rPr>
            </w:pPr>
            <w:r>
              <w:rPr>
                <w:rFonts w:ascii="Arial" w:hAnsi="Arial" w:cs="Arial"/>
                <w:sz w:val="18"/>
                <w:szCs w:val="18"/>
              </w:rPr>
              <w:t>400</w:t>
            </w:r>
          </w:p>
        </w:tc>
        <w:tc>
          <w:tcPr>
            <w:tcW w:w="1710" w:type="dxa"/>
            <w:vAlign w:val="center"/>
          </w:tcPr>
          <w:p w:rsidRPr="00415776" w:rsidR="00415776" w:rsidP="00EC1F69" w:rsidRDefault="00EC1F69" w14:paraId="5E1CA3B2" w14:textId="06290A66">
            <w:pPr>
              <w:pStyle w:val="TableNote"/>
              <w:spacing w:after="0"/>
              <w:jc w:val="right"/>
              <w:rPr>
                <w:rFonts w:ascii="Arial" w:hAnsi="Arial" w:cs="Arial"/>
                <w:sz w:val="18"/>
                <w:szCs w:val="18"/>
              </w:rPr>
            </w:pPr>
            <w:r>
              <w:rPr>
                <w:rFonts w:ascii="Arial" w:hAnsi="Arial" w:cs="Arial"/>
                <w:sz w:val="18"/>
                <w:szCs w:val="18"/>
              </w:rPr>
              <w:t xml:space="preserve">4,400 to </w:t>
            </w:r>
            <w:r w:rsidRPr="004A3AD5" w:rsidR="004A3AD5">
              <w:rPr>
                <w:rFonts w:ascii="Arial" w:hAnsi="Arial" w:cs="Arial"/>
                <w:sz w:val="18"/>
                <w:szCs w:val="18"/>
              </w:rPr>
              <w:t>5,200</w:t>
            </w:r>
          </w:p>
        </w:tc>
        <w:tc>
          <w:tcPr>
            <w:tcW w:w="990" w:type="dxa"/>
            <w:vAlign w:val="center"/>
          </w:tcPr>
          <w:p w:rsidRPr="00415776" w:rsidR="00415776" w:rsidP="00EC1F69" w:rsidRDefault="00415776" w14:paraId="0BC0D82E" w14:textId="77777777">
            <w:pPr>
              <w:pStyle w:val="TableNote"/>
              <w:spacing w:after="0"/>
              <w:jc w:val="right"/>
              <w:rPr>
                <w:rFonts w:ascii="Arial" w:hAnsi="Arial" w:cs="Arial"/>
                <w:sz w:val="18"/>
                <w:szCs w:val="18"/>
              </w:rPr>
            </w:pPr>
            <w:r w:rsidRPr="00415776">
              <w:rPr>
                <w:rFonts w:ascii="Arial" w:hAnsi="Arial" w:cs="Arial"/>
                <w:sz w:val="18"/>
                <w:szCs w:val="18"/>
              </w:rPr>
              <w:t>$44.38</w:t>
            </w:r>
          </w:p>
        </w:tc>
        <w:tc>
          <w:tcPr>
            <w:tcW w:w="2250" w:type="dxa"/>
            <w:vAlign w:val="center"/>
          </w:tcPr>
          <w:p w:rsidRPr="00415776" w:rsidR="00415776" w:rsidP="00EC1F69" w:rsidRDefault="00EC1F69" w14:paraId="00322180" w14:textId="6C2144C7">
            <w:pPr>
              <w:pStyle w:val="TableNote"/>
              <w:spacing w:after="0"/>
              <w:jc w:val="right"/>
              <w:rPr>
                <w:rFonts w:ascii="Arial" w:hAnsi="Arial" w:cs="Arial"/>
                <w:sz w:val="18"/>
                <w:szCs w:val="18"/>
              </w:rPr>
            </w:pPr>
            <w:r>
              <w:rPr>
                <w:rFonts w:ascii="Arial" w:hAnsi="Arial" w:cs="Arial"/>
                <w:sz w:val="18"/>
                <w:szCs w:val="18"/>
              </w:rPr>
              <w:t xml:space="preserve">$195,272 to </w:t>
            </w:r>
            <w:r w:rsidRPr="00EC1F69">
              <w:rPr>
                <w:rFonts w:ascii="Arial" w:hAnsi="Arial" w:cs="Arial"/>
                <w:sz w:val="18"/>
                <w:szCs w:val="18"/>
              </w:rPr>
              <w:t>$230,776</w:t>
            </w:r>
          </w:p>
        </w:tc>
      </w:tr>
      <w:tr w:rsidRPr="00415776" w:rsidR="00415776" w:rsidTr="0049228A" w14:paraId="0B05D352" w14:textId="77777777">
        <w:tc>
          <w:tcPr>
            <w:tcW w:w="2155" w:type="dxa"/>
            <w:vAlign w:val="center"/>
          </w:tcPr>
          <w:p w:rsidRPr="00415776" w:rsidR="00415776" w:rsidP="00415776" w:rsidRDefault="00415776" w14:paraId="78703F4E" w14:textId="77777777">
            <w:pPr>
              <w:pStyle w:val="TableNote"/>
              <w:spacing w:after="0"/>
              <w:rPr>
                <w:rFonts w:ascii="Arial" w:hAnsi="Arial" w:cs="Arial"/>
                <w:sz w:val="18"/>
                <w:szCs w:val="18"/>
              </w:rPr>
            </w:pPr>
            <w:r w:rsidRPr="00415776">
              <w:rPr>
                <w:rFonts w:ascii="Arial" w:hAnsi="Arial" w:cs="Arial"/>
                <w:sz w:val="18"/>
                <w:szCs w:val="18"/>
              </w:rPr>
              <w:t>&lt;=100, NTNCWS</w:t>
            </w:r>
          </w:p>
        </w:tc>
        <w:tc>
          <w:tcPr>
            <w:tcW w:w="1260" w:type="dxa"/>
            <w:vAlign w:val="center"/>
          </w:tcPr>
          <w:p w:rsidRPr="00415776" w:rsidR="00415776" w:rsidP="00415776" w:rsidRDefault="003059D1" w14:paraId="053979C4" w14:textId="4BC92684">
            <w:pPr>
              <w:pStyle w:val="TableNote"/>
              <w:spacing w:after="0"/>
              <w:jc w:val="right"/>
              <w:rPr>
                <w:rFonts w:ascii="Arial" w:hAnsi="Arial" w:cs="Arial"/>
                <w:sz w:val="18"/>
                <w:szCs w:val="18"/>
              </w:rPr>
            </w:pPr>
            <w:r w:rsidRPr="003059D1">
              <w:rPr>
                <w:rFonts w:ascii="Arial" w:hAnsi="Arial" w:cs="Arial"/>
                <w:sz w:val="18"/>
                <w:szCs w:val="18"/>
              </w:rPr>
              <w:t>201</w:t>
            </w:r>
          </w:p>
        </w:tc>
        <w:tc>
          <w:tcPr>
            <w:tcW w:w="990" w:type="dxa"/>
            <w:vAlign w:val="center"/>
          </w:tcPr>
          <w:p w:rsidRPr="00415776" w:rsidR="00415776" w:rsidP="00415776" w:rsidRDefault="003059D1" w14:paraId="0901135F" w14:textId="3A1E39B3">
            <w:pPr>
              <w:pStyle w:val="TableNote"/>
              <w:spacing w:after="0"/>
              <w:jc w:val="right"/>
              <w:rPr>
                <w:rFonts w:ascii="Arial" w:hAnsi="Arial" w:cs="Arial"/>
                <w:sz w:val="18"/>
                <w:szCs w:val="18"/>
              </w:rPr>
            </w:pPr>
            <w:r>
              <w:rPr>
                <w:rFonts w:ascii="Arial" w:hAnsi="Arial" w:cs="Arial"/>
                <w:sz w:val="18"/>
                <w:szCs w:val="18"/>
              </w:rPr>
              <w:t>7</w:t>
            </w:r>
          </w:p>
        </w:tc>
        <w:tc>
          <w:tcPr>
            <w:tcW w:w="1710" w:type="dxa"/>
            <w:vAlign w:val="center"/>
          </w:tcPr>
          <w:p w:rsidRPr="00415776" w:rsidR="00415776" w:rsidP="00EC1F69" w:rsidRDefault="004A3AD5" w14:paraId="0950DBB6" w14:textId="522211BE">
            <w:pPr>
              <w:pStyle w:val="TableNote"/>
              <w:spacing w:after="0"/>
              <w:jc w:val="right"/>
              <w:rPr>
                <w:rFonts w:ascii="Arial" w:hAnsi="Arial" w:cs="Arial"/>
                <w:sz w:val="18"/>
                <w:szCs w:val="18"/>
              </w:rPr>
            </w:pPr>
            <w:r w:rsidRPr="004A3AD5">
              <w:rPr>
                <w:rFonts w:ascii="Arial" w:hAnsi="Arial" w:cs="Arial"/>
                <w:sz w:val="18"/>
                <w:szCs w:val="18"/>
              </w:rPr>
              <w:t>1,407</w:t>
            </w:r>
          </w:p>
        </w:tc>
        <w:tc>
          <w:tcPr>
            <w:tcW w:w="990" w:type="dxa"/>
            <w:vAlign w:val="center"/>
          </w:tcPr>
          <w:p w:rsidRPr="00415776" w:rsidR="00415776" w:rsidP="00EC1F69" w:rsidRDefault="00415776" w14:paraId="7E09916E" w14:textId="77777777">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rsidRPr="00415776" w:rsidR="00415776" w:rsidP="00EC1F69" w:rsidRDefault="00EC1F69" w14:paraId="501D31A1" w14:textId="12EE9A0E">
            <w:pPr>
              <w:pStyle w:val="TableNote"/>
              <w:spacing w:after="0"/>
              <w:jc w:val="right"/>
              <w:rPr>
                <w:rFonts w:ascii="Arial" w:hAnsi="Arial" w:cs="Arial"/>
                <w:sz w:val="18"/>
                <w:szCs w:val="18"/>
              </w:rPr>
            </w:pPr>
            <w:r w:rsidRPr="00EC1F69">
              <w:rPr>
                <w:rFonts w:ascii="Arial" w:hAnsi="Arial" w:cs="Arial"/>
                <w:sz w:val="18"/>
                <w:szCs w:val="18"/>
              </w:rPr>
              <w:t>$40,296</w:t>
            </w:r>
          </w:p>
        </w:tc>
      </w:tr>
      <w:tr w:rsidRPr="00415776" w:rsidR="00415776" w:rsidTr="0049228A" w14:paraId="18595E5D" w14:textId="77777777">
        <w:tc>
          <w:tcPr>
            <w:tcW w:w="2155" w:type="dxa"/>
            <w:vAlign w:val="center"/>
          </w:tcPr>
          <w:p w:rsidRPr="00415776" w:rsidR="00415776" w:rsidP="00415776" w:rsidRDefault="00415776" w14:paraId="79889E7E" w14:textId="77777777">
            <w:pPr>
              <w:pStyle w:val="TableNote"/>
              <w:spacing w:after="0"/>
              <w:rPr>
                <w:rFonts w:ascii="Arial" w:hAnsi="Arial" w:cs="Arial"/>
                <w:sz w:val="18"/>
                <w:szCs w:val="18"/>
              </w:rPr>
            </w:pPr>
            <w:r w:rsidRPr="00415776">
              <w:rPr>
                <w:rFonts w:ascii="Arial" w:hAnsi="Arial" w:cs="Arial"/>
                <w:sz w:val="18"/>
                <w:szCs w:val="18"/>
              </w:rPr>
              <w:t>101-500, NTNCWS</w:t>
            </w:r>
          </w:p>
        </w:tc>
        <w:tc>
          <w:tcPr>
            <w:tcW w:w="1260" w:type="dxa"/>
            <w:vAlign w:val="center"/>
          </w:tcPr>
          <w:p w:rsidRPr="00415776" w:rsidR="00415776" w:rsidP="00415776" w:rsidRDefault="003059D1" w14:paraId="09354056" w14:textId="7ED76D8A">
            <w:pPr>
              <w:pStyle w:val="TableNote"/>
              <w:spacing w:after="0"/>
              <w:jc w:val="right"/>
              <w:rPr>
                <w:rFonts w:ascii="Arial" w:hAnsi="Arial" w:cs="Arial"/>
                <w:sz w:val="18"/>
                <w:szCs w:val="18"/>
              </w:rPr>
            </w:pPr>
            <w:r w:rsidRPr="003059D1">
              <w:rPr>
                <w:rFonts w:ascii="Arial" w:hAnsi="Arial" w:cs="Arial"/>
                <w:sz w:val="18"/>
                <w:szCs w:val="18"/>
              </w:rPr>
              <w:t>155</w:t>
            </w:r>
          </w:p>
        </w:tc>
        <w:tc>
          <w:tcPr>
            <w:tcW w:w="990" w:type="dxa"/>
            <w:vAlign w:val="center"/>
          </w:tcPr>
          <w:p w:rsidRPr="00415776" w:rsidR="00415776" w:rsidP="00415776" w:rsidRDefault="003059D1" w14:paraId="5AF1E0C2" w14:textId="34985C66">
            <w:pPr>
              <w:pStyle w:val="TableNote"/>
              <w:spacing w:after="0"/>
              <w:jc w:val="right"/>
              <w:rPr>
                <w:rFonts w:ascii="Arial" w:hAnsi="Arial" w:cs="Arial"/>
                <w:sz w:val="18"/>
                <w:szCs w:val="18"/>
              </w:rPr>
            </w:pPr>
            <w:r>
              <w:rPr>
                <w:rFonts w:ascii="Arial" w:hAnsi="Arial" w:cs="Arial"/>
                <w:sz w:val="18"/>
                <w:szCs w:val="18"/>
              </w:rPr>
              <w:t>7</w:t>
            </w:r>
          </w:p>
        </w:tc>
        <w:tc>
          <w:tcPr>
            <w:tcW w:w="1710" w:type="dxa"/>
            <w:vAlign w:val="center"/>
          </w:tcPr>
          <w:p w:rsidRPr="00415776" w:rsidR="00415776" w:rsidP="00EC1F69" w:rsidRDefault="004A3AD5" w14:paraId="0C485130" w14:textId="56D601E1">
            <w:pPr>
              <w:pStyle w:val="TableNote"/>
              <w:spacing w:after="0"/>
              <w:jc w:val="right"/>
              <w:rPr>
                <w:rFonts w:ascii="Arial" w:hAnsi="Arial" w:cs="Arial"/>
                <w:sz w:val="18"/>
                <w:szCs w:val="18"/>
              </w:rPr>
            </w:pPr>
            <w:r w:rsidRPr="004A3AD5">
              <w:rPr>
                <w:rFonts w:ascii="Arial" w:hAnsi="Arial" w:cs="Arial"/>
                <w:sz w:val="18"/>
                <w:szCs w:val="18"/>
              </w:rPr>
              <w:t>1,085</w:t>
            </w:r>
          </w:p>
        </w:tc>
        <w:tc>
          <w:tcPr>
            <w:tcW w:w="990" w:type="dxa"/>
            <w:vAlign w:val="center"/>
          </w:tcPr>
          <w:p w:rsidRPr="00415776" w:rsidR="00415776" w:rsidP="00EC1F69" w:rsidRDefault="00415776" w14:paraId="4D5F68B1" w14:textId="77777777">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rsidRPr="00415776" w:rsidR="00415776" w:rsidP="00EC1F69" w:rsidRDefault="00EC1F69" w14:paraId="6040285D" w14:textId="0E77191B">
            <w:pPr>
              <w:pStyle w:val="TableNote"/>
              <w:spacing w:after="0"/>
              <w:jc w:val="right"/>
              <w:rPr>
                <w:rFonts w:ascii="Arial" w:hAnsi="Arial" w:cs="Arial"/>
                <w:sz w:val="18"/>
                <w:szCs w:val="18"/>
              </w:rPr>
            </w:pPr>
            <w:r w:rsidRPr="00EC1F69">
              <w:rPr>
                <w:rFonts w:ascii="Arial" w:hAnsi="Arial" w:cs="Arial"/>
                <w:sz w:val="18"/>
                <w:szCs w:val="18"/>
              </w:rPr>
              <w:t>$31,074</w:t>
            </w:r>
          </w:p>
        </w:tc>
      </w:tr>
      <w:tr w:rsidRPr="00415776" w:rsidR="00415776" w:rsidTr="0049228A" w14:paraId="31DD1476" w14:textId="77777777">
        <w:tc>
          <w:tcPr>
            <w:tcW w:w="2155" w:type="dxa"/>
            <w:vAlign w:val="center"/>
          </w:tcPr>
          <w:p w:rsidRPr="00415776" w:rsidR="00415776" w:rsidP="00415776" w:rsidRDefault="00415776" w14:paraId="3785E2D0" w14:textId="77777777">
            <w:pPr>
              <w:pStyle w:val="TableNote"/>
              <w:spacing w:after="0"/>
              <w:rPr>
                <w:rFonts w:ascii="Arial" w:hAnsi="Arial" w:cs="Arial"/>
                <w:sz w:val="18"/>
                <w:szCs w:val="18"/>
              </w:rPr>
            </w:pPr>
            <w:r w:rsidRPr="00415776">
              <w:rPr>
                <w:rFonts w:ascii="Arial" w:hAnsi="Arial" w:cs="Arial"/>
                <w:sz w:val="18"/>
                <w:szCs w:val="18"/>
              </w:rPr>
              <w:t>501-1,000, NTNCWS</w:t>
            </w:r>
          </w:p>
        </w:tc>
        <w:tc>
          <w:tcPr>
            <w:tcW w:w="1260" w:type="dxa"/>
            <w:vAlign w:val="center"/>
          </w:tcPr>
          <w:p w:rsidRPr="00415776" w:rsidR="00415776" w:rsidP="00415776" w:rsidRDefault="003059D1" w14:paraId="265B14EA" w14:textId="510B5198">
            <w:pPr>
              <w:pStyle w:val="TableNote"/>
              <w:spacing w:after="0"/>
              <w:jc w:val="right"/>
              <w:rPr>
                <w:rFonts w:ascii="Arial" w:hAnsi="Arial" w:cs="Arial"/>
                <w:sz w:val="18"/>
                <w:szCs w:val="18"/>
              </w:rPr>
            </w:pPr>
            <w:r>
              <w:rPr>
                <w:rFonts w:ascii="Arial" w:hAnsi="Arial" w:cs="Arial"/>
                <w:sz w:val="18"/>
                <w:szCs w:val="18"/>
              </w:rPr>
              <w:t>38</w:t>
            </w:r>
          </w:p>
        </w:tc>
        <w:tc>
          <w:tcPr>
            <w:tcW w:w="990" w:type="dxa"/>
            <w:vAlign w:val="center"/>
          </w:tcPr>
          <w:p w:rsidRPr="00415776" w:rsidR="00415776" w:rsidP="00415776" w:rsidRDefault="003059D1" w14:paraId="0F3E1633" w14:textId="541D7CC3">
            <w:pPr>
              <w:pStyle w:val="TableNote"/>
              <w:spacing w:after="0"/>
              <w:jc w:val="right"/>
              <w:rPr>
                <w:rFonts w:ascii="Arial" w:hAnsi="Arial" w:cs="Arial"/>
                <w:sz w:val="18"/>
                <w:szCs w:val="18"/>
              </w:rPr>
            </w:pPr>
            <w:r>
              <w:rPr>
                <w:rFonts w:ascii="Arial" w:hAnsi="Arial" w:cs="Arial"/>
                <w:sz w:val="18"/>
                <w:szCs w:val="18"/>
              </w:rPr>
              <w:t>7</w:t>
            </w:r>
          </w:p>
        </w:tc>
        <w:tc>
          <w:tcPr>
            <w:tcW w:w="1710" w:type="dxa"/>
            <w:vAlign w:val="center"/>
          </w:tcPr>
          <w:p w:rsidRPr="00415776" w:rsidR="00415776" w:rsidP="00EC1F69" w:rsidRDefault="004A3AD5" w14:paraId="5BE6570D" w14:textId="39A002EE">
            <w:pPr>
              <w:pStyle w:val="TableNote"/>
              <w:spacing w:after="0"/>
              <w:jc w:val="right"/>
              <w:rPr>
                <w:rFonts w:ascii="Arial" w:hAnsi="Arial" w:cs="Arial"/>
                <w:sz w:val="18"/>
                <w:szCs w:val="18"/>
              </w:rPr>
            </w:pPr>
            <w:r w:rsidRPr="004A3AD5">
              <w:rPr>
                <w:rFonts w:ascii="Arial" w:hAnsi="Arial" w:cs="Arial"/>
                <w:sz w:val="18"/>
                <w:szCs w:val="18"/>
              </w:rPr>
              <w:t>26</w:t>
            </w:r>
            <w:r>
              <w:rPr>
                <w:rFonts w:ascii="Arial" w:hAnsi="Arial" w:cs="Arial"/>
                <w:sz w:val="18"/>
                <w:szCs w:val="18"/>
              </w:rPr>
              <w:t>6</w:t>
            </w:r>
          </w:p>
        </w:tc>
        <w:tc>
          <w:tcPr>
            <w:tcW w:w="990" w:type="dxa"/>
            <w:vAlign w:val="center"/>
          </w:tcPr>
          <w:p w:rsidRPr="00415776" w:rsidR="00415776" w:rsidP="00EC1F69" w:rsidRDefault="00415776" w14:paraId="2EA6743A" w14:textId="77777777">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rsidRPr="00415776" w:rsidR="00415776" w:rsidP="00EC1F69" w:rsidRDefault="00EC1F69" w14:paraId="42C59B21" w14:textId="5E3F3204">
            <w:pPr>
              <w:pStyle w:val="TableNote"/>
              <w:spacing w:after="0"/>
              <w:jc w:val="right"/>
              <w:rPr>
                <w:rFonts w:ascii="Arial" w:hAnsi="Arial" w:cs="Arial"/>
                <w:sz w:val="18"/>
                <w:szCs w:val="18"/>
              </w:rPr>
            </w:pPr>
            <w:r w:rsidRPr="00EC1F69">
              <w:rPr>
                <w:rFonts w:ascii="Arial" w:hAnsi="Arial" w:cs="Arial"/>
                <w:sz w:val="18"/>
                <w:szCs w:val="18"/>
              </w:rPr>
              <w:t>$7,618</w:t>
            </w:r>
          </w:p>
        </w:tc>
      </w:tr>
      <w:tr w:rsidRPr="00415776" w:rsidR="003059D1" w:rsidTr="0049228A" w14:paraId="1FDE2E9F" w14:textId="77777777">
        <w:tc>
          <w:tcPr>
            <w:tcW w:w="2155" w:type="dxa"/>
            <w:vAlign w:val="center"/>
          </w:tcPr>
          <w:p w:rsidRPr="00415776" w:rsidR="003059D1" w:rsidP="003059D1" w:rsidRDefault="003059D1" w14:paraId="0966B3AF" w14:textId="77777777">
            <w:pPr>
              <w:pStyle w:val="TableNote"/>
              <w:spacing w:after="0"/>
              <w:rPr>
                <w:rFonts w:ascii="Arial" w:hAnsi="Arial" w:cs="Arial"/>
                <w:sz w:val="18"/>
                <w:szCs w:val="18"/>
              </w:rPr>
            </w:pPr>
            <w:r w:rsidRPr="00415776">
              <w:rPr>
                <w:rFonts w:ascii="Arial" w:hAnsi="Arial" w:cs="Arial"/>
                <w:sz w:val="18"/>
                <w:szCs w:val="18"/>
              </w:rPr>
              <w:t>1,001-3,300, NTNCWS</w:t>
            </w:r>
          </w:p>
        </w:tc>
        <w:tc>
          <w:tcPr>
            <w:tcW w:w="1260" w:type="dxa"/>
            <w:vAlign w:val="center"/>
          </w:tcPr>
          <w:p w:rsidRPr="00415776" w:rsidR="003059D1" w:rsidP="003059D1" w:rsidRDefault="003059D1" w14:paraId="4407F89F" w14:textId="43F2422F">
            <w:pPr>
              <w:pStyle w:val="TableNote"/>
              <w:spacing w:after="0"/>
              <w:jc w:val="right"/>
              <w:rPr>
                <w:rFonts w:ascii="Arial" w:hAnsi="Arial" w:cs="Arial"/>
                <w:sz w:val="18"/>
                <w:szCs w:val="18"/>
              </w:rPr>
            </w:pPr>
            <w:r>
              <w:rPr>
                <w:rFonts w:ascii="Arial" w:hAnsi="Arial" w:cs="Arial"/>
                <w:sz w:val="18"/>
                <w:szCs w:val="18"/>
              </w:rPr>
              <w:t>21</w:t>
            </w:r>
          </w:p>
        </w:tc>
        <w:tc>
          <w:tcPr>
            <w:tcW w:w="990" w:type="dxa"/>
            <w:vAlign w:val="center"/>
          </w:tcPr>
          <w:p w:rsidRPr="00415776" w:rsidR="003059D1" w:rsidP="003059D1" w:rsidRDefault="003059D1" w14:paraId="00D9C083" w14:textId="0A48182A">
            <w:pPr>
              <w:pStyle w:val="TableNote"/>
              <w:spacing w:after="0"/>
              <w:jc w:val="right"/>
              <w:rPr>
                <w:rFonts w:ascii="Arial" w:hAnsi="Arial" w:cs="Arial"/>
                <w:sz w:val="18"/>
                <w:szCs w:val="18"/>
              </w:rPr>
            </w:pPr>
            <w:r>
              <w:rPr>
                <w:rFonts w:ascii="Arial" w:hAnsi="Arial" w:cs="Arial"/>
                <w:sz w:val="18"/>
                <w:szCs w:val="18"/>
              </w:rPr>
              <w:t>7</w:t>
            </w:r>
          </w:p>
        </w:tc>
        <w:tc>
          <w:tcPr>
            <w:tcW w:w="1710" w:type="dxa"/>
            <w:vAlign w:val="center"/>
          </w:tcPr>
          <w:p w:rsidRPr="00415776" w:rsidR="003059D1" w:rsidP="00EC1F69" w:rsidRDefault="004A3AD5" w14:paraId="3CBAFF69" w14:textId="0D2FD9A7">
            <w:pPr>
              <w:pStyle w:val="TableNote"/>
              <w:spacing w:after="0"/>
              <w:jc w:val="right"/>
              <w:rPr>
                <w:rFonts w:ascii="Arial" w:hAnsi="Arial" w:cs="Arial"/>
                <w:sz w:val="18"/>
                <w:szCs w:val="18"/>
              </w:rPr>
            </w:pPr>
            <w:r w:rsidRPr="004A3AD5">
              <w:rPr>
                <w:rFonts w:ascii="Arial" w:hAnsi="Arial" w:cs="Arial"/>
                <w:sz w:val="18"/>
                <w:szCs w:val="18"/>
              </w:rPr>
              <w:t>147</w:t>
            </w:r>
          </w:p>
        </w:tc>
        <w:tc>
          <w:tcPr>
            <w:tcW w:w="990" w:type="dxa"/>
            <w:vAlign w:val="center"/>
          </w:tcPr>
          <w:p w:rsidRPr="00415776" w:rsidR="003059D1" w:rsidP="00EC1F69" w:rsidRDefault="003059D1" w14:paraId="6CE54439" w14:textId="77777777">
            <w:pPr>
              <w:pStyle w:val="TableNote"/>
              <w:spacing w:after="0"/>
              <w:jc w:val="right"/>
              <w:rPr>
                <w:rFonts w:ascii="Arial" w:hAnsi="Arial" w:cs="Arial"/>
                <w:sz w:val="18"/>
                <w:szCs w:val="18"/>
              </w:rPr>
            </w:pPr>
            <w:r w:rsidRPr="00415776">
              <w:rPr>
                <w:rFonts w:ascii="Arial" w:hAnsi="Arial" w:cs="Arial"/>
                <w:sz w:val="18"/>
                <w:szCs w:val="18"/>
              </w:rPr>
              <w:t xml:space="preserve">$28.64 </w:t>
            </w:r>
          </w:p>
        </w:tc>
        <w:tc>
          <w:tcPr>
            <w:tcW w:w="2250" w:type="dxa"/>
            <w:vAlign w:val="center"/>
          </w:tcPr>
          <w:p w:rsidRPr="00415776" w:rsidR="003059D1" w:rsidP="00EC1F69" w:rsidRDefault="00EC1F69" w14:paraId="32772549" w14:textId="64E848A8">
            <w:pPr>
              <w:pStyle w:val="TableNote"/>
              <w:spacing w:after="0"/>
              <w:jc w:val="right"/>
              <w:rPr>
                <w:rFonts w:ascii="Arial" w:hAnsi="Arial" w:cs="Arial"/>
                <w:sz w:val="18"/>
                <w:szCs w:val="18"/>
              </w:rPr>
            </w:pPr>
            <w:r w:rsidRPr="00EC1F69">
              <w:rPr>
                <w:rFonts w:ascii="Arial" w:hAnsi="Arial" w:cs="Arial"/>
                <w:sz w:val="18"/>
                <w:szCs w:val="18"/>
              </w:rPr>
              <w:t>$4,210</w:t>
            </w:r>
          </w:p>
        </w:tc>
      </w:tr>
      <w:tr w:rsidRPr="00415776" w:rsidR="003059D1" w:rsidTr="0049228A" w14:paraId="1D139B07" w14:textId="77777777">
        <w:tc>
          <w:tcPr>
            <w:tcW w:w="2155" w:type="dxa"/>
            <w:vAlign w:val="center"/>
          </w:tcPr>
          <w:p w:rsidRPr="00415776" w:rsidR="003059D1" w:rsidP="003059D1" w:rsidRDefault="003059D1" w14:paraId="29AF6015" w14:textId="77777777">
            <w:pPr>
              <w:pStyle w:val="TableNote"/>
              <w:spacing w:after="0"/>
              <w:rPr>
                <w:rFonts w:ascii="Arial" w:hAnsi="Arial" w:cs="Arial"/>
                <w:sz w:val="18"/>
                <w:szCs w:val="18"/>
              </w:rPr>
            </w:pPr>
            <w:r w:rsidRPr="00415776">
              <w:rPr>
                <w:rFonts w:ascii="Arial" w:hAnsi="Arial" w:cs="Arial"/>
                <w:sz w:val="18"/>
                <w:szCs w:val="18"/>
              </w:rPr>
              <w:t>3,301-10,000, NTNCWS</w:t>
            </w:r>
          </w:p>
        </w:tc>
        <w:tc>
          <w:tcPr>
            <w:tcW w:w="1260" w:type="dxa"/>
            <w:vAlign w:val="center"/>
          </w:tcPr>
          <w:p w:rsidRPr="00415776" w:rsidR="003059D1" w:rsidP="003059D1" w:rsidRDefault="003059D1" w14:paraId="4805C2B2" w14:textId="3FE1DAF1">
            <w:pPr>
              <w:pStyle w:val="TableNote"/>
              <w:spacing w:after="0"/>
              <w:jc w:val="right"/>
              <w:rPr>
                <w:rFonts w:ascii="Arial" w:hAnsi="Arial" w:cs="Arial"/>
                <w:sz w:val="18"/>
                <w:szCs w:val="18"/>
              </w:rPr>
            </w:pPr>
            <w:r>
              <w:rPr>
                <w:rFonts w:ascii="Arial" w:hAnsi="Arial" w:cs="Arial"/>
                <w:sz w:val="18"/>
                <w:szCs w:val="18"/>
              </w:rPr>
              <w:t>4</w:t>
            </w:r>
          </w:p>
        </w:tc>
        <w:tc>
          <w:tcPr>
            <w:tcW w:w="990" w:type="dxa"/>
            <w:vAlign w:val="center"/>
          </w:tcPr>
          <w:p w:rsidRPr="00415776" w:rsidR="003059D1" w:rsidP="003059D1" w:rsidRDefault="003059D1" w14:paraId="200B01EE" w14:textId="0AD3B623">
            <w:pPr>
              <w:pStyle w:val="TableNote"/>
              <w:spacing w:after="0"/>
              <w:jc w:val="right"/>
              <w:rPr>
                <w:rFonts w:ascii="Arial" w:hAnsi="Arial" w:cs="Arial"/>
                <w:sz w:val="18"/>
                <w:szCs w:val="18"/>
              </w:rPr>
            </w:pPr>
            <w:r>
              <w:rPr>
                <w:rFonts w:ascii="Arial" w:hAnsi="Arial" w:cs="Arial"/>
                <w:sz w:val="18"/>
                <w:szCs w:val="18"/>
              </w:rPr>
              <w:t>12</w:t>
            </w:r>
          </w:p>
        </w:tc>
        <w:tc>
          <w:tcPr>
            <w:tcW w:w="1710" w:type="dxa"/>
            <w:vAlign w:val="center"/>
          </w:tcPr>
          <w:p w:rsidRPr="00415776" w:rsidR="003059D1" w:rsidP="00EC1F69" w:rsidRDefault="004A3AD5" w14:paraId="6155C414" w14:textId="2B7B318D">
            <w:pPr>
              <w:pStyle w:val="TableNote"/>
              <w:spacing w:after="0"/>
              <w:jc w:val="right"/>
              <w:rPr>
                <w:rFonts w:ascii="Arial" w:hAnsi="Arial" w:cs="Arial"/>
                <w:sz w:val="18"/>
                <w:szCs w:val="18"/>
              </w:rPr>
            </w:pPr>
            <w:r w:rsidRPr="004A3AD5">
              <w:rPr>
                <w:rFonts w:ascii="Arial" w:hAnsi="Arial" w:cs="Arial"/>
                <w:sz w:val="18"/>
                <w:szCs w:val="18"/>
              </w:rPr>
              <w:t>48</w:t>
            </w:r>
          </w:p>
        </w:tc>
        <w:tc>
          <w:tcPr>
            <w:tcW w:w="990" w:type="dxa"/>
            <w:vAlign w:val="center"/>
          </w:tcPr>
          <w:p w:rsidRPr="00415776" w:rsidR="003059D1" w:rsidP="00EC1F69" w:rsidRDefault="003059D1" w14:paraId="32500B15" w14:textId="77777777">
            <w:pPr>
              <w:pStyle w:val="TableNote"/>
              <w:spacing w:after="0"/>
              <w:jc w:val="right"/>
              <w:rPr>
                <w:rFonts w:ascii="Arial" w:hAnsi="Arial" w:cs="Arial"/>
                <w:sz w:val="18"/>
                <w:szCs w:val="18"/>
              </w:rPr>
            </w:pPr>
            <w:r w:rsidRPr="00415776">
              <w:rPr>
                <w:rFonts w:ascii="Arial" w:hAnsi="Arial" w:cs="Arial"/>
                <w:sz w:val="18"/>
                <w:szCs w:val="18"/>
              </w:rPr>
              <w:t xml:space="preserve">$33.74 </w:t>
            </w:r>
          </w:p>
        </w:tc>
        <w:tc>
          <w:tcPr>
            <w:tcW w:w="2250" w:type="dxa"/>
            <w:vAlign w:val="center"/>
          </w:tcPr>
          <w:p w:rsidRPr="00415776" w:rsidR="003059D1" w:rsidP="00EC1F69" w:rsidRDefault="00EC1F69" w14:paraId="43C5F9F9" w14:textId="0E36DDFF">
            <w:pPr>
              <w:pStyle w:val="TableNote"/>
              <w:spacing w:after="0"/>
              <w:jc w:val="right"/>
              <w:rPr>
                <w:rFonts w:ascii="Arial" w:hAnsi="Arial" w:cs="Arial"/>
                <w:sz w:val="18"/>
                <w:szCs w:val="18"/>
              </w:rPr>
            </w:pPr>
            <w:r w:rsidRPr="00EC1F69">
              <w:rPr>
                <w:rFonts w:ascii="Arial" w:hAnsi="Arial" w:cs="Arial"/>
                <w:sz w:val="18"/>
                <w:szCs w:val="18"/>
              </w:rPr>
              <w:t>$1,620</w:t>
            </w:r>
          </w:p>
        </w:tc>
      </w:tr>
      <w:tr w:rsidRPr="00415776" w:rsidR="003059D1" w:rsidTr="0049228A" w14:paraId="698941F7" w14:textId="77777777">
        <w:tc>
          <w:tcPr>
            <w:tcW w:w="2155" w:type="dxa"/>
            <w:vAlign w:val="center"/>
          </w:tcPr>
          <w:p w:rsidRPr="00415776" w:rsidR="003059D1" w:rsidP="003059D1" w:rsidRDefault="003059D1" w14:paraId="142F1FA8" w14:textId="77777777">
            <w:pPr>
              <w:pStyle w:val="TableNote"/>
              <w:spacing w:after="0"/>
              <w:rPr>
                <w:rFonts w:ascii="Arial" w:hAnsi="Arial" w:cs="Arial"/>
                <w:sz w:val="18"/>
                <w:szCs w:val="18"/>
              </w:rPr>
            </w:pPr>
            <w:r w:rsidRPr="00415776">
              <w:rPr>
                <w:rFonts w:ascii="Arial" w:hAnsi="Arial" w:cs="Arial"/>
                <w:sz w:val="18"/>
                <w:szCs w:val="18"/>
              </w:rPr>
              <w:t>10,001-50,000, NTNCWS</w:t>
            </w:r>
          </w:p>
        </w:tc>
        <w:tc>
          <w:tcPr>
            <w:tcW w:w="1260" w:type="dxa"/>
            <w:vAlign w:val="center"/>
          </w:tcPr>
          <w:p w:rsidRPr="00415776" w:rsidR="003059D1" w:rsidP="003059D1" w:rsidRDefault="003059D1" w14:paraId="6EDE27C6" w14:textId="56992F88">
            <w:pPr>
              <w:pStyle w:val="TableNote"/>
              <w:spacing w:after="0"/>
              <w:jc w:val="right"/>
              <w:rPr>
                <w:rFonts w:ascii="Arial" w:hAnsi="Arial" w:cs="Arial"/>
                <w:sz w:val="18"/>
                <w:szCs w:val="18"/>
              </w:rPr>
            </w:pPr>
            <w:r>
              <w:rPr>
                <w:rFonts w:ascii="Arial" w:hAnsi="Arial" w:cs="Arial"/>
                <w:sz w:val="18"/>
                <w:szCs w:val="18"/>
              </w:rPr>
              <w:t>1</w:t>
            </w:r>
          </w:p>
        </w:tc>
        <w:tc>
          <w:tcPr>
            <w:tcW w:w="990" w:type="dxa"/>
            <w:vAlign w:val="center"/>
          </w:tcPr>
          <w:p w:rsidRPr="00415776" w:rsidR="003059D1" w:rsidP="003059D1" w:rsidRDefault="003059D1" w14:paraId="5BA8DC87" w14:textId="76FF1D00">
            <w:pPr>
              <w:pStyle w:val="TableNote"/>
              <w:spacing w:after="0"/>
              <w:jc w:val="right"/>
              <w:rPr>
                <w:rFonts w:ascii="Arial" w:hAnsi="Arial" w:cs="Arial"/>
                <w:sz w:val="18"/>
                <w:szCs w:val="18"/>
              </w:rPr>
            </w:pPr>
            <w:r>
              <w:rPr>
                <w:rFonts w:ascii="Arial" w:hAnsi="Arial" w:cs="Arial"/>
                <w:sz w:val="18"/>
                <w:szCs w:val="18"/>
              </w:rPr>
              <w:t>12</w:t>
            </w:r>
          </w:p>
        </w:tc>
        <w:tc>
          <w:tcPr>
            <w:tcW w:w="1710" w:type="dxa"/>
            <w:vAlign w:val="center"/>
          </w:tcPr>
          <w:p w:rsidRPr="00415776" w:rsidR="003059D1" w:rsidP="00EC1F69" w:rsidRDefault="004A3AD5" w14:paraId="7820FBC9" w14:textId="5C80BB23">
            <w:pPr>
              <w:pStyle w:val="TableNote"/>
              <w:spacing w:after="0"/>
              <w:jc w:val="right"/>
              <w:rPr>
                <w:rFonts w:ascii="Arial" w:hAnsi="Arial" w:cs="Arial"/>
                <w:sz w:val="18"/>
                <w:szCs w:val="18"/>
              </w:rPr>
            </w:pPr>
            <w:r w:rsidRPr="004A3AD5">
              <w:rPr>
                <w:rFonts w:ascii="Arial" w:hAnsi="Arial" w:cs="Arial"/>
                <w:sz w:val="18"/>
                <w:szCs w:val="18"/>
              </w:rPr>
              <w:t>12</w:t>
            </w:r>
          </w:p>
        </w:tc>
        <w:tc>
          <w:tcPr>
            <w:tcW w:w="990" w:type="dxa"/>
            <w:vAlign w:val="center"/>
          </w:tcPr>
          <w:p w:rsidRPr="00415776" w:rsidR="003059D1" w:rsidP="00EC1F69" w:rsidRDefault="003059D1" w14:paraId="24683892" w14:textId="77777777">
            <w:pPr>
              <w:pStyle w:val="TableNote"/>
              <w:spacing w:after="0"/>
              <w:jc w:val="right"/>
              <w:rPr>
                <w:rFonts w:ascii="Arial" w:hAnsi="Arial" w:cs="Arial"/>
                <w:sz w:val="18"/>
                <w:szCs w:val="18"/>
              </w:rPr>
            </w:pPr>
            <w:r w:rsidRPr="00415776">
              <w:rPr>
                <w:rFonts w:ascii="Arial" w:hAnsi="Arial" w:cs="Arial"/>
                <w:sz w:val="18"/>
                <w:szCs w:val="18"/>
              </w:rPr>
              <w:t xml:space="preserve">$36.15 </w:t>
            </w:r>
          </w:p>
        </w:tc>
        <w:tc>
          <w:tcPr>
            <w:tcW w:w="2250" w:type="dxa"/>
            <w:vAlign w:val="center"/>
          </w:tcPr>
          <w:p w:rsidRPr="00415776" w:rsidR="003059D1" w:rsidP="00EC1F69" w:rsidRDefault="00EC1F69" w14:paraId="4D4EF7E7" w14:textId="5EF4E6CB">
            <w:pPr>
              <w:pStyle w:val="TableNote"/>
              <w:spacing w:after="0"/>
              <w:jc w:val="right"/>
              <w:rPr>
                <w:rFonts w:ascii="Arial" w:hAnsi="Arial" w:cs="Arial"/>
                <w:sz w:val="18"/>
                <w:szCs w:val="18"/>
              </w:rPr>
            </w:pPr>
            <w:r w:rsidRPr="00EC1F69">
              <w:rPr>
                <w:rFonts w:ascii="Arial" w:hAnsi="Arial" w:cs="Arial"/>
                <w:sz w:val="18"/>
                <w:szCs w:val="18"/>
              </w:rPr>
              <w:t>$434</w:t>
            </w:r>
          </w:p>
        </w:tc>
      </w:tr>
      <w:tr w:rsidRPr="00415776" w:rsidR="003059D1" w:rsidTr="0049228A" w14:paraId="514954B6" w14:textId="77777777">
        <w:tc>
          <w:tcPr>
            <w:tcW w:w="2155" w:type="dxa"/>
            <w:vAlign w:val="center"/>
          </w:tcPr>
          <w:p w:rsidRPr="00415776" w:rsidR="003059D1" w:rsidP="003059D1" w:rsidRDefault="003059D1" w14:paraId="51B493E5" w14:textId="77777777">
            <w:pPr>
              <w:pStyle w:val="TableNote"/>
              <w:spacing w:after="0"/>
              <w:rPr>
                <w:rFonts w:ascii="Arial" w:hAnsi="Arial" w:cs="Arial"/>
                <w:sz w:val="18"/>
                <w:szCs w:val="18"/>
              </w:rPr>
            </w:pPr>
            <w:r w:rsidRPr="00415776">
              <w:rPr>
                <w:rFonts w:ascii="Arial" w:hAnsi="Arial" w:cs="Arial"/>
                <w:sz w:val="18"/>
                <w:szCs w:val="18"/>
              </w:rPr>
              <w:t>50,001-100,000, NTNCWS</w:t>
            </w:r>
          </w:p>
        </w:tc>
        <w:tc>
          <w:tcPr>
            <w:tcW w:w="1260" w:type="dxa"/>
            <w:vAlign w:val="center"/>
          </w:tcPr>
          <w:p w:rsidRPr="00415776" w:rsidR="003059D1" w:rsidP="003059D1" w:rsidRDefault="003059D1" w14:paraId="179A9900" w14:textId="4DC16865">
            <w:pPr>
              <w:pStyle w:val="TableNote"/>
              <w:spacing w:after="0"/>
              <w:jc w:val="right"/>
              <w:rPr>
                <w:rFonts w:ascii="Arial" w:hAnsi="Arial" w:cs="Arial"/>
                <w:sz w:val="18"/>
                <w:szCs w:val="18"/>
              </w:rPr>
            </w:pPr>
            <w:r>
              <w:rPr>
                <w:rFonts w:ascii="Arial" w:hAnsi="Arial" w:cs="Arial"/>
                <w:sz w:val="18"/>
                <w:szCs w:val="18"/>
              </w:rPr>
              <w:t>1</w:t>
            </w:r>
          </w:p>
        </w:tc>
        <w:tc>
          <w:tcPr>
            <w:tcW w:w="990" w:type="dxa"/>
            <w:vAlign w:val="center"/>
          </w:tcPr>
          <w:p w:rsidRPr="00415776" w:rsidR="003059D1" w:rsidP="003059D1" w:rsidRDefault="003059D1" w14:paraId="20EC628E" w14:textId="3408835C">
            <w:pPr>
              <w:pStyle w:val="TableNote"/>
              <w:spacing w:after="0"/>
              <w:jc w:val="right"/>
              <w:rPr>
                <w:rFonts w:ascii="Arial" w:hAnsi="Arial" w:cs="Arial"/>
                <w:sz w:val="18"/>
                <w:szCs w:val="18"/>
              </w:rPr>
            </w:pPr>
            <w:r>
              <w:rPr>
                <w:rFonts w:ascii="Arial" w:hAnsi="Arial" w:cs="Arial"/>
                <w:sz w:val="18"/>
                <w:szCs w:val="18"/>
              </w:rPr>
              <w:t>28</w:t>
            </w:r>
          </w:p>
        </w:tc>
        <w:tc>
          <w:tcPr>
            <w:tcW w:w="1710" w:type="dxa"/>
            <w:vAlign w:val="center"/>
          </w:tcPr>
          <w:p w:rsidRPr="00415776" w:rsidR="003059D1" w:rsidP="00EC1F69" w:rsidRDefault="004A3AD5" w14:paraId="278D94FD" w14:textId="205339E4">
            <w:pPr>
              <w:pStyle w:val="TableNote"/>
              <w:spacing w:after="0"/>
              <w:jc w:val="right"/>
              <w:rPr>
                <w:rFonts w:ascii="Arial" w:hAnsi="Arial" w:cs="Arial"/>
                <w:sz w:val="18"/>
                <w:szCs w:val="18"/>
              </w:rPr>
            </w:pPr>
            <w:r w:rsidRPr="004A3AD5">
              <w:rPr>
                <w:rFonts w:ascii="Arial" w:hAnsi="Arial" w:cs="Arial"/>
                <w:sz w:val="18"/>
                <w:szCs w:val="18"/>
              </w:rPr>
              <w:t>28</w:t>
            </w:r>
          </w:p>
        </w:tc>
        <w:tc>
          <w:tcPr>
            <w:tcW w:w="990" w:type="dxa"/>
            <w:vAlign w:val="center"/>
          </w:tcPr>
          <w:p w:rsidRPr="00415776" w:rsidR="003059D1" w:rsidP="00EC1F69" w:rsidRDefault="003059D1" w14:paraId="7D99789C" w14:textId="77777777">
            <w:pPr>
              <w:pStyle w:val="TableNote"/>
              <w:spacing w:after="0"/>
              <w:jc w:val="right"/>
              <w:rPr>
                <w:rFonts w:ascii="Arial" w:hAnsi="Arial" w:cs="Arial"/>
                <w:sz w:val="18"/>
                <w:szCs w:val="18"/>
              </w:rPr>
            </w:pPr>
            <w:r w:rsidRPr="00415776">
              <w:rPr>
                <w:rFonts w:ascii="Arial" w:hAnsi="Arial" w:cs="Arial"/>
                <w:sz w:val="18"/>
                <w:szCs w:val="18"/>
              </w:rPr>
              <w:t xml:space="preserve">$39.01 </w:t>
            </w:r>
          </w:p>
        </w:tc>
        <w:tc>
          <w:tcPr>
            <w:tcW w:w="2250" w:type="dxa"/>
            <w:vAlign w:val="center"/>
          </w:tcPr>
          <w:p w:rsidRPr="00415776" w:rsidR="003059D1" w:rsidP="00EC1F69" w:rsidRDefault="00EC1F69" w14:paraId="03B4FC8D" w14:textId="7CB37C2F">
            <w:pPr>
              <w:pStyle w:val="TableNote"/>
              <w:spacing w:after="0"/>
              <w:jc w:val="right"/>
              <w:rPr>
                <w:rFonts w:ascii="Arial" w:hAnsi="Arial" w:cs="Arial"/>
                <w:sz w:val="18"/>
                <w:szCs w:val="18"/>
              </w:rPr>
            </w:pPr>
            <w:r w:rsidRPr="00EC1F69">
              <w:rPr>
                <w:rFonts w:ascii="Arial" w:hAnsi="Arial" w:cs="Arial"/>
                <w:sz w:val="18"/>
                <w:szCs w:val="18"/>
              </w:rPr>
              <w:t>$1,092</w:t>
            </w:r>
          </w:p>
        </w:tc>
      </w:tr>
      <w:tr w:rsidRPr="00415776" w:rsidR="003059D1" w:rsidTr="0049228A" w14:paraId="44804578" w14:textId="77777777">
        <w:tc>
          <w:tcPr>
            <w:tcW w:w="2155" w:type="dxa"/>
            <w:vAlign w:val="center"/>
          </w:tcPr>
          <w:p w:rsidRPr="00415776" w:rsidR="003059D1" w:rsidP="003059D1" w:rsidRDefault="003059D1" w14:paraId="05439965" w14:textId="77777777">
            <w:pPr>
              <w:pStyle w:val="TableNote"/>
              <w:spacing w:after="0"/>
              <w:rPr>
                <w:rFonts w:ascii="Arial" w:hAnsi="Arial" w:cs="Arial"/>
                <w:sz w:val="18"/>
                <w:szCs w:val="18"/>
              </w:rPr>
            </w:pPr>
            <w:r w:rsidRPr="00415776">
              <w:rPr>
                <w:rFonts w:ascii="Arial" w:hAnsi="Arial" w:cs="Arial"/>
                <w:sz w:val="18"/>
                <w:szCs w:val="18"/>
              </w:rPr>
              <w:t>100,001-1,000,000, NTNCWS</w:t>
            </w:r>
          </w:p>
        </w:tc>
        <w:tc>
          <w:tcPr>
            <w:tcW w:w="1260" w:type="dxa"/>
            <w:vAlign w:val="center"/>
          </w:tcPr>
          <w:p w:rsidRPr="00415776" w:rsidR="003059D1" w:rsidP="003059D1" w:rsidRDefault="003059D1" w14:paraId="0D6071EA" w14:textId="0B5EDB2F">
            <w:pPr>
              <w:pStyle w:val="TableNote"/>
              <w:spacing w:after="0"/>
              <w:jc w:val="right"/>
              <w:rPr>
                <w:rFonts w:ascii="Arial" w:hAnsi="Arial" w:cs="Arial"/>
                <w:sz w:val="18"/>
                <w:szCs w:val="18"/>
              </w:rPr>
            </w:pPr>
            <w:r>
              <w:rPr>
                <w:rFonts w:ascii="Arial" w:hAnsi="Arial" w:cs="Arial"/>
                <w:sz w:val="18"/>
                <w:szCs w:val="18"/>
              </w:rPr>
              <w:t>1</w:t>
            </w:r>
          </w:p>
        </w:tc>
        <w:tc>
          <w:tcPr>
            <w:tcW w:w="990" w:type="dxa"/>
            <w:vAlign w:val="center"/>
          </w:tcPr>
          <w:p w:rsidRPr="00415776" w:rsidR="003059D1" w:rsidP="003059D1" w:rsidRDefault="003059D1" w14:paraId="47FED6A7" w14:textId="45A42BBA">
            <w:pPr>
              <w:pStyle w:val="TableNote"/>
              <w:spacing w:after="0"/>
              <w:jc w:val="right"/>
              <w:rPr>
                <w:rFonts w:ascii="Arial" w:hAnsi="Arial" w:cs="Arial"/>
                <w:sz w:val="18"/>
                <w:szCs w:val="18"/>
              </w:rPr>
            </w:pPr>
            <w:r>
              <w:rPr>
                <w:rFonts w:ascii="Arial" w:hAnsi="Arial" w:cs="Arial"/>
                <w:sz w:val="18"/>
                <w:szCs w:val="18"/>
              </w:rPr>
              <w:t>28</w:t>
            </w:r>
          </w:p>
        </w:tc>
        <w:tc>
          <w:tcPr>
            <w:tcW w:w="1710" w:type="dxa"/>
            <w:vAlign w:val="center"/>
          </w:tcPr>
          <w:p w:rsidRPr="00415776" w:rsidR="003059D1" w:rsidP="00EC1F69" w:rsidRDefault="004A3AD5" w14:paraId="167DAACC" w14:textId="33E0A164">
            <w:pPr>
              <w:pStyle w:val="TableNote"/>
              <w:spacing w:after="0"/>
              <w:jc w:val="right"/>
              <w:rPr>
                <w:rFonts w:ascii="Arial" w:hAnsi="Arial" w:cs="Arial"/>
                <w:sz w:val="18"/>
                <w:szCs w:val="18"/>
              </w:rPr>
            </w:pPr>
            <w:r>
              <w:rPr>
                <w:rFonts w:ascii="Arial" w:hAnsi="Arial" w:cs="Arial"/>
                <w:sz w:val="18"/>
                <w:szCs w:val="18"/>
              </w:rPr>
              <w:t>28</w:t>
            </w:r>
          </w:p>
        </w:tc>
        <w:tc>
          <w:tcPr>
            <w:tcW w:w="990" w:type="dxa"/>
            <w:vAlign w:val="center"/>
          </w:tcPr>
          <w:p w:rsidRPr="00415776" w:rsidR="003059D1" w:rsidP="00EC1F69" w:rsidRDefault="003059D1" w14:paraId="6E0E1DB0" w14:textId="77777777">
            <w:pPr>
              <w:pStyle w:val="TableNote"/>
              <w:spacing w:after="0"/>
              <w:jc w:val="right"/>
              <w:rPr>
                <w:rFonts w:ascii="Arial" w:hAnsi="Arial" w:cs="Arial"/>
                <w:sz w:val="18"/>
                <w:szCs w:val="18"/>
              </w:rPr>
            </w:pPr>
            <w:r w:rsidRPr="00415776">
              <w:rPr>
                <w:rFonts w:ascii="Arial" w:hAnsi="Arial" w:cs="Arial"/>
                <w:sz w:val="18"/>
                <w:szCs w:val="18"/>
              </w:rPr>
              <w:t xml:space="preserve">$44.38 </w:t>
            </w:r>
          </w:p>
        </w:tc>
        <w:tc>
          <w:tcPr>
            <w:tcW w:w="2250" w:type="dxa"/>
            <w:vAlign w:val="center"/>
          </w:tcPr>
          <w:p w:rsidRPr="00415776" w:rsidR="003059D1" w:rsidP="00EC1F69" w:rsidRDefault="00EC1F69" w14:paraId="2E95D104" w14:textId="1D0C4E54">
            <w:pPr>
              <w:pStyle w:val="TableNote"/>
              <w:spacing w:after="0"/>
              <w:jc w:val="right"/>
              <w:rPr>
                <w:rFonts w:ascii="Arial" w:hAnsi="Arial" w:cs="Arial"/>
                <w:sz w:val="18"/>
                <w:szCs w:val="18"/>
              </w:rPr>
            </w:pPr>
            <w:r w:rsidRPr="00EC1F69">
              <w:rPr>
                <w:rFonts w:ascii="Arial" w:hAnsi="Arial" w:cs="Arial"/>
                <w:sz w:val="18"/>
                <w:szCs w:val="18"/>
              </w:rPr>
              <w:t>$1,243</w:t>
            </w:r>
          </w:p>
        </w:tc>
      </w:tr>
      <w:tr w:rsidRPr="00415776" w:rsidR="003059D1" w:rsidTr="0049228A" w14:paraId="4D5C067E" w14:textId="77777777">
        <w:tc>
          <w:tcPr>
            <w:tcW w:w="2155" w:type="dxa"/>
            <w:vAlign w:val="center"/>
          </w:tcPr>
          <w:p w:rsidRPr="00415776" w:rsidR="003059D1" w:rsidP="003059D1" w:rsidRDefault="003059D1" w14:paraId="07F5DD38" w14:textId="77777777">
            <w:pPr>
              <w:pStyle w:val="TableNote"/>
              <w:spacing w:after="0"/>
              <w:rPr>
                <w:rFonts w:ascii="Arial" w:hAnsi="Arial" w:cs="Arial"/>
                <w:sz w:val="18"/>
                <w:szCs w:val="18"/>
              </w:rPr>
            </w:pPr>
            <w:r w:rsidRPr="00415776">
              <w:rPr>
                <w:rFonts w:ascii="Arial" w:hAnsi="Arial" w:cs="Arial"/>
                <w:sz w:val="18"/>
                <w:szCs w:val="18"/>
              </w:rPr>
              <w:t>&gt;1,000,000, NTNCWS</w:t>
            </w:r>
          </w:p>
        </w:tc>
        <w:tc>
          <w:tcPr>
            <w:tcW w:w="1260" w:type="dxa"/>
            <w:vAlign w:val="center"/>
          </w:tcPr>
          <w:p w:rsidRPr="00415776" w:rsidR="003059D1" w:rsidP="003059D1" w:rsidRDefault="003059D1" w14:paraId="7E3471E6" w14:textId="3A4624E9">
            <w:pPr>
              <w:pStyle w:val="TableNote"/>
              <w:spacing w:after="0"/>
              <w:jc w:val="right"/>
              <w:rPr>
                <w:rFonts w:ascii="Arial" w:hAnsi="Arial" w:cs="Arial"/>
                <w:sz w:val="18"/>
                <w:szCs w:val="18"/>
              </w:rPr>
            </w:pPr>
            <w:r>
              <w:rPr>
                <w:rFonts w:ascii="Arial" w:hAnsi="Arial" w:cs="Arial"/>
                <w:sz w:val="18"/>
                <w:szCs w:val="18"/>
              </w:rPr>
              <w:t>0</w:t>
            </w:r>
          </w:p>
        </w:tc>
        <w:tc>
          <w:tcPr>
            <w:tcW w:w="990" w:type="dxa"/>
            <w:vAlign w:val="center"/>
          </w:tcPr>
          <w:p w:rsidRPr="00415776" w:rsidR="003059D1" w:rsidP="003059D1" w:rsidRDefault="003059D1" w14:paraId="3D028C7A" w14:textId="77777777">
            <w:pPr>
              <w:pStyle w:val="TableNote"/>
              <w:spacing w:after="0"/>
              <w:jc w:val="center"/>
              <w:rPr>
                <w:rFonts w:ascii="Arial" w:hAnsi="Arial" w:cs="Arial"/>
                <w:sz w:val="18"/>
                <w:szCs w:val="18"/>
              </w:rPr>
            </w:pPr>
            <w:r w:rsidRPr="00415776">
              <w:rPr>
                <w:rFonts w:ascii="Arial" w:hAnsi="Arial" w:cs="Arial"/>
                <w:sz w:val="18"/>
                <w:szCs w:val="18"/>
              </w:rPr>
              <w:t>not applicable</w:t>
            </w:r>
          </w:p>
        </w:tc>
        <w:tc>
          <w:tcPr>
            <w:tcW w:w="1710" w:type="dxa"/>
            <w:vAlign w:val="center"/>
          </w:tcPr>
          <w:p w:rsidRPr="00415776" w:rsidR="003059D1" w:rsidP="00EC1F69" w:rsidRDefault="003059D1" w14:paraId="25D3EAFB" w14:textId="77777777">
            <w:pPr>
              <w:pStyle w:val="TableNote"/>
              <w:spacing w:after="0"/>
              <w:jc w:val="right"/>
              <w:rPr>
                <w:rFonts w:ascii="Arial" w:hAnsi="Arial" w:cs="Arial"/>
                <w:sz w:val="18"/>
                <w:szCs w:val="18"/>
              </w:rPr>
            </w:pPr>
            <w:r w:rsidRPr="00415776">
              <w:rPr>
                <w:rFonts w:ascii="Arial" w:hAnsi="Arial" w:cs="Arial"/>
                <w:sz w:val="18"/>
                <w:szCs w:val="18"/>
              </w:rPr>
              <w:t>0</w:t>
            </w:r>
          </w:p>
        </w:tc>
        <w:tc>
          <w:tcPr>
            <w:tcW w:w="990" w:type="dxa"/>
            <w:vAlign w:val="center"/>
          </w:tcPr>
          <w:p w:rsidRPr="00415776" w:rsidR="003059D1" w:rsidP="00EC1F69" w:rsidRDefault="003059D1" w14:paraId="4DEA5DAC" w14:textId="77777777">
            <w:pPr>
              <w:pStyle w:val="TableNote"/>
              <w:spacing w:after="0"/>
              <w:jc w:val="right"/>
              <w:rPr>
                <w:rFonts w:ascii="Arial" w:hAnsi="Arial" w:cs="Arial"/>
                <w:sz w:val="18"/>
                <w:szCs w:val="18"/>
              </w:rPr>
            </w:pPr>
            <w:r w:rsidRPr="00415776">
              <w:rPr>
                <w:rFonts w:ascii="Arial" w:hAnsi="Arial" w:cs="Arial"/>
                <w:sz w:val="18"/>
                <w:szCs w:val="18"/>
              </w:rPr>
              <w:t xml:space="preserve">$44.38 </w:t>
            </w:r>
          </w:p>
        </w:tc>
        <w:tc>
          <w:tcPr>
            <w:tcW w:w="2250" w:type="dxa"/>
            <w:vAlign w:val="center"/>
          </w:tcPr>
          <w:p w:rsidRPr="00415776" w:rsidR="003059D1" w:rsidP="00EC1F69" w:rsidRDefault="003059D1" w14:paraId="33187C0E" w14:textId="77777777">
            <w:pPr>
              <w:pStyle w:val="TableNote"/>
              <w:spacing w:after="0"/>
              <w:jc w:val="right"/>
              <w:rPr>
                <w:rFonts w:ascii="Arial" w:hAnsi="Arial" w:cs="Arial"/>
                <w:sz w:val="18"/>
                <w:szCs w:val="18"/>
              </w:rPr>
            </w:pPr>
            <w:r w:rsidRPr="00415776">
              <w:rPr>
                <w:rFonts w:ascii="Arial" w:hAnsi="Arial" w:cs="Arial"/>
                <w:sz w:val="18"/>
                <w:szCs w:val="18"/>
              </w:rPr>
              <w:t xml:space="preserve">$0 </w:t>
            </w:r>
          </w:p>
        </w:tc>
      </w:tr>
      <w:tr w:rsidRPr="00415776" w:rsidR="003059D1" w:rsidTr="0049228A" w14:paraId="1ED952F4" w14:textId="77777777">
        <w:tc>
          <w:tcPr>
            <w:tcW w:w="2155" w:type="dxa"/>
            <w:vAlign w:val="center"/>
          </w:tcPr>
          <w:p w:rsidRPr="00415776" w:rsidR="003059D1" w:rsidP="003059D1" w:rsidRDefault="003059D1" w14:paraId="5E71EEB5" w14:textId="77777777">
            <w:pPr>
              <w:pStyle w:val="TableNote"/>
              <w:spacing w:after="0"/>
              <w:rPr>
                <w:rFonts w:ascii="Arial" w:hAnsi="Arial" w:cs="Arial"/>
                <w:b/>
                <w:sz w:val="18"/>
                <w:szCs w:val="18"/>
              </w:rPr>
            </w:pPr>
            <w:r w:rsidRPr="00415776">
              <w:rPr>
                <w:rFonts w:ascii="Arial" w:hAnsi="Arial" w:cs="Arial"/>
                <w:b/>
                <w:sz w:val="18"/>
                <w:szCs w:val="18"/>
              </w:rPr>
              <w:t>System 3-year Total</w:t>
            </w:r>
          </w:p>
        </w:tc>
        <w:tc>
          <w:tcPr>
            <w:tcW w:w="1260" w:type="dxa"/>
            <w:vAlign w:val="center"/>
          </w:tcPr>
          <w:p w:rsidRPr="00415776" w:rsidR="003059D1" w:rsidP="004E7D84" w:rsidRDefault="004E7D84" w14:paraId="53DF74E9" w14:textId="6EE0BDA4">
            <w:pPr>
              <w:pStyle w:val="TableNote"/>
              <w:spacing w:after="0"/>
              <w:jc w:val="center"/>
              <w:rPr>
                <w:rFonts w:ascii="Arial" w:hAnsi="Arial" w:cs="Arial"/>
                <w:b/>
                <w:sz w:val="18"/>
                <w:szCs w:val="18"/>
              </w:rPr>
            </w:pPr>
            <w:r w:rsidRPr="004E7D84">
              <w:rPr>
                <w:rFonts w:ascii="Arial" w:hAnsi="Arial" w:cs="Arial"/>
                <w:b/>
                <w:sz w:val="18"/>
                <w:szCs w:val="18"/>
              </w:rPr>
              <w:t>10,269</w:t>
            </w:r>
            <w:r>
              <w:rPr>
                <w:rFonts w:ascii="Arial" w:hAnsi="Arial" w:cs="Arial"/>
                <w:b/>
                <w:sz w:val="18"/>
                <w:szCs w:val="18"/>
              </w:rPr>
              <w:t xml:space="preserve"> to </w:t>
            </w:r>
            <w:r w:rsidRPr="004E7D84">
              <w:rPr>
                <w:rFonts w:ascii="Arial" w:hAnsi="Arial" w:cs="Arial"/>
                <w:b/>
                <w:sz w:val="18"/>
                <w:szCs w:val="18"/>
              </w:rPr>
              <w:t>12,624</w:t>
            </w:r>
          </w:p>
        </w:tc>
        <w:tc>
          <w:tcPr>
            <w:tcW w:w="990" w:type="dxa"/>
            <w:vAlign w:val="center"/>
          </w:tcPr>
          <w:p w:rsidRPr="00415776" w:rsidR="003059D1" w:rsidP="003059D1" w:rsidRDefault="003059D1" w14:paraId="3E9502B5" w14:textId="77777777">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1710" w:type="dxa"/>
            <w:vAlign w:val="center"/>
          </w:tcPr>
          <w:p w:rsidRPr="00415776" w:rsidR="003059D1" w:rsidP="004E7D84" w:rsidRDefault="004E7D84" w14:paraId="7595C174" w14:textId="435A6F4C">
            <w:pPr>
              <w:pStyle w:val="TableNote"/>
              <w:spacing w:after="0"/>
              <w:jc w:val="center"/>
              <w:rPr>
                <w:rFonts w:ascii="Arial" w:hAnsi="Arial" w:cs="Arial"/>
                <w:b/>
                <w:sz w:val="18"/>
                <w:szCs w:val="18"/>
              </w:rPr>
            </w:pPr>
            <w:r w:rsidRPr="004E7D84">
              <w:rPr>
                <w:rFonts w:ascii="Arial" w:hAnsi="Arial" w:cs="Arial"/>
                <w:b/>
                <w:sz w:val="18"/>
                <w:szCs w:val="18"/>
              </w:rPr>
              <w:t>467,081</w:t>
            </w:r>
            <w:r>
              <w:rPr>
                <w:rFonts w:ascii="Arial" w:hAnsi="Arial" w:cs="Arial"/>
                <w:b/>
                <w:sz w:val="18"/>
                <w:szCs w:val="18"/>
              </w:rPr>
              <w:t xml:space="preserve"> to </w:t>
            </w:r>
            <w:r w:rsidRPr="004E7D84">
              <w:rPr>
                <w:rFonts w:ascii="Arial" w:hAnsi="Arial" w:cs="Arial"/>
                <w:b/>
                <w:sz w:val="18"/>
                <w:szCs w:val="18"/>
              </w:rPr>
              <w:t>613,141</w:t>
            </w:r>
          </w:p>
        </w:tc>
        <w:tc>
          <w:tcPr>
            <w:tcW w:w="990" w:type="dxa"/>
            <w:vAlign w:val="center"/>
          </w:tcPr>
          <w:p w:rsidRPr="00415776" w:rsidR="003059D1" w:rsidP="003059D1" w:rsidRDefault="003059D1" w14:paraId="0D2B67F8" w14:textId="77777777">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2250" w:type="dxa"/>
            <w:vAlign w:val="center"/>
          </w:tcPr>
          <w:p w:rsidRPr="00415776" w:rsidR="003059D1" w:rsidP="004E7D84" w:rsidRDefault="004E7D84" w14:paraId="55404D10" w14:textId="0F3C88C4">
            <w:pPr>
              <w:pStyle w:val="TableNote"/>
              <w:spacing w:after="0"/>
              <w:jc w:val="right"/>
              <w:rPr>
                <w:rFonts w:ascii="Arial" w:hAnsi="Arial" w:cs="Arial"/>
                <w:b/>
                <w:sz w:val="18"/>
                <w:szCs w:val="18"/>
              </w:rPr>
            </w:pPr>
            <w:r w:rsidRPr="004E7D84">
              <w:rPr>
                <w:rFonts w:ascii="Arial" w:hAnsi="Arial" w:cs="Arial"/>
                <w:b/>
                <w:sz w:val="18"/>
                <w:szCs w:val="18"/>
              </w:rPr>
              <w:t>$15,970,421</w:t>
            </w:r>
            <w:r>
              <w:rPr>
                <w:rFonts w:ascii="Arial" w:hAnsi="Arial" w:cs="Arial"/>
                <w:b/>
                <w:sz w:val="18"/>
                <w:szCs w:val="18"/>
              </w:rPr>
              <w:t xml:space="preserve"> to </w:t>
            </w:r>
            <w:r w:rsidRPr="004E7D84">
              <w:rPr>
                <w:rFonts w:ascii="Arial" w:hAnsi="Arial" w:cs="Arial"/>
                <w:b/>
                <w:sz w:val="18"/>
                <w:szCs w:val="18"/>
              </w:rPr>
              <w:t>$20,816,484</w:t>
            </w:r>
          </w:p>
        </w:tc>
      </w:tr>
      <w:tr w:rsidRPr="00415776" w:rsidR="003059D1" w:rsidTr="0049228A" w14:paraId="673B741D" w14:textId="77777777">
        <w:tc>
          <w:tcPr>
            <w:tcW w:w="2155" w:type="dxa"/>
            <w:vAlign w:val="center"/>
          </w:tcPr>
          <w:p w:rsidRPr="00415776" w:rsidR="003059D1" w:rsidP="003059D1" w:rsidRDefault="003059D1" w14:paraId="125022F3" w14:textId="77777777">
            <w:pPr>
              <w:pStyle w:val="TableNote"/>
              <w:spacing w:after="0"/>
              <w:rPr>
                <w:rFonts w:ascii="Arial" w:hAnsi="Arial" w:cs="Arial"/>
                <w:b/>
                <w:sz w:val="18"/>
                <w:szCs w:val="18"/>
              </w:rPr>
            </w:pPr>
            <w:r w:rsidRPr="00415776">
              <w:rPr>
                <w:rFonts w:ascii="Arial" w:hAnsi="Arial" w:cs="Arial"/>
                <w:b/>
                <w:sz w:val="18"/>
                <w:szCs w:val="18"/>
              </w:rPr>
              <w:t>Annual Average</w:t>
            </w:r>
          </w:p>
        </w:tc>
        <w:tc>
          <w:tcPr>
            <w:tcW w:w="1260" w:type="dxa"/>
            <w:vAlign w:val="center"/>
          </w:tcPr>
          <w:p w:rsidRPr="00415776" w:rsidR="003059D1" w:rsidP="003059D1" w:rsidRDefault="003059D1" w14:paraId="2759829F" w14:textId="77777777">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990" w:type="dxa"/>
            <w:vAlign w:val="center"/>
          </w:tcPr>
          <w:p w:rsidRPr="00415776" w:rsidR="003059D1" w:rsidP="003059D1" w:rsidRDefault="003059D1" w14:paraId="2FF4C609" w14:textId="77777777">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1710" w:type="dxa"/>
            <w:vAlign w:val="center"/>
          </w:tcPr>
          <w:p w:rsidRPr="00415776" w:rsidR="003059D1" w:rsidP="003059D1" w:rsidRDefault="004E7D84" w14:paraId="5C5E0A8E" w14:textId="37E33ED4">
            <w:pPr>
              <w:pStyle w:val="TableNote"/>
              <w:spacing w:after="0"/>
              <w:jc w:val="center"/>
              <w:rPr>
                <w:rFonts w:ascii="Arial" w:hAnsi="Arial" w:cs="Arial"/>
                <w:b/>
                <w:sz w:val="18"/>
                <w:szCs w:val="18"/>
              </w:rPr>
            </w:pPr>
            <w:r>
              <w:rPr>
                <w:rFonts w:ascii="Arial" w:hAnsi="Arial" w:cs="Arial"/>
                <w:b/>
                <w:sz w:val="18"/>
                <w:szCs w:val="18"/>
              </w:rPr>
              <w:t xml:space="preserve">155,694 to </w:t>
            </w:r>
            <w:r w:rsidRPr="004E7D84">
              <w:rPr>
                <w:rFonts w:ascii="Arial" w:hAnsi="Arial" w:cs="Arial"/>
                <w:b/>
                <w:sz w:val="18"/>
                <w:szCs w:val="18"/>
              </w:rPr>
              <w:t>204,380</w:t>
            </w:r>
          </w:p>
        </w:tc>
        <w:tc>
          <w:tcPr>
            <w:tcW w:w="990" w:type="dxa"/>
            <w:vAlign w:val="center"/>
          </w:tcPr>
          <w:p w:rsidRPr="00415776" w:rsidR="003059D1" w:rsidP="003059D1" w:rsidRDefault="003059D1" w14:paraId="1EC7C7C6" w14:textId="77777777">
            <w:pPr>
              <w:pStyle w:val="TableNote"/>
              <w:spacing w:after="0"/>
              <w:jc w:val="center"/>
              <w:rPr>
                <w:rFonts w:ascii="Arial" w:hAnsi="Arial" w:cs="Arial"/>
                <w:b/>
                <w:sz w:val="18"/>
                <w:szCs w:val="18"/>
              </w:rPr>
            </w:pPr>
            <w:r w:rsidRPr="00415776">
              <w:rPr>
                <w:rFonts w:ascii="Arial" w:hAnsi="Arial" w:cs="Arial"/>
                <w:b/>
                <w:sz w:val="18"/>
                <w:szCs w:val="18"/>
              </w:rPr>
              <w:t>not applicable</w:t>
            </w:r>
          </w:p>
        </w:tc>
        <w:tc>
          <w:tcPr>
            <w:tcW w:w="2250" w:type="dxa"/>
            <w:vAlign w:val="center"/>
          </w:tcPr>
          <w:p w:rsidRPr="00415776" w:rsidR="003059D1" w:rsidP="003059D1" w:rsidRDefault="004E7D84" w14:paraId="7147B6C4" w14:textId="0521FD35">
            <w:pPr>
              <w:pStyle w:val="TableNote"/>
              <w:spacing w:after="0"/>
              <w:jc w:val="right"/>
              <w:rPr>
                <w:rFonts w:ascii="Arial" w:hAnsi="Arial" w:cs="Arial"/>
                <w:b/>
                <w:sz w:val="18"/>
                <w:szCs w:val="18"/>
              </w:rPr>
            </w:pPr>
            <w:r>
              <w:rPr>
                <w:rFonts w:ascii="Arial" w:hAnsi="Arial" w:cs="Arial"/>
                <w:b/>
                <w:sz w:val="18"/>
                <w:szCs w:val="18"/>
              </w:rPr>
              <w:t xml:space="preserve">$5,323,474 to </w:t>
            </w:r>
            <w:r w:rsidRPr="004E7D84">
              <w:rPr>
                <w:rFonts w:ascii="Arial" w:hAnsi="Arial" w:cs="Arial"/>
                <w:b/>
                <w:sz w:val="18"/>
                <w:szCs w:val="18"/>
              </w:rPr>
              <w:t>$6,938,828</w:t>
            </w:r>
          </w:p>
        </w:tc>
      </w:tr>
    </w:tbl>
    <w:p w:rsidR="004750F7" w:rsidP="004750F7" w:rsidRDefault="004750F7" w14:paraId="4BA3F44F" w14:textId="3BDE3961">
      <w:pPr>
        <w:pStyle w:val="TableNote"/>
      </w:pPr>
      <w:r>
        <w:t>Notes: Detail may not add exactly to total due to independent rounding.</w:t>
      </w:r>
      <w:r w:rsidR="00313D27">
        <w:t xml:space="preserve"> Ranges shown reflect the </w:t>
      </w:r>
      <w:r w:rsidR="00C45241">
        <w:t>low-cost</w:t>
      </w:r>
      <w:r w:rsidR="00313D27">
        <w:t xml:space="preserve"> scenario to the high cost scenario. For some individual respondent categories, the number of respondents, burden, and cost are lower in the high cost scenario. However, the total burden and cost across all systems is higher in the high cost scenario.</w:t>
      </w:r>
    </w:p>
    <w:p w:rsidR="004F0396" w:rsidP="004F0396" w:rsidRDefault="004F0396" w14:paraId="6BE047DF" w14:textId="77777777">
      <w:pPr>
        <w:pStyle w:val="Caption"/>
        <w:rPr>
          <w:noProof/>
        </w:rPr>
      </w:pPr>
      <w:bookmarkStart w:name="_Ref4698634" w:id="38"/>
      <w:r>
        <w:lastRenderedPageBreak/>
        <w:t xml:space="preserve">Exhibit </w:t>
      </w:r>
      <w:r>
        <w:rPr>
          <w:noProof/>
        </w:rPr>
        <w:fldChar w:fldCharType="begin"/>
      </w:r>
      <w:r>
        <w:rPr>
          <w:noProof/>
        </w:rPr>
        <w:instrText xml:space="preserve"> SEQ Exhibit \* ARABIC </w:instrText>
      </w:r>
      <w:r>
        <w:rPr>
          <w:noProof/>
        </w:rPr>
        <w:fldChar w:fldCharType="separate"/>
      </w:r>
      <w:r w:rsidR="00106B5A">
        <w:rPr>
          <w:noProof/>
        </w:rPr>
        <w:t>7</w:t>
      </w:r>
      <w:r>
        <w:rPr>
          <w:noProof/>
        </w:rPr>
        <w:fldChar w:fldCharType="end"/>
      </w:r>
      <w:bookmarkEnd w:id="38"/>
      <w:r>
        <w:rPr>
          <w:noProof/>
        </w:rPr>
        <w:t xml:space="preserve">. </w:t>
      </w:r>
      <w:r w:rsidRPr="004F0396">
        <w:rPr>
          <w:noProof/>
        </w:rPr>
        <w:t xml:space="preserve">Burden and Costs for </w:t>
      </w:r>
      <w:r>
        <w:rPr>
          <w:noProof/>
        </w:rPr>
        <w:t xml:space="preserve">Public Water Systems </w:t>
      </w:r>
      <w:r w:rsidRPr="004F0396">
        <w:rPr>
          <w:noProof/>
        </w:rPr>
        <w:t>Preparing Demonstrations of no Lead Service Lines</w:t>
      </w:r>
    </w:p>
    <w:tbl>
      <w:tblPr>
        <w:tblStyle w:val="TableGrid"/>
        <w:tblW w:w="9355" w:type="dxa"/>
        <w:tblLayout w:type="fixed"/>
        <w:tblCellMar>
          <w:left w:w="43" w:type="dxa"/>
          <w:right w:w="43" w:type="dxa"/>
        </w:tblCellMar>
        <w:tblLook w:val="04A0" w:firstRow="1" w:lastRow="0" w:firstColumn="1" w:lastColumn="0" w:noHBand="0" w:noVBand="1"/>
      </w:tblPr>
      <w:tblGrid>
        <w:gridCol w:w="1885"/>
        <w:gridCol w:w="1530"/>
        <w:gridCol w:w="990"/>
        <w:gridCol w:w="1800"/>
        <w:gridCol w:w="990"/>
        <w:gridCol w:w="2160"/>
      </w:tblGrid>
      <w:tr w:rsidRPr="003613B6" w:rsidR="00D143D9" w:rsidTr="0049228A" w14:paraId="077ACDA2" w14:textId="77777777">
        <w:trPr>
          <w:trHeight w:val="540"/>
          <w:tblHeader/>
        </w:trPr>
        <w:tc>
          <w:tcPr>
            <w:tcW w:w="1885" w:type="dxa"/>
            <w:vAlign w:val="center"/>
            <w:hideMark/>
          </w:tcPr>
          <w:p w:rsidRPr="003613B6" w:rsidR="003613B6" w:rsidP="00D8246F" w:rsidRDefault="00313D27" w14:paraId="163239AA" w14:textId="28BA0AA2">
            <w:pPr>
              <w:pStyle w:val="Table"/>
              <w:jc w:val="center"/>
              <w:rPr>
                <w:b/>
                <w:sz w:val="18"/>
              </w:rPr>
            </w:pPr>
            <w:r w:rsidRPr="003613B6">
              <w:rPr>
                <w:b/>
                <w:sz w:val="18"/>
              </w:rPr>
              <w:t>Respondent service population size category</w:t>
            </w:r>
            <w:r>
              <w:rPr>
                <w:b/>
                <w:sz w:val="18"/>
              </w:rPr>
              <w:t xml:space="preserve"> and type</w:t>
            </w:r>
          </w:p>
        </w:tc>
        <w:tc>
          <w:tcPr>
            <w:tcW w:w="1530" w:type="dxa"/>
            <w:vAlign w:val="center"/>
            <w:hideMark/>
          </w:tcPr>
          <w:p w:rsidRPr="003613B6" w:rsidR="003613B6" w:rsidP="00A251BF" w:rsidRDefault="003613B6" w14:paraId="1FDAE7C8" w14:textId="77777777">
            <w:pPr>
              <w:pStyle w:val="Table"/>
              <w:jc w:val="center"/>
              <w:rPr>
                <w:b/>
                <w:sz w:val="18"/>
              </w:rPr>
            </w:pPr>
            <w:r w:rsidRPr="003613B6">
              <w:rPr>
                <w:b/>
                <w:sz w:val="18"/>
              </w:rPr>
              <w:t>Respondents</w:t>
            </w:r>
          </w:p>
        </w:tc>
        <w:tc>
          <w:tcPr>
            <w:tcW w:w="990" w:type="dxa"/>
            <w:vAlign w:val="center"/>
            <w:hideMark/>
          </w:tcPr>
          <w:p w:rsidRPr="003613B6" w:rsidR="003613B6" w:rsidP="00A251BF" w:rsidRDefault="009B0677" w14:paraId="2BFA9FE6" w14:textId="77777777">
            <w:pPr>
              <w:pStyle w:val="Table"/>
              <w:jc w:val="center"/>
              <w:rPr>
                <w:b/>
                <w:sz w:val="18"/>
              </w:rPr>
            </w:pPr>
            <w:r>
              <w:rPr>
                <w:b/>
                <w:sz w:val="18"/>
              </w:rPr>
              <w:t>Burden per R</w:t>
            </w:r>
            <w:r w:rsidRPr="003613B6" w:rsidR="003613B6">
              <w:rPr>
                <w:b/>
                <w:sz w:val="18"/>
              </w:rPr>
              <w:t>esponse</w:t>
            </w:r>
            <w:r>
              <w:rPr>
                <w:b/>
                <w:sz w:val="18"/>
              </w:rPr>
              <w:t xml:space="preserve"> (hours)</w:t>
            </w:r>
          </w:p>
        </w:tc>
        <w:tc>
          <w:tcPr>
            <w:tcW w:w="1800" w:type="dxa"/>
            <w:vAlign w:val="center"/>
            <w:hideMark/>
          </w:tcPr>
          <w:p w:rsidRPr="003613B6" w:rsidR="003613B6" w:rsidP="00036E51" w:rsidRDefault="003613B6" w14:paraId="48D515E4" w14:textId="77777777">
            <w:pPr>
              <w:pStyle w:val="Table"/>
              <w:jc w:val="center"/>
              <w:rPr>
                <w:b/>
                <w:sz w:val="18"/>
              </w:rPr>
            </w:pPr>
            <w:r w:rsidRPr="003613B6">
              <w:rPr>
                <w:b/>
                <w:sz w:val="18"/>
              </w:rPr>
              <w:t>Burden</w:t>
            </w:r>
            <w:r w:rsidR="009B0677">
              <w:rPr>
                <w:b/>
                <w:sz w:val="18"/>
              </w:rPr>
              <w:t xml:space="preserve"> (hours)</w:t>
            </w:r>
          </w:p>
        </w:tc>
        <w:tc>
          <w:tcPr>
            <w:tcW w:w="990" w:type="dxa"/>
            <w:vAlign w:val="center"/>
            <w:hideMark/>
          </w:tcPr>
          <w:p w:rsidRPr="003613B6" w:rsidR="003613B6" w:rsidP="00036E51" w:rsidRDefault="003613B6" w14:paraId="31B5B5C7" w14:textId="77777777">
            <w:pPr>
              <w:pStyle w:val="Table"/>
              <w:jc w:val="center"/>
              <w:rPr>
                <w:b/>
                <w:sz w:val="18"/>
              </w:rPr>
            </w:pPr>
            <w:r w:rsidRPr="003613B6">
              <w:rPr>
                <w:b/>
                <w:sz w:val="18"/>
              </w:rPr>
              <w:t>Labor Rate ($/hour)</w:t>
            </w:r>
          </w:p>
        </w:tc>
        <w:tc>
          <w:tcPr>
            <w:tcW w:w="2160" w:type="dxa"/>
            <w:vAlign w:val="center"/>
            <w:hideMark/>
          </w:tcPr>
          <w:p w:rsidRPr="003613B6" w:rsidR="003613B6" w:rsidP="00446AC8" w:rsidRDefault="003613B6" w14:paraId="230B66FD" w14:textId="77777777">
            <w:pPr>
              <w:pStyle w:val="Table"/>
              <w:jc w:val="center"/>
              <w:rPr>
                <w:b/>
                <w:sz w:val="18"/>
              </w:rPr>
            </w:pPr>
            <w:r w:rsidRPr="003613B6">
              <w:rPr>
                <w:b/>
                <w:sz w:val="18"/>
              </w:rPr>
              <w:t>Cost</w:t>
            </w:r>
            <w:r w:rsidR="009B0677">
              <w:rPr>
                <w:b/>
                <w:sz w:val="18"/>
              </w:rPr>
              <w:t xml:space="preserve"> </w:t>
            </w:r>
            <w:r w:rsidR="009B0677">
              <w:rPr>
                <w:b/>
                <w:bCs/>
                <w:sz w:val="18"/>
              </w:rPr>
              <w:t>(2016 dollars)</w:t>
            </w:r>
          </w:p>
        </w:tc>
      </w:tr>
      <w:tr w:rsidRPr="003613B6" w:rsidR="00D143D9" w:rsidTr="004E7D84" w14:paraId="60ABCB96" w14:textId="77777777">
        <w:trPr>
          <w:trHeight w:val="300"/>
        </w:trPr>
        <w:tc>
          <w:tcPr>
            <w:tcW w:w="1885" w:type="dxa"/>
            <w:vAlign w:val="center"/>
            <w:hideMark/>
          </w:tcPr>
          <w:p w:rsidRPr="003613B6" w:rsidR="002462E6" w:rsidP="002462E6" w:rsidRDefault="002462E6" w14:paraId="0D2F6B8A" w14:textId="0A52BB77">
            <w:pPr>
              <w:pStyle w:val="Table"/>
              <w:rPr>
                <w:sz w:val="18"/>
              </w:rPr>
            </w:pPr>
            <w:r>
              <w:rPr>
                <w:color w:val="000000"/>
                <w:sz w:val="18"/>
                <w:szCs w:val="18"/>
              </w:rPr>
              <w:t>&lt;=100, CWS</w:t>
            </w:r>
          </w:p>
        </w:tc>
        <w:tc>
          <w:tcPr>
            <w:tcW w:w="1530" w:type="dxa"/>
            <w:tcMar>
              <w:left w:w="115" w:type="dxa"/>
              <w:right w:w="360" w:type="dxa"/>
            </w:tcMar>
            <w:vAlign w:val="center"/>
          </w:tcPr>
          <w:p w:rsidRPr="003613B6" w:rsidR="002462E6" w:rsidP="004E7D84" w:rsidRDefault="004E7D84" w14:paraId="6F3D3CA3" w14:textId="48340BE9">
            <w:pPr>
              <w:pStyle w:val="Table"/>
              <w:ind w:right="-252"/>
              <w:jc w:val="right"/>
              <w:rPr>
                <w:sz w:val="18"/>
              </w:rPr>
            </w:pPr>
            <w:r w:rsidRPr="004E7D84">
              <w:rPr>
                <w:sz w:val="18"/>
              </w:rPr>
              <w:t>8,463</w:t>
            </w:r>
            <w:r>
              <w:rPr>
                <w:sz w:val="18"/>
              </w:rPr>
              <w:t xml:space="preserve"> to </w:t>
            </w:r>
            <w:r w:rsidRPr="004E7D84">
              <w:rPr>
                <w:sz w:val="18"/>
              </w:rPr>
              <w:t>9,057</w:t>
            </w:r>
          </w:p>
        </w:tc>
        <w:tc>
          <w:tcPr>
            <w:tcW w:w="990" w:type="dxa"/>
            <w:vAlign w:val="center"/>
            <w:hideMark/>
          </w:tcPr>
          <w:p w:rsidRPr="003613B6" w:rsidR="002462E6" w:rsidP="0049228A" w:rsidRDefault="002462E6" w14:paraId="1B4C1933" w14:textId="31FD2638">
            <w:pPr>
              <w:pStyle w:val="Table"/>
              <w:jc w:val="right"/>
              <w:rPr>
                <w:sz w:val="18"/>
              </w:rPr>
            </w:pPr>
            <w:r>
              <w:rPr>
                <w:color w:val="000000"/>
                <w:sz w:val="18"/>
                <w:szCs w:val="18"/>
              </w:rPr>
              <w:t>10</w:t>
            </w:r>
          </w:p>
        </w:tc>
        <w:tc>
          <w:tcPr>
            <w:tcW w:w="1800" w:type="dxa"/>
            <w:tcMar>
              <w:left w:w="115" w:type="dxa"/>
              <w:right w:w="360" w:type="dxa"/>
            </w:tcMar>
            <w:vAlign w:val="center"/>
          </w:tcPr>
          <w:p w:rsidRPr="00986121" w:rsidR="002462E6" w:rsidP="00805071" w:rsidRDefault="00805071" w14:paraId="516F873A" w14:textId="7BDD5341">
            <w:pPr>
              <w:pStyle w:val="Table"/>
              <w:ind w:right="-270"/>
              <w:jc w:val="right"/>
              <w:rPr>
                <w:sz w:val="18"/>
                <w:szCs w:val="18"/>
              </w:rPr>
            </w:pPr>
            <w:r>
              <w:rPr>
                <w:sz w:val="18"/>
                <w:szCs w:val="18"/>
              </w:rPr>
              <w:t xml:space="preserve">84,630 to </w:t>
            </w:r>
            <w:r w:rsidRPr="00805071">
              <w:rPr>
                <w:sz w:val="18"/>
                <w:szCs w:val="18"/>
              </w:rPr>
              <w:t>90,570</w:t>
            </w:r>
          </w:p>
        </w:tc>
        <w:tc>
          <w:tcPr>
            <w:tcW w:w="990" w:type="dxa"/>
            <w:vAlign w:val="center"/>
            <w:hideMark/>
          </w:tcPr>
          <w:p w:rsidRPr="003613B6" w:rsidR="002462E6" w:rsidP="0049228A" w:rsidRDefault="002462E6" w14:paraId="3EA3A3C5" w14:textId="77777777">
            <w:pPr>
              <w:pStyle w:val="Table"/>
              <w:jc w:val="right"/>
              <w:rPr>
                <w:sz w:val="18"/>
              </w:rPr>
            </w:pPr>
            <w:r w:rsidRPr="003613B6">
              <w:rPr>
                <w:sz w:val="18"/>
              </w:rPr>
              <w:t>$28.64</w:t>
            </w:r>
          </w:p>
        </w:tc>
        <w:tc>
          <w:tcPr>
            <w:tcW w:w="2160" w:type="dxa"/>
            <w:noWrap/>
            <w:tcMar>
              <w:left w:w="115" w:type="dxa"/>
              <w:right w:w="288" w:type="dxa"/>
            </w:tcMar>
            <w:vAlign w:val="center"/>
          </w:tcPr>
          <w:p w:rsidRPr="00986121" w:rsidR="002462E6" w:rsidP="006E76CA" w:rsidRDefault="006E76CA" w14:paraId="26CEA565" w14:textId="0FDAE9EA">
            <w:pPr>
              <w:pStyle w:val="Table"/>
              <w:ind w:right="-198"/>
              <w:jc w:val="right"/>
              <w:rPr>
                <w:sz w:val="18"/>
                <w:szCs w:val="18"/>
              </w:rPr>
            </w:pPr>
            <w:r>
              <w:rPr>
                <w:sz w:val="18"/>
                <w:szCs w:val="18"/>
              </w:rPr>
              <w:t>$2,423,803 to</w:t>
            </w:r>
            <w:r w:rsidRPr="006E76CA">
              <w:rPr>
                <w:sz w:val="18"/>
                <w:szCs w:val="18"/>
              </w:rPr>
              <w:t xml:space="preserve"> $2,593,925</w:t>
            </w:r>
          </w:p>
        </w:tc>
      </w:tr>
      <w:tr w:rsidRPr="003613B6" w:rsidR="00D143D9" w:rsidTr="004E7D84" w14:paraId="0F9AA366" w14:textId="77777777">
        <w:trPr>
          <w:trHeight w:val="300"/>
        </w:trPr>
        <w:tc>
          <w:tcPr>
            <w:tcW w:w="1885" w:type="dxa"/>
            <w:vAlign w:val="center"/>
            <w:hideMark/>
          </w:tcPr>
          <w:p w:rsidRPr="003613B6" w:rsidR="002462E6" w:rsidP="002462E6" w:rsidRDefault="002462E6" w14:paraId="39AE26AA" w14:textId="393C3F15">
            <w:pPr>
              <w:pStyle w:val="Table"/>
              <w:rPr>
                <w:sz w:val="18"/>
              </w:rPr>
            </w:pPr>
            <w:r>
              <w:rPr>
                <w:color w:val="000000"/>
                <w:sz w:val="18"/>
                <w:szCs w:val="18"/>
              </w:rPr>
              <w:t>101-500, CWS</w:t>
            </w:r>
          </w:p>
        </w:tc>
        <w:tc>
          <w:tcPr>
            <w:tcW w:w="1530" w:type="dxa"/>
            <w:tcMar>
              <w:left w:w="115" w:type="dxa"/>
              <w:right w:w="360" w:type="dxa"/>
            </w:tcMar>
            <w:vAlign w:val="center"/>
          </w:tcPr>
          <w:p w:rsidRPr="003613B6" w:rsidR="002462E6" w:rsidP="004E7D84" w:rsidRDefault="004E7D84" w14:paraId="690E142F" w14:textId="665ED413">
            <w:pPr>
              <w:pStyle w:val="Table"/>
              <w:ind w:right="-252"/>
              <w:jc w:val="right"/>
              <w:rPr>
                <w:sz w:val="18"/>
              </w:rPr>
            </w:pPr>
            <w:r>
              <w:rPr>
                <w:sz w:val="18"/>
              </w:rPr>
              <w:t xml:space="preserve">10,549 to </w:t>
            </w:r>
            <w:r w:rsidRPr="004E7D84">
              <w:rPr>
                <w:sz w:val="18"/>
              </w:rPr>
              <w:t>10,616</w:t>
            </w:r>
          </w:p>
        </w:tc>
        <w:tc>
          <w:tcPr>
            <w:tcW w:w="990" w:type="dxa"/>
            <w:vAlign w:val="center"/>
            <w:hideMark/>
          </w:tcPr>
          <w:p w:rsidRPr="003613B6" w:rsidR="002462E6" w:rsidP="0049228A" w:rsidRDefault="002462E6" w14:paraId="5C293367" w14:textId="38E14690">
            <w:pPr>
              <w:pStyle w:val="Table"/>
              <w:jc w:val="right"/>
              <w:rPr>
                <w:sz w:val="18"/>
              </w:rPr>
            </w:pPr>
            <w:r>
              <w:rPr>
                <w:color w:val="000000"/>
                <w:sz w:val="18"/>
                <w:szCs w:val="18"/>
              </w:rPr>
              <w:t>10</w:t>
            </w:r>
          </w:p>
        </w:tc>
        <w:tc>
          <w:tcPr>
            <w:tcW w:w="1800" w:type="dxa"/>
            <w:tcMar>
              <w:left w:w="115" w:type="dxa"/>
              <w:right w:w="360" w:type="dxa"/>
            </w:tcMar>
            <w:vAlign w:val="center"/>
          </w:tcPr>
          <w:p w:rsidRPr="00986121" w:rsidR="002462E6" w:rsidP="00805071" w:rsidRDefault="00805071" w14:paraId="33A5D893" w14:textId="57F842F5">
            <w:pPr>
              <w:pStyle w:val="Table"/>
              <w:ind w:right="-270"/>
              <w:jc w:val="right"/>
              <w:rPr>
                <w:sz w:val="18"/>
                <w:szCs w:val="18"/>
              </w:rPr>
            </w:pPr>
            <w:r>
              <w:rPr>
                <w:sz w:val="18"/>
                <w:szCs w:val="18"/>
              </w:rPr>
              <w:t xml:space="preserve">105,490 to </w:t>
            </w:r>
            <w:r w:rsidRPr="00805071">
              <w:rPr>
                <w:sz w:val="18"/>
                <w:szCs w:val="18"/>
              </w:rPr>
              <w:t>106,160</w:t>
            </w:r>
          </w:p>
        </w:tc>
        <w:tc>
          <w:tcPr>
            <w:tcW w:w="990" w:type="dxa"/>
            <w:vAlign w:val="center"/>
            <w:hideMark/>
          </w:tcPr>
          <w:p w:rsidRPr="003613B6" w:rsidR="002462E6" w:rsidP="0049228A" w:rsidRDefault="002462E6" w14:paraId="7C72574A" w14:textId="77777777">
            <w:pPr>
              <w:pStyle w:val="Table"/>
              <w:jc w:val="right"/>
              <w:rPr>
                <w:sz w:val="18"/>
              </w:rPr>
            </w:pPr>
            <w:r w:rsidRPr="003613B6">
              <w:rPr>
                <w:sz w:val="18"/>
              </w:rPr>
              <w:t>$28.64</w:t>
            </w:r>
          </w:p>
        </w:tc>
        <w:tc>
          <w:tcPr>
            <w:tcW w:w="2160" w:type="dxa"/>
            <w:noWrap/>
            <w:tcMar>
              <w:left w:w="115" w:type="dxa"/>
              <w:right w:w="288" w:type="dxa"/>
            </w:tcMar>
            <w:vAlign w:val="center"/>
          </w:tcPr>
          <w:p w:rsidRPr="00986121" w:rsidR="002462E6" w:rsidP="006E76CA" w:rsidRDefault="006E76CA" w14:paraId="498BB48F" w14:textId="6032DAE4">
            <w:pPr>
              <w:pStyle w:val="Table"/>
              <w:ind w:right="-198"/>
              <w:jc w:val="right"/>
              <w:rPr>
                <w:sz w:val="18"/>
                <w:szCs w:val="18"/>
              </w:rPr>
            </w:pPr>
            <w:r>
              <w:rPr>
                <w:sz w:val="18"/>
                <w:szCs w:val="18"/>
              </w:rPr>
              <w:t xml:space="preserve">$3,021,234 to </w:t>
            </w:r>
            <w:r w:rsidRPr="006E76CA">
              <w:rPr>
                <w:sz w:val="18"/>
                <w:szCs w:val="18"/>
              </w:rPr>
              <w:t>$3,040,422</w:t>
            </w:r>
          </w:p>
        </w:tc>
      </w:tr>
      <w:tr w:rsidRPr="003613B6" w:rsidR="00D143D9" w:rsidTr="004E7D84" w14:paraId="44C7FF0D" w14:textId="77777777">
        <w:trPr>
          <w:trHeight w:val="300"/>
        </w:trPr>
        <w:tc>
          <w:tcPr>
            <w:tcW w:w="1885" w:type="dxa"/>
            <w:vAlign w:val="center"/>
            <w:hideMark/>
          </w:tcPr>
          <w:p w:rsidRPr="003613B6" w:rsidR="002462E6" w:rsidP="002462E6" w:rsidRDefault="002462E6" w14:paraId="3A7B448A" w14:textId="1ABE7EBE">
            <w:pPr>
              <w:pStyle w:val="Table"/>
              <w:rPr>
                <w:sz w:val="18"/>
              </w:rPr>
            </w:pPr>
            <w:r>
              <w:rPr>
                <w:color w:val="000000"/>
                <w:sz w:val="18"/>
                <w:szCs w:val="18"/>
              </w:rPr>
              <w:t>501-1,000, CWS</w:t>
            </w:r>
          </w:p>
        </w:tc>
        <w:tc>
          <w:tcPr>
            <w:tcW w:w="1530" w:type="dxa"/>
            <w:tcMar>
              <w:left w:w="115" w:type="dxa"/>
              <w:right w:w="360" w:type="dxa"/>
            </w:tcMar>
            <w:vAlign w:val="center"/>
          </w:tcPr>
          <w:p w:rsidRPr="003613B6" w:rsidR="002462E6" w:rsidP="004E7D84" w:rsidRDefault="004E7D84" w14:paraId="26013CB9" w14:textId="57CA333C">
            <w:pPr>
              <w:pStyle w:val="Table"/>
              <w:ind w:right="-252"/>
              <w:jc w:val="right"/>
              <w:rPr>
                <w:sz w:val="18"/>
              </w:rPr>
            </w:pPr>
            <w:r>
              <w:rPr>
                <w:sz w:val="18"/>
              </w:rPr>
              <w:t xml:space="preserve">3,531 to </w:t>
            </w:r>
            <w:r w:rsidRPr="004E7D84">
              <w:rPr>
                <w:sz w:val="18"/>
              </w:rPr>
              <w:t>2,778</w:t>
            </w:r>
          </w:p>
        </w:tc>
        <w:tc>
          <w:tcPr>
            <w:tcW w:w="990" w:type="dxa"/>
            <w:vAlign w:val="center"/>
            <w:hideMark/>
          </w:tcPr>
          <w:p w:rsidRPr="003613B6" w:rsidR="002462E6" w:rsidP="0049228A" w:rsidRDefault="002462E6" w14:paraId="18834FD7" w14:textId="3C5051DC">
            <w:pPr>
              <w:pStyle w:val="Table"/>
              <w:jc w:val="right"/>
              <w:rPr>
                <w:sz w:val="18"/>
              </w:rPr>
            </w:pPr>
            <w:r>
              <w:rPr>
                <w:color w:val="000000"/>
                <w:sz w:val="18"/>
                <w:szCs w:val="18"/>
              </w:rPr>
              <w:t>10</w:t>
            </w:r>
          </w:p>
        </w:tc>
        <w:tc>
          <w:tcPr>
            <w:tcW w:w="1800" w:type="dxa"/>
            <w:tcMar>
              <w:left w:w="115" w:type="dxa"/>
              <w:right w:w="360" w:type="dxa"/>
            </w:tcMar>
            <w:vAlign w:val="center"/>
          </w:tcPr>
          <w:p w:rsidRPr="00986121" w:rsidR="002462E6" w:rsidP="00805071" w:rsidRDefault="00805071" w14:paraId="009A9B4A" w14:textId="21E2B126">
            <w:pPr>
              <w:pStyle w:val="Table"/>
              <w:ind w:right="-270"/>
              <w:jc w:val="right"/>
              <w:rPr>
                <w:sz w:val="18"/>
                <w:szCs w:val="18"/>
              </w:rPr>
            </w:pPr>
            <w:r w:rsidRPr="00805071">
              <w:rPr>
                <w:sz w:val="18"/>
                <w:szCs w:val="18"/>
              </w:rPr>
              <w:t>35,310</w:t>
            </w:r>
            <w:r>
              <w:rPr>
                <w:sz w:val="18"/>
                <w:szCs w:val="18"/>
              </w:rPr>
              <w:t xml:space="preserve"> to 2</w:t>
            </w:r>
            <w:r w:rsidRPr="00805071">
              <w:rPr>
                <w:sz w:val="18"/>
                <w:szCs w:val="18"/>
              </w:rPr>
              <w:t>7,780</w:t>
            </w:r>
          </w:p>
        </w:tc>
        <w:tc>
          <w:tcPr>
            <w:tcW w:w="990" w:type="dxa"/>
            <w:vAlign w:val="center"/>
            <w:hideMark/>
          </w:tcPr>
          <w:p w:rsidRPr="003613B6" w:rsidR="002462E6" w:rsidP="0049228A" w:rsidRDefault="002462E6" w14:paraId="4644117E" w14:textId="77777777">
            <w:pPr>
              <w:pStyle w:val="Table"/>
              <w:jc w:val="right"/>
              <w:rPr>
                <w:sz w:val="18"/>
              </w:rPr>
            </w:pPr>
            <w:r w:rsidRPr="003613B6">
              <w:rPr>
                <w:sz w:val="18"/>
              </w:rPr>
              <w:t>$28.64</w:t>
            </w:r>
          </w:p>
        </w:tc>
        <w:tc>
          <w:tcPr>
            <w:tcW w:w="2160" w:type="dxa"/>
            <w:noWrap/>
            <w:tcMar>
              <w:left w:w="115" w:type="dxa"/>
              <w:right w:w="288" w:type="dxa"/>
            </w:tcMar>
            <w:vAlign w:val="center"/>
          </w:tcPr>
          <w:p w:rsidRPr="00986121" w:rsidR="002462E6" w:rsidP="006E76CA" w:rsidRDefault="006E76CA" w14:paraId="3C5FDDAD" w14:textId="2BAE7FB4">
            <w:pPr>
              <w:pStyle w:val="Table"/>
              <w:ind w:right="-198"/>
              <w:jc w:val="right"/>
              <w:rPr>
                <w:sz w:val="18"/>
                <w:szCs w:val="18"/>
              </w:rPr>
            </w:pPr>
            <w:r>
              <w:rPr>
                <w:sz w:val="18"/>
                <w:szCs w:val="18"/>
              </w:rPr>
              <w:t xml:space="preserve">  $1,011,278 to </w:t>
            </w:r>
            <w:r w:rsidRPr="006E76CA">
              <w:rPr>
                <w:sz w:val="18"/>
                <w:szCs w:val="18"/>
              </w:rPr>
              <w:t>$795,619</w:t>
            </w:r>
          </w:p>
        </w:tc>
      </w:tr>
      <w:tr w:rsidRPr="003613B6" w:rsidR="00D143D9" w:rsidTr="004E7D84" w14:paraId="2B98D1EA" w14:textId="77777777">
        <w:trPr>
          <w:trHeight w:val="300"/>
        </w:trPr>
        <w:tc>
          <w:tcPr>
            <w:tcW w:w="1885" w:type="dxa"/>
            <w:vAlign w:val="center"/>
            <w:hideMark/>
          </w:tcPr>
          <w:p w:rsidRPr="003613B6" w:rsidR="002462E6" w:rsidP="002462E6" w:rsidRDefault="002462E6" w14:paraId="47908152" w14:textId="023B97EB">
            <w:pPr>
              <w:pStyle w:val="Table"/>
              <w:rPr>
                <w:sz w:val="18"/>
              </w:rPr>
            </w:pPr>
            <w:r>
              <w:rPr>
                <w:color w:val="000000"/>
                <w:sz w:val="18"/>
                <w:szCs w:val="18"/>
              </w:rPr>
              <w:t>1,001-3,300, CWS</w:t>
            </w:r>
          </w:p>
        </w:tc>
        <w:tc>
          <w:tcPr>
            <w:tcW w:w="1530" w:type="dxa"/>
            <w:tcMar>
              <w:left w:w="115" w:type="dxa"/>
              <w:right w:w="360" w:type="dxa"/>
            </w:tcMar>
            <w:vAlign w:val="center"/>
          </w:tcPr>
          <w:p w:rsidRPr="003613B6" w:rsidR="002462E6" w:rsidP="004E7D84" w:rsidRDefault="004E7D84" w14:paraId="0DBDFA56" w14:textId="22E5BADE">
            <w:pPr>
              <w:pStyle w:val="Table"/>
              <w:ind w:right="-252"/>
              <w:jc w:val="right"/>
              <w:rPr>
                <w:sz w:val="18"/>
              </w:rPr>
            </w:pPr>
            <w:r>
              <w:rPr>
                <w:sz w:val="18"/>
              </w:rPr>
              <w:t xml:space="preserve">5,361 to </w:t>
            </w:r>
            <w:r w:rsidRPr="004E7D84">
              <w:rPr>
                <w:sz w:val="18"/>
              </w:rPr>
              <w:t>4,180</w:t>
            </w:r>
          </w:p>
        </w:tc>
        <w:tc>
          <w:tcPr>
            <w:tcW w:w="990" w:type="dxa"/>
            <w:vAlign w:val="center"/>
            <w:hideMark/>
          </w:tcPr>
          <w:p w:rsidRPr="003613B6" w:rsidR="002462E6" w:rsidP="0049228A" w:rsidRDefault="002462E6" w14:paraId="4C397D06" w14:textId="02AC8F75">
            <w:pPr>
              <w:pStyle w:val="Table"/>
              <w:jc w:val="right"/>
              <w:rPr>
                <w:sz w:val="18"/>
              </w:rPr>
            </w:pPr>
            <w:r>
              <w:rPr>
                <w:color w:val="000000"/>
                <w:sz w:val="18"/>
                <w:szCs w:val="18"/>
              </w:rPr>
              <w:t>10</w:t>
            </w:r>
          </w:p>
        </w:tc>
        <w:tc>
          <w:tcPr>
            <w:tcW w:w="1800" w:type="dxa"/>
            <w:tcMar>
              <w:left w:w="115" w:type="dxa"/>
              <w:right w:w="360" w:type="dxa"/>
            </w:tcMar>
            <w:vAlign w:val="center"/>
          </w:tcPr>
          <w:p w:rsidRPr="00986121" w:rsidR="002462E6" w:rsidP="00805071" w:rsidRDefault="00805071" w14:paraId="547E2978" w14:textId="783115BA">
            <w:pPr>
              <w:pStyle w:val="Table"/>
              <w:ind w:right="-270"/>
              <w:jc w:val="right"/>
              <w:rPr>
                <w:sz w:val="18"/>
                <w:szCs w:val="18"/>
              </w:rPr>
            </w:pPr>
            <w:r w:rsidRPr="00805071">
              <w:rPr>
                <w:sz w:val="18"/>
                <w:szCs w:val="18"/>
              </w:rPr>
              <w:t>53,610</w:t>
            </w:r>
            <w:r>
              <w:rPr>
                <w:sz w:val="18"/>
                <w:szCs w:val="18"/>
              </w:rPr>
              <w:t xml:space="preserve"> to </w:t>
            </w:r>
            <w:r w:rsidRPr="00805071">
              <w:rPr>
                <w:sz w:val="18"/>
                <w:szCs w:val="18"/>
              </w:rPr>
              <w:t>41,800</w:t>
            </w:r>
          </w:p>
        </w:tc>
        <w:tc>
          <w:tcPr>
            <w:tcW w:w="990" w:type="dxa"/>
            <w:vAlign w:val="center"/>
            <w:hideMark/>
          </w:tcPr>
          <w:p w:rsidRPr="003613B6" w:rsidR="002462E6" w:rsidP="0049228A" w:rsidRDefault="002462E6" w14:paraId="0709B5B7" w14:textId="77777777">
            <w:pPr>
              <w:pStyle w:val="Table"/>
              <w:jc w:val="right"/>
              <w:rPr>
                <w:sz w:val="18"/>
              </w:rPr>
            </w:pPr>
            <w:r w:rsidRPr="003613B6">
              <w:rPr>
                <w:sz w:val="18"/>
              </w:rPr>
              <w:t>$28.64</w:t>
            </w:r>
          </w:p>
        </w:tc>
        <w:tc>
          <w:tcPr>
            <w:tcW w:w="2160" w:type="dxa"/>
            <w:noWrap/>
            <w:tcMar>
              <w:left w:w="115" w:type="dxa"/>
              <w:right w:w="288" w:type="dxa"/>
            </w:tcMar>
            <w:vAlign w:val="center"/>
          </w:tcPr>
          <w:p w:rsidRPr="00986121" w:rsidR="002462E6" w:rsidP="006E76CA" w:rsidRDefault="006E76CA" w14:paraId="1A8CEE25" w14:textId="4EE3F80C">
            <w:pPr>
              <w:pStyle w:val="Table"/>
              <w:ind w:right="-198"/>
              <w:jc w:val="right"/>
              <w:rPr>
                <w:sz w:val="18"/>
                <w:szCs w:val="18"/>
              </w:rPr>
            </w:pPr>
            <w:r>
              <w:rPr>
                <w:sz w:val="18"/>
                <w:szCs w:val="18"/>
              </w:rPr>
              <w:t>$1,535,390 to</w:t>
            </w:r>
            <w:r w:rsidRPr="006E76CA">
              <w:rPr>
                <w:sz w:val="18"/>
                <w:szCs w:val="18"/>
              </w:rPr>
              <w:t xml:space="preserve"> $1,197,152</w:t>
            </w:r>
          </w:p>
        </w:tc>
      </w:tr>
      <w:tr w:rsidRPr="003613B6" w:rsidR="00D143D9" w:rsidTr="004E7D84" w14:paraId="1E7DF2ED" w14:textId="77777777">
        <w:trPr>
          <w:trHeight w:val="300"/>
        </w:trPr>
        <w:tc>
          <w:tcPr>
            <w:tcW w:w="1885" w:type="dxa"/>
            <w:vAlign w:val="center"/>
            <w:hideMark/>
          </w:tcPr>
          <w:p w:rsidRPr="003613B6" w:rsidR="002462E6" w:rsidP="002462E6" w:rsidRDefault="002462E6" w14:paraId="20B9DAFF" w14:textId="1972BE0C">
            <w:pPr>
              <w:pStyle w:val="Table"/>
              <w:rPr>
                <w:sz w:val="18"/>
              </w:rPr>
            </w:pPr>
            <w:r>
              <w:rPr>
                <w:color w:val="000000"/>
                <w:sz w:val="18"/>
                <w:szCs w:val="18"/>
              </w:rPr>
              <w:t>3,301-10,000, CWS</w:t>
            </w:r>
          </w:p>
        </w:tc>
        <w:tc>
          <w:tcPr>
            <w:tcW w:w="1530" w:type="dxa"/>
            <w:tcMar>
              <w:left w:w="115" w:type="dxa"/>
              <w:right w:w="360" w:type="dxa"/>
            </w:tcMar>
            <w:vAlign w:val="center"/>
          </w:tcPr>
          <w:p w:rsidRPr="003613B6" w:rsidR="002462E6" w:rsidP="004E7D84" w:rsidRDefault="004E7D84" w14:paraId="15132C13" w14:textId="621EDD9D">
            <w:pPr>
              <w:pStyle w:val="Table"/>
              <w:ind w:right="-252"/>
              <w:jc w:val="right"/>
              <w:rPr>
                <w:sz w:val="18"/>
              </w:rPr>
            </w:pPr>
            <w:r>
              <w:rPr>
                <w:sz w:val="18"/>
              </w:rPr>
              <w:t xml:space="preserve">3,304 to </w:t>
            </w:r>
            <w:r w:rsidRPr="004E7D84">
              <w:rPr>
                <w:sz w:val="18"/>
              </w:rPr>
              <w:t>2,424</w:t>
            </w:r>
          </w:p>
        </w:tc>
        <w:tc>
          <w:tcPr>
            <w:tcW w:w="990" w:type="dxa"/>
            <w:vAlign w:val="center"/>
            <w:hideMark/>
          </w:tcPr>
          <w:p w:rsidRPr="003613B6" w:rsidR="002462E6" w:rsidP="0049228A" w:rsidRDefault="002462E6" w14:paraId="1B8E9AAA" w14:textId="0A436D6F">
            <w:pPr>
              <w:pStyle w:val="Table"/>
              <w:jc w:val="right"/>
              <w:rPr>
                <w:sz w:val="18"/>
              </w:rPr>
            </w:pPr>
            <w:r>
              <w:rPr>
                <w:color w:val="000000"/>
                <w:sz w:val="18"/>
                <w:szCs w:val="18"/>
              </w:rPr>
              <w:t>20</w:t>
            </w:r>
          </w:p>
        </w:tc>
        <w:tc>
          <w:tcPr>
            <w:tcW w:w="1800" w:type="dxa"/>
            <w:tcMar>
              <w:left w:w="115" w:type="dxa"/>
              <w:right w:w="360" w:type="dxa"/>
            </w:tcMar>
            <w:vAlign w:val="center"/>
          </w:tcPr>
          <w:p w:rsidRPr="00986121" w:rsidR="002462E6" w:rsidP="00805071" w:rsidRDefault="00805071" w14:paraId="48D0235B" w14:textId="4E75F121">
            <w:pPr>
              <w:pStyle w:val="Table"/>
              <w:ind w:right="-270"/>
              <w:jc w:val="right"/>
              <w:rPr>
                <w:sz w:val="18"/>
                <w:szCs w:val="18"/>
              </w:rPr>
            </w:pPr>
            <w:r w:rsidRPr="00805071">
              <w:rPr>
                <w:sz w:val="18"/>
                <w:szCs w:val="18"/>
              </w:rPr>
              <w:t>66,080</w:t>
            </w:r>
            <w:r>
              <w:rPr>
                <w:sz w:val="18"/>
                <w:szCs w:val="18"/>
              </w:rPr>
              <w:t xml:space="preserve"> to </w:t>
            </w:r>
            <w:r w:rsidRPr="00805071">
              <w:rPr>
                <w:sz w:val="18"/>
                <w:szCs w:val="18"/>
              </w:rPr>
              <w:t>48,480</w:t>
            </w:r>
          </w:p>
        </w:tc>
        <w:tc>
          <w:tcPr>
            <w:tcW w:w="990" w:type="dxa"/>
            <w:vAlign w:val="center"/>
            <w:hideMark/>
          </w:tcPr>
          <w:p w:rsidRPr="003613B6" w:rsidR="002462E6" w:rsidP="0049228A" w:rsidRDefault="002462E6" w14:paraId="73E92B5A" w14:textId="77777777">
            <w:pPr>
              <w:pStyle w:val="Table"/>
              <w:jc w:val="right"/>
              <w:rPr>
                <w:sz w:val="18"/>
              </w:rPr>
            </w:pPr>
            <w:r w:rsidRPr="003613B6">
              <w:rPr>
                <w:sz w:val="18"/>
              </w:rPr>
              <w:t>$33.74</w:t>
            </w:r>
          </w:p>
        </w:tc>
        <w:tc>
          <w:tcPr>
            <w:tcW w:w="2160" w:type="dxa"/>
            <w:noWrap/>
            <w:tcMar>
              <w:left w:w="115" w:type="dxa"/>
              <w:right w:w="288" w:type="dxa"/>
            </w:tcMar>
            <w:vAlign w:val="center"/>
          </w:tcPr>
          <w:p w:rsidRPr="00986121" w:rsidR="002462E6" w:rsidP="006E76CA" w:rsidRDefault="006E76CA" w14:paraId="53311EF8" w14:textId="1C17FF43">
            <w:pPr>
              <w:pStyle w:val="Table"/>
              <w:ind w:right="-198"/>
              <w:jc w:val="right"/>
              <w:rPr>
                <w:sz w:val="18"/>
                <w:szCs w:val="18"/>
              </w:rPr>
            </w:pPr>
            <w:r>
              <w:rPr>
                <w:sz w:val="18"/>
                <w:szCs w:val="18"/>
              </w:rPr>
              <w:t>$2,229,539 to</w:t>
            </w:r>
            <w:r w:rsidRPr="006E76CA">
              <w:rPr>
                <w:sz w:val="18"/>
                <w:szCs w:val="18"/>
              </w:rPr>
              <w:t xml:space="preserve"> $1,635,715</w:t>
            </w:r>
          </w:p>
        </w:tc>
      </w:tr>
      <w:tr w:rsidRPr="003613B6" w:rsidR="00D143D9" w:rsidTr="004E7D84" w14:paraId="234E2DC9" w14:textId="77777777">
        <w:trPr>
          <w:trHeight w:val="300"/>
        </w:trPr>
        <w:tc>
          <w:tcPr>
            <w:tcW w:w="1885" w:type="dxa"/>
            <w:vAlign w:val="center"/>
            <w:hideMark/>
          </w:tcPr>
          <w:p w:rsidRPr="003613B6" w:rsidR="002462E6" w:rsidP="002462E6" w:rsidRDefault="002462E6" w14:paraId="60DD37FA" w14:textId="5F091A55">
            <w:pPr>
              <w:pStyle w:val="Table"/>
              <w:rPr>
                <w:sz w:val="18"/>
              </w:rPr>
            </w:pPr>
            <w:r>
              <w:rPr>
                <w:color w:val="000000"/>
                <w:sz w:val="18"/>
                <w:szCs w:val="18"/>
              </w:rPr>
              <w:t>10,001-50,000, CWS</w:t>
            </w:r>
          </w:p>
        </w:tc>
        <w:tc>
          <w:tcPr>
            <w:tcW w:w="1530" w:type="dxa"/>
            <w:tcMar>
              <w:left w:w="115" w:type="dxa"/>
              <w:right w:w="360" w:type="dxa"/>
            </w:tcMar>
            <w:vAlign w:val="center"/>
          </w:tcPr>
          <w:p w:rsidRPr="003613B6" w:rsidR="002462E6" w:rsidP="004E7D84" w:rsidRDefault="004E7D84" w14:paraId="21B94F68" w14:textId="0DDBE7D1">
            <w:pPr>
              <w:pStyle w:val="Table"/>
              <w:ind w:right="-252"/>
              <w:jc w:val="right"/>
              <w:rPr>
                <w:sz w:val="18"/>
              </w:rPr>
            </w:pPr>
            <w:r>
              <w:rPr>
                <w:sz w:val="18"/>
              </w:rPr>
              <w:t xml:space="preserve">1,714 to </w:t>
            </w:r>
            <w:r w:rsidRPr="004E7D84">
              <w:rPr>
                <w:sz w:val="18"/>
              </w:rPr>
              <w:t>1,548</w:t>
            </w:r>
          </w:p>
        </w:tc>
        <w:tc>
          <w:tcPr>
            <w:tcW w:w="990" w:type="dxa"/>
            <w:vAlign w:val="center"/>
            <w:hideMark/>
          </w:tcPr>
          <w:p w:rsidRPr="003613B6" w:rsidR="002462E6" w:rsidP="0049228A" w:rsidRDefault="002462E6" w14:paraId="5D281D99" w14:textId="7FB8625A">
            <w:pPr>
              <w:pStyle w:val="Table"/>
              <w:jc w:val="right"/>
              <w:rPr>
                <w:sz w:val="18"/>
              </w:rPr>
            </w:pPr>
            <w:r>
              <w:rPr>
                <w:color w:val="000000"/>
                <w:sz w:val="18"/>
                <w:szCs w:val="18"/>
              </w:rPr>
              <w:t>20</w:t>
            </w:r>
          </w:p>
        </w:tc>
        <w:tc>
          <w:tcPr>
            <w:tcW w:w="1800" w:type="dxa"/>
            <w:tcMar>
              <w:left w:w="115" w:type="dxa"/>
              <w:right w:w="360" w:type="dxa"/>
            </w:tcMar>
            <w:vAlign w:val="center"/>
          </w:tcPr>
          <w:p w:rsidRPr="00986121" w:rsidR="002462E6" w:rsidP="00805071" w:rsidRDefault="00805071" w14:paraId="67046819" w14:textId="128020DA">
            <w:pPr>
              <w:pStyle w:val="Table"/>
              <w:ind w:right="-270"/>
              <w:jc w:val="right"/>
              <w:rPr>
                <w:sz w:val="18"/>
                <w:szCs w:val="18"/>
              </w:rPr>
            </w:pPr>
            <w:r w:rsidRPr="00805071">
              <w:rPr>
                <w:sz w:val="18"/>
                <w:szCs w:val="18"/>
              </w:rPr>
              <w:t>34,280</w:t>
            </w:r>
            <w:r>
              <w:rPr>
                <w:sz w:val="18"/>
                <w:szCs w:val="18"/>
              </w:rPr>
              <w:t xml:space="preserve"> to </w:t>
            </w:r>
            <w:r w:rsidRPr="00805071">
              <w:rPr>
                <w:sz w:val="18"/>
                <w:szCs w:val="18"/>
              </w:rPr>
              <w:t>30,960</w:t>
            </w:r>
          </w:p>
        </w:tc>
        <w:tc>
          <w:tcPr>
            <w:tcW w:w="990" w:type="dxa"/>
            <w:vAlign w:val="center"/>
            <w:hideMark/>
          </w:tcPr>
          <w:p w:rsidRPr="003613B6" w:rsidR="002462E6" w:rsidP="0049228A" w:rsidRDefault="002462E6" w14:paraId="2F1A680A" w14:textId="77777777">
            <w:pPr>
              <w:pStyle w:val="Table"/>
              <w:jc w:val="right"/>
              <w:rPr>
                <w:sz w:val="18"/>
              </w:rPr>
            </w:pPr>
            <w:r w:rsidRPr="003613B6">
              <w:rPr>
                <w:sz w:val="18"/>
              </w:rPr>
              <w:t>$36.15</w:t>
            </w:r>
          </w:p>
        </w:tc>
        <w:tc>
          <w:tcPr>
            <w:tcW w:w="2160" w:type="dxa"/>
            <w:noWrap/>
            <w:tcMar>
              <w:left w:w="115" w:type="dxa"/>
              <w:right w:w="288" w:type="dxa"/>
            </w:tcMar>
            <w:vAlign w:val="center"/>
          </w:tcPr>
          <w:p w:rsidRPr="00986121" w:rsidR="002462E6" w:rsidP="006E76CA" w:rsidRDefault="006E76CA" w14:paraId="2316231F" w14:textId="48F50DD2">
            <w:pPr>
              <w:pStyle w:val="Table"/>
              <w:ind w:right="-198"/>
              <w:jc w:val="right"/>
              <w:rPr>
                <w:sz w:val="18"/>
                <w:szCs w:val="18"/>
              </w:rPr>
            </w:pPr>
            <w:r>
              <w:rPr>
                <w:sz w:val="18"/>
                <w:szCs w:val="18"/>
              </w:rPr>
              <w:t>$1,239,222 to</w:t>
            </w:r>
            <w:r w:rsidRPr="006E76CA">
              <w:rPr>
                <w:sz w:val="18"/>
                <w:szCs w:val="18"/>
              </w:rPr>
              <w:t xml:space="preserve"> $1,119,204</w:t>
            </w:r>
          </w:p>
        </w:tc>
      </w:tr>
      <w:tr w:rsidRPr="003613B6" w:rsidR="00D143D9" w:rsidTr="004E7D84" w14:paraId="10B32173" w14:textId="77777777">
        <w:trPr>
          <w:trHeight w:val="300"/>
        </w:trPr>
        <w:tc>
          <w:tcPr>
            <w:tcW w:w="1885" w:type="dxa"/>
            <w:vAlign w:val="center"/>
            <w:hideMark/>
          </w:tcPr>
          <w:p w:rsidRPr="003613B6" w:rsidR="002462E6" w:rsidP="002462E6" w:rsidRDefault="002462E6" w14:paraId="093F437A" w14:textId="374EC4BD">
            <w:pPr>
              <w:pStyle w:val="Table"/>
              <w:rPr>
                <w:sz w:val="18"/>
              </w:rPr>
            </w:pPr>
            <w:r>
              <w:rPr>
                <w:color w:val="000000"/>
                <w:sz w:val="18"/>
                <w:szCs w:val="18"/>
              </w:rPr>
              <w:t>50,001-100,000, CWS</w:t>
            </w:r>
          </w:p>
        </w:tc>
        <w:tc>
          <w:tcPr>
            <w:tcW w:w="1530" w:type="dxa"/>
            <w:tcMar>
              <w:left w:w="115" w:type="dxa"/>
              <w:right w:w="360" w:type="dxa"/>
            </w:tcMar>
            <w:vAlign w:val="center"/>
          </w:tcPr>
          <w:p w:rsidRPr="003613B6" w:rsidR="002462E6" w:rsidP="004E7D84" w:rsidRDefault="004E7D84" w14:paraId="5B0C4F6C" w14:textId="2C81E452">
            <w:pPr>
              <w:pStyle w:val="Table"/>
              <w:ind w:right="-252"/>
              <w:jc w:val="right"/>
              <w:rPr>
                <w:sz w:val="18"/>
              </w:rPr>
            </w:pPr>
            <w:r>
              <w:rPr>
                <w:sz w:val="18"/>
              </w:rPr>
              <w:t xml:space="preserve">224 to </w:t>
            </w:r>
            <w:r w:rsidRPr="004E7D84">
              <w:rPr>
                <w:sz w:val="18"/>
              </w:rPr>
              <w:t>262</w:t>
            </w:r>
          </w:p>
        </w:tc>
        <w:tc>
          <w:tcPr>
            <w:tcW w:w="990" w:type="dxa"/>
            <w:vAlign w:val="center"/>
            <w:hideMark/>
          </w:tcPr>
          <w:p w:rsidRPr="003613B6" w:rsidR="002462E6" w:rsidP="0049228A" w:rsidRDefault="002462E6" w14:paraId="024FD39B" w14:textId="65CCB8CC">
            <w:pPr>
              <w:pStyle w:val="Table"/>
              <w:jc w:val="right"/>
              <w:rPr>
                <w:sz w:val="18"/>
              </w:rPr>
            </w:pPr>
            <w:r>
              <w:rPr>
                <w:color w:val="000000"/>
                <w:sz w:val="18"/>
                <w:szCs w:val="18"/>
              </w:rPr>
              <w:t>40</w:t>
            </w:r>
          </w:p>
        </w:tc>
        <w:tc>
          <w:tcPr>
            <w:tcW w:w="1800" w:type="dxa"/>
            <w:tcMar>
              <w:left w:w="115" w:type="dxa"/>
              <w:right w:w="360" w:type="dxa"/>
            </w:tcMar>
            <w:vAlign w:val="center"/>
          </w:tcPr>
          <w:p w:rsidRPr="00986121" w:rsidR="002462E6" w:rsidP="00805071" w:rsidRDefault="00805071" w14:paraId="4B758DF7" w14:textId="37A61D70">
            <w:pPr>
              <w:pStyle w:val="Table"/>
              <w:ind w:right="-270"/>
              <w:jc w:val="right"/>
              <w:rPr>
                <w:sz w:val="18"/>
                <w:szCs w:val="18"/>
              </w:rPr>
            </w:pPr>
            <w:r w:rsidRPr="00805071">
              <w:rPr>
                <w:sz w:val="18"/>
                <w:szCs w:val="18"/>
              </w:rPr>
              <w:t>8,960</w:t>
            </w:r>
            <w:r>
              <w:rPr>
                <w:sz w:val="18"/>
                <w:szCs w:val="18"/>
              </w:rPr>
              <w:t xml:space="preserve"> to </w:t>
            </w:r>
            <w:r w:rsidRPr="00805071">
              <w:rPr>
                <w:sz w:val="18"/>
                <w:szCs w:val="18"/>
              </w:rPr>
              <w:t>10,480</w:t>
            </w:r>
          </w:p>
        </w:tc>
        <w:tc>
          <w:tcPr>
            <w:tcW w:w="990" w:type="dxa"/>
            <w:vAlign w:val="center"/>
            <w:hideMark/>
          </w:tcPr>
          <w:p w:rsidRPr="003613B6" w:rsidR="002462E6" w:rsidP="0049228A" w:rsidRDefault="002462E6" w14:paraId="77D42076" w14:textId="77777777">
            <w:pPr>
              <w:pStyle w:val="Table"/>
              <w:jc w:val="right"/>
              <w:rPr>
                <w:sz w:val="18"/>
              </w:rPr>
            </w:pPr>
            <w:r w:rsidRPr="003613B6">
              <w:rPr>
                <w:sz w:val="18"/>
              </w:rPr>
              <w:t>$39.01</w:t>
            </w:r>
          </w:p>
        </w:tc>
        <w:tc>
          <w:tcPr>
            <w:tcW w:w="2160" w:type="dxa"/>
            <w:noWrap/>
            <w:tcMar>
              <w:left w:w="115" w:type="dxa"/>
              <w:right w:w="288" w:type="dxa"/>
            </w:tcMar>
            <w:vAlign w:val="center"/>
          </w:tcPr>
          <w:p w:rsidRPr="00986121" w:rsidR="002462E6" w:rsidP="006E76CA" w:rsidRDefault="006E76CA" w14:paraId="1FEE36A5" w14:textId="0D65CE6B">
            <w:pPr>
              <w:pStyle w:val="Table"/>
              <w:ind w:right="-198"/>
              <w:jc w:val="right"/>
              <w:rPr>
                <w:sz w:val="18"/>
                <w:szCs w:val="18"/>
              </w:rPr>
            </w:pPr>
            <w:r>
              <w:rPr>
                <w:sz w:val="18"/>
                <w:szCs w:val="18"/>
              </w:rPr>
              <w:t>$349,530 to $408,825</w:t>
            </w:r>
          </w:p>
        </w:tc>
      </w:tr>
      <w:tr w:rsidRPr="003613B6" w:rsidR="00D143D9" w:rsidTr="004E7D84" w14:paraId="05A6B994" w14:textId="77777777">
        <w:trPr>
          <w:trHeight w:val="300"/>
        </w:trPr>
        <w:tc>
          <w:tcPr>
            <w:tcW w:w="1885" w:type="dxa"/>
            <w:vAlign w:val="center"/>
            <w:hideMark/>
          </w:tcPr>
          <w:p w:rsidRPr="003613B6" w:rsidR="002462E6" w:rsidP="002462E6" w:rsidRDefault="002462E6" w14:paraId="4316F385" w14:textId="1357A771">
            <w:pPr>
              <w:pStyle w:val="Table"/>
              <w:rPr>
                <w:sz w:val="18"/>
              </w:rPr>
            </w:pPr>
            <w:r>
              <w:rPr>
                <w:color w:val="000000"/>
                <w:sz w:val="18"/>
                <w:szCs w:val="18"/>
              </w:rPr>
              <w:t>100,001-1,000,000, CWS</w:t>
            </w:r>
          </w:p>
        </w:tc>
        <w:tc>
          <w:tcPr>
            <w:tcW w:w="1530" w:type="dxa"/>
            <w:tcMar>
              <w:left w:w="115" w:type="dxa"/>
              <w:right w:w="360" w:type="dxa"/>
            </w:tcMar>
            <w:vAlign w:val="center"/>
          </w:tcPr>
          <w:p w:rsidRPr="003613B6" w:rsidR="002462E6" w:rsidP="004E7D84" w:rsidRDefault="004E7D84" w14:paraId="62891EBD" w14:textId="7A6C5A76">
            <w:pPr>
              <w:pStyle w:val="Table"/>
              <w:ind w:right="-252"/>
              <w:jc w:val="right"/>
              <w:rPr>
                <w:sz w:val="18"/>
              </w:rPr>
            </w:pPr>
            <w:r>
              <w:rPr>
                <w:sz w:val="18"/>
              </w:rPr>
              <w:t xml:space="preserve">182 to </w:t>
            </w:r>
            <w:r w:rsidRPr="004E7D84">
              <w:rPr>
                <w:sz w:val="18"/>
              </w:rPr>
              <w:t>134</w:t>
            </w:r>
          </w:p>
        </w:tc>
        <w:tc>
          <w:tcPr>
            <w:tcW w:w="990" w:type="dxa"/>
            <w:vAlign w:val="center"/>
            <w:hideMark/>
          </w:tcPr>
          <w:p w:rsidRPr="003613B6" w:rsidR="002462E6" w:rsidP="0049228A" w:rsidRDefault="002462E6" w14:paraId="416D284E" w14:textId="5E2176C5">
            <w:pPr>
              <w:pStyle w:val="Table"/>
              <w:jc w:val="right"/>
              <w:rPr>
                <w:sz w:val="18"/>
              </w:rPr>
            </w:pPr>
            <w:r>
              <w:rPr>
                <w:color w:val="000000"/>
                <w:sz w:val="18"/>
                <w:szCs w:val="18"/>
              </w:rPr>
              <w:t>40</w:t>
            </w:r>
          </w:p>
        </w:tc>
        <w:tc>
          <w:tcPr>
            <w:tcW w:w="1800" w:type="dxa"/>
            <w:tcMar>
              <w:left w:w="115" w:type="dxa"/>
              <w:right w:w="360" w:type="dxa"/>
            </w:tcMar>
            <w:vAlign w:val="center"/>
          </w:tcPr>
          <w:p w:rsidRPr="00986121" w:rsidR="002462E6" w:rsidP="00805071" w:rsidRDefault="00805071" w14:paraId="13B0048B" w14:textId="51AFD842">
            <w:pPr>
              <w:pStyle w:val="Table"/>
              <w:ind w:right="-270"/>
              <w:jc w:val="right"/>
              <w:rPr>
                <w:sz w:val="18"/>
                <w:szCs w:val="18"/>
              </w:rPr>
            </w:pPr>
            <w:r w:rsidRPr="00805071">
              <w:rPr>
                <w:sz w:val="18"/>
                <w:szCs w:val="18"/>
              </w:rPr>
              <w:t>7,280</w:t>
            </w:r>
            <w:r>
              <w:rPr>
                <w:sz w:val="18"/>
                <w:szCs w:val="18"/>
              </w:rPr>
              <w:t xml:space="preserve"> to </w:t>
            </w:r>
            <w:r w:rsidRPr="00805071">
              <w:rPr>
                <w:sz w:val="18"/>
                <w:szCs w:val="18"/>
              </w:rPr>
              <w:t>5,360</w:t>
            </w:r>
          </w:p>
        </w:tc>
        <w:tc>
          <w:tcPr>
            <w:tcW w:w="990" w:type="dxa"/>
            <w:vAlign w:val="center"/>
            <w:hideMark/>
          </w:tcPr>
          <w:p w:rsidRPr="003613B6" w:rsidR="002462E6" w:rsidP="0049228A" w:rsidRDefault="002462E6" w14:paraId="62AAF18E" w14:textId="77777777">
            <w:pPr>
              <w:pStyle w:val="Table"/>
              <w:jc w:val="right"/>
              <w:rPr>
                <w:sz w:val="18"/>
              </w:rPr>
            </w:pPr>
            <w:r w:rsidRPr="003613B6">
              <w:rPr>
                <w:sz w:val="18"/>
              </w:rPr>
              <w:t>$44.38</w:t>
            </w:r>
          </w:p>
        </w:tc>
        <w:tc>
          <w:tcPr>
            <w:tcW w:w="2160" w:type="dxa"/>
            <w:noWrap/>
            <w:tcMar>
              <w:left w:w="115" w:type="dxa"/>
              <w:right w:w="288" w:type="dxa"/>
            </w:tcMar>
            <w:vAlign w:val="center"/>
          </w:tcPr>
          <w:p w:rsidRPr="00986121" w:rsidR="002462E6" w:rsidP="006E76CA" w:rsidRDefault="006E76CA" w14:paraId="5301C31B" w14:textId="76A7066E">
            <w:pPr>
              <w:pStyle w:val="Table"/>
              <w:ind w:right="-198"/>
              <w:jc w:val="right"/>
              <w:rPr>
                <w:sz w:val="18"/>
                <w:szCs w:val="18"/>
              </w:rPr>
            </w:pPr>
            <w:r>
              <w:rPr>
                <w:sz w:val="18"/>
                <w:szCs w:val="18"/>
              </w:rPr>
              <w:t>$323,086 to</w:t>
            </w:r>
            <w:r w:rsidRPr="006E76CA">
              <w:rPr>
                <w:sz w:val="18"/>
                <w:szCs w:val="18"/>
              </w:rPr>
              <w:t xml:space="preserve"> $237,877</w:t>
            </w:r>
          </w:p>
        </w:tc>
      </w:tr>
      <w:tr w:rsidRPr="003613B6" w:rsidR="00D143D9" w:rsidTr="004E7D84" w14:paraId="04DF02F6" w14:textId="77777777">
        <w:trPr>
          <w:trHeight w:val="300"/>
        </w:trPr>
        <w:tc>
          <w:tcPr>
            <w:tcW w:w="1885" w:type="dxa"/>
            <w:vAlign w:val="center"/>
            <w:hideMark/>
          </w:tcPr>
          <w:p w:rsidRPr="003613B6" w:rsidR="002462E6" w:rsidP="002462E6" w:rsidRDefault="002462E6" w14:paraId="682A2347" w14:textId="130EC280">
            <w:pPr>
              <w:pStyle w:val="Table"/>
              <w:rPr>
                <w:sz w:val="18"/>
              </w:rPr>
            </w:pPr>
            <w:r>
              <w:rPr>
                <w:color w:val="000000"/>
                <w:sz w:val="18"/>
                <w:szCs w:val="18"/>
              </w:rPr>
              <w:t>&gt;1,000,000, CWS</w:t>
            </w:r>
          </w:p>
        </w:tc>
        <w:tc>
          <w:tcPr>
            <w:tcW w:w="1530" w:type="dxa"/>
            <w:tcMar>
              <w:left w:w="115" w:type="dxa"/>
              <w:right w:w="360" w:type="dxa"/>
            </w:tcMar>
            <w:vAlign w:val="center"/>
          </w:tcPr>
          <w:p w:rsidRPr="003613B6" w:rsidR="002462E6" w:rsidP="0049228A" w:rsidRDefault="004E7D84" w14:paraId="339843B2" w14:textId="43F940A3">
            <w:pPr>
              <w:pStyle w:val="Table"/>
              <w:tabs>
                <w:tab w:val="left" w:pos="1046"/>
              </w:tabs>
              <w:ind w:right="-252"/>
              <w:jc w:val="right"/>
              <w:rPr>
                <w:sz w:val="18"/>
              </w:rPr>
            </w:pPr>
            <w:r>
              <w:rPr>
                <w:sz w:val="18"/>
              </w:rPr>
              <w:t xml:space="preserve">8 to </w:t>
            </w:r>
            <w:r w:rsidRPr="004E7D84">
              <w:rPr>
                <w:sz w:val="18"/>
              </w:rPr>
              <w:t>6</w:t>
            </w:r>
          </w:p>
        </w:tc>
        <w:tc>
          <w:tcPr>
            <w:tcW w:w="990" w:type="dxa"/>
            <w:vAlign w:val="center"/>
            <w:hideMark/>
          </w:tcPr>
          <w:p w:rsidRPr="003613B6" w:rsidR="002462E6" w:rsidP="0049228A" w:rsidRDefault="002462E6" w14:paraId="7369C287" w14:textId="4C6D5271">
            <w:pPr>
              <w:pStyle w:val="Table"/>
              <w:jc w:val="right"/>
              <w:rPr>
                <w:sz w:val="18"/>
              </w:rPr>
            </w:pPr>
            <w:r>
              <w:rPr>
                <w:color w:val="000000"/>
                <w:sz w:val="18"/>
                <w:szCs w:val="18"/>
              </w:rPr>
              <w:t>40</w:t>
            </w:r>
          </w:p>
        </w:tc>
        <w:tc>
          <w:tcPr>
            <w:tcW w:w="1800" w:type="dxa"/>
            <w:tcMar>
              <w:left w:w="115" w:type="dxa"/>
              <w:right w:w="360" w:type="dxa"/>
            </w:tcMar>
            <w:vAlign w:val="center"/>
          </w:tcPr>
          <w:p w:rsidRPr="00986121" w:rsidR="002462E6" w:rsidP="00805071" w:rsidRDefault="00805071" w14:paraId="3B589E18" w14:textId="72610970">
            <w:pPr>
              <w:pStyle w:val="Table"/>
              <w:ind w:right="-270"/>
              <w:jc w:val="right"/>
              <w:rPr>
                <w:sz w:val="18"/>
                <w:szCs w:val="18"/>
              </w:rPr>
            </w:pPr>
            <w:r w:rsidRPr="00805071">
              <w:rPr>
                <w:sz w:val="18"/>
                <w:szCs w:val="18"/>
              </w:rPr>
              <w:t>320</w:t>
            </w:r>
            <w:r>
              <w:rPr>
                <w:sz w:val="18"/>
                <w:szCs w:val="18"/>
              </w:rPr>
              <w:t xml:space="preserve"> to </w:t>
            </w:r>
            <w:r w:rsidRPr="00805071">
              <w:rPr>
                <w:sz w:val="18"/>
                <w:szCs w:val="18"/>
              </w:rPr>
              <w:t>240</w:t>
            </w:r>
          </w:p>
        </w:tc>
        <w:tc>
          <w:tcPr>
            <w:tcW w:w="990" w:type="dxa"/>
            <w:vAlign w:val="center"/>
            <w:hideMark/>
          </w:tcPr>
          <w:p w:rsidRPr="003613B6" w:rsidR="002462E6" w:rsidP="0049228A" w:rsidRDefault="002462E6" w14:paraId="51B5CBAB" w14:textId="77777777">
            <w:pPr>
              <w:pStyle w:val="Table"/>
              <w:jc w:val="right"/>
              <w:rPr>
                <w:sz w:val="18"/>
              </w:rPr>
            </w:pPr>
            <w:r w:rsidRPr="003613B6">
              <w:rPr>
                <w:sz w:val="18"/>
              </w:rPr>
              <w:t>$44.38</w:t>
            </w:r>
          </w:p>
        </w:tc>
        <w:tc>
          <w:tcPr>
            <w:tcW w:w="2160" w:type="dxa"/>
            <w:noWrap/>
            <w:tcMar>
              <w:left w:w="115" w:type="dxa"/>
              <w:right w:w="288" w:type="dxa"/>
            </w:tcMar>
            <w:vAlign w:val="center"/>
          </w:tcPr>
          <w:p w:rsidRPr="00986121" w:rsidR="002462E6" w:rsidP="0049228A" w:rsidRDefault="006E76CA" w14:paraId="46534DDD" w14:textId="351A7287">
            <w:pPr>
              <w:pStyle w:val="Table"/>
              <w:ind w:right="-198"/>
              <w:jc w:val="right"/>
              <w:rPr>
                <w:sz w:val="18"/>
                <w:szCs w:val="18"/>
              </w:rPr>
            </w:pPr>
            <w:r>
              <w:rPr>
                <w:sz w:val="18"/>
                <w:szCs w:val="18"/>
              </w:rPr>
              <w:t xml:space="preserve">$14,202 to </w:t>
            </w:r>
            <w:r w:rsidRPr="006E76CA">
              <w:rPr>
                <w:sz w:val="18"/>
                <w:szCs w:val="18"/>
              </w:rPr>
              <w:t>$10,651</w:t>
            </w:r>
          </w:p>
        </w:tc>
      </w:tr>
      <w:tr w:rsidRPr="003613B6" w:rsidR="00B63BB0" w:rsidTr="0049228A" w14:paraId="4C69335C" w14:textId="77777777">
        <w:trPr>
          <w:trHeight w:val="300"/>
        </w:trPr>
        <w:tc>
          <w:tcPr>
            <w:tcW w:w="1885" w:type="dxa"/>
            <w:vAlign w:val="center"/>
          </w:tcPr>
          <w:p w:rsidRPr="003613B6" w:rsidR="00B63BB0" w:rsidP="00B63BB0" w:rsidRDefault="00B63BB0" w14:paraId="2B067742" w14:textId="7422BBE5">
            <w:pPr>
              <w:pStyle w:val="Table"/>
              <w:rPr>
                <w:sz w:val="18"/>
              </w:rPr>
            </w:pPr>
            <w:r>
              <w:rPr>
                <w:color w:val="000000"/>
                <w:sz w:val="18"/>
                <w:szCs w:val="18"/>
              </w:rPr>
              <w:t>&lt;=100, NTNCWS</w:t>
            </w:r>
          </w:p>
        </w:tc>
        <w:tc>
          <w:tcPr>
            <w:tcW w:w="1530" w:type="dxa"/>
            <w:tcMar>
              <w:left w:w="115" w:type="dxa"/>
              <w:right w:w="360" w:type="dxa"/>
            </w:tcMar>
            <w:vAlign w:val="center"/>
          </w:tcPr>
          <w:p w:rsidRPr="002462E6" w:rsidR="00B63BB0" w:rsidP="004E7D84" w:rsidRDefault="004E7D84" w14:paraId="3219F4EC" w14:textId="2D7BDA5F">
            <w:pPr>
              <w:pStyle w:val="Table"/>
              <w:ind w:right="-252"/>
              <w:jc w:val="right"/>
              <w:rPr>
                <w:sz w:val="18"/>
              </w:rPr>
            </w:pPr>
            <w:r w:rsidRPr="004E7D84">
              <w:rPr>
                <w:sz w:val="18"/>
              </w:rPr>
              <w:t>7,725</w:t>
            </w:r>
          </w:p>
        </w:tc>
        <w:tc>
          <w:tcPr>
            <w:tcW w:w="990" w:type="dxa"/>
            <w:vAlign w:val="center"/>
          </w:tcPr>
          <w:p w:rsidR="00B63BB0" w:rsidP="0049228A" w:rsidRDefault="00B63BB0" w14:paraId="28D5C253" w14:textId="42A9FF8D">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rsidRPr="002462E6" w:rsidR="00B63BB0" w:rsidP="00805071" w:rsidRDefault="00805071" w14:paraId="2B8CB3A9" w14:textId="12829F7A">
            <w:pPr>
              <w:pStyle w:val="Table"/>
              <w:ind w:right="-270"/>
              <w:jc w:val="right"/>
              <w:rPr>
                <w:sz w:val="18"/>
                <w:szCs w:val="18"/>
              </w:rPr>
            </w:pPr>
            <w:r w:rsidRPr="00805071">
              <w:rPr>
                <w:sz w:val="18"/>
                <w:szCs w:val="18"/>
              </w:rPr>
              <w:t>38,625</w:t>
            </w:r>
          </w:p>
        </w:tc>
        <w:tc>
          <w:tcPr>
            <w:tcW w:w="990" w:type="dxa"/>
            <w:vAlign w:val="center"/>
          </w:tcPr>
          <w:p w:rsidRPr="003613B6" w:rsidR="00B63BB0" w:rsidP="0049228A" w:rsidRDefault="00B63BB0" w14:paraId="4FD51523" w14:textId="000C2B2E">
            <w:pPr>
              <w:pStyle w:val="Table"/>
              <w:jc w:val="right"/>
              <w:rPr>
                <w:sz w:val="18"/>
              </w:rPr>
            </w:pPr>
            <w:r w:rsidRPr="003613B6">
              <w:rPr>
                <w:sz w:val="18"/>
              </w:rPr>
              <w:t>$28.64</w:t>
            </w:r>
          </w:p>
        </w:tc>
        <w:tc>
          <w:tcPr>
            <w:tcW w:w="2160" w:type="dxa"/>
            <w:noWrap/>
            <w:tcMar>
              <w:left w:w="115" w:type="dxa"/>
              <w:right w:w="288" w:type="dxa"/>
            </w:tcMar>
            <w:vAlign w:val="center"/>
          </w:tcPr>
          <w:p w:rsidRPr="002462E6" w:rsidR="00B63BB0" w:rsidP="00821549" w:rsidRDefault="00821549" w14:paraId="3C98C924" w14:textId="1392C27D">
            <w:pPr>
              <w:pStyle w:val="Table"/>
              <w:ind w:right="-198"/>
              <w:jc w:val="right"/>
              <w:rPr>
                <w:sz w:val="18"/>
                <w:szCs w:val="18"/>
              </w:rPr>
            </w:pPr>
            <w:r w:rsidRPr="00821549">
              <w:rPr>
                <w:sz w:val="18"/>
                <w:szCs w:val="18"/>
              </w:rPr>
              <w:t>$1,106,220</w:t>
            </w:r>
          </w:p>
        </w:tc>
      </w:tr>
      <w:tr w:rsidRPr="003613B6" w:rsidR="00B63BB0" w:rsidTr="0049228A" w14:paraId="4BE5EE02" w14:textId="77777777">
        <w:trPr>
          <w:trHeight w:val="300"/>
        </w:trPr>
        <w:tc>
          <w:tcPr>
            <w:tcW w:w="1885" w:type="dxa"/>
            <w:vAlign w:val="center"/>
          </w:tcPr>
          <w:p w:rsidRPr="003613B6" w:rsidR="00B63BB0" w:rsidP="00B63BB0" w:rsidRDefault="00B63BB0" w14:paraId="57CA4DD9" w14:textId="738F3274">
            <w:pPr>
              <w:pStyle w:val="Table"/>
              <w:rPr>
                <w:sz w:val="18"/>
              </w:rPr>
            </w:pPr>
            <w:r>
              <w:rPr>
                <w:color w:val="000000"/>
                <w:sz w:val="18"/>
                <w:szCs w:val="18"/>
              </w:rPr>
              <w:t>101-500, NTNCWS</w:t>
            </w:r>
          </w:p>
        </w:tc>
        <w:tc>
          <w:tcPr>
            <w:tcW w:w="1530" w:type="dxa"/>
            <w:tcMar>
              <w:left w:w="115" w:type="dxa"/>
              <w:right w:w="360" w:type="dxa"/>
            </w:tcMar>
            <w:vAlign w:val="center"/>
          </w:tcPr>
          <w:p w:rsidRPr="002462E6" w:rsidR="00B63BB0" w:rsidP="004E7D84" w:rsidRDefault="004E7D84" w14:paraId="07196E3A" w14:textId="0B8C5FE5">
            <w:pPr>
              <w:pStyle w:val="Table"/>
              <w:ind w:right="-252"/>
              <w:jc w:val="right"/>
              <w:rPr>
                <w:sz w:val="18"/>
              </w:rPr>
            </w:pPr>
            <w:r w:rsidRPr="004E7D84">
              <w:rPr>
                <w:sz w:val="18"/>
              </w:rPr>
              <w:t>5,970</w:t>
            </w:r>
          </w:p>
        </w:tc>
        <w:tc>
          <w:tcPr>
            <w:tcW w:w="990" w:type="dxa"/>
            <w:vAlign w:val="center"/>
          </w:tcPr>
          <w:p w:rsidR="00B63BB0" w:rsidP="0049228A" w:rsidRDefault="00B63BB0" w14:paraId="75A66C3A" w14:textId="1CEF6BC5">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rsidRPr="002462E6" w:rsidR="00B63BB0" w:rsidP="00805071" w:rsidRDefault="00805071" w14:paraId="0C92E004" w14:textId="5FD892BF">
            <w:pPr>
              <w:pStyle w:val="Table"/>
              <w:ind w:right="-270"/>
              <w:jc w:val="right"/>
              <w:rPr>
                <w:sz w:val="18"/>
                <w:szCs w:val="18"/>
              </w:rPr>
            </w:pPr>
            <w:r w:rsidRPr="00805071">
              <w:rPr>
                <w:sz w:val="18"/>
                <w:szCs w:val="18"/>
              </w:rPr>
              <w:t>29,850</w:t>
            </w:r>
          </w:p>
        </w:tc>
        <w:tc>
          <w:tcPr>
            <w:tcW w:w="990" w:type="dxa"/>
            <w:vAlign w:val="center"/>
          </w:tcPr>
          <w:p w:rsidRPr="003613B6" w:rsidR="00B63BB0" w:rsidP="0049228A" w:rsidRDefault="00B63BB0" w14:paraId="79A89F24" w14:textId="6DE12EA4">
            <w:pPr>
              <w:pStyle w:val="Table"/>
              <w:jc w:val="right"/>
              <w:rPr>
                <w:sz w:val="18"/>
              </w:rPr>
            </w:pPr>
            <w:r w:rsidRPr="003613B6">
              <w:rPr>
                <w:sz w:val="18"/>
              </w:rPr>
              <w:t>$28.64</w:t>
            </w:r>
          </w:p>
        </w:tc>
        <w:tc>
          <w:tcPr>
            <w:tcW w:w="2160" w:type="dxa"/>
            <w:noWrap/>
            <w:tcMar>
              <w:left w:w="115" w:type="dxa"/>
              <w:right w:w="288" w:type="dxa"/>
            </w:tcMar>
            <w:vAlign w:val="center"/>
          </w:tcPr>
          <w:p w:rsidRPr="002462E6" w:rsidR="00B63BB0" w:rsidP="00821549" w:rsidRDefault="00821549" w14:paraId="54EE0FEE" w14:textId="21E337AC">
            <w:pPr>
              <w:pStyle w:val="Table"/>
              <w:ind w:right="-198"/>
              <w:jc w:val="right"/>
              <w:rPr>
                <w:sz w:val="18"/>
                <w:szCs w:val="18"/>
              </w:rPr>
            </w:pPr>
            <w:r w:rsidRPr="00821549">
              <w:rPr>
                <w:sz w:val="18"/>
                <w:szCs w:val="18"/>
              </w:rPr>
              <w:t>$854,904</w:t>
            </w:r>
          </w:p>
        </w:tc>
      </w:tr>
      <w:tr w:rsidRPr="003613B6" w:rsidR="00B63BB0" w:rsidTr="0049228A" w14:paraId="6B2C03B6" w14:textId="77777777">
        <w:trPr>
          <w:trHeight w:val="300"/>
        </w:trPr>
        <w:tc>
          <w:tcPr>
            <w:tcW w:w="1885" w:type="dxa"/>
            <w:vAlign w:val="center"/>
          </w:tcPr>
          <w:p w:rsidRPr="003613B6" w:rsidR="00B63BB0" w:rsidP="00B63BB0" w:rsidRDefault="00B63BB0" w14:paraId="7838BDBD" w14:textId="578F8C7E">
            <w:pPr>
              <w:pStyle w:val="Table"/>
              <w:rPr>
                <w:sz w:val="18"/>
              </w:rPr>
            </w:pPr>
            <w:r>
              <w:rPr>
                <w:color w:val="000000"/>
                <w:sz w:val="18"/>
                <w:szCs w:val="18"/>
              </w:rPr>
              <w:t>501-1,000, NTNCWS</w:t>
            </w:r>
          </w:p>
        </w:tc>
        <w:tc>
          <w:tcPr>
            <w:tcW w:w="1530" w:type="dxa"/>
            <w:tcMar>
              <w:left w:w="115" w:type="dxa"/>
              <w:right w:w="360" w:type="dxa"/>
            </w:tcMar>
            <w:vAlign w:val="center"/>
          </w:tcPr>
          <w:p w:rsidRPr="002462E6" w:rsidR="00B63BB0" w:rsidP="004E7D84" w:rsidRDefault="004E7D84" w14:paraId="33D3FEF0" w14:textId="543E3CDB">
            <w:pPr>
              <w:pStyle w:val="Table"/>
              <w:ind w:right="-252"/>
              <w:jc w:val="right"/>
              <w:rPr>
                <w:sz w:val="18"/>
              </w:rPr>
            </w:pPr>
            <w:r w:rsidRPr="004E7D84">
              <w:rPr>
                <w:sz w:val="18"/>
              </w:rPr>
              <w:t>1,474</w:t>
            </w:r>
          </w:p>
        </w:tc>
        <w:tc>
          <w:tcPr>
            <w:tcW w:w="990" w:type="dxa"/>
            <w:vAlign w:val="center"/>
          </w:tcPr>
          <w:p w:rsidR="00B63BB0" w:rsidP="0049228A" w:rsidRDefault="00B63BB0" w14:paraId="66E7F9A7" w14:textId="0E64BDB2">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rsidRPr="002462E6" w:rsidR="00B63BB0" w:rsidP="00805071" w:rsidRDefault="00805071" w14:paraId="6C616BE8" w14:textId="331FA3B8">
            <w:pPr>
              <w:pStyle w:val="Table"/>
              <w:ind w:right="-270"/>
              <w:jc w:val="right"/>
              <w:rPr>
                <w:sz w:val="18"/>
                <w:szCs w:val="18"/>
              </w:rPr>
            </w:pPr>
            <w:r w:rsidRPr="00805071">
              <w:rPr>
                <w:sz w:val="18"/>
                <w:szCs w:val="18"/>
              </w:rPr>
              <w:t>7,370</w:t>
            </w:r>
          </w:p>
        </w:tc>
        <w:tc>
          <w:tcPr>
            <w:tcW w:w="990" w:type="dxa"/>
            <w:vAlign w:val="center"/>
          </w:tcPr>
          <w:p w:rsidRPr="003613B6" w:rsidR="00B63BB0" w:rsidP="0049228A" w:rsidRDefault="00B63BB0" w14:paraId="7075A73A" w14:textId="72C74CDA">
            <w:pPr>
              <w:pStyle w:val="Table"/>
              <w:jc w:val="right"/>
              <w:rPr>
                <w:sz w:val="18"/>
              </w:rPr>
            </w:pPr>
            <w:r w:rsidRPr="003613B6">
              <w:rPr>
                <w:sz w:val="18"/>
              </w:rPr>
              <w:t>$28.64</w:t>
            </w:r>
          </w:p>
        </w:tc>
        <w:tc>
          <w:tcPr>
            <w:tcW w:w="2160" w:type="dxa"/>
            <w:noWrap/>
            <w:tcMar>
              <w:left w:w="115" w:type="dxa"/>
              <w:right w:w="288" w:type="dxa"/>
            </w:tcMar>
            <w:vAlign w:val="center"/>
          </w:tcPr>
          <w:p w:rsidRPr="002462E6" w:rsidR="00B63BB0" w:rsidP="00821549" w:rsidRDefault="00821549" w14:paraId="6C9D5753" w14:textId="074A18D8">
            <w:pPr>
              <w:pStyle w:val="Table"/>
              <w:ind w:right="-198"/>
              <w:jc w:val="right"/>
              <w:rPr>
                <w:sz w:val="18"/>
                <w:szCs w:val="18"/>
              </w:rPr>
            </w:pPr>
            <w:r w:rsidRPr="00821549">
              <w:rPr>
                <w:sz w:val="18"/>
                <w:szCs w:val="18"/>
              </w:rPr>
              <w:t>$211,077</w:t>
            </w:r>
          </w:p>
        </w:tc>
      </w:tr>
      <w:tr w:rsidRPr="003613B6" w:rsidR="00B63BB0" w:rsidTr="0049228A" w14:paraId="6082110F" w14:textId="77777777">
        <w:trPr>
          <w:trHeight w:val="300"/>
        </w:trPr>
        <w:tc>
          <w:tcPr>
            <w:tcW w:w="1885" w:type="dxa"/>
            <w:vAlign w:val="center"/>
          </w:tcPr>
          <w:p w:rsidRPr="003613B6" w:rsidR="00B63BB0" w:rsidP="00B63BB0" w:rsidRDefault="00B63BB0" w14:paraId="256AF204" w14:textId="390D9D75">
            <w:pPr>
              <w:pStyle w:val="Table"/>
              <w:rPr>
                <w:sz w:val="18"/>
              </w:rPr>
            </w:pPr>
            <w:r>
              <w:rPr>
                <w:color w:val="000000"/>
                <w:sz w:val="18"/>
                <w:szCs w:val="18"/>
              </w:rPr>
              <w:t>1,001-3,300, NTNCWS</w:t>
            </w:r>
          </w:p>
        </w:tc>
        <w:tc>
          <w:tcPr>
            <w:tcW w:w="1530" w:type="dxa"/>
            <w:tcMar>
              <w:left w:w="115" w:type="dxa"/>
              <w:right w:w="360" w:type="dxa"/>
            </w:tcMar>
            <w:vAlign w:val="center"/>
          </w:tcPr>
          <w:p w:rsidRPr="002462E6" w:rsidR="00B63BB0" w:rsidP="004E7D84" w:rsidRDefault="004E7D84" w14:paraId="12D343F8" w14:textId="1AEBBEBC">
            <w:pPr>
              <w:pStyle w:val="Table"/>
              <w:ind w:right="-252"/>
              <w:jc w:val="right"/>
              <w:rPr>
                <w:sz w:val="18"/>
              </w:rPr>
            </w:pPr>
            <w:r w:rsidRPr="004E7D84">
              <w:rPr>
                <w:sz w:val="18"/>
              </w:rPr>
              <w:t>786</w:t>
            </w:r>
          </w:p>
        </w:tc>
        <w:tc>
          <w:tcPr>
            <w:tcW w:w="990" w:type="dxa"/>
            <w:vAlign w:val="center"/>
          </w:tcPr>
          <w:p w:rsidR="00B63BB0" w:rsidP="0049228A" w:rsidRDefault="00B63BB0" w14:paraId="4DE343A1" w14:textId="0094D801">
            <w:pPr>
              <w:pStyle w:val="Table"/>
              <w:jc w:val="right"/>
              <w:rPr>
                <w:color w:val="000000"/>
                <w:sz w:val="18"/>
                <w:szCs w:val="18"/>
              </w:rPr>
            </w:pPr>
            <w:r>
              <w:rPr>
                <w:color w:val="000000"/>
                <w:sz w:val="18"/>
                <w:szCs w:val="18"/>
              </w:rPr>
              <w:t>5</w:t>
            </w:r>
          </w:p>
        </w:tc>
        <w:tc>
          <w:tcPr>
            <w:tcW w:w="1800" w:type="dxa"/>
            <w:tcMar>
              <w:left w:w="115" w:type="dxa"/>
              <w:right w:w="360" w:type="dxa"/>
            </w:tcMar>
            <w:vAlign w:val="center"/>
          </w:tcPr>
          <w:p w:rsidRPr="002462E6" w:rsidR="00B63BB0" w:rsidP="00805071" w:rsidRDefault="00805071" w14:paraId="22A65CB8" w14:textId="6EAE632D">
            <w:pPr>
              <w:pStyle w:val="Table"/>
              <w:ind w:right="-270"/>
              <w:jc w:val="right"/>
              <w:rPr>
                <w:sz w:val="18"/>
                <w:szCs w:val="18"/>
              </w:rPr>
            </w:pPr>
            <w:r w:rsidRPr="00805071">
              <w:rPr>
                <w:sz w:val="18"/>
                <w:szCs w:val="18"/>
              </w:rPr>
              <w:t>3,930</w:t>
            </w:r>
          </w:p>
        </w:tc>
        <w:tc>
          <w:tcPr>
            <w:tcW w:w="990" w:type="dxa"/>
            <w:vAlign w:val="center"/>
          </w:tcPr>
          <w:p w:rsidRPr="003613B6" w:rsidR="00B63BB0" w:rsidP="0049228A" w:rsidRDefault="00B63BB0" w14:paraId="633FC187" w14:textId="62DC37D0">
            <w:pPr>
              <w:pStyle w:val="Table"/>
              <w:jc w:val="right"/>
              <w:rPr>
                <w:sz w:val="18"/>
              </w:rPr>
            </w:pPr>
            <w:r w:rsidRPr="003613B6">
              <w:rPr>
                <w:sz w:val="18"/>
              </w:rPr>
              <w:t>$28.64</w:t>
            </w:r>
          </w:p>
        </w:tc>
        <w:tc>
          <w:tcPr>
            <w:tcW w:w="2160" w:type="dxa"/>
            <w:noWrap/>
            <w:tcMar>
              <w:left w:w="115" w:type="dxa"/>
              <w:right w:w="288" w:type="dxa"/>
            </w:tcMar>
            <w:vAlign w:val="center"/>
          </w:tcPr>
          <w:p w:rsidRPr="002462E6" w:rsidR="00B63BB0" w:rsidP="00821549" w:rsidRDefault="00821549" w14:paraId="1FF04B36" w14:textId="04F67B6F">
            <w:pPr>
              <w:pStyle w:val="Table"/>
              <w:ind w:right="-198"/>
              <w:jc w:val="right"/>
              <w:rPr>
                <w:sz w:val="18"/>
                <w:szCs w:val="18"/>
              </w:rPr>
            </w:pPr>
            <w:r w:rsidRPr="00821549">
              <w:rPr>
                <w:sz w:val="18"/>
                <w:szCs w:val="18"/>
              </w:rPr>
              <w:t>$112,555</w:t>
            </w:r>
          </w:p>
        </w:tc>
      </w:tr>
      <w:tr w:rsidRPr="003613B6" w:rsidR="00B63BB0" w:rsidTr="0049228A" w14:paraId="3D501422" w14:textId="77777777">
        <w:trPr>
          <w:trHeight w:val="300"/>
        </w:trPr>
        <w:tc>
          <w:tcPr>
            <w:tcW w:w="1885" w:type="dxa"/>
            <w:vAlign w:val="center"/>
          </w:tcPr>
          <w:p w:rsidRPr="003613B6" w:rsidR="00B63BB0" w:rsidP="00B63BB0" w:rsidRDefault="00B63BB0" w14:paraId="56800958" w14:textId="5A5E699E">
            <w:pPr>
              <w:pStyle w:val="Table"/>
              <w:rPr>
                <w:sz w:val="18"/>
              </w:rPr>
            </w:pPr>
            <w:r>
              <w:rPr>
                <w:color w:val="000000"/>
                <w:sz w:val="18"/>
                <w:szCs w:val="18"/>
              </w:rPr>
              <w:t>3,301-10,000, NTNCWS</w:t>
            </w:r>
          </w:p>
        </w:tc>
        <w:tc>
          <w:tcPr>
            <w:tcW w:w="1530" w:type="dxa"/>
            <w:tcMar>
              <w:left w:w="115" w:type="dxa"/>
              <w:right w:w="360" w:type="dxa"/>
            </w:tcMar>
            <w:vAlign w:val="center"/>
          </w:tcPr>
          <w:p w:rsidRPr="002462E6" w:rsidR="00B63BB0" w:rsidP="004E7D84" w:rsidRDefault="004E7D84" w14:paraId="08F35807" w14:textId="093B91BE">
            <w:pPr>
              <w:pStyle w:val="Table"/>
              <w:ind w:right="-252"/>
              <w:jc w:val="right"/>
              <w:rPr>
                <w:sz w:val="18"/>
              </w:rPr>
            </w:pPr>
            <w:r w:rsidRPr="004E7D84">
              <w:rPr>
                <w:sz w:val="18"/>
              </w:rPr>
              <w:t>124</w:t>
            </w:r>
          </w:p>
        </w:tc>
        <w:tc>
          <w:tcPr>
            <w:tcW w:w="990" w:type="dxa"/>
            <w:vAlign w:val="center"/>
          </w:tcPr>
          <w:p w:rsidR="00B63BB0" w:rsidP="0049228A" w:rsidRDefault="00B63BB0" w14:paraId="7A84BCF6" w14:textId="56A89F2F">
            <w:pPr>
              <w:pStyle w:val="Table"/>
              <w:jc w:val="right"/>
              <w:rPr>
                <w:color w:val="000000"/>
                <w:sz w:val="18"/>
                <w:szCs w:val="18"/>
              </w:rPr>
            </w:pPr>
            <w:r>
              <w:rPr>
                <w:color w:val="000000"/>
                <w:sz w:val="18"/>
                <w:szCs w:val="18"/>
              </w:rPr>
              <w:t>10</w:t>
            </w:r>
          </w:p>
        </w:tc>
        <w:tc>
          <w:tcPr>
            <w:tcW w:w="1800" w:type="dxa"/>
            <w:tcMar>
              <w:left w:w="115" w:type="dxa"/>
              <w:right w:w="360" w:type="dxa"/>
            </w:tcMar>
            <w:vAlign w:val="center"/>
          </w:tcPr>
          <w:p w:rsidRPr="002462E6" w:rsidR="00B63BB0" w:rsidP="00805071" w:rsidRDefault="00805071" w14:paraId="515220F4" w14:textId="2F7D22D7">
            <w:pPr>
              <w:pStyle w:val="Table"/>
              <w:ind w:right="-270"/>
              <w:jc w:val="right"/>
              <w:rPr>
                <w:sz w:val="18"/>
                <w:szCs w:val="18"/>
              </w:rPr>
            </w:pPr>
            <w:r w:rsidRPr="00805071">
              <w:rPr>
                <w:sz w:val="18"/>
                <w:szCs w:val="18"/>
              </w:rPr>
              <w:t>1,240</w:t>
            </w:r>
          </w:p>
        </w:tc>
        <w:tc>
          <w:tcPr>
            <w:tcW w:w="990" w:type="dxa"/>
            <w:vAlign w:val="center"/>
          </w:tcPr>
          <w:p w:rsidRPr="003613B6" w:rsidR="00B63BB0" w:rsidP="0049228A" w:rsidRDefault="00B63BB0" w14:paraId="56C70695" w14:textId="355600B4">
            <w:pPr>
              <w:pStyle w:val="Table"/>
              <w:jc w:val="right"/>
              <w:rPr>
                <w:sz w:val="18"/>
              </w:rPr>
            </w:pPr>
            <w:r w:rsidRPr="003613B6">
              <w:rPr>
                <w:sz w:val="18"/>
              </w:rPr>
              <w:t>$33.74</w:t>
            </w:r>
          </w:p>
        </w:tc>
        <w:tc>
          <w:tcPr>
            <w:tcW w:w="2160" w:type="dxa"/>
            <w:noWrap/>
            <w:tcMar>
              <w:left w:w="115" w:type="dxa"/>
              <w:right w:w="288" w:type="dxa"/>
            </w:tcMar>
            <w:vAlign w:val="center"/>
          </w:tcPr>
          <w:p w:rsidRPr="002462E6" w:rsidR="00B63BB0" w:rsidP="00821549" w:rsidRDefault="00821549" w14:paraId="2C546915" w14:textId="4E395669">
            <w:pPr>
              <w:pStyle w:val="Table"/>
              <w:ind w:right="-198"/>
              <w:jc w:val="right"/>
              <w:rPr>
                <w:sz w:val="18"/>
                <w:szCs w:val="18"/>
              </w:rPr>
            </w:pPr>
            <w:r w:rsidRPr="00821549">
              <w:rPr>
                <w:sz w:val="18"/>
                <w:szCs w:val="18"/>
              </w:rPr>
              <w:t>$41,838</w:t>
            </w:r>
          </w:p>
        </w:tc>
      </w:tr>
      <w:tr w:rsidRPr="003613B6" w:rsidR="00B63BB0" w:rsidTr="0049228A" w14:paraId="40BA2929" w14:textId="77777777">
        <w:trPr>
          <w:trHeight w:val="300"/>
        </w:trPr>
        <w:tc>
          <w:tcPr>
            <w:tcW w:w="1885" w:type="dxa"/>
            <w:vAlign w:val="center"/>
          </w:tcPr>
          <w:p w:rsidRPr="003613B6" w:rsidR="00B63BB0" w:rsidP="00B63BB0" w:rsidRDefault="00B63BB0" w14:paraId="526EA054" w14:textId="7306C39D">
            <w:pPr>
              <w:pStyle w:val="Table"/>
              <w:rPr>
                <w:sz w:val="18"/>
              </w:rPr>
            </w:pPr>
            <w:r>
              <w:rPr>
                <w:color w:val="000000"/>
                <w:sz w:val="18"/>
                <w:szCs w:val="18"/>
              </w:rPr>
              <w:t>10,001-50,000, NTNCWS</w:t>
            </w:r>
          </w:p>
        </w:tc>
        <w:tc>
          <w:tcPr>
            <w:tcW w:w="1530" w:type="dxa"/>
            <w:tcMar>
              <w:left w:w="115" w:type="dxa"/>
              <w:right w:w="360" w:type="dxa"/>
            </w:tcMar>
            <w:vAlign w:val="center"/>
          </w:tcPr>
          <w:p w:rsidRPr="002462E6" w:rsidR="00B63BB0" w:rsidP="004E7D84" w:rsidRDefault="004E7D84" w14:paraId="7909AABA" w14:textId="2935C2DC">
            <w:pPr>
              <w:pStyle w:val="Table"/>
              <w:ind w:right="-252"/>
              <w:jc w:val="right"/>
              <w:rPr>
                <w:sz w:val="18"/>
              </w:rPr>
            </w:pPr>
            <w:r w:rsidRPr="004E7D84">
              <w:rPr>
                <w:sz w:val="18"/>
              </w:rPr>
              <w:t>19</w:t>
            </w:r>
          </w:p>
        </w:tc>
        <w:tc>
          <w:tcPr>
            <w:tcW w:w="990" w:type="dxa"/>
            <w:vAlign w:val="center"/>
          </w:tcPr>
          <w:p w:rsidR="00B63BB0" w:rsidP="0049228A" w:rsidRDefault="00B63BB0" w14:paraId="02E79736" w14:textId="0F963BD6">
            <w:pPr>
              <w:pStyle w:val="Table"/>
              <w:jc w:val="right"/>
              <w:rPr>
                <w:color w:val="000000"/>
                <w:sz w:val="18"/>
                <w:szCs w:val="18"/>
              </w:rPr>
            </w:pPr>
            <w:r>
              <w:rPr>
                <w:color w:val="000000"/>
                <w:sz w:val="18"/>
                <w:szCs w:val="18"/>
              </w:rPr>
              <w:t>10</w:t>
            </w:r>
          </w:p>
        </w:tc>
        <w:tc>
          <w:tcPr>
            <w:tcW w:w="1800" w:type="dxa"/>
            <w:tcMar>
              <w:left w:w="115" w:type="dxa"/>
              <w:right w:w="360" w:type="dxa"/>
            </w:tcMar>
            <w:vAlign w:val="center"/>
          </w:tcPr>
          <w:p w:rsidRPr="002462E6" w:rsidR="00B63BB0" w:rsidP="00805071" w:rsidRDefault="00805071" w14:paraId="09A0ACFD" w14:textId="0E2B5589">
            <w:pPr>
              <w:pStyle w:val="Table"/>
              <w:ind w:right="-270"/>
              <w:jc w:val="right"/>
              <w:rPr>
                <w:sz w:val="18"/>
                <w:szCs w:val="18"/>
              </w:rPr>
            </w:pPr>
            <w:r w:rsidRPr="00805071">
              <w:rPr>
                <w:sz w:val="18"/>
                <w:szCs w:val="18"/>
              </w:rPr>
              <w:t>190</w:t>
            </w:r>
          </w:p>
        </w:tc>
        <w:tc>
          <w:tcPr>
            <w:tcW w:w="990" w:type="dxa"/>
            <w:vAlign w:val="center"/>
          </w:tcPr>
          <w:p w:rsidRPr="003613B6" w:rsidR="00B63BB0" w:rsidP="0049228A" w:rsidRDefault="00B63BB0" w14:paraId="74192C7E" w14:textId="3F65C093">
            <w:pPr>
              <w:pStyle w:val="Table"/>
              <w:jc w:val="right"/>
              <w:rPr>
                <w:sz w:val="18"/>
              </w:rPr>
            </w:pPr>
            <w:r w:rsidRPr="003613B6">
              <w:rPr>
                <w:sz w:val="18"/>
              </w:rPr>
              <w:t>$36.15</w:t>
            </w:r>
          </w:p>
        </w:tc>
        <w:tc>
          <w:tcPr>
            <w:tcW w:w="2160" w:type="dxa"/>
            <w:noWrap/>
            <w:tcMar>
              <w:left w:w="115" w:type="dxa"/>
              <w:right w:w="288" w:type="dxa"/>
            </w:tcMar>
            <w:vAlign w:val="center"/>
          </w:tcPr>
          <w:p w:rsidRPr="002462E6" w:rsidR="00B63BB0" w:rsidP="00821549" w:rsidRDefault="00821549" w14:paraId="04CCD2A8" w14:textId="04EC9B73">
            <w:pPr>
              <w:pStyle w:val="Table"/>
              <w:ind w:right="-198"/>
              <w:jc w:val="right"/>
              <w:rPr>
                <w:sz w:val="18"/>
                <w:szCs w:val="18"/>
              </w:rPr>
            </w:pPr>
            <w:r w:rsidRPr="00821549">
              <w:rPr>
                <w:sz w:val="18"/>
                <w:szCs w:val="18"/>
              </w:rPr>
              <w:t>$6,869</w:t>
            </w:r>
          </w:p>
        </w:tc>
      </w:tr>
      <w:tr w:rsidRPr="003613B6" w:rsidR="00B63BB0" w:rsidTr="0049228A" w14:paraId="535FC6CC" w14:textId="77777777">
        <w:trPr>
          <w:trHeight w:val="300"/>
        </w:trPr>
        <w:tc>
          <w:tcPr>
            <w:tcW w:w="1885" w:type="dxa"/>
            <w:vAlign w:val="center"/>
          </w:tcPr>
          <w:p w:rsidRPr="003613B6" w:rsidR="00B63BB0" w:rsidP="00B63BB0" w:rsidRDefault="00B63BB0" w14:paraId="7C0C8DB8" w14:textId="658B497B">
            <w:pPr>
              <w:pStyle w:val="Table"/>
              <w:rPr>
                <w:sz w:val="18"/>
              </w:rPr>
            </w:pPr>
            <w:r>
              <w:rPr>
                <w:color w:val="000000"/>
                <w:sz w:val="18"/>
                <w:szCs w:val="18"/>
              </w:rPr>
              <w:t>50,001-100,000, NTNCWS</w:t>
            </w:r>
          </w:p>
        </w:tc>
        <w:tc>
          <w:tcPr>
            <w:tcW w:w="1530" w:type="dxa"/>
            <w:tcMar>
              <w:left w:w="115" w:type="dxa"/>
              <w:right w:w="360" w:type="dxa"/>
            </w:tcMar>
            <w:vAlign w:val="center"/>
          </w:tcPr>
          <w:p w:rsidRPr="002462E6" w:rsidR="00B63BB0" w:rsidP="0049228A" w:rsidRDefault="004E7D84" w14:paraId="08A5C348" w14:textId="0E813C67">
            <w:pPr>
              <w:pStyle w:val="Table"/>
              <w:ind w:right="-252"/>
              <w:jc w:val="right"/>
              <w:rPr>
                <w:sz w:val="18"/>
              </w:rPr>
            </w:pPr>
            <w:r w:rsidRPr="004E7D84">
              <w:rPr>
                <w:sz w:val="18"/>
              </w:rPr>
              <w:t>1</w:t>
            </w:r>
          </w:p>
        </w:tc>
        <w:tc>
          <w:tcPr>
            <w:tcW w:w="990" w:type="dxa"/>
            <w:vAlign w:val="center"/>
          </w:tcPr>
          <w:p w:rsidR="00B63BB0" w:rsidP="0049228A" w:rsidRDefault="00B63BB0" w14:paraId="5A416950" w14:textId="4C0B8F27">
            <w:pPr>
              <w:pStyle w:val="Table"/>
              <w:jc w:val="right"/>
              <w:rPr>
                <w:color w:val="000000"/>
                <w:sz w:val="18"/>
                <w:szCs w:val="18"/>
              </w:rPr>
            </w:pPr>
            <w:r>
              <w:rPr>
                <w:color w:val="000000"/>
                <w:sz w:val="18"/>
                <w:szCs w:val="18"/>
              </w:rPr>
              <w:t>20</w:t>
            </w:r>
          </w:p>
        </w:tc>
        <w:tc>
          <w:tcPr>
            <w:tcW w:w="1800" w:type="dxa"/>
            <w:tcMar>
              <w:left w:w="115" w:type="dxa"/>
              <w:right w:w="360" w:type="dxa"/>
            </w:tcMar>
            <w:vAlign w:val="center"/>
          </w:tcPr>
          <w:p w:rsidRPr="002462E6" w:rsidR="00B63BB0" w:rsidP="0049228A" w:rsidRDefault="00805071" w14:paraId="1A71F8D5" w14:textId="7A7FA6B5">
            <w:pPr>
              <w:pStyle w:val="Table"/>
              <w:ind w:right="-270"/>
              <w:jc w:val="right"/>
              <w:rPr>
                <w:sz w:val="18"/>
                <w:szCs w:val="18"/>
              </w:rPr>
            </w:pPr>
            <w:r w:rsidRPr="00805071">
              <w:rPr>
                <w:sz w:val="18"/>
                <w:szCs w:val="18"/>
              </w:rPr>
              <w:t>20</w:t>
            </w:r>
          </w:p>
        </w:tc>
        <w:tc>
          <w:tcPr>
            <w:tcW w:w="990" w:type="dxa"/>
            <w:vAlign w:val="center"/>
          </w:tcPr>
          <w:p w:rsidRPr="003613B6" w:rsidR="00B63BB0" w:rsidP="0049228A" w:rsidRDefault="00B63BB0" w14:paraId="2163C3E5" w14:textId="3D99904F">
            <w:pPr>
              <w:pStyle w:val="Table"/>
              <w:jc w:val="right"/>
              <w:rPr>
                <w:sz w:val="18"/>
              </w:rPr>
            </w:pPr>
            <w:r w:rsidRPr="003613B6">
              <w:rPr>
                <w:sz w:val="18"/>
              </w:rPr>
              <w:t>$39.01</w:t>
            </w:r>
          </w:p>
        </w:tc>
        <w:tc>
          <w:tcPr>
            <w:tcW w:w="2160" w:type="dxa"/>
            <w:noWrap/>
            <w:tcMar>
              <w:left w:w="115" w:type="dxa"/>
              <w:right w:w="288" w:type="dxa"/>
            </w:tcMar>
            <w:vAlign w:val="center"/>
          </w:tcPr>
          <w:p w:rsidRPr="002462E6" w:rsidR="00B63BB0" w:rsidP="0049228A" w:rsidRDefault="00821549" w14:paraId="0B5EEABB" w14:textId="00DA6DC6">
            <w:pPr>
              <w:pStyle w:val="Table"/>
              <w:ind w:right="-198"/>
              <w:jc w:val="right"/>
              <w:rPr>
                <w:sz w:val="18"/>
                <w:szCs w:val="18"/>
              </w:rPr>
            </w:pPr>
            <w:r w:rsidRPr="00821549">
              <w:rPr>
                <w:sz w:val="18"/>
                <w:szCs w:val="18"/>
              </w:rPr>
              <w:t>$780</w:t>
            </w:r>
          </w:p>
        </w:tc>
      </w:tr>
      <w:tr w:rsidRPr="003613B6" w:rsidR="00B63BB0" w:rsidTr="0049228A" w14:paraId="5CC32C5B" w14:textId="77777777">
        <w:trPr>
          <w:trHeight w:val="300"/>
        </w:trPr>
        <w:tc>
          <w:tcPr>
            <w:tcW w:w="1885" w:type="dxa"/>
            <w:vAlign w:val="center"/>
          </w:tcPr>
          <w:p w:rsidRPr="003613B6" w:rsidR="00B63BB0" w:rsidP="00B63BB0" w:rsidRDefault="00B63BB0" w14:paraId="6FF85BC6" w14:textId="2B8EDFCF">
            <w:pPr>
              <w:pStyle w:val="Table"/>
              <w:rPr>
                <w:sz w:val="18"/>
              </w:rPr>
            </w:pPr>
            <w:r>
              <w:rPr>
                <w:color w:val="000000"/>
                <w:sz w:val="18"/>
                <w:szCs w:val="18"/>
              </w:rPr>
              <w:t>100,001-1,000,000, NTNCWS</w:t>
            </w:r>
          </w:p>
        </w:tc>
        <w:tc>
          <w:tcPr>
            <w:tcW w:w="1530" w:type="dxa"/>
            <w:tcMar>
              <w:left w:w="115" w:type="dxa"/>
              <w:right w:w="360" w:type="dxa"/>
            </w:tcMar>
            <w:vAlign w:val="center"/>
          </w:tcPr>
          <w:p w:rsidRPr="002462E6" w:rsidR="00B63BB0" w:rsidP="0049228A" w:rsidRDefault="00B63BB0" w14:paraId="25E5A51B" w14:textId="411C6498">
            <w:pPr>
              <w:pStyle w:val="Table"/>
              <w:ind w:right="-252"/>
              <w:jc w:val="right"/>
              <w:rPr>
                <w:sz w:val="18"/>
              </w:rPr>
            </w:pPr>
            <w:r>
              <w:rPr>
                <w:color w:val="000000"/>
                <w:sz w:val="18"/>
                <w:szCs w:val="18"/>
              </w:rPr>
              <w:t>0</w:t>
            </w:r>
          </w:p>
        </w:tc>
        <w:tc>
          <w:tcPr>
            <w:tcW w:w="990" w:type="dxa"/>
            <w:vAlign w:val="center"/>
          </w:tcPr>
          <w:p w:rsidR="00B63BB0" w:rsidP="0049228A" w:rsidRDefault="00B63BB0" w14:paraId="75FBBF1E" w14:textId="25B651BA">
            <w:pPr>
              <w:pStyle w:val="Table"/>
              <w:jc w:val="right"/>
              <w:rPr>
                <w:color w:val="000000"/>
                <w:sz w:val="18"/>
                <w:szCs w:val="18"/>
              </w:rPr>
            </w:pPr>
            <w:r>
              <w:rPr>
                <w:color w:val="000000"/>
                <w:sz w:val="18"/>
                <w:szCs w:val="18"/>
              </w:rPr>
              <w:t>20</w:t>
            </w:r>
          </w:p>
        </w:tc>
        <w:tc>
          <w:tcPr>
            <w:tcW w:w="1800" w:type="dxa"/>
            <w:tcMar>
              <w:left w:w="115" w:type="dxa"/>
              <w:right w:w="360" w:type="dxa"/>
            </w:tcMar>
            <w:vAlign w:val="center"/>
          </w:tcPr>
          <w:p w:rsidRPr="002462E6" w:rsidR="00B63BB0" w:rsidP="0049228A" w:rsidRDefault="00B63BB0" w14:paraId="55DFD895" w14:textId="5E6A2369">
            <w:pPr>
              <w:pStyle w:val="Table"/>
              <w:ind w:right="-270"/>
              <w:jc w:val="right"/>
              <w:rPr>
                <w:sz w:val="18"/>
                <w:szCs w:val="18"/>
              </w:rPr>
            </w:pPr>
            <w:r>
              <w:rPr>
                <w:color w:val="000000"/>
                <w:sz w:val="18"/>
                <w:szCs w:val="18"/>
              </w:rPr>
              <w:t>0</w:t>
            </w:r>
          </w:p>
        </w:tc>
        <w:tc>
          <w:tcPr>
            <w:tcW w:w="990" w:type="dxa"/>
            <w:vAlign w:val="center"/>
          </w:tcPr>
          <w:p w:rsidRPr="003613B6" w:rsidR="00B63BB0" w:rsidP="0049228A" w:rsidRDefault="00B63BB0" w14:paraId="0784C18C" w14:textId="4741F66C">
            <w:pPr>
              <w:pStyle w:val="Table"/>
              <w:jc w:val="right"/>
              <w:rPr>
                <w:sz w:val="18"/>
              </w:rPr>
            </w:pPr>
            <w:r w:rsidRPr="003613B6">
              <w:rPr>
                <w:sz w:val="18"/>
              </w:rPr>
              <w:t>$44.38</w:t>
            </w:r>
          </w:p>
        </w:tc>
        <w:tc>
          <w:tcPr>
            <w:tcW w:w="2160" w:type="dxa"/>
            <w:noWrap/>
            <w:tcMar>
              <w:left w:w="115" w:type="dxa"/>
              <w:right w:w="288" w:type="dxa"/>
            </w:tcMar>
            <w:vAlign w:val="center"/>
          </w:tcPr>
          <w:p w:rsidRPr="002462E6" w:rsidR="00B63BB0" w:rsidP="0049228A" w:rsidRDefault="0049228A" w14:paraId="0B01BD2D" w14:textId="15BF4A59">
            <w:pPr>
              <w:pStyle w:val="Table"/>
              <w:ind w:right="-198"/>
              <w:jc w:val="right"/>
              <w:rPr>
                <w:sz w:val="18"/>
                <w:szCs w:val="18"/>
              </w:rPr>
            </w:pPr>
            <w:r>
              <w:rPr>
                <w:color w:val="000000"/>
                <w:sz w:val="18"/>
                <w:szCs w:val="18"/>
              </w:rPr>
              <w:t xml:space="preserve"> $0</w:t>
            </w:r>
            <w:r w:rsidR="00B63BB0">
              <w:rPr>
                <w:color w:val="000000"/>
                <w:sz w:val="18"/>
                <w:szCs w:val="18"/>
              </w:rPr>
              <w:t xml:space="preserve">   </w:t>
            </w:r>
          </w:p>
        </w:tc>
      </w:tr>
      <w:tr w:rsidRPr="003613B6" w:rsidR="00B63BB0" w:rsidTr="0049228A" w14:paraId="6E1F974E" w14:textId="77777777">
        <w:trPr>
          <w:trHeight w:val="300"/>
        </w:trPr>
        <w:tc>
          <w:tcPr>
            <w:tcW w:w="1885" w:type="dxa"/>
            <w:vAlign w:val="center"/>
          </w:tcPr>
          <w:p w:rsidRPr="003613B6" w:rsidR="00B63BB0" w:rsidP="00B63BB0" w:rsidRDefault="00B63BB0" w14:paraId="68E63391" w14:textId="232CBFCC">
            <w:pPr>
              <w:pStyle w:val="Table"/>
              <w:rPr>
                <w:sz w:val="18"/>
              </w:rPr>
            </w:pPr>
            <w:r>
              <w:rPr>
                <w:color w:val="000000"/>
                <w:sz w:val="18"/>
                <w:szCs w:val="18"/>
              </w:rPr>
              <w:t>&gt;1,000,000, NTNCWS</w:t>
            </w:r>
          </w:p>
        </w:tc>
        <w:tc>
          <w:tcPr>
            <w:tcW w:w="1530" w:type="dxa"/>
            <w:tcMar>
              <w:left w:w="115" w:type="dxa"/>
              <w:right w:w="360" w:type="dxa"/>
            </w:tcMar>
            <w:vAlign w:val="center"/>
          </w:tcPr>
          <w:p w:rsidRPr="002462E6" w:rsidR="00B63BB0" w:rsidP="0049228A" w:rsidRDefault="00B63BB0" w14:paraId="625529AD" w14:textId="794BE120">
            <w:pPr>
              <w:pStyle w:val="Table"/>
              <w:ind w:right="-252"/>
              <w:jc w:val="right"/>
              <w:rPr>
                <w:sz w:val="18"/>
              </w:rPr>
            </w:pPr>
            <w:r>
              <w:rPr>
                <w:color w:val="000000"/>
                <w:sz w:val="18"/>
                <w:szCs w:val="18"/>
              </w:rPr>
              <w:t>0</w:t>
            </w:r>
          </w:p>
        </w:tc>
        <w:tc>
          <w:tcPr>
            <w:tcW w:w="990" w:type="dxa"/>
            <w:vAlign w:val="center"/>
          </w:tcPr>
          <w:p w:rsidR="00B63BB0" w:rsidP="0049228A" w:rsidRDefault="00B63BB0" w14:paraId="782CB02E" w14:textId="28DD60FE">
            <w:pPr>
              <w:pStyle w:val="Table"/>
              <w:jc w:val="center"/>
              <w:rPr>
                <w:color w:val="000000"/>
                <w:sz w:val="18"/>
                <w:szCs w:val="18"/>
              </w:rPr>
            </w:pPr>
            <w:r>
              <w:rPr>
                <w:color w:val="000000"/>
                <w:sz w:val="18"/>
                <w:szCs w:val="18"/>
              </w:rPr>
              <w:t>not applicable</w:t>
            </w:r>
          </w:p>
        </w:tc>
        <w:tc>
          <w:tcPr>
            <w:tcW w:w="1800" w:type="dxa"/>
            <w:tcMar>
              <w:left w:w="115" w:type="dxa"/>
              <w:right w:w="360" w:type="dxa"/>
            </w:tcMar>
            <w:vAlign w:val="center"/>
          </w:tcPr>
          <w:p w:rsidRPr="002462E6" w:rsidR="00B63BB0" w:rsidP="0049228A" w:rsidRDefault="00B63BB0" w14:paraId="656FC8D9" w14:textId="4FDEAEB0">
            <w:pPr>
              <w:pStyle w:val="Table"/>
              <w:ind w:right="-270"/>
              <w:jc w:val="right"/>
              <w:rPr>
                <w:sz w:val="18"/>
                <w:szCs w:val="18"/>
              </w:rPr>
            </w:pPr>
            <w:r>
              <w:rPr>
                <w:color w:val="000000"/>
                <w:sz w:val="18"/>
                <w:szCs w:val="18"/>
              </w:rPr>
              <w:t>0</w:t>
            </w:r>
          </w:p>
        </w:tc>
        <w:tc>
          <w:tcPr>
            <w:tcW w:w="990" w:type="dxa"/>
            <w:vAlign w:val="center"/>
          </w:tcPr>
          <w:p w:rsidRPr="003613B6" w:rsidR="00B63BB0" w:rsidP="0049228A" w:rsidRDefault="00B63BB0" w14:paraId="0C791BA8" w14:textId="48977143">
            <w:pPr>
              <w:pStyle w:val="Table"/>
              <w:jc w:val="right"/>
              <w:rPr>
                <w:sz w:val="18"/>
              </w:rPr>
            </w:pPr>
            <w:r w:rsidRPr="003613B6">
              <w:rPr>
                <w:sz w:val="18"/>
              </w:rPr>
              <w:t>$44.38</w:t>
            </w:r>
          </w:p>
        </w:tc>
        <w:tc>
          <w:tcPr>
            <w:tcW w:w="2160" w:type="dxa"/>
            <w:noWrap/>
            <w:tcMar>
              <w:left w:w="115" w:type="dxa"/>
              <w:right w:w="288" w:type="dxa"/>
            </w:tcMar>
            <w:vAlign w:val="center"/>
          </w:tcPr>
          <w:p w:rsidRPr="002462E6" w:rsidR="00B63BB0" w:rsidP="0049228A" w:rsidRDefault="0049228A" w14:paraId="1D26A1F3" w14:textId="59F76BC0">
            <w:pPr>
              <w:pStyle w:val="Table"/>
              <w:ind w:right="-198"/>
              <w:jc w:val="right"/>
              <w:rPr>
                <w:sz w:val="18"/>
                <w:szCs w:val="18"/>
              </w:rPr>
            </w:pPr>
            <w:r>
              <w:rPr>
                <w:color w:val="000000"/>
                <w:sz w:val="18"/>
                <w:szCs w:val="18"/>
              </w:rPr>
              <w:t xml:space="preserve"> $0</w:t>
            </w:r>
            <w:r w:rsidR="00B63BB0">
              <w:rPr>
                <w:color w:val="000000"/>
                <w:sz w:val="18"/>
                <w:szCs w:val="18"/>
              </w:rPr>
              <w:t xml:space="preserve"> </w:t>
            </w:r>
          </w:p>
        </w:tc>
      </w:tr>
      <w:tr w:rsidRPr="003613B6" w:rsidR="00B63BB0" w:rsidTr="004E7D84" w14:paraId="0BD6701A" w14:textId="77777777">
        <w:trPr>
          <w:trHeight w:val="300"/>
        </w:trPr>
        <w:tc>
          <w:tcPr>
            <w:tcW w:w="1885" w:type="dxa"/>
            <w:vAlign w:val="center"/>
            <w:hideMark/>
          </w:tcPr>
          <w:p w:rsidRPr="003613B6" w:rsidR="00B63BB0" w:rsidP="00B63BB0" w:rsidRDefault="00B63BB0" w14:paraId="7A814B84" w14:textId="77777777">
            <w:pPr>
              <w:pStyle w:val="Table"/>
              <w:rPr>
                <w:b/>
                <w:sz w:val="18"/>
              </w:rPr>
            </w:pPr>
            <w:r w:rsidRPr="003613B6">
              <w:rPr>
                <w:b/>
                <w:sz w:val="18"/>
              </w:rPr>
              <w:t xml:space="preserve">System </w:t>
            </w:r>
            <w:r>
              <w:rPr>
                <w:b/>
                <w:sz w:val="18"/>
              </w:rPr>
              <w:t>3-year T</w:t>
            </w:r>
            <w:r w:rsidRPr="003613B6">
              <w:rPr>
                <w:b/>
                <w:sz w:val="18"/>
              </w:rPr>
              <w:t>otal</w:t>
            </w:r>
          </w:p>
        </w:tc>
        <w:tc>
          <w:tcPr>
            <w:tcW w:w="1530" w:type="dxa"/>
            <w:tcMar>
              <w:left w:w="115" w:type="dxa"/>
              <w:right w:w="360" w:type="dxa"/>
            </w:tcMar>
            <w:vAlign w:val="center"/>
            <w:hideMark/>
          </w:tcPr>
          <w:p w:rsidRPr="00D143D9" w:rsidR="00B63BB0" w:rsidP="00B84EC0" w:rsidRDefault="00B84EC0" w14:paraId="4D3AF0FA" w14:textId="177DAD25">
            <w:pPr>
              <w:pStyle w:val="Table"/>
              <w:tabs>
                <w:tab w:val="left" w:pos="1032"/>
              </w:tabs>
              <w:ind w:right="-252"/>
              <w:jc w:val="right"/>
              <w:rPr>
                <w:b/>
                <w:sz w:val="18"/>
              </w:rPr>
            </w:pPr>
            <w:r w:rsidRPr="00B84EC0">
              <w:rPr>
                <w:b/>
                <w:sz w:val="18"/>
              </w:rPr>
              <w:t>49,435</w:t>
            </w:r>
            <w:r>
              <w:rPr>
                <w:b/>
                <w:sz w:val="18"/>
              </w:rPr>
              <w:t xml:space="preserve"> to </w:t>
            </w:r>
            <w:r w:rsidRPr="00B84EC0">
              <w:rPr>
                <w:b/>
                <w:sz w:val="18"/>
              </w:rPr>
              <w:t>47,104</w:t>
            </w:r>
          </w:p>
        </w:tc>
        <w:tc>
          <w:tcPr>
            <w:tcW w:w="990" w:type="dxa"/>
            <w:vAlign w:val="center"/>
            <w:hideMark/>
          </w:tcPr>
          <w:p w:rsidRPr="003613B6" w:rsidR="00B63BB0" w:rsidP="0049228A" w:rsidRDefault="00B63BB0" w14:paraId="693B818E" w14:textId="77777777">
            <w:pPr>
              <w:pStyle w:val="Table"/>
              <w:jc w:val="center"/>
              <w:rPr>
                <w:b/>
                <w:sz w:val="18"/>
              </w:rPr>
            </w:pPr>
            <w:r w:rsidRPr="003613B6">
              <w:rPr>
                <w:b/>
                <w:sz w:val="18"/>
              </w:rPr>
              <w:t>not applicable</w:t>
            </w:r>
          </w:p>
        </w:tc>
        <w:tc>
          <w:tcPr>
            <w:tcW w:w="1800" w:type="dxa"/>
            <w:tcMar>
              <w:left w:w="115" w:type="dxa"/>
              <w:right w:w="360" w:type="dxa"/>
            </w:tcMar>
            <w:vAlign w:val="center"/>
          </w:tcPr>
          <w:p w:rsidRPr="00D143D9" w:rsidR="00B63BB0" w:rsidP="00B84EC0" w:rsidRDefault="00B84EC0" w14:paraId="2AE62384" w14:textId="532B9173">
            <w:pPr>
              <w:pStyle w:val="Table"/>
              <w:ind w:right="-270"/>
              <w:jc w:val="right"/>
              <w:rPr>
                <w:b/>
                <w:sz w:val="18"/>
                <w:szCs w:val="18"/>
              </w:rPr>
            </w:pPr>
            <w:r w:rsidRPr="00B84EC0">
              <w:rPr>
                <w:b/>
                <w:sz w:val="18"/>
                <w:szCs w:val="18"/>
              </w:rPr>
              <w:t>477,185</w:t>
            </w:r>
            <w:r>
              <w:rPr>
                <w:b/>
                <w:sz w:val="18"/>
                <w:szCs w:val="18"/>
              </w:rPr>
              <w:t xml:space="preserve"> to </w:t>
            </w:r>
            <w:r w:rsidRPr="00B84EC0">
              <w:rPr>
                <w:b/>
                <w:sz w:val="18"/>
                <w:szCs w:val="18"/>
              </w:rPr>
              <w:t>443,055</w:t>
            </w:r>
          </w:p>
        </w:tc>
        <w:tc>
          <w:tcPr>
            <w:tcW w:w="990" w:type="dxa"/>
            <w:vAlign w:val="center"/>
            <w:hideMark/>
          </w:tcPr>
          <w:p w:rsidRPr="003613B6" w:rsidR="00B63BB0" w:rsidP="0049228A" w:rsidRDefault="00B63BB0" w14:paraId="59ED4D40" w14:textId="77777777">
            <w:pPr>
              <w:pStyle w:val="Table"/>
              <w:jc w:val="center"/>
              <w:rPr>
                <w:b/>
                <w:sz w:val="18"/>
              </w:rPr>
            </w:pPr>
            <w:r w:rsidRPr="003613B6">
              <w:rPr>
                <w:b/>
                <w:sz w:val="18"/>
              </w:rPr>
              <w:t>not applicable</w:t>
            </w:r>
          </w:p>
        </w:tc>
        <w:tc>
          <w:tcPr>
            <w:tcW w:w="2160" w:type="dxa"/>
            <w:noWrap/>
            <w:tcMar>
              <w:left w:w="115" w:type="dxa"/>
              <w:right w:w="288" w:type="dxa"/>
            </w:tcMar>
            <w:vAlign w:val="center"/>
          </w:tcPr>
          <w:p w:rsidRPr="00D143D9" w:rsidR="00B63BB0" w:rsidP="00B84EC0" w:rsidRDefault="00B84EC0" w14:paraId="7FB98955" w14:textId="7F9F1C72">
            <w:pPr>
              <w:pStyle w:val="Table"/>
              <w:ind w:right="-198"/>
              <w:jc w:val="right"/>
              <w:rPr>
                <w:b/>
                <w:sz w:val="18"/>
                <w:szCs w:val="18"/>
              </w:rPr>
            </w:pPr>
            <w:r>
              <w:rPr>
                <w:b/>
                <w:sz w:val="18"/>
                <w:szCs w:val="18"/>
              </w:rPr>
              <w:t xml:space="preserve">$14,481,527 to </w:t>
            </w:r>
            <w:r w:rsidRPr="00B84EC0">
              <w:rPr>
                <w:b/>
                <w:sz w:val="18"/>
                <w:szCs w:val="18"/>
              </w:rPr>
              <w:t xml:space="preserve"> $13,373,633</w:t>
            </w:r>
          </w:p>
        </w:tc>
      </w:tr>
      <w:tr w:rsidRPr="003613B6" w:rsidR="00B63BB0" w:rsidTr="0049228A" w14:paraId="088FF6BE" w14:textId="77777777">
        <w:trPr>
          <w:trHeight w:val="300"/>
        </w:trPr>
        <w:tc>
          <w:tcPr>
            <w:tcW w:w="1885" w:type="dxa"/>
            <w:vAlign w:val="center"/>
          </w:tcPr>
          <w:p w:rsidRPr="003613B6" w:rsidR="00B63BB0" w:rsidP="00B63BB0" w:rsidRDefault="00B63BB0" w14:paraId="3C97506A" w14:textId="77777777">
            <w:pPr>
              <w:pStyle w:val="Table"/>
              <w:rPr>
                <w:b/>
                <w:sz w:val="18"/>
              </w:rPr>
            </w:pPr>
            <w:r>
              <w:rPr>
                <w:b/>
                <w:bCs/>
                <w:sz w:val="18"/>
              </w:rPr>
              <w:t>Annual Average</w:t>
            </w:r>
          </w:p>
        </w:tc>
        <w:tc>
          <w:tcPr>
            <w:tcW w:w="1530" w:type="dxa"/>
            <w:vAlign w:val="center"/>
          </w:tcPr>
          <w:p w:rsidRPr="003613B6" w:rsidR="00B63BB0" w:rsidP="0049228A" w:rsidRDefault="00B63BB0" w14:paraId="13F4CA7A" w14:textId="77777777">
            <w:pPr>
              <w:pStyle w:val="Table"/>
              <w:jc w:val="right"/>
              <w:rPr>
                <w:b/>
                <w:sz w:val="18"/>
              </w:rPr>
            </w:pPr>
            <w:r>
              <w:rPr>
                <w:b/>
                <w:bCs/>
                <w:sz w:val="18"/>
              </w:rPr>
              <w:t>not applicable</w:t>
            </w:r>
          </w:p>
        </w:tc>
        <w:tc>
          <w:tcPr>
            <w:tcW w:w="990" w:type="dxa"/>
            <w:vAlign w:val="center"/>
          </w:tcPr>
          <w:p w:rsidRPr="003613B6" w:rsidR="00B63BB0" w:rsidP="0049228A" w:rsidRDefault="00B63BB0" w14:paraId="3108673D" w14:textId="77777777">
            <w:pPr>
              <w:pStyle w:val="Table"/>
              <w:jc w:val="center"/>
              <w:rPr>
                <w:b/>
                <w:sz w:val="18"/>
              </w:rPr>
            </w:pPr>
            <w:r>
              <w:rPr>
                <w:b/>
                <w:bCs/>
                <w:sz w:val="18"/>
              </w:rPr>
              <w:t>not applicable</w:t>
            </w:r>
          </w:p>
        </w:tc>
        <w:tc>
          <w:tcPr>
            <w:tcW w:w="1800" w:type="dxa"/>
            <w:tcMar>
              <w:left w:w="115" w:type="dxa"/>
              <w:right w:w="360" w:type="dxa"/>
            </w:tcMar>
            <w:vAlign w:val="center"/>
          </w:tcPr>
          <w:p w:rsidRPr="002A1815" w:rsidR="00B63BB0" w:rsidP="0049228A" w:rsidRDefault="00B84EC0" w14:paraId="2A6D5C7D" w14:textId="7E476520">
            <w:pPr>
              <w:pStyle w:val="Table"/>
              <w:ind w:right="-270"/>
              <w:jc w:val="right"/>
              <w:rPr>
                <w:b/>
                <w:sz w:val="18"/>
                <w:szCs w:val="18"/>
                <w:highlight w:val="yellow"/>
              </w:rPr>
            </w:pPr>
            <w:r>
              <w:rPr>
                <w:b/>
                <w:sz w:val="18"/>
                <w:szCs w:val="18"/>
              </w:rPr>
              <w:t xml:space="preserve">159,062 to </w:t>
            </w:r>
            <w:r w:rsidRPr="00B84EC0">
              <w:rPr>
                <w:b/>
                <w:sz w:val="18"/>
                <w:szCs w:val="18"/>
              </w:rPr>
              <w:t>147,685</w:t>
            </w:r>
          </w:p>
        </w:tc>
        <w:tc>
          <w:tcPr>
            <w:tcW w:w="990" w:type="dxa"/>
            <w:vAlign w:val="center"/>
          </w:tcPr>
          <w:p w:rsidRPr="003613B6" w:rsidR="00B63BB0" w:rsidP="0049228A" w:rsidRDefault="00B63BB0" w14:paraId="4081EC45" w14:textId="77777777">
            <w:pPr>
              <w:pStyle w:val="Table"/>
              <w:jc w:val="center"/>
              <w:rPr>
                <w:b/>
                <w:sz w:val="18"/>
              </w:rPr>
            </w:pPr>
            <w:r>
              <w:rPr>
                <w:b/>
                <w:bCs/>
                <w:sz w:val="18"/>
              </w:rPr>
              <w:t>not applicable</w:t>
            </w:r>
          </w:p>
        </w:tc>
        <w:tc>
          <w:tcPr>
            <w:tcW w:w="2160" w:type="dxa"/>
            <w:noWrap/>
            <w:tcMar>
              <w:left w:w="115" w:type="dxa"/>
              <w:right w:w="288" w:type="dxa"/>
            </w:tcMar>
            <w:vAlign w:val="center"/>
          </w:tcPr>
          <w:p w:rsidRPr="00D143D9" w:rsidR="00B63BB0" w:rsidP="0049228A" w:rsidRDefault="00B84EC0" w14:paraId="5351EA22" w14:textId="28ECD19C">
            <w:pPr>
              <w:pStyle w:val="Table"/>
              <w:ind w:right="-198"/>
              <w:jc w:val="right"/>
              <w:rPr>
                <w:b/>
                <w:sz w:val="18"/>
                <w:szCs w:val="18"/>
                <w:highlight w:val="yellow"/>
              </w:rPr>
            </w:pPr>
            <w:r>
              <w:rPr>
                <w:b/>
                <w:sz w:val="18"/>
                <w:szCs w:val="18"/>
              </w:rPr>
              <w:t>$4,827,176 to</w:t>
            </w:r>
            <w:r w:rsidRPr="00B84EC0">
              <w:rPr>
                <w:b/>
                <w:sz w:val="18"/>
                <w:szCs w:val="18"/>
              </w:rPr>
              <w:t xml:space="preserve"> $4,457,878</w:t>
            </w:r>
          </w:p>
        </w:tc>
      </w:tr>
    </w:tbl>
    <w:p w:rsidR="004750F7" w:rsidP="004750F7" w:rsidRDefault="004750F7" w14:paraId="15F98914" w14:textId="1A284CC3">
      <w:pPr>
        <w:pStyle w:val="TableNote"/>
      </w:pPr>
      <w:r>
        <w:t>Notes: Detail may not add exactly to total due to independent rounding.</w:t>
      </w:r>
      <w:r w:rsidR="00B63BB0">
        <w:t xml:space="preserve"> Ranges shown reflect the </w:t>
      </w:r>
      <w:r w:rsidR="00C45241">
        <w:t>low-cost</w:t>
      </w:r>
      <w:r w:rsidR="00B63BB0">
        <w:t xml:space="preserve"> scenario to the high cost scenario. The number of systems submitting demonstrations of no LSLs is lower in the high cost scenario because more systems are estimated to have LSLs in that scenario. Thus, the total burden and associated with this activity in the high cost scenario is lower, because these systems would instead undertake the higher burden and cost activities of an LSL inventory and LSLR planning.</w:t>
      </w:r>
    </w:p>
    <w:p w:rsidR="00986121" w:rsidP="00986121" w:rsidRDefault="00986121" w14:paraId="210C84A2" w14:textId="6018BB2C">
      <w:pPr>
        <w:pStyle w:val="Caption"/>
        <w:rPr>
          <w:noProof/>
        </w:rPr>
      </w:pPr>
      <w:bookmarkStart w:name="_Ref11156888" w:id="39"/>
      <w:r>
        <w:lastRenderedPageBreak/>
        <w:t xml:space="preserve">Exhibit </w:t>
      </w:r>
      <w:r>
        <w:rPr>
          <w:noProof/>
        </w:rPr>
        <w:fldChar w:fldCharType="begin"/>
      </w:r>
      <w:r>
        <w:rPr>
          <w:noProof/>
        </w:rPr>
        <w:instrText xml:space="preserve"> SEQ Exhibit \* ARABIC </w:instrText>
      </w:r>
      <w:r>
        <w:rPr>
          <w:noProof/>
        </w:rPr>
        <w:fldChar w:fldCharType="separate"/>
      </w:r>
      <w:r w:rsidR="00106B5A">
        <w:rPr>
          <w:noProof/>
        </w:rPr>
        <w:t>8</w:t>
      </w:r>
      <w:r>
        <w:rPr>
          <w:noProof/>
        </w:rPr>
        <w:fldChar w:fldCharType="end"/>
      </w:r>
      <w:bookmarkEnd w:id="39"/>
      <w:r>
        <w:rPr>
          <w:noProof/>
        </w:rPr>
        <w:t xml:space="preserve">. </w:t>
      </w:r>
      <w:r w:rsidRPr="004F0396">
        <w:rPr>
          <w:noProof/>
        </w:rPr>
        <w:t xml:space="preserve">Burden and Costs for </w:t>
      </w:r>
      <w:r>
        <w:rPr>
          <w:noProof/>
        </w:rPr>
        <w:t xml:space="preserve">Public Water Systems for </w:t>
      </w:r>
      <w:r w:rsidR="00E23F91">
        <w:rPr>
          <w:noProof/>
        </w:rPr>
        <w:t>Conferring with Primacy Agency on and Preparing Lead Service Line Replacement Plan</w:t>
      </w:r>
    </w:p>
    <w:tbl>
      <w:tblPr>
        <w:tblStyle w:val="TableGrid"/>
        <w:tblW w:w="0" w:type="auto"/>
        <w:tblCellMar>
          <w:left w:w="43" w:type="dxa"/>
          <w:right w:w="43" w:type="dxa"/>
        </w:tblCellMar>
        <w:tblLook w:val="04A0" w:firstRow="1" w:lastRow="0" w:firstColumn="1" w:lastColumn="0" w:noHBand="0" w:noVBand="1"/>
      </w:tblPr>
      <w:tblGrid>
        <w:gridCol w:w="1861"/>
        <w:gridCol w:w="1357"/>
        <w:gridCol w:w="1097"/>
        <w:gridCol w:w="1603"/>
        <w:gridCol w:w="1097"/>
        <w:gridCol w:w="2335"/>
      </w:tblGrid>
      <w:tr w:rsidRPr="003613B6" w:rsidR="00357FC2" w:rsidTr="0049228A" w14:paraId="2B12A823" w14:textId="77777777">
        <w:trPr>
          <w:trHeight w:val="540"/>
          <w:tblHeader/>
        </w:trPr>
        <w:tc>
          <w:tcPr>
            <w:tcW w:w="1861" w:type="dxa"/>
            <w:vAlign w:val="center"/>
            <w:hideMark/>
          </w:tcPr>
          <w:p w:rsidRPr="003613B6" w:rsidR="00986121" w:rsidP="0031118A" w:rsidRDefault="00313D27" w14:paraId="7848EF73" w14:textId="2CE07B8B">
            <w:pPr>
              <w:pStyle w:val="Table"/>
              <w:jc w:val="center"/>
              <w:rPr>
                <w:b/>
                <w:bCs/>
                <w:sz w:val="18"/>
              </w:rPr>
            </w:pPr>
            <w:r w:rsidRPr="003613B6">
              <w:rPr>
                <w:b/>
                <w:sz w:val="18"/>
              </w:rPr>
              <w:t>Respondent service population size category</w:t>
            </w:r>
            <w:r>
              <w:rPr>
                <w:b/>
                <w:sz w:val="18"/>
              </w:rPr>
              <w:t xml:space="preserve"> and type</w:t>
            </w:r>
          </w:p>
        </w:tc>
        <w:tc>
          <w:tcPr>
            <w:tcW w:w="1357" w:type="dxa"/>
            <w:vAlign w:val="center"/>
            <w:hideMark/>
          </w:tcPr>
          <w:p w:rsidRPr="003613B6" w:rsidR="00986121" w:rsidP="0031118A" w:rsidRDefault="00986121" w14:paraId="2116FC40" w14:textId="77777777">
            <w:pPr>
              <w:pStyle w:val="Table"/>
              <w:jc w:val="center"/>
              <w:rPr>
                <w:b/>
                <w:bCs/>
                <w:sz w:val="18"/>
              </w:rPr>
            </w:pPr>
            <w:r w:rsidRPr="003613B6">
              <w:rPr>
                <w:b/>
                <w:bCs/>
                <w:sz w:val="18"/>
              </w:rPr>
              <w:t>Respondents</w:t>
            </w:r>
          </w:p>
        </w:tc>
        <w:tc>
          <w:tcPr>
            <w:tcW w:w="1097" w:type="dxa"/>
            <w:vAlign w:val="center"/>
            <w:hideMark/>
          </w:tcPr>
          <w:p w:rsidRPr="003613B6" w:rsidR="00986121" w:rsidP="0031118A" w:rsidRDefault="00986121" w14:paraId="09D7E544" w14:textId="77777777">
            <w:pPr>
              <w:pStyle w:val="Table"/>
              <w:jc w:val="center"/>
              <w:rPr>
                <w:b/>
                <w:bCs/>
                <w:sz w:val="18"/>
              </w:rPr>
            </w:pPr>
            <w:r>
              <w:rPr>
                <w:b/>
                <w:bCs/>
                <w:sz w:val="18"/>
              </w:rPr>
              <w:t>Burden per R</w:t>
            </w:r>
            <w:r w:rsidRPr="003613B6">
              <w:rPr>
                <w:b/>
                <w:bCs/>
                <w:sz w:val="18"/>
              </w:rPr>
              <w:t>esponse</w:t>
            </w:r>
            <w:r>
              <w:rPr>
                <w:b/>
                <w:bCs/>
                <w:sz w:val="18"/>
              </w:rPr>
              <w:t xml:space="preserve"> (hours)</w:t>
            </w:r>
          </w:p>
        </w:tc>
        <w:tc>
          <w:tcPr>
            <w:tcW w:w="1603" w:type="dxa"/>
            <w:vAlign w:val="center"/>
            <w:hideMark/>
          </w:tcPr>
          <w:p w:rsidRPr="003613B6" w:rsidR="00986121" w:rsidP="0031118A" w:rsidRDefault="00986121" w14:paraId="3A831627" w14:textId="77777777">
            <w:pPr>
              <w:pStyle w:val="Table"/>
              <w:jc w:val="center"/>
              <w:rPr>
                <w:b/>
                <w:bCs/>
                <w:sz w:val="18"/>
              </w:rPr>
            </w:pPr>
            <w:r w:rsidRPr="003613B6">
              <w:rPr>
                <w:b/>
                <w:bCs/>
                <w:sz w:val="18"/>
              </w:rPr>
              <w:t>Burden</w:t>
            </w:r>
            <w:r>
              <w:rPr>
                <w:b/>
                <w:bCs/>
                <w:sz w:val="18"/>
              </w:rPr>
              <w:t xml:space="preserve"> (hours)</w:t>
            </w:r>
          </w:p>
        </w:tc>
        <w:tc>
          <w:tcPr>
            <w:tcW w:w="1097" w:type="dxa"/>
            <w:vAlign w:val="center"/>
            <w:hideMark/>
          </w:tcPr>
          <w:p w:rsidRPr="003613B6" w:rsidR="00986121" w:rsidP="0031118A" w:rsidRDefault="00986121" w14:paraId="51F5B5B3" w14:textId="77777777">
            <w:pPr>
              <w:pStyle w:val="Table"/>
              <w:jc w:val="center"/>
              <w:rPr>
                <w:b/>
                <w:bCs/>
                <w:sz w:val="18"/>
              </w:rPr>
            </w:pPr>
            <w:r w:rsidRPr="003613B6">
              <w:rPr>
                <w:b/>
                <w:bCs/>
                <w:sz w:val="18"/>
              </w:rPr>
              <w:t>Labor Rate ($/hour)</w:t>
            </w:r>
          </w:p>
        </w:tc>
        <w:tc>
          <w:tcPr>
            <w:tcW w:w="2335" w:type="dxa"/>
            <w:vAlign w:val="center"/>
            <w:hideMark/>
          </w:tcPr>
          <w:p w:rsidRPr="003613B6" w:rsidR="00986121" w:rsidP="0031118A" w:rsidRDefault="00986121" w14:paraId="5A488491" w14:textId="77777777">
            <w:pPr>
              <w:pStyle w:val="Table"/>
              <w:jc w:val="center"/>
              <w:rPr>
                <w:b/>
                <w:bCs/>
                <w:sz w:val="18"/>
              </w:rPr>
            </w:pPr>
            <w:r w:rsidRPr="003613B6">
              <w:rPr>
                <w:b/>
                <w:bCs/>
                <w:sz w:val="18"/>
              </w:rPr>
              <w:t>Cost</w:t>
            </w:r>
            <w:r>
              <w:rPr>
                <w:b/>
                <w:bCs/>
                <w:sz w:val="18"/>
              </w:rPr>
              <w:t xml:space="preserve"> (2016 dollars)</w:t>
            </w:r>
          </w:p>
        </w:tc>
      </w:tr>
      <w:tr w:rsidRPr="003613B6" w:rsidR="00357FC2" w:rsidTr="00574522" w14:paraId="3C6D29C9" w14:textId="77777777">
        <w:trPr>
          <w:trHeight w:val="300"/>
        </w:trPr>
        <w:tc>
          <w:tcPr>
            <w:tcW w:w="1861" w:type="dxa"/>
            <w:vAlign w:val="center"/>
            <w:hideMark/>
          </w:tcPr>
          <w:p w:rsidRPr="003613B6" w:rsidR="002A1815" w:rsidP="002A1815" w:rsidRDefault="002A1815" w14:paraId="05C90B0E" w14:textId="46D5A328">
            <w:pPr>
              <w:pStyle w:val="Table"/>
              <w:rPr>
                <w:sz w:val="18"/>
              </w:rPr>
            </w:pPr>
            <w:r>
              <w:rPr>
                <w:color w:val="000000"/>
                <w:sz w:val="18"/>
                <w:szCs w:val="18"/>
              </w:rPr>
              <w:t>&lt;=100, CWS</w:t>
            </w:r>
          </w:p>
        </w:tc>
        <w:tc>
          <w:tcPr>
            <w:tcW w:w="1357" w:type="dxa"/>
            <w:tcMar>
              <w:left w:w="115" w:type="dxa"/>
              <w:right w:w="360" w:type="dxa"/>
            </w:tcMar>
            <w:vAlign w:val="center"/>
            <w:hideMark/>
          </w:tcPr>
          <w:p w:rsidRPr="002450B1" w:rsidR="002A1815" w:rsidP="0049228A" w:rsidRDefault="00357FC2" w14:paraId="0CB9BE61" w14:textId="0CE0FF6A">
            <w:pPr>
              <w:pStyle w:val="Table"/>
              <w:ind w:right="-272"/>
              <w:jc w:val="right"/>
              <w:rPr>
                <w:sz w:val="18"/>
                <w:szCs w:val="18"/>
              </w:rPr>
            </w:pPr>
            <w:r>
              <w:rPr>
                <w:sz w:val="18"/>
                <w:szCs w:val="18"/>
              </w:rPr>
              <w:t xml:space="preserve">2,430 to </w:t>
            </w:r>
            <w:r w:rsidRPr="002A1815" w:rsidR="002A1815">
              <w:rPr>
                <w:sz w:val="18"/>
                <w:szCs w:val="18"/>
              </w:rPr>
              <w:t>1,754</w:t>
            </w:r>
          </w:p>
        </w:tc>
        <w:tc>
          <w:tcPr>
            <w:tcW w:w="1097" w:type="dxa"/>
            <w:vAlign w:val="center"/>
          </w:tcPr>
          <w:p w:rsidRPr="00EA69E3" w:rsidR="002A1815" w:rsidP="002A1815" w:rsidRDefault="00574522" w14:paraId="4CC93BBF" w14:textId="7282C67F">
            <w:pPr>
              <w:pStyle w:val="Table"/>
              <w:jc w:val="center"/>
              <w:rPr>
                <w:sz w:val="18"/>
                <w:szCs w:val="18"/>
              </w:rPr>
            </w:pPr>
            <w:r>
              <w:rPr>
                <w:sz w:val="18"/>
                <w:szCs w:val="18"/>
              </w:rPr>
              <w:t>12</w:t>
            </w:r>
          </w:p>
        </w:tc>
        <w:tc>
          <w:tcPr>
            <w:tcW w:w="1603" w:type="dxa"/>
            <w:tcMar>
              <w:left w:w="115" w:type="dxa"/>
              <w:right w:w="360" w:type="dxa"/>
            </w:tcMar>
            <w:vAlign w:val="center"/>
          </w:tcPr>
          <w:p w:rsidRPr="00A355B6" w:rsidR="002A1815" w:rsidP="0042017C" w:rsidRDefault="0042017C" w14:paraId="5F05E42E" w14:textId="2F11224A">
            <w:pPr>
              <w:pStyle w:val="Table"/>
              <w:ind w:right="-281"/>
              <w:jc w:val="right"/>
              <w:rPr>
                <w:sz w:val="18"/>
                <w:szCs w:val="18"/>
              </w:rPr>
            </w:pPr>
            <w:r>
              <w:rPr>
                <w:sz w:val="18"/>
                <w:szCs w:val="18"/>
              </w:rPr>
              <w:t xml:space="preserve">29,160 to </w:t>
            </w:r>
            <w:r w:rsidRPr="0042017C">
              <w:rPr>
                <w:sz w:val="18"/>
                <w:szCs w:val="18"/>
              </w:rPr>
              <w:t>21,048</w:t>
            </w:r>
          </w:p>
        </w:tc>
        <w:tc>
          <w:tcPr>
            <w:tcW w:w="1097" w:type="dxa"/>
            <w:vAlign w:val="center"/>
            <w:hideMark/>
          </w:tcPr>
          <w:p w:rsidRPr="00EA69E3" w:rsidR="002A1815" w:rsidP="002A1815" w:rsidRDefault="002A1815" w14:paraId="000F91BB" w14:textId="77777777">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A355B6" w:rsidR="002A1815" w:rsidP="00374B7A" w:rsidRDefault="00374B7A" w14:paraId="70565E51" w14:textId="7CC30DF8">
            <w:pPr>
              <w:pStyle w:val="Table"/>
              <w:ind w:right="-203"/>
              <w:jc w:val="right"/>
              <w:rPr>
                <w:sz w:val="18"/>
                <w:szCs w:val="18"/>
              </w:rPr>
            </w:pPr>
            <w:r w:rsidRPr="00374B7A">
              <w:rPr>
                <w:sz w:val="18"/>
                <w:szCs w:val="18"/>
              </w:rPr>
              <w:t>$835,142</w:t>
            </w:r>
            <w:r>
              <w:rPr>
                <w:sz w:val="18"/>
                <w:szCs w:val="18"/>
              </w:rPr>
              <w:t xml:space="preserve"> to </w:t>
            </w:r>
            <w:r w:rsidRPr="00374B7A">
              <w:rPr>
                <w:sz w:val="18"/>
                <w:szCs w:val="18"/>
              </w:rPr>
              <w:t xml:space="preserve">$602,815 </w:t>
            </w:r>
          </w:p>
        </w:tc>
      </w:tr>
      <w:tr w:rsidRPr="003613B6" w:rsidR="00357FC2" w:rsidTr="00574522" w14:paraId="7F503EEA" w14:textId="77777777">
        <w:trPr>
          <w:trHeight w:val="300"/>
        </w:trPr>
        <w:tc>
          <w:tcPr>
            <w:tcW w:w="1861" w:type="dxa"/>
            <w:vAlign w:val="center"/>
            <w:hideMark/>
          </w:tcPr>
          <w:p w:rsidRPr="003613B6" w:rsidR="002A1815" w:rsidP="002A1815" w:rsidRDefault="002A1815" w14:paraId="42E8DBE9" w14:textId="657D48E1">
            <w:pPr>
              <w:pStyle w:val="Table"/>
              <w:rPr>
                <w:sz w:val="18"/>
              </w:rPr>
            </w:pPr>
            <w:r>
              <w:rPr>
                <w:color w:val="000000"/>
                <w:sz w:val="18"/>
                <w:szCs w:val="18"/>
              </w:rPr>
              <w:t>101-500, CWS</w:t>
            </w:r>
          </w:p>
        </w:tc>
        <w:tc>
          <w:tcPr>
            <w:tcW w:w="1357" w:type="dxa"/>
            <w:tcMar>
              <w:left w:w="115" w:type="dxa"/>
              <w:right w:w="360" w:type="dxa"/>
            </w:tcMar>
            <w:vAlign w:val="center"/>
            <w:hideMark/>
          </w:tcPr>
          <w:p w:rsidRPr="002450B1" w:rsidR="002A1815" w:rsidP="0049228A" w:rsidRDefault="00357FC2" w14:paraId="7A4955F4" w14:textId="4E99E094">
            <w:pPr>
              <w:pStyle w:val="Table"/>
              <w:ind w:right="-272"/>
              <w:jc w:val="right"/>
              <w:rPr>
                <w:sz w:val="18"/>
                <w:szCs w:val="18"/>
              </w:rPr>
            </w:pPr>
            <w:r>
              <w:rPr>
                <w:sz w:val="18"/>
                <w:szCs w:val="18"/>
              </w:rPr>
              <w:t xml:space="preserve">3,182 to </w:t>
            </w:r>
            <w:r w:rsidRPr="002A1815" w:rsidR="002A1815">
              <w:rPr>
                <w:sz w:val="18"/>
                <w:szCs w:val="18"/>
              </w:rPr>
              <w:t>3,105</w:t>
            </w:r>
          </w:p>
        </w:tc>
        <w:tc>
          <w:tcPr>
            <w:tcW w:w="1097" w:type="dxa"/>
            <w:vAlign w:val="center"/>
          </w:tcPr>
          <w:p w:rsidRPr="00EA69E3" w:rsidR="002A1815" w:rsidP="002A1815" w:rsidRDefault="00574522" w14:paraId="6A736973" w14:textId="1E05F272">
            <w:pPr>
              <w:pStyle w:val="Table"/>
              <w:jc w:val="center"/>
              <w:rPr>
                <w:sz w:val="18"/>
                <w:szCs w:val="18"/>
              </w:rPr>
            </w:pPr>
            <w:r>
              <w:rPr>
                <w:sz w:val="18"/>
                <w:szCs w:val="18"/>
              </w:rPr>
              <w:t>12</w:t>
            </w:r>
          </w:p>
        </w:tc>
        <w:tc>
          <w:tcPr>
            <w:tcW w:w="1603" w:type="dxa"/>
            <w:tcMar>
              <w:left w:w="115" w:type="dxa"/>
              <w:right w:w="360" w:type="dxa"/>
            </w:tcMar>
            <w:vAlign w:val="center"/>
          </w:tcPr>
          <w:p w:rsidRPr="00A355B6" w:rsidR="002A1815" w:rsidP="0042017C" w:rsidRDefault="0042017C" w14:paraId="68A14BB3" w14:textId="2DCC9FBD">
            <w:pPr>
              <w:pStyle w:val="Table"/>
              <w:ind w:right="-281"/>
              <w:jc w:val="right"/>
              <w:rPr>
                <w:sz w:val="18"/>
                <w:szCs w:val="18"/>
              </w:rPr>
            </w:pPr>
            <w:r>
              <w:rPr>
                <w:sz w:val="18"/>
                <w:szCs w:val="18"/>
              </w:rPr>
              <w:t xml:space="preserve">38,184 to </w:t>
            </w:r>
            <w:r w:rsidRPr="0042017C">
              <w:rPr>
                <w:sz w:val="18"/>
                <w:szCs w:val="18"/>
              </w:rPr>
              <w:t>37,260</w:t>
            </w:r>
          </w:p>
        </w:tc>
        <w:tc>
          <w:tcPr>
            <w:tcW w:w="1097" w:type="dxa"/>
            <w:vAlign w:val="center"/>
            <w:hideMark/>
          </w:tcPr>
          <w:p w:rsidRPr="00EA69E3" w:rsidR="002A1815" w:rsidP="002A1815" w:rsidRDefault="002A1815" w14:paraId="0EE1F396" w14:textId="77777777">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A355B6" w:rsidR="002A1815" w:rsidP="00374B7A" w:rsidRDefault="00374B7A" w14:paraId="0D4A8801" w14:textId="7CD4B346">
            <w:pPr>
              <w:pStyle w:val="Table"/>
              <w:ind w:right="-203"/>
              <w:jc w:val="right"/>
              <w:rPr>
                <w:sz w:val="18"/>
                <w:szCs w:val="18"/>
              </w:rPr>
            </w:pPr>
            <w:r w:rsidRPr="00374B7A">
              <w:rPr>
                <w:sz w:val="18"/>
                <w:szCs w:val="18"/>
              </w:rPr>
              <w:t>$1,093,590</w:t>
            </w:r>
            <w:r>
              <w:rPr>
                <w:sz w:val="18"/>
                <w:szCs w:val="18"/>
              </w:rPr>
              <w:t xml:space="preserve"> to </w:t>
            </w:r>
            <w:r w:rsidRPr="00374B7A">
              <w:rPr>
                <w:sz w:val="18"/>
                <w:szCs w:val="18"/>
              </w:rPr>
              <w:t xml:space="preserve">$1,067,126 </w:t>
            </w:r>
          </w:p>
        </w:tc>
      </w:tr>
      <w:tr w:rsidRPr="003613B6" w:rsidR="00357FC2" w:rsidTr="00574522" w14:paraId="4359D806" w14:textId="77777777">
        <w:trPr>
          <w:trHeight w:val="300"/>
        </w:trPr>
        <w:tc>
          <w:tcPr>
            <w:tcW w:w="1861" w:type="dxa"/>
            <w:vAlign w:val="center"/>
            <w:hideMark/>
          </w:tcPr>
          <w:p w:rsidRPr="003613B6" w:rsidR="002A1815" w:rsidP="002A1815" w:rsidRDefault="002A1815" w14:paraId="448A8BD2" w14:textId="44E44EDF">
            <w:pPr>
              <w:pStyle w:val="Table"/>
              <w:rPr>
                <w:sz w:val="18"/>
              </w:rPr>
            </w:pPr>
            <w:r>
              <w:rPr>
                <w:color w:val="000000"/>
                <w:sz w:val="18"/>
                <w:szCs w:val="18"/>
              </w:rPr>
              <w:t>501-1,000, CWS</w:t>
            </w:r>
          </w:p>
        </w:tc>
        <w:tc>
          <w:tcPr>
            <w:tcW w:w="1357" w:type="dxa"/>
            <w:tcMar>
              <w:left w:w="115" w:type="dxa"/>
              <w:right w:w="360" w:type="dxa"/>
            </w:tcMar>
            <w:vAlign w:val="center"/>
            <w:hideMark/>
          </w:tcPr>
          <w:p w:rsidRPr="002450B1" w:rsidR="002A1815" w:rsidP="0049228A" w:rsidRDefault="00357FC2" w14:paraId="1222D806" w14:textId="05B294DC">
            <w:pPr>
              <w:pStyle w:val="Table"/>
              <w:ind w:right="-272"/>
              <w:jc w:val="right"/>
              <w:rPr>
                <w:sz w:val="18"/>
                <w:szCs w:val="18"/>
              </w:rPr>
            </w:pPr>
            <w:r>
              <w:rPr>
                <w:sz w:val="18"/>
                <w:szCs w:val="18"/>
              </w:rPr>
              <w:t xml:space="preserve">1,193 to </w:t>
            </w:r>
            <w:r w:rsidRPr="002A1815" w:rsidR="002A1815">
              <w:rPr>
                <w:sz w:val="18"/>
                <w:szCs w:val="18"/>
              </w:rPr>
              <w:t>2,089</w:t>
            </w:r>
          </w:p>
        </w:tc>
        <w:tc>
          <w:tcPr>
            <w:tcW w:w="1097" w:type="dxa"/>
            <w:vAlign w:val="center"/>
          </w:tcPr>
          <w:p w:rsidRPr="00EA69E3" w:rsidR="002A1815" w:rsidP="002A1815" w:rsidRDefault="00574522" w14:paraId="5DC624C3" w14:textId="6532C013">
            <w:pPr>
              <w:pStyle w:val="Table"/>
              <w:jc w:val="center"/>
              <w:rPr>
                <w:sz w:val="18"/>
                <w:szCs w:val="18"/>
              </w:rPr>
            </w:pPr>
            <w:r>
              <w:rPr>
                <w:sz w:val="18"/>
                <w:szCs w:val="18"/>
              </w:rPr>
              <w:t>12</w:t>
            </w:r>
          </w:p>
        </w:tc>
        <w:tc>
          <w:tcPr>
            <w:tcW w:w="1603" w:type="dxa"/>
            <w:tcMar>
              <w:left w:w="115" w:type="dxa"/>
              <w:right w:w="360" w:type="dxa"/>
            </w:tcMar>
            <w:vAlign w:val="center"/>
          </w:tcPr>
          <w:p w:rsidRPr="00A355B6" w:rsidR="002A1815" w:rsidP="0042017C" w:rsidRDefault="0042017C" w14:paraId="157D2ABA" w14:textId="10BA1861">
            <w:pPr>
              <w:pStyle w:val="Table"/>
              <w:ind w:right="-281"/>
              <w:jc w:val="right"/>
              <w:rPr>
                <w:sz w:val="18"/>
                <w:szCs w:val="18"/>
              </w:rPr>
            </w:pPr>
            <w:r>
              <w:rPr>
                <w:sz w:val="18"/>
                <w:szCs w:val="18"/>
              </w:rPr>
              <w:t xml:space="preserve">14,316 to </w:t>
            </w:r>
            <w:r w:rsidRPr="0042017C">
              <w:rPr>
                <w:sz w:val="18"/>
                <w:szCs w:val="18"/>
              </w:rPr>
              <w:t>25,068</w:t>
            </w:r>
          </w:p>
        </w:tc>
        <w:tc>
          <w:tcPr>
            <w:tcW w:w="1097" w:type="dxa"/>
            <w:vAlign w:val="center"/>
            <w:hideMark/>
          </w:tcPr>
          <w:p w:rsidRPr="00EA69E3" w:rsidR="002A1815" w:rsidP="002A1815" w:rsidRDefault="002A1815" w14:paraId="7DDCEBE5" w14:textId="77777777">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A355B6" w:rsidR="002A1815" w:rsidP="00374B7A" w:rsidRDefault="00374B7A" w14:paraId="1F52B797" w14:textId="799D9F92">
            <w:pPr>
              <w:pStyle w:val="Table"/>
              <w:ind w:right="-203"/>
              <w:jc w:val="right"/>
              <w:rPr>
                <w:sz w:val="18"/>
                <w:szCs w:val="18"/>
              </w:rPr>
            </w:pPr>
            <w:r>
              <w:rPr>
                <w:sz w:val="18"/>
                <w:szCs w:val="18"/>
              </w:rPr>
              <w:t xml:space="preserve">$410,010 to </w:t>
            </w:r>
            <w:r w:rsidRPr="00374B7A">
              <w:rPr>
                <w:sz w:val="18"/>
                <w:szCs w:val="18"/>
              </w:rPr>
              <w:t>$717,948</w:t>
            </w:r>
          </w:p>
        </w:tc>
      </w:tr>
      <w:tr w:rsidRPr="003613B6" w:rsidR="00357FC2" w:rsidTr="00574522" w14:paraId="61E3C588" w14:textId="77777777">
        <w:trPr>
          <w:trHeight w:val="300"/>
        </w:trPr>
        <w:tc>
          <w:tcPr>
            <w:tcW w:w="1861" w:type="dxa"/>
            <w:vAlign w:val="center"/>
            <w:hideMark/>
          </w:tcPr>
          <w:p w:rsidRPr="003613B6" w:rsidR="002A1815" w:rsidP="002A1815" w:rsidRDefault="002A1815" w14:paraId="68C1328C" w14:textId="496F2328">
            <w:pPr>
              <w:pStyle w:val="Table"/>
              <w:rPr>
                <w:sz w:val="18"/>
              </w:rPr>
            </w:pPr>
            <w:r>
              <w:rPr>
                <w:color w:val="000000"/>
                <w:sz w:val="18"/>
                <w:szCs w:val="18"/>
              </w:rPr>
              <w:t>1,001-3,300, CWS</w:t>
            </w:r>
          </w:p>
        </w:tc>
        <w:tc>
          <w:tcPr>
            <w:tcW w:w="1357" w:type="dxa"/>
            <w:tcMar>
              <w:left w:w="115" w:type="dxa"/>
              <w:right w:w="360" w:type="dxa"/>
            </w:tcMar>
            <w:vAlign w:val="center"/>
            <w:hideMark/>
          </w:tcPr>
          <w:p w:rsidRPr="002450B1" w:rsidR="002A1815" w:rsidP="0049228A" w:rsidRDefault="00357FC2" w14:paraId="56BD12EE" w14:textId="47A48DF2">
            <w:pPr>
              <w:pStyle w:val="Table"/>
              <w:ind w:right="-272"/>
              <w:jc w:val="right"/>
              <w:rPr>
                <w:sz w:val="18"/>
                <w:szCs w:val="18"/>
              </w:rPr>
            </w:pPr>
            <w:r>
              <w:rPr>
                <w:sz w:val="18"/>
                <w:szCs w:val="18"/>
              </w:rPr>
              <w:t xml:space="preserve">1,729 to </w:t>
            </w:r>
            <w:r w:rsidRPr="002A1815" w:rsidR="002A1815">
              <w:rPr>
                <w:sz w:val="18"/>
                <w:szCs w:val="18"/>
              </w:rPr>
              <w:t>3,118</w:t>
            </w:r>
          </w:p>
        </w:tc>
        <w:tc>
          <w:tcPr>
            <w:tcW w:w="1097" w:type="dxa"/>
            <w:vAlign w:val="center"/>
          </w:tcPr>
          <w:p w:rsidRPr="00EA69E3" w:rsidR="002A1815" w:rsidP="002A1815" w:rsidRDefault="00574522" w14:paraId="2E8C07C8" w14:textId="66FF8FBD">
            <w:pPr>
              <w:pStyle w:val="Table"/>
              <w:jc w:val="center"/>
              <w:rPr>
                <w:sz w:val="18"/>
                <w:szCs w:val="18"/>
              </w:rPr>
            </w:pPr>
            <w:r>
              <w:rPr>
                <w:sz w:val="18"/>
                <w:szCs w:val="18"/>
              </w:rPr>
              <w:t>12</w:t>
            </w:r>
          </w:p>
        </w:tc>
        <w:tc>
          <w:tcPr>
            <w:tcW w:w="1603" w:type="dxa"/>
            <w:tcMar>
              <w:left w:w="115" w:type="dxa"/>
              <w:right w:w="360" w:type="dxa"/>
            </w:tcMar>
            <w:vAlign w:val="center"/>
          </w:tcPr>
          <w:p w:rsidRPr="00A355B6" w:rsidR="002A1815" w:rsidP="0042017C" w:rsidRDefault="0042017C" w14:paraId="4D135CE5" w14:textId="5353AE81">
            <w:pPr>
              <w:pStyle w:val="Table"/>
              <w:ind w:right="-281"/>
              <w:jc w:val="right"/>
              <w:rPr>
                <w:sz w:val="18"/>
                <w:szCs w:val="18"/>
              </w:rPr>
            </w:pPr>
            <w:r>
              <w:rPr>
                <w:sz w:val="18"/>
                <w:szCs w:val="18"/>
              </w:rPr>
              <w:t xml:space="preserve">20,748 to </w:t>
            </w:r>
            <w:r w:rsidRPr="0042017C">
              <w:rPr>
                <w:sz w:val="18"/>
                <w:szCs w:val="18"/>
              </w:rPr>
              <w:t>37,416</w:t>
            </w:r>
          </w:p>
        </w:tc>
        <w:tc>
          <w:tcPr>
            <w:tcW w:w="1097" w:type="dxa"/>
            <w:vAlign w:val="center"/>
            <w:hideMark/>
          </w:tcPr>
          <w:p w:rsidRPr="00EA69E3" w:rsidR="002A1815" w:rsidP="002A1815" w:rsidRDefault="002A1815" w14:paraId="7ADFA3D7" w14:textId="77777777">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A355B6" w:rsidR="002A1815" w:rsidP="00374B7A" w:rsidRDefault="00374B7A" w14:paraId="709D6976" w14:textId="725D4191">
            <w:pPr>
              <w:pStyle w:val="Table"/>
              <w:ind w:right="-203"/>
              <w:jc w:val="right"/>
              <w:rPr>
                <w:sz w:val="18"/>
                <w:szCs w:val="18"/>
              </w:rPr>
            </w:pPr>
            <w:r w:rsidRPr="00374B7A">
              <w:rPr>
                <w:sz w:val="18"/>
                <w:szCs w:val="18"/>
              </w:rPr>
              <w:t>$594,223</w:t>
            </w:r>
            <w:r>
              <w:rPr>
                <w:sz w:val="18"/>
                <w:szCs w:val="18"/>
              </w:rPr>
              <w:t xml:space="preserve"> to </w:t>
            </w:r>
            <w:r w:rsidRPr="00374B7A">
              <w:rPr>
                <w:sz w:val="18"/>
                <w:szCs w:val="18"/>
              </w:rPr>
              <w:t>$1,071,594</w:t>
            </w:r>
          </w:p>
        </w:tc>
      </w:tr>
      <w:tr w:rsidRPr="003613B6" w:rsidR="00357FC2" w:rsidTr="00574522" w14:paraId="3448B5D4" w14:textId="77777777">
        <w:trPr>
          <w:trHeight w:val="300"/>
        </w:trPr>
        <w:tc>
          <w:tcPr>
            <w:tcW w:w="1861" w:type="dxa"/>
            <w:vAlign w:val="center"/>
            <w:hideMark/>
          </w:tcPr>
          <w:p w:rsidRPr="003613B6" w:rsidR="002A1815" w:rsidP="002A1815" w:rsidRDefault="002A1815" w14:paraId="7A1DE15F" w14:textId="58CC983F">
            <w:pPr>
              <w:pStyle w:val="Table"/>
              <w:rPr>
                <w:sz w:val="18"/>
              </w:rPr>
            </w:pPr>
            <w:r>
              <w:rPr>
                <w:color w:val="000000"/>
                <w:sz w:val="18"/>
                <w:szCs w:val="18"/>
              </w:rPr>
              <w:t>3,301-10,000, CWS</w:t>
            </w:r>
          </w:p>
        </w:tc>
        <w:tc>
          <w:tcPr>
            <w:tcW w:w="1357" w:type="dxa"/>
            <w:tcMar>
              <w:left w:w="115" w:type="dxa"/>
              <w:right w:w="360" w:type="dxa"/>
            </w:tcMar>
            <w:vAlign w:val="center"/>
            <w:hideMark/>
          </w:tcPr>
          <w:p w:rsidRPr="002450B1" w:rsidR="002A1815" w:rsidP="0049228A" w:rsidRDefault="00357FC2" w14:paraId="675BFA16" w14:textId="5FA30916">
            <w:pPr>
              <w:pStyle w:val="Table"/>
              <w:ind w:right="-272"/>
              <w:jc w:val="right"/>
              <w:rPr>
                <w:sz w:val="18"/>
                <w:szCs w:val="18"/>
              </w:rPr>
            </w:pPr>
            <w:r>
              <w:rPr>
                <w:sz w:val="18"/>
                <w:szCs w:val="18"/>
              </w:rPr>
              <w:t xml:space="preserve">1,041 to </w:t>
            </w:r>
            <w:r w:rsidRPr="002A1815" w:rsidR="002A1815">
              <w:rPr>
                <w:sz w:val="18"/>
                <w:szCs w:val="18"/>
              </w:rPr>
              <w:t>2,089</w:t>
            </w:r>
          </w:p>
        </w:tc>
        <w:tc>
          <w:tcPr>
            <w:tcW w:w="1097" w:type="dxa"/>
            <w:vAlign w:val="center"/>
          </w:tcPr>
          <w:p w:rsidRPr="00EA69E3" w:rsidR="002A1815" w:rsidP="002A1815" w:rsidRDefault="00574522" w14:paraId="4E961281" w14:textId="524FFDBD">
            <w:pPr>
              <w:pStyle w:val="Table"/>
              <w:jc w:val="center"/>
              <w:rPr>
                <w:sz w:val="18"/>
                <w:szCs w:val="18"/>
              </w:rPr>
            </w:pPr>
            <w:r>
              <w:rPr>
                <w:sz w:val="18"/>
                <w:szCs w:val="18"/>
              </w:rPr>
              <w:t>36</w:t>
            </w:r>
          </w:p>
        </w:tc>
        <w:tc>
          <w:tcPr>
            <w:tcW w:w="1603" w:type="dxa"/>
            <w:tcMar>
              <w:left w:w="115" w:type="dxa"/>
              <w:right w:w="360" w:type="dxa"/>
            </w:tcMar>
            <w:vAlign w:val="center"/>
          </w:tcPr>
          <w:p w:rsidRPr="00A355B6" w:rsidR="002A1815" w:rsidP="0042017C" w:rsidRDefault="0042017C" w14:paraId="6E50CA02" w14:textId="1F97E695">
            <w:pPr>
              <w:pStyle w:val="Table"/>
              <w:ind w:right="-281"/>
              <w:jc w:val="right"/>
              <w:rPr>
                <w:sz w:val="18"/>
                <w:szCs w:val="18"/>
              </w:rPr>
            </w:pPr>
            <w:r>
              <w:rPr>
                <w:sz w:val="18"/>
                <w:szCs w:val="18"/>
              </w:rPr>
              <w:t xml:space="preserve">37,476 to </w:t>
            </w:r>
            <w:r w:rsidRPr="0042017C">
              <w:rPr>
                <w:sz w:val="18"/>
                <w:szCs w:val="18"/>
              </w:rPr>
              <w:t>75,204</w:t>
            </w:r>
            <w:r>
              <w:rPr>
                <w:sz w:val="18"/>
                <w:szCs w:val="18"/>
              </w:rPr>
              <w:t xml:space="preserve"> </w:t>
            </w:r>
          </w:p>
        </w:tc>
        <w:tc>
          <w:tcPr>
            <w:tcW w:w="1097" w:type="dxa"/>
            <w:vAlign w:val="center"/>
            <w:hideMark/>
          </w:tcPr>
          <w:p w:rsidRPr="00EA69E3" w:rsidR="002A1815" w:rsidP="002A1815" w:rsidRDefault="002A1815" w14:paraId="2C62A531" w14:textId="77777777">
            <w:pPr>
              <w:pStyle w:val="Table"/>
              <w:jc w:val="center"/>
              <w:rPr>
                <w:sz w:val="18"/>
                <w:szCs w:val="18"/>
              </w:rPr>
            </w:pPr>
            <w:r w:rsidRPr="00EA69E3">
              <w:rPr>
                <w:sz w:val="18"/>
                <w:szCs w:val="18"/>
              </w:rPr>
              <w:t>$33.74</w:t>
            </w:r>
          </w:p>
        </w:tc>
        <w:tc>
          <w:tcPr>
            <w:tcW w:w="2335" w:type="dxa"/>
            <w:noWrap/>
            <w:tcMar>
              <w:left w:w="115" w:type="dxa"/>
              <w:right w:w="288" w:type="dxa"/>
            </w:tcMar>
            <w:vAlign w:val="center"/>
          </w:tcPr>
          <w:p w:rsidRPr="00A355B6" w:rsidR="002A1815" w:rsidP="00374B7A" w:rsidRDefault="00374B7A" w14:paraId="5F680305" w14:textId="1C927B1B">
            <w:pPr>
              <w:pStyle w:val="Table"/>
              <w:ind w:right="-203"/>
              <w:jc w:val="right"/>
              <w:rPr>
                <w:sz w:val="18"/>
                <w:szCs w:val="18"/>
              </w:rPr>
            </w:pPr>
            <w:r>
              <w:rPr>
                <w:sz w:val="18"/>
                <w:szCs w:val="18"/>
              </w:rPr>
              <w:t>$</w:t>
            </w:r>
            <w:r w:rsidRPr="00374B7A">
              <w:rPr>
                <w:sz w:val="18"/>
                <w:szCs w:val="18"/>
              </w:rPr>
              <w:t>1,264,440</w:t>
            </w:r>
            <w:r>
              <w:rPr>
                <w:sz w:val="18"/>
                <w:szCs w:val="18"/>
              </w:rPr>
              <w:t xml:space="preserve"> to </w:t>
            </w:r>
            <w:r w:rsidRPr="00374B7A">
              <w:rPr>
                <w:sz w:val="18"/>
                <w:szCs w:val="18"/>
              </w:rPr>
              <w:t>$2,537,383</w:t>
            </w:r>
          </w:p>
        </w:tc>
      </w:tr>
      <w:tr w:rsidRPr="003613B6" w:rsidR="00357FC2" w:rsidTr="00574522" w14:paraId="09A42A59" w14:textId="77777777">
        <w:trPr>
          <w:trHeight w:val="300"/>
        </w:trPr>
        <w:tc>
          <w:tcPr>
            <w:tcW w:w="1861" w:type="dxa"/>
            <w:vAlign w:val="center"/>
            <w:hideMark/>
          </w:tcPr>
          <w:p w:rsidRPr="003613B6" w:rsidR="002A1815" w:rsidP="002A1815" w:rsidRDefault="002A1815" w14:paraId="647445C7" w14:textId="7D7A1A2F">
            <w:pPr>
              <w:pStyle w:val="Table"/>
              <w:rPr>
                <w:sz w:val="18"/>
              </w:rPr>
            </w:pPr>
            <w:r>
              <w:rPr>
                <w:color w:val="000000"/>
                <w:sz w:val="18"/>
                <w:szCs w:val="18"/>
              </w:rPr>
              <w:t>10,001-50,000, CWS</w:t>
            </w:r>
          </w:p>
        </w:tc>
        <w:tc>
          <w:tcPr>
            <w:tcW w:w="1357" w:type="dxa"/>
            <w:tcMar>
              <w:left w:w="115" w:type="dxa"/>
              <w:right w:w="360" w:type="dxa"/>
            </w:tcMar>
            <w:vAlign w:val="center"/>
            <w:hideMark/>
          </w:tcPr>
          <w:p w:rsidRPr="002450B1" w:rsidR="002A1815" w:rsidP="0049228A" w:rsidRDefault="00357FC2" w14:paraId="5BA5D33C" w14:textId="2AF82FDD">
            <w:pPr>
              <w:pStyle w:val="Table"/>
              <w:ind w:right="-272"/>
              <w:jc w:val="right"/>
              <w:rPr>
                <w:sz w:val="18"/>
                <w:szCs w:val="18"/>
              </w:rPr>
            </w:pPr>
            <w:r>
              <w:rPr>
                <w:sz w:val="18"/>
                <w:szCs w:val="18"/>
              </w:rPr>
              <w:t xml:space="preserve">1,267 to </w:t>
            </w:r>
            <w:r w:rsidRPr="002A1815" w:rsidR="002A1815">
              <w:rPr>
                <w:sz w:val="18"/>
                <w:szCs w:val="18"/>
              </w:rPr>
              <w:t>1,466</w:t>
            </w:r>
          </w:p>
        </w:tc>
        <w:tc>
          <w:tcPr>
            <w:tcW w:w="1097" w:type="dxa"/>
            <w:vAlign w:val="center"/>
          </w:tcPr>
          <w:p w:rsidRPr="00EA69E3" w:rsidR="002A1815" w:rsidP="002A1815" w:rsidRDefault="00574522" w14:paraId="03A58CE0" w14:textId="09F1019F">
            <w:pPr>
              <w:pStyle w:val="Table"/>
              <w:jc w:val="center"/>
              <w:rPr>
                <w:sz w:val="18"/>
                <w:szCs w:val="18"/>
              </w:rPr>
            </w:pPr>
            <w:r>
              <w:rPr>
                <w:sz w:val="18"/>
                <w:szCs w:val="18"/>
              </w:rPr>
              <w:t>36</w:t>
            </w:r>
          </w:p>
        </w:tc>
        <w:tc>
          <w:tcPr>
            <w:tcW w:w="1603" w:type="dxa"/>
            <w:tcMar>
              <w:left w:w="115" w:type="dxa"/>
              <w:right w:w="360" w:type="dxa"/>
            </w:tcMar>
            <w:vAlign w:val="center"/>
          </w:tcPr>
          <w:p w:rsidRPr="00A355B6" w:rsidR="002A1815" w:rsidP="0042017C" w:rsidRDefault="0042017C" w14:paraId="011A2C52" w14:textId="564ED4CA">
            <w:pPr>
              <w:pStyle w:val="Table"/>
              <w:ind w:right="-281"/>
              <w:jc w:val="right"/>
              <w:rPr>
                <w:sz w:val="18"/>
                <w:szCs w:val="18"/>
              </w:rPr>
            </w:pPr>
            <w:r>
              <w:rPr>
                <w:sz w:val="18"/>
                <w:szCs w:val="18"/>
              </w:rPr>
              <w:t xml:space="preserve">45,612 to </w:t>
            </w:r>
            <w:r w:rsidRPr="0042017C">
              <w:rPr>
                <w:sz w:val="18"/>
                <w:szCs w:val="18"/>
              </w:rPr>
              <w:t>52,776</w:t>
            </w:r>
          </w:p>
        </w:tc>
        <w:tc>
          <w:tcPr>
            <w:tcW w:w="1097" w:type="dxa"/>
            <w:vAlign w:val="center"/>
            <w:hideMark/>
          </w:tcPr>
          <w:p w:rsidRPr="00EA69E3" w:rsidR="002A1815" w:rsidP="002A1815" w:rsidRDefault="002A1815" w14:paraId="6422E914" w14:textId="77777777">
            <w:pPr>
              <w:pStyle w:val="Table"/>
              <w:jc w:val="center"/>
              <w:rPr>
                <w:sz w:val="18"/>
                <w:szCs w:val="18"/>
              </w:rPr>
            </w:pPr>
            <w:r w:rsidRPr="00EA69E3">
              <w:rPr>
                <w:sz w:val="18"/>
                <w:szCs w:val="18"/>
              </w:rPr>
              <w:t>$36.15</w:t>
            </w:r>
          </w:p>
        </w:tc>
        <w:tc>
          <w:tcPr>
            <w:tcW w:w="2335" w:type="dxa"/>
            <w:noWrap/>
            <w:tcMar>
              <w:left w:w="115" w:type="dxa"/>
              <w:right w:w="288" w:type="dxa"/>
            </w:tcMar>
            <w:vAlign w:val="center"/>
          </w:tcPr>
          <w:p w:rsidRPr="00A355B6" w:rsidR="002A1815" w:rsidP="00374B7A" w:rsidRDefault="00374B7A" w14:paraId="2A549350" w14:textId="23CC5A0D">
            <w:pPr>
              <w:pStyle w:val="Table"/>
              <w:ind w:right="-203"/>
              <w:jc w:val="right"/>
              <w:rPr>
                <w:sz w:val="18"/>
                <w:szCs w:val="18"/>
              </w:rPr>
            </w:pPr>
            <w:r w:rsidRPr="00374B7A">
              <w:rPr>
                <w:sz w:val="18"/>
                <w:szCs w:val="18"/>
              </w:rPr>
              <w:t>$1,648,874</w:t>
            </w:r>
            <w:r>
              <w:rPr>
                <w:sz w:val="18"/>
                <w:szCs w:val="18"/>
              </w:rPr>
              <w:t xml:space="preserve"> to </w:t>
            </w:r>
            <w:r w:rsidRPr="00374B7A">
              <w:rPr>
                <w:sz w:val="18"/>
                <w:szCs w:val="18"/>
              </w:rPr>
              <w:t>$1,907,852</w:t>
            </w:r>
          </w:p>
        </w:tc>
      </w:tr>
      <w:tr w:rsidRPr="003613B6" w:rsidR="00357FC2" w:rsidTr="00574522" w14:paraId="42548DA1" w14:textId="77777777">
        <w:trPr>
          <w:trHeight w:val="300"/>
        </w:trPr>
        <w:tc>
          <w:tcPr>
            <w:tcW w:w="1861" w:type="dxa"/>
            <w:vAlign w:val="center"/>
            <w:hideMark/>
          </w:tcPr>
          <w:p w:rsidRPr="003613B6" w:rsidR="002A1815" w:rsidP="002A1815" w:rsidRDefault="002A1815" w14:paraId="79F95A57" w14:textId="516FC76D">
            <w:pPr>
              <w:pStyle w:val="Table"/>
              <w:rPr>
                <w:sz w:val="18"/>
              </w:rPr>
            </w:pPr>
            <w:r>
              <w:rPr>
                <w:color w:val="000000"/>
                <w:sz w:val="18"/>
                <w:szCs w:val="18"/>
              </w:rPr>
              <w:t>50,001-100,000, CWS</w:t>
            </w:r>
          </w:p>
        </w:tc>
        <w:tc>
          <w:tcPr>
            <w:tcW w:w="1357" w:type="dxa"/>
            <w:tcMar>
              <w:left w:w="115" w:type="dxa"/>
              <w:right w:w="360" w:type="dxa"/>
            </w:tcMar>
            <w:vAlign w:val="center"/>
            <w:hideMark/>
          </w:tcPr>
          <w:p w:rsidRPr="002450B1" w:rsidR="002A1815" w:rsidP="0049228A" w:rsidRDefault="00357FC2" w14:paraId="6E0BBCC8" w14:textId="48428C1F">
            <w:pPr>
              <w:pStyle w:val="Table"/>
              <w:ind w:right="-272"/>
              <w:jc w:val="right"/>
              <w:rPr>
                <w:sz w:val="18"/>
                <w:szCs w:val="18"/>
              </w:rPr>
            </w:pPr>
            <w:r>
              <w:rPr>
                <w:sz w:val="18"/>
                <w:szCs w:val="18"/>
              </w:rPr>
              <w:t xml:space="preserve">287 to </w:t>
            </w:r>
            <w:r w:rsidRPr="002A1815" w:rsidR="002A1815">
              <w:rPr>
                <w:sz w:val="18"/>
                <w:szCs w:val="18"/>
              </w:rPr>
              <w:t>242</w:t>
            </w:r>
          </w:p>
        </w:tc>
        <w:tc>
          <w:tcPr>
            <w:tcW w:w="1097" w:type="dxa"/>
            <w:vAlign w:val="center"/>
          </w:tcPr>
          <w:p w:rsidRPr="00EA69E3" w:rsidR="002A1815" w:rsidP="002A1815" w:rsidRDefault="00574522" w14:paraId="53562430" w14:textId="5D141893">
            <w:pPr>
              <w:pStyle w:val="Table"/>
              <w:jc w:val="center"/>
              <w:rPr>
                <w:sz w:val="18"/>
                <w:szCs w:val="18"/>
              </w:rPr>
            </w:pPr>
            <w:r>
              <w:rPr>
                <w:sz w:val="18"/>
                <w:szCs w:val="18"/>
              </w:rPr>
              <w:t>52</w:t>
            </w:r>
          </w:p>
        </w:tc>
        <w:tc>
          <w:tcPr>
            <w:tcW w:w="1603" w:type="dxa"/>
            <w:tcMar>
              <w:left w:w="115" w:type="dxa"/>
              <w:right w:w="360" w:type="dxa"/>
            </w:tcMar>
            <w:vAlign w:val="center"/>
          </w:tcPr>
          <w:p w:rsidRPr="00A355B6" w:rsidR="002A1815" w:rsidP="0042017C" w:rsidRDefault="0042017C" w14:paraId="2AB7360E" w14:textId="256ED542">
            <w:pPr>
              <w:pStyle w:val="Table"/>
              <w:ind w:right="-281"/>
              <w:jc w:val="right"/>
              <w:rPr>
                <w:sz w:val="18"/>
                <w:szCs w:val="18"/>
              </w:rPr>
            </w:pPr>
            <w:r>
              <w:rPr>
                <w:sz w:val="18"/>
                <w:szCs w:val="18"/>
              </w:rPr>
              <w:t xml:space="preserve">14,924 to </w:t>
            </w:r>
            <w:r w:rsidRPr="0042017C">
              <w:rPr>
                <w:sz w:val="18"/>
                <w:szCs w:val="18"/>
              </w:rPr>
              <w:t>12,584</w:t>
            </w:r>
          </w:p>
        </w:tc>
        <w:tc>
          <w:tcPr>
            <w:tcW w:w="1097" w:type="dxa"/>
            <w:vAlign w:val="center"/>
            <w:hideMark/>
          </w:tcPr>
          <w:p w:rsidRPr="00EA69E3" w:rsidR="002A1815" w:rsidP="002A1815" w:rsidRDefault="002A1815" w14:paraId="51A19126" w14:textId="77777777">
            <w:pPr>
              <w:pStyle w:val="Table"/>
              <w:jc w:val="center"/>
              <w:rPr>
                <w:sz w:val="18"/>
                <w:szCs w:val="18"/>
              </w:rPr>
            </w:pPr>
            <w:r w:rsidRPr="00EA69E3">
              <w:rPr>
                <w:sz w:val="18"/>
                <w:szCs w:val="18"/>
              </w:rPr>
              <w:t>$39.01</w:t>
            </w:r>
          </w:p>
        </w:tc>
        <w:tc>
          <w:tcPr>
            <w:tcW w:w="2335" w:type="dxa"/>
            <w:noWrap/>
            <w:tcMar>
              <w:left w:w="115" w:type="dxa"/>
              <w:right w:w="288" w:type="dxa"/>
            </w:tcMar>
            <w:vAlign w:val="center"/>
          </w:tcPr>
          <w:p w:rsidRPr="00A355B6" w:rsidR="002A1815" w:rsidP="00374B7A" w:rsidRDefault="00374B7A" w14:paraId="3E4A4562" w14:textId="421FF980">
            <w:pPr>
              <w:pStyle w:val="Table"/>
              <w:ind w:right="-203"/>
              <w:jc w:val="right"/>
              <w:rPr>
                <w:sz w:val="18"/>
                <w:szCs w:val="18"/>
              </w:rPr>
            </w:pPr>
            <w:r w:rsidRPr="00374B7A">
              <w:rPr>
                <w:sz w:val="18"/>
                <w:szCs w:val="18"/>
              </w:rPr>
              <w:t>$582,185</w:t>
            </w:r>
            <w:r>
              <w:rPr>
                <w:sz w:val="18"/>
                <w:szCs w:val="18"/>
              </w:rPr>
              <w:t xml:space="preserve"> to </w:t>
            </w:r>
            <w:r w:rsidRPr="00374B7A">
              <w:rPr>
                <w:sz w:val="18"/>
                <w:szCs w:val="18"/>
              </w:rPr>
              <w:t>$490,902</w:t>
            </w:r>
          </w:p>
        </w:tc>
      </w:tr>
      <w:tr w:rsidRPr="003613B6" w:rsidR="00357FC2" w:rsidTr="00574522" w14:paraId="14914CD5" w14:textId="77777777">
        <w:trPr>
          <w:trHeight w:val="300"/>
        </w:trPr>
        <w:tc>
          <w:tcPr>
            <w:tcW w:w="1861" w:type="dxa"/>
            <w:vAlign w:val="center"/>
            <w:hideMark/>
          </w:tcPr>
          <w:p w:rsidRPr="003613B6" w:rsidR="002A1815" w:rsidP="002A1815" w:rsidRDefault="002A1815" w14:paraId="40CA28D6" w14:textId="7B373C9C">
            <w:pPr>
              <w:pStyle w:val="Table"/>
              <w:rPr>
                <w:sz w:val="18"/>
              </w:rPr>
            </w:pPr>
            <w:r>
              <w:rPr>
                <w:color w:val="000000"/>
                <w:sz w:val="18"/>
                <w:szCs w:val="18"/>
              </w:rPr>
              <w:t>100,001-1,000,000, CWS</w:t>
            </w:r>
          </w:p>
        </w:tc>
        <w:tc>
          <w:tcPr>
            <w:tcW w:w="1357" w:type="dxa"/>
            <w:tcMar>
              <w:left w:w="115" w:type="dxa"/>
              <w:right w:w="360" w:type="dxa"/>
            </w:tcMar>
            <w:vAlign w:val="center"/>
            <w:hideMark/>
          </w:tcPr>
          <w:p w:rsidRPr="002450B1" w:rsidR="002A1815" w:rsidP="0049228A" w:rsidRDefault="00357FC2" w14:paraId="268D814C" w14:textId="111D21A4">
            <w:pPr>
              <w:pStyle w:val="Table"/>
              <w:ind w:right="-272"/>
              <w:jc w:val="right"/>
              <w:rPr>
                <w:sz w:val="18"/>
                <w:szCs w:val="18"/>
              </w:rPr>
            </w:pPr>
            <w:r>
              <w:rPr>
                <w:sz w:val="18"/>
                <w:szCs w:val="18"/>
              </w:rPr>
              <w:t xml:space="preserve">198 to </w:t>
            </w:r>
            <w:r w:rsidRPr="002A1815" w:rsidR="002A1815">
              <w:rPr>
                <w:sz w:val="18"/>
                <w:szCs w:val="18"/>
              </w:rPr>
              <w:t>254</w:t>
            </w:r>
          </w:p>
        </w:tc>
        <w:tc>
          <w:tcPr>
            <w:tcW w:w="1097" w:type="dxa"/>
            <w:vAlign w:val="center"/>
          </w:tcPr>
          <w:p w:rsidRPr="00EA69E3" w:rsidR="002A1815" w:rsidP="002A1815" w:rsidRDefault="00574522" w14:paraId="1DA5F523" w14:textId="66FFA23B">
            <w:pPr>
              <w:pStyle w:val="Table"/>
              <w:jc w:val="center"/>
              <w:rPr>
                <w:sz w:val="18"/>
                <w:szCs w:val="18"/>
              </w:rPr>
            </w:pPr>
            <w:r>
              <w:rPr>
                <w:sz w:val="18"/>
                <w:szCs w:val="18"/>
              </w:rPr>
              <w:t>52</w:t>
            </w:r>
          </w:p>
        </w:tc>
        <w:tc>
          <w:tcPr>
            <w:tcW w:w="1603" w:type="dxa"/>
            <w:tcMar>
              <w:left w:w="115" w:type="dxa"/>
              <w:right w:w="360" w:type="dxa"/>
            </w:tcMar>
            <w:vAlign w:val="center"/>
          </w:tcPr>
          <w:p w:rsidRPr="00A355B6" w:rsidR="002A1815" w:rsidP="0042017C" w:rsidRDefault="0042017C" w14:paraId="02B9FFDC" w14:textId="52535954">
            <w:pPr>
              <w:pStyle w:val="Table"/>
              <w:ind w:right="-281"/>
              <w:jc w:val="right"/>
              <w:rPr>
                <w:sz w:val="18"/>
                <w:szCs w:val="18"/>
              </w:rPr>
            </w:pPr>
            <w:r>
              <w:rPr>
                <w:sz w:val="18"/>
                <w:szCs w:val="18"/>
              </w:rPr>
              <w:t xml:space="preserve">10,296 to </w:t>
            </w:r>
            <w:r w:rsidRPr="0042017C">
              <w:rPr>
                <w:sz w:val="18"/>
                <w:szCs w:val="18"/>
              </w:rPr>
              <w:t>13,208</w:t>
            </w:r>
          </w:p>
        </w:tc>
        <w:tc>
          <w:tcPr>
            <w:tcW w:w="1097" w:type="dxa"/>
            <w:vAlign w:val="center"/>
            <w:hideMark/>
          </w:tcPr>
          <w:p w:rsidRPr="00EA69E3" w:rsidR="002A1815" w:rsidP="002A1815" w:rsidRDefault="002A1815" w14:paraId="34993A9E" w14:textId="77777777">
            <w:pPr>
              <w:pStyle w:val="Table"/>
              <w:jc w:val="center"/>
              <w:rPr>
                <w:sz w:val="18"/>
                <w:szCs w:val="18"/>
              </w:rPr>
            </w:pPr>
            <w:r w:rsidRPr="00EA69E3">
              <w:rPr>
                <w:sz w:val="18"/>
                <w:szCs w:val="18"/>
              </w:rPr>
              <w:t>$44.38</w:t>
            </w:r>
          </w:p>
        </w:tc>
        <w:tc>
          <w:tcPr>
            <w:tcW w:w="2335" w:type="dxa"/>
            <w:noWrap/>
            <w:tcMar>
              <w:left w:w="115" w:type="dxa"/>
              <w:right w:w="288" w:type="dxa"/>
            </w:tcMar>
            <w:vAlign w:val="center"/>
          </w:tcPr>
          <w:p w:rsidRPr="00A355B6" w:rsidR="002A1815" w:rsidP="00374B7A" w:rsidRDefault="00374B7A" w14:paraId="756A92DE" w14:textId="11BE4CE1">
            <w:pPr>
              <w:pStyle w:val="Table"/>
              <w:ind w:right="-203"/>
              <w:jc w:val="right"/>
              <w:rPr>
                <w:sz w:val="18"/>
                <w:szCs w:val="18"/>
              </w:rPr>
            </w:pPr>
            <w:r>
              <w:rPr>
                <w:sz w:val="18"/>
                <w:szCs w:val="18"/>
              </w:rPr>
              <w:t xml:space="preserve">$456,936 to </w:t>
            </w:r>
            <w:r w:rsidRPr="00374B7A">
              <w:rPr>
                <w:sz w:val="18"/>
                <w:szCs w:val="18"/>
              </w:rPr>
              <w:t>$586,171</w:t>
            </w:r>
          </w:p>
        </w:tc>
      </w:tr>
      <w:tr w:rsidRPr="003613B6" w:rsidR="00357FC2" w:rsidTr="00574522" w14:paraId="4D89AE84" w14:textId="77777777">
        <w:trPr>
          <w:trHeight w:val="300"/>
        </w:trPr>
        <w:tc>
          <w:tcPr>
            <w:tcW w:w="1861" w:type="dxa"/>
            <w:vAlign w:val="center"/>
            <w:hideMark/>
          </w:tcPr>
          <w:p w:rsidRPr="003613B6" w:rsidR="002A1815" w:rsidP="002A1815" w:rsidRDefault="002A1815" w14:paraId="253D365C" w14:textId="537243F8">
            <w:pPr>
              <w:pStyle w:val="Table"/>
              <w:rPr>
                <w:sz w:val="18"/>
              </w:rPr>
            </w:pPr>
            <w:r>
              <w:rPr>
                <w:color w:val="000000"/>
                <w:sz w:val="18"/>
                <w:szCs w:val="18"/>
              </w:rPr>
              <w:t>&gt;1,000,000, CWS</w:t>
            </w:r>
          </w:p>
        </w:tc>
        <w:tc>
          <w:tcPr>
            <w:tcW w:w="1357" w:type="dxa"/>
            <w:tcMar>
              <w:left w:w="115" w:type="dxa"/>
              <w:right w:w="360" w:type="dxa"/>
            </w:tcMar>
            <w:vAlign w:val="center"/>
            <w:hideMark/>
          </w:tcPr>
          <w:p w:rsidRPr="002450B1" w:rsidR="002A1815" w:rsidP="0049228A" w:rsidRDefault="00357FC2" w14:paraId="385B3CFE" w14:textId="61A666FF">
            <w:pPr>
              <w:pStyle w:val="Table"/>
              <w:ind w:right="-272"/>
              <w:jc w:val="right"/>
              <w:rPr>
                <w:sz w:val="18"/>
                <w:szCs w:val="18"/>
              </w:rPr>
            </w:pPr>
            <w:r>
              <w:rPr>
                <w:sz w:val="18"/>
                <w:szCs w:val="18"/>
              </w:rPr>
              <w:t xml:space="preserve">12 to </w:t>
            </w:r>
            <w:r w:rsidRPr="002A1815" w:rsidR="002A1815">
              <w:rPr>
                <w:sz w:val="18"/>
                <w:szCs w:val="18"/>
              </w:rPr>
              <w:t>14</w:t>
            </w:r>
          </w:p>
        </w:tc>
        <w:tc>
          <w:tcPr>
            <w:tcW w:w="1097" w:type="dxa"/>
            <w:vAlign w:val="center"/>
          </w:tcPr>
          <w:p w:rsidRPr="00EA69E3" w:rsidR="002A1815" w:rsidP="002A1815" w:rsidRDefault="00574522" w14:paraId="1F3FA063" w14:textId="24EA476F">
            <w:pPr>
              <w:pStyle w:val="Table"/>
              <w:jc w:val="center"/>
              <w:rPr>
                <w:sz w:val="18"/>
                <w:szCs w:val="18"/>
              </w:rPr>
            </w:pPr>
            <w:r>
              <w:rPr>
                <w:sz w:val="18"/>
                <w:szCs w:val="18"/>
              </w:rPr>
              <w:t>52</w:t>
            </w:r>
          </w:p>
        </w:tc>
        <w:tc>
          <w:tcPr>
            <w:tcW w:w="1603" w:type="dxa"/>
            <w:tcMar>
              <w:left w:w="115" w:type="dxa"/>
              <w:right w:w="360" w:type="dxa"/>
            </w:tcMar>
            <w:vAlign w:val="center"/>
          </w:tcPr>
          <w:p w:rsidRPr="00A355B6" w:rsidR="002A1815" w:rsidP="0042017C" w:rsidRDefault="0042017C" w14:paraId="66F8ADB6" w14:textId="4E09BB20">
            <w:pPr>
              <w:pStyle w:val="Table"/>
              <w:ind w:right="-281"/>
              <w:jc w:val="right"/>
              <w:rPr>
                <w:sz w:val="18"/>
                <w:szCs w:val="18"/>
              </w:rPr>
            </w:pPr>
            <w:r w:rsidRPr="0042017C">
              <w:rPr>
                <w:sz w:val="18"/>
                <w:szCs w:val="18"/>
              </w:rPr>
              <w:t>624</w:t>
            </w:r>
            <w:r>
              <w:rPr>
                <w:sz w:val="18"/>
                <w:szCs w:val="18"/>
              </w:rPr>
              <w:t xml:space="preserve"> to </w:t>
            </w:r>
            <w:r w:rsidRPr="0042017C">
              <w:rPr>
                <w:sz w:val="18"/>
                <w:szCs w:val="18"/>
              </w:rPr>
              <w:t>728</w:t>
            </w:r>
          </w:p>
        </w:tc>
        <w:tc>
          <w:tcPr>
            <w:tcW w:w="1097" w:type="dxa"/>
            <w:vAlign w:val="center"/>
            <w:hideMark/>
          </w:tcPr>
          <w:p w:rsidRPr="00EA69E3" w:rsidR="002A1815" w:rsidP="002A1815" w:rsidRDefault="002A1815" w14:paraId="6D2CFE59" w14:textId="77777777">
            <w:pPr>
              <w:pStyle w:val="Table"/>
              <w:jc w:val="center"/>
              <w:rPr>
                <w:sz w:val="18"/>
                <w:szCs w:val="18"/>
              </w:rPr>
            </w:pPr>
            <w:r w:rsidRPr="00EA69E3">
              <w:rPr>
                <w:sz w:val="18"/>
                <w:szCs w:val="18"/>
              </w:rPr>
              <w:t>$44.38</w:t>
            </w:r>
          </w:p>
        </w:tc>
        <w:tc>
          <w:tcPr>
            <w:tcW w:w="2335" w:type="dxa"/>
            <w:noWrap/>
            <w:tcMar>
              <w:left w:w="115" w:type="dxa"/>
              <w:right w:w="288" w:type="dxa"/>
            </w:tcMar>
            <w:vAlign w:val="center"/>
          </w:tcPr>
          <w:p w:rsidRPr="00A355B6" w:rsidR="002A1815" w:rsidP="00374B7A" w:rsidRDefault="00374B7A" w14:paraId="7226975D" w14:textId="65A00B5F">
            <w:pPr>
              <w:pStyle w:val="Table"/>
              <w:ind w:right="-203"/>
              <w:jc w:val="right"/>
              <w:rPr>
                <w:sz w:val="18"/>
                <w:szCs w:val="18"/>
              </w:rPr>
            </w:pPr>
            <w:r w:rsidRPr="00374B7A">
              <w:rPr>
                <w:sz w:val="18"/>
                <w:szCs w:val="18"/>
              </w:rPr>
              <w:t>$27,693</w:t>
            </w:r>
            <w:r>
              <w:rPr>
                <w:sz w:val="18"/>
                <w:szCs w:val="18"/>
              </w:rPr>
              <w:t xml:space="preserve"> to </w:t>
            </w:r>
            <w:r w:rsidRPr="00374B7A">
              <w:rPr>
                <w:sz w:val="18"/>
                <w:szCs w:val="18"/>
              </w:rPr>
              <w:t>$32,309</w:t>
            </w:r>
          </w:p>
        </w:tc>
      </w:tr>
      <w:tr w:rsidRPr="003613B6" w:rsidR="00357FC2" w:rsidTr="0049228A" w14:paraId="13BEBACE" w14:textId="77777777">
        <w:trPr>
          <w:trHeight w:val="300"/>
        </w:trPr>
        <w:tc>
          <w:tcPr>
            <w:tcW w:w="1861" w:type="dxa"/>
            <w:vAlign w:val="center"/>
          </w:tcPr>
          <w:p w:rsidRPr="003613B6" w:rsidR="002A1815" w:rsidP="002A1815" w:rsidRDefault="002A1815" w14:paraId="739B05B4" w14:textId="66AE082D">
            <w:pPr>
              <w:pStyle w:val="Table"/>
              <w:rPr>
                <w:sz w:val="18"/>
              </w:rPr>
            </w:pPr>
            <w:r>
              <w:rPr>
                <w:color w:val="000000"/>
                <w:sz w:val="18"/>
                <w:szCs w:val="18"/>
              </w:rPr>
              <w:t>&lt;=100, NTNCWS</w:t>
            </w:r>
          </w:p>
        </w:tc>
        <w:tc>
          <w:tcPr>
            <w:tcW w:w="1357" w:type="dxa"/>
            <w:tcMar>
              <w:left w:w="115" w:type="dxa"/>
              <w:right w:w="360" w:type="dxa"/>
            </w:tcMar>
            <w:vAlign w:val="center"/>
          </w:tcPr>
          <w:p w:rsidRPr="00192A44" w:rsidR="002A1815" w:rsidP="0049228A" w:rsidRDefault="002A1815" w14:paraId="1D36D2D6" w14:textId="7F9AE985">
            <w:pPr>
              <w:pStyle w:val="Table"/>
              <w:ind w:right="-272"/>
              <w:jc w:val="right"/>
              <w:rPr>
                <w:sz w:val="18"/>
                <w:szCs w:val="18"/>
              </w:rPr>
            </w:pPr>
            <w:r>
              <w:rPr>
                <w:color w:val="000000"/>
                <w:sz w:val="18"/>
                <w:szCs w:val="18"/>
              </w:rPr>
              <w:t>211</w:t>
            </w:r>
          </w:p>
        </w:tc>
        <w:tc>
          <w:tcPr>
            <w:tcW w:w="1097" w:type="dxa"/>
            <w:vAlign w:val="center"/>
          </w:tcPr>
          <w:p w:rsidRPr="00EA69E3" w:rsidR="002A1815" w:rsidP="002A1815" w:rsidRDefault="00574522" w14:paraId="5B432CBD" w14:textId="4AC34238">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3B183610" w14:textId="0FD5212E">
            <w:pPr>
              <w:pStyle w:val="Table"/>
              <w:ind w:right="-281"/>
              <w:jc w:val="right"/>
              <w:rPr>
                <w:sz w:val="18"/>
                <w:szCs w:val="18"/>
              </w:rPr>
            </w:pPr>
            <w:r w:rsidRPr="00374B7A">
              <w:rPr>
                <w:sz w:val="18"/>
                <w:szCs w:val="18"/>
              </w:rPr>
              <w:t>2,532</w:t>
            </w:r>
          </w:p>
        </w:tc>
        <w:tc>
          <w:tcPr>
            <w:tcW w:w="1097" w:type="dxa"/>
            <w:vAlign w:val="center"/>
          </w:tcPr>
          <w:p w:rsidRPr="00EA69E3" w:rsidR="002A1815" w:rsidP="002A1815" w:rsidRDefault="002A1815" w14:paraId="2ADED0C4" w14:textId="56F64B1B">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192A44" w:rsidR="002A1815" w:rsidP="005801D7" w:rsidRDefault="005801D7" w14:paraId="40FBB796" w14:textId="708D1DDC">
            <w:pPr>
              <w:pStyle w:val="Table"/>
              <w:ind w:right="-203"/>
              <w:jc w:val="right"/>
              <w:rPr>
                <w:sz w:val="18"/>
                <w:szCs w:val="18"/>
              </w:rPr>
            </w:pPr>
            <w:r w:rsidRPr="005801D7">
              <w:rPr>
                <w:sz w:val="18"/>
                <w:szCs w:val="18"/>
              </w:rPr>
              <w:t>$72,516</w:t>
            </w:r>
          </w:p>
        </w:tc>
      </w:tr>
      <w:tr w:rsidRPr="003613B6" w:rsidR="00357FC2" w:rsidTr="0049228A" w14:paraId="00FA4CAE" w14:textId="77777777">
        <w:trPr>
          <w:trHeight w:val="300"/>
        </w:trPr>
        <w:tc>
          <w:tcPr>
            <w:tcW w:w="1861" w:type="dxa"/>
            <w:vAlign w:val="center"/>
          </w:tcPr>
          <w:p w:rsidRPr="003613B6" w:rsidR="002A1815" w:rsidP="002A1815" w:rsidRDefault="002A1815" w14:paraId="6FB08F38" w14:textId="3D7C923F">
            <w:pPr>
              <w:pStyle w:val="Table"/>
              <w:rPr>
                <w:sz w:val="18"/>
              </w:rPr>
            </w:pPr>
            <w:r>
              <w:rPr>
                <w:color w:val="000000"/>
                <w:sz w:val="18"/>
                <w:szCs w:val="18"/>
              </w:rPr>
              <w:t>101-500, NTNCWS</w:t>
            </w:r>
          </w:p>
        </w:tc>
        <w:tc>
          <w:tcPr>
            <w:tcW w:w="1357" w:type="dxa"/>
            <w:tcMar>
              <w:left w:w="115" w:type="dxa"/>
              <w:right w:w="360" w:type="dxa"/>
            </w:tcMar>
            <w:vAlign w:val="center"/>
          </w:tcPr>
          <w:p w:rsidRPr="00192A44" w:rsidR="002A1815" w:rsidP="0049228A" w:rsidRDefault="002A1815" w14:paraId="6373415E" w14:textId="74FD9218">
            <w:pPr>
              <w:pStyle w:val="Table"/>
              <w:ind w:right="-272"/>
              <w:jc w:val="right"/>
              <w:rPr>
                <w:sz w:val="18"/>
                <w:szCs w:val="18"/>
              </w:rPr>
            </w:pPr>
            <w:r>
              <w:rPr>
                <w:color w:val="000000"/>
                <w:sz w:val="18"/>
                <w:szCs w:val="18"/>
              </w:rPr>
              <w:t>163</w:t>
            </w:r>
          </w:p>
        </w:tc>
        <w:tc>
          <w:tcPr>
            <w:tcW w:w="1097" w:type="dxa"/>
            <w:vAlign w:val="center"/>
          </w:tcPr>
          <w:p w:rsidRPr="00EA69E3" w:rsidR="002A1815" w:rsidP="002A1815" w:rsidRDefault="00574522" w14:paraId="579F8DE3" w14:textId="3FD03077">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1F131608" w14:textId="06091B3F">
            <w:pPr>
              <w:pStyle w:val="Table"/>
              <w:ind w:right="-281"/>
              <w:jc w:val="right"/>
              <w:rPr>
                <w:sz w:val="18"/>
                <w:szCs w:val="18"/>
              </w:rPr>
            </w:pPr>
            <w:r w:rsidRPr="00374B7A">
              <w:rPr>
                <w:sz w:val="18"/>
                <w:szCs w:val="18"/>
              </w:rPr>
              <w:t>1,956</w:t>
            </w:r>
          </w:p>
        </w:tc>
        <w:tc>
          <w:tcPr>
            <w:tcW w:w="1097" w:type="dxa"/>
            <w:vAlign w:val="center"/>
          </w:tcPr>
          <w:p w:rsidRPr="00EA69E3" w:rsidR="002A1815" w:rsidP="002A1815" w:rsidRDefault="002A1815" w14:paraId="3A40FF35" w14:textId="41AC3A27">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192A44" w:rsidR="002A1815" w:rsidP="005801D7" w:rsidRDefault="005801D7" w14:paraId="6A8B66F9" w14:textId="0C50F3F0">
            <w:pPr>
              <w:pStyle w:val="Table"/>
              <w:ind w:right="-203"/>
              <w:jc w:val="right"/>
              <w:rPr>
                <w:sz w:val="18"/>
                <w:szCs w:val="18"/>
              </w:rPr>
            </w:pPr>
            <w:r w:rsidRPr="005801D7">
              <w:rPr>
                <w:sz w:val="18"/>
                <w:szCs w:val="18"/>
              </w:rPr>
              <w:t>$56,020</w:t>
            </w:r>
          </w:p>
        </w:tc>
      </w:tr>
      <w:tr w:rsidRPr="003613B6" w:rsidR="00357FC2" w:rsidTr="0049228A" w14:paraId="3EBB060E" w14:textId="77777777">
        <w:trPr>
          <w:trHeight w:val="300"/>
        </w:trPr>
        <w:tc>
          <w:tcPr>
            <w:tcW w:w="1861" w:type="dxa"/>
            <w:vAlign w:val="center"/>
          </w:tcPr>
          <w:p w:rsidRPr="003613B6" w:rsidR="002A1815" w:rsidP="002A1815" w:rsidRDefault="002A1815" w14:paraId="0F0A7742" w14:textId="6F0343F0">
            <w:pPr>
              <w:pStyle w:val="Table"/>
              <w:rPr>
                <w:sz w:val="18"/>
              </w:rPr>
            </w:pPr>
            <w:r>
              <w:rPr>
                <w:color w:val="000000"/>
                <w:sz w:val="18"/>
                <w:szCs w:val="18"/>
              </w:rPr>
              <w:t>501-1,000, NTNCWS</w:t>
            </w:r>
          </w:p>
        </w:tc>
        <w:tc>
          <w:tcPr>
            <w:tcW w:w="1357" w:type="dxa"/>
            <w:tcMar>
              <w:left w:w="115" w:type="dxa"/>
              <w:right w:w="360" w:type="dxa"/>
            </w:tcMar>
            <w:vAlign w:val="center"/>
          </w:tcPr>
          <w:p w:rsidRPr="00192A44" w:rsidR="002A1815" w:rsidP="0049228A" w:rsidRDefault="002A1815" w14:paraId="1F8DCA83" w14:textId="3EDA8972">
            <w:pPr>
              <w:pStyle w:val="Table"/>
              <w:ind w:right="-272"/>
              <w:jc w:val="right"/>
              <w:rPr>
                <w:sz w:val="18"/>
                <w:szCs w:val="18"/>
              </w:rPr>
            </w:pPr>
            <w:r>
              <w:rPr>
                <w:color w:val="000000"/>
                <w:sz w:val="18"/>
                <w:szCs w:val="18"/>
              </w:rPr>
              <w:t>40</w:t>
            </w:r>
          </w:p>
        </w:tc>
        <w:tc>
          <w:tcPr>
            <w:tcW w:w="1097" w:type="dxa"/>
            <w:vAlign w:val="center"/>
          </w:tcPr>
          <w:p w:rsidRPr="00EA69E3" w:rsidR="002A1815" w:rsidP="002A1815" w:rsidRDefault="00574522" w14:paraId="1D9ECB86" w14:textId="30E02211">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6FF2958A" w14:textId="77DE0F08">
            <w:pPr>
              <w:pStyle w:val="Table"/>
              <w:ind w:right="-281"/>
              <w:jc w:val="right"/>
              <w:rPr>
                <w:sz w:val="18"/>
                <w:szCs w:val="18"/>
              </w:rPr>
            </w:pPr>
            <w:r w:rsidRPr="00374B7A">
              <w:rPr>
                <w:sz w:val="18"/>
                <w:szCs w:val="18"/>
              </w:rPr>
              <w:t>480</w:t>
            </w:r>
          </w:p>
        </w:tc>
        <w:tc>
          <w:tcPr>
            <w:tcW w:w="1097" w:type="dxa"/>
            <w:vAlign w:val="center"/>
          </w:tcPr>
          <w:p w:rsidRPr="00EA69E3" w:rsidR="002A1815" w:rsidP="002A1815" w:rsidRDefault="002A1815" w14:paraId="485FC25F" w14:textId="073FC0DD">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192A44" w:rsidR="002A1815" w:rsidP="005801D7" w:rsidRDefault="005801D7" w14:paraId="1CB09E71" w14:textId="5445FB47">
            <w:pPr>
              <w:pStyle w:val="Table"/>
              <w:ind w:right="-203"/>
              <w:jc w:val="right"/>
              <w:rPr>
                <w:sz w:val="18"/>
                <w:szCs w:val="18"/>
              </w:rPr>
            </w:pPr>
            <w:r w:rsidRPr="005801D7">
              <w:rPr>
                <w:sz w:val="18"/>
                <w:szCs w:val="18"/>
              </w:rPr>
              <w:t>$13,747</w:t>
            </w:r>
          </w:p>
        </w:tc>
      </w:tr>
      <w:tr w:rsidRPr="003613B6" w:rsidR="00357FC2" w:rsidTr="0049228A" w14:paraId="010FD5BE" w14:textId="77777777">
        <w:trPr>
          <w:trHeight w:val="300"/>
        </w:trPr>
        <w:tc>
          <w:tcPr>
            <w:tcW w:w="1861" w:type="dxa"/>
            <w:vAlign w:val="center"/>
          </w:tcPr>
          <w:p w:rsidRPr="003613B6" w:rsidR="002A1815" w:rsidP="002A1815" w:rsidRDefault="002A1815" w14:paraId="1093925B" w14:textId="6B525235">
            <w:pPr>
              <w:pStyle w:val="Table"/>
              <w:rPr>
                <w:sz w:val="18"/>
              </w:rPr>
            </w:pPr>
            <w:r>
              <w:rPr>
                <w:color w:val="000000"/>
                <w:sz w:val="18"/>
                <w:szCs w:val="18"/>
              </w:rPr>
              <w:t>1,001-3,300, NTNCWS</w:t>
            </w:r>
          </w:p>
        </w:tc>
        <w:tc>
          <w:tcPr>
            <w:tcW w:w="1357" w:type="dxa"/>
            <w:tcMar>
              <w:left w:w="115" w:type="dxa"/>
              <w:right w:w="360" w:type="dxa"/>
            </w:tcMar>
            <w:vAlign w:val="center"/>
          </w:tcPr>
          <w:p w:rsidRPr="00192A44" w:rsidR="002A1815" w:rsidP="0049228A" w:rsidRDefault="002A1815" w14:paraId="08625E37" w14:textId="60D7B573">
            <w:pPr>
              <w:pStyle w:val="Table"/>
              <w:ind w:right="-272"/>
              <w:jc w:val="right"/>
              <w:rPr>
                <w:sz w:val="18"/>
                <w:szCs w:val="18"/>
              </w:rPr>
            </w:pPr>
            <w:r>
              <w:rPr>
                <w:color w:val="000000"/>
                <w:sz w:val="18"/>
                <w:szCs w:val="18"/>
              </w:rPr>
              <w:t>22</w:t>
            </w:r>
          </w:p>
        </w:tc>
        <w:tc>
          <w:tcPr>
            <w:tcW w:w="1097" w:type="dxa"/>
            <w:vAlign w:val="center"/>
          </w:tcPr>
          <w:p w:rsidRPr="00EA69E3" w:rsidR="002A1815" w:rsidP="002A1815" w:rsidRDefault="00574522" w14:paraId="40C51D73" w14:textId="2187C20A">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6507AAD4" w14:textId="682C005D">
            <w:pPr>
              <w:pStyle w:val="Table"/>
              <w:ind w:right="-281"/>
              <w:jc w:val="right"/>
              <w:rPr>
                <w:sz w:val="18"/>
                <w:szCs w:val="18"/>
              </w:rPr>
            </w:pPr>
            <w:r w:rsidRPr="00374B7A">
              <w:rPr>
                <w:sz w:val="18"/>
                <w:szCs w:val="18"/>
              </w:rPr>
              <w:t>264</w:t>
            </w:r>
          </w:p>
        </w:tc>
        <w:tc>
          <w:tcPr>
            <w:tcW w:w="1097" w:type="dxa"/>
            <w:vAlign w:val="center"/>
          </w:tcPr>
          <w:p w:rsidRPr="00EA69E3" w:rsidR="002A1815" w:rsidP="002A1815" w:rsidRDefault="002A1815" w14:paraId="72316FFD" w14:textId="33D697D5">
            <w:pPr>
              <w:pStyle w:val="Table"/>
              <w:jc w:val="center"/>
              <w:rPr>
                <w:sz w:val="18"/>
                <w:szCs w:val="18"/>
              </w:rPr>
            </w:pPr>
            <w:r w:rsidRPr="00EA69E3">
              <w:rPr>
                <w:sz w:val="18"/>
                <w:szCs w:val="18"/>
              </w:rPr>
              <w:t>$28.64</w:t>
            </w:r>
          </w:p>
        </w:tc>
        <w:tc>
          <w:tcPr>
            <w:tcW w:w="2335" w:type="dxa"/>
            <w:noWrap/>
            <w:tcMar>
              <w:left w:w="115" w:type="dxa"/>
              <w:right w:w="288" w:type="dxa"/>
            </w:tcMar>
            <w:vAlign w:val="center"/>
          </w:tcPr>
          <w:p w:rsidRPr="00192A44" w:rsidR="002A1815" w:rsidP="005801D7" w:rsidRDefault="005801D7" w14:paraId="6DA2291B" w14:textId="632009A9">
            <w:pPr>
              <w:pStyle w:val="Table"/>
              <w:ind w:right="-203"/>
              <w:jc w:val="right"/>
              <w:rPr>
                <w:sz w:val="18"/>
                <w:szCs w:val="18"/>
              </w:rPr>
            </w:pPr>
            <w:r w:rsidRPr="005801D7">
              <w:rPr>
                <w:sz w:val="18"/>
                <w:szCs w:val="18"/>
              </w:rPr>
              <w:t>$7,561</w:t>
            </w:r>
          </w:p>
        </w:tc>
      </w:tr>
      <w:tr w:rsidRPr="003613B6" w:rsidR="00357FC2" w:rsidTr="0049228A" w14:paraId="5C9C3F13" w14:textId="77777777">
        <w:trPr>
          <w:trHeight w:val="300"/>
        </w:trPr>
        <w:tc>
          <w:tcPr>
            <w:tcW w:w="1861" w:type="dxa"/>
            <w:vAlign w:val="center"/>
          </w:tcPr>
          <w:p w:rsidRPr="003613B6" w:rsidR="002A1815" w:rsidP="002A1815" w:rsidRDefault="002A1815" w14:paraId="7F85ED07" w14:textId="5028BD8E">
            <w:pPr>
              <w:pStyle w:val="Table"/>
              <w:rPr>
                <w:sz w:val="18"/>
              </w:rPr>
            </w:pPr>
            <w:r>
              <w:rPr>
                <w:color w:val="000000"/>
                <w:sz w:val="18"/>
                <w:szCs w:val="18"/>
              </w:rPr>
              <w:t>3,301-10,000, NTNCWS</w:t>
            </w:r>
          </w:p>
        </w:tc>
        <w:tc>
          <w:tcPr>
            <w:tcW w:w="1357" w:type="dxa"/>
            <w:tcMar>
              <w:left w:w="115" w:type="dxa"/>
              <w:right w:w="360" w:type="dxa"/>
            </w:tcMar>
            <w:vAlign w:val="center"/>
          </w:tcPr>
          <w:p w:rsidRPr="00192A44" w:rsidR="002A1815" w:rsidP="0049228A" w:rsidRDefault="002A1815" w14:paraId="4FE32824" w14:textId="4E58F137">
            <w:pPr>
              <w:pStyle w:val="Table"/>
              <w:ind w:right="-272"/>
              <w:jc w:val="right"/>
              <w:rPr>
                <w:sz w:val="18"/>
                <w:szCs w:val="18"/>
              </w:rPr>
            </w:pPr>
            <w:r>
              <w:rPr>
                <w:color w:val="000000"/>
                <w:sz w:val="18"/>
                <w:szCs w:val="18"/>
              </w:rPr>
              <w:t>4</w:t>
            </w:r>
          </w:p>
        </w:tc>
        <w:tc>
          <w:tcPr>
            <w:tcW w:w="1097" w:type="dxa"/>
            <w:vAlign w:val="center"/>
          </w:tcPr>
          <w:p w:rsidRPr="00EA69E3" w:rsidR="002A1815" w:rsidP="002A1815" w:rsidRDefault="00574522" w14:paraId="5887DDFE" w14:textId="702BC7A1">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6F5C4F35" w14:textId="25F318BE">
            <w:pPr>
              <w:pStyle w:val="Table"/>
              <w:ind w:right="-281"/>
              <w:jc w:val="right"/>
              <w:rPr>
                <w:sz w:val="18"/>
                <w:szCs w:val="18"/>
              </w:rPr>
            </w:pPr>
            <w:r w:rsidRPr="00374B7A">
              <w:rPr>
                <w:sz w:val="18"/>
                <w:szCs w:val="18"/>
              </w:rPr>
              <w:t>48</w:t>
            </w:r>
          </w:p>
        </w:tc>
        <w:tc>
          <w:tcPr>
            <w:tcW w:w="1097" w:type="dxa"/>
            <w:vAlign w:val="center"/>
          </w:tcPr>
          <w:p w:rsidRPr="00EA69E3" w:rsidR="002A1815" w:rsidP="002A1815" w:rsidRDefault="002A1815" w14:paraId="4357A0B6" w14:textId="4A8B8D09">
            <w:pPr>
              <w:pStyle w:val="Table"/>
              <w:jc w:val="center"/>
              <w:rPr>
                <w:sz w:val="18"/>
                <w:szCs w:val="18"/>
              </w:rPr>
            </w:pPr>
            <w:r w:rsidRPr="00EA69E3">
              <w:rPr>
                <w:sz w:val="18"/>
                <w:szCs w:val="18"/>
              </w:rPr>
              <w:t>$33.74</w:t>
            </w:r>
          </w:p>
        </w:tc>
        <w:tc>
          <w:tcPr>
            <w:tcW w:w="2335" w:type="dxa"/>
            <w:noWrap/>
            <w:tcMar>
              <w:left w:w="115" w:type="dxa"/>
              <w:right w:w="288" w:type="dxa"/>
            </w:tcMar>
            <w:vAlign w:val="center"/>
          </w:tcPr>
          <w:p w:rsidRPr="00192A44" w:rsidR="002A1815" w:rsidP="005801D7" w:rsidRDefault="005801D7" w14:paraId="13BD34B8" w14:textId="39F63120">
            <w:pPr>
              <w:pStyle w:val="Table"/>
              <w:ind w:right="-203"/>
              <w:jc w:val="right"/>
              <w:rPr>
                <w:sz w:val="18"/>
                <w:szCs w:val="18"/>
              </w:rPr>
            </w:pPr>
            <w:r w:rsidRPr="005801D7">
              <w:rPr>
                <w:sz w:val="18"/>
                <w:szCs w:val="18"/>
              </w:rPr>
              <w:t>$1,620</w:t>
            </w:r>
          </w:p>
        </w:tc>
      </w:tr>
      <w:tr w:rsidRPr="003613B6" w:rsidR="00357FC2" w:rsidTr="0049228A" w14:paraId="690B188A" w14:textId="77777777">
        <w:trPr>
          <w:trHeight w:val="300"/>
        </w:trPr>
        <w:tc>
          <w:tcPr>
            <w:tcW w:w="1861" w:type="dxa"/>
            <w:vAlign w:val="center"/>
          </w:tcPr>
          <w:p w:rsidRPr="003613B6" w:rsidR="002A1815" w:rsidP="002A1815" w:rsidRDefault="002A1815" w14:paraId="5FCFDD7F" w14:textId="45FCC5A1">
            <w:pPr>
              <w:pStyle w:val="Table"/>
              <w:rPr>
                <w:sz w:val="18"/>
              </w:rPr>
            </w:pPr>
            <w:r>
              <w:rPr>
                <w:color w:val="000000"/>
                <w:sz w:val="18"/>
                <w:szCs w:val="18"/>
              </w:rPr>
              <w:t>10,001-50,000, NTNCWS</w:t>
            </w:r>
          </w:p>
        </w:tc>
        <w:tc>
          <w:tcPr>
            <w:tcW w:w="1357" w:type="dxa"/>
            <w:tcMar>
              <w:left w:w="115" w:type="dxa"/>
              <w:right w:w="360" w:type="dxa"/>
            </w:tcMar>
            <w:vAlign w:val="center"/>
          </w:tcPr>
          <w:p w:rsidRPr="00192A44" w:rsidR="002A1815" w:rsidP="0049228A" w:rsidRDefault="002A1815" w14:paraId="44714221" w14:textId="452AAF29">
            <w:pPr>
              <w:pStyle w:val="Table"/>
              <w:ind w:right="-272"/>
              <w:jc w:val="right"/>
              <w:rPr>
                <w:sz w:val="18"/>
                <w:szCs w:val="18"/>
              </w:rPr>
            </w:pPr>
            <w:r>
              <w:rPr>
                <w:color w:val="000000"/>
                <w:sz w:val="18"/>
                <w:szCs w:val="18"/>
              </w:rPr>
              <w:t>1</w:t>
            </w:r>
          </w:p>
        </w:tc>
        <w:tc>
          <w:tcPr>
            <w:tcW w:w="1097" w:type="dxa"/>
            <w:vAlign w:val="center"/>
          </w:tcPr>
          <w:p w:rsidRPr="00EA69E3" w:rsidR="002A1815" w:rsidP="002A1815" w:rsidRDefault="00574522" w14:paraId="4802C288" w14:textId="5A966F10">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2CEDAD61" w14:textId="46194F7E">
            <w:pPr>
              <w:pStyle w:val="Table"/>
              <w:ind w:right="-281"/>
              <w:jc w:val="right"/>
              <w:rPr>
                <w:sz w:val="18"/>
                <w:szCs w:val="18"/>
              </w:rPr>
            </w:pPr>
            <w:r w:rsidRPr="00374B7A">
              <w:rPr>
                <w:sz w:val="18"/>
                <w:szCs w:val="18"/>
              </w:rPr>
              <w:t>12</w:t>
            </w:r>
          </w:p>
        </w:tc>
        <w:tc>
          <w:tcPr>
            <w:tcW w:w="1097" w:type="dxa"/>
            <w:vAlign w:val="center"/>
          </w:tcPr>
          <w:p w:rsidRPr="00EA69E3" w:rsidR="002A1815" w:rsidP="002A1815" w:rsidRDefault="002A1815" w14:paraId="35213124" w14:textId="66AE771F">
            <w:pPr>
              <w:pStyle w:val="Table"/>
              <w:jc w:val="center"/>
              <w:rPr>
                <w:sz w:val="18"/>
                <w:szCs w:val="18"/>
              </w:rPr>
            </w:pPr>
            <w:r w:rsidRPr="00EA69E3">
              <w:rPr>
                <w:sz w:val="18"/>
                <w:szCs w:val="18"/>
              </w:rPr>
              <w:t>$36.15</w:t>
            </w:r>
          </w:p>
        </w:tc>
        <w:tc>
          <w:tcPr>
            <w:tcW w:w="2335" w:type="dxa"/>
            <w:noWrap/>
            <w:tcMar>
              <w:left w:w="115" w:type="dxa"/>
              <w:right w:w="288" w:type="dxa"/>
            </w:tcMar>
            <w:vAlign w:val="center"/>
          </w:tcPr>
          <w:p w:rsidRPr="00192A44" w:rsidR="002A1815" w:rsidP="005801D7" w:rsidRDefault="005801D7" w14:paraId="5566EFD1" w14:textId="5FDF3AB3">
            <w:pPr>
              <w:pStyle w:val="Table"/>
              <w:ind w:right="-203"/>
              <w:jc w:val="right"/>
              <w:rPr>
                <w:sz w:val="18"/>
                <w:szCs w:val="18"/>
              </w:rPr>
            </w:pPr>
            <w:r w:rsidRPr="005801D7">
              <w:rPr>
                <w:sz w:val="18"/>
                <w:szCs w:val="18"/>
              </w:rPr>
              <w:t>$434</w:t>
            </w:r>
          </w:p>
        </w:tc>
      </w:tr>
      <w:tr w:rsidRPr="003613B6" w:rsidR="00357FC2" w:rsidTr="0049228A" w14:paraId="408199F2" w14:textId="77777777">
        <w:trPr>
          <w:trHeight w:val="300"/>
        </w:trPr>
        <w:tc>
          <w:tcPr>
            <w:tcW w:w="1861" w:type="dxa"/>
            <w:vAlign w:val="center"/>
          </w:tcPr>
          <w:p w:rsidRPr="003613B6" w:rsidR="002A1815" w:rsidP="002A1815" w:rsidRDefault="002A1815" w14:paraId="0A9DA30E" w14:textId="0D36918D">
            <w:pPr>
              <w:pStyle w:val="Table"/>
              <w:rPr>
                <w:sz w:val="18"/>
              </w:rPr>
            </w:pPr>
            <w:r>
              <w:rPr>
                <w:color w:val="000000"/>
                <w:sz w:val="18"/>
                <w:szCs w:val="18"/>
              </w:rPr>
              <w:t>50,001-100,000, NTNCWS</w:t>
            </w:r>
          </w:p>
        </w:tc>
        <w:tc>
          <w:tcPr>
            <w:tcW w:w="1357" w:type="dxa"/>
            <w:tcMar>
              <w:left w:w="115" w:type="dxa"/>
              <w:right w:w="360" w:type="dxa"/>
            </w:tcMar>
            <w:vAlign w:val="center"/>
          </w:tcPr>
          <w:p w:rsidRPr="00192A44" w:rsidR="002A1815" w:rsidP="0049228A" w:rsidRDefault="002A1815" w14:paraId="5C84FE2A" w14:textId="118E8C1E">
            <w:pPr>
              <w:pStyle w:val="Table"/>
              <w:ind w:right="-272"/>
              <w:jc w:val="right"/>
              <w:rPr>
                <w:sz w:val="18"/>
                <w:szCs w:val="18"/>
              </w:rPr>
            </w:pPr>
            <w:r>
              <w:rPr>
                <w:color w:val="000000"/>
                <w:sz w:val="18"/>
                <w:szCs w:val="18"/>
              </w:rPr>
              <w:t>1</w:t>
            </w:r>
          </w:p>
        </w:tc>
        <w:tc>
          <w:tcPr>
            <w:tcW w:w="1097" w:type="dxa"/>
            <w:vAlign w:val="center"/>
          </w:tcPr>
          <w:p w:rsidRPr="00EA69E3" w:rsidR="002A1815" w:rsidP="002A1815" w:rsidRDefault="00574522" w14:paraId="7517864B" w14:textId="582F9127">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2287E0D0" w14:textId="7E381F8D">
            <w:pPr>
              <w:pStyle w:val="Table"/>
              <w:ind w:right="-281"/>
              <w:jc w:val="right"/>
              <w:rPr>
                <w:sz w:val="18"/>
                <w:szCs w:val="18"/>
              </w:rPr>
            </w:pPr>
            <w:r w:rsidRPr="00374B7A">
              <w:rPr>
                <w:sz w:val="18"/>
                <w:szCs w:val="18"/>
              </w:rPr>
              <w:t>12</w:t>
            </w:r>
          </w:p>
        </w:tc>
        <w:tc>
          <w:tcPr>
            <w:tcW w:w="1097" w:type="dxa"/>
            <w:vAlign w:val="center"/>
          </w:tcPr>
          <w:p w:rsidRPr="00EA69E3" w:rsidR="002A1815" w:rsidP="002A1815" w:rsidRDefault="002A1815" w14:paraId="51C83EE3" w14:textId="4E1CCCD5">
            <w:pPr>
              <w:pStyle w:val="Table"/>
              <w:jc w:val="center"/>
              <w:rPr>
                <w:sz w:val="18"/>
                <w:szCs w:val="18"/>
              </w:rPr>
            </w:pPr>
            <w:r w:rsidRPr="00EA69E3">
              <w:rPr>
                <w:sz w:val="18"/>
                <w:szCs w:val="18"/>
              </w:rPr>
              <w:t>$39.01</w:t>
            </w:r>
          </w:p>
        </w:tc>
        <w:tc>
          <w:tcPr>
            <w:tcW w:w="2335" w:type="dxa"/>
            <w:noWrap/>
            <w:tcMar>
              <w:left w:w="115" w:type="dxa"/>
              <w:right w:w="288" w:type="dxa"/>
            </w:tcMar>
            <w:vAlign w:val="center"/>
          </w:tcPr>
          <w:p w:rsidRPr="00192A44" w:rsidR="002A1815" w:rsidP="005801D7" w:rsidRDefault="005801D7" w14:paraId="0A217491" w14:textId="021BB155">
            <w:pPr>
              <w:pStyle w:val="Table"/>
              <w:ind w:right="-203"/>
              <w:jc w:val="right"/>
              <w:rPr>
                <w:sz w:val="18"/>
                <w:szCs w:val="18"/>
              </w:rPr>
            </w:pPr>
            <w:r w:rsidRPr="005801D7">
              <w:rPr>
                <w:sz w:val="18"/>
                <w:szCs w:val="18"/>
              </w:rPr>
              <w:t>$468</w:t>
            </w:r>
          </w:p>
        </w:tc>
      </w:tr>
      <w:tr w:rsidRPr="003613B6" w:rsidR="00357FC2" w:rsidTr="0049228A" w14:paraId="46AEE3A3" w14:textId="77777777">
        <w:trPr>
          <w:trHeight w:val="300"/>
        </w:trPr>
        <w:tc>
          <w:tcPr>
            <w:tcW w:w="1861" w:type="dxa"/>
            <w:vAlign w:val="center"/>
          </w:tcPr>
          <w:p w:rsidRPr="003613B6" w:rsidR="002A1815" w:rsidP="002A1815" w:rsidRDefault="002A1815" w14:paraId="4A65392E" w14:textId="017A7C75">
            <w:pPr>
              <w:pStyle w:val="Table"/>
              <w:rPr>
                <w:sz w:val="18"/>
              </w:rPr>
            </w:pPr>
            <w:r>
              <w:rPr>
                <w:color w:val="000000"/>
                <w:sz w:val="18"/>
                <w:szCs w:val="18"/>
              </w:rPr>
              <w:t>100,001-1,000,000, NTNCWS</w:t>
            </w:r>
          </w:p>
        </w:tc>
        <w:tc>
          <w:tcPr>
            <w:tcW w:w="1357" w:type="dxa"/>
            <w:tcMar>
              <w:left w:w="115" w:type="dxa"/>
              <w:right w:w="360" w:type="dxa"/>
            </w:tcMar>
            <w:vAlign w:val="center"/>
          </w:tcPr>
          <w:p w:rsidRPr="00192A44" w:rsidR="002A1815" w:rsidP="0049228A" w:rsidRDefault="002A1815" w14:paraId="284F6910" w14:textId="24A214AC">
            <w:pPr>
              <w:pStyle w:val="Table"/>
              <w:ind w:right="-272"/>
              <w:jc w:val="right"/>
              <w:rPr>
                <w:sz w:val="18"/>
                <w:szCs w:val="18"/>
              </w:rPr>
            </w:pPr>
            <w:r>
              <w:rPr>
                <w:color w:val="000000"/>
                <w:sz w:val="18"/>
                <w:szCs w:val="18"/>
              </w:rPr>
              <w:t>1</w:t>
            </w:r>
          </w:p>
        </w:tc>
        <w:tc>
          <w:tcPr>
            <w:tcW w:w="1097" w:type="dxa"/>
            <w:vAlign w:val="center"/>
          </w:tcPr>
          <w:p w:rsidRPr="00EA69E3" w:rsidR="002A1815" w:rsidP="002A1815" w:rsidRDefault="00574522" w14:paraId="097E4C01" w14:textId="33E064ED">
            <w:pPr>
              <w:pStyle w:val="Table"/>
              <w:jc w:val="center"/>
              <w:rPr>
                <w:sz w:val="18"/>
                <w:szCs w:val="18"/>
              </w:rPr>
            </w:pPr>
            <w:r>
              <w:rPr>
                <w:sz w:val="18"/>
                <w:szCs w:val="18"/>
              </w:rPr>
              <w:t>12</w:t>
            </w:r>
          </w:p>
        </w:tc>
        <w:tc>
          <w:tcPr>
            <w:tcW w:w="1603" w:type="dxa"/>
            <w:tcMar>
              <w:left w:w="115" w:type="dxa"/>
              <w:right w:w="360" w:type="dxa"/>
            </w:tcMar>
            <w:vAlign w:val="center"/>
          </w:tcPr>
          <w:p w:rsidRPr="00192A44" w:rsidR="002A1815" w:rsidP="00374B7A" w:rsidRDefault="00374B7A" w14:paraId="4D3676E3" w14:textId="2FFDCB20">
            <w:pPr>
              <w:pStyle w:val="Table"/>
              <w:ind w:right="-281"/>
              <w:jc w:val="right"/>
              <w:rPr>
                <w:sz w:val="18"/>
                <w:szCs w:val="18"/>
              </w:rPr>
            </w:pPr>
            <w:r w:rsidRPr="00374B7A">
              <w:rPr>
                <w:sz w:val="18"/>
                <w:szCs w:val="18"/>
              </w:rPr>
              <w:t>12</w:t>
            </w:r>
          </w:p>
        </w:tc>
        <w:tc>
          <w:tcPr>
            <w:tcW w:w="1097" w:type="dxa"/>
            <w:vAlign w:val="center"/>
          </w:tcPr>
          <w:p w:rsidRPr="00EA69E3" w:rsidR="002A1815" w:rsidP="002A1815" w:rsidRDefault="002A1815" w14:paraId="3D7BC8F8" w14:textId="41EAE8C9">
            <w:pPr>
              <w:pStyle w:val="Table"/>
              <w:jc w:val="center"/>
              <w:rPr>
                <w:sz w:val="18"/>
                <w:szCs w:val="18"/>
              </w:rPr>
            </w:pPr>
            <w:r w:rsidRPr="00EA69E3">
              <w:rPr>
                <w:sz w:val="18"/>
                <w:szCs w:val="18"/>
              </w:rPr>
              <w:t>$44.38</w:t>
            </w:r>
          </w:p>
        </w:tc>
        <w:tc>
          <w:tcPr>
            <w:tcW w:w="2335" w:type="dxa"/>
            <w:noWrap/>
            <w:tcMar>
              <w:left w:w="115" w:type="dxa"/>
              <w:right w:w="288" w:type="dxa"/>
            </w:tcMar>
            <w:vAlign w:val="center"/>
          </w:tcPr>
          <w:p w:rsidRPr="00192A44" w:rsidR="002A1815" w:rsidP="0049228A" w:rsidRDefault="005801D7" w14:paraId="50D99827" w14:textId="48E5ED39">
            <w:pPr>
              <w:pStyle w:val="Table"/>
              <w:ind w:right="-203"/>
              <w:jc w:val="right"/>
              <w:rPr>
                <w:sz w:val="18"/>
                <w:szCs w:val="18"/>
              </w:rPr>
            </w:pPr>
            <w:r w:rsidRPr="005801D7">
              <w:rPr>
                <w:sz w:val="18"/>
                <w:szCs w:val="18"/>
              </w:rPr>
              <w:t>$533</w:t>
            </w:r>
          </w:p>
        </w:tc>
      </w:tr>
      <w:tr w:rsidRPr="003613B6" w:rsidR="00357FC2" w:rsidTr="0049228A" w14:paraId="7AFD67AA" w14:textId="77777777">
        <w:trPr>
          <w:trHeight w:val="300"/>
        </w:trPr>
        <w:tc>
          <w:tcPr>
            <w:tcW w:w="1861" w:type="dxa"/>
            <w:vAlign w:val="center"/>
          </w:tcPr>
          <w:p w:rsidRPr="003613B6" w:rsidR="002A1815" w:rsidP="002A1815" w:rsidRDefault="002A1815" w14:paraId="383BC6C7" w14:textId="53054AC0">
            <w:pPr>
              <w:pStyle w:val="Table"/>
              <w:rPr>
                <w:sz w:val="18"/>
              </w:rPr>
            </w:pPr>
            <w:r>
              <w:rPr>
                <w:color w:val="000000"/>
                <w:sz w:val="18"/>
                <w:szCs w:val="18"/>
              </w:rPr>
              <w:t>&gt;1,000,000, NTNCWS</w:t>
            </w:r>
          </w:p>
        </w:tc>
        <w:tc>
          <w:tcPr>
            <w:tcW w:w="1357" w:type="dxa"/>
            <w:tcMar>
              <w:left w:w="115" w:type="dxa"/>
              <w:right w:w="360" w:type="dxa"/>
            </w:tcMar>
            <w:vAlign w:val="center"/>
          </w:tcPr>
          <w:p w:rsidRPr="00192A44" w:rsidR="002A1815" w:rsidP="0049228A" w:rsidRDefault="002A1815" w14:paraId="68458D2B" w14:textId="78FFBFAE">
            <w:pPr>
              <w:pStyle w:val="Table"/>
              <w:ind w:right="-272"/>
              <w:jc w:val="right"/>
              <w:rPr>
                <w:sz w:val="18"/>
                <w:szCs w:val="18"/>
              </w:rPr>
            </w:pPr>
            <w:r>
              <w:rPr>
                <w:color w:val="000000"/>
                <w:sz w:val="18"/>
                <w:szCs w:val="18"/>
              </w:rPr>
              <w:t>0</w:t>
            </w:r>
          </w:p>
        </w:tc>
        <w:tc>
          <w:tcPr>
            <w:tcW w:w="1097" w:type="dxa"/>
            <w:vAlign w:val="center"/>
          </w:tcPr>
          <w:p w:rsidRPr="00EA69E3" w:rsidR="002A1815" w:rsidP="002A1815" w:rsidRDefault="00B63BB0" w14:paraId="4F459265" w14:textId="3AF042A9">
            <w:pPr>
              <w:pStyle w:val="Table"/>
              <w:jc w:val="center"/>
              <w:rPr>
                <w:sz w:val="18"/>
                <w:szCs w:val="18"/>
              </w:rPr>
            </w:pPr>
            <w:r>
              <w:rPr>
                <w:color w:val="000000"/>
                <w:sz w:val="18"/>
                <w:szCs w:val="18"/>
              </w:rPr>
              <w:t>not applicable</w:t>
            </w:r>
          </w:p>
        </w:tc>
        <w:tc>
          <w:tcPr>
            <w:tcW w:w="1603" w:type="dxa"/>
            <w:tcMar>
              <w:left w:w="115" w:type="dxa"/>
              <w:right w:w="360" w:type="dxa"/>
            </w:tcMar>
            <w:vAlign w:val="center"/>
          </w:tcPr>
          <w:p w:rsidRPr="00192A44" w:rsidR="002A1815" w:rsidP="0049228A" w:rsidRDefault="002A1815" w14:paraId="3B0E1C7C" w14:textId="664F41B4">
            <w:pPr>
              <w:pStyle w:val="Table"/>
              <w:ind w:right="-281"/>
              <w:jc w:val="right"/>
              <w:rPr>
                <w:sz w:val="18"/>
                <w:szCs w:val="18"/>
              </w:rPr>
            </w:pPr>
            <w:r>
              <w:rPr>
                <w:color w:val="000000"/>
                <w:sz w:val="18"/>
                <w:szCs w:val="18"/>
              </w:rPr>
              <w:t>0</w:t>
            </w:r>
          </w:p>
        </w:tc>
        <w:tc>
          <w:tcPr>
            <w:tcW w:w="1097" w:type="dxa"/>
            <w:vAlign w:val="center"/>
          </w:tcPr>
          <w:p w:rsidRPr="00EA69E3" w:rsidR="002A1815" w:rsidP="002A1815" w:rsidRDefault="002A1815" w14:paraId="27679B30" w14:textId="6BF145F4">
            <w:pPr>
              <w:pStyle w:val="Table"/>
              <w:jc w:val="center"/>
              <w:rPr>
                <w:sz w:val="18"/>
                <w:szCs w:val="18"/>
              </w:rPr>
            </w:pPr>
            <w:r w:rsidRPr="00EA69E3">
              <w:rPr>
                <w:sz w:val="18"/>
                <w:szCs w:val="18"/>
              </w:rPr>
              <w:t>$44.38</w:t>
            </w:r>
          </w:p>
        </w:tc>
        <w:tc>
          <w:tcPr>
            <w:tcW w:w="2335" w:type="dxa"/>
            <w:noWrap/>
            <w:tcMar>
              <w:left w:w="115" w:type="dxa"/>
              <w:right w:w="288" w:type="dxa"/>
            </w:tcMar>
            <w:vAlign w:val="center"/>
          </w:tcPr>
          <w:p w:rsidRPr="00192A44" w:rsidR="002A1815" w:rsidP="0049228A" w:rsidRDefault="005801D7" w14:paraId="4CB9479E" w14:textId="37CA7C7F">
            <w:pPr>
              <w:pStyle w:val="Table"/>
              <w:ind w:right="-203"/>
              <w:jc w:val="right"/>
              <w:rPr>
                <w:sz w:val="18"/>
                <w:szCs w:val="18"/>
              </w:rPr>
            </w:pPr>
            <w:r>
              <w:rPr>
                <w:sz w:val="18"/>
                <w:szCs w:val="18"/>
              </w:rPr>
              <w:t>$0</w:t>
            </w:r>
          </w:p>
        </w:tc>
      </w:tr>
      <w:tr w:rsidRPr="003613B6" w:rsidR="00357FC2" w:rsidTr="00574522" w14:paraId="4F31F889" w14:textId="77777777">
        <w:trPr>
          <w:trHeight w:val="300"/>
        </w:trPr>
        <w:tc>
          <w:tcPr>
            <w:tcW w:w="1861" w:type="dxa"/>
            <w:vAlign w:val="center"/>
            <w:hideMark/>
          </w:tcPr>
          <w:p w:rsidRPr="003613B6" w:rsidR="00A355B6" w:rsidP="00A355B6" w:rsidRDefault="00A355B6" w14:paraId="35F8CECD" w14:textId="77777777">
            <w:pPr>
              <w:pStyle w:val="Table"/>
              <w:rPr>
                <w:b/>
                <w:bCs/>
                <w:sz w:val="18"/>
              </w:rPr>
            </w:pPr>
            <w:r w:rsidRPr="003613B6">
              <w:rPr>
                <w:b/>
                <w:bCs/>
                <w:sz w:val="18"/>
              </w:rPr>
              <w:t xml:space="preserve">System </w:t>
            </w:r>
            <w:r w:rsidR="00EB07E2">
              <w:rPr>
                <w:b/>
                <w:bCs/>
                <w:sz w:val="18"/>
              </w:rPr>
              <w:t>3-ye</w:t>
            </w:r>
            <w:r w:rsidR="001F4012">
              <w:rPr>
                <w:b/>
                <w:bCs/>
                <w:sz w:val="18"/>
              </w:rPr>
              <w:t>a</w:t>
            </w:r>
            <w:r w:rsidR="00EB07E2">
              <w:rPr>
                <w:b/>
                <w:bCs/>
                <w:sz w:val="18"/>
              </w:rPr>
              <w:t xml:space="preserve">r </w:t>
            </w:r>
            <w:r w:rsidRPr="003613B6">
              <w:rPr>
                <w:b/>
                <w:bCs/>
                <w:sz w:val="18"/>
              </w:rPr>
              <w:t>Total</w:t>
            </w:r>
          </w:p>
        </w:tc>
        <w:tc>
          <w:tcPr>
            <w:tcW w:w="1357" w:type="dxa"/>
            <w:tcMar>
              <w:left w:w="115" w:type="dxa"/>
              <w:right w:w="360" w:type="dxa"/>
            </w:tcMar>
            <w:vAlign w:val="center"/>
            <w:hideMark/>
          </w:tcPr>
          <w:p w:rsidRPr="002450B1" w:rsidR="00A355B6" w:rsidP="0049228A" w:rsidRDefault="00357FC2" w14:paraId="252267F0" w14:textId="792BF273">
            <w:pPr>
              <w:pStyle w:val="Table"/>
              <w:ind w:right="-110"/>
              <w:jc w:val="right"/>
              <w:rPr>
                <w:b/>
                <w:bCs/>
                <w:sz w:val="18"/>
                <w:szCs w:val="18"/>
              </w:rPr>
            </w:pPr>
            <w:r>
              <w:rPr>
                <w:b/>
                <w:sz w:val="18"/>
                <w:szCs w:val="18"/>
              </w:rPr>
              <w:t>11,782</w:t>
            </w:r>
            <w:r>
              <w:rPr>
                <w:sz w:val="18"/>
                <w:szCs w:val="18"/>
              </w:rPr>
              <w:t xml:space="preserve"> </w:t>
            </w:r>
            <w:r w:rsidRPr="00313D27">
              <w:rPr>
                <w:b/>
                <w:sz w:val="18"/>
                <w:szCs w:val="18"/>
              </w:rPr>
              <w:t>to</w:t>
            </w:r>
            <w:r>
              <w:rPr>
                <w:sz w:val="18"/>
                <w:szCs w:val="18"/>
              </w:rPr>
              <w:t xml:space="preserve"> </w:t>
            </w:r>
            <w:r w:rsidRPr="00357FC2">
              <w:rPr>
                <w:b/>
                <w:sz w:val="18"/>
                <w:szCs w:val="18"/>
              </w:rPr>
              <w:t>14,574</w:t>
            </w:r>
          </w:p>
        </w:tc>
        <w:tc>
          <w:tcPr>
            <w:tcW w:w="1097" w:type="dxa"/>
            <w:vAlign w:val="center"/>
            <w:hideMark/>
          </w:tcPr>
          <w:p w:rsidRPr="00C134B0" w:rsidR="00A355B6" w:rsidP="00192A44" w:rsidRDefault="00A355B6" w14:paraId="33FA3762" w14:textId="77777777">
            <w:pPr>
              <w:pStyle w:val="Table"/>
              <w:jc w:val="center"/>
              <w:rPr>
                <w:b/>
                <w:bCs/>
                <w:sz w:val="18"/>
                <w:szCs w:val="18"/>
              </w:rPr>
            </w:pPr>
            <w:r w:rsidRPr="00EA69E3">
              <w:rPr>
                <w:b/>
                <w:bCs/>
                <w:sz w:val="18"/>
                <w:szCs w:val="18"/>
              </w:rPr>
              <w:t>not applicable</w:t>
            </w:r>
          </w:p>
        </w:tc>
        <w:tc>
          <w:tcPr>
            <w:tcW w:w="1603" w:type="dxa"/>
            <w:tcMar>
              <w:left w:w="115" w:type="dxa"/>
              <w:right w:w="360" w:type="dxa"/>
            </w:tcMar>
            <w:vAlign w:val="center"/>
          </w:tcPr>
          <w:p w:rsidRPr="00F73AC1" w:rsidR="00A355B6" w:rsidP="00374B7A" w:rsidRDefault="00374B7A" w14:paraId="212B723C" w14:textId="45331FC0">
            <w:pPr>
              <w:pStyle w:val="Table"/>
              <w:ind w:right="-281"/>
              <w:jc w:val="right"/>
              <w:rPr>
                <w:b/>
                <w:bCs/>
                <w:sz w:val="18"/>
                <w:szCs w:val="18"/>
              </w:rPr>
            </w:pPr>
            <w:r>
              <w:rPr>
                <w:b/>
                <w:bCs/>
                <w:sz w:val="18"/>
                <w:szCs w:val="18"/>
              </w:rPr>
              <w:t xml:space="preserve">216,656 to </w:t>
            </w:r>
            <w:r w:rsidRPr="00374B7A">
              <w:rPr>
                <w:b/>
                <w:bCs/>
                <w:sz w:val="18"/>
                <w:szCs w:val="18"/>
              </w:rPr>
              <w:t>280,608</w:t>
            </w:r>
          </w:p>
        </w:tc>
        <w:tc>
          <w:tcPr>
            <w:tcW w:w="1097" w:type="dxa"/>
            <w:vAlign w:val="center"/>
            <w:hideMark/>
          </w:tcPr>
          <w:p w:rsidRPr="00A355B6" w:rsidR="00A355B6" w:rsidP="00192A44" w:rsidRDefault="00A355B6" w14:paraId="1ACA3427" w14:textId="77777777">
            <w:pPr>
              <w:pStyle w:val="Table"/>
              <w:jc w:val="center"/>
              <w:rPr>
                <w:b/>
                <w:bCs/>
                <w:sz w:val="18"/>
                <w:szCs w:val="18"/>
              </w:rPr>
            </w:pPr>
            <w:r w:rsidRPr="00C70EB2">
              <w:rPr>
                <w:b/>
                <w:bCs/>
                <w:sz w:val="18"/>
                <w:szCs w:val="18"/>
              </w:rPr>
              <w:t>not applicable</w:t>
            </w:r>
          </w:p>
        </w:tc>
        <w:tc>
          <w:tcPr>
            <w:tcW w:w="2335" w:type="dxa"/>
            <w:noWrap/>
            <w:tcMar>
              <w:left w:w="115" w:type="dxa"/>
              <w:right w:w="288" w:type="dxa"/>
            </w:tcMar>
            <w:vAlign w:val="center"/>
          </w:tcPr>
          <w:p w:rsidRPr="00F73AC1" w:rsidR="00A355B6" w:rsidP="00374B7A" w:rsidRDefault="00374B7A" w14:paraId="5A3F732A" w14:textId="63FDFBF4">
            <w:pPr>
              <w:pStyle w:val="Table"/>
              <w:ind w:right="-203"/>
              <w:jc w:val="right"/>
              <w:rPr>
                <w:b/>
                <w:bCs/>
                <w:sz w:val="18"/>
                <w:szCs w:val="18"/>
              </w:rPr>
            </w:pPr>
            <w:r>
              <w:rPr>
                <w:b/>
                <w:bCs/>
                <w:sz w:val="18"/>
                <w:szCs w:val="18"/>
              </w:rPr>
              <w:t>$7,065,992 to</w:t>
            </w:r>
            <w:r w:rsidRPr="00374B7A">
              <w:rPr>
                <w:b/>
                <w:bCs/>
                <w:sz w:val="18"/>
                <w:szCs w:val="18"/>
              </w:rPr>
              <w:t xml:space="preserve"> $9,166,998</w:t>
            </w:r>
          </w:p>
        </w:tc>
      </w:tr>
      <w:tr w:rsidRPr="003613B6" w:rsidR="006448DC" w:rsidTr="0049228A" w14:paraId="7A8E63B0" w14:textId="77777777">
        <w:trPr>
          <w:trHeight w:val="300"/>
        </w:trPr>
        <w:tc>
          <w:tcPr>
            <w:tcW w:w="1861" w:type="dxa"/>
            <w:vAlign w:val="center"/>
          </w:tcPr>
          <w:p w:rsidRPr="003613B6" w:rsidR="006448DC" w:rsidP="006448DC" w:rsidRDefault="006448DC" w14:paraId="4B187749" w14:textId="77777777">
            <w:pPr>
              <w:pStyle w:val="Table"/>
              <w:rPr>
                <w:b/>
                <w:bCs/>
                <w:sz w:val="18"/>
              </w:rPr>
            </w:pPr>
            <w:r>
              <w:rPr>
                <w:b/>
                <w:bCs/>
                <w:sz w:val="18"/>
              </w:rPr>
              <w:t>Annual Average</w:t>
            </w:r>
          </w:p>
        </w:tc>
        <w:tc>
          <w:tcPr>
            <w:tcW w:w="1357" w:type="dxa"/>
            <w:vAlign w:val="center"/>
          </w:tcPr>
          <w:p w:rsidRPr="00192A44" w:rsidR="006448DC" w:rsidP="006448DC" w:rsidRDefault="006448DC" w14:paraId="04A50B5B" w14:textId="5AC5656C">
            <w:pPr>
              <w:pStyle w:val="Table"/>
              <w:ind w:right="-110"/>
              <w:jc w:val="center"/>
              <w:rPr>
                <w:b/>
                <w:sz w:val="18"/>
                <w:szCs w:val="18"/>
              </w:rPr>
            </w:pPr>
            <w:r>
              <w:rPr>
                <w:b/>
                <w:bCs/>
                <w:sz w:val="18"/>
              </w:rPr>
              <w:t>not applicable</w:t>
            </w:r>
          </w:p>
        </w:tc>
        <w:tc>
          <w:tcPr>
            <w:tcW w:w="1097" w:type="dxa"/>
            <w:vAlign w:val="center"/>
          </w:tcPr>
          <w:p w:rsidRPr="00EA69E3" w:rsidR="006448DC" w:rsidP="006448DC" w:rsidRDefault="006448DC" w14:paraId="4AB161BF" w14:textId="77777777">
            <w:pPr>
              <w:pStyle w:val="Table"/>
              <w:jc w:val="center"/>
              <w:rPr>
                <w:b/>
                <w:bCs/>
                <w:sz w:val="18"/>
                <w:szCs w:val="18"/>
              </w:rPr>
            </w:pPr>
            <w:r>
              <w:rPr>
                <w:b/>
                <w:bCs/>
                <w:sz w:val="18"/>
              </w:rPr>
              <w:t>not applicable</w:t>
            </w:r>
          </w:p>
        </w:tc>
        <w:tc>
          <w:tcPr>
            <w:tcW w:w="1603" w:type="dxa"/>
            <w:tcMar>
              <w:left w:w="115" w:type="dxa"/>
              <w:right w:w="360" w:type="dxa"/>
            </w:tcMar>
            <w:vAlign w:val="center"/>
          </w:tcPr>
          <w:p w:rsidRPr="00A14CFC" w:rsidR="006448DC" w:rsidP="006448DC" w:rsidRDefault="006448DC" w14:paraId="11FFC55D" w14:textId="71187634">
            <w:pPr>
              <w:pStyle w:val="Table"/>
              <w:ind w:right="-281"/>
              <w:jc w:val="right"/>
              <w:rPr>
                <w:b/>
                <w:sz w:val="18"/>
                <w:szCs w:val="18"/>
                <w:highlight w:val="yellow"/>
              </w:rPr>
            </w:pPr>
            <w:r>
              <w:rPr>
                <w:b/>
                <w:bCs/>
                <w:sz w:val="18"/>
                <w:szCs w:val="18"/>
              </w:rPr>
              <w:t xml:space="preserve">72,219 to </w:t>
            </w:r>
            <w:r w:rsidRPr="00374B7A">
              <w:rPr>
                <w:b/>
                <w:bCs/>
                <w:sz w:val="18"/>
                <w:szCs w:val="18"/>
              </w:rPr>
              <w:t>93,536</w:t>
            </w:r>
          </w:p>
        </w:tc>
        <w:tc>
          <w:tcPr>
            <w:tcW w:w="1097" w:type="dxa"/>
            <w:vAlign w:val="center"/>
          </w:tcPr>
          <w:p w:rsidRPr="00C70EB2" w:rsidR="006448DC" w:rsidP="006448DC" w:rsidRDefault="006448DC" w14:paraId="1C43469F" w14:textId="77777777">
            <w:pPr>
              <w:pStyle w:val="Table"/>
              <w:jc w:val="center"/>
              <w:rPr>
                <w:b/>
                <w:bCs/>
                <w:sz w:val="18"/>
                <w:szCs w:val="18"/>
              </w:rPr>
            </w:pPr>
            <w:r>
              <w:rPr>
                <w:b/>
                <w:bCs/>
                <w:sz w:val="18"/>
              </w:rPr>
              <w:t>not applicable</w:t>
            </w:r>
          </w:p>
        </w:tc>
        <w:tc>
          <w:tcPr>
            <w:tcW w:w="2335" w:type="dxa"/>
            <w:noWrap/>
            <w:tcMar>
              <w:left w:w="115" w:type="dxa"/>
              <w:right w:w="288" w:type="dxa"/>
            </w:tcMar>
            <w:vAlign w:val="center"/>
          </w:tcPr>
          <w:p w:rsidRPr="00A14CFC" w:rsidR="006448DC" w:rsidP="006448DC" w:rsidRDefault="006448DC" w14:paraId="5BF90053" w14:textId="079CDE93">
            <w:pPr>
              <w:pStyle w:val="Table"/>
              <w:ind w:right="-203"/>
              <w:jc w:val="right"/>
              <w:rPr>
                <w:b/>
                <w:sz w:val="18"/>
                <w:szCs w:val="18"/>
                <w:highlight w:val="yellow"/>
              </w:rPr>
            </w:pPr>
            <w:r>
              <w:rPr>
                <w:b/>
                <w:sz w:val="18"/>
                <w:szCs w:val="18"/>
              </w:rPr>
              <w:t xml:space="preserve">$2,355,331 to </w:t>
            </w:r>
            <w:r w:rsidRPr="00374B7A">
              <w:rPr>
                <w:b/>
                <w:sz w:val="18"/>
                <w:szCs w:val="18"/>
              </w:rPr>
              <w:t>$3,055,666</w:t>
            </w:r>
          </w:p>
        </w:tc>
      </w:tr>
    </w:tbl>
    <w:p w:rsidRPr="004F0396" w:rsidR="00986121" w:rsidP="00986121" w:rsidRDefault="00986121" w14:paraId="43935A96" w14:textId="34628BD3">
      <w:pPr>
        <w:pStyle w:val="TableNote"/>
      </w:pPr>
      <w:r>
        <w:t xml:space="preserve">Notes: Detail may not add exactly to total due to independent rounding. </w:t>
      </w:r>
      <w:r w:rsidR="00B63BB0">
        <w:t xml:space="preserve">Ranges shown reflect the </w:t>
      </w:r>
      <w:r w:rsidR="00C45241">
        <w:t>low-cost</w:t>
      </w:r>
      <w:r w:rsidR="00B63BB0">
        <w:t xml:space="preserve"> scenario to the high cost scenario. For some individual respondent categories, the number of respondents, burden, and cost are lower in the high cost scenario. However, the total burden and cost across all systems is higher in the high cost scenario. Also, </w:t>
      </w:r>
      <w:r w:rsidR="00F00B30">
        <w:t>number</w:t>
      </w:r>
      <w:r w:rsidR="00B63BB0">
        <w:t xml:space="preserve"> </w:t>
      </w:r>
      <w:r w:rsidR="00EC4C89">
        <w:t xml:space="preserve">of respondents </w:t>
      </w:r>
      <w:r w:rsidR="00B63BB0">
        <w:t xml:space="preserve">preparing LSLR plans </w:t>
      </w:r>
      <w:r w:rsidR="00EC4C89">
        <w:t>can exceed the number of systems developing LSL inventories if there are systems that already have inventories that prepare and submit a LSLR plan.</w:t>
      </w:r>
    </w:p>
    <w:p w:rsidR="006927DF" w:rsidP="00B95A19" w:rsidRDefault="006927DF" w14:paraId="07070BE1" w14:textId="77777777">
      <w:pPr>
        <w:pStyle w:val="Heading3"/>
      </w:pPr>
      <w:r>
        <w:t>6(b)(ii)</w:t>
      </w:r>
      <w:r>
        <w:tab/>
        <w:t xml:space="preserve">Cost to </w:t>
      </w:r>
      <w:r w:rsidR="00B95A19">
        <w:t>Primacy Agencies</w:t>
      </w:r>
    </w:p>
    <w:p w:rsidRPr="0027584B" w:rsidR="00B95A19" w:rsidP="00021325" w:rsidRDefault="003269D1" w14:paraId="345F72FB" w14:textId="31DF0D82">
      <w:pPr>
        <w:pStyle w:val="NormalIndent"/>
      </w:pPr>
      <w:r w:rsidRPr="0027584B">
        <w:t>Fifty-s</w:t>
      </w:r>
      <w:r>
        <w:t xml:space="preserve">ix </w:t>
      </w:r>
      <w:r w:rsidRPr="0027584B">
        <w:t>primacy agencies will review and implement the</w:t>
      </w:r>
      <w:r>
        <w:t xml:space="preserve"> final</w:t>
      </w:r>
      <w:r w:rsidRPr="0027584B">
        <w:t xml:space="preserve"> </w:t>
      </w:r>
      <w:r w:rsidR="00C018A3">
        <w:t>LCRR</w:t>
      </w:r>
      <w:r w:rsidRPr="0027584B">
        <w:t>, which include</w:t>
      </w:r>
      <w:r>
        <w:t>s</w:t>
      </w:r>
      <w:r w:rsidRPr="0027584B">
        <w:t xml:space="preserve"> </w:t>
      </w:r>
      <w:r>
        <w:t>49</w:t>
      </w:r>
      <w:r w:rsidRPr="0027584B">
        <w:t xml:space="preserve"> </w:t>
      </w:r>
      <w:r>
        <w:t>states, 6 territories and 1 t</w:t>
      </w:r>
      <w:r w:rsidRPr="0027584B">
        <w:t>ribe.</w:t>
      </w:r>
      <w:r w:rsidR="00145AA1">
        <w:rPr>
          <w:rStyle w:val="FootnoteReference"/>
        </w:rPr>
        <w:footnoteReference w:id="15"/>
      </w:r>
      <w:r w:rsidRPr="0027584B">
        <w:t xml:space="preserve"> </w:t>
      </w:r>
      <w:r w:rsidR="007C7D21">
        <w:t xml:space="preserve">The </w:t>
      </w:r>
      <w:r w:rsidR="00145AA1">
        <w:t xml:space="preserve">fully loaded </w:t>
      </w:r>
      <w:r w:rsidR="007C7D21">
        <w:t xml:space="preserve">labor </w:t>
      </w:r>
      <w:r w:rsidR="00504F66">
        <w:t>rate</w:t>
      </w:r>
      <w:r w:rsidR="007C7D21">
        <w:t xml:space="preserve"> applied to primacy</w:t>
      </w:r>
      <w:r w:rsidR="00B95A19">
        <w:t xml:space="preserve"> agenc</w:t>
      </w:r>
      <w:r w:rsidR="00E56684">
        <w:t>y</w:t>
      </w:r>
      <w:r w:rsidR="00B95A19">
        <w:t xml:space="preserve"> costs for the initial three years of the </w:t>
      </w:r>
      <w:r w:rsidR="00C018A3">
        <w:t>LCRR</w:t>
      </w:r>
      <w:r w:rsidR="00B95A19">
        <w:t xml:space="preserve"> </w:t>
      </w:r>
      <w:r w:rsidR="007C7D21">
        <w:t>is $57.24</w:t>
      </w:r>
      <w:r w:rsidR="00B95A19">
        <w:t xml:space="preserve"> </w:t>
      </w:r>
      <w:r w:rsidR="007E3A3C">
        <w:t>per hour</w:t>
      </w:r>
      <w:r w:rsidR="00B95A19">
        <w:t xml:space="preserve">. </w:t>
      </w:r>
      <w:r w:rsidR="00C203D5">
        <w:t xml:space="preserve">See Appendix B for more information on the development of the estimated labor rate. </w:t>
      </w:r>
      <w:r w:rsidR="00A251BF">
        <w:t xml:space="preserve">Based on this labor rate, the </w:t>
      </w:r>
      <w:r w:rsidR="00145AA1">
        <w:t xml:space="preserve">total </w:t>
      </w:r>
      <w:r w:rsidR="00A251BF">
        <w:t>cost to primacy agencies for start-up activities (adopting the rule, modifying data systems, and providing training</w:t>
      </w:r>
      <w:r w:rsidR="00FD3624">
        <w:t xml:space="preserve"> </w:t>
      </w:r>
      <w:r w:rsidR="00FD3624">
        <w:lastRenderedPageBreak/>
        <w:t>to system staff and internal staff</w:t>
      </w:r>
      <w:r w:rsidR="00A251BF">
        <w:t>) is</w:t>
      </w:r>
      <w:r w:rsidR="00FD3624">
        <w:t xml:space="preserve"> </w:t>
      </w:r>
      <w:r w:rsidRPr="00114FC3" w:rsidR="00114FC3">
        <w:t>$22,848,376</w:t>
      </w:r>
      <w:r w:rsidR="00FD3624">
        <w:t xml:space="preserve"> </w:t>
      </w:r>
      <w:r w:rsidR="00A251BF">
        <w:t>(56 agencies x</w:t>
      </w:r>
      <w:r w:rsidR="00FD3624">
        <w:t xml:space="preserve"> </w:t>
      </w:r>
      <w:r w:rsidRPr="00114FC3" w:rsidR="00114FC3">
        <w:t xml:space="preserve">7,128 </w:t>
      </w:r>
      <w:r w:rsidR="00A251BF">
        <w:t>hours/agency x $57.2</w:t>
      </w:r>
      <w:r w:rsidR="00032260">
        <w:t>4</w:t>
      </w:r>
      <w:r w:rsidR="00A251BF">
        <w:t>/hour)</w:t>
      </w:r>
      <w:r w:rsidR="00145AA1">
        <w:t>, an average of</w:t>
      </w:r>
      <w:r w:rsidR="00FD3624">
        <w:t xml:space="preserve"> </w:t>
      </w:r>
      <w:r w:rsidRPr="00114FC3" w:rsidR="00114FC3">
        <w:t>$7,616,125</w:t>
      </w:r>
      <w:r w:rsidR="00FD3624">
        <w:t xml:space="preserve"> </w:t>
      </w:r>
      <w:r w:rsidR="00145AA1">
        <w:t>per year</w:t>
      </w:r>
      <w:r w:rsidR="00A251BF">
        <w:t>.</w:t>
      </w:r>
      <w:r w:rsidR="002D6A85">
        <w:t xml:space="preserve"> </w:t>
      </w:r>
      <w:r w:rsidRPr="0028475A" w:rsidR="002D6A85">
        <w:rPr>
          <w:b/>
        </w:rPr>
        <w:fldChar w:fldCharType="begin"/>
      </w:r>
      <w:r w:rsidRPr="0028475A" w:rsidR="002D6A85">
        <w:rPr>
          <w:b/>
        </w:rPr>
        <w:instrText xml:space="preserve"> REF _Ref21010952 \h </w:instrText>
      </w:r>
      <w:r w:rsidR="002D6A85">
        <w:rPr>
          <w:b/>
        </w:rPr>
        <w:instrText xml:space="preserve"> \* MERGEFORMAT </w:instrText>
      </w:r>
      <w:r w:rsidRPr="0028475A" w:rsidR="002D6A85">
        <w:rPr>
          <w:b/>
        </w:rPr>
      </w:r>
      <w:r w:rsidRPr="0028475A" w:rsidR="002D6A85">
        <w:rPr>
          <w:b/>
        </w:rPr>
        <w:fldChar w:fldCharType="separate"/>
      </w:r>
      <w:r w:rsidRPr="0028475A" w:rsidR="002D6A85">
        <w:rPr>
          <w:b/>
        </w:rPr>
        <w:t xml:space="preserve">Exhibit </w:t>
      </w:r>
      <w:r w:rsidRPr="0028475A" w:rsidR="002D6A85">
        <w:rPr>
          <w:b/>
          <w:noProof/>
        </w:rPr>
        <w:t>9</w:t>
      </w:r>
      <w:r w:rsidRPr="0028475A" w:rsidR="002D6A85">
        <w:rPr>
          <w:b/>
        </w:rPr>
        <w:fldChar w:fldCharType="end"/>
      </w:r>
      <w:r w:rsidR="00A251BF">
        <w:t xml:space="preserve"> </w:t>
      </w:r>
      <w:r w:rsidR="002D6A85">
        <w:t xml:space="preserve">presents the labor costs to primacy agencies for assisting with the LSL inventories and reviewing the submission of the inventories. </w:t>
      </w:r>
      <w:r w:rsidRPr="00446AC8" w:rsidR="00A251BF">
        <w:rPr>
          <w:b/>
        </w:rPr>
        <w:fldChar w:fldCharType="begin"/>
      </w:r>
      <w:r w:rsidRPr="00446AC8" w:rsidR="00A251BF">
        <w:rPr>
          <w:b/>
        </w:rPr>
        <w:instrText xml:space="preserve"> REF _Ref4699657 \h </w:instrText>
      </w:r>
      <w:r w:rsidR="00A251BF">
        <w:rPr>
          <w:b/>
        </w:rPr>
        <w:instrText xml:space="preserve"> \* MERGEFORMAT </w:instrText>
      </w:r>
      <w:r w:rsidRPr="00446AC8" w:rsidR="00A251BF">
        <w:rPr>
          <w:b/>
        </w:rPr>
      </w:r>
      <w:r w:rsidRPr="00446AC8" w:rsidR="00A251BF">
        <w:rPr>
          <w:b/>
        </w:rPr>
        <w:fldChar w:fldCharType="separate"/>
      </w:r>
      <w:r w:rsidRPr="00BE3988" w:rsidR="00BE3988">
        <w:rPr>
          <w:b/>
        </w:rPr>
        <w:t xml:space="preserve">Exhibit </w:t>
      </w:r>
      <w:r w:rsidRPr="00BE3988" w:rsidR="00BE3988">
        <w:rPr>
          <w:b/>
          <w:noProof/>
        </w:rPr>
        <w:t>10</w:t>
      </w:r>
      <w:r w:rsidRPr="00446AC8" w:rsidR="00A251BF">
        <w:rPr>
          <w:b/>
        </w:rPr>
        <w:fldChar w:fldCharType="end"/>
      </w:r>
      <w:r w:rsidR="00A251BF">
        <w:t xml:space="preserve"> presents the labor costs to primacy agencies for reviewing demonstrations from systems of no </w:t>
      </w:r>
      <w:r w:rsidRPr="00F00B30" w:rsidR="00A251BF">
        <w:t xml:space="preserve">LSLs. </w:t>
      </w:r>
      <w:r w:rsidRPr="00DA4695" w:rsidR="00DA4695">
        <w:rPr>
          <w:b/>
        </w:rPr>
        <w:fldChar w:fldCharType="begin"/>
      </w:r>
      <w:r w:rsidRPr="00DA4695" w:rsidR="00DA4695">
        <w:rPr>
          <w:b/>
        </w:rPr>
        <w:instrText xml:space="preserve"> REF _Ref45287722 \h </w:instrText>
      </w:r>
      <w:r w:rsidR="00DA4695">
        <w:rPr>
          <w:b/>
        </w:rPr>
        <w:instrText xml:space="preserve"> \* MERGEFORMAT </w:instrText>
      </w:r>
      <w:r w:rsidRPr="00DA4695" w:rsidR="00DA4695">
        <w:rPr>
          <w:b/>
        </w:rPr>
      </w:r>
      <w:r w:rsidRPr="00DA4695" w:rsidR="00DA4695">
        <w:rPr>
          <w:b/>
        </w:rPr>
        <w:fldChar w:fldCharType="separate"/>
      </w:r>
      <w:r w:rsidRPr="00DA4695" w:rsidR="00DA4695">
        <w:rPr>
          <w:b/>
        </w:rPr>
        <w:t xml:space="preserve">Exhibit </w:t>
      </w:r>
      <w:r w:rsidRPr="00DA4695" w:rsidR="00DA4695">
        <w:rPr>
          <w:b/>
          <w:noProof/>
        </w:rPr>
        <w:t>11</w:t>
      </w:r>
      <w:r w:rsidRPr="00DA4695" w:rsidR="00DA4695">
        <w:rPr>
          <w:b/>
        </w:rPr>
        <w:fldChar w:fldCharType="end"/>
      </w:r>
      <w:r w:rsidR="00DA4695">
        <w:t xml:space="preserve"> presents the labor cost </w:t>
      </w:r>
      <w:r w:rsidRPr="00F00B30" w:rsidR="00D624A0">
        <w:t xml:space="preserve">to primacy agencies for </w:t>
      </w:r>
      <w:r w:rsidR="00A539B3">
        <w:t xml:space="preserve">conferring on and </w:t>
      </w:r>
      <w:r w:rsidRPr="00F00B30" w:rsidR="00D624A0">
        <w:t xml:space="preserve">reviewing </w:t>
      </w:r>
      <w:r w:rsidR="00DA4695">
        <w:t>LSLR</w:t>
      </w:r>
      <w:r w:rsidRPr="00F00B30" w:rsidR="00DA4695">
        <w:t xml:space="preserve"> </w:t>
      </w:r>
      <w:r w:rsidRPr="00F00B30" w:rsidR="00D624A0">
        <w:t>replacement plan</w:t>
      </w:r>
      <w:r w:rsidR="00DA4695">
        <w:t>s</w:t>
      </w:r>
      <w:r w:rsidRPr="00F00B30" w:rsidR="00D624A0">
        <w:t xml:space="preserve">. </w:t>
      </w:r>
      <w:r w:rsidRPr="00F00B30" w:rsidR="000657C8">
        <w:t>The total cost to primacy agencies for all activities in the first three years is</w:t>
      </w:r>
      <w:r w:rsidR="0042773F">
        <w:t xml:space="preserve"> </w:t>
      </w:r>
      <w:r w:rsidR="00114FC3">
        <w:t xml:space="preserve">$37,608,626 to </w:t>
      </w:r>
      <w:r w:rsidRPr="00114FC3" w:rsidR="00114FC3">
        <w:t>$39,959,015</w:t>
      </w:r>
      <w:r w:rsidRPr="00F00B30" w:rsidR="00145AA1">
        <w:t>,</w:t>
      </w:r>
      <w:r w:rsidR="00145AA1">
        <w:t xml:space="preserve"> </w:t>
      </w:r>
      <w:r w:rsidR="001F4012">
        <w:t xml:space="preserve">or </w:t>
      </w:r>
      <w:r w:rsidR="00145AA1">
        <w:t>an average of</w:t>
      </w:r>
      <w:r w:rsidR="0042773F">
        <w:t xml:space="preserve"> </w:t>
      </w:r>
      <w:r w:rsidR="00114FC3">
        <w:t xml:space="preserve">$12,536,209 to </w:t>
      </w:r>
      <w:r w:rsidRPr="00114FC3" w:rsidR="00114FC3">
        <w:t>$13,319,672</w:t>
      </w:r>
      <w:r w:rsidRPr="0042773F" w:rsidR="0042773F">
        <w:t xml:space="preserve"> </w:t>
      </w:r>
      <w:r w:rsidR="001F4012">
        <w:t>per year</w:t>
      </w:r>
      <w:r w:rsidR="000657C8">
        <w:t xml:space="preserve">. </w:t>
      </w:r>
      <w:r w:rsidR="00B95A19">
        <w:t xml:space="preserve">There are no capital or O&amp;M costs associated with this period. </w:t>
      </w:r>
    </w:p>
    <w:p w:rsidR="00B95A19" w:rsidP="00A251BF" w:rsidRDefault="00B95A19" w14:paraId="4CCAE285" w14:textId="77777777">
      <w:pPr>
        <w:pStyle w:val="NormalIndent"/>
      </w:pPr>
      <w:r>
        <w:t xml:space="preserve">All </w:t>
      </w:r>
      <w:r w:rsidR="00C203D5">
        <w:t>recurring</w:t>
      </w:r>
      <w:r>
        <w:t xml:space="preserve"> activities begin after the first three years and are qualitatively described in </w:t>
      </w:r>
      <w:r w:rsidRPr="00792F80">
        <w:t xml:space="preserve">Section </w:t>
      </w:r>
      <w:r w:rsidRPr="00792F80" w:rsidR="007C7D21">
        <w:t>2</w:t>
      </w:r>
      <w:r w:rsidRPr="00792F80">
        <w:t>.</w:t>
      </w:r>
      <w:r>
        <w:t xml:space="preserve"> </w:t>
      </w:r>
    </w:p>
    <w:p w:rsidR="002D6A85" w:rsidP="002D6A85" w:rsidRDefault="002D6A85" w14:paraId="0F4B1BFB" w14:textId="30E33DD9">
      <w:pPr>
        <w:pStyle w:val="Caption"/>
      </w:pPr>
      <w:bookmarkStart w:name="_Ref21010952" w:id="40"/>
      <w:r>
        <w:t xml:space="preserve">Exhibit </w:t>
      </w:r>
      <w:r>
        <w:rPr>
          <w:noProof/>
        </w:rPr>
        <w:fldChar w:fldCharType="begin"/>
      </w:r>
      <w:r>
        <w:rPr>
          <w:noProof/>
        </w:rPr>
        <w:instrText xml:space="preserve"> SEQ Exhibit \* ARABIC </w:instrText>
      </w:r>
      <w:r>
        <w:rPr>
          <w:noProof/>
        </w:rPr>
        <w:fldChar w:fldCharType="separate"/>
      </w:r>
      <w:r>
        <w:rPr>
          <w:noProof/>
        </w:rPr>
        <w:t>9</w:t>
      </w:r>
      <w:r>
        <w:rPr>
          <w:noProof/>
        </w:rPr>
        <w:fldChar w:fldCharType="end"/>
      </w:r>
      <w:bookmarkEnd w:id="40"/>
      <w:r>
        <w:rPr>
          <w:noProof/>
        </w:rPr>
        <w:t xml:space="preserve">. </w:t>
      </w:r>
      <w:r w:rsidRPr="00A251BF">
        <w:rPr>
          <w:noProof/>
        </w:rPr>
        <w:t xml:space="preserve">Burden and Costs for Primacy Agencies </w:t>
      </w:r>
      <w:r>
        <w:rPr>
          <w:noProof/>
        </w:rPr>
        <w:t>Assisting with LSL Inventories and Reviewing Inventories</w:t>
      </w:r>
    </w:p>
    <w:tbl>
      <w:tblPr>
        <w:tblStyle w:val="TableGrid"/>
        <w:tblW w:w="0" w:type="auto"/>
        <w:tblCellMar>
          <w:left w:w="43" w:type="dxa"/>
          <w:right w:w="43" w:type="dxa"/>
        </w:tblCellMar>
        <w:tblLook w:val="04A0" w:firstRow="1" w:lastRow="0" w:firstColumn="1" w:lastColumn="0" w:noHBand="0" w:noVBand="1"/>
      </w:tblPr>
      <w:tblGrid>
        <w:gridCol w:w="2335"/>
        <w:gridCol w:w="1440"/>
        <w:gridCol w:w="990"/>
        <w:gridCol w:w="1620"/>
        <w:gridCol w:w="990"/>
        <w:gridCol w:w="1975"/>
      </w:tblGrid>
      <w:tr w:rsidRPr="00A251BF" w:rsidR="00BE3988" w:rsidTr="000D5E60" w14:paraId="610A2145" w14:textId="77777777">
        <w:trPr>
          <w:trHeight w:val="540"/>
        </w:trPr>
        <w:tc>
          <w:tcPr>
            <w:tcW w:w="2335" w:type="dxa"/>
            <w:vAlign w:val="center"/>
            <w:hideMark/>
          </w:tcPr>
          <w:p w:rsidRPr="00A251BF" w:rsidR="002D6A85" w:rsidP="00AE14EF" w:rsidRDefault="002D6A85" w14:paraId="619A748F" w14:textId="369F9B44">
            <w:pPr>
              <w:pStyle w:val="Table"/>
              <w:jc w:val="center"/>
              <w:rPr>
                <w:b/>
                <w:sz w:val="18"/>
              </w:rPr>
            </w:pPr>
            <w:r>
              <w:rPr>
                <w:b/>
                <w:sz w:val="18"/>
              </w:rPr>
              <w:t>System</w:t>
            </w:r>
            <w:r w:rsidRPr="00A251BF">
              <w:rPr>
                <w:b/>
                <w:sz w:val="18"/>
              </w:rPr>
              <w:t xml:space="preserve"> Type (service population size category</w:t>
            </w:r>
            <w:r w:rsidR="00954693">
              <w:rPr>
                <w:b/>
                <w:sz w:val="18"/>
              </w:rPr>
              <w:t>, type</w:t>
            </w:r>
            <w:r w:rsidRPr="00A251BF">
              <w:rPr>
                <w:b/>
                <w:sz w:val="18"/>
              </w:rPr>
              <w:t>)</w:t>
            </w:r>
          </w:p>
        </w:tc>
        <w:tc>
          <w:tcPr>
            <w:tcW w:w="1440" w:type="dxa"/>
            <w:vAlign w:val="center"/>
            <w:hideMark/>
          </w:tcPr>
          <w:p w:rsidRPr="00A251BF" w:rsidR="002D6A85" w:rsidP="00AE14EF" w:rsidRDefault="002D6A85" w14:paraId="7D768B68" w14:textId="77777777">
            <w:pPr>
              <w:pStyle w:val="Table"/>
              <w:jc w:val="center"/>
              <w:rPr>
                <w:b/>
                <w:sz w:val="18"/>
              </w:rPr>
            </w:pPr>
            <w:r w:rsidRPr="00A251BF">
              <w:rPr>
                <w:b/>
                <w:sz w:val="18"/>
              </w:rPr>
              <w:t>Responses (Reviews)</w:t>
            </w:r>
          </w:p>
        </w:tc>
        <w:tc>
          <w:tcPr>
            <w:tcW w:w="990" w:type="dxa"/>
            <w:vAlign w:val="center"/>
            <w:hideMark/>
          </w:tcPr>
          <w:p w:rsidRPr="00A251BF" w:rsidR="002D6A85" w:rsidP="00AE14EF" w:rsidRDefault="002D6A85" w14:paraId="47CEFF7B" w14:textId="77777777">
            <w:pPr>
              <w:pStyle w:val="Table"/>
              <w:jc w:val="center"/>
              <w:rPr>
                <w:b/>
                <w:sz w:val="18"/>
              </w:rPr>
            </w:pPr>
            <w:r>
              <w:rPr>
                <w:b/>
                <w:sz w:val="18"/>
              </w:rPr>
              <w:t>Burden per R</w:t>
            </w:r>
            <w:r w:rsidRPr="00A251BF">
              <w:rPr>
                <w:b/>
                <w:sz w:val="18"/>
              </w:rPr>
              <w:t>esponse</w:t>
            </w:r>
            <w:r>
              <w:rPr>
                <w:b/>
                <w:sz w:val="18"/>
              </w:rPr>
              <w:t xml:space="preserve"> (hours)</w:t>
            </w:r>
          </w:p>
        </w:tc>
        <w:tc>
          <w:tcPr>
            <w:tcW w:w="1620" w:type="dxa"/>
            <w:vAlign w:val="center"/>
            <w:hideMark/>
          </w:tcPr>
          <w:p w:rsidRPr="00A251BF" w:rsidR="002D6A85" w:rsidP="00AE14EF" w:rsidRDefault="002D6A85" w14:paraId="6B2BDE55" w14:textId="77777777">
            <w:pPr>
              <w:pStyle w:val="Table"/>
              <w:jc w:val="center"/>
              <w:rPr>
                <w:b/>
                <w:sz w:val="18"/>
              </w:rPr>
            </w:pPr>
            <w:r w:rsidRPr="00A251BF">
              <w:rPr>
                <w:b/>
                <w:sz w:val="18"/>
              </w:rPr>
              <w:t>Burden</w:t>
            </w:r>
            <w:r>
              <w:rPr>
                <w:b/>
                <w:sz w:val="18"/>
              </w:rPr>
              <w:t xml:space="preserve"> (hours)</w:t>
            </w:r>
          </w:p>
        </w:tc>
        <w:tc>
          <w:tcPr>
            <w:tcW w:w="990" w:type="dxa"/>
            <w:vAlign w:val="center"/>
            <w:hideMark/>
          </w:tcPr>
          <w:p w:rsidRPr="00A251BF" w:rsidR="002D6A85" w:rsidP="00AE14EF" w:rsidRDefault="002D6A85" w14:paraId="0CFD5C1E" w14:textId="77777777">
            <w:pPr>
              <w:pStyle w:val="Table"/>
              <w:jc w:val="center"/>
              <w:rPr>
                <w:b/>
                <w:sz w:val="18"/>
              </w:rPr>
            </w:pPr>
            <w:r w:rsidRPr="00A251BF">
              <w:rPr>
                <w:b/>
                <w:sz w:val="18"/>
              </w:rPr>
              <w:t>Labor Rate ($/hour)</w:t>
            </w:r>
          </w:p>
        </w:tc>
        <w:tc>
          <w:tcPr>
            <w:tcW w:w="1975" w:type="dxa"/>
            <w:vAlign w:val="center"/>
            <w:hideMark/>
          </w:tcPr>
          <w:p w:rsidRPr="00A251BF" w:rsidR="002D6A85" w:rsidP="00AE14EF" w:rsidRDefault="002D6A85" w14:paraId="6EC39A7A" w14:textId="77777777">
            <w:pPr>
              <w:pStyle w:val="Table"/>
              <w:jc w:val="center"/>
              <w:rPr>
                <w:b/>
                <w:sz w:val="18"/>
              </w:rPr>
            </w:pPr>
            <w:r w:rsidRPr="00A251BF">
              <w:rPr>
                <w:b/>
                <w:sz w:val="18"/>
              </w:rPr>
              <w:t>Cost</w:t>
            </w:r>
            <w:r>
              <w:rPr>
                <w:b/>
                <w:sz w:val="18"/>
              </w:rPr>
              <w:t xml:space="preserve"> </w:t>
            </w:r>
            <w:r>
              <w:rPr>
                <w:b/>
                <w:bCs/>
                <w:sz w:val="18"/>
              </w:rPr>
              <w:t>(2016 dollars)</w:t>
            </w:r>
          </w:p>
        </w:tc>
      </w:tr>
      <w:tr w:rsidRPr="00A251BF" w:rsidR="00954693" w:rsidTr="000D5E60" w14:paraId="575D319F" w14:textId="77777777">
        <w:trPr>
          <w:trHeight w:val="300"/>
        </w:trPr>
        <w:tc>
          <w:tcPr>
            <w:tcW w:w="2335" w:type="dxa"/>
            <w:vAlign w:val="center"/>
            <w:hideMark/>
          </w:tcPr>
          <w:p w:rsidRPr="00A251BF" w:rsidR="00954693" w:rsidP="00954693" w:rsidRDefault="00954693" w14:paraId="5CAB4415" w14:textId="47F39539">
            <w:pPr>
              <w:pStyle w:val="Table"/>
              <w:rPr>
                <w:sz w:val="18"/>
              </w:rPr>
            </w:pPr>
            <w:r>
              <w:rPr>
                <w:color w:val="000000"/>
                <w:sz w:val="18"/>
                <w:szCs w:val="18"/>
              </w:rPr>
              <w:t>&lt;=100, CWS</w:t>
            </w:r>
          </w:p>
        </w:tc>
        <w:tc>
          <w:tcPr>
            <w:tcW w:w="1440" w:type="dxa"/>
            <w:tcMar>
              <w:left w:w="115" w:type="dxa"/>
              <w:right w:w="360" w:type="dxa"/>
            </w:tcMar>
            <w:vAlign w:val="center"/>
          </w:tcPr>
          <w:p w:rsidRPr="00A251BF" w:rsidR="00954693" w:rsidP="006448DC" w:rsidRDefault="006448DC" w14:paraId="315FC8AD" w14:textId="6EEEB103">
            <w:pPr>
              <w:pStyle w:val="Table"/>
              <w:ind w:right="-245"/>
              <w:jc w:val="right"/>
              <w:rPr>
                <w:sz w:val="18"/>
              </w:rPr>
            </w:pPr>
            <w:r w:rsidRPr="006448DC">
              <w:rPr>
                <w:sz w:val="18"/>
              </w:rPr>
              <w:t>2,163</w:t>
            </w:r>
            <w:r>
              <w:rPr>
                <w:sz w:val="18"/>
              </w:rPr>
              <w:t xml:space="preserve"> to </w:t>
            </w:r>
            <w:r w:rsidRPr="006448DC">
              <w:rPr>
                <w:sz w:val="18"/>
              </w:rPr>
              <w:t>1,562</w:t>
            </w:r>
          </w:p>
        </w:tc>
        <w:tc>
          <w:tcPr>
            <w:tcW w:w="990" w:type="dxa"/>
            <w:vAlign w:val="center"/>
          </w:tcPr>
          <w:p w:rsidRPr="00D624A0" w:rsidR="00954693" w:rsidP="00954693" w:rsidRDefault="006448DC" w14:paraId="42A24FAB" w14:textId="2FCE31C8">
            <w:pPr>
              <w:pStyle w:val="Table"/>
              <w:jc w:val="center"/>
              <w:rPr>
                <w:sz w:val="18"/>
                <w:szCs w:val="18"/>
              </w:rPr>
            </w:pPr>
            <w:r>
              <w:rPr>
                <w:sz w:val="18"/>
                <w:szCs w:val="18"/>
              </w:rPr>
              <w:t>4</w:t>
            </w:r>
          </w:p>
        </w:tc>
        <w:tc>
          <w:tcPr>
            <w:tcW w:w="1620" w:type="dxa"/>
            <w:tcMar>
              <w:left w:w="115" w:type="dxa"/>
              <w:right w:w="360" w:type="dxa"/>
            </w:tcMar>
            <w:vAlign w:val="center"/>
          </w:tcPr>
          <w:p w:rsidRPr="00D624A0" w:rsidR="00954693" w:rsidP="006448DC" w:rsidRDefault="006448DC" w14:paraId="67D71D26" w14:textId="24DE4844">
            <w:pPr>
              <w:pStyle w:val="Table"/>
              <w:ind w:right="-270"/>
              <w:jc w:val="right"/>
              <w:rPr>
                <w:sz w:val="18"/>
                <w:szCs w:val="18"/>
              </w:rPr>
            </w:pPr>
            <w:r>
              <w:rPr>
                <w:sz w:val="18"/>
                <w:szCs w:val="18"/>
              </w:rPr>
              <w:t xml:space="preserve">8,652 to </w:t>
            </w:r>
            <w:r w:rsidRPr="006448DC">
              <w:rPr>
                <w:sz w:val="18"/>
                <w:szCs w:val="18"/>
              </w:rPr>
              <w:t>6,248</w:t>
            </w:r>
          </w:p>
        </w:tc>
        <w:tc>
          <w:tcPr>
            <w:tcW w:w="990" w:type="dxa"/>
            <w:vAlign w:val="center"/>
          </w:tcPr>
          <w:p w:rsidRPr="00D624A0" w:rsidR="00954693" w:rsidP="00954693" w:rsidRDefault="00954693" w14:paraId="42862654" w14:textId="622183BE">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2F793118" w14:textId="3A9EE123">
            <w:pPr>
              <w:pStyle w:val="Table"/>
              <w:ind w:right="-203"/>
              <w:jc w:val="right"/>
              <w:rPr>
                <w:sz w:val="18"/>
                <w:szCs w:val="18"/>
              </w:rPr>
            </w:pPr>
            <w:r w:rsidRPr="006448DC">
              <w:rPr>
                <w:sz w:val="18"/>
                <w:szCs w:val="18"/>
              </w:rPr>
              <w:t>$495,240</w:t>
            </w:r>
            <w:r>
              <w:rPr>
                <w:sz w:val="18"/>
                <w:szCs w:val="18"/>
              </w:rPr>
              <w:t xml:space="preserve"> to </w:t>
            </w:r>
            <w:r w:rsidRPr="006448DC">
              <w:rPr>
                <w:sz w:val="18"/>
                <w:szCs w:val="18"/>
              </w:rPr>
              <w:t>$357,636</w:t>
            </w:r>
          </w:p>
        </w:tc>
      </w:tr>
      <w:tr w:rsidRPr="00A251BF" w:rsidR="00954693" w:rsidTr="000D5E60" w14:paraId="704FE170" w14:textId="77777777">
        <w:trPr>
          <w:trHeight w:val="300"/>
        </w:trPr>
        <w:tc>
          <w:tcPr>
            <w:tcW w:w="2335" w:type="dxa"/>
            <w:vAlign w:val="center"/>
            <w:hideMark/>
          </w:tcPr>
          <w:p w:rsidRPr="00A251BF" w:rsidR="00954693" w:rsidP="00954693" w:rsidRDefault="00954693" w14:paraId="2D457AAD" w14:textId="1DC0B4DE">
            <w:pPr>
              <w:pStyle w:val="Table"/>
              <w:rPr>
                <w:sz w:val="18"/>
              </w:rPr>
            </w:pPr>
            <w:r>
              <w:rPr>
                <w:color w:val="000000"/>
                <w:sz w:val="18"/>
                <w:szCs w:val="18"/>
              </w:rPr>
              <w:t>101-500, CWS</w:t>
            </w:r>
          </w:p>
        </w:tc>
        <w:tc>
          <w:tcPr>
            <w:tcW w:w="1440" w:type="dxa"/>
            <w:tcMar>
              <w:left w:w="115" w:type="dxa"/>
              <w:right w:w="360" w:type="dxa"/>
            </w:tcMar>
            <w:vAlign w:val="center"/>
          </w:tcPr>
          <w:p w:rsidRPr="00A251BF" w:rsidR="00954693" w:rsidP="006448DC" w:rsidRDefault="006448DC" w14:paraId="5D80177D" w14:textId="13387782">
            <w:pPr>
              <w:pStyle w:val="Table"/>
              <w:ind w:right="-245"/>
              <w:jc w:val="right"/>
              <w:rPr>
                <w:sz w:val="18"/>
              </w:rPr>
            </w:pPr>
            <w:r>
              <w:rPr>
                <w:sz w:val="18"/>
              </w:rPr>
              <w:t xml:space="preserve">2,801 to </w:t>
            </w:r>
            <w:r w:rsidRPr="006448DC">
              <w:rPr>
                <w:sz w:val="18"/>
              </w:rPr>
              <w:t>2,733</w:t>
            </w:r>
          </w:p>
        </w:tc>
        <w:tc>
          <w:tcPr>
            <w:tcW w:w="990" w:type="dxa"/>
            <w:vAlign w:val="center"/>
          </w:tcPr>
          <w:p w:rsidRPr="00D624A0" w:rsidR="00954693" w:rsidP="00954693" w:rsidRDefault="006448DC" w14:paraId="1611EBAE" w14:textId="145892AF">
            <w:pPr>
              <w:pStyle w:val="Table"/>
              <w:jc w:val="center"/>
              <w:rPr>
                <w:sz w:val="18"/>
                <w:szCs w:val="18"/>
              </w:rPr>
            </w:pPr>
            <w:r>
              <w:rPr>
                <w:sz w:val="18"/>
                <w:szCs w:val="18"/>
              </w:rPr>
              <w:t>4</w:t>
            </w:r>
          </w:p>
        </w:tc>
        <w:tc>
          <w:tcPr>
            <w:tcW w:w="1620" w:type="dxa"/>
            <w:tcMar>
              <w:left w:w="115" w:type="dxa"/>
              <w:right w:w="360" w:type="dxa"/>
            </w:tcMar>
            <w:vAlign w:val="center"/>
          </w:tcPr>
          <w:p w:rsidRPr="00D624A0" w:rsidR="00954693" w:rsidP="006448DC" w:rsidRDefault="006448DC" w14:paraId="488B40CF" w14:textId="22EE4D27">
            <w:pPr>
              <w:pStyle w:val="Table"/>
              <w:ind w:right="-270"/>
              <w:jc w:val="right"/>
              <w:rPr>
                <w:sz w:val="18"/>
                <w:szCs w:val="18"/>
              </w:rPr>
            </w:pPr>
            <w:r>
              <w:rPr>
                <w:sz w:val="18"/>
                <w:szCs w:val="18"/>
              </w:rPr>
              <w:t xml:space="preserve">11,204 to </w:t>
            </w:r>
            <w:r w:rsidRPr="006448DC">
              <w:rPr>
                <w:sz w:val="18"/>
                <w:szCs w:val="18"/>
              </w:rPr>
              <w:t>10,932</w:t>
            </w:r>
          </w:p>
        </w:tc>
        <w:tc>
          <w:tcPr>
            <w:tcW w:w="990" w:type="dxa"/>
            <w:vAlign w:val="center"/>
          </w:tcPr>
          <w:p w:rsidRPr="00D624A0" w:rsidR="00954693" w:rsidP="00954693" w:rsidRDefault="00954693" w14:paraId="214233CC" w14:textId="3AC80BA8">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03C9D07C" w14:textId="777819E6">
            <w:pPr>
              <w:pStyle w:val="Table"/>
              <w:ind w:right="-203"/>
              <w:jc w:val="right"/>
              <w:rPr>
                <w:sz w:val="18"/>
                <w:szCs w:val="18"/>
              </w:rPr>
            </w:pPr>
            <w:r>
              <w:rPr>
                <w:sz w:val="18"/>
                <w:szCs w:val="18"/>
              </w:rPr>
              <w:t xml:space="preserve">$641,317 to </w:t>
            </w:r>
            <w:r w:rsidRPr="006448DC">
              <w:rPr>
                <w:sz w:val="18"/>
                <w:szCs w:val="18"/>
              </w:rPr>
              <w:t>$625,748</w:t>
            </w:r>
          </w:p>
        </w:tc>
      </w:tr>
      <w:tr w:rsidRPr="00A251BF" w:rsidR="00954693" w:rsidTr="000D5E60" w14:paraId="19FDEF28" w14:textId="77777777">
        <w:trPr>
          <w:trHeight w:val="300"/>
        </w:trPr>
        <w:tc>
          <w:tcPr>
            <w:tcW w:w="2335" w:type="dxa"/>
            <w:vAlign w:val="center"/>
            <w:hideMark/>
          </w:tcPr>
          <w:p w:rsidRPr="00A251BF" w:rsidR="00954693" w:rsidP="00954693" w:rsidRDefault="00954693" w14:paraId="43886EF6" w14:textId="3F5234EC">
            <w:pPr>
              <w:pStyle w:val="Table"/>
              <w:rPr>
                <w:sz w:val="18"/>
              </w:rPr>
            </w:pPr>
            <w:r>
              <w:rPr>
                <w:color w:val="000000"/>
                <w:sz w:val="18"/>
                <w:szCs w:val="18"/>
              </w:rPr>
              <w:t>501-1,000, CWS</w:t>
            </w:r>
          </w:p>
        </w:tc>
        <w:tc>
          <w:tcPr>
            <w:tcW w:w="1440" w:type="dxa"/>
            <w:tcMar>
              <w:left w:w="115" w:type="dxa"/>
              <w:right w:w="360" w:type="dxa"/>
            </w:tcMar>
            <w:vAlign w:val="center"/>
          </w:tcPr>
          <w:p w:rsidRPr="00A251BF" w:rsidR="00954693" w:rsidP="006448DC" w:rsidRDefault="006448DC" w14:paraId="6415B526" w14:textId="4FCE0E2E">
            <w:pPr>
              <w:pStyle w:val="Table"/>
              <w:ind w:right="-245"/>
              <w:jc w:val="right"/>
              <w:rPr>
                <w:sz w:val="18"/>
              </w:rPr>
            </w:pPr>
            <w:r>
              <w:rPr>
                <w:sz w:val="18"/>
              </w:rPr>
              <w:t xml:space="preserve">1,015 to </w:t>
            </w:r>
            <w:r w:rsidRPr="006448DC">
              <w:rPr>
                <w:sz w:val="18"/>
              </w:rPr>
              <w:t>1,776</w:t>
            </w:r>
          </w:p>
        </w:tc>
        <w:tc>
          <w:tcPr>
            <w:tcW w:w="990" w:type="dxa"/>
            <w:vAlign w:val="center"/>
          </w:tcPr>
          <w:p w:rsidRPr="00D624A0" w:rsidR="00954693" w:rsidP="00954693" w:rsidRDefault="006448DC" w14:paraId="2FD34E38" w14:textId="250012ED">
            <w:pPr>
              <w:pStyle w:val="Table"/>
              <w:jc w:val="center"/>
              <w:rPr>
                <w:sz w:val="18"/>
                <w:szCs w:val="18"/>
              </w:rPr>
            </w:pPr>
            <w:r>
              <w:rPr>
                <w:sz w:val="18"/>
                <w:szCs w:val="18"/>
              </w:rPr>
              <w:t>4</w:t>
            </w:r>
          </w:p>
        </w:tc>
        <w:tc>
          <w:tcPr>
            <w:tcW w:w="1620" w:type="dxa"/>
            <w:tcMar>
              <w:left w:w="115" w:type="dxa"/>
              <w:right w:w="360" w:type="dxa"/>
            </w:tcMar>
            <w:vAlign w:val="center"/>
          </w:tcPr>
          <w:p w:rsidRPr="00D624A0" w:rsidR="00954693" w:rsidP="006448DC" w:rsidRDefault="006448DC" w14:paraId="586C84E5" w14:textId="168B892C">
            <w:pPr>
              <w:pStyle w:val="Table"/>
              <w:ind w:right="-270"/>
              <w:jc w:val="right"/>
              <w:rPr>
                <w:sz w:val="18"/>
                <w:szCs w:val="18"/>
              </w:rPr>
            </w:pPr>
            <w:r>
              <w:rPr>
                <w:sz w:val="18"/>
                <w:szCs w:val="18"/>
              </w:rPr>
              <w:t xml:space="preserve">4,060 to </w:t>
            </w:r>
            <w:r w:rsidRPr="006448DC">
              <w:rPr>
                <w:sz w:val="18"/>
                <w:szCs w:val="18"/>
              </w:rPr>
              <w:t>7,104</w:t>
            </w:r>
          </w:p>
        </w:tc>
        <w:tc>
          <w:tcPr>
            <w:tcW w:w="990" w:type="dxa"/>
            <w:vAlign w:val="center"/>
          </w:tcPr>
          <w:p w:rsidRPr="00D624A0" w:rsidR="00954693" w:rsidP="00954693" w:rsidRDefault="00954693" w14:paraId="56333B21" w14:textId="277411A3">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06703716" w14:textId="5835F196">
            <w:pPr>
              <w:pStyle w:val="Table"/>
              <w:ind w:right="-203"/>
              <w:jc w:val="right"/>
              <w:rPr>
                <w:sz w:val="18"/>
                <w:szCs w:val="18"/>
              </w:rPr>
            </w:pPr>
            <w:r>
              <w:rPr>
                <w:sz w:val="18"/>
                <w:szCs w:val="18"/>
              </w:rPr>
              <w:t xml:space="preserve">$232,394 to </w:t>
            </w:r>
            <w:r w:rsidRPr="006448DC">
              <w:rPr>
                <w:sz w:val="18"/>
                <w:szCs w:val="18"/>
              </w:rPr>
              <w:t>$406,633</w:t>
            </w:r>
          </w:p>
        </w:tc>
      </w:tr>
      <w:tr w:rsidRPr="00A251BF" w:rsidR="00954693" w:rsidTr="000D5E60" w14:paraId="0D1E1224" w14:textId="77777777">
        <w:trPr>
          <w:trHeight w:val="300"/>
        </w:trPr>
        <w:tc>
          <w:tcPr>
            <w:tcW w:w="2335" w:type="dxa"/>
            <w:vAlign w:val="center"/>
            <w:hideMark/>
          </w:tcPr>
          <w:p w:rsidRPr="00A251BF" w:rsidR="00954693" w:rsidP="00954693" w:rsidRDefault="00954693" w14:paraId="3DCC92CB" w14:textId="54C5EA58">
            <w:pPr>
              <w:pStyle w:val="Table"/>
              <w:rPr>
                <w:sz w:val="18"/>
              </w:rPr>
            </w:pPr>
            <w:r>
              <w:rPr>
                <w:color w:val="000000"/>
                <w:sz w:val="18"/>
                <w:szCs w:val="18"/>
              </w:rPr>
              <w:t>1,001-3,300, CWS</w:t>
            </w:r>
          </w:p>
        </w:tc>
        <w:tc>
          <w:tcPr>
            <w:tcW w:w="1440" w:type="dxa"/>
            <w:tcMar>
              <w:left w:w="115" w:type="dxa"/>
              <w:right w:w="360" w:type="dxa"/>
            </w:tcMar>
            <w:vAlign w:val="center"/>
          </w:tcPr>
          <w:p w:rsidRPr="00A251BF" w:rsidR="00954693" w:rsidP="006448DC" w:rsidRDefault="006448DC" w14:paraId="6C28579A" w14:textId="362B7154">
            <w:pPr>
              <w:pStyle w:val="Table"/>
              <w:ind w:right="-245"/>
              <w:jc w:val="right"/>
              <w:rPr>
                <w:sz w:val="18"/>
              </w:rPr>
            </w:pPr>
            <w:r>
              <w:rPr>
                <w:sz w:val="18"/>
              </w:rPr>
              <w:t xml:space="preserve">1,470 to </w:t>
            </w:r>
            <w:r w:rsidRPr="006448DC">
              <w:rPr>
                <w:sz w:val="18"/>
              </w:rPr>
              <w:t>2,651</w:t>
            </w:r>
          </w:p>
        </w:tc>
        <w:tc>
          <w:tcPr>
            <w:tcW w:w="990" w:type="dxa"/>
            <w:vAlign w:val="center"/>
          </w:tcPr>
          <w:p w:rsidRPr="00D624A0" w:rsidR="00954693" w:rsidP="00954693" w:rsidRDefault="006448DC" w14:paraId="62B59153" w14:textId="0EE2CF4A">
            <w:pPr>
              <w:pStyle w:val="Table"/>
              <w:jc w:val="center"/>
              <w:rPr>
                <w:sz w:val="18"/>
                <w:szCs w:val="18"/>
              </w:rPr>
            </w:pPr>
            <w:r>
              <w:rPr>
                <w:sz w:val="18"/>
                <w:szCs w:val="18"/>
              </w:rPr>
              <w:t>4</w:t>
            </w:r>
          </w:p>
        </w:tc>
        <w:tc>
          <w:tcPr>
            <w:tcW w:w="1620" w:type="dxa"/>
            <w:tcMar>
              <w:left w:w="115" w:type="dxa"/>
              <w:right w:w="360" w:type="dxa"/>
            </w:tcMar>
            <w:vAlign w:val="center"/>
          </w:tcPr>
          <w:p w:rsidRPr="00D624A0" w:rsidR="00954693" w:rsidP="006448DC" w:rsidRDefault="006448DC" w14:paraId="6A950A05" w14:textId="40492A42">
            <w:pPr>
              <w:pStyle w:val="Table"/>
              <w:ind w:right="-270"/>
              <w:jc w:val="right"/>
              <w:rPr>
                <w:sz w:val="18"/>
                <w:szCs w:val="18"/>
              </w:rPr>
            </w:pPr>
            <w:r>
              <w:rPr>
                <w:sz w:val="18"/>
                <w:szCs w:val="18"/>
              </w:rPr>
              <w:t xml:space="preserve">5,880 to </w:t>
            </w:r>
            <w:r w:rsidRPr="006448DC">
              <w:rPr>
                <w:sz w:val="18"/>
                <w:szCs w:val="18"/>
              </w:rPr>
              <w:t>10,604</w:t>
            </w:r>
          </w:p>
        </w:tc>
        <w:tc>
          <w:tcPr>
            <w:tcW w:w="990" w:type="dxa"/>
            <w:vAlign w:val="center"/>
          </w:tcPr>
          <w:p w:rsidRPr="00D624A0" w:rsidR="00954693" w:rsidP="00954693" w:rsidRDefault="00954693" w14:paraId="72AE5F18" w14:textId="2AD55962">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26831089" w14:textId="6ECB2C49">
            <w:pPr>
              <w:pStyle w:val="Table"/>
              <w:ind w:right="-203"/>
              <w:jc w:val="right"/>
              <w:rPr>
                <w:sz w:val="18"/>
                <w:szCs w:val="18"/>
              </w:rPr>
            </w:pPr>
            <w:r>
              <w:rPr>
                <w:sz w:val="18"/>
                <w:szCs w:val="18"/>
              </w:rPr>
              <w:t xml:space="preserve">$336,571 to </w:t>
            </w:r>
            <w:r w:rsidRPr="006448DC">
              <w:rPr>
                <w:sz w:val="18"/>
                <w:szCs w:val="18"/>
              </w:rPr>
              <w:t>$606,973</w:t>
            </w:r>
          </w:p>
        </w:tc>
      </w:tr>
      <w:tr w:rsidRPr="00A251BF" w:rsidR="00954693" w:rsidTr="000D5E60" w14:paraId="51481964" w14:textId="77777777">
        <w:trPr>
          <w:trHeight w:val="300"/>
        </w:trPr>
        <w:tc>
          <w:tcPr>
            <w:tcW w:w="2335" w:type="dxa"/>
            <w:vAlign w:val="center"/>
            <w:hideMark/>
          </w:tcPr>
          <w:p w:rsidRPr="00A251BF" w:rsidR="00954693" w:rsidP="00954693" w:rsidRDefault="00954693" w14:paraId="55AAB5A9" w14:textId="16BB97BE">
            <w:pPr>
              <w:pStyle w:val="Table"/>
              <w:rPr>
                <w:sz w:val="18"/>
              </w:rPr>
            </w:pPr>
            <w:r>
              <w:rPr>
                <w:color w:val="000000"/>
                <w:sz w:val="18"/>
                <w:szCs w:val="18"/>
              </w:rPr>
              <w:t>3,301-10,000, CWS</w:t>
            </w:r>
          </w:p>
        </w:tc>
        <w:tc>
          <w:tcPr>
            <w:tcW w:w="1440" w:type="dxa"/>
            <w:tcMar>
              <w:left w:w="115" w:type="dxa"/>
              <w:right w:w="360" w:type="dxa"/>
            </w:tcMar>
            <w:vAlign w:val="center"/>
          </w:tcPr>
          <w:p w:rsidRPr="00A251BF" w:rsidR="00954693" w:rsidP="006448DC" w:rsidRDefault="006448DC" w14:paraId="1107F248" w14:textId="2305434B">
            <w:pPr>
              <w:pStyle w:val="Table"/>
              <w:ind w:right="-245"/>
              <w:jc w:val="right"/>
              <w:rPr>
                <w:sz w:val="18"/>
              </w:rPr>
            </w:pPr>
            <w:r>
              <w:rPr>
                <w:sz w:val="18"/>
              </w:rPr>
              <w:t xml:space="preserve">896 to </w:t>
            </w:r>
            <w:r w:rsidRPr="006448DC">
              <w:rPr>
                <w:sz w:val="18"/>
              </w:rPr>
              <w:t>1,797</w:t>
            </w:r>
          </w:p>
        </w:tc>
        <w:tc>
          <w:tcPr>
            <w:tcW w:w="990" w:type="dxa"/>
            <w:vAlign w:val="center"/>
          </w:tcPr>
          <w:p w:rsidRPr="00D624A0" w:rsidR="00954693" w:rsidP="00954693" w:rsidRDefault="006448DC" w14:paraId="78E67E7B" w14:textId="2E36FE69">
            <w:pPr>
              <w:pStyle w:val="Table"/>
              <w:jc w:val="center"/>
              <w:rPr>
                <w:sz w:val="18"/>
                <w:szCs w:val="18"/>
              </w:rPr>
            </w:pPr>
            <w:r>
              <w:rPr>
                <w:sz w:val="18"/>
                <w:szCs w:val="18"/>
              </w:rPr>
              <w:t>8</w:t>
            </w:r>
          </w:p>
        </w:tc>
        <w:tc>
          <w:tcPr>
            <w:tcW w:w="1620" w:type="dxa"/>
            <w:tcMar>
              <w:left w:w="115" w:type="dxa"/>
              <w:right w:w="360" w:type="dxa"/>
            </w:tcMar>
            <w:vAlign w:val="center"/>
          </w:tcPr>
          <w:p w:rsidRPr="00D624A0" w:rsidR="00954693" w:rsidP="006448DC" w:rsidRDefault="006448DC" w14:paraId="3D8F3C14" w14:textId="270A90EE">
            <w:pPr>
              <w:pStyle w:val="Table"/>
              <w:ind w:right="-270"/>
              <w:jc w:val="right"/>
              <w:rPr>
                <w:sz w:val="18"/>
                <w:szCs w:val="18"/>
              </w:rPr>
            </w:pPr>
            <w:r>
              <w:rPr>
                <w:sz w:val="18"/>
                <w:szCs w:val="18"/>
              </w:rPr>
              <w:t xml:space="preserve">7,168 to </w:t>
            </w:r>
            <w:r w:rsidRPr="006448DC">
              <w:rPr>
                <w:sz w:val="18"/>
                <w:szCs w:val="18"/>
              </w:rPr>
              <w:t>14,376</w:t>
            </w:r>
          </w:p>
        </w:tc>
        <w:tc>
          <w:tcPr>
            <w:tcW w:w="990" w:type="dxa"/>
            <w:vAlign w:val="center"/>
          </w:tcPr>
          <w:p w:rsidRPr="00D624A0" w:rsidR="00954693" w:rsidP="00954693" w:rsidRDefault="00954693" w14:paraId="3B00ADCC" w14:textId="55D2BCCC">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24183F7B" w14:textId="43927AF6">
            <w:pPr>
              <w:pStyle w:val="Table"/>
              <w:ind w:right="-203"/>
              <w:jc w:val="right"/>
              <w:rPr>
                <w:sz w:val="18"/>
                <w:szCs w:val="18"/>
              </w:rPr>
            </w:pPr>
            <w:r>
              <w:rPr>
                <w:sz w:val="18"/>
                <w:szCs w:val="18"/>
              </w:rPr>
              <w:t xml:space="preserve">$410,296 to </w:t>
            </w:r>
            <w:r w:rsidRPr="006448DC">
              <w:rPr>
                <w:sz w:val="18"/>
                <w:szCs w:val="18"/>
              </w:rPr>
              <w:t>$822,882</w:t>
            </w:r>
          </w:p>
        </w:tc>
      </w:tr>
      <w:tr w:rsidRPr="00A251BF" w:rsidR="00954693" w:rsidTr="000D5E60" w14:paraId="0E78A203" w14:textId="77777777">
        <w:trPr>
          <w:trHeight w:val="300"/>
        </w:trPr>
        <w:tc>
          <w:tcPr>
            <w:tcW w:w="2335" w:type="dxa"/>
            <w:vAlign w:val="center"/>
            <w:hideMark/>
          </w:tcPr>
          <w:p w:rsidRPr="00A251BF" w:rsidR="00954693" w:rsidP="00954693" w:rsidRDefault="00954693" w14:paraId="5602E4A6" w14:textId="16252DE4">
            <w:pPr>
              <w:pStyle w:val="Table"/>
              <w:rPr>
                <w:sz w:val="18"/>
              </w:rPr>
            </w:pPr>
            <w:r>
              <w:rPr>
                <w:color w:val="000000"/>
                <w:sz w:val="18"/>
                <w:szCs w:val="18"/>
              </w:rPr>
              <w:t>10,001-50,000, CWS</w:t>
            </w:r>
          </w:p>
        </w:tc>
        <w:tc>
          <w:tcPr>
            <w:tcW w:w="1440" w:type="dxa"/>
            <w:tcMar>
              <w:left w:w="115" w:type="dxa"/>
              <w:right w:w="360" w:type="dxa"/>
            </w:tcMar>
            <w:vAlign w:val="center"/>
          </w:tcPr>
          <w:p w:rsidRPr="00A251BF" w:rsidR="00954693" w:rsidP="006448DC" w:rsidRDefault="006448DC" w14:paraId="480A8D8B" w14:textId="7B5D161F">
            <w:pPr>
              <w:pStyle w:val="Table"/>
              <w:ind w:right="-245"/>
              <w:jc w:val="right"/>
              <w:rPr>
                <w:sz w:val="18"/>
              </w:rPr>
            </w:pPr>
            <w:r>
              <w:rPr>
                <w:sz w:val="18"/>
              </w:rPr>
              <w:t xml:space="preserve">1,065 to </w:t>
            </w:r>
            <w:r w:rsidRPr="006448DC">
              <w:rPr>
                <w:sz w:val="18"/>
              </w:rPr>
              <w:t>1,232</w:t>
            </w:r>
          </w:p>
        </w:tc>
        <w:tc>
          <w:tcPr>
            <w:tcW w:w="990" w:type="dxa"/>
            <w:vAlign w:val="center"/>
          </w:tcPr>
          <w:p w:rsidRPr="00D624A0" w:rsidR="00954693" w:rsidP="00954693" w:rsidRDefault="006448DC" w14:paraId="57E4F426" w14:textId="0ECAC249">
            <w:pPr>
              <w:pStyle w:val="Table"/>
              <w:jc w:val="center"/>
              <w:rPr>
                <w:sz w:val="18"/>
                <w:szCs w:val="18"/>
              </w:rPr>
            </w:pPr>
            <w:r>
              <w:rPr>
                <w:sz w:val="18"/>
                <w:szCs w:val="18"/>
              </w:rPr>
              <w:t>8</w:t>
            </w:r>
          </w:p>
        </w:tc>
        <w:tc>
          <w:tcPr>
            <w:tcW w:w="1620" w:type="dxa"/>
            <w:tcMar>
              <w:left w:w="115" w:type="dxa"/>
              <w:right w:w="360" w:type="dxa"/>
            </w:tcMar>
            <w:vAlign w:val="center"/>
          </w:tcPr>
          <w:p w:rsidRPr="00D624A0" w:rsidR="00954693" w:rsidP="006448DC" w:rsidRDefault="006448DC" w14:paraId="057729CE" w14:textId="0E7632FD">
            <w:pPr>
              <w:pStyle w:val="Table"/>
              <w:ind w:right="-270"/>
              <w:jc w:val="right"/>
              <w:rPr>
                <w:sz w:val="18"/>
                <w:szCs w:val="18"/>
              </w:rPr>
            </w:pPr>
            <w:r>
              <w:rPr>
                <w:sz w:val="18"/>
                <w:szCs w:val="18"/>
              </w:rPr>
              <w:t xml:space="preserve">8,520 to </w:t>
            </w:r>
            <w:r w:rsidRPr="006448DC">
              <w:rPr>
                <w:sz w:val="18"/>
                <w:szCs w:val="18"/>
              </w:rPr>
              <w:t>9,856</w:t>
            </w:r>
          </w:p>
        </w:tc>
        <w:tc>
          <w:tcPr>
            <w:tcW w:w="990" w:type="dxa"/>
            <w:vAlign w:val="center"/>
          </w:tcPr>
          <w:p w:rsidRPr="00D624A0" w:rsidR="00954693" w:rsidP="00954693" w:rsidRDefault="00954693" w14:paraId="478B68B3" w14:textId="10A1C0CB">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4A3C82F4" w14:textId="448B0B65">
            <w:pPr>
              <w:pStyle w:val="Table"/>
              <w:ind w:right="-203"/>
              <w:jc w:val="right"/>
              <w:rPr>
                <w:sz w:val="18"/>
                <w:szCs w:val="18"/>
              </w:rPr>
            </w:pPr>
            <w:r>
              <w:rPr>
                <w:sz w:val="18"/>
                <w:szCs w:val="18"/>
              </w:rPr>
              <w:t xml:space="preserve">$487,685 to </w:t>
            </w:r>
            <w:r w:rsidRPr="006448DC">
              <w:rPr>
                <w:sz w:val="18"/>
                <w:szCs w:val="18"/>
              </w:rPr>
              <w:t>$564,157</w:t>
            </w:r>
          </w:p>
        </w:tc>
      </w:tr>
      <w:tr w:rsidRPr="00A251BF" w:rsidR="00954693" w:rsidTr="000D5E60" w14:paraId="081535E8" w14:textId="77777777">
        <w:trPr>
          <w:trHeight w:val="300"/>
        </w:trPr>
        <w:tc>
          <w:tcPr>
            <w:tcW w:w="2335" w:type="dxa"/>
            <w:vAlign w:val="center"/>
            <w:hideMark/>
          </w:tcPr>
          <w:p w:rsidRPr="00A251BF" w:rsidR="00954693" w:rsidP="00954693" w:rsidRDefault="00954693" w14:paraId="44EBF8A0" w14:textId="59E3CCD7">
            <w:pPr>
              <w:pStyle w:val="Table"/>
              <w:rPr>
                <w:sz w:val="18"/>
              </w:rPr>
            </w:pPr>
            <w:r>
              <w:rPr>
                <w:color w:val="000000"/>
                <w:sz w:val="18"/>
                <w:szCs w:val="18"/>
              </w:rPr>
              <w:t>50,001-100,000, CWS</w:t>
            </w:r>
          </w:p>
        </w:tc>
        <w:tc>
          <w:tcPr>
            <w:tcW w:w="1440" w:type="dxa"/>
            <w:tcMar>
              <w:left w:w="115" w:type="dxa"/>
              <w:right w:w="360" w:type="dxa"/>
            </w:tcMar>
            <w:vAlign w:val="center"/>
          </w:tcPr>
          <w:p w:rsidRPr="00A251BF" w:rsidR="00954693" w:rsidP="006448DC" w:rsidRDefault="006448DC" w14:paraId="2BADDA0F" w14:textId="0CD2EF92">
            <w:pPr>
              <w:pStyle w:val="Table"/>
              <w:ind w:right="-245"/>
              <w:jc w:val="right"/>
              <w:rPr>
                <w:sz w:val="18"/>
              </w:rPr>
            </w:pPr>
            <w:r>
              <w:rPr>
                <w:sz w:val="18"/>
              </w:rPr>
              <w:t xml:space="preserve">247 to </w:t>
            </w:r>
            <w:r w:rsidRPr="006448DC">
              <w:rPr>
                <w:sz w:val="18"/>
              </w:rPr>
              <w:t>209</w:t>
            </w:r>
          </w:p>
        </w:tc>
        <w:tc>
          <w:tcPr>
            <w:tcW w:w="990" w:type="dxa"/>
            <w:vAlign w:val="center"/>
          </w:tcPr>
          <w:p w:rsidRPr="00D624A0" w:rsidR="00954693" w:rsidP="00954693" w:rsidRDefault="006448DC" w14:paraId="47933350" w14:textId="138C3095">
            <w:pPr>
              <w:pStyle w:val="Table"/>
              <w:jc w:val="center"/>
              <w:rPr>
                <w:sz w:val="18"/>
                <w:szCs w:val="18"/>
              </w:rPr>
            </w:pPr>
            <w:r>
              <w:rPr>
                <w:sz w:val="18"/>
                <w:szCs w:val="18"/>
              </w:rPr>
              <w:t>8</w:t>
            </w:r>
          </w:p>
        </w:tc>
        <w:tc>
          <w:tcPr>
            <w:tcW w:w="1620" w:type="dxa"/>
            <w:tcMar>
              <w:left w:w="115" w:type="dxa"/>
              <w:right w:w="360" w:type="dxa"/>
            </w:tcMar>
            <w:vAlign w:val="center"/>
          </w:tcPr>
          <w:p w:rsidRPr="00D624A0" w:rsidR="00954693" w:rsidP="006448DC" w:rsidRDefault="006448DC" w14:paraId="752450F0" w14:textId="12374A96">
            <w:pPr>
              <w:pStyle w:val="Table"/>
              <w:ind w:right="-270"/>
              <w:jc w:val="right"/>
              <w:rPr>
                <w:sz w:val="18"/>
                <w:szCs w:val="18"/>
              </w:rPr>
            </w:pPr>
            <w:r>
              <w:rPr>
                <w:sz w:val="18"/>
                <w:szCs w:val="18"/>
              </w:rPr>
              <w:t xml:space="preserve">1,976 to </w:t>
            </w:r>
            <w:r w:rsidRPr="006448DC">
              <w:rPr>
                <w:sz w:val="18"/>
                <w:szCs w:val="18"/>
              </w:rPr>
              <w:t>1,672</w:t>
            </w:r>
          </w:p>
        </w:tc>
        <w:tc>
          <w:tcPr>
            <w:tcW w:w="990" w:type="dxa"/>
            <w:vAlign w:val="center"/>
          </w:tcPr>
          <w:p w:rsidRPr="00D624A0" w:rsidR="00954693" w:rsidP="00954693" w:rsidRDefault="00954693" w14:paraId="0D41EEF7" w14:textId="286DE7B1">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3579433C" w14:textId="0334637E">
            <w:pPr>
              <w:pStyle w:val="Table"/>
              <w:ind w:right="-203"/>
              <w:jc w:val="right"/>
              <w:rPr>
                <w:sz w:val="18"/>
                <w:szCs w:val="18"/>
              </w:rPr>
            </w:pPr>
            <w:r>
              <w:rPr>
                <w:sz w:val="18"/>
                <w:szCs w:val="18"/>
              </w:rPr>
              <w:t xml:space="preserve">$113,106 to </w:t>
            </w:r>
            <w:r w:rsidRPr="006448DC">
              <w:rPr>
                <w:sz w:val="18"/>
                <w:szCs w:val="18"/>
              </w:rPr>
              <w:t>$95,705</w:t>
            </w:r>
          </w:p>
        </w:tc>
      </w:tr>
      <w:tr w:rsidRPr="00A251BF" w:rsidR="00954693" w:rsidTr="000D5E60" w14:paraId="6A81D377" w14:textId="77777777">
        <w:trPr>
          <w:trHeight w:val="300"/>
        </w:trPr>
        <w:tc>
          <w:tcPr>
            <w:tcW w:w="2335" w:type="dxa"/>
            <w:vAlign w:val="center"/>
            <w:hideMark/>
          </w:tcPr>
          <w:p w:rsidRPr="00A251BF" w:rsidR="00954693" w:rsidP="00954693" w:rsidRDefault="00954693" w14:paraId="30C1C858" w14:textId="23C66979">
            <w:pPr>
              <w:pStyle w:val="Table"/>
              <w:rPr>
                <w:sz w:val="18"/>
              </w:rPr>
            </w:pPr>
            <w:r>
              <w:rPr>
                <w:color w:val="000000"/>
                <w:sz w:val="18"/>
                <w:szCs w:val="18"/>
              </w:rPr>
              <w:t>100,001-1,000,000, CWS</w:t>
            </w:r>
          </w:p>
        </w:tc>
        <w:tc>
          <w:tcPr>
            <w:tcW w:w="1440" w:type="dxa"/>
            <w:tcMar>
              <w:left w:w="115" w:type="dxa"/>
              <w:right w:w="360" w:type="dxa"/>
            </w:tcMar>
            <w:vAlign w:val="center"/>
          </w:tcPr>
          <w:p w:rsidRPr="00A251BF" w:rsidR="00954693" w:rsidP="006448DC" w:rsidRDefault="006448DC" w14:paraId="152FA140" w14:textId="3474333D">
            <w:pPr>
              <w:pStyle w:val="Table"/>
              <w:ind w:right="-245"/>
              <w:jc w:val="right"/>
              <w:rPr>
                <w:sz w:val="18"/>
              </w:rPr>
            </w:pPr>
            <w:r>
              <w:rPr>
                <w:sz w:val="18"/>
              </w:rPr>
              <w:t xml:space="preserve">179 to </w:t>
            </w:r>
            <w:r w:rsidRPr="006448DC">
              <w:rPr>
                <w:sz w:val="18"/>
              </w:rPr>
              <w:t>229</w:t>
            </w:r>
          </w:p>
        </w:tc>
        <w:tc>
          <w:tcPr>
            <w:tcW w:w="990" w:type="dxa"/>
            <w:vAlign w:val="center"/>
          </w:tcPr>
          <w:p w:rsidRPr="00D624A0" w:rsidR="00954693" w:rsidP="00954693" w:rsidRDefault="006448DC" w14:paraId="5F49E073" w14:textId="0430713D">
            <w:pPr>
              <w:pStyle w:val="Table"/>
              <w:jc w:val="center"/>
              <w:rPr>
                <w:sz w:val="18"/>
                <w:szCs w:val="18"/>
              </w:rPr>
            </w:pPr>
            <w:r>
              <w:rPr>
                <w:sz w:val="18"/>
                <w:szCs w:val="18"/>
              </w:rPr>
              <w:t>8</w:t>
            </w:r>
          </w:p>
        </w:tc>
        <w:tc>
          <w:tcPr>
            <w:tcW w:w="1620" w:type="dxa"/>
            <w:tcMar>
              <w:left w:w="115" w:type="dxa"/>
              <w:right w:w="360" w:type="dxa"/>
            </w:tcMar>
            <w:vAlign w:val="center"/>
          </w:tcPr>
          <w:p w:rsidRPr="00D624A0" w:rsidR="00954693" w:rsidP="006448DC" w:rsidRDefault="006448DC" w14:paraId="30349191" w14:textId="05A10409">
            <w:pPr>
              <w:pStyle w:val="Table"/>
              <w:ind w:right="-270"/>
              <w:jc w:val="right"/>
              <w:rPr>
                <w:sz w:val="18"/>
                <w:szCs w:val="18"/>
              </w:rPr>
            </w:pPr>
            <w:r>
              <w:rPr>
                <w:sz w:val="18"/>
                <w:szCs w:val="18"/>
              </w:rPr>
              <w:t xml:space="preserve">1,432 to </w:t>
            </w:r>
            <w:r w:rsidRPr="006448DC">
              <w:rPr>
                <w:sz w:val="18"/>
                <w:szCs w:val="18"/>
              </w:rPr>
              <w:t>1,832</w:t>
            </w:r>
          </w:p>
        </w:tc>
        <w:tc>
          <w:tcPr>
            <w:tcW w:w="990" w:type="dxa"/>
            <w:vAlign w:val="center"/>
          </w:tcPr>
          <w:p w:rsidRPr="00D624A0" w:rsidR="00954693" w:rsidP="00954693" w:rsidRDefault="00954693" w14:paraId="6BC12FD4" w14:textId="1B5E30C5">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6D54D525" w14:textId="285E0D1A">
            <w:pPr>
              <w:pStyle w:val="Table"/>
              <w:ind w:right="-203"/>
              <w:jc w:val="right"/>
              <w:rPr>
                <w:sz w:val="18"/>
                <w:szCs w:val="18"/>
              </w:rPr>
            </w:pPr>
            <w:r>
              <w:rPr>
                <w:sz w:val="18"/>
                <w:szCs w:val="18"/>
              </w:rPr>
              <w:t xml:space="preserve">$81,968 to </w:t>
            </w:r>
            <w:r w:rsidRPr="006448DC">
              <w:rPr>
                <w:sz w:val="18"/>
                <w:szCs w:val="18"/>
              </w:rPr>
              <w:t>$104,864</w:t>
            </w:r>
          </w:p>
        </w:tc>
      </w:tr>
      <w:tr w:rsidRPr="00A251BF" w:rsidR="00954693" w:rsidTr="000D5E60" w14:paraId="67ED9C22" w14:textId="77777777">
        <w:trPr>
          <w:trHeight w:val="300"/>
        </w:trPr>
        <w:tc>
          <w:tcPr>
            <w:tcW w:w="2335" w:type="dxa"/>
            <w:vAlign w:val="center"/>
            <w:hideMark/>
          </w:tcPr>
          <w:p w:rsidRPr="00A251BF" w:rsidR="00954693" w:rsidP="00954693" w:rsidRDefault="00954693" w14:paraId="119A7325" w14:textId="73251B85">
            <w:pPr>
              <w:pStyle w:val="Table"/>
              <w:rPr>
                <w:sz w:val="18"/>
              </w:rPr>
            </w:pPr>
            <w:r>
              <w:rPr>
                <w:color w:val="000000"/>
                <w:sz w:val="18"/>
                <w:szCs w:val="18"/>
              </w:rPr>
              <w:t>&gt;1,000,000, CWS</w:t>
            </w:r>
          </w:p>
        </w:tc>
        <w:tc>
          <w:tcPr>
            <w:tcW w:w="1440" w:type="dxa"/>
            <w:tcMar>
              <w:left w:w="115" w:type="dxa"/>
              <w:right w:w="360" w:type="dxa"/>
            </w:tcMar>
            <w:vAlign w:val="center"/>
          </w:tcPr>
          <w:p w:rsidRPr="00A251BF" w:rsidR="00954693" w:rsidP="00954693" w:rsidRDefault="006448DC" w14:paraId="6D401008" w14:textId="2F9CDCC5">
            <w:pPr>
              <w:pStyle w:val="Table"/>
              <w:ind w:right="-245"/>
              <w:jc w:val="right"/>
              <w:rPr>
                <w:sz w:val="18"/>
              </w:rPr>
            </w:pPr>
            <w:r>
              <w:rPr>
                <w:sz w:val="18"/>
              </w:rPr>
              <w:t xml:space="preserve">11 to </w:t>
            </w:r>
            <w:r w:rsidRPr="006448DC">
              <w:rPr>
                <w:sz w:val="18"/>
              </w:rPr>
              <w:t>13</w:t>
            </w:r>
          </w:p>
        </w:tc>
        <w:tc>
          <w:tcPr>
            <w:tcW w:w="990" w:type="dxa"/>
            <w:vAlign w:val="center"/>
          </w:tcPr>
          <w:p w:rsidRPr="00D624A0" w:rsidR="00954693" w:rsidP="00954693" w:rsidRDefault="006448DC" w14:paraId="4DB3E895" w14:textId="5174F1F9">
            <w:pPr>
              <w:pStyle w:val="Table"/>
              <w:jc w:val="center"/>
              <w:rPr>
                <w:sz w:val="18"/>
                <w:szCs w:val="18"/>
              </w:rPr>
            </w:pPr>
            <w:r>
              <w:rPr>
                <w:sz w:val="18"/>
                <w:szCs w:val="18"/>
              </w:rPr>
              <w:t>8</w:t>
            </w:r>
          </w:p>
        </w:tc>
        <w:tc>
          <w:tcPr>
            <w:tcW w:w="1620" w:type="dxa"/>
            <w:tcMar>
              <w:left w:w="115" w:type="dxa"/>
              <w:right w:w="360" w:type="dxa"/>
            </w:tcMar>
            <w:vAlign w:val="center"/>
          </w:tcPr>
          <w:p w:rsidRPr="00D624A0" w:rsidR="00954693" w:rsidP="006448DC" w:rsidRDefault="006448DC" w14:paraId="09EE88B4" w14:textId="4CD92C25">
            <w:pPr>
              <w:pStyle w:val="Table"/>
              <w:ind w:right="-270"/>
              <w:jc w:val="right"/>
              <w:rPr>
                <w:sz w:val="18"/>
                <w:szCs w:val="18"/>
              </w:rPr>
            </w:pPr>
            <w:r>
              <w:rPr>
                <w:sz w:val="18"/>
                <w:szCs w:val="18"/>
              </w:rPr>
              <w:t xml:space="preserve">88 to </w:t>
            </w:r>
            <w:r w:rsidRPr="006448DC">
              <w:rPr>
                <w:sz w:val="18"/>
                <w:szCs w:val="18"/>
              </w:rPr>
              <w:t>104</w:t>
            </w:r>
          </w:p>
        </w:tc>
        <w:tc>
          <w:tcPr>
            <w:tcW w:w="990" w:type="dxa"/>
            <w:vAlign w:val="center"/>
          </w:tcPr>
          <w:p w:rsidRPr="00D624A0" w:rsidR="00954693" w:rsidP="00954693" w:rsidRDefault="00954693" w14:paraId="1EFF1C70" w14:textId="0781A347">
            <w:pPr>
              <w:pStyle w:val="Table"/>
              <w:jc w:val="center"/>
              <w:rPr>
                <w:sz w:val="18"/>
                <w:szCs w:val="18"/>
              </w:rPr>
            </w:pPr>
            <w:r>
              <w:rPr>
                <w:color w:val="000000"/>
                <w:sz w:val="18"/>
                <w:szCs w:val="18"/>
              </w:rPr>
              <w:t xml:space="preserve">$57.24 </w:t>
            </w:r>
          </w:p>
        </w:tc>
        <w:tc>
          <w:tcPr>
            <w:tcW w:w="1975" w:type="dxa"/>
            <w:noWrap/>
            <w:tcMar>
              <w:left w:w="115" w:type="dxa"/>
              <w:right w:w="288" w:type="dxa"/>
            </w:tcMar>
            <w:vAlign w:val="center"/>
          </w:tcPr>
          <w:p w:rsidRPr="00D624A0" w:rsidR="00954693" w:rsidP="006448DC" w:rsidRDefault="006448DC" w14:paraId="3BF2AD42" w14:textId="4871370D">
            <w:pPr>
              <w:pStyle w:val="Table"/>
              <w:ind w:right="-203"/>
              <w:jc w:val="right"/>
              <w:rPr>
                <w:sz w:val="18"/>
                <w:szCs w:val="18"/>
              </w:rPr>
            </w:pPr>
            <w:r w:rsidRPr="006448DC">
              <w:rPr>
                <w:sz w:val="18"/>
                <w:szCs w:val="18"/>
              </w:rPr>
              <w:t>$5,037</w:t>
            </w:r>
            <w:r>
              <w:rPr>
                <w:sz w:val="18"/>
                <w:szCs w:val="18"/>
              </w:rPr>
              <w:t xml:space="preserve"> to </w:t>
            </w:r>
            <w:r w:rsidRPr="006448DC">
              <w:rPr>
                <w:sz w:val="18"/>
                <w:szCs w:val="18"/>
              </w:rPr>
              <w:t>$5,953</w:t>
            </w:r>
          </w:p>
        </w:tc>
      </w:tr>
      <w:tr w:rsidRPr="00A251BF" w:rsidR="00954693" w:rsidTr="000D5E60" w14:paraId="39BBDBCF" w14:textId="77777777">
        <w:trPr>
          <w:trHeight w:val="300"/>
        </w:trPr>
        <w:tc>
          <w:tcPr>
            <w:tcW w:w="2335" w:type="dxa"/>
            <w:vAlign w:val="center"/>
          </w:tcPr>
          <w:p w:rsidRPr="00A251BF" w:rsidR="00954693" w:rsidP="00954693" w:rsidRDefault="00954693" w14:paraId="16C15101" w14:textId="719DA22B">
            <w:pPr>
              <w:pStyle w:val="Table"/>
              <w:rPr>
                <w:sz w:val="18"/>
              </w:rPr>
            </w:pPr>
            <w:r>
              <w:rPr>
                <w:color w:val="000000"/>
                <w:sz w:val="18"/>
                <w:szCs w:val="18"/>
              </w:rPr>
              <w:t>&lt;=100, NTNCWS</w:t>
            </w:r>
          </w:p>
        </w:tc>
        <w:tc>
          <w:tcPr>
            <w:tcW w:w="1440" w:type="dxa"/>
            <w:tcMar>
              <w:left w:w="115" w:type="dxa"/>
              <w:right w:w="360" w:type="dxa"/>
            </w:tcMar>
            <w:vAlign w:val="center"/>
          </w:tcPr>
          <w:p w:rsidR="00954693" w:rsidP="006448DC" w:rsidRDefault="006448DC" w14:paraId="114D5959" w14:textId="34A8580F">
            <w:pPr>
              <w:pStyle w:val="Table"/>
              <w:ind w:right="-245"/>
              <w:jc w:val="right"/>
              <w:rPr>
                <w:sz w:val="18"/>
              </w:rPr>
            </w:pPr>
            <w:r w:rsidRPr="006448DC">
              <w:rPr>
                <w:sz w:val="18"/>
              </w:rPr>
              <w:t>201</w:t>
            </w:r>
          </w:p>
        </w:tc>
        <w:tc>
          <w:tcPr>
            <w:tcW w:w="990" w:type="dxa"/>
            <w:vAlign w:val="center"/>
          </w:tcPr>
          <w:p w:rsidR="00954693" w:rsidP="00954693" w:rsidRDefault="006448DC" w14:paraId="5F6977D5" w14:textId="0E73BBDF">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6C2711AD" w14:textId="427F5DAF">
            <w:pPr>
              <w:pStyle w:val="Table"/>
              <w:ind w:right="-270"/>
              <w:jc w:val="right"/>
              <w:rPr>
                <w:sz w:val="18"/>
                <w:szCs w:val="18"/>
              </w:rPr>
            </w:pPr>
            <w:r w:rsidRPr="006448DC">
              <w:rPr>
                <w:sz w:val="18"/>
                <w:szCs w:val="18"/>
              </w:rPr>
              <w:t>804</w:t>
            </w:r>
          </w:p>
        </w:tc>
        <w:tc>
          <w:tcPr>
            <w:tcW w:w="990" w:type="dxa"/>
            <w:vAlign w:val="center"/>
          </w:tcPr>
          <w:p w:rsidR="00954693" w:rsidP="00954693" w:rsidRDefault="00954693" w14:paraId="31DDF7E2" w14:textId="42953102">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2B7B7172" w14:textId="1E57879C">
            <w:pPr>
              <w:pStyle w:val="Table"/>
              <w:ind w:right="-203"/>
              <w:jc w:val="right"/>
              <w:rPr>
                <w:sz w:val="18"/>
                <w:szCs w:val="18"/>
              </w:rPr>
            </w:pPr>
            <w:r w:rsidRPr="006448DC">
              <w:rPr>
                <w:sz w:val="18"/>
                <w:szCs w:val="18"/>
              </w:rPr>
              <w:t>$46,021</w:t>
            </w:r>
          </w:p>
        </w:tc>
      </w:tr>
      <w:tr w:rsidRPr="00A251BF" w:rsidR="00954693" w:rsidTr="000D5E60" w14:paraId="0A539930" w14:textId="77777777">
        <w:trPr>
          <w:trHeight w:val="300"/>
        </w:trPr>
        <w:tc>
          <w:tcPr>
            <w:tcW w:w="2335" w:type="dxa"/>
            <w:vAlign w:val="center"/>
          </w:tcPr>
          <w:p w:rsidRPr="00A251BF" w:rsidR="00954693" w:rsidP="00954693" w:rsidRDefault="00954693" w14:paraId="0997AAAA" w14:textId="47633858">
            <w:pPr>
              <w:pStyle w:val="Table"/>
              <w:rPr>
                <w:sz w:val="18"/>
              </w:rPr>
            </w:pPr>
            <w:r>
              <w:rPr>
                <w:color w:val="000000"/>
                <w:sz w:val="18"/>
                <w:szCs w:val="18"/>
              </w:rPr>
              <w:t>101-500, NTNCWS</w:t>
            </w:r>
          </w:p>
        </w:tc>
        <w:tc>
          <w:tcPr>
            <w:tcW w:w="1440" w:type="dxa"/>
            <w:tcMar>
              <w:left w:w="115" w:type="dxa"/>
              <w:right w:w="360" w:type="dxa"/>
            </w:tcMar>
            <w:vAlign w:val="center"/>
          </w:tcPr>
          <w:p w:rsidR="00954693" w:rsidP="006448DC" w:rsidRDefault="006448DC" w14:paraId="1A7AFEBF" w14:textId="39471556">
            <w:pPr>
              <w:pStyle w:val="Table"/>
              <w:ind w:right="-245"/>
              <w:jc w:val="right"/>
              <w:rPr>
                <w:sz w:val="18"/>
              </w:rPr>
            </w:pPr>
            <w:r w:rsidRPr="006448DC">
              <w:rPr>
                <w:sz w:val="18"/>
              </w:rPr>
              <w:t>155</w:t>
            </w:r>
          </w:p>
        </w:tc>
        <w:tc>
          <w:tcPr>
            <w:tcW w:w="990" w:type="dxa"/>
            <w:vAlign w:val="center"/>
          </w:tcPr>
          <w:p w:rsidR="00954693" w:rsidP="00954693" w:rsidRDefault="006448DC" w14:paraId="7B8BA7B2" w14:textId="08FB0865">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37AD4E5A" w14:textId="2B39DF0A">
            <w:pPr>
              <w:pStyle w:val="Table"/>
              <w:ind w:right="-270"/>
              <w:jc w:val="right"/>
              <w:rPr>
                <w:sz w:val="18"/>
                <w:szCs w:val="18"/>
              </w:rPr>
            </w:pPr>
            <w:r w:rsidRPr="006448DC">
              <w:rPr>
                <w:sz w:val="18"/>
                <w:szCs w:val="18"/>
              </w:rPr>
              <w:t>620</w:t>
            </w:r>
          </w:p>
        </w:tc>
        <w:tc>
          <w:tcPr>
            <w:tcW w:w="990" w:type="dxa"/>
            <w:vAlign w:val="center"/>
          </w:tcPr>
          <w:p w:rsidR="00954693" w:rsidP="00954693" w:rsidRDefault="00954693" w14:paraId="0EA3A1BF" w14:textId="7085E0FB">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3680E811" w14:textId="2FAB92A3">
            <w:pPr>
              <w:pStyle w:val="Table"/>
              <w:ind w:right="-203"/>
              <w:jc w:val="right"/>
              <w:rPr>
                <w:sz w:val="18"/>
                <w:szCs w:val="18"/>
              </w:rPr>
            </w:pPr>
            <w:r w:rsidRPr="006448DC">
              <w:rPr>
                <w:sz w:val="18"/>
                <w:szCs w:val="18"/>
              </w:rPr>
              <w:t>$35,489</w:t>
            </w:r>
          </w:p>
        </w:tc>
      </w:tr>
      <w:tr w:rsidRPr="00A251BF" w:rsidR="00954693" w:rsidTr="000D5E60" w14:paraId="369A0D78" w14:textId="77777777">
        <w:trPr>
          <w:trHeight w:val="300"/>
        </w:trPr>
        <w:tc>
          <w:tcPr>
            <w:tcW w:w="2335" w:type="dxa"/>
            <w:vAlign w:val="center"/>
          </w:tcPr>
          <w:p w:rsidRPr="00A251BF" w:rsidR="00954693" w:rsidP="00954693" w:rsidRDefault="00954693" w14:paraId="27061EE1" w14:textId="44755106">
            <w:pPr>
              <w:pStyle w:val="Table"/>
              <w:rPr>
                <w:sz w:val="18"/>
              </w:rPr>
            </w:pPr>
            <w:r>
              <w:rPr>
                <w:color w:val="000000"/>
                <w:sz w:val="18"/>
                <w:szCs w:val="18"/>
              </w:rPr>
              <w:t>501-1,000, NTNCWS</w:t>
            </w:r>
          </w:p>
        </w:tc>
        <w:tc>
          <w:tcPr>
            <w:tcW w:w="1440" w:type="dxa"/>
            <w:tcMar>
              <w:left w:w="115" w:type="dxa"/>
              <w:right w:w="360" w:type="dxa"/>
            </w:tcMar>
            <w:vAlign w:val="center"/>
          </w:tcPr>
          <w:p w:rsidR="00954693" w:rsidP="006448DC" w:rsidRDefault="006448DC" w14:paraId="30DB7182" w14:textId="770A4E91">
            <w:pPr>
              <w:pStyle w:val="Table"/>
              <w:ind w:right="-245"/>
              <w:jc w:val="right"/>
              <w:rPr>
                <w:sz w:val="18"/>
              </w:rPr>
            </w:pPr>
            <w:r w:rsidRPr="006448DC">
              <w:rPr>
                <w:sz w:val="18"/>
              </w:rPr>
              <w:t>38</w:t>
            </w:r>
          </w:p>
        </w:tc>
        <w:tc>
          <w:tcPr>
            <w:tcW w:w="990" w:type="dxa"/>
            <w:vAlign w:val="center"/>
          </w:tcPr>
          <w:p w:rsidR="00954693" w:rsidP="00954693" w:rsidRDefault="006448DC" w14:paraId="6D9E64E9" w14:textId="217DCEE1">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709232EE" w14:textId="662E3BA7">
            <w:pPr>
              <w:pStyle w:val="Table"/>
              <w:ind w:right="-270"/>
              <w:jc w:val="right"/>
              <w:rPr>
                <w:sz w:val="18"/>
                <w:szCs w:val="18"/>
              </w:rPr>
            </w:pPr>
            <w:r w:rsidRPr="006448DC">
              <w:rPr>
                <w:sz w:val="18"/>
                <w:szCs w:val="18"/>
              </w:rPr>
              <w:t>152</w:t>
            </w:r>
          </w:p>
        </w:tc>
        <w:tc>
          <w:tcPr>
            <w:tcW w:w="990" w:type="dxa"/>
            <w:vAlign w:val="center"/>
          </w:tcPr>
          <w:p w:rsidR="00954693" w:rsidP="00954693" w:rsidRDefault="00954693" w14:paraId="33B8D111" w14:textId="5B14F36B">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543955B6" w14:textId="4F006A0A">
            <w:pPr>
              <w:pStyle w:val="Table"/>
              <w:ind w:right="-203"/>
              <w:jc w:val="right"/>
              <w:rPr>
                <w:sz w:val="18"/>
                <w:szCs w:val="18"/>
              </w:rPr>
            </w:pPr>
            <w:r w:rsidRPr="006448DC">
              <w:rPr>
                <w:sz w:val="18"/>
                <w:szCs w:val="18"/>
              </w:rPr>
              <w:t>$8,700</w:t>
            </w:r>
          </w:p>
        </w:tc>
      </w:tr>
      <w:tr w:rsidRPr="00A251BF" w:rsidR="00954693" w:rsidTr="000D5E60" w14:paraId="7689C4A9" w14:textId="77777777">
        <w:trPr>
          <w:trHeight w:val="300"/>
        </w:trPr>
        <w:tc>
          <w:tcPr>
            <w:tcW w:w="2335" w:type="dxa"/>
            <w:vAlign w:val="center"/>
          </w:tcPr>
          <w:p w:rsidRPr="00A251BF" w:rsidR="00954693" w:rsidP="00954693" w:rsidRDefault="00954693" w14:paraId="08FEDC03" w14:textId="63B230D7">
            <w:pPr>
              <w:pStyle w:val="Table"/>
              <w:rPr>
                <w:sz w:val="18"/>
              </w:rPr>
            </w:pPr>
            <w:r>
              <w:rPr>
                <w:color w:val="000000"/>
                <w:sz w:val="18"/>
                <w:szCs w:val="18"/>
              </w:rPr>
              <w:t>1,001-3,300, NTNCWS</w:t>
            </w:r>
          </w:p>
        </w:tc>
        <w:tc>
          <w:tcPr>
            <w:tcW w:w="1440" w:type="dxa"/>
            <w:tcMar>
              <w:left w:w="115" w:type="dxa"/>
              <w:right w:w="360" w:type="dxa"/>
            </w:tcMar>
            <w:vAlign w:val="center"/>
          </w:tcPr>
          <w:p w:rsidR="00954693" w:rsidP="006448DC" w:rsidRDefault="006448DC" w14:paraId="344B0647" w14:textId="61751812">
            <w:pPr>
              <w:pStyle w:val="Table"/>
              <w:ind w:right="-245"/>
              <w:jc w:val="right"/>
              <w:rPr>
                <w:sz w:val="18"/>
              </w:rPr>
            </w:pPr>
            <w:r w:rsidRPr="006448DC">
              <w:rPr>
                <w:sz w:val="18"/>
              </w:rPr>
              <w:t>21</w:t>
            </w:r>
          </w:p>
        </w:tc>
        <w:tc>
          <w:tcPr>
            <w:tcW w:w="990" w:type="dxa"/>
            <w:vAlign w:val="center"/>
          </w:tcPr>
          <w:p w:rsidR="00954693" w:rsidP="00954693" w:rsidRDefault="006448DC" w14:paraId="3D3CAB8F" w14:textId="72764C73">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5B8E57A7" w14:textId="16B35847">
            <w:pPr>
              <w:pStyle w:val="Table"/>
              <w:ind w:right="-270"/>
              <w:jc w:val="right"/>
              <w:rPr>
                <w:sz w:val="18"/>
                <w:szCs w:val="18"/>
              </w:rPr>
            </w:pPr>
            <w:r w:rsidRPr="006448DC">
              <w:rPr>
                <w:sz w:val="18"/>
                <w:szCs w:val="18"/>
              </w:rPr>
              <w:t>84</w:t>
            </w:r>
          </w:p>
        </w:tc>
        <w:tc>
          <w:tcPr>
            <w:tcW w:w="990" w:type="dxa"/>
            <w:vAlign w:val="center"/>
          </w:tcPr>
          <w:p w:rsidR="00954693" w:rsidP="00954693" w:rsidRDefault="00954693" w14:paraId="7EC57F2D" w14:textId="4DCB41FD">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79ACD58F" w14:textId="645E38A3">
            <w:pPr>
              <w:pStyle w:val="Table"/>
              <w:ind w:right="-203"/>
              <w:jc w:val="right"/>
              <w:rPr>
                <w:sz w:val="18"/>
                <w:szCs w:val="18"/>
              </w:rPr>
            </w:pPr>
            <w:r w:rsidRPr="006448DC">
              <w:rPr>
                <w:sz w:val="18"/>
                <w:szCs w:val="18"/>
              </w:rPr>
              <w:t>$4,808</w:t>
            </w:r>
          </w:p>
        </w:tc>
      </w:tr>
      <w:tr w:rsidRPr="00A251BF" w:rsidR="00954693" w:rsidTr="000D5E60" w14:paraId="44F74113" w14:textId="77777777">
        <w:trPr>
          <w:trHeight w:val="300"/>
        </w:trPr>
        <w:tc>
          <w:tcPr>
            <w:tcW w:w="2335" w:type="dxa"/>
            <w:vAlign w:val="center"/>
          </w:tcPr>
          <w:p w:rsidRPr="00A251BF" w:rsidR="00954693" w:rsidP="00954693" w:rsidRDefault="00954693" w14:paraId="18D528BB" w14:textId="460883E5">
            <w:pPr>
              <w:pStyle w:val="Table"/>
              <w:rPr>
                <w:sz w:val="18"/>
              </w:rPr>
            </w:pPr>
            <w:r>
              <w:rPr>
                <w:color w:val="000000"/>
                <w:sz w:val="18"/>
                <w:szCs w:val="18"/>
              </w:rPr>
              <w:t>3,301-10,000, NTNCWS</w:t>
            </w:r>
          </w:p>
        </w:tc>
        <w:tc>
          <w:tcPr>
            <w:tcW w:w="1440" w:type="dxa"/>
            <w:tcMar>
              <w:left w:w="115" w:type="dxa"/>
              <w:right w:w="360" w:type="dxa"/>
            </w:tcMar>
            <w:vAlign w:val="center"/>
          </w:tcPr>
          <w:p w:rsidR="00954693" w:rsidP="006448DC" w:rsidRDefault="006448DC" w14:paraId="448857BD" w14:textId="64294D11">
            <w:pPr>
              <w:pStyle w:val="Table"/>
              <w:ind w:right="-245"/>
              <w:jc w:val="right"/>
              <w:rPr>
                <w:sz w:val="18"/>
              </w:rPr>
            </w:pPr>
            <w:r w:rsidRPr="006448DC">
              <w:rPr>
                <w:sz w:val="18"/>
              </w:rPr>
              <w:t>4</w:t>
            </w:r>
          </w:p>
        </w:tc>
        <w:tc>
          <w:tcPr>
            <w:tcW w:w="990" w:type="dxa"/>
            <w:vAlign w:val="center"/>
          </w:tcPr>
          <w:p w:rsidR="00954693" w:rsidP="00954693" w:rsidRDefault="006448DC" w14:paraId="3D9AC447" w14:textId="3F5FD941">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7568B0BB" w14:textId="4A3F1BD5">
            <w:pPr>
              <w:pStyle w:val="Table"/>
              <w:ind w:right="-270"/>
              <w:jc w:val="right"/>
              <w:rPr>
                <w:sz w:val="18"/>
                <w:szCs w:val="18"/>
              </w:rPr>
            </w:pPr>
            <w:r w:rsidRPr="006448DC">
              <w:rPr>
                <w:sz w:val="18"/>
                <w:szCs w:val="18"/>
              </w:rPr>
              <w:t>16</w:t>
            </w:r>
          </w:p>
        </w:tc>
        <w:tc>
          <w:tcPr>
            <w:tcW w:w="990" w:type="dxa"/>
            <w:vAlign w:val="center"/>
          </w:tcPr>
          <w:p w:rsidR="00954693" w:rsidP="00954693" w:rsidRDefault="00954693" w14:paraId="4C50E713" w14:textId="09AF52E4">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56BDA888" w14:textId="3EE5A1A0">
            <w:pPr>
              <w:pStyle w:val="Table"/>
              <w:ind w:right="-203"/>
              <w:jc w:val="right"/>
              <w:rPr>
                <w:sz w:val="18"/>
                <w:szCs w:val="18"/>
              </w:rPr>
            </w:pPr>
            <w:r w:rsidRPr="006448DC">
              <w:rPr>
                <w:sz w:val="18"/>
                <w:szCs w:val="18"/>
              </w:rPr>
              <w:t>$916</w:t>
            </w:r>
          </w:p>
        </w:tc>
      </w:tr>
      <w:tr w:rsidRPr="00A251BF" w:rsidR="00954693" w:rsidTr="000D5E60" w14:paraId="358872BC" w14:textId="77777777">
        <w:trPr>
          <w:trHeight w:val="300"/>
        </w:trPr>
        <w:tc>
          <w:tcPr>
            <w:tcW w:w="2335" w:type="dxa"/>
            <w:vAlign w:val="center"/>
          </w:tcPr>
          <w:p w:rsidRPr="00A251BF" w:rsidR="00954693" w:rsidP="00954693" w:rsidRDefault="00954693" w14:paraId="64CEA040" w14:textId="4FB8AF39">
            <w:pPr>
              <w:pStyle w:val="Table"/>
              <w:rPr>
                <w:sz w:val="18"/>
              </w:rPr>
            </w:pPr>
            <w:r>
              <w:rPr>
                <w:color w:val="000000"/>
                <w:sz w:val="18"/>
                <w:szCs w:val="18"/>
              </w:rPr>
              <w:t>10,001-50,000, NTNCWS</w:t>
            </w:r>
          </w:p>
        </w:tc>
        <w:tc>
          <w:tcPr>
            <w:tcW w:w="1440" w:type="dxa"/>
            <w:tcMar>
              <w:left w:w="115" w:type="dxa"/>
              <w:right w:w="360" w:type="dxa"/>
            </w:tcMar>
            <w:vAlign w:val="center"/>
          </w:tcPr>
          <w:p w:rsidR="00954693" w:rsidP="006448DC" w:rsidRDefault="006448DC" w14:paraId="65E6B594" w14:textId="1F7E7FE9">
            <w:pPr>
              <w:pStyle w:val="Table"/>
              <w:ind w:right="-245"/>
              <w:jc w:val="right"/>
              <w:rPr>
                <w:sz w:val="18"/>
              </w:rPr>
            </w:pPr>
            <w:r w:rsidRPr="006448DC">
              <w:rPr>
                <w:sz w:val="18"/>
              </w:rPr>
              <w:t>1</w:t>
            </w:r>
          </w:p>
        </w:tc>
        <w:tc>
          <w:tcPr>
            <w:tcW w:w="990" w:type="dxa"/>
            <w:vAlign w:val="center"/>
          </w:tcPr>
          <w:p w:rsidR="00954693" w:rsidP="00954693" w:rsidRDefault="006448DC" w14:paraId="5ED0D20B" w14:textId="5B1E67A8">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6448DC" w:rsidRDefault="006448DC" w14:paraId="0C16E3B0" w14:textId="29901D4F">
            <w:pPr>
              <w:pStyle w:val="Table"/>
              <w:ind w:right="-270"/>
              <w:jc w:val="right"/>
              <w:rPr>
                <w:sz w:val="18"/>
                <w:szCs w:val="18"/>
              </w:rPr>
            </w:pPr>
            <w:r w:rsidRPr="006448DC">
              <w:rPr>
                <w:sz w:val="18"/>
                <w:szCs w:val="18"/>
              </w:rPr>
              <w:t>4</w:t>
            </w:r>
          </w:p>
        </w:tc>
        <w:tc>
          <w:tcPr>
            <w:tcW w:w="990" w:type="dxa"/>
            <w:vAlign w:val="center"/>
          </w:tcPr>
          <w:p w:rsidR="00954693" w:rsidP="00954693" w:rsidRDefault="00954693" w14:paraId="65299BCB" w14:textId="260BAF59">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084AB82E" w14:textId="62CF9B21">
            <w:pPr>
              <w:pStyle w:val="Table"/>
              <w:ind w:right="-203"/>
              <w:jc w:val="right"/>
              <w:rPr>
                <w:sz w:val="18"/>
                <w:szCs w:val="18"/>
              </w:rPr>
            </w:pPr>
            <w:r w:rsidRPr="006448DC">
              <w:rPr>
                <w:sz w:val="18"/>
                <w:szCs w:val="18"/>
              </w:rPr>
              <w:t>$229</w:t>
            </w:r>
          </w:p>
        </w:tc>
      </w:tr>
      <w:tr w:rsidRPr="00A251BF" w:rsidR="00954693" w:rsidTr="000D5E60" w14:paraId="31A12CF5" w14:textId="77777777">
        <w:trPr>
          <w:trHeight w:val="300"/>
        </w:trPr>
        <w:tc>
          <w:tcPr>
            <w:tcW w:w="2335" w:type="dxa"/>
            <w:vAlign w:val="center"/>
          </w:tcPr>
          <w:p w:rsidRPr="00A251BF" w:rsidR="00954693" w:rsidP="00954693" w:rsidRDefault="00954693" w14:paraId="619A9DC4" w14:textId="7B26FF09">
            <w:pPr>
              <w:pStyle w:val="Table"/>
              <w:rPr>
                <w:sz w:val="18"/>
              </w:rPr>
            </w:pPr>
            <w:r>
              <w:rPr>
                <w:color w:val="000000"/>
                <w:sz w:val="18"/>
                <w:szCs w:val="18"/>
              </w:rPr>
              <w:t>50,001-100,000, NTNCWS</w:t>
            </w:r>
          </w:p>
        </w:tc>
        <w:tc>
          <w:tcPr>
            <w:tcW w:w="1440" w:type="dxa"/>
            <w:tcMar>
              <w:left w:w="115" w:type="dxa"/>
              <w:right w:w="360" w:type="dxa"/>
            </w:tcMar>
            <w:vAlign w:val="center"/>
          </w:tcPr>
          <w:p w:rsidR="00954693" w:rsidP="00954693" w:rsidRDefault="006448DC" w14:paraId="03A348A4" w14:textId="7E515BC6">
            <w:pPr>
              <w:pStyle w:val="Table"/>
              <w:ind w:right="-245"/>
              <w:jc w:val="right"/>
              <w:rPr>
                <w:sz w:val="18"/>
              </w:rPr>
            </w:pPr>
            <w:r>
              <w:rPr>
                <w:sz w:val="18"/>
              </w:rPr>
              <w:t>1</w:t>
            </w:r>
          </w:p>
        </w:tc>
        <w:tc>
          <w:tcPr>
            <w:tcW w:w="990" w:type="dxa"/>
            <w:vAlign w:val="center"/>
          </w:tcPr>
          <w:p w:rsidR="00954693" w:rsidP="00954693" w:rsidRDefault="006448DC" w14:paraId="2A26664A" w14:textId="387B7817">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954693" w:rsidRDefault="006448DC" w14:paraId="1E2EECE4" w14:textId="18C11893">
            <w:pPr>
              <w:pStyle w:val="Table"/>
              <w:ind w:right="-270"/>
              <w:jc w:val="right"/>
              <w:rPr>
                <w:sz w:val="18"/>
                <w:szCs w:val="18"/>
              </w:rPr>
            </w:pPr>
            <w:r>
              <w:rPr>
                <w:sz w:val="18"/>
                <w:szCs w:val="18"/>
              </w:rPr>
              <w:t>4</w:t>
            </w:r>
          </w:p>
        </w:tc>
        <w:tc>
          <w:tcPr>
            <w:tcW w:w="990" w:type="dxa"/>
            <w:vAlign w:val="center"/>
          </w:tcPr>
          <w:p w:rsidR="00954693" w:rsidP="00954693" w:rsidRDefault="00954693" w14:paraId="0942AFA9" w14:textId="2952BDDA">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6448DC" w:rsidRDefault="006448DC" w14:paraId="5E59AF26" w14:textId="40E5E990">
            <w:pPr>
              <w:pStyle w:val="Table"/>
              <w:ind w:right="-203"/>
              <w:jc w:val="right"/>
              <w:rPr>
                <w:sz w:val="18"/>
                <w:szCs w:val="18"/>
              </w:rPr>
            </w:pPr>
            <w:r w:rsidRPr="006448DC">
              <w:rPr>
                <w:sz w:val="18"/>
                <w:szCs w:val="18"/>
              </w:rPr>
              <w:t>$229</w:t>
            </w:r>
          </w:p>
        </w:tc>
      </w:tr>
      <w:tr w:rsidRPr="00A251BF" w:rsidR="00954693" w:rsidTr="000D5E60" w14:paraId="4563F78C" w14:textId="77777777">
        <w:trPr>
          <w:trHeight w:val="300"/>
        </w:trPr>
        <w:tc>
          <w:tcPr>
            <w:tcW w:w="2335" w:type="dxa"/>
            <w:vAlign w:val="center"/>
          </w:tcPr>
          <w:p w:rsidRPr="00A251BF" w:rsidR="00954693" w:rsidP="00954693" w:rsidRDefault="00954693" w14:paraId="21294A93" w14:textId="2212FA9A">
            <w:pPr>
              <w:pStyle w:val="Table"/>
              <w:rPr>
                <w:sz w:val="18"/>
              </w:rPr>
            </w:pPr>
            <w:r>
              <w:rPr>
                <w:color w:val="000000"/>
                <w:sz w:val="18"/>
                <w:szCs w:val="18"/>
              </w:rPr>
              <w:t>100,001-1,000,000, NTNCWS</w:t>
            </w:r>
          </w:p>
        </w:tc>
        <w:tc>
          <w:tcPr>
            <w:tcW w:w="1440" w:type="dxa"/>
            <w:tcMar>
              <w:left w:w="115" w:type="dxa"/>
              <w:right w:w="360" w:type="dxa"/>
            </w:tcMar>
            <w:vAlign w:val="center"/>
          </w:tcPr>
          <w:p w:rsidR="00954693" w:rsidP="00954693" w:rsidRDefault="006448DC" w14:paraId="481EC09E" w14:textId="123AAAE0">
            <w:pPr>
              <w:pStyle w:val="Table"/>
              <w:ind w:right="-245"/>
              <w:jc w:val="right"/>
              <w:rPr>
                <w:sz w:val="18"/>
              </w:rPr>
            </w:pPr>
            <w:r>
              <w:rPr>
                <w:sz w:val="18"/>
              </w:rPr>
              <w:t>1</w:t>
            </w:r>
          </w:p>
        </w:tc>
        <w:tc>
          <w:tcPr>
            <w:tcW w:w="990" w:type="dxa"/>
            <w:vAlign w:val="center"/>
          </w:tcPr>
          <w:p w:rsidR="00954693" w:rsidP="00954693" w:rsidRDefault="006448DC" w14:paraId="5ED057B8" w14:textId="73BADEF2">
            <w:pPr>
              <w:pStyle w:val="Table"/>
              <w:jc w:val="center"/>
              <w:rPr>
                <w:color w:val="000000"/>
                <w:sz w:val="18"/>
                <w:szCs w:val="18"/>
              </w:rPr>
            </w:pPr>
            <w:r>
              <w:rPr>
                <w:color w:val="000000"/>
                <w:sz w:val="18"/>
                <w:szCs w:val="18"/>
              </w:rPr>
              <w:t>4</w:t>
            </w:r>
          </w:p>
        </w:tc>
        <w:tc>
          <w:tcPr>
            <w:tcW w:w="1620" w:type="dxa"/>
            <w:tcMar>
              <w:left w:w="115" w:type="dxa"/>
              <w:right w:w="360" w:type="dxa"/>
            </w:tcMar>
            <w:vAlign w:val="center"/>
          </w:tcPr>
          <w:p w:rsidR="00954693" w:rsidP="00954693" w:rsidRDefault="006448DC" w14:paraId="79C22461" w14:textId="42D86DB5">
            <w:pPr>
              <w:pStyle w:val="Table"/>
              <w:ind w:right="-270"/>
              <w:jc w:val="right"/>
              <w:rPr>
                <w:sz w:val="18"/>
                <w:szCs w:val="18"/>
              </w:rPr>
            </w:pPr>
            <w:r>
              <w:rPr>
                <w:sz w:val="18"/>
                <w:szCs w:val="18"/>
              </w:rPr>
              <w:t>4</w:t>
            </w:r>
          </w:p>
        </w:tc>
        <w:tc>
          <w:tcPr>
            <w:tcW w:w="990" w:type="dxa"/>
            <w:vAlign w:val="center"/>
          </w:tcPr>
          <w:p w:rsidR="00954693" w:rsidP="00954693" w:rsidRDefault="00954693" w14:paraId="27FA84B7" w14:textId="664A29D6">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954693" w:rsidRDefault="006448DC" w14:paraId="50C23479" w14:textId="4F3E2343">
            <w:pPr>
              <w:pStyle w:val="Table"/>
              <w:ind w:right="-203"/>
              <w:jc w:val="right"/>
              <w:rPr>
                <w:sz w:val="18"/>
                <w:szCs w:val="18"/>
              </w:rPr>
            </w:pPr>
            <w:r w:rsidRPr="006448DC">
              <w:rPr>
                <w:sz w:val="18"/>
                <w:szCs w:val="18"/>
              </w:rPr>
              <w:t>$229</w:t>
            </w:r>
          </w:p>
        </w:tc>
      </w:tr>
      <w:tr w:rsidRPr="00A251BF" w:rsidR="00954693" w:rsidTr="000D5E60" w14:paraId="337B05D6" w14:textId="77777777">
        <w:trPr>
          <w:trHeight w:val="300"/>
        </w:trPr>
        <w:tc>
          <w:tcPr>
            <w:tcW w:w="2335" w:type="dxa"/>
            <w:vAlign w:val="center"/>
          </w:tcPr>
          <w:p w:rsidRPr="00A251BF" w:rsidR="00954693" w:rsidP="00954693" w:rsidRDefault="00954693" w14:paraId="293B26FA" w14:textId="4D24A303">
            <w:pPr>
              <w:pStyle w:val="Table"/>
              <w:rPr>
                <w:sz w:val="18"/>
              </w:rPr>
            </w:pPr>
            <w:r>
              <w:rPr>
                <w:color w:val="000000"/>
                <w:sz w:val="18"/>
                <w:szCs w:val="18"/>
              </w:rPr>
              <w:t>&gt;1,000,000, NTNCWS</w:t>
            </w:r>
          </w:p>
        </w:tc>
        <w:tc>
          <w:tcPr>
            <w:tcW w:w="1440" w:type="dxa"/>
            <w:tcMar>
              <w:left w:w="115" w:type="dxa"/>
              <w:right w:w="360" w:type="dxa"/>
            </w:tcMar>
            <w:vAlign w:val="center"/>
          </w:tcPr>
          <w:p w:rsidR="00954693" w:rsidP="00954693" w:rsidRDefault="006448DC" w14:paraId="5D5304BC" w14:textId="6FBA153C">
            <w:pPr>
              <w:pStyle w:val="Table"/>
              <w:ind w:right="-245"/>
              <w:jc w:val="right"/>
              <w:rPr>
                <w:sz w:val="18"/>
              </w:rPr>
            </w:pPr>
            <w:r>
              <w:rPr>
                <w:sz w:val="18"/>
              </w:rPr>
              <w:t>0</w:t>
            </w:r>
          </w:p>
        </w:tc>
        <w:tc>
          <w:tcPr>
            <w:tcW w:w="990" w:type="dxa"/>
            <w:vAlign w:val="center"/>
          </w:tcPr>
          <w:p w:rsidR="00954693" w:rsidP="00954693" w:rsidRDefault="006448DC" w14:paraId="54E977D0" w14:textId="4DDC0592">
            <w:pPr>
              <w:pStyle w:val="Table"/>
              <w:jc w:val="center"/>
              <w:rPr>
                <w:color w:val="000000"/>
                <w:sz w:val="18"/>
                <w:szCs w:val="18"/>
              </w:rPr>
            </w:pPr>
            <w:r>
              <w:rPr>
                <w:color w:val="000000"/>
                <w:sz w:val="18"/>
                <w:szCs w:val="18"/>
              </w:rPr>
              <w:t>not applicable</w:t>
            </w:r>
          </w:p>
        </w:tc>
        <w:tc>
          <w:tcPr>
            <w:tcW w:w="1620" w:type="dxa"/>
            <w:tcMar>
              <w:left w:w="115" w:type="dxa"/>
              <w:right w:w="360" w:type="dxa"/>
            </w:tcMar>
            <w:vAlign w:val="center"/>
          </w:tcPr>
          <w:p w:rsidR="00954693" w:rsidP="00954693" w:rsidRDefault="006448DC" w14:paraId="1BA64666" w14:textId="03F59C56">
            <w:pPr>
              <w:pStyle w:val="Table"/>
              <w:ind w:right="-270"/>
              <w:jc w:val="right"/>
              <w:rPr>
                <w:sz w:val="18"/>
                <w:szCs w:val="18"/>
              </w:rPr>
            </w:pPr>
            <w:r>
              <w:rPr>
                <w:sz w:val="18"/>
                <w:szCs w:val="18"/>
              </w:rPr>
              <w:t>0</w:t>
            </w:r>
          </w:p>
        </w:tc>
        <w:tc>
          <w:tcPr>
            <w:tcW w:w="990" w:type="dxa"/>
            <w:vAlign w:val="center"/>
          </w:tcPr>
          <w:p w:rsidR="00954693" w:rsidP="00954693" w:rsidRDefault="00954693" w14:paraId="54E776BE" w14:textId="4633E82F">
            <w:pPr>
              <w:pStyle w:val="Table"/>
              <w:jc w:val="center"/>
              <w:rPr>
                <w:color w:val="000000"/>
                <w:sz w:val="18"/>
                <w:szCs w:val="18"/>
              </w:rPr>
            </w:pPr>
            <w:r>
              <w:rPr>
                <w:color w:val="000000"/>
                <w:sz w:val="18"/>
                <w:szCs w:val="18"/>
              </w:rPr>
              <w:t xml:space="preserve">$57.24 </w:t>
            </w:r>
          </w:p>
        </w:tc>
        <w:tc>
          <w:tcPr>
            <w:tcW w:w="1975" w:type="dxa"/>
            <w:noWrap/>
            <w:tcMar>
              <w:left w:w="115" w:type="dxa"/>
              <w:right w:w="288" w:type="dxa"/>
            </w:tcMar>
            <w:vAlign w:val="center"/>
          </w:tcPr>
          <w:p w:rsidR="00954693" w:rsidP="00954693" w:rsidRDefault="006448DC" w14:paraId="4EC33FFF" w14:textId="1DDB950A">
            <w:pPr>
              <w:pStyle w:val="Table"/>
              <w:ind w:right="-203"/>
              <w:jc w:val="right"/>
              <w:rPr>
                <w:sz w:val="18"/>
                <w:szCs w:val="18"/>
              </w:rPr>
            </w:pPr>
            <w:r>
              <w:rPr>
                <w:sz w:val="18"/>
                <w:szCs w:val="18"/>
              </w:rPr>
              <w:t>$0</w:t>
            </w:r>
          </w:p>
        </w:tc>
      </w:tr>
      <w:tr w:rsidRPr="00A251BF" w:rsidR="00954693" w:rsidTr="000D5E60" w14:paraId="66DC298D" w14:textId="77777777">
        <w:trPr>
          <w:trHeight w:val="300"/>
        </w:trPr>
        <w:tc>
          <w:tcPr>
            <w:tcW w:w="2335" w:type="dxa"/>
            <w:vAlign w:val="center"/>
            <w:hideMark/>
          </w:tcPr>
          <w:p w:rsidRPr="00A251BF" w:rsidR="00954693" w:rsidP="00954693" w:rsidRDefault="00954693" w14:paraId="218BB86B" w14:textId="77777777">
            <w:pPr>
              <w:pStyle w:val="Table"/>
              <w:rPr>
                <w:b/>
                <w:sz w:val="18"/>
              </w:rPr>
            </w:pPr>
            <w:r w:rsidRPr="00A251BF">
              <w:rPr>
                <w:b/>
                <w:sz w:val="18"/>
              </w:rPr>
              <w:t xml:space="preserve">Primacy </w:t>
            </w:r>
            <w:r>
              <w:rPr>
                <w:b/>
                <w:sz w:val="18"/>
              </w:rPr>
              <w:t>agency</w:t>
            </w:r>
            <w:r w:rsidRPr="00A251BF">
              <w:rPr>
                <w:b/>
                <w:sz w:val="18"/>
              </w:rPr>
              <w:t xml:space="preserve"> </w:t>
            </w:r>
            <w:r>
              <w:rPr>
                <w:b/>
                <w:sz w:val="18"/>
              </w:rPr>
              <w:t xml:space="preserve">3-year </w:t>
            </w:r>
            <w:r w:rsidRPr="00A251BF">
              <w:rPr>
                <w:b/>
                <w:sz w:val="18"/>
              </w:rPr>
              <w:t>Total</w:t>
            </w:r>
          </w:p>
        </w:tc>
        <w:tc>
          <w:tcPr>
            <w:tcW w:w="1440" w:type="dxa"/>
            <w:tcMar>
              <w:left w:w="115" w:type="dxa"/>
              <w:right w:w="360" w:type="dxa"/>
            </w:tcMar>
            <w:vAlign w:val="center"/>
          </w:tcPr>
          <w:p w:rsidRPr="00A251BF" w:rsidR="00954693" w:rsidP="00954693" w:rsidRDefault="000D5E60" w14:paraId="082EA236" w14:textId="734CC111">
            <w:pPr>
              <w:pStyle w:val="Table"/>
              <w:ind w:right="-245"/>
              <w:jc w:val="right"/>
              <w:rPr>
                <w:b/>
                <w:sz w:val="18"/>
              </w:rPr>
            </w:pPr>
            <w:r>
              <w:rPr>
                <w:b/>
                <w:sz w:val="18"/>
              </w:rPr>
              <w:t xml:space="preserve">10,269 to </w:t>
            </w:r>
            <w:r w:rsidRPr="000D5E60">
              <w:rPr>
                <w:b/>
                <w:sz w:val="18"/>
              </w:rPr>
              <w:t>12,624</w:t>
            </w:r>
          </w:p>
        </w:tc>
        <w:tc>
          <w:tcPr>
            <w:tcW w:w="990" w:type="dxa"/>
            <w:vAlign w:val="center"/>
            <w:hideMark/>
          </w:tcPr>
          <w:p w:rsidRPr="00D624A0" w:rsidR="00954693" w:rsidP="00954693" w:rsidRDefault="00954693" w14:paraId="0011B415" w14:textId="77777777">
            <w:pPr>
              <w:pStyle w:val="Table"/>
              <w:jc w:val="center"/>
              <w:rPr>
                <w:b/>
                <w:sz w:val="18"/>
                <w:szCs w:val="18"/>
              </w:rPr>
            </w:pPr>
            <w:r w:rsidRPr="00D624A0">
              <w:rPr>
                <w:b/>
                <w:sz w:val="18"/>
                <w:szCs w:val="18"/>
              </w:rPr>
              <w:t>not applicable</w:t>
            </w:r>
          </w:p>
        </w:tc>
        <w:tc>
          <w:tcPr>
            <w:tcW w:w="1620" w:type="dxa"/>
            <w:tcMar>
              <w:left w:w="115" w:type="dxa"/>
              <w:right w:w="360" w:type="dxa"/>
            </w:tcMar>
            <w:vAlign w:val="center"/>
          </w:tcPr>
          <w:p w:rsidRPr="00D624A0" w:rsidR="00954693" w:rsidP="000D5E60" w:rsidRDefault="000D5E60" w14:paraId="42364187" w14:textId="78288383">
            <w:pPr>
              <w:pStyle w:val="Table"/>
              <w:ind w:right="-270"/>
              <w:jc w:val="right"/>
              <w:rPr>
                <w:b/>
                <w:sz w:val="18"/>
                <w:szCs w:val="18"/>
              </w:rPr>
            </w:pPr>
            <w:r>
              <w:rPr>
                <w:b/>
                <w:sz w:val="18"/>
                <w:szCs w:val="18"/>
              </w:rPr>
              <w:t xml:space="preserve">50,668 to </w:t>
            </w:r>
            <w:r w:rsidRPr="000D5E60">
              <w:rPr>
                <w:b/>
                <w:sz w:val="18"/>
                <w:szCs w:val="18"/>
              </w:rPr>
              <w:t>64,416</w:t>
            </w:r>
          </w:p>
        </w:tc>
        <w:tc>
          <w:tcPr>
            <w:tcW w:w="990" w:type="dxa"/>
            <w:vAlign w:val="center"/>
            <w:hideMark/>
          </w:tcPr>
          <w:p w:rsidRPr="00D624A0" w:rsidR="00954693" w:rsidP="00954693" w:rsidRDefault="00954693" w14:paraId="367C9EDA" w14:textId="77777777">
            <w:pPr>
              <w:pStyle w:val="Table"/>
              <w:jc w:val="center"/>
              <w:rPr>
                <w:b/>
                <w:sz w:val="18"/>
                <w:szCs w:val="18"/>
              </w:rPr>
            </w:pPr>
            <w:r>
              <w:rPr>
                <w:b/>
                <w:sz w:val="18"/>
                <w:szCs w:val="18"/>
              </w:rPr>
              <w:t>not applicable</w:t>
            </w:r>
          </w:p>
        </w:tc>
        <w:tc>
          <w:tcPr>
            <w:tcW w:w="1975" w:type="dxa"/>
            <w:noWrap/>
            <w:tcMar>
              <w:left w:w="115" w:type="dxa"/>
              <w:right w:w="288" w:type="dxa"/>
            </w:tcMar>
            <w:vAlign w:val="center"/>
          </w:tcPr>
          <w:p w:rsidRPr="00D624A0" w:rsidR="00954693" w:rsidP="000D5E60" w:rsidRDefault="000D5E60" w14:paraId="65E6EB42" w14:textId="46276A04">
            <w:pPr>
              <w:pStyle w:val="Table"/>
              <w:ind w:right="-203"/>
              <w:jc w:val="right"/>
              <w:rPr>
                <w:b/>
                <w:sz w:val="18"/>
                <w:szCs w:val="18"/>
              </w:rPr>
            </w:pPr>
            <w:r w:rsidRPr="000D5E60">
              <w:rPr>
                <w:b/>
                <w:sz w:val="18"/>
                <w:szCs w:val="18"/>
              </w:rPr>
              <w:t xml:space="preserve">$2,900,236 </w:t>
            </w:r>
            <w:r>
              <w:rPr>
                <w:b/>
                <w:sz w:val="18"/>
                <w:szCs w:val="18"/>
              </w:rPr>
              <w:t>to $3,687,172</w:t>
            </w:r>
          </w:p>
        </w:tc>
      </w:tr>
      <w:tr w:rsidRPr="00A251BF" w:rsidR="00954693" w:rsidTr="000D5E60" w14:paraId="70CBDE8D" w14:textId="77777777">
        <w:trPr>
          <w:trHeight w:val="300"/>
        </w:trPr>
        <w:tc>
          <w:tcPr>
            <w:tcW w:w="2335" w:type="dxa"/>
            <w:vAlign w:val="center"/>
          </w:tcPr>
          <w:p w:rsidRPr="00A251BF" w:rsidR="00954693" w:rsidP="00954693" w:rsidRDefault="00954693" w14:paraId="2732F99D" w14:textId="77777777">
            <w:pPr>
              <w:pStyle w:val="Table"/>
              <w:rPr>
                <w:b/>
                <w:sz w:val="18"/>
              </w:rPr>
            </w:pPr>
            <w:r>
              <w:rPr>
                <w:b/>
                <w:bCs/>
                <w:sz w:val="18"/>
              </w:rPr>
              <w:t>Annual Average</w:t>
            </w:r>
          </w:p>
        </w:tc>
        <w:tc>
          <w:tcPr>
            <w:tcW w:w="1440" w:type="dxa"/>
            <w:vAlign w:val="center"/>
          </w:tcPr>
          <w:p w:rsidRPr="00A251BF" w:rsidR="00954693" w:rsidP="006448DC" w:rsidRDefault="00954693" w14:paraId="699ECB62" w14:textId="77777777">
            <w:pPr>
              <w:pStyle w:val="Table"/>
              <w:ind w:right="-245"/>
              <w:rPr>
                <w:b/>
                <w:sz w:val="18"/>
              </w:rPr>
            </w:pPr>
            <w:r>
              <w:rPr>
                <w:b/>
                <w:bCs/>
                <w:sz w:val="18"/>
              </w:rPr>
              <w:t>not applicable</w:t>
            </w:r>
          </w:p>
        </w:tc>
        <w:tc>
          <w:tcPr>
            <w:tcW w:w="990" w:type="dxa"/>
            <w:vAlign w:val="center"/>
          </w:tcPr>
          <w:p w:rsidRPr="00D624A0" w:rsidR="00954693" w:rsidP="00954693" w:rsidRDefault="00954693" w14:paraId="0BED5628" w14:textId="77777777">
            <w:pPr>
              <w:pStyle w:val="Table"/>
              <w:jc w:val="center"/>
              <w:rPr>
                <w:b/>
                <w:sz w:val="18"/>
                <w:szCs w:val="18"/>
              </w:rPr>
            </w:pPr>
            <w:r>
              <w:rPr>
                <w:b/>
                <w:bCs/>
                <w:sz w:val="18"/>
              </w:rPr>
              <w:t>not applicable</w:t>
            </w:r>
          </w:p>
        </w:tc>
        <w:tc>
          <w:tcPr>
            <w:tcW w:w="1620" w:type="dxa"/>
            <w:tcMar>
              <w:left w:w="115" w:type="dxa"/>
              <w:right w:w="360" w:type="dxa"/>
            </w:tcMar>
            <w:vAlign w:val="center"/>
          </w:tcPr>
          <w:p w:rsidRPr="00A14CFC" w:rsidR="00954693" w:rsidP="000D5E60" w:rsidRDefault="000D5E60" w14:paraId="2B0EF10F" w14:textId="587B3BFD">
            <w:pPr>
              <w:pStyle w:val="Table"/>
              <w:ind w:right="-270"/>
              <w:jc w:val="right"/>
              <w:rPr>
                <w:b/>
                <w:sz w:val="18"/>
                <w:szCs w:val="18"/>
                <w:highlight w:val="yellow"/>
              </w:rPr>
            </w:pPr>
            <w:r w:rsidRPr="000D5E60">
              <w:rPr>
                <w:b/>
                <w:sz w:val="18"/>
                <w:szCs w:val="18"/>
              </w:rPr>
              <w:t>16,889</w:t>
            </w:r>
            <w:r>
              <w:rPr>
                <w:b/>
                <w:sz w:val="18"/>
                <w:szCs w:val="18"/>
              </w:rPr>
              <w:t xml:space="preserve"> to </w:t>
            </w:r>
            <w:r w:rsidRPr="000D5E60">
              <w:rPr>
                <w:b/>
                <w:sz w:val="18"/>
                <w:szCs w:val="18"/>
              </w:rPr>
              <w:t>21,472</w:t>
            </w:r>
          </w:p>
        </w:tc>
        <w:tc>
          <w:tcPr>
            <w:tcW w:w="990" w:type="dxa"/>
            <w:vAlign w:val="center"/>
          </w:tcPr>
          <w:p w:rsidRPr="00D624A0" w:rsidR="00954693" w:rsidP="00954693" w:rsidRDefault="00954693" w14:paraId="77428C96" w14:textId="77777777">
            <w:pPr>
              <w:pStyle w:val="Table"/>
              <w:jc w:val="center"/>
              <w:rPr>
                <w:b/>
                <w:sz w:val="18"/>
                <w:szCs w:val="18"/>
              </w:rPr>
            </w:pPr>
            <w:r>
              <w:rPr>
                <w:b/>
                <w:bCs/>
                <w:sz w:val="18"/>
              </w:rPr>
              <w:t>not applicable</w:t>
            </w:r>
          </w:p>
        </w:tc>
        <w:tc>
          <w:tcPr>
            <w:tcW w:w="1975" w:type="dxa"/>
            <w:noWrap/>
            <w:tcMar>
              <w:left w:w="115" w:type="dxa"/>
              <w:right w:w="288" w:type="dxa"/>
            </w:tcMar>
            <w:vAlign w:val="center"/>
          </w:tcPr>
          <w:p w:rsidRPr="00A14CFC" w:rsidR="00954693" w:rsidP="000D5E60" w:rsidRDefault="000D5E60" w14:paraId="4F1842EA" w14:textId="65C47710">
            <w:pPr>
              <w:pStyle w:val="Table"/>
              <w:ind w:right="-203"/>
              <w:jc w:val="right"/>
              <w:rPr>
                <w:b/>
                <w:sz w:val="18"/>
                <w:szCs w:val="18"/>
                <w:highlight w:val="yellow"/>
              </w:rPr>
            </w:pPr>
            <w:r>
              <w:rPr>
                <w:b/>
                <w:sz w:val="18"/>
                <w:szCs w:val="18"/>
              </w:rPr>
              <w:t>$966,745 to</w:t>
            </w:r>
            <w:r w:rsidRPr="000D5E60">
              <w:rPr>
                <w:b/>
                <w:sz w:val="18"/>
                <w:szCs w:val="18"/>
              </w:rPr>
              <w:t xml:space="preserve"> $1,229,057</w:t>
            </w:r>
          </w:p>
        </w:tc>
      </w:tr>
    </w:tbl>
    <w:p w:rsidR="002D6A85" w:rsidP="006477B3" w:rsidRDefault="00C901F3" w14:paraId="79B4270D" w14:textId="2B6E8A70">
      <w:pPr>
        <w:pStyle w:val="TableNote"/>
      </w:pPr>
      <w:r>
        <w:t xml:space="preserve">Notes: Detail may not add exactly to total due to independent rounding. Ranges shown reflect the </w:t>
      </w:r>
      <w:r w:rsidR="00C45241">
        <w:t>low-cost</w:t>
      </w:r>
      <w:r>
        <w:t xml:space="preserve"> scenario to the high cost scenario. For some individual s</w:t>
      </w:r>
      <w:r w:rsidR="00432DE4">
        <w:t xml:space="preserve">ystem </w:t>
      </w:r>
      <w:r>
        <w:t xml:space="preserve">categories, the number of responses, burden, and cost are lower in the high cost scenario. However, the total burden and cost </w:t>
      </w:r>
      <w:r w:rsidR="00432DE4">
        <w:t>across all system types</w:t>
      </w:r>
      <w:r>
        <w:t xml:space="preserve"> is higher in the high cost scenario.</w:t>
      </w:r>
    </w:p>
    <w:p w:rsidR="00A251BF" w:rsidP="00A251BF" w:rsidRDefault="00A251BF" w14:paraId="1E60F244" w14:textId="77777777">
      <w:pPr>
        <w:pStyle w:val="Caption"/>
      </w:pPr>
      <w:bookmarkStart w:name="_Ref4699657" w:id="41"/>
      <w:r>
        <w:lastRenderedPageBreak/>
        <w:t xml:space="preserve">Exhibit </w:t>
      </w:r>
      <w:r>
        <w:rPr>
          <w:noProof/>
        </w:rPr>
        <w:fldChar w:fldCharType="begin"/>
      </w:r>
      <w:r>
        <w:rPr>
          <w:noProof/>
        </w:rPr>
        <w:instrText xml:space="preserve"> SEQ Exhibit \* ARABIC </w:instrText>
      </w:r>
      <w:r>
        <w:rPr>
          <w:noProof/>
        </w:rPr>
        <w:fldChar w:fldCharType="separate"/>
      </w:r>
      <w:r w:rsidR="00BE3988">
        <w:rPr>
          <w:noProof/>
        </w:rPr>
        <w:t>10</w:t>
      </w:r>
      <w:r>
        <w:rPr>
          <w:noProof/>
        </w:rPr>
        <w:fldChar w:fldCharType="end"/>
      </w:r>
      <w:bookmarkEnd w:id="41"/>
      <w:r>
        <w:rPr>
          <w:noProof/>
        </w:rPr>
        <w:t xml:space="preserve">. </w:t>
      </w:r>
      <w:r w:rsidRPr="00A251BF">
        <w:rPr>
          <w:noProof/>
        </w:rPr>
        <w:t>Burden and Costs for Primacy Agencies Reviewing Demonstrations of no Lead Service Lines</w:t>
      </w:r>
    </w:p>
    <w:tbl>
      <w:tblPr>
        <w:tblStyle w:val="TableGrid"/>
        <w:tblpPr w:leftFromText="180" w:rightFromText="180" w:vertAnchor="text" w:horzAnchor="margin" w:tblpY="-50"/>
        <w:tblW w:w="9586" w:type="dxa"/>
        <w:tblCellMar>
          <w:left w:w="43" w:type="dxa"/>
          <w:right w:w="43" w:type="dxa"/>
        </w:tblCellMar>
        <w:tblLook w:val="04A0" w:firstRow="1" w:lastRow="0" w:firstColumn="1" w:lastColumn="0" w:noHBand="0" w:noVBand="1"/>
      </w:tblPr>
      <w:tblGrid>
        <w:gridCol w:w="1794"/>
        <w:gridCol w:w="1531"/>
        <w:gridCol w:w="1080"/>
        <w:gridCol w:w="1710"/>
        <w:gridCol w:w="990"/>
        <w:gridCol w:w="2481"/>
      </w:tblGrid>
      <w:tr w:rsidRPr="006477B3" w:rsidR="00A539B3" w:rsidTr="0049228A" w14:paraId="21ABDD55" w14:textId="77777777">
        <w:tc>
          <w:tcPr>
            <w:tcW w:w="1794" w:type="dxa"/>
            <w:vAlign w:val="center"/>
          </w:tcPr>
          <w:p w:rsidRPr="006477B3" w:rsidR="006477B3" w:rsidP="006477B3" w:rsidRDefault="006477B3" w14:paraId="4DCE0C75" w14:textId="77777777">
            <w:pPr>
              <w:pStyle w:val="TableNote"/>
              <w:spacing w:after="0"/>
              <w:jc w:val="center"/>
              <w:rPr>
                <w:rFonts w:ascii="Arial" w:hAnsi="Arial" w:cs="Arial"/>
                <w:b/>
                <w:sz w:val="18"/>
                <w:szCs w:val="18"/>
              </w:rPr>
            </w:pPr>
            <w:r w:rsidRPr="006477B3">
              <w:rPr>
                <w:rFonts w:ascii="Arial" w:hAnsi="Arial" w:cs="Arial"/>
                <w:b/>
                <w:sz w:val="18"/>
                <w:szCs w:val="18"/>
              </w:rPr>
              <w:t>System Type (service population size category)</w:t>
            </w:r>
          </w:p>
        </w:tc>
        <w:tc>
          <w:tcPr>
            <w:tcW w:w="1531" w:type="dxa"/>
            <w:vAlign w:val="center"/>
          </w:tcPr>
          <w:p w:rsidRPr="006477B3" w:rsidR="006477B3" w:rsidP="006477B3" w:rsidRDefault="006477B3" w14:paraId="74C0CF46" w14:textId="77777777">
            <w:pPr>
              <w:pStyle w:val="TableNote"/>
              <w:spacing w:after="0"/>
              <w:jc w:val="center"/>
              <w:rPr>
                <w:rFonts w:ascii="Arial" w:hAnsi="Arial" w:cs="Arial"/>
                <w:b/>
                <w:sz w:val="18"/>
                <w:szCs w:val="18"/>
              </w:rPr>
            </w:pPr>
            <w:r w:rsidRPr="006477B3">
              <w:rPr>
                <w:rFonts w:ascii="Arial" w:hAnsi="Arial" w:cs="Arial"/>
                <w:b/>
                <w:sz w:val="18"/>
                <w:szCs w:val="18"/>
              </w:rPr>
              <w:t>Responses (Reviews)</w:t>
            </w:r>
          </w:p>
        </w:tc>
        <w:tc>
          <w:tcPr>
            <w:tcW w:w="1080" w:type="dxa"/>
            <w:vAlign w:val="center"/>
          </w:tcPr>
          <w:p w:rsidRPr="006477B3" w:rsidR="006477B3" w:rsidP="006477B3" w:rsidRDefault="006477B3" w14:paraId="23DCAA6A" w14:textId="77777777">
            <w:pPr>
              <w:pStyle w:val="TableNote"/>
              <w:spacing w:after="0"/>
              <w:jc w:val="center"/>
              <w:rPr>
                <w:rFonts w:ascii="Arial" w:hAnsi="Arial" w:cs="Arial"/>
                <w:b/>
                <w:sz w:val="18"/>
                <w:szCs w:val="18"/>
              </w:rPr>
            </w:pPr>
            <w:r w:rsidRPr="006477B3">
              <w:rPr>
                <w:rFonts w:ascii="Arial" w:hAnsi="Arial" w:cs="Arial"/>
                <w:b/>
                <w:sz w:val="18"/>
                <w:szCs w:val="18"/>
              </w:rPr>
              <w:t>Burden per Response (hours)</w:t>
            </w:r>
          </w:p>
        </w:tc>
        <w:tc>
          <w:tcPr>
            <w:tcW w:w="1710" w:type="dxa"/>
            <w:vAlign w:val="center"/>
          </w:tcPr>
          <w:p w:rsidRPr="006477B3" w:rsidR="006477B3" w:rsidP="006477B3" w:rsidRDefault="006477B3" w14:paraId="63827341" w14:textId="77777777">
            <w:pPr>
              <w:pStyle w:val="TableNote"/>
              <w:spacing w:after="0"/>
              <w:jc w:val="center"/>
              <w:rPr>
                <w:rFonts w:ascii="Arial" w:hAnsi="Arial" w:cs="Arial"/>
                <w:b/>
                <w:sz w:val="18"/>
                <w:szCs w:val="18"/>
              </w:rPr>
            </w:pPr>
            <w:r w:rsidRPr="006477B3">
              <w:rPr>
                <w:rFonts w:ascii="Arial" w:hAnsi="Arial" w:cs="Arial"/>
                <w:b/>
                <w:sz w:val="18"/>
                <w:szCs w:val="18"/>
              </w:rPr>
              <w:t>Burden (hours)</w:t>
            </w:r>
          </w:p>
        </w:tc>
        <w:tc>
          <w:tcPr>
            <w:tcW w:w="990" w:type="dxa"/>
            <w:vAlign w:val="center"/>
          </w:tcPr>
          <w:p w:rsidRPr="006477B3" w:rsidR="006477B3" w:rsidP="006477B3" w:rsidRDefault="006477B3" w14:paraId="1E8C8125" w14:textId="77777777">
            <w:pPr>
              <w:pStyle w:val="TableNote"/>
              <w:spacing w:after="0"/>
              <w:jc w:val="center"/>
              <w:rPr>
                <w:rFonts w:ascii="Arial" w:hAnsi="Arial" w:cs="Arial"/>
                <w:b/>
                <w:sz w:val="18"/>
                <w:szCs w:val="18"/>
              </w:rPr>
            </w:pPr>
            <w:r w:rsidRPr="006477B3">
              <w:rPr>
                <w:rFonts w:ascii="Arial" w:hAnsi="Arial" w:cs="Arial"/>
                <w:b/>
                <w:sz w:val="18"/>
                <w:szCs w:val="18"/>
              </w:rPr>
              <w:t>Labor Rate ($/hour)</w:t>
            </w:r>
          </w:p>
        </w:tc>
        <w:tc>
          <w:tcPr>
            <w:tcW w:w="2481" w:type="dxa"/>
            <w:vAlign w:val="center"/>
          </w:tcPr>
          <w:p w:rsidRPr="006477B3" w:rsidR="006477B3" w:rsidP="006477B3" w:rsidRDefault="006477B3" w14:paraId="0F433DF0" w14:textId="77777777">
            <w:pPr>
              <w:pStyle w:val="TableNote"/>
              <w:spacing w:after="0"/>
              <w:jc w:val="center"/>
              <w:rPr>
                <w:rFonts w:ascii="Arial" w:hAnsi="Arial" w:cs="Arial"/>
                <w:b/>
                <w:sz w:val="18"/>
                <w:szCs w:val="18"/>
              </w:rPr>
            </w:pPr>
            <w:r w:rsidRPr="006477B3">
              <w:rPr>
                <w:rFonts w:ascii="Arial" w:hAnsi="Arial" w:cs="Arial"/>
                <w:b/>
                <w:sz w:val="18"/>
                <w:szCs w:val="18"/>
              </w:rPr>
              <w:t>Cost (2016 dollars)</w:t>
            </w:r>
          </w:p>
        </w:tc>
      </w:tr>
      <w:tr w:rsidRPr="006477B3" w:rsidR="00114FC3" w:rsidTr="00114FC3" w14:paraId="088C73A3" w14:textId="77777777">
        <w:tc>
          <w:tcPr>
            <w:tcW w:w="1794" w:type="dxa"/>
            <w:vAlign w:val="center"/>
          </w:tcPr>
          <w:p w:rsidRPr="0049228A" w:rsidR="00114FC3" w:rsidP="00114FC3" w:rsidRDefault="00114FC3" w14:paraId="5956C1BF" w14:textId="77777777">
            <w:pPr>
              <w:pStyle w:val="TableNote"/>
              <w:spacing w:after="0"/>
              <w:rPr>
                <w:rFonts w:ascii="Arial" w:hAnsi="Arial" w:cs="Arial"/>
                <w:sz w:val="18"/>
                <w:szCs w:val="18"/>
              </w:rPr>
            </w:pPr>
            <w:r w:rsidRPr="0049228A">
              <w:rPr>
                <w:rFonts w:ascii="Arial" w:hAnsi="Arial" w:cs="Arial"/>
                <w:sz w:val="18"/>
                <w:szCs w:val="18"/>
              </w:rPr>
              <w:t xml:space="preserve">&lt;=100 </w:t>
            </w:r>
          </w:p>
        </w:tc>
        <w:tc>
          <w:tcPr>
            <w:tcW w:w="1531" w:type="dxa"/>
            <w:vAlign w:val="center"/>
          </w:tcPr>
          <w:p w:rsidRPr="0049228A" w:rsidR="00114FC3" w:rsidP="00114FC3" w:rsidRDefault="00114FC3" w14:paraId="70539B3E" w14:textId="0902E835">
            <w:pPr>
              <w:pStyle w:val="TableNote"/>
              <w:spacing w:after="0"/>
              <w:jc w:val="right"/>
              <w:rPr>
                <w:rFonts w:ascii="Arial" w:hAnsi="Arial" w:cs="Arial"/>
                <w:sz w:val="18"/>
                <w:szCs w:val="18"/>
              </w:rPr>
            </w:pPr>
            <w:r>
              <w:rPr>
                <w:rFonts w:ascii="Arial" w:hAnsi="Arial" w:cs="Arial"/>
                <w:sz w:val="18"/>
                <w:szCs w:val="18"/>
              </w:rPr>
              <w:t xml:space="preserve">16,188 to </w:t>
            </w:r>
            <w:r w:rsidRPr="00FF665F">
              <w:rPr>
                <w:rFonts w:ascii="Arial" w:hAnsi="Arial" w:cs="Arial"/>
                <w:sz w:val="18"/>
                <w:szCs w:val="18"/>
              </w:rPr>
              <w:t>16,782</w:t>
            </w:r>
          </w:p>
        </w:tc>
        <w:tc>
          <w:tcPr>
            <w:tcW w:w="1080" w:type="dxa"/>
            <w:vAlign w:val="center"/>
          </w:tcPr>
          <w:p w:rsidRPr="0049228A" w:rsidR="00114FC3" w:rsidP="00114FC3" w:rsidRDefault="00114FC3" w14:paraId="52779814" w14:textId="79958509">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51120929" w14:textId="2909B9A7">
            <w:pPr>
              <w:pStyle w:val="TableNote"/>
              <w:spacing w:after="0"/>
              <w:jc w:val="right"/>
              <w:rPr>
                <w:rFonts w:ascii="Arial" w:hAnsi="Arial" w:cs="Arial"/>
                <w:sz w:val="18"/>
                <w:szCs w:val="18"/>
              </w:rPr>
            </w:pPr>
            <w:r w:rsidRPr="00114FC3">
              <w:rPr>
                <w:rFonts w:ascii="Arial" w:hAnsi="Arial" w:cs="Arial"/>
                <w:color w:val="000000"/>
                <w:sz w:val="18"/>
                <w:szCs w:val="18"/>
              </w:rPr>
              <w:t>32</w:t>
            </w:r>
            <w:r>
              <w:rPr>
                <w:rFonts w:ascii="Arial" w:hAnsi="Arial" w:cs="Arial"/>
                <w:color w:val="000000"/>
                <w:sz w:val="18"/>
                <w:szCs w:val="18"/>
              </w:rPr>
              <w:t>,</w:t>
            </w:r>
            <w:r w:rsidRPr="00114FC3">
              <w:rPr>
                <w:rFonts w:ascii="Arial" w:hAnsi="Arial" w:cs="Arial"/>
                <w:color w:val="000000"/>
                <w:sz w:val="18"/>
                <w:szCs w:val="18"/>
              </w:rPr>
              <w:t>376 to 33</w:t>
            </w:r>
            <w:r>
              <w:rPr>
                <w:rFonts w:ascii="Arial" w:hAnsi="Arial" w:cs="Arial"/>
                <w:color w:val="000000"/>
                <w:sz w:val="18"/>
                <w:szCs w:val="18"/>
              </w:rPr>
              <w:t>,</w:t>
            </w:r>
            <w:r w:rsidRPr="00114FC3">
              <w:rPr>
                <w:rFonts w:ascii="Arial" w:hAnsi="Arial" w:cs="Arial"/>
                <w:color w:val="000000"/>
                <w:sz w:val="18"/>
                <w:szCs w:val="18"/>
              </w:rPr>
              <w:t>564</w:t>
            </w:r>
          </w:p>
        </w:tc>
        <w:tc>
          <w:tcPr>
            <w:tcW w:w="990" w:type="dxa"/>
            <w:vAlign w:val="center"/>
          </w:tcPr>
          <w:p w:rsidRPr="0049228A" w:rsidR="00114FC3" w:rsidP="00114FC3" w:rsidRDefault="00114FC3" w14:paraId="3BF65831"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74A211A9" w14:textId="36813201">
            <w:pPr>
              <w:pStyle w:val="TableNote"/>
              <w:spacing w:after="0"/>
              <w:jc w:val="right"/>
              <w:rPr>
                <w:rFonts w:ascii="Arial" w:hAnsi="Arial" w:cs="Arial"/>
                <w:sz w:val="18"/>
                <w:szCs w:val="18"/>
              </w:rPr>
            </w:pPr>
            <w:r>
              <w:rPr>
                <w:rFonts w:ascii="Arial" w:hAnsi="Arial" w:cs="Arial"/>
                <w:sz w:val="18"/>
                <w:szCs w:val="18"/>
              </w:rPr>
              <w:t xml:space="preserve">$1,853,202 to </w:t>
            </w:r>
            <w:r w:rsidRPr="00114FC3">
              <w:rPr>
                <w:rFonts w:ascii="Arial" w:hAnsi="Arial" w:cs="Arial"/>
                <w:sz w:val="18"/>
                <w:szCs w:val="18"/>
              </w:rPr>
              <w:t>$1,921,203</w:t>
            </w:r>
          </w:p>
        </w:tc>
      </w:tr>
      <w:tr w:rsidRPr="006477B3" w:rsidR="00114FC3" w:rsidTr="00114FC3" w14:paraId="73379591" w14:textId="77777777">
        <w:tc>
          <w:tcPr>
            <w:tcW w:w="1794" w:type="dxa"/>
            <w:vAlign w:val="center"/>
          </w:tcPr>
          <w:p w:rsidRPr="0049228A" w:rsidR="00114FC3" w:rsidP="00114FC3" w:rsidRDefault="00114FC3" w14:paraId="0F3CF5C8" w14:textId="77777777">
            <w:pPr>
              <w:pStyle w:val="TableNote"/>
              <w:spacing w:after="0"/>
              <w:rPr>
                <w:rFonts w:ascii="Arial" w:hAnsi="Arial" w:cs="Arial"/>
                <w:sz w:val="18"/>
                <w:szCs w:val="18"/>
              </w:rPr>
            </w:pPr>
            <w:r w:rsidRPr="0049228A">
              <w:rPr>
                <w:rFonts w:ascii="Arial" w:hAnsi="Arial" w:cs="Arial"/>
                <w:sz w:val="18"/>
                <w:szCs w:val="18"/>
              </w:rPr>
              <w:t xml:space="preserve">101-500 </w:t>
            </w:r>
          </w:p>
        </w:tc>
        <w:tc>
          <w:tcPr>
            <w:tcW w:w="1531" w:type="dxa"/>
            <w:vAlign w:val="center"/>
          </w:tcPr>
          <w:p w:rsidRPr="0049228A" w:rsidR="00114FC3" w:rsidP="00114FC3" w:rsidRDefault="00114FC3" w14:paraId="30ADAAA9" w14:textId="5190BF1D">
            <w:pPr>
              <w:pStyle w:val="TableNote"/>
              <w:spacing w:after="0"/>
              <w:jc w:val="right"/>
              <w:rPr>
                <w:rFonts w:ascii="Arial" w:hAnsi="Arial" w:cs="Arial"/>
                <w:sz w:val="18"/>
                <w:szCs w:val="18"/>
              </w:rPr>
            </w:pPr>
            <w:r>
              <w:rPr>
                <w:rFonts w:ascii="Arial" w:hAnsi="Arial" w:cs="Arial"/>
                <w:sz w:val="18"/>
                <w:szCs w:val="18"/>
              </w:rPr>
              <w:t xml:space="preserve">16,519 to </w:t>
            </w:r>
            <w:r w:rsidRPr="00FF665F">
              <w:rPr>
                <w:rFonts w:ascii="Arial" w:hAnsi="Arial" w:cs="Arial"/>
                <w:sz w:val="18"/>
                <w:szCs w:val="18"/>
              </w:rPr>
              <w:t>16,586</w:t>
            </w:r>
          </w:p>
        </w:tc>
        <w:tc>
          <w:tcPr>
            <w:tcW w:w="1080" w:type="dxa"/>
            <w:vAlign w:val="center"/>
          </w:tcPr>
          <w:p w:rsidRPr="0049228A" w:rsidR="00114FC3" w:rsidP="00114FC3" w:rsidRDefault="00114FC3" w14:paraId="1178E74B" w14:textId="26C842C5">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664DF02D" w14:textId="028E0298">
            <w:pPr>
              <w:pStyle w:val="TableNote"/>
              <w:spacing w:after="0"/>
              <w:jc w:val="right"/>
              <w:rPr>
                <w:rFonts w:ascii="Arial" w:hAnsi="Arial" w:cs="Arial"/>
                <w:sz w:val="18"/>
                <w:szCs w:val="18"/>
              </w:rPr>
            </w:pPr>
            <w:r w:rsidRPr="00114FC3">
              <w:rPr>
                <w:rFonts w:ascii="Arial" w:hAnsi="Arial" w:cs="Arial"/>
                <w:color w:val="000000"/>
                <w:sz w:val="18"/>
                <w:szCs w:val="18"/>
              </w:rPr>
              <w:t>33</w:t>
            </w:r>
            <w:r>
              <w:rPr>
                <w:rFonts w:ascii="Arial" w:hAnsi="Arial" w:cs="Arial"/>
                <w:color w:val="000000"/>
                <w:sz w:val="18"/>
                <w:szCs w:val="18"/>
              </w:rPr>
              <w:t>,</w:t>
            </w:r>
            <w:r w:rsidRPr="00114FC3">
              <w:rPr>
                <w:rFonts w:ascii="Arial" w:hAnsi="Arial" w:cs="Arial"/>
                <w:color w:val="000000"/>
                <w:sz w:val="18"/>
                <w:szCs w:val="18"/>
              </w:rPr>
              <w:t>038 to 33</w:t>
            </w:r>
            <w:r>
              <w:rPr>
                <w:rFonts w:ascii="Arial" w:hAnsi="Arial" w:cs="Arial"/>
                <w:color w:val="000000"/>
                <w:sz w:val="18"/>
                <w:szCs w:val="18"/>
              </w:rPr>
              <w:t>,</w:t>
            </w:r>
            <w:r w:rsidRPr="00114FC3">
              <w:rPr>
                <w:rFonts w:ascii="Arial" w:hAnsi="Arial" w:cs="Arial"/>
                <w:color w:val="000000"/>
                <w:sz w:val="18"/>
                <w:szCs w:val="18"/>
              </w:rPr>
              <w:t>172</w:t>
            </w:r>
          </w:p>
        </w:tc>
        <w:tc>
          <w:tcPr>
            <w:tcW w:w="990" w:type="dxa"/>
            <w:vAlign w:val="center"/>
          </w:tcPr>
          <w:p w:rsidRPr="0049228A" w:rsidR="00114FC3" w:rsidP="00114FC3" w:rsidRDefault="00114FC3" w14:paraId="5703D692"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494B9247" w14:textId="78B35F50">
            <w:pPr>
              <w:pStyle w:val="TableNote"/>
              <w:spacing w:after="0"/>
              <w:jc w:val="right"/>
              <w:rPr>
                <w:rFonts w:ascii="Arial" w:hAnsi="Arial" w:cs="Arial"/>
                <w:sz w:val="18"/>
                <w:szCs w:val="18"/>
              </w:rPr>
            </w:pPr>
            <w:r w:rsidRPr="00114FC3">
              <w:rPr>
                <w:rFonts w:ascii="Arial" w:hAnsi="Arial" w:cs="Arial"/>
                <w:sz w:val="18"/>
                <w:szCs w:val="18"/>
              </w:rPr>
              <w:t>$1,891,095</w:t>
            </w:r>
            <w:r>
              <w:rPr>
                <w:rFonts w:ascii="Arial" w:hAnsi="Arial" w:cs="Arial"/>
                <w:sz w:val="18"/>
                <w:szCs w:val="18"/>
              </w:rPr>
              <w:t xml:space="preserve"> to </w:t>
            </w:r>
            <w:r w:rsidRPr="00114FC3">
              <w:rPr>
                <w:rFonts w:ascii="Arial" w:hAnsi="Arial" w:cs="Arial"/>
                <w:sz w:val="18"/>
                <w:szCs w:val="18"/>
              </w:rPr>
              <w:t>$1,898,765</w:t>
            </w:r>
          </w:p>
        </w:tc>
      </w:tr>
      <w:tr w:rsidRPr="006477B3" w:rsidR="00114FC3" w:rsidTr="00114FC3" w14:paraId="3CBCEF65" w14:textId="77777777">
        <w:tc>
          <w:tcPr>
            <w:tcW w:w="1794" w:type="dxa"/>
            <w:vAlign w:val="center"/>
          </w:tcPr>
          <w:p w:rsidRPr="0049228A" w:rsidR="00114FC3" w:rsidP="00114FC3" w:rsidRDefault="00114FC3" w14:paraId="3671CB78" w14:textId="77777777">
            <w:pPr>
              <w:pStyle w:val="TableNote"/>
              <w:spacing w:after="0"/>
              <w:rPr>
                <w:rFonts w:ascii="Arial" w:hAnsi="Arial" w:cs="Arial"/>
                <w:sz w:val="18"/>
                <w:szCs w:val="18"/>
              </w:rPr>
            </w:pPr>
            <w:r w:rsidRPr="0049228A">
              <w:rPr>
                <w:rFonts w:ascii="Arial" w:hAnsi="Arial" w:cs="Arial"/>
                <w:sz w:val="18"/>
                <w:szCs w:val="18"/>
              </w:rPr>
              <w:t>501-1,000</w:t>
            </w:r>
          </w:p>
        </w:tc>
        <w:tc>
          <w:tcPr>
            <w:tcW w:w="1531" w:type="dxa"/>
            <w:vAlign w:val="center"/>
          </w:tcPr>
          <w:p w:rsidRPr="0049228A" w:rsidR="00114FC3" w:rsidP="00114FC3" w:rsidRDefault="00114FC3" w14:paraId="469794BB" w14:textId="637BF086">
            <w:pPr>
              <w:pStyle w:val="TableNote"/>
              <w:spacing w:after="0"/>
              <w:jc w:val="right"/>
              <w:rPr>
                <w:rFonts w:ascii="Arial" w:hAnsi="Arial" w:cs="Arial"/>
                <w:sz w:val="18"/>
                <w:szCs w:val="18"/>
              </w:rPr>
            </w:pPr>
            <w:r>
              <w:rPr>
                <w:rFonts w:ascii="Arial" w:hAnsi="Arial" w:cs="Arial"/>
                <w:sz w:val="18"/>
                <w:szCs w:val="18"/>
              </w:rPr>
              <w:t xml:space="preserve">5,005 to </w:t>
            </w:r>
            <w:r w:rsidRPr="00FF665F">
              <w:rPr>
                <w:rFonts w:ascii="Arial" w:hAnsi="Arial" w:cs="Arial"/>
                <w:sz w:val="18"/>
                <w:szCs w:val="18"/>
              </w:rPr>
              <w:t>4,252</w:t>
            </w:r>
          </w:p>
        </w:tc>
        <w:tc>
          <w:tcPr>
            <w:tcW w:w="1080" w:type="dxa"/>
            <w:vAlign w:val="center"/>
          </w:tcPr>
          <w:p w:rsidRPr="0049228A" w:rsidR="00114FC3" w:rsidP="00114FC3" w:rsidRDefault="00114FC3" w14:paraId="4031B77B" w14:textId="4B0CD96C">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4E58B297" w14:textId="1328D671">
            <w:pPr>
              <w:pStyle w:val="TableNote"/>
              <w:spacing w:after="0"/>
              <w:jc w:val="right"/>
              <w:rPr>
                <w:rFonts w:ascii="Arial" w:hAnsi="Arial" w:cs="Arial"/>
                <w:sz w:val="18"/>
                <w:szCs w:val="18"/>
              </w:rPr>
            </w:pPr>
            <w:r w:rsidRPr="00114FC3">
              <w:rPr>
                <w:rFonts w:ascii="Arial" w:hAnsi="Arial" w:cs="Arial"/>
                <w:color w:val="000000"/>
                <w:sz w:val="18"/>
                <w:szCs w:val="18"/>
              </w:rPr>
              <w:t>10</w:t>
            </w:r>
            <w:r>
              <w:rPr>
                <w:rFonts w:ascii="Arial" w:hAnsi="Arial" w:cs="Arial"/>
                <w:color w:val="000000"/>
                <w:sz w:val="18"/>
                <w:szCs w:val="18"/>
              </w:rPr>
              <w:t>,</w:t>
            </w:r>
            <w:r w:rsidRPr="00114FC3">
              <w:rPr>
                <w:rFonts w:ascii="Arial" w:hAnsi="Arial" w:cs="Arial"/>
                <w:color w:val="000000"/>
                <w:sz w:val="18"/>
                <w:szCs w:val="18"/>
              </w:rPr>
              <w:t>010 to 8</w:t>
            </w:r>
            <w:r>
              <w:rPr>
                <w:rFonts w:ascii="Arial" w:hAnsi="Arial" w:cs="Arial"/>
                <w:color w:val="000000"/>
                <w:sz w:val="18"/>
                <w:szCs w:val="18"/>
              </w:rPr>
              <w:t>,</w:t>
            </w:r>
            <w:r w:rsidRPr="00114FC3">
              <w:rPr>
                <w:rFonts w:ascii="Arial" w:hAnsi="Arial" w:cs="Arial"/>
                <w:color w:val="000000"/>
                <w:sz w:val="18"/>
                <w:szCs w:val="18"/>
              </w:rPr>
              <w:t>504</w:t>
            </w:r>
          </w:p>
        </w:tc>
        <w:tc>
          <w:tcPr>
            <w:tcW w:w="990" w:type="dxa"/>
            <w:vAlign w:val="center"/>
          </w:tcPr>
          <w:p w:rsidRPr="0049228A" w:rsidR="00114FC3" w:rsidP="00114FC3" w:rsidRDefault="00114FC3" w14:paraId="3BC81A94"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06B083CC" w14:textId="39899B48">
            <w:pPr>
              <w:pStyle w:val="TableNote"/>
              <w:spacing w:after="0"/>
              <w:jc w:val="right"/>
              <w:rPr>
                <w:rFonts w:ascii="Arial" w:hAnsi="Arial" w:cs="Arial"/>
                <w:sz w:val="18"/>
                <w:szCs w:val="18"/>
              </w:rPr>
            </w:pPr>
            <w:r w:rsidRPr="00114FC3">
              <w:rPr>
                <w:rFonts w:ascii="Arial" w:hAnsi="Arial" w:cs="Arial"/>
                <w:sz w:val="18"/>
                <w:szCs w:val="18"/>
              </w:rPr>
              <w:t>$572,972</w:t>
            </w:r>
            <w:r>
              <w:rPr>
                <w:rFonts w:ascii="Arial" w:hAnsi="Arial" w:cs="Arial"/>
                <w:sz w:val="18"/>
                <w:szCs w:val="18"/>
              </w:rPr>
              <w:t xml:space="preserve"> to </w:t>
            </w:r>
            <w:r w:rsidRPr="00114FC3">
              <w:rPr>
                <w:rFonts w:ascii="Arial" w:hAnsi="Arial" w:cs="Arial"/>
                <w:sz w:val="18"/>
                <w:szCs w:val="18"/>
              </w:rPr>
              <w:t>$486,769</w:t>
            </w:r>
          </w:p>
        </w:tc>
      </w:tr>
      <w:tr w:rsidRPr="006477B3" w:rsidR="00114FC3" w:rsidTr="00114FC3" w14:paraId="06DF1B6A" w14:textId="77777777">
        <w:tc>
          <w:tcPr>
            <w:tcW w:w="1794" w:type="dxa"/>
            <w:vAlign w:val="center"/>
          </w:tcPr>
          <w:p w:rsidRPr="0049228A" w:rsidR="00114FC3" w:rsidP="00114FC3" w:rsidRDefault="00114FC3" w14:paraId="3738B7B4" w14:textId="77777777">
            <w:pPr>
              <w:pStyle w:val="TableNote"/>
              <w:spacing w:after="0"/>
              <w:rPr>
                <w:rFonts w:ascii="Arial" w:hAnsi="Arial" w:cs="Arial"/>
                <w:sz w:val="18"/>
                <w:szCs w:val="18"/>
              </w:rPr>
            </w:pPr>
            <w:r w:rsidRPr="0049228A">
              <w:rPr>
                <w:rFonts w:ascii="Arial" w:hAnsi="Arial" w:cs="Arial"/>
                <w:sz w:val="18"/>
                <w:szCs w:val="18"/>
              </w:rPr>
              <w:t>1,001-3,300</w:t>
            </w:r>
          </w:p>
        </w:tc>
        <w:tc>
          <w:tcPr>
            <w:tcW w:w="1531" w:type="dxa"/>
            <w:vAlign w:val="center"/>
          </w:tcPr>
          <w:p w:rsidRPr="0049228A" w:rsidR="00114FC3" w:rsidP="00114FC3" w:rsidRDefault="00114FC3" w14:paraId="15EC4F35" w14:textId="087448C4">
            <w:pPr>
              <w:pStyle w:val="TableNote"/>
              <w:spacing w:after="0"/>
              <w:jc w:val="right"/>
              <w:rPr>
                <w:rFonts w:ascii="Arial" w:hAnsi="Arial" w:cs="Arial"/>
                <w:sz w:val="18"/>
                <w:szCs w:val="18"/>
              </w:rPr>
            </w:pPr>
            <w:r>
              <w:rPr>
                <w:rFonts w:ascii="Arial" w:hAnsi="Arial" w:cs="Arial"/>
                <w:sz w:val="18"/>
                <w:szCs w:val="18"/>
              </w:rPr>
              <w:t xml:space="preserve">6,147 to </w:t>
            </w:r>
            <w:r w:rsidRPr="00FF665F">
              <w:rPr>
                <w:rFonts w:ascii="Arial" w:hAnsi="Arial" w:cs="Arial"/>
                <w:sz w:val="18"/>
                <w:szCs w:val="18"/>
              </w:rPr>
              <w:t>4,966</w:t>
            </w:r>
          </w:p>
        </w:tc>
        <w:tc>
          <w:tcPr>
            <w:tcW w:w="1080" w:type="dxa"/>
            <w:vAlign w:val="center"/>
          </w:tcPr>
          <w:p w:rsidRPr="0049228A" w:rsidR="00114FC3" w:rsidP="00114FC3" w:rsidRDefault="00114FC3" w14:paraId="25A75D6D" w14:textId="148DCCF5">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20B7E8C7" w14:textId="3A0C9E07">
            <w:pPr>
              <w:pStyle w:val="TableNote"/>
              <w:spacing w:after="0"/>
              <w:jc w:val="right"/>
              <w:rPr>
                <w:rFonts w:ascii="Arial" w:hAnsi="Arial" w:cs="Arial"/>
                <w:sz w:val="18"/>
                <w:szCs w:val="18"/>
              </w:rPr>
            </w:pPr>
            <w:r w:rsidRPr="00114FC3">
              <w:rPr>
                <w:rFonts w:ascii="Arial" w:hAnsi="Arial" w:cs="Arial"/>
                <w:color w:val="000000"/>
                <w:sz w:val="18"/>
                <w:szCs w:val="18"/>
              </w:rPr>
              <w:t>12</w:t>
            </w:r>
            <w:r>
              <w:rPr>
                <w:rFonts w:ascii="Arial" w:hAnsi="Arial" w:cs="Arial"/>
                <w:color w:val="000000"/>
                <w:sz w:val="18"/>
                <w:szCs w:val="18"/>
              </w:rPr>
              <w:t>,</w:t>
            </w:r>
            <w:r w:rsidRPr="00114FC3">
              <w:rPr>
                <w:rFonts w:ascii="Arial" w:hAnsi="Arial" w:cs="Arial"/>
                <w:color w:val="000000"/>
                <w:sz w:val="18"/>
                <w:szCs w:val="18"/>
              </w:rPr>
              <w:t>294 to 9</w:t>
            </w:r>
            <w:r>
              <w:rPr>
                <w:rFonts w:ascii="Arial" w:hAnsi="Arial" w:cs="Arial"/>
                <w:color w:val="000000"/>
                <w:sz w:val="18"/>
                <w:szCs w:val="18"/>
              </w:rPr>
              <w:t>,</w:t>
            </w:r>
            <w:r w:rsidRPr="00114FC3">
              <w:rPr>
                <w:rFonts w:ascii="Arial" w:hAnsi="Arial" w:cs="Arial"/>
                <w:color w:val="000000"/>
                <w:sz w:val="18"/>
                <w:szCs w:val="18"/>
              </w:rPr>
              <w:t>932</w:t>
            </w:r>
          </w:p>
        </w:tc>
        <w:tc>
          <w:tcPr>
            <w:tcW w:w="990" w:type="dxa"/>
            <w:vAlign w:val="center"/>
          </w:tcPr>
          <w:p w:rsidRPr="0049228A" w:rsidR="00114FC3" w:rsidP="00114FC3" w:rsidRDefault="00114FC3" w14:paraId="4A69ED63"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5CC4D9A9" w14:textId="5D471FE3">
            <w:pPr>
              <w:pStyle w:val="TableNote"/>
              <w:spacing w:after="0"/>
              <w:jc w:val="right"/>
              <w:rPr>
                <w:rFonts w:ascii="Arial" w:hAnsi="Arial" w:cs="Arial"/>
                <w:sz w:val="18"/>
                <w:szCs w:val="18"/>
              </w:rPr>
            </w:pPr>
            <w:r w:rsidRPr="00114FC3">
              <w:rPr>
                <w:rFonts w:ascii="Arial" w:hAnsi="Arial" w:cs="Arial"/>
                <w:sz w:val="18"/>
                <w:szCs w:val="18"/>
              </w:rPr>
              <w:t>$703,709</w:t>
            </w:r>
            <w:r>
              <w:rPr>
                <w:rFonts w:ascii="Arial" w:hAnsi="Arial" w:cs="Arial"/>
                <w:sz w:val="18"/>
                <w:szCs w:val="18"/>
              </w:rPr>
              <w:t xml:space="preserve"> to </w:t>
            </w:r>
            <w:r w:rsidRPr="00114FC3">
              <w:rPr>
                <w:rFonts w:ascii="Arial" w:hAnsi="Arial" w:cs="Arial"/>
                <w:sz w:val="18"/>
                <w:szCs w:val="18"/>
              </w:rPr>
              <w:t>$568,508</w:t>
            </w:r>
          </w:p>
        </w:tc>
      </w:tr>
      <w:tr w:rsidRPr="006477B3" w:rsidR="00114FC3" w:rsidTr="00114FC3" w14:paraId="7A7ED67D" w14:textId="77777777">
        <w:tc>
          <w:tcPr>
            <w:tcW w:w="1794" w:type="dxa"/>
            <w:vAlign w:val="center"/>
          </w:tcPr>
          <w:p w:rsidRPr="0049228A" w:rsidR="00114FC3" w:rsidP="00114FC3" w:rsidRDefault="00114FC3" w14:paraId="382B5E04" w14:textId="77777777">
            <w:pPr>
              <w:pStyle w:val="TableNote"/>
              <w:spacing w:after="0"/>
              <w:rPr>
                <w:rFonts w:ascii="Arial" w:hAnsi="Arial" w:cs="Arial"/>
                <w:sz w:val="18"/>
                <w:szCs w:val="18"/>
              </w:rPr>
            </w:pPr>
            <w:r w:rsidRPr="0049228A">
              <w:rPr>
                <w:rFonts w:ascii="Arial" w:hAnsi="Arial" w:cs="Arial"/>
                <w:sz w:val="18"/>
                <w:szCs w:val="18"/>
              </w:rPr>
              <w:t>3,301-10,000</w:t>
            </w:r>
          </w:p>
        </w:tc>
        <w:tc>
          <w:tcPr>
            <w:tcW w:w="1531" w:type="dxa"/>
            <w:vAlign w:val="center"/>
          </w:tcPr>
          <w:p w:rsidRPr="0049228A" w:rsidR="00114FC3" w:rsidP="00114FC3" w:rsidRDefault="00114FC3" w14:paraId="72C2953E" w14:textId="2949DDD3">
            <w:pPr>
              <w:pStyle w:val="TableNote"/>
              <w:spacing w:after="0"/>
              <w:jc w:val="right"/>
              <w:rPr>
                <w:rFonts w:ascii="Arial" w:hAnsi="Arial" w:cs="Arial"/>
                <w:sz w:val="18"/>
                <w:szCs w:val="18"/>
              </w:rPr>
            </w:pPr>
            <w:r>
              <w:rPr>
                <w:rFonts w:ascii="Arial" w:hAnsi="Arial" w:cs="Arial"/>
                <w:sz w:val="18"/>
                <w:szCs w:val="18"/>
              </w:rPr>
              <w:t xml:space="preserve">3,428 to </w:t>
            </w:r>
            <w:r w:rsidRPr="00FF665F">
              <w:rPr>
                <w:rFonts w:ascii="Arial" w:hAnsi="Arial" w:cs="Arial"/>
                <w:sz w:val="18"/>
                <w:szCs w:val="18"/>
              </w:rPr>
              <w:t>2,548</w:t>
            </w:r>
          </w:p>
        </w:tc>
        <w:tc>
          <w:tcPr>
            <w:tcW w:w="1080" w:type="dxa"/>
            <w:vAlign w:val="center"/>
          </w:tcPr>
          <w:p w:rsidRPr="0049228A" w:rsidR="00114FC3" w:rsidP="00114FC3" w:rsidRDefault="00114FC3" w14:paraId="2DE46AE7" w14:textId="58A32FA6">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2EE5F1AB" w14:textId="470DAF6F">
            <w:pPr>
              <w:pStyle w:val="TableNote"/>
              <w:spacing w:after="0"/>
              <w:jc w:val="right"/>
              <w:rPr>
                <w:rFonts w:ascii="Arial" w:hAnsi="Arial" w:cs="Arial"/>
                <w:sz w:val="18"/>
                <w:szCs w:val="18"/>
              </w:rPr>
            </w:pPr>
            <w:r w:rsidRPr="00114FC3">
              <w:rPr>
                <w:rFonts w:ascii="Arial" w:hAnsi="Arial" w:cs="Arial"/>
                <w:color w:val="000000"/>
                <w:sz w:val="18"/>
                <w:szCs w:val="18"/>
              </w:rPr>
              <w:t>6</w:t>
            </w:r>
            <w:r>
              <w:rPr>
                <w:rFonts w:ascii="Arial" w:hAnsi="Arial" w:cs="Arial"/>
                <w:color w:val="000000"/>
                <w:sz w:val="18"/>
                <w:szCs w:val="18"/>
              </w:rPr>
              <w:t>,</w:t>
            </w:r>
            <w:r w:rsidRPr="00114FC3">
              <w:rPr>
                <w:rFonts w:ascii="Arial" w:hAnsi="Arial" w:cs="Arial"/>
                <w:color w:val="000000"/>
                <w:sz w:val="18"/>
                <w:szCs w:val="18"/>
              </w:rPr>
              <w:t>856 to 5</w:t>
            </w:r>
            <w:r>
              <w:rPr>
                <w:rFonts w:ascii="Arial" w:hAnsi="Arial" w:cs="Arial"/>
                <w:color w:val="000000"/>
                <w:sz w:val="18"/>
                <w:szCs w:val="18"/>
              </w:rPr>
              <w:t>,</w:t>
            </w:r>
            <w:r w:rsidRPr="00114FC3">
              <w:rPr>
                <w:rFonts w:ascii="Arial" w:hAnsi="Arial" w:cs="Arial"/>
                <w:color w:val="000000"/>
                <w:sz w:val="18"/>
                <w:szCs w:val="18"/>
              </w:rPr>
              <w:t>096</w:t>
            </w:r>
          </w:p>
        </w:tc>
        <w:tc>
          <w:tcPr>
            <w:tcW w:w="990" w:type="dxa"/>
            <w:vAlign w:val="center"/>
          </w:tcPr>
          <w:p w:rsidRPr="0049228A" w:rsidR="00114FC3" w:rsidP="00114FC3" w:rsidRDefault="00114FC3" w14:paraId="4674E71E"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0DD33402" w14:textId="515A2D29">
            <w:pPr>
              <w:pStyle w:val="TableNote"/>
              <w:spacing w:after="0"/>
              <w:jc w:val="right"/>
              <w:rPr>
                <w:rFonts w:ascii="Arial" w:hAnsi="Arial" w:cs="Arial"/>
                <w:sz w:val="18"/>
                <w:szCs w:val="18"/>
              </w:rPr>
            </w:pPr>
            <w:r w:rsidRPr="00114FC3">
              <w:rPr>
                <w:rFonts w:ascii="Arial" w:hAnsi="Arial" w:cs="Arial"/>
                <w:sz w:val="18"/>
                <w:szCs w:val="18"/>
              </w:rPr>
              <w:t>$392,437</w:t>
            </w:r>
            <w:r>
              <w:rPr>
                <w:rFonts w:ascii="Arial" w:hAnsi="Arial" w:cs="Arial"/>
                <w:sz w:val="18"/>
                <w:szCs w:val="18"/>
              </w:rPr>
              <w:t xml:space="preserve"> to </w:t>
            </w:r>
            <w:r w:rsidRPr="00114FC3">
              <w:rPr>
                <w:rFonts w:ascii="Arial" w:hAnsi="Arial" w:cs="Arial"/>
                <w:sz w:val="18"/>
                <w:szCs w:val="18"/>
              </w:rPr>
              <w:t>$291,695</w:t>
            </w:r>
          </w:p>
        </w:tc>
      </w:tr>
      <w:tr w:rsidRPr="006477B3" w:rsidR="00114FC3" w:rsidTr="00114FC3" w14:paraId="23976F05" w14:textId="77777777">
        <w:tc>
          <w:tcPr>
            <w:tcW w:w="1794" w:type="dxa"/>
            <w:vAlign w:val="center"/>
          </w:tcPr>
          <w:p w:rsidRPr="0049228A" w:rsidR="00114FC3" w:rsidP="00114FC3" w:rsidRDefault="00114FC3" w14:paraId="6EF7683A" w14:textId="77777777">
            <w:pPr>
              <w:pStyle w:val="TableNote"/>
              <w:spacing w:after="0"/>
              <w:rPr>
                <w:rFonts w:ascii="Arial" w:hAnsi="Arial" w:cs="Arial"/>
                <w:sz w:val="18"/>
                <w:szCs w:val="18"/>
              </w:rPr>
            </w:pPr>
            <w:r w:rsidRPr="0049228A">
              <w:rPr>
                <w:rFonts w:ascii="Arial" w:hAnsi="Arial" w:cs="Arial"/>
                <w:sz w:val="18"/>
                <w:szCs w:val="18"/>
              </w:rPr>
              <w:t>10,001-50,000</w:t>
            </w:r>
          </w:p>
        </w:tc>
        <w:tc>
          <w:tcPr>
            <w:tcW w:w="1531" w:type="dxa"/>
            <w:vAlign w:val="center"/>
          </w:tcPr>
          <w:p w:rsidRPr="0049228A" w:rsidR="00114FC3" w:rsidP="00114FC3" w:rsidRDefault="00114FC3" w14:paraId="24666BCA" w14:textId="18E66C3C">
            <w:pPr>
              <w:pStyle w:val="TableNote"/>
              <w:spacing w:after="0"/>
              <w:jc w:val="right"/>
              <w:rPr>
                <w:rFonts w:ascii="Arial" w:hAnsi="Arial" w:cs="Arial"/>
                <w:sz w:val="18"/>
                <w:szCs w:val="18"/>
              </w:rPr>
            </w:pPr>
            <w:r>
              <w:rPr>
                <w:rFonts w:ascii="Arial" w:hAnsi="Arial" w:cs="Arial"/>
                <w:sz w:val="18"/>
                <w:szCs w:val="18"/>
              </w:rPr>
              <w:t xml:space="preserve">1,733 to </w:t>
            </w:r>
            <w:r w:rsidRPr="00FF665F">
              <w:rPr>
                <w:rFonts w:ascii="Arial" w:hAnsi="Arial" w:cs="Arial"/>
                <w:sz w:val="18"/>
                <w:szCs w:val="18"/>
              </w:rPr>
              <w:t>1,567</w:t>
            </w:r>
          </w:p>
        </w:tc>
        <w:tc>
          <w:tcPr>
            <w:tcW w:w="1080" w:type="dxa"/>
            <w:vAlign w:val="center"/>
          </w:tcPr>
          <w:p w:rsidRPr="0049228A" w:rsidR="00114FC3" w:rsidP="00114FC3" w:rsidRDefault="00114FC3" w14:paraId="0841DB75" w14:textId="3491D1FA">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618CDE62" w14:textId="4CF9CF36">
            <w:pPr>
              <w:pStyle w:val="TableNote"/>
              <w:spacing w:after="0"/>
              <w:jc w:val="right"/>
              <w:rPr>
                <w:rFonts w:ascii="Arial" w:hAnsi="Arial" w:cs="Arial"/>
                <w:sz w:val="18"/>
                <w:szCs w:val="18"/>
              </w:rPr>
            </w:pPr>
            <w:r w:rsidRPr="00114FC3">
              <w:rPr>
                <w:rFonts w:ascii="Arial" w:hAnsi="Arial" w:cs="Arial"/>
                <w:color w:val="000000"/>
                <w:sz w:val="18"/>
                <w:szCs w:val="18"/>
              </w:rPr>
              <w:t>3</w:t>
            </w:r>
            <w:r>
              <w:rPr>
                <w:rFonts w:ascii="Arial" w:hAnsi="Arial" w:cs="Arial"/>
                <w:color w:val="000000"/>
                <w:sz w:val="18"/>
                <w:szCs w:val="18"/>
              </w:rPr>
              <w:t>,</w:t>
            </w:r>
            <w:r w:rsidRPr="00114FC3">
              <w:rPr>
                <w:rFonts w:ascii="Arial" w:hAnsi="Arial" w:cs="Arial"/>
                <w:color w:val="000000"/>
                <w:sz w:val="18"/>
                <w:szCs w:val="18"/>
              </w:rPr>
              <w:t>466 to 3</w:t>
            </w:r>
            <w:r>
              <w:rPr>
                <w:rFonts w:ascii="Arial" w:hAnsi="Arial" w:cs="Arial"/>
                <w:color w:val="000000"/>
                <w:sz w:val="18"/>
                <w:szCs w:val="18"/>
              </w:rPr>
              <w:t>,</w:t>
            </w:r>
            <w:r w:rsidRPr="00114FC3">
              <w:rPr>
                <w:rFonts w:ascii="Arial" w:hAnsi="Arial" w:cs="Arial"/>
                <w:color w:val="000000"/>
                <w:sz w:val="18"/>
                <w:szCs w:val="18"/>
              </w:rPr>
              <w:t>134</w:t>
            </w:r>
          </w:p>
        </w:tc>
        <w:tc>
          <w:tcPr>
            <w:tcW w:w="990" w:type="dxa"/>
            <w:vAlign w:val="center"/>
          </w:tcPr>
          <w:p w:rsidRPr="0049228A" w:rsidR="00114FC3" w:rsidP="00114FC3" w:rsidRDefault="00114FC3" w14:paraId="743C4F5B"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48BD5CA1" w14:textId="49BB0E1B">
            <w:pPr>
              <w:pStyle w:val="TableNote"/>
              <w:spacing w:after="0"/>
              <w:jc w:val="right"/>
              <w:rPr>
                <w:rFonts w:ascii="Arial" w:hAnsi="Arial" w:cs="Arial"/>
                <w:sz w:val="18"/>
                <w:szCs w:val="18"/>
              </w:rPr>
            </w:pPr>
            <w:r w:rsidRPr="00114FC3">
              <w:rPr>
                <w:rFonts w:ascii="Arial" w:hAnsi="Arial" w:cs="Arial"/>
                <w:sz w:val="18"/>
                <w:szCs w:val="18"/>
              </w:rPr>
              <w:t>$198,394</w:t>
            </w:r>
            <w:r>
              <w:rPr>
                <w:rFonts w:ascii="Arial" w:hAnsi="Arial" w:cs="Arial"/>
                <w:sz w:val="18"/>
                <w:szCs w:val="18"/>
              </w:rPr>
              <w:t xml:space="preserve"> to </w:t>
            </w:r>
            <w:r w:rsidRPr="00114FC3">
              <w:rPr>
                <w:rFonts w:ascii="Arial" w:hAnsi="Arial" w:cs="Arial"/>
                <w:sz w:val="18"/>
                <w:szCs w:val="18"/>
              </w:rPr>
              <w:t>$179,390</w:t>
            </w:r>
          </w:p>
        </w:tc>
      </w:tr>
      <w:tr w:rsidRPr="006477B3" w:rsidR="00114FC3" w:rsidTr="00114FC3" w14:paraId="5D7DB5AE" w14:textId="77777777">
        <w:tc>
          <w:tcPr>
            <w:tcW w:w="1794" w:type="dxa"/>
            <w:vAlign w:val="center"/>
          </w:tcPr>
          <w:p w:rsidRPr="0049228A" w:rsidR="00114FC3" w:rsidP="00114FC3" w:rsidRDefault="00114FC3" w14:paraId="038AE731" w14:textId="77777777">
            <w:pPr>
              <w:pStyle w:val="TableNote"/>
              <w:spacing w:after="0"/>
              <w:rPr>
                <w:rFonts w:ascii="Arial" w:hAnsi="Arial" w:cs="Arial"/>
                <w:sz w:val="18"/>
                <w:szCs w:val="18"/>
              </w:rPr>
            </w:pPr>
            <w:r w:rsidRPr="0049228A">
              <w:rPr>
                <w:rFonts w:ascii="Arial" w:hAnsi="Arial" w:cs="Arial"/>
                <w:sz w:val="18"/>
                <w:szCs w:val="18"/>
              </w:rPr>
              <w:t>50,001-100,000</w:t>
            </w:r>
          </w:p>
        </w:tc>
        <w:tc>
          <w:tcPr>
            <w:tcW w:w="1531" w:type="dxa"/>
            <w:vAlign w:val="center"/>
          </w:tcPr>
          <w:p w:rsidRPr="0049228A" w:rsidR="00114FC3" w:rsidP="00114FC3" w:rsidRDefault="00114FC3" w14:paraId="02D3E426" w14:textId="6D66143D">
            <w:pPr>
              <w:pStyle w:val="TableNote"/>
              <w:spacing w:after="0"/>
              <w:jc w:val="right"/>
              <w:rPr>
                <w:rFonts w:ascii="Arial" w:hAnsi="Arial" w:cs="Arial"/>
                <w:sz w:val="18"/>
                <w:szCs w:val="18"/>
              </w:rPr>
            </w:pPr>
            <w:r>
              <w:rPr>
                <w:rFonts w:ascii="Arial" w:hAnsi="Arial" w:cs="Arial"/>
                <w:sz w:val="18"/>
                <w:szCs w:val="18"/>
              </w:rPr>
              <w:t xml:space="preserve">225 to </w:t>
            </w:r>
            <w:r w:rsidRPr="00FF665F">
              <w:rPr>
                <w:rFonts w:ascii="Arial" w:hAnsi="Arial" w:cs="Arial"/>
                <w:sz w:val="18"/>
                <w:szCs w:val="18"/>
              </w:rPr>
              <w:t>263</w:t>
            </w:r>
          </w:p>
        </w:tc>
        <w:tc>
          <w:tcPr>
            <w:tcW w:w="1080" w:type="dxa"/>
            <w:vAlign w:val="center"/>
          </w:tcPr>
          <w:p w:rsidRPr="0049228A" w:rsidR="00114FC3" w:rsidP="00114FC3" w:rsidRDefault="00114FC3" w14:paraId="15E432C4" w14:textId="4E822BD0">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6E7C3C14" w14:textId="1527DE6E">
            <w:pPr>
              <w:pStyle w:val="TableNote"/>
              <w:spacing w:after="0"/>
              <w:jc w:val="right"/>
              <w:rPr>
                <w:rFonts w:ascii="Arial" w:hAnsi="Arial" w:cs="Arial"/>
                <w:sz w:val="18"/>
                <w:szCs w:val="18"/>
              </w:rPr>
            </w:pPr>
            <w:r w:rsidRPr="00114FC3">
              <w:rPr>
                <w:rFonts w:ascii="Arial" w:hAnsi="Arial" w:cs="Arial"/>
                <w:color w:val="000000"/>
                <w:sz w:val="18"/>
                <w:szCs w:val="18"/>
              </w:rPr>
              <w:t>450 to 526</w:t>
            </w:r>
          </w:p>
        </w:tc>
        <w:tc>
          <w:tcPr>
            <w:tcW w:w="990" w:type="dxa"/>
            <w:vAlign w:val="center"/>
          </w:tcPr>
          <w:p w:rsidRPr="0049228A" w:rsidR="00114FC3" w:rsidP="00114FC3" w:rsidRDefault="00114FC3" w14:paraId="2F19C8EC"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0B3DD0BE" w14:textId="01223E2F">
            <w:pPr>
              <w:pStyle w:val="TableNote"/>
              <w:spacing w:after="0"/>
              <w:jc w:val="right"/>
              <w:rPr>
                <w:rFonts w:ascii="Arial" w:hAnsi="Arial" w:cs="Arial"/>
                <w:sz w:val="18"/>
                <w:szCs w:val="18"/>
              </w:rPr>
            </w:pPr>
            <w:r w:rsidRPr="00114FC3">
              <w:rPr>
                <w:rFonts w:ascii="Arial" w:hAnsi="Arial" w:cs="Arial"/>
                <w:sz w:val="18"/>
                <w:szCs w:val="18"/>
              </w:rPr>
              <w:t>$25,758</w:t>
            </w:r>
            <w:r>
              <w:rPr>
                <w:rFonts w:ascii="Arial" w:hAnsi="Arial" w:cs="Arial"/>
                <w:sz w:val="18"/>
                <w:szCs w:val="18"/>
              </w:rPr>
              <w:t xml:space="preserve"> to </w:t>
            </w:r>
            <w:r w:rsidRPr="00114FC3">
              <w:rPr>
                <w:rFonts w:ascii="Arial" w:hAnsi="Arial" w:cs="Arial"/>
                <w:sz w:val="18"/>
                <w:szCs w:val="18"/>
              </w:rPr>
              <w:t>$30,108</w:t>
            </w:r>
          </w:p>
        </w:tc>
      </w:tr>
      <w:tr w:rsidRPr="006477B3" w:rsidR="00114FC3" w:rsidTr="00114FC3" w14:paraId="22506815" w14:textId="77777777">
        <w:tc>
          <w:tcPr>
            <w:tcW w:w="1794" w:type="dxa"/>
            <w:vAlign w:val="center"/>
          </w:tcPr>
          <w:p w:rsidRPr="0049228A" w:rsidR="00114FC3" w:rsidP="00114FC3" w:rsidRDefault="00114FC3" w14:paraId="3AAFB7F1" w14:textId="77777777">
            <w:pPr>
              <w:pStyle w:val="TableNote"/>
              <w:spacing w:after="0"/>
              <w:rPr>
                <w:rFonts w:ascii="Arial" w:hAnsi="Arial" w:cs="Arial"/>
                <w:sz w:val="18"/>
                <w:szCs w:val="18"/>
              </w:rPr>
            </w:pPr>
            <w:r w:rsidRPr="0049228A">
              <w:rPr>
                <w:rFonts w:ascii="Arial" w:hAnsi="Arial" w:cs="Arial"/>
                <w:sz w:val="18"/>
                <w:szCs w:val="18"/>
              </w:rPr>
              <w:t>100,001-1,000,000</w:t>
            </w:r>
          </w:p>
        </w:tc>
        <w:tc>
          <w:tcPr>
            <w:tcW w:w="1531" w:type="dxa"/>
            <w:vAlign w:val="center"/>
          </w:tcPr>
          <w:p w:rsidRPr="0049228A" w:rsidR="00114FC3" w:rsidP="00114FC3" w:rsidRDefault="00114FC3" w14:paraId="02306954" w14:textId="61B6498E">
            <w:pPr>
              <w:pStyle w:val="TableNote"/>
              <w:spacing w:after="0"/>
              <w:jc w:val="right"/>
              <w:rPr>
                <w:rFonts w:ascii="Arial" w:hAnsi="Arial" w:cs="Arial"/>
                <w:sz w:val="18"/>
                <w:szCs w:val="18"/>
              </w:rPr>
            </w:pPr>
            <w:r>
              <w:rPr>
                <w:rFonts w:ascii="Arial" w:hAnsi="Arial" w:cs="Arial"/>
                <w:sz w:val="18"/>
                <w:szCs w:val="18"/>
              </w:rPr>
              <w:t xml:space="preserve">182 to </w:t>
            </w:r>
            <w:r w:rsidRPr="00FF665F">
              <w:rPr>
                <w:rFonts w:ascii="Arial" w:hAnsi="Arial" w:cs="Arial"/>
                <w:sz w:val="18"/>
                <w:szCs w:val="18"/>
              </w:rPr>
              <w:t>134</w:t>
            </w:r>
          </w:p>
        </w:tc>
        <w:tc>
          <w:tcPr>
            <w:tcW w:w="1080" w:type="dxa"/>
            <w:vAlign w:val="center"/>
          </w:tcPr>
          <w:p w:rsidRPr="0049228A" w:rsidR="00114FC3" w:rsidP="00114FC3" w:rsidRDefault="00114FC3" w14:paraId="164567A7" w14:textId="540A6944">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7FA6249E" w14:textId="78F023D2">
            <w:pPr>
              <w:pStyle w:val="TableNote"/>
              <w:spacing w:after="0"/>
              <w:jc w:val="right"/>
              <w:rPr>
                <w:rFonts w:ascii="Arial" w:hAnsi="Arial" w:cs="Arial"/>
                <w:sz w:val="18"/>
                <w:szCs w:val="18"/>
              </w:rPr>
            </w:pPr>
            <w:r w:rsidRPr="00114FC3">
              <w:rPr>
                <w:rFonts w:ascii="Arial" w:hAnsi="Arial" w:cs="Arial"/>
                <w:color w:val="000000"/>
                <w:sz w:val="18"/>
                <w:szCs w:val="18"/>
              </w:rPr>
              <w:t>364 to 268</w:t>
            </w:r>
          </w:p>
        </w:tc>
        <w:tc>
          <w:tcPr>
            <w:tcW w:w="990" w:type="dxa"/>
            <w:vAlign w:val="center"/>
          </w:tcPr>
          <w:p w:rsidRPr="0049228A" w:rsidR="00114FC3" w:rsidP="00114FC3" w:rsidRDefault="00114FC3" w14:paraId="23D7C606"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27D49B23" w14:textId="6EEE2CDE">
            <w:pPr>
              <w:pStyle w:val="TableNote"/>
              <w:spacing w:after="0"/>
              <w:jc w:val="right"/>
              <w:rPr>
                <w:rFonts w:ascii="Arial" w:hAnsi="Arial" w:cs="Arial"/>
                <w:sz w:val="18"/>
                <w:szCs w:val="18"/>
              </w:rPr>
            </w:pPr>
            <w:r>
              <w:rPr>
                <w:rFonts w:ascii="Arial" w:hAnsi="Arial" w:cs="Arial"/>
                <w:sz w:val="18"/>
                <w:szCs w:val="18"/>
              </w:rPr>
              <w:t xml:space="preserve">$20,835 to </w:t>
            </w:r>
            <w:r w:rsidRPr="00114FC3">
              <w:rPr>
                <w:rFonts w:ascii="Arial" w:hAnsi="Arial" w:cs="Arial"/>
                <w:sz w:val="18"/>
                <w:szCs w:val="18"/>
              </w:rPr>
              <w:t>$15,340</w:t>
            </w:r>
          </w:p>
        </w:tc>
      </w:tr>
      <w:tr w:rsidRPr="006477B3" w:rsidR="00114FC3" w:rsidTr="00114FC3" w14:paraId="6FB5D0A7" w14:textId="77777777">
        <w:tc>
          <w:tcPr>
            <w:tcW w:w="1794" w:type="dxa"/>
            <w:vAlign w:val="center"/>
          </w:tcPr>
          <w:p w:rsidRPr="0049228A" w:rsidR="00114FC3" w:rsidP="00114FC3" w:rsidRDefault="00114FC3" w14:paraId="01B5A35B" w14:textId="77777777">
            <w:pPr>
              <w:pStyle w:val="TableNote"/>
              <w:spacing w:after="0"/>
              <w:rPr>
                <w:rFonts w:ascii="Arial" w:hAnsi="Arial" w:cs="Arial"/>
                <w:sz w:val="18"/>
                <w:szCs w:val="18"/>
              </w:rPr>
            </w:pPr>
            <w:r w:rsidRPr="0049228A">
              <w:rPr>
                <w:rFonts w:ascii="Arial" w:hAnsi="Arial" w:cs="Arial"/>
                <w:sz w:val="18"/>
                <w:szCs w:val="18"/>
              </w:rPr>
              <w:t>&gt;1,000,000</w:t>
            </w:r>
          </w:p>
        </w:tc>
        <w:tc>
          <w:tcPr>
            <w:tcW w:w="1531" w:type="dxa"/>
            <w:vAlign w:val="center"/>
          </w:tcPr>
          <w:p w:rsidRPr="0049228A" w:rsidR="00114FC3" w:rsidP="00114FC3" w:rsidRDefault="00114FC3" w14:paraId="3048969A" w14:textId="13153610">
            <w:pPr>
              <w:pStyle w:val="TableNote"/>
              <w:spacing w:after="0"/>
              <w:jc w:val="right"/>
              <w:rPr>
                <w:rFonts w:ascii="Arial" w:hAnsi="Arial" w:cs="Arial"/>
                <w:sz w:val="18"/>
                <w:szCs w:val="18"/>
              </w:rPr>
            </w:pPr>
            <w:r>
              <w:rPr>
                <w:rFonts w:ascii="Arial" w:hAnsi="Arial" w:cs="Arial"/>
                <w:sz w:val="18"/>
                <w:szCs w:val="18"/>
              </w:rPr>
              <w:t xml:space="preserve">8 to </w:t>
            </w:r>
            <w:r w:rsidRPr="00FF665F">
              <w:rPr>
                <w:rFonts w:ascii="Arial" w:hAnsi="Arial" w:cs="Arial"/>
                <w:sz w:val="18"/>
                <w:szCs w:val="18"/>
              </w:rPr>
              <w:t>6</w:t>
            </w:r>
          </w:p>
        </w:tc>
        <w:tc>
          <w:tcPr>
            <w:tcW w:w="1080" w:type="dxa"/>
            <w:vAlign w:val="center"/>
          </w:tcPr>
          <w:p w:rsidRPr="0049228A" w:rsidR="00114FC3" w:rsidP="00114FC3" w:rsidRDefault="00114FC3" w14:paraId="6BC662CB" w14:textId="5F3DC9B8">
            <w:pPr>
              <w:pStyle w:val="TableNote"/>
              <w:spacing w:after="0"/>
              <w:jc w:val="right"/>
              <w:rPr>
                <w:rFonts w:ascii="Arial" w:hAnsi="Arial" w:cs="Arial"/>
                <w:sz w:val="18"/>
                <w:szCs w:val="18"/>
              </w:rPr>
            </w:pPr>
            <w:r>
              <w:rPr>
                <w:rFonts w:ascii="Arial" w:hAnsi="Arial" w:cs="Arial"/>
                <w:color w:val="000000"/>
                <w:sz w:val="18"/>
                <w:szCs w:val="18"/>
              </w:rPr>
              <w:t>2</w:t>
            </w:r>
          </w:p>
        </w:tc>
        <w:tc>
          <w:tcPr>
            <w:tcW w:w="1710" w:type="dxa"/>
            <w:vAlign w:val="bottom"/>
          </w:tcPr>
          <w:p w:rsidRPr="00114FC3" w:rsidR="00114FC3" w:rsidP="00114FC3" w:rsidRDefault="00114FC3" w14:paraId="34C8F637" w14:textId="6C3DEBC4">
            <w:pPr>
              <w:pStyle w:val="TableNote"/>
              <w:spacing w:after="0"/>
              <w:jc w:val="right"/>
              <w:rPr>
                <w:rFonts w:ascii="Arial" w:hAnsi="Arial" w:cs="Arial"/>
                <w:sz w:val="18"/>
                <w:szCs w:val="18"/>
              </w:rPr>
            </w:pPr>
            <w:r w:rsidRPr="00114FC3">
              <w:rPr>
                <w:rFonts w:ascii="Arial" w:hAnsi="Arial" w:cs="Arial"/>
                <w:color w:val="000000"/>
                <w:sz w:val="18"/>
                <w:szCs w:val="18"/>
              </w:rPr>
              <w:t>16 to 12</w:t>
            </w:r>
          </w:p>
        </w:tc>
        <w:tc>
          <w:tcPr>
            <w:tcW w:w="990" w:type="dxa"/>
            <w:vAlign w:val="center"/>
          </w:tcPr>
          <w:p w:rsidRPr="0049228A" w:rsidR="00114FC3" w:rsidP="00114FC3" w:rsidRDefault="00114FC3" w14:paraId="1C9A682F" w14:textId="77777777">
            <w:pPr>
              <w:pStyle w:val="TableNote"/>
              <w:spacing w:after="0"/>
              <w:jc w:val="right"/>
              <w:rPr>
                <w:rFonts w:ascii="Arial" w:hAnsi="Arial" w:cs="Arial"/>
                <w:sz w:val="18"/>
                <w:szCs w:val="18"/>
              </w:rPr>
            </w:pPr>
            <w:r w:rsidRPr="0049228A">
              <w:rPr>
                <w:rFonts w:ascii="Arial" w:hAnsi="Arial" w:cs="Arial"/>
                <w:sz w:val="18"/>
                <w:szCs w:val="18"/>
              </w:rPr>
              <w:t>$57.24</w:t>
            </w:r>
          </w:p>
        </w:tc>
        <w:tc>
          <w:tcPr>
            <w:tcW w:w="2481" w:type="dxa"/>
            <w:vAlign w:val="center"/>
          </w:tcPr>
          <w:p w:rsidRPr="0049228A" w:rsidR="00114FC3" w:rsidP="00114FC3" w:rsidRDefault="00114FC3" w14:paraId="6A9BA27F" w14:textId="1AC1F1D7">
            <w:pPr>
              <w:pStyle w:val="TableNote"/>
              <w:spacing w:after="0"/>
              <w:jc w:val="right"/>
              <w:rPr>
                <w:rFonts w:ascii="Arial" w:hAnsi="Arial" w:cs="Arial"/>
                <w:sz w:val="18"/>
                <w:szCs w:val="18"/>
              </w:rPr>
            </w:pPr>
            <w:r w:rsidRPr="00114FC3">
              <w:rPr>
                <w:rFonts w:ascii="Arial" w:hAnsi="Arial" w:cs="Arial"/>
                <w:sz w:val="18"/>
                <w:szCs w:val="18"/>
              </w:rPr>
              <w:t>$916</w:t>
            </w:r>
            <w:r>
              <w:rPr>
                <w:rFonts w:ascii="Arial" w:hAnsi="Arial" w:cs="Arial"/>
                <w:sz w:val="18"/>
                <w:szCs w:val="18"/>
              </w:rPr>
              <w:t xml:space="preserve"> to </w:t>
            </w:r>
            <w:r w:rsidRPr="00114FC3">
              <w:rPr>
                <w:rFonts w:ascii="Arial" w:hAnsi="Arial" w:cs="Arial"/>
                <w:sz w:val="18"/>
                <w:szCs w:val="18"/>
              </w:rPr>
              <w:t>$687</w:t>
            </w:r>
          </w:p>
        </w:tc>
      </w:tr>
      <w:tr w:rsidRPr="006477B3" w:rsidR="00114FC3" w:rsidTr="00114FC3" w14:paraId="1D8DB381" w14:textId="77777777">
        <w:tc>
          <w:tcPr>
            <w:tcW w:w="1794" w:type="dxa"/>
            <w:vAlign w:val="center"/>
          </w:tcPr>
          <w:p w:rsidRPr="0049228A" w:rsidR="00114FC3" w:rsidP="00114FC3" w:rsidRDefault="00114FC3" w14:paraId="2D1293CD" w14:textId="77777777">
            <w:pPr>
              <w:pStyle w:val="TableNote"/>
              <w:spacing w:after="0"/>
              <w:rPr>
                <w:rFonts w:ascii="Arial" w:hAnsi="Arial" w:cs="Arial"/>
                <w:b/>
                <w:sz w:val="18"/>
                <w:szCs w:val="18"/>
              </w:rPr>
            </w:pPr>
            <w:r w:rsidRPr="0049228A">
              <w:rPr>
                <w:rFonts w:ascii="Arial" w:hAnsi="Arial" w:cs="Arial"/>
                <w:b/>
                <w:sz w:val="18"/>
                <w:szCs w:val="18"/>
              </w:rPr>
              <w:t>Primacy agency 3-year Total</w:t>
            </w:r>
          </w:p>
        </w:tc>
        <w:tc>
          <w:tcPr>
            <w:tcW w:w="1531" w:type="dxa"/>
            <w:vAlign w:val="center"/>
          </w:tcPr>
          <w:p w:rsidRPr="0049228A" w:rsidR="00114FC3" w:rsidP="00114FC3" w:rsidRDefault="00114FC3" w14:paraId="3CBCE023" w14:textId="17C4CFC7">
            <w:pPr>
              <w:pStyle w:val="TableNote"/>
              <w:spacing w:after="0"/>
              <w:jc w:val="right"/>
              <w:rPr>
                <w:rFonts w:ascii="Arial" w:hAnsi="Arial" w:cs="Arial"/>
                <w:b/>
                <w:sz w:val="18"/>
                <w:szCs w:val="18"/>
              </w:rPr>
            </w:pPr>
            <w:r>
              <w:rPr>
                <w:rFonts w:ascii="Arial" w:hAnsi="Arial" w:cs="Arial"/>
                <w:b/>
                <w:sz w:val="18"/>
                <w:szCs w:val="18"/>
              </w:rPr>
              <w:t xml:space="preserve">49,435 to </w:t>
            </w:r>
            <w:r w:rsidRPr="00FF665F">
              <w:rPr>
                <w:rFonts w:ascii="Arial" w:hAnsi="Arial" w:cs="Arial"/>
                <w:b/>
                <w:sz w:val="18"/>
                <w:szCs w:val="18"/>
              </w:rPr>
              <w:t>47,104</w:t>
            </w:r>
          </w:p>
        </w:tc>
        <w:tc>
          <w:tcPr>
            <w:tcW w:w="1080" w:type="dxa"/>
            <w:vAlign w:val="center"/>
          </w:tcPr>
          <w:p w:rsidRPr="0049228A" w:rsidR="00114FC3" w:rsidP="00114FC3" w:rsidRDefault="00114FC3" w14:paraId="34EF6F30" w14:textId="77777777">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710" w:type="dxa"/>
            <w:vAlign w:val="bottom"/>
          </w:tcPr>
          <w:p w:rsidRPr="00114FC3" w:rsidR="00114FC3" w:rsidP="00114FC3" w:rsidRDefault="00114FC3" w14:paraId="6089616C" w14:textId="5B627A97">
            <w:pPr>
              <w:pStyle w:val="TableNote"/>
              <w:spacing w:after="0"/>
              <w:jc w:val="right"/>
              <w:rPr>
                <w:rFonts w:ascii="Arial" w:hAnsi="Arial" w:cs="Arial"/>
                <w:b/>
                <w:sz w:val="18"/>
                <w:szCs w:val="18"/>
              </w:rPr>
            </w:pPr>
            <w:r w:rsidRPr="00114FC3">
              <w:rPr>
                <w:rFonts w:ascii="Arial" w:hAnsi="Arial" w:cs="Arial"/>
                <w:b/>
                <w:color w:val="000000"/>
                <w:sz w:val="18"/>
                <w:szCs w:val="18"/>
              </w:rPr>
              <w:t>98</w:t>
            </w:r>
            <w:r>
              <w:rPr>
                <w:rFonts w:ascii="Arial" w:hAnsi="Arial" w:cs="Arial"/>
                <w:b/>
                <w:color w:val="000000"/>
                <w:sz w:val="18"/>
                <w:szCs w:val="18"/>
              </w:rPr>
              <w:t>,</w:t>
            </w:r>
            <w:r w:rsidRPr="00114FC3">
              <w:rPr>
                <w:rFonts w:ascii="Arial" w:hAnsi="Arial" w:cs="Arial"/>
                <w:b/>
                <w:color w:val="000000"/>
                <w:sz w:val="18"/>
                <w:szCs w:val="18"/>
              </w:rPr>
              <w:t>870 to 94</w:t>
            </w:r>
            <w:r>
              <w:rPr>
                <w:rFonts w:ascii="Arial" w:hAnsi="Arial" w:cs="Arial"/>
                <w:b/>
                <w:color w:val="000000"/>
                <w:sz w:val="18"/>
                <w:szCs w:val="18"/>
              </w:rPr>
              <w:t>,</w:t>
            </w:r>
            <w:r w:rsidRPr="00114FC3">
              <w:rPr>
                <w:rFonts w:ascii="Arial" w:hAnsi="Arial" w:cs="Arial"/>
                <w:b/>
                <w:color w:val="000000"/>
                <w:sz w:val="18"/>
                <w:szCs w:val="18"/>
              </w:rPr>
              <w:t>208</w:t>
            </w:r>
          </w:p>
        </w:tc>
        <w:tc>
          <w:tcPr>
            <w:tcW w:w="990" w:type="dxa"/>
            <w:vAlign w:val="center"/>
          </w:tcPr>
          <w:p w:rsidRPr="0049228A" w:rsidR="00114FC3" w:rsidP="00114FC3" w:rsidRDefault="00114FC3" w14:paraId="116B5609" w14:textId="77777777">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2481" w:type="dxa"/>
            <w:vAlign w:val="center"/>
          </w:tcPr>
          <w:p w:rsidRPr="0049228A" w:rsidR="00114FC3" w:rsidP="00114FC3" w:rsidRDefault="00114FC3" w14:paraId="5DD05D07" w14:textId="294132FF">
            <w:pPr>
              <w:pStyle w:val="TableNote"/>
              <w:spacing w:after="0"/>
              <w:jc w:val="right"/>
              <w:rPr>
                <w:rFonts w:ascii="Arial" w:hAnsi="Arial" w:cs="Arial"/>
                <w:b/>
                <w:sz w:val="18"/>
                <w:szCs w:val="18"/>
              </w:rPr>
            </w:pPr>
            <w:r w:rsidRPr="00114FC3">
              <w:rPr>
                <w:rFonts w:ascii="Arial" w:hAnsi="Arial" w:cs="Arial"/>
                <w:b/>
                <w:sz w:val="18"/>
                <w:szCs w:val="18"/>
              </w:rPr>
              <w:t>$5,659,319</w:t>
            </w:r>
            <w:r>
              <w:rPr>
                <w:rFonts w:ascii="Arial" w:hAnsi="Arial" w:cs="Arial"/>
                <w:sz w:val="18"/>
                <w:szCs w:val="18"/>
              </w:rPr>
              <w:t xml:space="preserve"> </w:t>
            </w:r>
            <w:r w:rsidRPr="00114FC3">
              <w:rPr>
                <w:rFonts w:ascii="Arial" w:hAnsi="Arial" w:cs="Arial"/>
                <w:b/>
                <w:sz w:val="18"/>
                <w:szCs w:val="18"/>
              </w:rPr>
              <w:t>to</w:t>
            </w:r>
            <w:r>
              <w:rPr>
                <w:rFonts w:ascii="Arial" w:hAnsi="Arial" w:cs="Arial"/>
                <w:sz w:val="18"/>
                <w:szCs w:val="18"/>
              </w:rPr>
              <w:t xml:space="preserve"> </w:t>
            </w:r>
            <w:r w:rsidRPr="00114FC3">
              <w:rPr>
                <w:rFonts w:ascii="Arial" w:hAnsi="Arial" w:cs="Arial"/>
                <w:b/>
                <w:sz w:val="18"/>
                <w:szCs w:val="18"/>
              </w:rPr>
              <w:t>$5,392,466</w:t>
            </w:r>
          </w:p>
        </w:tc>
      </w:tr>
      <w:tr w:rsidRPr="006477B3" w:rsidR="00114FC3" w:rsidTr="00114FC3" w14:paraId="5F9CA8F1" w14:textId="77777777">
        <w:tc>
          <w:tcPr>
            <w:tcW w:w="1794" w:type="dxa"/>
            <w:vAlign w:val="center"/>
          </w:tcPr>
          <w:p w:rsidRPr="0049228A" w:rsidR="00114FC3" w:rsidP="00114FC3" w:rsidRDefault="00114FC3" w14:paraId="602C2D29" w14:textId="77777777">
            <w:pPr>
              <w:pStyle w:val="TableNote"/>
              <w:spacing w:after="0"/>
              <w:rPr>
                <w:rFonts w:ascii="Arial" w:hAnsi="Arial" w:cs="Arial"/>
                <w:b/>
                <w:sz w:val="18"/>
                <w:szCs w:val="18"/>
              </w:rPr>
            </w:pPr>
            <w:r w:rsidRPr="0049228A">
              <w:rPr>
                <w:rFonts w:ascii="Arial" w:hAnsi="Arial" w:cs="Arial"/>
                <w:b/>
                <w:sz w:val="18"/>
                <w:szCs w:val="18"/>
              </w:rPr>
              <w:t>Annual Average</w:t>
            </w:r>
          </w:p>
        </w:tc>
        <w:tc>
          <w:tcPr>
            <w:tcW w:w="1531" w:type="dxa"/>
            <w:vAlign w:val="center"/>
          </w:tcPr>
          <w:p w:rsidRPr="0049228A" w:rsidR="00114FC3" w:rsidP="00114FC3" w:rsidRDefault="00114FC3" w14:paraId="19CD5ACF" w14:textId="77777777">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080" w:type="dxa"/>
            <w:vAlign w:val="center"/>
          </w:tcPr>
          <w:p w:rsidRPr="0049228A" w:rsidR="00114FC3" w:rsidP="00114FC3" w:rsidRDefault="00114FC3" w14:paraId="762173AA" w14:textId="77777777">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1710" w:type="dxa"/>
            <w:vAlign w:val="bottom"/>
          </w:tcPr>
          <w:p w:rsidRPr="00114FC3" w:rsidR="00114FC3" w:rsidP="00114FC3" w:rsidRDefault="00114FC3" w14:paraId="7C5F30FF" w14:textId="05C6B0A3">
            <w:pPr>
              <w:pStyle w:val="TableNote"/>
              <w:spacing w:after="0"/>
              <w:jc w:val="right"/>
              <w:rPr>
                <w:rFonts w:ascii="Arial" w:hAnsi="Arial" w:cs="Arial"/>
                <w:b/>
                <w:sz w:val="18"/>
                <w:szCs w:val="18"/>
              </w:rPr>
            </w:pPr>
            <w:r>
              <w:rPr>
                <w:rFonts w:ascii="Arial" w:hAnsi="Arial" w:cs="Arial"/>
                <w:b/>
                <w:color w:val="000000"/>
                <w:sz w:val="18"/>
                <w:szCs w:val="18"/>
              </w:rPr>
              <w:t>32</w:t>
            </w:r>
            <w:r w:rsidR="00CC1D6E">
              <w:rPr>
                <w:rFonts w:ascii="Arial" w:hAnsi="Arial" w:cs="Arial"/>
                <w:b/>
                <w:color w:val="000000"/>
                <w:sz w:val="18"/>
                <w:szCs w:val="18"/>
              </w:rPr>
              <w:t>,</w:t>
            </w:r>
            <w:r>
              <w:rPr>
                <w:rFonts w:ascii="Arial" w:hAnsi="Arial" w:cs="Arial"/>
                <w:b/>
                <w:color w:val="000000"/>
                <w:sz w:val="18"/>
                <w:szCs w:val="18"/>
              </w:rPr>
              <w:t>957</w:t>
            </w:r>
            <w:r w:rsidRPr="00114FC3">
              <w:rPr>
                <w:rFonts w:ascii="Arial" w:hAnsi="Arial" w:cs="Arial"/>
                <w:b/>
                <w:color w:val="000000"/>
                <w:sz w:val="18"/>
                <w:szCs w:val="18"/>
              </w:rPr>
              <w:t xml:space="preserve"> to 31</w:t>
            </w:r>
            <w:r w:rsidR="00CC1D6E">
              <w:rPr>
                <w:rFonts w:ascii="Arial" w:hAnsi="Arial" w:cs="Arial"/>
                <w:b/>
                <w:color w:val="000000"/>
                <w:sz w:val="18"/>
                <w:szCs w:val="18"/>
              </w:rPr>
              <w:t>,</w:t>
            </w:r>
            <w:r w:rsidRPr="00114FC3">
              <w:rPr>
                <w:rFonts w:ascii="Arial" w:hAnsi="Arial" w:cs="Arial"/>
                <w:b/>
                <w:color w:val="000000"/>
                <w:sz w:val="18"/>
                <w:szCs w:val="18"/>
              </w:rPr>
              <w:t>40</w:t>
            </w:r>
            <w:r>
              <w:rPr>
                <w:rFonts w:ascii="Arial" w:hAnsi="Arial" w:cs="Arial"/>
                <w:b/>
                <w:color w:val="000000"/>
                <w:sz w:val="18"/>
                <w:szCs w:val="18"/>
              </w:rPr>
              <w:t>3</w:t>
            </w:r>
          </w:p>
        </w:tc>
        <w:tc>
          <w:tcPr>
            <w:tcW w:w="990" w:type="dxa"/>
            <w:vAlign w:val="center"/>
          </w:tcPr>
          <w:p w:rsidRPr="0049228A" w:rsidR="00114FC3" w:rsidP="00114FC3" w:rsidRDefault="00114FC3" w14:paraId="6AE7AABC" w14:textId="77777777">
            <w:pPr>
              <w:pStyle w:val="TableNote"/>
              <w:spacing w:after="0"/>
              <w:jc w:val="center"/>
              <w:rPr>
                <w:rFonts w:ascii="Arial" w:hAnsi="Arial" w:cs="Arial"/>
                <w:b/>
                <w:sz w:val="18"/>
                <w:szCs w:val="18"/>
              </w:rPr>
            </w:pPr>
            <w:r w:rsidRPr="0049228A">
              <w:rPr>
                <w:rFonts w:ascii="Arial" w:hAnsi="Arial" w:cs="Arial"/>
                <w:b/>
                <w:sz w:val="18"/>
                <w:szCs w:val="18"/>
              </w:rPr>
              <w:t>not applicable</w:t>
            </w:r>
          </w:p>
        </w:tc>
        <w:tc>
          <w:tcPr>
            <w:tcW w:w="2481" w:type="dxa"/>
            <w:vAlign w:val="center"/>
          </w:tcPr>
          <w:p w:rsidRPr="0049228A" w:rsidR="00114FC3" w:rsidP="00114FC3" w:rsidRDefault="00114FC3" w14:paraId="548DD120" w14:textId="61E1B1A0">
            <w:pPr>
              <w:pStyle w:val="TableNote"/>
              <w:spacing w:after="0"/>
              <w:jc w:val="right"/>
              <w:rPr>
                <w:rFonts w:ascii="Arial" w:hAnsi="Arial" w:cs="Arial"/>
                <w:b/>
                <w:sz w:val="18"/>
                <w:szCs w:val="18"/>
              </w:rPr>
            </w:pPr>
            <w:r w:rsidRPr="00114FC3">
              <w:rPr>
                <w:rFonts w:ascii="Arial" w:hAnsi="Arial" w:cs="Arial"/>
                <w:b/>
                <w:sz w:val="18"/>
                <w:szCs w:val="18"/>
              </w:rPr>
              <w:t>$1,886,440</w:t>
            </w:r>
            <w:r>
              <w:rPr>
                <w:rFonts w:ascii="Arial" w:hAnsi="Arial" w:cs="Arial"/>
                <w:sz w:val="18"/>
                <w:szCs w:val="18"/>
              </w:rPr>
              <w:t xml:space="preserve"> </w:t>
            </w:r>
            <w:r w:rsidRPr="00114FC3">
              <w:rPr>
                <w:rFonts w:ascii="Arial" w:hAnsi="Arial" w:cs="Arial"/>
                <w:b/>
                <w:sz w:val="18"/>
                <w:szCs w:val="18"/>
              </w:rPr>
              <w:t>to</w:t>
            </w:r>
            <w:r>
              <w:rPr>
                <w:rFonts w:ascii="Arial" w:hAnsi="Arial" w:cs="Arial"/>
                <w:sz w:val="18"/>
                <w:szCs w:val="18"/>
              </w:rPr>
              <w:t xml:space="preserve"> </w:t>
            </w:r>
            <w:r w:rsidRPr="00114FC3">
              <w:rPr>
                <w:rFonts w:ascii="Arial" w:hAnsi="Arial" w:cs="Arial"/>
                <w:b/>
                <w:sz w:val="18"/>
                <w:szCs w:val="18"/>
              </w:rPr>
              <w:t>$1,797,489</w:t>
            </w:r>
          </w:p>
        </w:tc>
      </w:tr>
    </w:tbl>
    <w:p w:rsidR="0023452F" w:rsidP="0023452F" w:rsidRDefault="0023452F" w14:paraId="0AF20BC8" w14:textId="04A6375A">
      <w:pPr>
        <w:pStyle w:val="TableNote"/>
      </w:pPr>
      <w:r>
        <w:t>Notes: Detail may not add exactly to total due to independent rounding</w:t>
      </w:r>
      <w:r w:rsidR="002A53B6">
        <w:t>. Any demonstrations submitted by systems in Wyoming will be reviewed by EPA Regional staff. An unknown number of those demonstrations are included in these estimates</w:t>
      </w:r>
      <w:r>
        <w:t>.</w:t>
      </w:r>
      <w:r w:rsidR="002A53B6">
        <w:t xml:space="preserve"> </w:t>
      </w:r>
      <w:r w:rsidR="00432DE4">
        <w:t xml:space="preserve">Ranges shown reflect the </w:t>
      </w:r>
      <w:r w:rsidR="00C45241">
        <w:t>low-cost</w:t>
      </w:r>
      <w:r w:rsidR="00432DE4">
        <w:t xml:space="preserve"> scenario to the high cost scenario. The total burden and cost for primacy agencies to review demonstrations of no LSLs is lower in the high cost scenario because more systems are estimated to have LSLs in that scenario. For these systems, primacy agencies would instead undertake the higher burden and cost activities of reviewing LSL inventories and assisting with LSLR planning.</w:t>
      </w:r>
    </w:p>
    <w:p w:rsidR="00954693" w:rsidP="00954693" w:rsidRDefault="00954693" w14:paraId="20DEF4D2" w14:textId="45802967">
      <w:pPr>
        <w:pStyle w:val="Caption"/>
        <w:rPr>
          <w:noProof/>
        </w:rPr>
      </w:pPr>
      <w:bookmarkStart w:name="_Ref45287722" w:id="42"/>
      <w:r>
        <w:lastRenderedPageBreak/>
        <w:t xml:space="preserve">Exhibit </w:t>
      </w:r>
      <w:r>
        <w:rPr>
          <w:noProof/>
        </w:rPr>
        <w:fldChar w:fldCharType="begin"/>
      </w:r>
      <w:r>
        <w:rPr>
          <w:noProof/>
        </w:rPr>
        <w:instrText xml:space="preserve"> SEQ Exhibit \* ARABIC </w:instrText>
      </w:r>
      <w:r>
        <w:rPr>
          <w:noProof/>
        </w:rPr>
        <w:fldChar w:fldCharType="separate"/>
      </w:r>
      <w:r>
        <w:rPr>
          <w:noProof/>
        </w:rPr>
        <w:t>11</w:t>
      </w:r>
      <w:r>
        <w:rPr>
          <w:noProof/>
        </w:rPr>
        <w:fldChar w:fldCharType="end"/>
      </w:r>
      <w:bookmarkEnd w:id="42"/>
      <w:r>
        <w:rPr>
          <w:noProof/>
        </w:rPr>
        <w:t xml:space="preserve">. </w:t>
      </w:r>
      <w:r w:rsidRPr="004F0396">
        <w:rPr>
          <w:noProof/>
        </w:rPr>
        <w:t xml:space="preserve">Burden and Costs </w:t>
      </w:r>
      <w:r>
        <w:rPr>
          <w:noProof/>
        </w:rPr>
        <w:t>for Primacy Agencies Conferring on and Reviewing Lead Service Line Replacement Plans</w:t>
      </w:r>
    </w:p>
    <w:tbl>
      <w:tblPr>
        <w:tblStyle w:val="TableGrid"/>
        <w:tblW w:w="0" w:type="auto"/>
        <w:tblCellMar>
          <w:left w:w="43" w:type="dxa"/>
          <w:right w:w="43" w:type="dxa"/>
        </w:tblCellMar>
        <w:tblLook w:val="04A0" w:firstRow="1" w:lastRow="0" w:firstColumn="1" w:lastColumn="0" w:noHBand="0" w:noVBand="1"/>
      </w:tblPr>
      <w:tblGrid>
        <w:gridCol w:w="2155"/>
        <w:gridCol w:w="1440"/>
        <w:gridCol w:w="990"/>
        <w:gridCol w:w="1620"/>
        <w:gridCol w:w="990"/>
        <w:gridCol w:w="2155"/>
      </w:tblGrid>
      <w:tr w:rsidRPr="003613B6" w:rsidR="00785854" w:rsidTr="00785854" w14:paraId="5D265285" w14:textId="77777777">
        <w:trPr>
          <w:trHeight w:val="540"/>
          <w:tblHeader/>
        </w:trPr>
        <w:tc>
          <w:tcPr>
            <w:tcW w:w="2155" w:type="dxa"/>
            <w:vAlign w:val="center"/>
            <w:hideMark/>
          </w:tcPr>
          <w:p w:rsidRPr="003613B6" w:rsidR="00785854" w:rsidP="00785854" w:rsidRDefault="00785854" w14:paraId="2462E5A5" w14:textId="06B2790D">
            <w:pPr>
              <w:pStyle w:val="Table"/>
              <w:jc w:val="center"/>
              <w:rPr>
                <w:b/>
                <w:bCs/>
                <w:sz w:val="18"/>
              </w:rPr>
            </w:pPr>
            <w:r>
              <w:rPr>
                <w:b/>
                <w:sz w:val="18"/>
              </w:rPr>
              <w:t>System</w:t>
            </w:r>
            <w:r w:rsidRPr="00A251BF">
              <w:rPr>
                <w:b/>
                <w:sz w:val="18"/>
              </w:rPr>
              <w:t xml:space="preserve"> Type (service population size category</w:t>
            </w:r>
            <w:r>
              <w:rPr>
                <w:b/>
                <w:sz w:val="18"/>
              </w:rPr>
              <w:t>, type</w:t>
            </w:r>
            <w:r w:rsidRPr="00A251BF">
              <w:rPr>
                <w:b/>
                <w:sz w:val="18"/>
              </w:rPr>
              <w:t>)</w:t>
            </w:r>
          </w:p>
        </w:tc>
        <w:tc>
          <w:tcPr>
            <w:tcW w:w="1440" w:type="dxa"/>
            <w:vAlign w:val="center"/>
            <w:hideMark/>
          </w:tcPr>
          <w:p w:rsidRPr="003613B6" w:rsidR="00785854" w:rsidP="00785854" w:rsidRDefault="00785854" w14:paraId="0110BE1E" w14:textId="6EE5299E">
            <w:pPr>
              <w:pStyle w:val="Table"/>
              <w:jc w:val="center"/>
              <w:rPr>
                <w:b/>
                <w:bCs/>
                <w:sz w:val="18"/>
              </w:rPr>
            </w:pPr>
            <w:r w:rsidRPr="00A251BF">
              <w:rPr>
                <w:b/>
                <w:sz w:val="18"/>
              </w:rPr>
              <w:t>Responses (Reviews)</w:t>
            </w:r>
          </w:p>
        </w:tc>
        <w:tc>
          <w:tcPr>
            <w:tcW w:w="990" w:type="dxa"/>
            <w:vAlign w:val="center"/>
            <w:hideMark/>
          </w:tcPr>
          <w:p w:rsidRPr="003613B6" w:rsidR="00785854" w:rsidP="00785854" w:rsidRDefault="00785854" w14:paraId="7A5A29D6" w14:textId="3D12A0D6">
            <w:pPr>
              <w:pStyle w:val="Table"/>
              <w:jc w:val="center"/>
              <w:rPr>
                <w:b/>
                <w:bCs/>
                <w:sz w:val="18"/>
              </w:rPr>
            </w:pPr>
            <w:r>
              <w:rPr>
                <w:b/>
                <w:sz w:val="18"/>
              </w:rPr>
              <w:t>Burden per R</w:t>
            </w:r>
            <w:r w:rsidRPr="00A251BF">
              <w:rPr>
                <w:b/>
                <w:sz w:val="18"/>
              </w:rPr>
              <w:t>esponse</w:t>
            </w:r>
            <w:r>
              <w:rPr>
                <w:b/>
                <w:sz w:val="18"/>
              </w:rPr>
              <w:t xml:space="preserve"> (hours)</w:t>
            </w:r>
          </w:p>
        </w:tc>
        <w:tc>
          <w:tcPr>
            <w:tcW w:w="1620" w:type="dxa"/>
            <w:vAlign w:val="center"/>
            <w:hideMark/>
          </w:tcPr>
          <w:p w:rsidRPr="003613B6" w:rsidR="00785854" w:rsidP="00785854" w:rsidRDefault="00785854" w14:paraId="7003E5A2" w14:textId="3907C573">
            <w:pPr>
              <w:pStyle w:val="Table"/>
              <w:jc w:val="center"/>
              <w:rPr>
                <w:b/>
                <w:bCs/>
                <w:sz w:val="18"/>
              </w:rPr>
            </w:pPr>
            <w:r w:rsidRPr="00A251BF">
              <w:rPr>
                <w:b/>
                <w:sz w:val="18"/>
              </w:rPr>
              <w:t>Burden</w:t>
            </w:r>
            <w:r>
              <w:rPr>
                <w:b/>
                <w:sz w:val="18"/>
              </w:rPr>
              <w:t xml:space="preserve"> (hours)</w:t>
            </w:r>
          </w:p>
        </w:tc>
        <w:tc>
          <w:tcPr>
            <w:tcW w:w="990" w:type="dxa"/>
            <w:vAlign w:val="center"/>
            <w:hideMark/>
          </w:tcPr>
          <w:p w:rsidRPr="003613B6" w:rsidR="00785854" w:rsidP="00785854" w:rsidRDefault="00785854" w14:paraId="608D7CFF" w14:textId="68004C7F">
            <w:pPr>
              <w:pStyle w:val="Table"/>
              <w:jc w:val="center"/>
              <w:rPr>
                <w:b/>
                <w:bCs/>
                <w:sz w:val="18"/>
              </w:rPr>
            </w:pPr>
            <w:r w:rsidRPr="00A251BF">
              <w:rPr>
                <w:b/>
                <w:sz w:val="18"/>
              </w:rPr>
              <w:t>Labor Rate ($/hour)</w:t>
            </w:r>
          </w:p>
        </w:tc>
        <w:tc>
          <w:tcPr>
            <w:tcW w:w="2155" w:type="dxa"/>
            <w:vAlign w:val="center"/>
            <w:hideMark/>
          </w:tcPr>
          <w:p w:rsidRPr="003613B6" w:rsidR="00785854" w:rsidP="00785854" w:rsidRDefault="00785854" w14:paraId="2F013A4C" w14:textId="460EAB49">
            <w:pPr>
              <w:pStyle w:val="Table"/>
              <w:jc w:val="center"/>
              <w:rPr>
                <w:b/>
                <w:bCs/>
                <w:sz w:val="18"/>
              </w:rPr>
            </w:pPr>
            <w:r w:rsidRPr="00A251BF">
              <w:rPr>
                <w:b/>
                <w:sz w:val="18"/>
              </w:rPr>
              <w:t>Cost</w:t>
            </w:r>
            <w:r>
              <w:rPr>
                <w:b/>
                <w:sz w:val="18"/>
              </w:rPr>
              <w:t xml:space="preserve"> </w:t>
            </w:r>
            <w:r>
              <w:rPr>
                <w:b/>
                <w:bCs/>
                <w:sz w:val="18"/>
              </w:rPr>
              <w:t>(2016 dollars)</w:t>
            </w:r>
          </w:p>
        </w:tc>
      </w:tr>
      <w:tr w:rsidRPr="003613B6" w:rsidR="00785854" w:rsidTr="00785854" w14:paraId="6C2E9AC7" w14:textId="77777777">
        <w:trPr>
          <w:trHeight w:val="300"/>
        </w:trPr>
        <w:tc>
          <w:tcPr>
            <w:tcW w:w="2155" w:type="dxa"/>
            <w:vAlign w:val="center"/>
            <w:hideMark/>
          </w:tcPr>
          <w:p w:rsidRPr="003613B6" w:rsidR="00785854" w:rsidP="00785854" w:rsidRDefault="00785854" w14:paraId="22389B26" w14:textId="77777777">
            <w:pPr>
              <w:pStyle w:val="Table"/>
              <w:rPr>
                <w:sz w:val="18"/>
              </w:rPr>
            </w:pPr>
            <w:r>
              <w:rPr>
                <w:color w:val="000000"/>
                <w:sz w:val="18"/>
                <w:szCs w:val="18"/>
              </w:rPr>
              <w:t>&lt;=100, CWS</w:t>
            </w:r>
          </w:p>
        </w:tc>
        <w:tc>
          <w:tcPr>
            <w:tcW w:w="1440" w:type="dxa"/>
            <w:tcMar>
              <w:left w:w="115" w:type="dxa"/>
              <w:right w:w="360" w:type="dxa"/>
            </w:tcMar>
            <w:vAlign w:val="center"/>
          </w:tcPr>
          <w:p w:rsidRPr="002450B1" w:rsidR="00785854" w:rsidP="00785854" w:rsidRDefault="00785854" w14:paraId="70A4CAAE" w14:textId="2B7D8245">
            <w:pPr>
              <w:pStyle w:val="Table"/>
              <w:ind w:right="-272"/>
              <w:jc w:val="right"/>
              <w:rPr>
                <w:sz w:val="18"/>
                <w:szCs w:val="18"/>
              </w:rPr>
            </w:pPr>
            <w:r w:rsidRPr="00FE78CB">
              <w:rPr>
                <w:sz w:val="18"/>
                <w:szCs w:val="18"/>
              </w:rPr>
              <w:t>2,430</w:t>
            </w:r>
            <w:r>
              <w:rPr>
                <w:sz w:val="18"/>
                <w:szCs w:val="18"/>
              </w:rPr>
              <w:t xml:space="preserve"> to </w:t>
            </w:r>
            <w:r w:rsidRPr="00FE78CB">
              <w:rPr>
                <w:sz w:val="18"/>
                <w:szCs w:val="18"/>
              </w:rPr>
              <w:t>1,754</w:t>
            </w:r>
          </w:p>
        </w:tc>
        <w:tc>
          <w:tcPr>
            <w:tcW w:w="990" w:type="dxa"/>
            <w:vAlign w:val="center"/>
          </w:tcPr>
          <w:p w:rsidRPr="00EA69E3" w:rsidR="00785854" w:rsidP="00785854" w:rsidRDefault="00785854" w14:paraId="7D007928" w14:textId="49CF25F9">
            <w:pPr>
              <w:pStyle w:val="Table"/>
              <w:jc w:val="center"/>
              <w:rPr>
                <w:sz w:val="18"/>
                <w:szCs w:val="18"/>
              </w:rPr>
            </w:pPr>
            <w:r>
              <w:rPr>
                <w:sz w:val="18"/>
                <w:szCs w:val="18"/>
              </w:rPr>
              <w:t>6</w:t>
            </w:r>
          </w:p>
        </w:tc>
        <w:tc>
          <w:tcPr>
            <w:tcW w:w="1620" w:type="dxa"/>
            <w:tcMar>
              <w:left w:w="115" w:type="dxa"/>
              <w:right w:w="360" w:type="dxa"/>
            </w:tcMar>
            <w:vAlign w:val="center"/>
          </w:tcPr>
          <w:p w:rsidRPr="00A355B6" w:rsidR="00785854" w:rsidP="00785854" w:rsidRDefault="00785854" w14:paraId="1634EECB" w14:textId="3523AB8B">
            <w:pPr>
              <w:pStyle w:val="Table"/>
              <w:ind w:right="-281"/>
              <w:jc w:val="right"/>
              <w:rPr>
                <w:sz w:val="18"/>
                <w:szCs w:val="18"/>
              </w:rPr>
            </w:pPr>
            <w:r>
              <w:rPr>
                <w:sz w:val="18"/>
                <w:szCs w:val="18"/>
              </w:rPr>
              <w:t xml:space="preserve">14,580 to </w:t>
            </w:r>
            <w:r w:rsidRPr="003E5B9E">
              <w:rPr>
                <w:sz w:val="18"/>
                <w:szCs w:val="18"/>
              </w:rPr>
              <w:t>10,524</w:t>
            </w:r>
          </w:p>
        </w:tc>
        <w:tc>
          <w:tcPr>
            <w:tcW w:w="990" w:type="dxa"/>
            <w:vAlign w:val="center"/>
          </w:tcPr>
          <w:p w:rsidRPr="00EA69E3" w:rsidR="00785854" w:rsidP="00785854" w:rsidRDefault="00785854" w14:paraId="07B98D95" w14:textId="693BFD1B">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74794A91" w14:textId="183D11D5">
            <w:pPr>
              <w:pStyle w:val="Table"/>
              <w:ind w:right="-203"/>
              <w:jc w:val="right"/>
              <w:rPr>
                <w:sz w:val="18"/>
                <w:szCs w:val="18"/>
              </w:rPr>
            </w:pPr>
            <w:r w:rsidRPr="00ED6026">
              <w:rPr>
                <w:sz w:val="18"/>
                <w:szCs w:val="18"/>
              </w:rPr>
              <w:t>$834,559</w:t>
            </w:r>
            <w:r>
              <w:rPr>
                <w:sz w:val="18"/>
                <w:szCs w:val="18"/>
              </w:rPr>
              <w:t xml:space="preserve"> to </w:t>
            </w:r>
            <w:r w:rsidRPr="00ED6026">
              <w:rPr>
                <w:sz w:val="18"/>
                <w:szCs w:val="18"/>
              </w:rPr>
              <w:t>$602,394</w:t>
            </w:r>
          </w:p>
        </w:tc>
      </w:tr>
      <w:tr w:rsidRPr="003613B6" w:rsidR="00785854" w:rsidTr="00785854" w14:paraId="23709414" w14:textId="77777777">
        <w:trPr>
          <w:trHeight w:val="300"/>
        </w:trPr>
        <w:tc>
          <w:tcPr>
            <w:tcW w:w="2155" w:type="dxa"/>
            <w:vAlign w:val="center"/>
            <w:hideMark/>
          </w:tcPr>
          <w:p w:rsidRPr="003613B6" w:rsidR="00785854" w:rsidP="00785854" w:rsidRDefault="00785854" w14:paraId="52F4B91B" w14:textId="77777777">
            <w:pPr>
              <w:pStyle w:val="Table"/>
              <w:rPr>
                <w:sz w:val="18"/>
              </w:rPr>
            </w:pPr>
            <w:r>
              <w:rPr>
                <w:color w:val="000000"/>
                <w:sz w:val="18"/>
                <w:szCs w:val="18"/>
              </w:rPr>
              <w:t>101-500, CWS</w:t>
            </w:r>
          </w:p>
        </w:tc>
        <w:tc>
          <w:tcPr>
            <w:tcW w:w="1440" w:type="dxa"/>
            <w:tcMar>
              <w:left w:w="115" w:type="dxa"/>
              <w:right w:w="360" w:type="dxa"/>
            </w:tcMar>
            <w:vAlign w:val="center"/>
          </w:tcPr>
          <w:p w:rsidRPr="002450B1" w:rsidR="00785854" w:rsidP="00785854" w:rsidRDefault="00785854" w14:paraId="116E218B" w14:textId="1F835E3A">
            <w:pPr>
              <w:pStyle w:val="Table"/>
              <w:ind w:right="-272"/>
              <w:jc w:val="right"/>
              <w:rPr>
                <w:sz w:val="18"/>
                <w:szCs w:val="18"/>
              </w:rPr>
            </w:pPr>
            <w:r w:rsidRPr="00FE78CB">
              <w:rPr>
                <w:sz w:val="18"/>
                <w:szCs w:val="18"/>
              </w:rPr>
              <w:t>3,182</w:t>
            </w:r>
            <w:r>
              <w:rPr>
                <w:sz w:val="18"/>
                <w:szCs w:val="18"/>
              </w:rPr>
              <w:t xml:space="preserve"> to </w:t>
            </w:r>
            <w:r w:rsidRPr="00FE78CB">
              <w:rPr>
                <w:sz w:val="18"/>
                <w:szCs w:val="18"/>
              </w:rPr>
              <w:t>3,105</w:t>
            </w:r>
          </w:p>
        </w:tc>
        <w:tc>
          <w:tcPr>
            <w:tcW w:w="990" w:type="dxa"/>
            <w:vAlign w:val="center"/>
          </w:tcPr>
          <w:p w:rsidRPr="00EA69E3" w:rsidR="00785854" w:rsidP="00785854" w:rsidRDefault="00785854" w14:paraId="49099814" w14:textId="2AF0AA5C">
            <w:pPr>
              <w:pStyle w:val="Table"/>
              <w:jc w:val="center"/>
              <w:rPr>
                <w:sz w:val="18"/>
                <w:szCs w:val="18"/>
              </w:rPr>
            </w:pPr>
            <w:r>
              <w:rPr>
                <w:sz w:val="18"/>
                <w:szCs w:val="18"/>
              </w:rPr>
              <w:t>6</w:t>
            </w:r>
          </w:p>
        </w:tc>
        <w:tc>
          <w:tcPr>
            <w:tcW w:w="1620" w:type="dxa"/>
            <w:tcMar>
              <w:left w:w="115" w:type="dxa"/>
              <w:right w:w="360" w:type="dxa"/>
            </w:tcMar>
            <w:vAlign w:val="center"/>
          </w:tcPr>
          <w:p w:rsidRPr="00A355B6" w:rsidR="00785854" w:rsidP="00785854" w:rsidRDefault="00785854" w14:paraId="101C1527" w14:textId="67255E3D">
            <w:pPr>
              <w:pStyle w:val="Table"/>
              <w:ind w:right="-281"/>
              <w:jc w:val="right"/>
              <w:rPr>
                <w:sz w:val="18"/>
                <w:szCs w:val="18"/>
              </w:rPr>
            </w:pPr>
            <w:r>
              <w:rPr>
                <w:sz w:val="18"/>
                <w:szCs w:val="18"/>
              </w:rPr>
              <w:t xml:space="preserve">19,092 to </w:t>
            </w:r>
            <w:r w:rsidRPr="003E5B9E">
              <w:rPr>
                <w:sz w:val="18"/>
                <w:szCs w:val="18"/>
              </w:rPr>
              <w:t>18,630</w:t>
            </w:r>
          </w:p>
        </w:tc>
        <w:tc>
          <w:tcPr>
            <w:tcW w:w="990" w:type="dxa"/>
            <w:vAlign w:val="center"/>
          </w:tcPr>
          <w:p w:rsidRPr="00EA69E3" w:rsidR="00785854" w:rsidP="00785854" w:rsidRDefault="00785854" w14:paraId="20644380" w14:textId="3D69D4CB">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417E402B" w14:textId="0B0C4CD5">
            <w:pPr>
              <w:pStyle w:val="Table"/>
              <w:ind w:right="-203"/>
              <w:jc w:val="right"/>
              <w:rPr>
                <w:sz w:val="18"/>
                <w:szCs w:val="18"/>
              </w:rPr>
            </w:pPr>
            <w:r w:rsidRPr="00ED6026">
              <w:rPr>
                <w:sz w:val="18"/>
                <w:szCs w:val="18"/>
              </w:rPr>
              <w:t>$1,092,826</w:t>
            </w:r>
            <w:r>
              <w:rPr>
                <w:sz w:val="18"/>
                <w:szCs w:val="18"/>
              </w:rPr>
              <w:t xml:space="preserve"> to </w:t>
            </w:r>
            <w:r w:rsidRPr="00ED6026">
              <w:rPr>
                <w:sz w:val="18"/>
                <w:szCs w:val="18"/>
              </w:rPr>
              <w:t>$1,066,381</w:t>
            </w:r>
          </w:p>
        </w:tc>
      </w:tr>
      <w:tr w:rsidRPr="003613B6" w:rsidR="00785854" w:rsidTr="00785854" w14:paraId="563FB63E" w14:textId="77777777">
        <w:trPr>
          <w:trHeight w:val="300"/>
        </w:trPr>
        <w:tc>
          <w:tcPr>
            <w:tcW w:w="2155" w:type="dxa"/>
            <w:vAlign w:val="center"/>
            <w:hideMark/>
          </w:tcPr>
          <w:p w:rsidRPr="003613B6" w:rsidR="00785854" w:rsidP="00785854" w:rsidRDefault="00785854" w14:paraId="30ED90AB" w14:textId="77777777">
            <w:pPr>
              <w:pStyle w:val="Table"/>
              <w:rPr>
                <w:sz w:val="18"/>
              </w:rPr>
            </w:pPr>
            <w:r>
              <w:rPr>
                <w:color w:val="000000"/>
                <w:sz w:val="18"/>
                <w:szCs w:val="18"/>
              </w:rPr>
              <w:t>501-1,000, CWS</w:t>
            </w:r>
          </w:p>
        </w:tc>
        <w:tc>
          <w:tcPr>
            <w:tcW w:w="1440" w:type="dxa"/>
            <w:tcMar>
              <w:left w:w="115" w:type="dxa"/>
              <w:right w:w="360" w:type="dxa"/>
            </w:tcMar>
            <w:vAlign w:val="center"/>
          </w:tcPr>
          <w:p w:rsidRPr="002450B1" w:rsidR="00785854" w:rsidP="00785854" w:rsidRDefault="00785854" w14:paraId="24D3BBF3" w14:textId="1C21D3F6">
            <w:pPr>
              <w:pStyle w:val="Table"/>
              <w:ind w:right="-272"/>
              <w:jc w:val="right"/>
              <w:rPr>
                <w:sz w:val="18"/>
                <w:szCs w:val="18"/>
              </w:rPr>
            </w:pPr>
            <w:r w:rsidRPr="00FE78CB">
              <w:rPr>
                <w:sz w:val="18"/>
                <w:szCs w:val="18"/>
              </w:rPr>
              <w:t>1,193</w:t>
            </w:r>
            <w:r>
              <w:rPr>
                <w:sz w:val="18"/>
                <w:szCs w:val="18"/>
              </w:rPr>
              <w:t xml:space="preserve"> to </w:t>
            </w:r>
            <w:r w:rsidRPr="00FE78CB">
              <w:rPr>
                <w:sz w:val="18"/>
                <w:szCs w:val="18"/>
              </w:rPr>
              <w:t>2,089</w:t>
            </w:r>
          </w:p>
        </w:tc>
        <w:tc>
          <w:tcPr>
            <w:tcW w:w="990" w:type="dxa"/>
            <w:vAlign w:val="center"/>
          </w:tcPr>
          <w:p w:rsidRPr="00EA69E3" w:rsidR="00785854" w:rsidP="00785854" w:rsidRDefault="00785854" w14:paraId="69DE2C39" w14:textId="6DC458AC">
            <w:pPr>
              <w:pStyle w:val="Table"/>
              <w:jc w:val="center"/>
              <w:rPr>
                <w:sz w:val="18"/>
                <w:szCs w:val="18"/>
              </w:rPr>
            </w:pPr>
            <w:r>
              <w:rPr>
                <w:sz w:val="18"/>
                <w:szCs w:val="18"/>
              </w:rPr>
              <w:t>6</w:t>
            </w:r>
          </w:p>
        </w:tc>
        <w:tc>
          <w:tcPr>
            <w:tcW w:w="1620" w:type="dxa"/>
            <w:tcMar>
              <w:left w:w="115" w:type="dxa"/>
              <w:right w:w="360" w:type="dxa"/>
            </w:tcMar>
            <w:vAlign w:val="center"/>
          </w:tcPr>
          <w:p w:rsidRPr="00A355B6" w:rsidR="00785854" w:rsidP="00785854" w:rsidRDefault="00785854" w14:paraId="0B536379" w14:textId="696FBF4F">
            <w:pPr>
              <w:pStyle w:val="Table"/>
              <w:ind w:right="-281"/>
              <w:jc w:val="right"/>
              <w:rPr>
                <w:sz w:val="18"/>
                <w:szCs w:val="18"/>
              </w:rPr>
            </w:pPr>
            <w:r>
              <w:rPr>
                <w:sz w:val="18"/>
                <w:szCs w:val="18"/>
              </w:rPr>
              <w:t xml:space="preserve">7,158 to </w:t>
            </w:r>
            <w:r w:rsidRPr="003E5B9E">
              <w:rPr>
                <w:sz w:val="18"/>
                <w:szCs w:val="18"/>
              </w:rPr>
              <w:t>12,534</w:t>
            </w:r>
          </w:p>
        </w:tc>
        <w:tc>
          <w:tcPr>
            <w:tcW w:w="990" w:type="dxa"/>
            <w:vAlign w:val="center"/>
          </w:tcPr>
          <w:p w:rsidRPr="00EA69E3" w:rsidR="00785854" w:rsidP="00785854" w:rsidRDefault="00785854" w14:paraId="191BC77D" w14:textId="20153D60">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59C0D888" w14:textId="2913CB82">
            <w:pPr>
              <w:pStyle w:val="Table"/>
              <w:ind w:right="-203"/>
              <w:jc w:val="right"/>
              <w:rPr>
                <w:sz w:val="18"/>
                <w:szCs w:val="18"/>
              </w:rPr>
            </w:pPr>
            <w:r>
              <w:rPr>
                <w:sz w:val="18"/>
                <w:szCs w:val="18"/>
              </w:rPr>
              <w:t xml:space="preserve">$409,724 to </w:t>
            </w:r>
            <w:r w:rsidRPr="00ED6026">
              <w:rPr>
                <w:sz w:val="18"/>
                <w:szCs w:val="18"/>
              </w:rPr>
              <w:t>$717,446</w:t>
            </w:r>
          </w:p>
        </w:tc>
      </w:tr>
      <w:tr w:rsidRPr="003613B6" w:rsidR="00785854" w:rsidTr="00785854" w14:paraId="74B3C163" w14:textId="77777777">
        <w:trPr>
          <w:trHeight w:val="300"/>
        </w:trPr>
        <w:tc>
          <w:tcPr>
            <w:tcW w:w="2155" w:type="dxa"/>
            <w:vAlign w:val="center"/>
            <w:hideMark/>
          </w:tcPr>
          <w:p w:rsidRPr="003613B6" w:rsidR="00785854" w:rsidP="00785854" w:rsidRDefault="00785854" w14:paraId="653F4462" w14:textId="77777777">
            <w:pPr>
              <w:pStyle w:val="Table"/>
              <w:rPr>
                <w:sz w:val="18"/>
              </w:rPr>
            </w:pPr>
            <w:r>
              <w:rPr>
                <w:color w:val="000000"/>
                <w:sz w:val="18"/>
                <w:szCs w:val="18"/>
              </w:rPr>
              <w:t>1,001-3,300, CWS</w:t>
            </w:r>
          </w:p>
        </w:tc>
        <w:tc>
          <w:tcPr>
            <w:tcW w:w="1440" w:type="dxa"/>
            <w:tcMar>
              <w:left w:w="115" w:type="dxa"/>
              <w:right w:w="360" w:type="dxa"/>
            </w:tcMar>
            <w:vAlign w:val="center"/>
          </w:tcPr>
          <w:p w:rsidRPr="002450B1" w:rsidR="00785854" w:rsidP="00785854" w:rsidRDefault="00785854" w14:paraId="472F57F7" w14:textId="1A0953A2">
            <w:pPr>
              <w:pStyle w:val="Table"/>
              <w:ind w:right="-272"/>
              <w:jc w:val="right"/>
              <w:rPr>
                <w:sz w:val="18"/>
                <w:szCs w:val="18"/>
              </w:rPr>
            </w:pPr>
            <w:r w:rsidRPr="00FE78CB">
              <w:rPr>
                <w:sz w:val="18"/>
                <w:szCs w:val="18"/>
              </w:rPr>
              <w:t>1,729</w:t>
            </w:r>
            <w:r>
              <w:rPr>
                <w:sz w:val="18"/>
                <w:szCs w:val="18"/>
              </w:rPr>
              <w:t xml:space="preserve"> to </w:t>
            </w:r>
            <w:r w:rsidRPr="00FE78CB">
              <w:rPr>
                <w:sz w:val="18"/>
                <w:szCs w:val="18"/>
              </w:rPr>
              <w:t>3,118</w:t>
            </w:r>
          </w:p>
        </w:tc>
        <w:tc>
          <w:tcPr>
            <w:tcW w:w="990" w:type="dxa"/>
            <w:vAlign w:val="center"/>
          </w:tcPr>
          <w:p w:rsidRPr="00EA69E3" w:rsidR="00785854" w:rsidP="00785854" w:rsidRDefault="00785854" w14:paraId="7E4E7BF0" w14:textId="208AA2BE">
            <w:pPr>
              <w:pStyle w:val="Table"/>
              <w:jc w:val="center"/>
              <w:rPr>
                <w:sz w:val="18"/>
                <w:szCs w:val="18"/>
              </w:rPr>
            </w:pPr>
            <w:r>
              <w:rPr>
                <w:sz w:val="18"/>
                <w:szCs w:val="18"/>
              </w:rPr>
              <w:t>6</w:t>
            </w:r>
          </w:p>
        </w:tc>
        <w:tc>
          <w:tcPr>
            <w:tcW w:w="1620" w:type="dxa"/>
            <w:tcMar>
              <w:left w:w="115" w:type="dxa"/>
              <w:right w:w="360" w:type="dxa"/>
            </w:tcMar>
            <w:vAlign w:val="center"/>
          </w:tcPr>
          <w:p w:rsidRPr="00A355B6" w:rsidR="00785854" w:rsidP="00785854" w:rsidRDefault="00785854" w14:paraId="23F5A4E5" w14:textId="6C68A835">
            <w:pPr>
              <w:pStyle w:val="Table"/>
              <w:ind w:right="-281"/>
              <w:jc w:val="right"/>
              <w:rPr>
                <w:sz w:val="18"/>
                <w:szCs w:val="18"/>
              </w:rPr>
            </w:pPr>
            <w:r>
              <w:rPr>
                <w:sz w:val="18"/>
                <w:szCs w:val="18"/>
              </w:rPr>
              <w:t xml:space="preserve">10,374 to </w:t>
            </w:r>
            <w:r w:rsidRPr="003E5B9E">
              <w:rPr>
                <w:sz w:val="18"/>
                <w:szCs w:val="18"/>
              </w:rPr>
              <w:t>18,708</w:t>
            </w:r>
          </w:p>
        </w:tc>
        <w:tc>
          <w:tcPr>
            <w:tcW w:w="990" w:type="dxa"/>
            <w:vAlign w:val="center"/>
          </w:tcPr>
          <w:p w:rsidRPr="00EA69E3" w:rsidR="00785854" w:rsidP="00785854" w:rsidRDefault="00785854" w14:paraId="21C39EAA" w14:textId="69E0463E">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68AA9F72" w14:textId="1A3EF61E">
            <w:pPr>
              <w:pStyle w:val="Table"/>
              <w:ind w:right="-203"/>
              <w:jc w:val="right"/>
              <w:rPr>
                <w:sz w:val="18"/>
                <w:szCs w:val="18"/>
              </w:rPr>
            </w:pPr>
            <w:r>
              <w:rPr>
                <w:sz w:val="18"/>
                <w:szCs w:val="18"/>
              </w:rPr>
              <w:t xml:space="preserve">$593,808 to </w:t>
            </w:r>
            <w:r w:rsidRPr="00ED6026">
              <w:rPr>
                <w:sz w:val="18"/>
                <w:szCs w:val="18"/>
              </w:rPr>
              <w:t>$1,070,846</w:t>
            </w:r>
          </w:p>
        </w:tc>
      </w:tr>
      <w:tr w:rsidRPr="003613B6" w:rsidR="00785854" w:rsidTr="00785854" w14:paraId="248E4E35" w14:textId="77777777">
        <w:trPr>
          <w:trHeight w:val="300"/>
        </w:trPr>
        <w:tc>
          <w:tcPr>
            <w:tcW w:w="2155" w:type="dxa"/>
            <w:vAlign w:val="center"/>
            <w:hideMark/>
          </w:tcPr>
          <w:p w:rsidRPr="003613B6" w:rsidR="00785854" w:rsidP="00785854" w:rsidRDefault="00785854" w14:paraId="2F0EDF2A" w14:textId="77777777">
            <w:pPr>
              <w:pStyle w:val="Table"/>
              <w:rPr>
                <w:sz w:val="18"/>
              </w:rPr>
            </w:pPr>
            <w:r>
              <w:rPr>
                <w:color w:val="000000"/>
                <w:sz w:val="18"/>
                <w:szCs w:val="18"/>
              </w:rPr>
              <w:t>3,301-10,000, CWS</w:t>
            </w:r>
          </w:p>
        </w:tc>
        <w:tc>
          <w:tcPr>
            <w:tcW w:w="1440" w:type="dxa"/>
            <w:tcMar>
              <w:left w:w="115" w:type="dxa"/>
              <w:right w:w="360" w:type="dxa"/>
            </w:tcMar>
            <w:vAlign w:val="center"/>
          </w:tcPr>
          <w:p w:rsidRPr="002450B1" w:rsidR="00785854" w:rsidP="00785854" w:rsidRDefault="00785854" w14:paraId="68940CD2" w14:textId="2745DD8F">
            <w:pPr>
              <w:pStyle w:val="Table"/>
              <w:ind w:right="-272"/>
              <w:jc w:val="right"/>
              <w:rPr>
                <w:sz w:val="18"/>
                <w:szCs w:val="18"/>
              </w:rPr>
            </w:pPr>
            <w:r w:rsidRPr="00FE78CB">
              <w:rPr>
                <w:sz w:val="18"/>
                <w:szCs w:val="18"/>
              </w:rPr>
              <w:t>1,041</w:t>
            </w:r>
            <w:r>
              <w:rPr>
                <w:sz w:val="18"/>
                <w:szCs w:val="18"/>
              </w:rPr>
              <w:t xml:space="preserve"> to </w:t>
            </w:r>
            <w:r w:rsidRPr="00FE78CB">
              <w:rPr>
                <w:sz w:val="18"/>
                <w:szCs w:val="18"/>
              </w:rPr>
              <w:t>2,089</w:t>
            </w:r>
          </w:p>
        </w:tc>
        <w:tc>
          <w:tcPr>
            <w:tcW w:w="990" w:type="dxa"/>
            <w:vAlign w:val="center"/>
          </w:tcPr>
          <w:p w:rsidRPr="00EA69E3" w:rsidR="00785854" w:rsidP="00785854" w:rsidRDefault="00785854" w14:paraId="12BCC7D5" w14:textId="57486D30">
            <w:pPr>
              <w:pStyle w:val="Table"/>
              <w:jc w:val="center"/>
              <w:rPr>
                <w:sz w:val="18"/>
                <w:szCs w:val="18"/>
              </w:rPr>
            </w:pPr>
            <w:r>
              <w:rPr>
                <w:sz w:val="18"/>
                <w:szCs w:val="18"/>
              </w:rPr>
              <w:t>18</w:t>
            </w:r>
          </w:p>
        </w:tc>
        <w:tc>
          <w:tcPr>
            <w:tcW w:w="1620" w:type="dxa"/>
            <w:tcMar>
              <w:left w:w="115" w:type="dxa"/>
              <w:right w:w="360" w:type="dxa"/>
            </w:tcMar>
            <w:vAlign w:val="center"/>
          </w:tcPr>
          <w:p w:rsidRPr="00A355B6" w:rsidR="00785854" w:rsidP="00785854" w:rsidRDefault="00785854" w14:paraId="6F4AED4C" w14:textId="5822AA9B">
            <w:pPr>
              <w:pStyle w:val="Table"/>
              <w:ind w:right="-281"/>
              <w:jc w:val="right"/>
              <w:rPr>
                <w:sz w:val="18"/>
                <w:szCs w:val="18"/>
              </w:rPr>
            </w:pPr>
            <w:r>
              <w:rPr>
                <w:sz w:val="18"/>
                <w:szCs w:val="18"/>
              </w:rPr>
              <w:t xml:space="preserve">18,738 to </w:t>
            </w:r>
            <w:r w:rsidRPr="003E5B9E">
              <w:rPr>
                <w:sz w:val="18"/>
                <w:szCs w:val="18"/>
              </w:rPr>
              <w:t>37,602</w:t>
            </w:r>
          </w:p>
        </w:tc>
        <w:tc>
          <w:tcPr>
            <w:tcW w:w="990" w:type="dxa"/>
            <w:vAlign w:val="center"/>
          </w:tcPr>
          <w:p w:rsidRPr="00EA69E3" w:rsidR="00785854" w:rsidP="00785854" w:rsidRDefault="00785854" w14:paraId="287E8249" w14:textId="5BF3A578">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1858DFCC" w14:textId="22A1F8B5">
            <w:pPr>
              <w:pStyle w:val="Table"/>
              <w:ind w:right="-203"/>
              <w:jc w:val="right"/>
              <w:rPr>
                <w:sz w:val="18"/>
                <w:szCs w:val="18"/>
              </w:rPr>
            </w:pPr>
            <w:r>
              <w:rPr>
                <w:sz w:val="18"/>
                <w:szCs w:val="18"/>
              </w:rPr>
              <w:t xml:space="preserve">$1,072,563 to </w:t>
            </w:r>
            <w:r w:rsidRPr="00ED6026">
              <w:rPr>
                <w:sz w:val="18"/>
                <w:szCs w:val="18"/>
              </w:rPr>
              <w:t>$2,152,338</w:t>
            </w:r>
          </w:p>
        </w:tc>
      </w:tr>
      <w:tr w:rsidRPr="003613B6" w:rsidR="00785854" w:rsidTr="00785854" w14:paraId="051E4332" w14:textId="77777777">
        <w:trPr>
          <w:trHeight w:val="300"/>
        </w:trPr>
        <w:tc>
          <w:tcPr>
            <w:tcW w:w="2155" w:type="dxa"/>
            <w:vAlign w:val="center"/>
            <w:hideMark/>
          </w:tcPr>
          <w:p w:rsidRPr="003613B6" w:rsidR="00785854" w:rsidP="00785854" w:rsidRDefault="00785854" w14:paraId="025B0A78" w14:textId="5A49AB96">
            <w:pPr>
              <w:pStyle w:val="Table"/>
              <w:rPr>
                <w:sz w:val="18"/>
              </w:rPr>
            </w:pPr>
            <w:r>
              <w:rPr>
                <w:color w:val="000000"/>
                <w:sz w:val="18"/>
                <w:szCs w:val="18"/>
              </w:rPr>
              <w:t>10,001-50,000, CWS</w:t>
            </w:r>
          </w:p>
        </w:tc>
        <w:tc>
          <w:tcPr>
            <w:tcW w:w="1440" w:type="dxa"/>
            <w:tcMar>
              <w:left w:w="115" w:type="dxa"/>
              <w:right w:w="360" w:type="dxa"/>
            </w:tcMar>
            <w:vAlign w:val="center"/>
          </w:tcPr>
          <w:p w:rsidRPr="002450B1" w:rsidR="00785854" w:rsidP="00785854" w:rsidRDefault="00785854" w14:paraId="79AD4E72" w14:textId="253E38A7">
            <w:pPr>
              <w:pStyle w:val="Table"/>
              <w:ind w:right="-272"/>
              <w:jc w:val="right"/>
              <w:rPr>
                <w:sz w:val="18"/>
                <w:szCs w:val="18"/>
              </w:rPr>
            </w:pPr>
            <w:r w:rsidRPr="00FE78CB">
              <w:rPr>
                <w:sz w:val="18"/>
                <w:szCs w:val="18"/>
              </w:rPr>
              <w:t>1,267</w:t>
            </w:r>
            <w:r>
              <w:rPr>
                <w:sz w:val="18"/>
                <w:szCs w:val="18"/>
              </w:rPr>
              <w:t xml:space="preserve"> to </w:t>
            </w:r>
            <w:r w:rsidRPr="00FE78CB">
              <w:rPr>
                <w:sz w:val="18"/>
                <w:szCs w:val="18"/>
              </w:rPr>
              <w:t>1,466</w:t>
            </w:r>
          </w:p>
        </w:tc>
        <w:tc>
          <w:tcPr>
            <w:tcW w:w="990" w:type="dxa"/>
            <w:vAlign w:val="center"/>
          </w:tcPr>
          <w:p w:rsidRPr="00EA69E3" w:rsidR="00785854" w:rsidP="00785854" w:rsidRDefault="00785854" w14:paraId="08A755BE" w14:textId="1091AB9F">
            <w:pPr>
              <w:pStyle w:val="Table"/>
              <w:jc w:val="center"/>
              <w:rPr>
                <w:sz w:val="18"/>
                <w:szCs w:val="18"/>
              </w:rPr>
            </w:pPr>
            <w:r>
              <w:rPr>
                <w:sz w:val="18"/>
                <w:szCs w:val="18"/>
              </w:rPr>
              <w:t>18</w:t>
            </w:r>
          </w:p>
        </w:tc>
        <w:tc>
          <w:tcPr>
            <w:tcW w:w="1620" w:type="dxa"/>
            <w:tcMar>
              <w:left w:w="115" w:type="dxa"/>
              <w:right w:w="360" w:type="dxa"/>
            </w:tcMar>
            <w:vAlign w:val="center"/>
          </w:tcPr>
          <w:p w:rsidRPr="00A355B6" w:rsidR="00785854" w:rsidP="00785854" w:rsidRDefault="00785854" w14:paraId="16911AD7" w14:textId="76435A6B">
            <w:pPr>
              <w:pStyle w:val="Table"/>
              <w:ind w:right="-281"/>
              <w:jc w:val="right"/>
              <w:rPr>
                <w:sz w:val="18"/>
                <w:szCs w:val="18"/>
              </w:rPr>
            </w:pPr>
            <w:r>
              <w:rPr>
                <w:sz w:val="18"/>
                <w:szCs w:val="18"/>
              </w:rPr>
              <w:t xml:space="preserve">22,806 to </w:t>
            </w:r>
            <w:r w:rsidRPr="003E5B9E">
              <w:rPr>
                <w:sz w:val="18"/>
                <w:szCs w:val="18"/>
              </w:rPr>
              <w:t>26,388</w:t>
            </w:r>
          </w:p>
        </w:tc>
        <w:tc>
          <w:tcPr>
            <w:tcW w:w="990" w:type="dxa"/>
            <w:vAlign w:val="center"/>
          </w:tcPr>
          <w:p w:rsidRPr="00EA69E3" w:rsidR="00785854" w:rsidP="00785854" w:rsidRDefault="00785854" w14:paraId="57BF6227" w14:textId="2D1FCA7B">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642546E9" w14:textId="32702216">
            <w:pPr>
              <w:pStyle w:val="Table"/>
              <w:ind w:right="-203"/>
              <w:jc w:val="right"/>
              <w:rPr>
                <w:sz w:val="18"/>
                <w:szCs w:val="18"/>
              </w:rPr>
            </w:pPr>
            <w:r>
              <w:rPr>
                <w:sz w:val="18"/>
                <w:szCs w:val="18"/>
              </w:rPr>
              <w:t xml:space="preserve">$1,305,415 to </w:t>
            </w:r>
            <w:r w:rsidRPr="00ED6026">
              <w:rPr>
                <w:sz w:val="18"/>
                <w:szCs w:val="18"/>
              </w:rPr>
              <w:t>$1,510,449</w:t>
            </w:r>
          </w:p>
        </w:tc>
      </w:tr>
      <w:tr w:rsidRPr="003613B6" w:rsidR="00785854" w:rsidTr="00785854" w14:paraId="13A6376F" w14:textId="77777777">
        <w:trPr>
          <w:trHeight w:val="300"/>
        </w:trPr>
        <w:tc>
          <w:tcPr>
            <w:tcW w:w="2155" w:type="dxa"/>
            <w:vAlign w:val="center"/>
            <w:hideMark/>
          </w:tcPr>
          <w:p w:rsidRPr="003613B6" w:rsidR="00785854" w:rsidP="00785854" w:rsidRDefault="00785854" w14:paraId="750493E0" w14:textId="77777777">
            <w:pPr>
              <w:pStyle w:val="Table"/>
              <w:rPr>
                <w:sz w:val="18"/>
              </w:rPr>
            </w:pPr>
            <w:r>
              <w:rPr>
                <w:color w:val="000000"/>
                <w:sz w:val="18"/>
                <w:szCs w:val="18"/>
              </w:rPr>
              <w:t>50,001-100,000, CWS</w:t>
            </w:r>
          </w:p>
        </w:tc>
        <w:tc>
          <w:tcPr>
            <w:tcW w:w="1440" w:type="dxa"/>
            <w:tcMar>
              <w:left w:w="115" w:type="dxa"/>
              <w:right w:w="360" w:type="dxa"/>
            </w:tcMar>
            <w:vAlign w:val="center"/>
          </w:tcPr>
          <w:p w:rsidRPr="002450B1" w:rsidR="00785854" w:rsidP="00785854" w:rsidRDefault="00785854" w14:paraId="4BA9F9DA" w14:textId="693A6C97">
            <w:pPr>
              <w:pStyle w:val="Table"/>
              <w:ind w:right="-272"/>
              <w:jc w:val="right"/>
              <w:rPr>
                <w:sz w:val="18"/>
                <w:szCs w:val="18"/>
              </w:rPr>
            </w:pPr>
            <w:r>
              <w:rPr>
                <w:sz w:val="18"/>
                <w:szCs w:val="18"/>
              </w:rPr>
              <w:t xml:space="preserve">287 to </w:t>
            </w:r>
            <w:r w:rsidRPr="00FE78CB">
              <w:rPr>
                <w:sz w:val="18"/>
                <w:szCs w:val="18"/>
              </w:rPr>
              <w:t>242</w:t>
            </w:r>
          </w:p>
        </w:tc>
        <w:tc>
          <w:tcPr>
            <w:tcW w:w="990" w:type="dxa"/>
            <w:vAlign w:val="center"/>
          </w:tcPr>
          <w:p w:rsidRPr="00EA69E3" w:rsidR="00785854" w:rsidP="00785854" w:rsidRDefault="00785854" w14:paraId="52E2F53D" w14:textId="3F71BCCB">
            <w:pPr>
              <w:pStyle w:val="Table"/>
              <w:jc w:val="center"/>
              <w:rPr>
                <w:sz w:val="18"/>
                <w:szCs w:val="18"/>
              </w:rPr>
            </w:pPr>
            <w:r>
              <w:rPr>
                <w:sz w:val="18"/>
                <w:szCs w:val="18"/>
              </w:rPr>
              <w:t>26</w:t>
            </w:r>
          </w:p>
        </w:tc>
        <w:tc>
          <w:tcPr>
            <w:tcW w:w="1620" w:type="dxa"/>
            <w:tcMar>
              <w:left w:w="115" w:type="dxa"/>
              <w:right w:w="360" w:type="dxa"/>
            </w:tcMar>
            <w:vAlign w:val="center"/>
          </w:tcPr>
          <w:p w:rsidRPr="00A355B6" w:rsidR="00785854" w:rsidP="00785854" w:rsidRDefault="00785854" w14:paraId="67E70537" w14:textId="5F545F07">
            <w:pPr>
              <w:pStyle w:val="Table"/>
              <w:ind w:right="-281"/>
              <w:jc w:val="right"/>
              <w:rPr>
                <w:sz w:val="18"/>
                <w:szCs w:val="18"/>
              </w:rPr>
            </w:pPr>
            <w:r>
              <w:rPr>
                <w:sz w:val="18"/>
                <w:szCs w:val="18"/>
              </w:rPr>
              <w:t xml:space="preserve">7,462 to </w:t>
            </w:r>
            <w:r w:rsidRPr="003E5B9E">
              <w:rPr>
                <w:sz w:val="18"/>
                <w:szCs w:val="18"/>
              </w:rPr>
              <w:t>6,292</w:t>
            </w:r>
          </w:p>
        </w:tc>
        <w:tc>
          <w:tcPr>
            <w:tcW w:w="990" w:type="dxa"/>
            <w:vAlign w:val="center"/>
          </w:tcPr>
          <w:p w:rsidRPr="00EA69E3" w:rsidR="00785854" w:rsidP="00785854" w:rsidRDefault="00785854" w14:paraId="24C009F1" w14:textId="37A79B03">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764A18CC" w14:textId="1343075E">
            <w:pPr>
              <w:pStyle w:val="Table"/>
              <w:ind w:right="-203"/>
              <w:jc w:val="right"/>
              <w:rPr>
                <w:sz w:val="18"/>
                <w:szCs w:val="18"/>
              </w:rPr>
            </w:pPr>
            <w:r>
              <w:rPr>
                <w:sz w:val="18"/>
                <w:szCs w:val="18"/>
              </w:rPr>
              <w:t xml:space="preserve">$427,125 to </w:t>
            </w:r>
            <w:r w:rsidRPr="00ED6026">
              <w:rPr>
                <w:sz w:val="18"/>
                <w:szCs w:val="18"/>
              </w:rPr>
              <w:t>$360,154</w:t>
            </w:r>
          </w:p>
        </w:tc>
      </w:tr>
      <w:tr w:rsidRPr="003613B6" w:rsidR="00785854" w:rsidTr="00785854" w14:paraId="5A75E4B5" w14:textId="77777777">
        <w:trPr>
          <w:trHeight w:val="300"/>
        </w:trPr>
        <w:tc>
          <w:tcPr>
            <w:tcW w:w="2155" w:type="dxa"/>
            <w:vAlign w:val="center"/>
            <w:hideMark/>
          </w:tcPr>
          <w:p w:rsidRPr="003613B6" w:rsidR="00785854" w:rsidP="00785854" w:rsidRDefault="00785854" w14:paraId="6AA95166" w14:textId="77777777">
            <w:pPr>
              <w:pStyle w:val="Table"/>
              <w:rPr>
                <w:sz w:val="18"/>
              </w:rPr>
            </w:pPr>
            <w:r>
              <w:rPr>
                <w:color w:val="000000"/>
                <w:sz w:val="18"/>
                <w:szCs w:val="18"/>
              </w:rPr>
              <w:t>100,001-1,000,000, CWS</w:t>
            </w:r>
          </w:p>
        </w:tc>
        <w:tc>
          <w:tcPr>
            <w:tcW w:w="1440" w:type="dxa"/>
            <w:tcMar>
              <w:left w:w="115" w:type="dxa"/>
              <w:right w:w="360" w:type="dxa"/>
            </w:tcMar>
            <w:vAlign w:val="center"/>
          </w:tcPr>
          <w:p w:rsidRPr="002450B1" w:rsidR="00785854" w:rsidP="00785854" w:rsidRDefault="00785854" w14:paraId="7CA4991B" w14:textId="48FDDD43">
            <w:pPr>
              <w:pStyle w:val="Table"/>
              <w:ind w:right="-272"/>
              <w:jc w:val="right"/>
              <w:rPr>
                <w:sz w:val="18"/>
                <w:szCs w:val="18"/>
              </w:rPr>
            </w:pPr>
            <w:r>
              <w:rPr>
                <w:sz w:val="18"/>
                <w:szCs w:val="18"/>
              </w:rPr>
              <w:t xml:space="preserve">198 to </w:t>
            </w:r>
            <w:r w:rsidRPr="00FE78CB">
              <w:rPr>
                <w:sz w:val="18"/>
                <w:szCs w:val="18"/>
              </w:rPr>
              <w:t>254</w:t>
            </w:r>
          </w:p>
        </w:tc>
        <w:tc>
          <w:tcPr>
            <w:tcW w:w="990" w:type="dxa"/>
            <w:vAlign w:val="center"/>
          </w:tcPr>
          <w:p w:rsidRPr="00EA69E3" w:rsidR="00785854" w:rsidP="00785854" w:rsidRDefault="00785854" w14:paraId="5192A5F5" w14:textId="6F189CDB">
            <w:pPr>
              <w:pStyle w:val="Table"/>
              <w:jc w:val="center"/>
              <w:rPr>
                <w:sz w:val="18"/>
                <w:szCs w:val="18"/>
              </w:rPr>
            </w:pPr>
            <w:r>
              <w:rPr>
                <w:sz w:val="18"/>
                <w:szCs w:val="18"/>
              </w:rPr>
              <w:t>26</w:t>
            </w:r>
          </w:p>
        </w:tc>
        <w:tc>
          <w:tcPr>
            <w:tcW w:w="1620" w:type="dxa"/>
            <w:tcMar>
              <w:left w:w="115" w:type="dxa"/>
              <w:right w:w="360" w:type="dxa"/>
            </w:tcMar>
            <w:vAlign w:val="center"/>
          </w:tcPr>
          <w:p w:rsidRPr="00A355B6" w:rsidR="00785854" w:rsidP="00785854" w:rsidRDefault="00785854" w14:paraId="01F5794E" w14:textId="0590908D">
            <w:pPr>
              <w:pStyle w:val="Table"/>
              <w:ind w:right="-281"/>
              <w:jc w:val="right"/>
              <w:rPr>
                <w:sz w:val="18"/>
                <w:szCs w:val="18"/>
              </w:rPr>
            </w:pPr>
            <w:r>
              <w:rPr>
                <w:sz w:val="18"/>
                <w:szCs w:val="18"/>
              </w:rPr>
              <w:t xml:space="preserve">5,148 to </w:t>
            </w:r>
            <w:r w:rsidRPr="003E5B9E">
              <w:rPr>
                <w:sz w:val="18"/>
                <w:szCs w:val="18"/>
              </w:rPr>
              <w:t>6,604</w:t>
            </w:r>
          </w:p>
        </w:tc>
        <w:tc>
          <w:tcPr>
            <w:tcW w:w="990" w:type="dxa"/>
            <w:vAlign w:val="center"/>
          </w:tcPr>
          <w:p w:rsidRPr="00EA69E3" w:rsidR="00785854" w:rsidP="00785854" w:rsidRDefault="00785854" w14:paraId="413B5BE2" w14:textId="33F2A31F">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1D40CFF0" w14:textId="4635E51F">
            <w:pPr>
              <w:pStyle w:val="Table"/>
              <w:ind w:right="-203"/>
              <w:jc w:val="right"/>
              <w:rPr>
                <w:sz w:val="18"/>
                <w:szCs w:val="18"/>
              </w:rPr>
            </w:pPr>
            <w:r>
              <w:rPr>
                <w:sz w:val="18"/>
                <w:szCs w:val="18"/>
              </w:rPr>
              <w:t xml:space="preserve">$294,672 to </w:t>
            </w:r>
            <w:r w:rsidRPr="00ED6026">
              <w:rPr>
                <w:sz w:val="18"/>
                <w:szCs w:val="18"/>
              </w:rPr>
              <w:t>$378,013</w:t>
            </w:r>
          </w:p>
        </w:tc>
      </w:tr>
      <w:tr w:rsidRPr="003613B6" w:rsidR="00785854" w:rsidTr="00785854" w14:paraId="4A65287E" w14:textId="77777777">
        <w:trPr>
          <w:trHeight w:val="300"/>
        </w:trPr>
        <w:tc>
          <w:tcPr>
            <w:tcW w:w="2155" w:type="dxa"/>
            <w:vAlign w:val="center"/>
            <w:hideMark/>
          </w:tcPr>
          <w:p w:rsidRPr="003613B6" w:rsidR="00785854" w:rsidP="00785854" w:rsidRDefault="00785854" w14:paraId="77D3C845" w14:textId="77777777">
            <w:pPr>
              <w:pStyle w:val="Table"/>
              <w:rPr>
                <w:sz w:val="18"/>
              </w:rPr>
            </w:pPr>
            <w:r>
              <w:rPr>
                <w:color w:val="000000"/>
                <w:sz w:val="18"/>
                <w:szCs w:val="18"/>
              </w:rPr>
              <w:t>&gt;1,000,000, CWS</w:t>
            </w:r>
          </w:p>
        </w:tc>
        <w:tc>
          <w:tcPr>
            <w:tcW w:w="1440" w:type="dxa"/>
            <w:tcMar>
              <w:left w:w="115" w:type="dxa"/>
              <w:right w:w="360" w:type="dxa"/>
            </w:tcMar>
            <w:vAlign w:val="center"/>
          </w:tcPr>
          <w:p w:rsidRPr="002450B1" w:rsidR="00785854" w:rsidP="00785854" w:rsidRDefault="00785854" w14:paraId="12B6FB13" w14:textId="74B701F7">
            <w:pPr>
              <w:pStyle w:val="Table"/>
              <w:ind w:right="-272"/>
              <w:jc w:val="right"/>
              <w:rPr>
                <w:sz w:val="18"/>
                <w:szCs w:val="18"/>
              </w:rPr>
            </w:pPr>
            <w:r>
              <w:rPr>
                <w:sz w:val="18"/>
                <w:szCs w:val="18"/>
              </w:rPr>
              <w:t xml:space="preserve">12 to </w:t>
            </w:r>
            <w:r w:rsidRPr="00FE78CB">
              <w:rPr>
                <w:sz w:val="18"/>
                <w:szCs w:val="18"/>
              </w:rPr>
              <w:t>14</w:t>
            </w:r>
          </w:p>
        </w:tc>
        <w:tc>
          <w:tcPr>
            <w:tcW w:w="990" w:type="dxa"/>
            <w:vAlign w:val="center"/>
          </w:tcPr>
          <w:p w:rsidRPr="00EA69E3" w:rsidR="00785854" w:rsidP="00785854" w:rsidRDefault="00785854" w14:paraId="10CAD30F" w14:textId="1E466FD4">
            <w:pPr>
              <w:pStyle w:val="Table"/>
              <w:jc w:val="center"/>
              <w:rPr>
                <w:sz w:val="18"/>
                <w:szCs w:val="18"/>
              </w:rPr>
            </w:pPr>
            <w:r>
              <w:rPr>
                <w:sz w:val="18"/>
                <w:szCs w:val="18"/>
              </w:rPr>
              <w:t>26</w:t>
            </w:r>
          </w:p>
        </w:tc>
        <w:tc>
          <w:tcPr>
            <w:tcW w:w="1620" w:type="dxa"/>
            <w:tcMar>
              <w:left w:w="115" w:type="dxa"/>
              <w:right w:w="360" w:type="dxa"/>
            </w:tcMar>
            <w:vAlign w:val="center"/>
          </w:tcPr>
          <w:p w:rsidRPr="00A355B6" w:rsidR="00785854" w:rsidP="00785854" w:rsidRDefault="00785854" w14:paraId="500FA10B" w14:textId="1E0C1BB3">
            <w:pPr>
              <w:pStyle w:val="Table"/>
              <w:ind w:right="-281"/>
              <w:jc w:val="right"/>
              <w:rPr>
                <w:sz w:val="18"/>
                <w:szCs w:val="18"/>
              </w:rPr>
            </w:pPr>
            <w:r>
              <w:rPr>
                <w:sz w:val="18"/>
                <w:szCs w:val="18"/>
              </w:rPr>
              <w:t xml:space="preserve">312 to </w:t>
            </w:r>
            <w:r w:rsidRPr="003E5B9E">
              <w:rPr>
                <w:sz w:val="18"/>
                <w:szCs w:val="18"/>
              </w:rPr>
              <w:t>364</w:t>
            </w:r>
          </w:p>
        </w:tc>
        <w:tc>
          <w:tcPr>
            <w:tcW w:w="990" w:type="dxa"/>
            <w:vAlign w:val="center"/>
          </w:tcPr>
          <w:p w:rsidRPr="00EA69E3" w:rsidR="00785854" w:rsidP="00785854" w:rsidRDefault="00785854" w14:paraId="02A1FE7D" w14:textId="7E68BEB7">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A355B6" w:rsidR="00785854" w:rsidP="00785854" w:rsidRDefault="00785854" w14:paraId="1BACAC92" w14:textId="67D96517">
            <w:pPr>
              <w:pStyle w:val="Table"/>
              <w:ind w:right="-203"/>
              <w:jc w:val="right"/>
              <w:rPr>
                <w:sz w:val="18"/>
                <w:szCs w:val="18"/>
              </w:rPr>
            </w:pPr>
            <w:r w:rsidRPr="00ED6026">
              <w:rPr>
                <w:sz w:val="18"/>
                <w:szCs w:val="18"/>
              </w:rPr>
              <w:t>$17,859</w:t>
            </w:r>
            <w:r>
              <w:rPr>
                <w:sz w:val="18"/>
                <w:szCs w:val="18"/>
              </w:rPr>
              <w:t xml:space="preserve"> to </w:t>
            </w:r>
            <w:r w:rsidRPr="00ED6026">
              <w:rPr>
                <w:sz w:val="18"/>
                <w:szCs w:val="18"/>
              </w:rPr>
              <w:t>$20,835</w:t>
            </w:r>
          </w:p>
        </w:tc>
      </w:tr>
      <w:tr w:rsidRPr="003613B6" w:rsidR="00785854" w:rsidTr="00785854" w14:paraId="77D0BAEA" w14:textId="77777777">
        <w:trPr>
          <w:trHeight w:val="300"/>
        </w:trPr>
        <w:tc>
          <w:tcPr>
            <w:tcW w:w="2155" w:type="dxa"/>
            <w:vAlign w:val="center"/>
          </w:tcPr>
          <w:p w:rsidRPr="003613B6" w:rsidR="00785854" w:rsidP="00785854" w:rsidRDefault="00785854" w14:paraId="25CF573F" w14:textId="77777777">
            <w:pPr>
              <w:pStyle w:val="Table"/>
              <w:rPr>
                <w:sz w:val="18"/>
              </w:rPr>
            </w:pPr>
            <w:r>
              <w:rPr>
                <w:color w:val="000000"/>
                <w:sz w:val="18"/>
                <w:szCs w:val="18"/>
              </w:rPr>
              <w:t>&lt;=100, NTNCWS</w:t>
            </w:r>
          </w:p>
        </w:tc>
        <w:tc>
          <w:tcPr>
            <w:tcW w:w="1440" w:type="dxa"/>
            <w:tcMar>
              <w:left w:w="115" w:type="dxa"/>
              <w:right w:w="360" w:type="dxa"/>
            </w:tcMar>
            <w:vAlign w:val="center"/>
          </w:tcPr>
          <w:p w:rsidRPr="00192A44" w:rsidR="00785854" w:rsidP="00785854" w:rsidRDefault="00785854" w14:paraId="1E52CDD3" w14:textId="49990BF4">
            <w:pPr>
              <w:pStyle w:val="Table"/>
              <w:ind w:right="-272"/>
              <w:jc w:val="right"/>
              <w:rPr>
                <w:sz w:val="18"/>
                <w:szCs w:val="18"/>
              </w:rPr>
            </w:pPr>
            <w:r w:rsidRPr="00FE78CB">
              <w:rPr>
                <w:sz w:val="18"/>
                <w:szCs w:val="18"/>
              </w:rPr>
              <w:t>211</w:t>
            </w:r>
          </w:p>
        </w:tc>
        <w:tc>
          <w:tcPr>
            <w:tcW w:w="990" w:type="dxa"/>
            <w:vAlign w:val="center"/>
          </w:tcPr>
          <w:p w:rsidRPr="00EA69E3" w:rsidR="00785854" w:rsidP="00785854" w:rsidRDefault="00785854" w14:paraId="69AEEB7F" w14:textId="0F3CCBA5">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768D4ACA" w14:textId="27BEC73C">
            <w:pPr>
              <w:pStyle w:val="Table"/>
              <w:ind w:right="-281"/>
              <w:jc w:val="right"/>
              <w:rPr>
                <w:sz w:val="18"/>
                <w:szCs w:val="18"/>
              </w:rPr>
            </w:pPr>
            <w:r w:rsidRPr="003E5B9E">
              <w:rPr>
                <w:sz w:val="18"/>
                <w:szCs w:val="18"/>
              </w:rPr>
              <w:t>1,266</w:t>
            </w:r>
          </w:p>
        </w:tc>
        <w:tc>
          <w:tcPr>
            <w:tcW w:w="990" w:type="dxa"/>
            <w:vAlign w:val="center"/>
          </w:tcPr>
          <w:p w:rsidRPr="00EA69E3" w:rsidR="00785854" w:rsidP="00785854" w:rsidRDefault="00785854" w14:paraId="257B178D" w14:textId="1369663F">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7E4352E9" w14:textId="3F3FAB28">
            <w:pPr>
              <w:pStyle w:val="Table"/>
              <w:ind w:right="-203"/>
              <w:jc w:val="right"/>
              <w:rPr>
                <w:sz w:val="18"/>
                <w:szCs w:val="18"/>
              </w:rPr>
            </w:pPr>
            <w:r w:rsidRPr="009F3544">
              <w:rPr>
                <w:sz w:val="18"/>
                <w:szCs w:val="18"/>
              </w:rPr>
              <w:t>$72,466</w:t>
            </w:r>
          </w:p>
        </w:tc>
      </w:tr>
      <w:tr w:rsidRPr="003613B6" w:rsidR="00785854" w:rsidTr="00785854" w14:paraId="4D71C019" w14:textId="77777777">
        <w:trPr>
          <w:trHeight w:val="300"/>
        </w:trPr>
        <w:tc>
          <w:tcPr>
            <w:tcW w:w="2155" w:type="dxa"/>
            <w:vAlign w:val="center"/>
          </w:tcPr>
          <w:p w:rsidRPr="003613B6" w:rsidR="00785854" w:rsidP="00785854" w:rsidRDefault="00785854" w14:paraId="1D9F9008" w14:textId="77777777">
            <w:pPr>
              <w:pStyle w:val="Table"/>
              <w:rPr>
                <w:sz w:val="18"/>
              </w:rPr>
            </w:pPr>
            <w:r>
              <w:rPr>
                <w:color w:val="000000"/>
                <w:sz w:val="18"/>
                <w:szCs w:val="18"/>
              </w:rPr>
              <w:t>101-500, NTNCWS</w:t>
            </w:r>
          </w:p>
        </w:tc>
        <w:tc>
          <w:tcPr>
            <w:tcW w:w="1440" w:type="dxa"/>
            <w:tcMar>
              <w:left w:w="115" w:type="dxa"/>
              <w:right w:w="360" w:type="dxa"/>
            </w:tcMar>
            <w:vAlign w:val="center"/>
          </w:tcPr>
          <w:p w:rsidRPr="00192A44" w:rsidR="00785854" w:rsidP="00785854" w:rsidRDefault="00785854" w14:paraId="0D65417A" w14:textId="714F4DD7">
            <w:pPr>
              <w:pStyle w:val="Table"/>
              <w:ind w:right="-272"/>
              <w:jc w:val="right"/>
              <w:rPr>
                <w:sz w:val="18"/>
                <w:szCs w:val="18"/>
              </w:rPr>
            </w:pPr>
            <w:r w:rsidRPr="00FE78CB">
              <w:rPr>
                <w:sz w:val="18"/>
                <w:szCs w:val="18"/>
              </w:rPr>
              <w:t>163</w:t>
            </w:r>
          </w:p>
        </w:tc>
        <w:tc>
          <w:tcPr>
            <w:tcW w:w="990" w:type="dxa"/>
            <w:vAlign w:val="center"/>
          </w:tcPr>
          <w:p w:rsidRPr="00EA69E3" w:rsidR="00785854" w:rsidP="00785854" w:rsidRDefault="00785854" w14:paraId="008D8C23" w14:textId="2A5D3230">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5145D1A3" w14:textId="51222A1D">
            <w:pPr>
              <w:pStyle w:val="Table"/>
              <w:ind w:right="-281"/>
              <w:jc w:val="right"/>
              <w:rPr>
                <w:sz w:val="18"/>
                <w:szCs w:val="18"/>
              </w:rPr>
            </w:pPr>
            <w:r w:rsidRPr="003E5B9E">
              <w:rPr>
                <w:sz w:val="18"/>
                <w:szCs w:val="18"/>
              </w:rPr>
              <w:t>978</w:t>
            </w:r>
          </w:p>
        </w:tc>
        <w:tc>
          <w:tcPr>
            <w:tcW w:w="990" w:type="dxa"/>
            <w:vAlign w:val="center"/>
          </w:tcPr>
          <w:p w:rsidRPr="00EA69E3" w:rsidR="00785854" w:rsidP="00785854" w:rsidRDefault="00785854" w14:paraId="7E883985" w14:textId="4D844ACA">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4B13B0C8" w14:textId="7B42D490">
            <w:pPr>
              <w:pStyle w:val="Table"/>
              <w:ind w:right="-203"/>
              <w:jc w:val="right"/>
              <w:rPr>
                <w:sz w:val="18"/>
                <w:szCs w:val="18"/>
              </w:rPr>
            </w:pPr>
            <w:r w:rsidRPr="009F3544">
              <w:rPr>
                <w:sz w:val="18"/>
                <w:szCs w:val="18"/>
              </w:rPr>
              <w:t>$55,981</w:t>
            </w:r>
          </w:p>
        </w:tc>
      </w:tr>
      <w:tr w:rsidRPr="003613B6" w:rsidR="00785854" w:rsidTr="00785854" w14:paraId="03D4B55D" w14:textId="77777777">
        <w:trPr>
          <w:trHeight w:val="300"/>
        </w:trPr>
        <w:tc>
          <w:tcPr>
            <w:tcW w:w="2155" w:type="dxa"/>
            <w:vAlign w:val="center"/>
          </w:tcPr>
          <w:p w:rsidRPr="003613B6" w:rsidR="00785854" w:rsidP="00785854" w:rsidRDefault="00785854" w14:paraId="1FE357F3" w14:textId="77777777">
            <w:pPr>
              <w:pStyle w:val="Table"/>
              <w:rPr>
                <w:sz w:val="18"/>
              </w:rPr>
            </w:pPr>
            <w:r>
              <w:rPr>
                <w:color w:val="000000"/>
                <w:sz w:val="18"/>
                <w:szCs w:val="18"/>
              </w:rPr>
              <w:t>501-1,000, NTNCWS</w:t>
            </w:r>
          </w:p>
        </w:tc>
        <w:tc>
          <w:tcPr>
            <w:tcW w:w="1440" w:type="dxa"/>
            <w:tcMar>
              <w:left w:w="115" w:type="dxa"/>
              <w:right w:w="360" w:type="dxa"/>
            </w:tcMar>
            <w:vAlign w:val="center"/>
          </w:tcPr>
          <w:p w:rsidRPr="00192A44" w:rsidR="00785854" w:rsidP="00785854" w:rsidRDefault="00785854" w14:paraId="6FB1C916" w14:textId="289170EC">
            <w:pPr>
              <w:pStyle w:val="Table"/>
              <w:ind w:right="-272"/>
              <w:jc w:val="right"/>
              <w:rPr>
                <w:sz w:val="18"/>
                <w:szCs w:val="18"/>
              </w:rPr>
            </w:pPr>
            <w:r w:rsidRPr="00FE78CB">
              <w:rPr>
                <w:sz w:val="18"/>
                <w:szCs w:val="18"/>
              </w:rPr>
              <w:t>40</w:t>
            </w:r>
          </w:p>
        </w:tc>
        <w:tc>
          <w:tcPr>
            <w:tcW w:w="990" w:type="dxa"/>
            <w:vAlign w:val="center"/>
          </w:tcPr>
          <w:p w:rsidRPr="00EA69E3" w:rsidR="00785854" w:rsidP="00785854" w:rsidRDefault="00785854" w14:paraId="127C3998" w14:textId="545B2C95">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42BA4593" w14:textId="52C78204">
            <w:pPr>
              <w:pStyle w:val="Table"/>
              <w:ind w:right="-281"/>
              <w:jc w:val="right"/>
              <w:rPr>
                <w:sz w:val="18"/>
                <w:szCs w:val="18"/>
              </w:rPr>
            </w:pPr>
            <w:r w:rsidRPr="003E5B9E">
              <w:rPr>
                <w:sz w:val="18"/>
                <w:szCs w:val="18"/>
              </w:rPr>
              <w:t>240</w:t>
            </w:r>
          </w:p>
        </w:tc>
        <w:tc>
          <w:tcPr>
            <w:tcW w:w="990" w:type="dxa"/>
            <w:vAlign w:val="center"/>
          </w:tcPr>
          <w:p w:rsidRPr="00EA69E3" w:rsidR="00785854" w:rsidP="00785854" w:rsidRDefault="00785854" w14:paraId="7F0BEB92" w14:textId="6736014B">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075931B6" w14:textId="5F6EB6AF">
            <w:pPr>
              <w:pStyle w:val="Table"/>
              <w:ind w:right="-203"/>
              <w:jc w:val="right"/>
              <w:rPr>
                <w:sz w:val="18"/>
                <w:szCs w:val="18"/>
              </w:rPr>
            </w:pPr>
            <w:r w:rsidRPr="009F3544">
              <w:rPr>
                <w:sz w:val="18"/>
                <w:szCs w:val="18"/>
              </w:rPr>
              <w:t>$13,738</w:t>
            </w:r>
          </w:p>
        </w:tc>
      </w:tr>
      <w:tr w:rsidRPr="003613B6" w:rsidR="00785854" w:rsidTr="00785854" w14:paraId="7C770DDB" w14:textId="77777777">
        <w:trPr>
          <w:trHeight w:val="300"/>
        </w:trPr>
        <w:tc>
          <w:tcPr>
            <w:tcW w:w="2155" w:type="dxa"/>
            <w:vAlign w:val="center"/>
          </w:tcPr>
          <w:p w:rsidRPr="003613B6" w:rsidR="00785854" w:rsidP="00785854" w:rsidRDefault="00785854" w14:paraId="123E64A3" w14:textId="77777777">
            <w:pPr>
              <w:pStyle w:val="Table"/>
              <w:rPr>
                <w:sz w:val="18"/>
              </w:rPr>
            </w:pPr>
            <w:r>
              <w:rPr>
                <w:color w:val="000000"/>
                <w:sz w:val="18"/>
                <w:szCs w:val="18"/>
              </w:rPr>
              <w:t>1,001-3,300, NTNCWS</w:t>
            </w:r>
          </w:p>
        </w:tc>
        <w:tc>
          <w:tcPr>
            <w:tcW w:w="1440" w:type="dxa"/>
            <w:tcMar>
              <w:left w:w="115" w:type="dxa"/>
              <w:right w:w="360" w:type="dxa"/>
            </w:tcMar>
            <w:vAlign w:val="center"/>
          </w:tcPr>
          <w:p w:rsidRPr="00192A44" w:rsidR="00785854" w:rsidP="00785854" w:rsidRDefault="00785854" w14:paraId="7EA78F5D" w14:textId="0FC15033">
            <w:pPr>
              <w:pStyle w:val="Table"/>
              <w:ind w:right="-272"/>
              <w:jc w:val="right"/>
              <w:rPr>
                <w:sz w:val="18"/>
                <w:szCs w:val="18"/>
              </w:rPr>
            </w:pPr>
            <w:r w:rsidRPr="00FE78CB">
              <w:rPr>
                <w:sz w:val="18"/>
                <w:szCs w:val="18"/>
              </w:rPr>
              <w:t>22</w:t>
            </w:r>
          </w:p>
        </w:tc>
        <w:tc>
          <w:tcPr>
            <w:tcW w:w="990" w:type="dxa"/>
            <w:vAlign w:val="center"/>
          </w:tcPr>
          <w:p w:rsidRPr="00EA69E3" w:rsidR="00785854" w:rsidP="00785854" w:rsidRDefault="00785854" w14:paraId="7D33CDEE" w14:textId="48CA4577">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47701A13" w14:textId="005B2ED1">
            <w:pPr>
              <w:pStyle w:val="Table"/>
              <w:ind w:right="-281"/>
              <w:jc w:val="right"/>
              <w:rPr>
                <w:sz w:val="18"/>
                <w:szCs w:val="18"/>
              </w:rPr>
            </w:pPr>
            <w:r w:rsidRPr="003E5B9E">
              <w:rPr>
                <w:sz w:val="18"/>
                <w:szCs w:val="18"/>
              </w:rPr>
              <w:t>132</w:t>
            </w:r>
          </w:p>
        </w:tc>
        <w:tc>
          <w:tcPr>
            <w:tcW w:w="990" w:type="dxa"/>
            <w:vAlign w:val="center"/>
          </w:tcPr>
          <w:p w:rsidRPr="00EA69E3" w:rsidR="00785854" w:rsidP="00785854" w:rsidRDefault="00785854" w14:paraId="32A5130F" w14:textId="1DDC9941">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01D8FD38" w14:textId="3E8D2614">
            <w:pPr>
              <w:pStyle w:val="Table"/>
              <w:ind w:right="-203"/>
              <w:jc w:val="right"/>
              <w:rPr>
                <w:sz w:val="18"/>
                <w:szCs w:val="18"/>
              </w:rPr>
            </w:pPr>
            <w:r w:rsidRPr="009F3544">
              <w:rPr>
                <w:sz w:val="18"/>
                <w:szCs w:val="18"/>
              </w:rPr>
              <w:t>$7,556</w:t>
            </w:r>
          </w:p>
        </w:tc>
      </w:tr>
      <w:tr w:rsidRPr="003613B6" w:rsidR="00785854" w:rsidTr="00785854" w14:paraId="7A44FA30" w14:textId="77777777">
        <w:trPr>
          <w:trHeight w:val="300"/>
        </w:trPr>
        <w:tc>
          <w:tcPr>
            <w:tcW w:w="2155" w:type="dxa"/>
            <w:vAlign w:val="center"/>
          </w:tcPr>
          <w:p w:rsidRPr="003613B6" w:rsidR="00785854" w:rsidP="00785854" w:rsidRDefault="00785854" w14:paraId="7E5B7375" w14:textId="77777777">
            <w:pPr>
              <w:pStyle w:val="Table"/>
              <w:rPr>
                <w:sz w:val="18"/>
              </w:rPr>
            </w:pPr>
            <w:r>
              <w:rPr>
                <w:color w:val="000000"/>
                <w:sz w:val="18"/>
                <w:szCs w:val="18"/>
              </w:rPr>
              <w:t>3,301-10,000, NTNCWS</w:t>
            </w:r>
          </w:p>
        </w:tc>
        <w:tc>
          <w:tcPr>
            <w:tcW w:w="1440" w:type="dxa"/>
            <w:tcMar>
              <w:left w:w="115" w:type="dxa"/>
              <w:right w:w="360" w:type="dxa"/>
            </w:tcMar>
            <w:vAlign w:val="center"/>
          </w:tcPr>
          <w:p w:rsidRPr="00192A44" w:rsidR="00785854" w:rsidP="00785854" w:rsidRDefault="00785854" w14:paraId="15694BD0" w14:textId="6DE1F8BD">
            <w:pPr>
              <w:pStyle w:val="Table"/>
              <w:ind w:right="-272"/>
              <w:jc w:val="right"/>
              <w:rPr>
                <w:sz w:val="18"/>
                <w:szCs w:val="18"/>
              </w:rPr>
            </w:pPr>
            <w:r w:rsidRPr="00FE78CB">
              <w:rPr>
                <w:sz w:val="18"/>
                <w:szCs w:val="18"/>
              </w:rPr>
              <w:t>4</w:t>
            </w:r>
          </w:p>
        </w:tc>
        <w:tc>
          <w:tcPr>
            <w:tcW w:w="990" w:type="dxa"/>
            <w:vAlign w:val="center"/>
          </w:tcPr>
          <w:p w:rsidRPr="00EA69E3" w:rsidR="00785854" w:rsidP="00785854" w:rsidRDefault="00785854" w14:paraId="038E2B3B" w14:textId="12D7D14E">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001D208C" w14:textId="5110BEB3">
            <w:pPr>
              <w:pStyle w:val="Table"/>
              <w:ind w:right="-281"/>
              <w:jc w:val="right"/>
              <w:rPr>
                <w:sz w:val="18"/>
                <w:szCs w:val="18"/>
              </w:rPr>
            </w:pPr>
            <w:r w:rsidRPr="003E5B9E">
              <w:rPr>
                <w:sz w:val="18"/>
                <w:szCs w:val="18"/>
              </w:rPr>
              <w:t>24</w:t>
            </w:r>
          </w:p>
        </w:tc>
        <w:tc>
          <w:tcPr>
            <w:tcW w:w="990" w:type="dxa"/>
            <w:vAlign w:val="center"/>
          </w:tcPr>
          <w:p w:rsidRPr="00EA69E3" w:rsidR="00785854" w:rsidP="00785854" w:rsidRDefault="00785854" w14:paraId="7876517B" w14:textId="32F00185">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6E20C57B" w14:textId="75512F55">
            <w:pPr>
              <w:pStyle w:val="Table"/>
              <w:ind w:right="-203"/>
              <w:jc w:val="right"/>
              <w:rPr>
                <w:sz w:val="18"/>
                <w:szCs w:val="18"/>
              </w:rPr>
            </w:pPr>
            <w:r w:rsidRPr="009F3544">
              <w:rPr>
                <w:sz w:val="18"/>
                <w:szCs w:val="18"/>
              </w:rPr>
              <w:t>$1,374</w:t>
            </w:r>
          </w:p>
        </w:tc>
      </w:tr>
      <w:tr w:rsidRPr="003613B6" w:rsidR="00785854" w:rsidTr="00785854" w14:paraId="73E3E4EE" w14:textId="77777777">
        <w:trPr>
          <w:trHeight w:val="300"/>
        </w:trPr>
        <w:tc>
          <w:tcPr>
            <w:tcW w:w="2155" w:type="dxa"/>
            <w:vAlign w:val="center"/>
          </w:tcPr>
          <w:p w:rsidRPr="003613B6" w:rsidR="00785854" w:rsidP="00785854" w:rsidRDefault="00785854" w14:paraId="433F030A" w14:textId="77777777">
            <w:pPr>
              <w:pStyle w:val="Table"/>
              <w:rPr>
                <w:sz w:val="18"/>
              </w:rPr>
            </w:pPr>
            <w:r>
              <w:rPr>
                <w:color w:val="000000"/>
                <w:sz w:val="18"/>
                <w:szCs w:val="18"/>
              </w:rPr>
              <w:t>10,001-50,000, NTNCWS</w:t>
            </w:r>
          </w:p>
        </w:tc>
        <w:tc>
          <w:tcPr>
            <w:tcW w:w="1440" w:type="dxa"/>
            <w:tcMar>
              <w:left w:w="115" w:type="dxa"/>
              <w:right w:w="360" w:type="dxa"/>
            </w:tcMar>
            <w:vAlign w:val="center"/>
          </w:tcPr>
          <w:p w:rsidRPr="00192A44" w:rsidR="00785854" w:rsidP="00785854" w:rsidRDefault="00785854" w14:paraId="63647D5C" w14:textId="11106219">
            <w:pPr>
              <w:pStyle w:val="Table"/>
              <w:ind w:right="-272"/>
              <w:jc w:val="right"/>
              <w:rPr>
                <w:sz w:val="18"/>
                <w:szCs w:val="18"/>
              </w:rPr>
            </w:pPr>
            <w:r>
              <w:rPr>
                <w:sz w:val="18"/>
                <w:szCs w:val="18"/>
              </w:rPr>
              <w:t>1</w:t>
            </w:r>
          </w:p>
        </w:tc>
        <w:tc>
          <w:tcPr>
            <w:tcW w:w="990" w:type="dxa"/>
            <w:vAlign w:val="center"/>
          </w:tcPr>
          <w:p w:rsidRPr="00EA69E3" w:rsidR="00785854" w:rsidP="00785854" w:rsidRDefault="00785854" w14:paraId="212A0D63" w14:textId="7C856676">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65505612" w14:textId="1F378F95">
            <w:pPr>
              <w:pStyle w:val="Table"/>
              <w:ind w:right="-281"/>
              <w:jc w:val="right"/>
              <w:rPr>
                <w:sz w:val="18"/>
                <w:szCs w:val="18"/>
              </w:rPr>
            </w:pPr>
            <w:r w:rsidRPr="003E5B9E">
              <w:rPr>
                <w:sz w:val="18"/>
                <w:szCs w:val="18"/>
              </w:rPr>
              <w:t>6</w:t>
            </w:r>
          </w:p>
        </w:tc>
        <w:tc>
          <w:tcPr>
            <w:tcW w:w="990" w:type="dxa"/>
            <w:vAlign w:val="center"/>
          </w:tcPr>
          <w:p w:rsidRPr="00EA69E3" w:rsidR="00785854" w:rsidP="00785854" w:rsidRDefault="00785854" w14:paraId="5602D8D7" w14:textId="3C7719EB">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464583F3" w14:textId="6113FC61">
            <w:pPr>
              <w:pStyle w:val="Table"/>
              <w:ind w:right="-203"/>
              <w:jc w:val="right"/>
              <w:rPr>
                <w:sz w:val="18"/>
                <w:szCs w:val="18"/>
              </w:rPr>
            </w:pPr>
            <w:r w:rsidRPr="009F3544">
              <w:rPr>
                <w:sz w:val="18"/>
                <w:szCs w:val="18"/>
              </w:rPr>
              <w:t>$343</w:t>
            </w:r>
          </w:p>
        </w:tc>
      </w:tr>
      <w:tr w:rsidRPr="003613B6" w:rsidR="00785854" w:rsidTr="00785854" w14:paraId="3AB0E871" w14:textId="77777777">
        <w:trPr>
          <w:trHeight w:val="300"/>
        </w:trPr>
        <w:tc>
          <w:tcPr>
            <w:tcW w:w="2155" w:type="dxa"/>
            <w:vAlign w:val="center"/>
          </w:tcPr>
          <w:p w:rsidRPr="003613B6" w:rsidR="00785854" w:rsidP="00785854" w:rsidRDefault="00785854" w14:paraId="08D26EA2" w14:textId="77777777">
            <w:pPr>
              <w:pStyle w:val="Table"/>
              <w:rPr>
                <w:sz w:val="18"/>
              </w:rPr>
            </w:pPr>
            <w:r>
              <w:rPr>
                <w:color w:val="000000"/>
                <w:sz w:val="18"/>
                <w:szCs w:val="18"/>
              </w:rPr>
              <w:t>50,001-100,000, NTNCWS</w:t>
            </w:r>
          </w:p>
        </w:tc>
        <w:tc>
          <w:tcPr>
            <w:tcW w:w="1440" w:type="dxa"/>
            <w:tcMar>
              <w:left w:w="115" w:type="dxa"/>
              <w:right w:w="360" w:type="dxa"/>
            </w:tcMar>
            <w:vAlign w:val="center"/>
          </w:tcPr>
          <w:p w:rsidRPr="00192A44" w:rsidR="00785854" w:rsidP="00785854" w:rsidRDefault="00785854" w14:paraId="0BEAED2F" w14:textId="3C90213D">
            <w:pPr>
              <w:pStyle w:val="Table"/>
              <w:ind w:right="-272"/>
              <w:jc w:val="right"/>
              <w:rPr>
                <w:sz w:val="18"/>
                <w:szCs w:val="18"/>
              </w:rPr>
            </w:pPr>
            <w:r>
              <w:rPr>
                <w:sz w:val="18"/>
                <w:szCs w:val="18"/>
              </w:rPr>
              <w:t>1</w:t>
            </w:r>
          </w:p>
        </w:tc>
        <w:tc>
          <w:tcPr>
            <w:tcW w:w="990" w:type="dxa"/>
            <w:vAlign w:val="center"/>
          </w:tcPr>
          <w:p w:rsidRPr="00EA69E3" w:rsidR="00785854" w:rsidP="00785854" w:rsidRDefault="00785854" w14:paraId="4E99DD9E" w14:textId="24B8C7DC">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7FD7E36A" w14:textId="318C1415">
            <w:pPr>
              <w:pStyle w:val="Table"/>
              <w:ind w:right="-281"/>
              <w:jc w:val="right"/>
              <w:rPr>
                <w:sz w:val="18"/>
                <w:szCs w:val="18"/>
              </w:rPr>
            </w:pPr>
            <w:r>
              <w:rPr>
                <w:sz w:val="18"/>
                <w:szCs w:val="18"/>
              </w:rPr>
              <w:t>6</w:t>
            </w:r>
          </w:p>
        </w:tc>
        <w:tc>
          <w:tcPr>
            <w:tcW w:w="990" w:type="dxa"/>
            <w:vAlign w:val="center"/>
          </w:tcPr>
          <w:p w:rsidRPr="00EA69E3" w:rsidR="00785854" w:rsidP="00785854" w:rsidRDefault="00785854" w14:paraId="183C64BA" w14:textId="402A149A">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5FF0F9ED" w14:textId="054EA2F7">
            <w:pPr>
              <w:pStyle w:val="Table"/>
              <w:ind w:right="-203"/>
              <w:jc w:val="right"/>
              <w:rPr>
                <w:sz w:val="18"/>
                <w:szCs w:val="18"/>
              </w:rPr>
            </w:pPr>
            <w:r w:rsidRPr="009F3544">
              <w:rPr>
                <w:sz w:val="18"/>
                <w:szCs w:val="18"/>
              </w:rPr>
              <w:t>$343</w:t>
            </w:r>
          </w:p>
        </w:tc>
      </w:tr>
      <w:tr w:rsidRPr="003613B6" w:rsidR="00785854" w:rsidTr="00785854" w14:paraId="26AC1BAE" w14:textId="77777777">
        <w:trPr>
          <w:trHeight w:val="300"/>
        </w:trPr>
        <w:tc>
          <w:tcPr>
            <w:tcW w:w="2155" w:type="dxa"/>
            <w:vAlign w:val="center"/>
          </w:tcPr>
          <w:p w:rsidRPr="003613B6" w:rsidR="00785854" w:rsidP="00785854" w:rsidRDefault="00785854" w14:paraId="2FD20DBE" w14:textId="77777777">
            <w:pPr>
              <w:pStyle w:val="Table"/>
              <w:rPr>
                <w:sz w:val="18"/>
              </w:rPr>
            </w:pPr>
            <w:r>
              <w:rPr>
                <w:color w:val="000000"/>
                <w:sz w:val="18"/>
                <w:szCs w:val="18"/>
              </w:rPr>
              <w:t>100,001-1,000,000, NTNCWS</w:t>
            </w:r>
          </w:p>
        </w:tc>
        <w:tc>
          <w:tcPr>
            <w:tcW w:w="1440" w:type="dxa"/>
            <w:tcMar>
              <w:left w:w="115" w:type="dxa"/>
              <w:right w:w="360" w:type="dxa"/>
            </w:tcMar>
            <w:vAlign w:val="center"/>
          </w:tcPr>
          <w:p w:rsidRPr="00192A44" w:rsidR="00785854" w:rsidP="00785854" w:rsidRDefault="00785854" w14:paraId="286611EF" w14:textId="0057F7EE">
            <w:pPr>
              <w:pStyle w:val="Table"/>
              <w:ind w:right="-272"/>
              <w:jc w:val="right"/>
              <w:rPr>
                <w:sz w:val="18"/>
                <w:szCs w:val="18"/>
              </w:rPr>
            </w:pPr>
            <w:r>
              <w:rPr>
                <w:sz w:val="18"/>
                <w:szCs w:val="18"/>
              </w:rPr>
              <w:t>1</w:t>
            </w:r>
          </w:p>
        </w:tc>
        <w:tc>
          <w:tcPr>
            <w:tcW w:w="990" w:type="dxa"/>
            <w:vAlign w:val="center"/>
          </w:tcPr>
          <w:p w:rsidRPr="00EA69E3" w:rsidR="00785854" w:rsidP="00785854" w:rsidRDefault="00785854" w14:paraId="6ECAC47B" w14:textId="5FD81AA9">
            <w:pPr>
              <w:pStyle w:val="Table"/>
              <w:jc w:val="center"/>
              <w:rPr>
                <w:sz w:val="18"/>
                <w:szCs w:val="18"/>
              </w:rPr>
            </w:pPr>
            <w:r>
              <w:rPr>
                <w:sz w:val="18"/>
                <w:szCs w:val="18"/>
              </w:rPr>
              <w:t>6</w:t>
            </w:r>
          </w:p>
        </w:tc>
        <w:tc>
          <w:tcPr>
            <w:tcW w:w="1620" w:type="dxa"/>
            <w:tcMar>
              <w:left w:w="115" w:type="dxa"/>
              <w:right w:w="360" w:type="dxa"/>
            </w:tcMar>
            <w:vAlign w:val="center"/>
          </w:tcPr>
          <w:p w:rsidRPr="00192A44" w:rsidR="00785854" w:rsidP="00785854" w:rsidRDefault="00785854" w14:paraId="73E08789" w14:textId="65EB3202">
            <w:pPr>
              <w:pStyle w:val="Table"/>
              <w:ind w:right="-281"/>
              <w:jc w:val="right"/>
              <w:rPr>
                <w:sz w:val="18"/>
                <w:szCs w:val="18"/>
              </w:rPr>
            </w:pPr>
            <w:r>
              <w:rPr>
                <w:sz w:val="18"/>
                <w:szCs w:val="18"/>
              </w:rPr>
              <w:t>6</w:t>
            </w:r>
          </w:p>
        </w:tc>
        <w:tc>
          <w:tcPr>
            <w:tcW w:w="990" w:type="dxa"/>
            <w:vAlign w:val="center"/>
          </w:tcPr>
          <w:p w:rsidRPr="00EA69E3" w:rsidR="00785854" w:rsidP="00785854" w:rsidRDefault="00785854" w14:paraId="07BC7F7F" w14:textId="296535AF">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6573CDD4" w14:textId="68862883">
            <w:pPr>
              <w:pStyle w:val="Table"/>
              <w:ind w:right="-203"/>
              <w:jc w:val="right"/>
              <w:rPr>
                <w:sz w:val="18"/>
                <w:szCs w:val="18"/>
              </w:rPr>
            </w:pPr>
            <w:r w:rsidRPr="009F3544">
              <w:rPr>
                <w:sz w:val="18"/>
                <w:szCs w:val="18"/>
              </w:rPr>
              <w:t>$343</w:t>
            </w:r>
          </w:p>
        </w:tc>
      </w:tr>
      <w:tr w:rsidRPr="003613B6" w:rsidR="00785854" w:rsidTr="00785854" w14:paraId="160A2A74" w14:textId="77777777">
        <w:trPr>
          <w:trHeight w:val="300"/>
        </w:trPr>
        <w:tc>
          <w:tcPr>
            <w:tcW w:w="2155" w:type="dxa"/>
            <w:vAlign w:val="center"/>
          </w:tcPr>
          <w:p w:rsidRPr="003613B6" w:rsidR="00785854" w:rsidP="00785854" w:rsidRDefault="00785854" w14:paraId="33AE97A3" w14:textId="77777777">
            <w:pPr>
              <w:pStyle w:val="Table"/>
              <w:rPr>
                <w:sz w:val="18"/>
              </w:rPr>
            </w:pPr>
            <w:r>
              <w:rPr>
                <w:color w:val="000000"/>
                <w:sz w:val="18"/>
                <w:szCs w:val="18"/>
              </w:rPr>
              <w:t>&gt;1,000,000, NTNCWS</w:t>
            </w:r>
          </w:p>
        </w:tc>
        <w:tc>
          <w:tcPr>
            <w:tcW w:w="1440" w:type="dxa"/>
            <w:tcMar>
              <w:left w:w="115" w:type="dxa"/>
              <w:right w:w="360" w:type="dxa"/>
            </w:tcMar>
            <w:vAlign w:val="center"/>
          </w:tcPr>
          <w:p w:rsidRPr="00192A44" w:rsidR="00785854" w:rsidP="00785854" w:rsidRDefault="00785854" w14:paraId="4BFC0F3F" w14:textId="77777777">
            <w:pPr>
              <w:pStyle w:val="Table"/>
              <w:ind w:right="-272"/>
              <w:jc w:val="right"/>
              <w:rPr>
                <w:sz w:val="18"/>
                <w:szCs w:val="18"/>
              </w:rPr>
            </w:pPr>
            <w:r>
              <w:rPr>
                <w:color w:val="000000"/>
                <w:sz w:val="18"/>
                <w:szCs w:val="18"/>
              </w:rPr>
              <w:t>0</w:t>
            </w:r>
          </w:p>
        </w:tc>
        <w:tc>
          <w:tcPr>
            <w:tcW w:w="990" w:type="dxa"/>
            <w:vAlign w:val="center"/>
          </w:tcPr>
          <w:p w:rsidRPr="00EA69E3" w:rsidR="00785854" w:rsidP="00785854" w:rsidRDefault="00785854" w14:paraId="1FE1C539" w14:textId="77777777">
            <w:pPr>
              <w:pStyle w:val="Table"/>
              <w:jc w:val="center"/>
              <w:rPr>
                <w:sz w:val="18"/>
                <w:szCs w:val="18"/>
              </w:rPr>
            </w:pPr>
            <w:r>
              <w:rPr>
                <w:color w:val="000000"/>
                <w:sz w:val="18"/>
                <w:szCs w:val="18"/>
              </w:rPr>
              <w:t>not applicable</w:t>
            </w:r>
          </w:p>
        </w:tc>
        <w:tc>
          <w:tcPr>
            <w:tcW w:w="1620" w:type="dxa"/>
            <w:tcMar>
              <w:left w:w="115" w:type="dxa"/>
              <w:right w:w="360" w:type="dxa"/>
            </w:tcMar>
            <w:vAlign w:val="center"/>
          </w:tcPr>
          <w:p w:rsidRPr="00192A44" w:rsidR="00785854" w:rsidP="00785854" w:rsidRDefault="00785854" w14:paraId="3357CD50" w14:textId="77777777">
            <w:pPr>
              <w:pStyle w:val="Table"/>
              <w:ind w:right="-281"/>
              <w:jc w:val="right"/>
              <w:rPr>
                <w:sz w:val="18"/>
                <w:szCs w:val="18"/>
              </w:rPr>
            </w:pPr>
            <w:r>
              <w:rPr>
                <w:color w:val="000000"/>
                <w:sz w:val="18"/>
                <w:szCs w:val="18"/>
              </w:rPr>
              <w:t>0</w:t>
            </w:r>
          </w:p>
        </w:tc>
        <w:tc>
          <w:tcPr>
            <w:tcW w:w="990" w:type="dxa"/>
            <w:vAlign w:val="center"/>
          </w:tcPr>
          <w:p w:rsidRPr="00EA69E3" w:rsidR="00785854" w:rsidP="00785854" w:rsidRDefault="00785854" w14:paraId="4A6C32FB" w14:textId="044E8B02">
            <w:pPr>
              <w:pStyle w:val="Table"/>
              <w:jc w:val="center"/>
              <w:rPr>
                <w:sz w:val="18"/>
                <w:szCs w:val="18"/>
              </w:rPr>
            </w:pPr>
            <w:r>
              <w:rPr>
                <w:color w:val="000000"/>
                <w:sz w:val="18"/>
                <w:szCs w:val="18"/>
              </w:rPr>
              <w:t xml:space="preserve">$57.24 </w:t>
            </w:r>
          </w:p>
        </w:tc>
        <w:tc>
          <w:tcPr>
            <w:tcW w:w="2155" w:type="dxa"/>
            <w:noWrap/>
            <w:tcMar>
              <w:left w:w="115" w:type="dxa"/>
              <w:right w:w="288" w:type="dxa"/>
            </w:tcMar>
            <w:vAlign w:val="center"/>
          </w:tcPr>
          <w:p w:rsidRPr="00192A44" w:rsidR="00785854" w:rsidP="00785854" w:rsidRDefault="00785854" w14:paraId="33EC9483" w14:textId="77777777">
            <w:pPr>
              <w:pStyle w:val="Table"/>
              <w:ind w:right="-203"/>
              <w:jc w:val="right"/>
              <w:rPr>
                <w:sz w:val="18"/>
                <w:szCs w:val="18"/>
              </w:rPr>
            </w:pPr>
            <w:r>
              <w:rPr>
                <w:sz w:val="18"/>
                <w:szCs w:val="18"/>
              </w:rPr>
              <w:t>$0</w:t>
            </w:r>
          </w:p>
        </w:tc>
      </w:tr>
      <w:tr w:rsidRPr="003613B6" w:rsidR="00785854" w:rsidTr="00785854" w14:paraId="0E3AF0B4" w14:textId="77777777">
        <w:trPr>
          <w:trHeight w:val="300"/>
        </w:trPr>
        <w:tc>
          <w:tcPr>
            <w:tcW w:w="2155" w:type="dxa"/>
            <w:vAlign w:val="center"/>
            <w:hideMark/>
          </w:tcPr>
          <w:p w:rsidRPr="003613B6" w:rsidR="00785854" w:rsidP="00785854" w:rsidRDefault="00785854" w14:paraId="1F0B54D9" w14:textId="77777777">
            <w:pPr>
              <w:pStyle w:val="Table"/>
              <w:rPr>
                <w:b/>
                <w:bCs/>
                <w:sz w:val="18"/>
              </w:rPr>
            </w:pPr>
            <w:r w:rsidRPr="003613B6">
              <w:rPr>
                <w:b/>
                <w:bCs/>
                <w:sz w:val="18"/>
              </w:rPr>
              <w:t xml:space="preserve">System </w:t>
            </w:r>
            <w:r>
              <w:rPr>
                <w:b/>
                <w:bCs/>
                <w:sz w:val="18"/>
              </w:rPr>
              <w:t xml:space="preserve">3-year </w:t>
            </w:r>
            <w:r w:rsidRPr="003613B6">
              <w:rPr>
                <w:b/>
                <w:bCs/>
                <w:sz w:val="18"/>
              </w:rPr>
              <w:t>Total</w:t>
            </w:r>
          </w:p>
        </w:tc>
        <w:tc>
          <w:tcPr>
            <w:tcW w:w="1440" w:type="dxa"/>
            <w:tcMar>
              <w:left w:w="115" w:type="dxa"/>
              <w:right w:w="360" w:type="dxa"/>
            </w:tcMar>
            <w:vAlign w:val="center"/>
            <w:hideMark/>
          </w:tcPr>
          <w:p w:rsidRPr="002450B1" w:rsidR="00785854" w:rsidP="00785854" w:rsidRDefault="00785854" w14:paraId="10C2BEDC" w14:textId="77777777">
            <w:pPr>
              <w:pStyle w:val="Table"/>
              <w:ind w:right="-110"/>
              <w:jc w:val="right"/>
              <w:rPr>
                <w:b/>
                <w:bCs/>
                <w:sz w:val="18"/>
                <w:szCs w:val="18"/>
              </w:rPr>
            </w:pPr>
            <w:r>
              <w:rPr>
                <w:b/>
                <w:sz w:val="18"/>
                <w:szCs w:val="18"/>
              </w:rPr>
              <w:t>11,782</w:t>
            </w:r>
            <w:r>
              <w:rPr>
                <w:sz w:val="18"/>
                <w:szCs w:val="18"/>
              </w:rPr>
              <w:t xml:space="preserve"> </w:t>
            </w:r>
            <w:r w:rsidRPr="00313D27">
              <w:rPr>
                <w:b/>
                <w:sz w:val="18"/>
                <w:szCs w:val="18"/>
              </w:rPr>
              <w:t>to</w:t>
            </w:r>
            <w:r>
              <w:rPr>
                <w:sz w:val="18"/>
                <w:szCs w:val="18"/>
              </w:rPr>
              <w:t xml:space="preserve"> </w:t>
            </w:r>
            <w:r w:rsidRPr="00357FC2">
              <w:rPr>
                <w:b/>
                <w:sz w:val="18"/>
                <w:szCs w:val="18"/>
              </w:rPr>
              <w:t>14,574</w:t>
            </w:r>
          </w:p>
        </w:tc>
        <w:tc>
          <w:tcPr>
            <w:tcW w:w="990" w:type="dxa"/>
            <w:vAlign w:val="center"/>
            <w:hideMark/>
          </w:tcPr>
          <w:p w:rsidRPr="00C134B0" w:rsidR="00785854" w:rsidP="00785854" w:rsidRDefault="00785854" w14:paraId="1A20AFFA" w14:textId="77777777">
            <w:pPr>
              <w:pStyle w:val="Table"/>
              <w:jc w:val="center"/>
              <w:rPr>
                <w:b/>
                <w:bCs/>
                <w:sz w:val="18"/>
                <w:szCs w:val="18"/>
              </w:rPr>
            </w:pPr>
            <w:r w:rsidRPr="00EA69E3">
              <w:rPr>
                <w:b/>
                <w:bCs/>
                <w:sz w:val="18"/>
                <w:szCs w:val="18"/>
              </w:rPr>
              <w:t>not applicable</w:t>
            </w:r>
          </w:p>
        </w:tc>
        <w:tc>
          <w:tcPr>
            <w:tcW w:w="1620" w:type="dxa"/>
            <w:tcMar>
              <w:left w:w="115" w:type="dxa"/>
              <w:right w:w="360" w:type="dxa"/>
            </w:tcMar>
            <w:vAlign w:val="center"/>
          </w:tcPr>
          <w:p w:rsidRPr="00F73AC1" w:rsidR="00785854" w:rsidP="00785854" w:rsidRDefault="00785854" w14:paraId="730BCA2E" w14:textId="43DD916D">
            <w:pPr>
              <w:pStyle w:val="Table"/>
              <w:ind w:right="-281"/>
              <w:jc w:val="right"/>
              <w:rPr>
                <w:b/>
                <w:bCs/>
                <w:sz w:val="18"/>
                <w:szCs w:val="18"/>
              </w:rPr>
            </w:pPr>
            <w:r>
              <w:rPr>
                <w:b/>
                <w:bCs/>
                <w:sz w:val="18"/>
                <w:szCs w:val="18"/>
              </w:rPr>
              <w:t xml:space="preserve">108,328 to </w:t>
            </w:r>
            <w:r w:rsidRPr="009F3544">
              <w:rPr>
                <w:b/>
                <w:bCs/>
                <w:sz w:val="18"/>
                <w:szCs w:val="18"/>
              </w:rPr>
              <w:t>140,304</w:t>
            </w:r>
          </w:p>
        </w:tc>
        <w:tc>
          <w:tcPr>
            <w:tcW w:w="990" w:type="dxa"/>
            <w:vAlign w:val="center"/>
            <w:hideMark/>
          </w:tcPr>
          <w:p w:rsidRPr="00A355B6" w:rsidR="00785854" w:rsidP="00785854" w:rsidRDefault="00785854" w14:paraId="2658480A" w14:textId="77777777">
            <w:pPr>
              <w:pStyle w:val="Table"/>
              <w:jc w:val="center"/>
              <w:rPr>
                <w:b/>
                <w:bCs/>
                <w:sz w:val="18"/>
                <w:szCs w:val="18"/>
              </w:rPr>
            </w:pPr>
            <w:r w:rsidRPr="00C70EB2">
              <w:rPr>
                <w:b/>
                <w:bCs/>
                <w:sz w:val="18"/>
                <w:szCs w:val="18"/>
              </w:rPr>
              <w:t>not applicable</w:t>
            </w:r>
          </w:p>
        </w:tc>
        <w:tc>
          <w:tcPr>
            <w:tcW w:w="2155" w:type="dxa"/>
            <w:noWrap/>
            <w:tcMar>
              <w:left w:w="115" w:type="dxa"/>
              <w:right w:w="288" w:type="dxa"/>
            </w:tcMar>
            <w:vAlign w:val="center"/>
          </w:tcPr>
          <w:p w:rsidRPr="00F73AC1" w:rsidR="00785854" w:rsidP="00785854" w:rsidRDefault="00785854" w14:paraId="23D06EE4" w14:textId="3353A4BA">
            <w:pPr>
              <w:pStyle w:val="Table"/>
              <w:ind w:right="-203"/>
              <w:jc w:val="right"/>
              <w:rPr>
                <w:b/>
                <w:bCs/>
                <w:sz w:val="18"/>
                <w:szCs w:val="18"/>
              </w:rPr>
            </w:pPr>
            <w:r>
              <w:rPr>
                <w:b/>
                <w:bCs/>
                <w:sz w:val="18"/>
                <w:szCs w:val="18"/>
              </w:rPr>
              <w:t xml:space="preserve">$6,200,695 to </w:t>
            </w:r>
            <w:r w:rsidRPr="009F3544">
              <w:rPr>
                <w:b/>
                <w:bCs/>
                <w:sz w:val="18"/>
                <w:szCs w:val="18"/>
              </w:rPr>
              <w:t>$8,031,001</w:t>
            </w:r>
          </w:p>
        </w:tc>
      </w:tr>
      <w:tr w:rsidRPr="003613B6" w:rsidR="00785854" w:rsidTr="00785854" w14:paraId="717CABA8" w14:textId="77777777">
        <w:trPr>
          <w:trHeight w:val="300"/>
        </w:trPr>
        <w:tc>
          <w:tcPr>
            <w:tcW w:w="2155" w:type="dxa"/>
            <w:vAlign w:val="center"/>
          </w:tcPr>
          <w:p w:rsidRPr="003613B6" w:rsidR="00785854" w:rsidP="00785854" w:rsidRDefault="00785854" w14:paraId="0630F4FF" w14:textId="77777777">
            <w:pPr>
              <w:pStyle w:val="Table"/>
              <w:rPr>
                <w:b/>
                <w:bCs/>
                <w:sz w:val="18"/>
              </w:rPr>
            </w:pPr>
            <w:r>
              <w:rPr>
                <w:b/>
                <w:bCs/>
                <w:sz w:val="18"/>
              </w:rPr>
              <w:t>Annual Average</w:t>
            </w:r>
          </w:p>
        </w:tc>
        <w:tc>
          <w:tcPr>
            <w:tcW w:w="1440" w:type="dxa"/>
            <w:vAlign w:val="center"/>
          </w:tcPr>
          <w:p w:rsidRPr="00192A44" w:rsidR="00785854" w:rsidP="00785854" w:rsidRDefault="00785854" w14:paraId="1F3398AE" w14:textId="77777777">
            <w:pPr>
              <w:pStyle w:val="Table"/>
              <w:ind w:right="-110"/>
              <w:jc w:val="center"/>
              <w:rPr>
                <w:b/>
                <w:sz w:val="18"/>
                <w:szCs w:val="18"/>
              </w:rPr>
            </w:pPr>
            <w:r>
              <w:rPr>
                <w:b/>
                <w:bCs/>
                <w:sz w:val="18"/>
              </w:rPr>
              <w:t>not applicable</w:t>
            </w:r>
          </w:p>
        </w:tc>
        <w:tc>
          <w:tcPr>
            <w:tcW w:w="990" w:type="dxa"/>
            <w:vAlign w:val="center"/>
          </w:tcPr>
          <w:p w:rsidRPr="00EA69E3" w:rsidR="00785854" w:rsidP="00785854" w:rsidRDefault="00785854" w14:paraId="19750DFA" w14:textId="77777777">
            <w:pPr>
              <w:pStyle w:val="Table"/>
              <w:jc w:val="center"/>
              <w:rPr>
                <w:b/>
                <w:bCs/>
                <w:sz w:val="18"/>
                <w:szCs w:val="18"/>
              </w:rPr>
            </w:pPr>
            <w:r>
              <w:rPr>
                <w:b/>
                <w:bCs/>
                <w:sz w:val="18"/>
              </w:rPr>
              <w:t>not applicable</w:t>
            </w:r>
          </w:p>
        </w:tc>
        <w:tc>
          <w:tcPr>
            <w:tcW w:w="1620" w:type="dxa"/>
            <w:tcMar>
              <w:left w:w="115" w:type="dxa"/>
              <w:right w:w="360" w:type="dxa"/>
            </w:tcMar>
            <w:vAlign w:val="center"/>
          </w:tcPr>
          <w:p w:rsidRPr="00A14CFC" w:rsidR="00785854" w:rsidP="00785854" w:rsidRDefault="00785854" w14:paraId="3AA5DD3A" w14:textId="4B59DECD">
            <w:pPr>
              <w:pStyle w:val="Table"/>
              <w:ind w:right="-281"/>
              <w:jc w:val="right"/>
              <w:rPr>
                <w:b/>
                <w:sz w:val="18"/>
                <w:szCs w:val="18"/>
                <w:highlight w:val="yellow"/>
              </w:rPr>
            </w:pPr>
            <w:r>
              <w:rPr>
                <w:b/>
                <w:bCs/>
                <w:sz w:val="18"/>
                <w:szCs w:val="18"/>
              </w:rPr>
              <w:t xml:space="preserve">36,109 to </w:t>
            </w:r>
            <w:r w:rsidRPr="009F3544">
              <w:rPr>
                <w:b/>
                <w:bCs/>
                <w:sz w:val="18"/>
                <w:szCs w:val="18"/>
              </w:rPr>
              <w:t>46,768</w:t>
            </w:r>
          </w:p>
        </w:tc>
        <w:tc>
          <w:tcPr>
            <w:tcW w:w="990" w:type="dxa"/>
            <w:vAlign w:val="center"/>
          </w:tcPr>
          <w:p w:rsidRPr="00C70EB2" w:rsidR="00785854" w:rsidP="00785854" w:rsidRDefault="00785854" w14:paraId="0824D6C3" w14:textId="77777777">
            <w:pPr>
              <w:pStyle w:val="Table"/>
              <w:jc w:val="center"/>
              <w:rPr>
                <w:b/>
                <w:bCs/>
                <w:sz w:val="18"/>
                <w:szCs w:val="18"/>
              </w:rPr>
            </w:pPr>
            <w:r>
              <w:rPr>
                <w:b/>
                <w:bCs/>
                <w:sz w:val="18"/>
              </w:rPr>
              <w:t>not applicable</w:t>
            </w:r>
          </w:p>
        </w:tc>
        <w:tc>
          <w:tcPr>
            <w:tcW w:w="2155" w:type="dxa"/>
            <w:noWrap/>
            <w:tcMar>
              <w:left w:w="115" w:type="dxa"/>
              <w:right w:w="288" w:type="dxa"/>
            </w:tcMar>
            <w:vAlign w:val="center"/>
          </w:tcPr>
          <w:p w:rsidRPr="00A14CFC" w:rsidR="00785854" w:rsidP="00785854" w:rsidRDefault="00785854" w14:paraId="084F9E68" w14:textId="4EE057B8">
            <w:pPr>
              <w:pStyle w:val="Table"/>
              <w:ind w:right="-203"/>
              <w:jc w:val="right"/>
              <w:rPr>
                <w:b/>
                <w:sz w:val="18"/>
                <w:szCs w:val="18"/>
                <w:highlight w:val="yellow"/>
              </w:rPr>
            </w:pPr>
            <w:r>
              <w:rPr>
                <w:b/>
                <w:bCs/>
                <w:sz w:val="18"/>
                <w:szCs w:val="18"/>
              </w:rPr>
              <w:t xml:space="preserve"> $2,066,898 to </w:t>
            </w:r>
            <w:r w:rsidRPr="009F3544">
              <w:rPr>
                <w:b/>
                <w:bCs/>
                <w:sz w:val="18"/>
                <w:szCs w:val="18"/>
              </w:rPr>
              <w:t>$2,677,000</w:t>
            </w:r>
          </w:p>
        </w:tc>
      </w:tr>
    </w:tbl>
    <w:p w:rsidR="00954693" w:rsidP="0023452F" w:rsidRDefault="00954693" w14:paraId="4BCA0998" w14:textId="3B99B6C1">
      <w:pPr>
        <w:pStyle w:val="TableNote"/>
      </w:pPr>
      <w:r>
        <w:t xml:space="preserve">Notes: Detail may not add exactly to total due to independent rounding. Ranges shown reflect the </w:t>
      </w:r>
      <w:r w:rsidR="00C45241">
        <w:t>low-cost</w:t>
      </w:r>
      <w:r>
        <w:t xml:space="preserve"> scenario to the high cost scenario. For some individual respondent categories, the number of respondents, burden, and cost are lower in the high cost scenario. However, the total burden and cost across all systems is higher in the high cost scenario. Also, number of respondents preparing LSLR plans can exceed the number of systems developing LSL inventories if there are systems that already have inventories that prepare and submit a LSLR plan.</w:t>
      </w:r>
    </w:p>
    <w:p w:rsidRPr="0027584B" w:rsidR="000B17BF" w:rsidP="006770D4" w:rsidRDefault="000B17BF" w14:paraId="02BABAA5" w14:textId="77777777">
      <w:pPr>
        <w:pStyle w:val="Heading2"/>
      </w:pPr>
      <w:r w:rsidRPr="0027584B">
        <w:t xml:space="preserve">6(c) </w:t>
      </w:r>
      <w:r w:rsidRPr="0027584B">
        <w:tab/>
        <w:t>Estimating Agency Burden and Cost</w:t>
      </w:r>
      <w:bookmarkEnd w:id="36"/>
    </w:p>
    <w:p w:rsidR="00354760" w:rsidP="00021325" w:rsidRDefault="006612EC" w14:paraId="50970E41" w14:textId="77777777">
      <w:pPr>
        <w:pStyle w:val="NormalIndent"/>
      </w:pPr>
      <w:r>
        <w:t xml:space="preserve">The Agency will conduct primacy activities in states, tribes, and territories that do not have primacy. </w:t>
      </w:r>
      <w:r w:rsidRPr="00D23847">
        <w:t>However, burden and costs for these activities are accounted for u</w:t>
      </w:r>
      <w:r>
        <w:t>nder the primacy agency burden</w:t>
      </w:r>
      <w:r w:rsidRPr="00D23847">
        <w:t>.</w:t>
      </w:r>
      <w:r>
        <w:t xml:space="preserve"> Additional i</w:t>
      </w:r>
      <w:r w:rsidR="001C1AAF">
        <w:t>nformation-related activities that may be undertaken by</w:t>
      </w:r>
      <w:r w:rsidRPr="00077858" w:rsidR="00A06944">
        <w:t xml:space="preserve"> both </w:t>
      </w:r>
      <w:r w:rsidR="001C1AAF">
        <w:t xml:space="preserve">EPA </w:t>
      </w:r>
      <w:r w:rsidRPr="00077858" w:rsidR="00354760">
        <w:t xml:space="preserve">headquarters </w:t>
      </w:r>
      <w:r w:rsidR="00354760">
        <w:t xml:space="preserve">and </w:t>
      </w:r>
      <w:r w:rsidR="001C1AAF">
        <w:t>regional offices include</w:t>
      </w:r>
      <w:r w:rsidRPr="00077858" w:rsidR="00A06944">
        <w:t xml:space="preserve"> review</w:t>
      </w:r>
      <w:r w:rsidR="001C1AAF">
        <w:t>ing</w:t>
      </w:r>
      <w:r w:rsidRPr="00077858" w:rsidR="00A06944">
        <w:t>, interpret</w:t>
      </w:r>
      <w:r w:rsidR="001C1AAF">
        <w:t>ing</w:t>
      </w:r>
      <w:r w:rsidRPr="00077858" w:rsidR="00A06944">
        <w:t xml:space="preserve"> and explain</w:t>
      </w:r>
      <w:r w:rsidR="001C1AAF">
        <w:t>ing</w:t>
      </w:r>
      <w:r w:rsidRPr="00077858" w:rsidR="00A06944">
        <w:t xml:space="preserve"> the new regulations to </w:t>
      </w:r>
      <w:r w:rsidR="007606BB">
        <w:t>primacy agencies</w:t>
      </w:r>
      <w:r w:rsidRPr="00077858" w:rsidR="00A06944">
        <w:t xml:space="preserve"> that ask for guidance. For</w:t>
      </w:r>
      <w:r w:rsidR="00A06944">
        <w:t xml:space="preserve"> example, during t</w:t>
      </w:r>
      <w:r w:rsidR="00354760">
        <w:t>he implementation process, EPA headquarters or r</w:t>
      </w:r>
      <w:r w:rsidR="00A06944">
        <w:t>egions might be asked for explanations or interpretation</w:t>
      </w:r>
      <w:r w:rsidR="00354760">
        <w:t>s</w:t>
      </w:r>
      <w:r w:rsidR="00A06944">
        <w:t xml:space="preserve"> of the intent of the new regulations. </w:t>
      </w:r>
      <w:r w:rsidR="00E62E42">
        <w:t xml:space="preserve">The </w:t>
      </w:r>
      <w:r w:rsidR="00A06944">
        <w:t>EPA believes that these regulatory changes are relatively straightforward and limited in scope and expects that the preamble</w:t>
      </w:r>
      <w:r w:rsidR="001C1AAF">
        <w:t xml:space="preserve"> language</w:t>
      </w:r>
      <w:r w:rsidR="00A06944">
        <w:t xml:space="preserve"> will </w:t>
      </w:r>
      <w:r w:rsidR="00820665">
        <w:t xml:space="preserve">generally be </w:t>
      </w:r>
      <w:proofErr w:type="gramStart"/>
      <w:r w:rsidR="00820665">
        <w:lastRenderedPageBreak/>
        <w:t>sufficient</w:t>
      </w:r>
      <w:proofErr w:type="gramEnd"/>
      <w:r w:rsidR="00820665">
        <w:t xml:space="preserve"> for the</w:t>
      </w:r>
      <w:r w:rsidR="00A06944">
        <w:t xml:space="preserve"> purpose</w:t>
      </w:r>
      <w:r w:rsidR="00820665">
        <w:t xml:space="preserve"> of explaining </w:t>
      </w:r>
      <w:r w:rsidR="00E62E42">
        <w:t xml:space="preserve">the </w:t>
      </w:r>
      <w:r w:rsidR="00820665">
        <w:t>EPA’s intent</w:t>
      </w:r>
      <w:r w:rsidR="00A06944">
        <w:t xml:space="preserve">. </w:t>
      </w:r>
      <w:r w:rsidR="00354760">
        <w:t xml:space="preserve">Therefore, the additional burden incurred by headquarters and regional offices </w:t>
      </w:r>
      <w:r w:rsidR="001C1AAF">
        <w:t>is expected to be minimal.</w:t>
      </w:r>
    </w:p>
    <w:p w:rsidR="000B17BF" w:rsidP="00021325" w:rsidRDefault="00AF5571" w14:paraId="4E0AA3F0" w14:textId="5B46C7C1">
      <w:pPr>
        <w:pStyle w:val="NormalIndent"/>
      </w:pPr>
      <w:bookmarkStart w:name="_Hlk59441919" w:id="43"/>
      <w:r>
        <w:t xml:space="preserve">Further, the </w:t>
      </w:r>
      <w:r w:rsidR="006612EC">
        <w:t xml:space="preserve">additional </w:t>
      </w:r>
      <w:r>
        <w:t xml:space="preserve">burden and costs incurred by </w:t>
      </w:r>
      <w:r w:rsidR="00E62E42">
        <w:t>the</w:t>
      </w:r>
      <w:r>
        <w:t xml:space="preserve"> E</w:t>
      </w:r>
      <w:r w:rsidR="00075704">
        <w:t>PA’s drinking water program at h</w:t>
      </w:r>
      <w:r>
        <w:t xml:space="preserve">eadquarters and </w:t>
      </w:r>
      <w:r w:rsidR="00075704">
        <w:t xml:space="preserve">regional offices </w:t>
      </w:r>
      <w:r>
        <w:t xml:space="preserve">to assist primacy agencies in implementing drinking water regulations are already included in </w:t>
      </w:r>
      <w:r w:rsidR="001415F4">
        <w:t xml:space="preserve">an </w:t>
      </w:r>
      <w:r>
        <w:t>existing ICR</w:t>
      </w:r>
      <w:bookmarkEnd w:id="43"/>
      <w:r>
        <w:t xml:space="preserve">. </w:t>
      </w:r>
      <w:r w:rsidR="00E62E42">
        <w:t>The</w:t>
      </w:r>
      <w:r>
        <w:t xml:space="preserve"> EPA burden and costs for on-going </w:t>
      </w:r>
      <w:r w:rsidR="00075704">
        <w:t>regulatory development and support</w:t>
      </w:r>
      <w:r>
        <w:t xml:space="preserve"> activities for all EPA drinking water regulations are accounted for under the </w:t>
      </w:r>
      <w:r w:rsidR="00C203D5">
        <w:t xml:space="preserve">Public Water System Supervision </w:t>
      </w:r>
      <w:r>
        <w:t>Program ICR</w:t>
      </w:r>
      <w:r w:rsidR="00250620">
        <w:t>.</w:t>
      </w:r>
      <w:r>
        <w:rPr>
          <w:rStyle w:val="FootnoteReference"/>
        </w:rPr>
        <w:footnoteReference w:id="16"/>
      </w:r>
      <w:r>
        <w:t xml:space="preserve"> </w:t>
      </w:r>
      <w:bookmarkStart w:name="_Hlk59441627" w:id="44"/>
      <w:r w:rsidR="006455A7">
        <w:t xml:space="preserve">This </w:t>
      </w:r>
      <w:r w:rsidR="00EC28F6">
        <w:t xml:space="preserve">final </w:t>
      </w:r>
      <w:r w:rsidR="006455A7">
        <w:t>rule does not create any additional Agency burden beyond that which is already described in the latest version of the PWS Supervision Program ICR (2040-0090, EPA ID 1895.10).</w:t>
      </w:r>
      <w:bookmarkEnd w:id="44"/>
    </w:p>
    <w:p w:rsidR="009E59E4" w:rsidP="00B95A19" w:rsidRDefault="009E59E4" w14:paraId="0940143E" w14:textId="77777777">
      <w:pPr>
        <w:pStyle w:val="Heading2"/>
      </w:pPr>
      <w:bookmarkStart w:name="_Toc160872076" w:id="45"/>
      <w:r>
        <w:t>6(d)</w:t>
      </w:r>
      <w:r>
        <w:tab/>
      </w:r>
      <w:r w:rsidR="002567F3">
        <w:t xml:space="preserve">Estimating the </w:t>
      </w:r>
      <w:r>
        <w:t>Respondent Universe</w:t>
      </w:r>
      <w:bookmarkEnd w:id="45"/>
      <w:r w:rsidR="002567F3">
        <w:t xml:space="preserve"> and </w:t>
      </w:r>
      <w:r w:rsidR="00B174B7">
        <w:t>Total Burden and Cost</w:t>
      </w:r>
    </w:p>
    <w:p w:rsidR="000B17BF" w:rsidP="00021325" w:rsidRDefault="009E59E4" w14:paraId="7A555122" w14:textId="77777777">
      <w:pPr>
        <w:pStyle w:val="NormalIndent"/>
      </w:pPr>
      <w:r>
        <w:t xml:space="preserve">There </w:t>
      </w:r>
      <w:proofErr w:type="gramStart"/>
      <w:r>
        <w:t>are</w:t>
      </w:r>
      <w:proofErr w:type="gramEnd"/>
      <w:r>
        <w:t xml:space="preserve"> a total </w:t>
      </w:r>
      <w:r w:rsidRPr="00B95A19">
        <w:t xml:space="preserve">of </w:t>
      </w:r>
      <w:r w:rsidRPr="00B95A19" w:rsidR="00B95A19">
        <w:t>67,656</w:t>
      </w:r>
      <w:r w:rsidRPr="00EC602C" w:rsidR="00B95A19">
        <w:t xml:space="preserve"> </w:t>
      </w:r>
      <w:r>
        <w:t>PWSs and 5</w:t>
      </w:r>
      <w:r w:rsidR="007315D6">
        <w:t>6</w:t>
      </w:r>
      <w:r>
        <w:t xml:space="preserve"> </w:t>
      </w:r>
      <w:r w:rsidR="00C8303B">
        <w:t>primacy agencies</w:t>
      </w:r>
      <w:r>
        <w:t xml:space="preserve"> considered for this Information Collection Request.</w:t>
      </w:r>
    </w:p>
    <w:p w:rsidR="0004562C" w:rsidP="00B95A19" w:rsidRDefault="0004562C" w14:paraId="3616718D" w14:textId="77777777">
      <w:pPr>
        <w:pStyle w:val="Heading2"/>
      </w:pPr>
      <w:bookmarkStart w:name="_Toc160872077" w:id="46"/>
      <w:r>
        <w:t>6(e)</w:t>
      </w:r>
      <w:r>
        <w:tab/>
        <w:t>Bottom Line Burden Hours and Costs</w:t>
      </w:r>
      <w:bookmarkEnd w:id="46"/>
      <w:r w:rsidR="00B174B7">
        <w:t xml:space="preserve"> Tables</w:t>
      </w:r>
    </w:p>
    <w:p w:rsidRPr="00EC602C" w:rsidR="00792F80" w:rsidP="00021325" w:rsidRDefault="0004562C" w14:paraId="160EECCA" w14:textId="5136A9E1">
      <w:pPr>
        <w:pStyle w:val="NormalIndent"/>
      </w:pPr>
      <w:r>
        <w:t>This section provides a description of bottom line estimates f</w:t>
      </w:r>
      <w:r w:rsidR="00B174B7">
        <w:t xml:space="preserve">or implementation of the rule. </w:t>
      </w:r>
      <w:r>
        <w:t xml:space="preserve">The </w:t>
      </w:r>
      <w:proofErr w:type="gramStart"/>
      <w:r>
        <w:t>bottom line</w:t>
      </w:r>
      <w:proofErr w:type="gramEnd"/>
      <w:r>
        <w:t xml:space="preserve"> burden hours and costs for systems and </w:t>
      </w:r>
      <w:r w:rsidR="007606BB">
        <w:t>primacy agencies</w:t>
      </w:r>
      <w:r>
        <w:t xml:space="preserve"> are the summaries of the hours and costs collectively incurred for all activities. The first part of this section describes the estimated costs and hourly burden</w:t>
      </w:r>
      <w:r w:rsidR="00B174B7">
        <w:t xml:space="preserve">s for respondents to the rule. </w:t>
      </w:r>
      <w:r>
        <w:t xml:space="preserve">The second part discusses the potential cost and burden to </w:t>
      </w:r>
      <w:r w:rsidR="00E62E42">
        <w:t xml:space="preserve">the </w:t>
      </w:r>
      <w:r>
        <w:t>EPA.</w:t>
      </w:r>
      <w:r w:rsidR="00792F80">
        <w:t xml:space="preserve"> </w:t>
      </w:r>
      <w:r w:rsidRPr="00DD45C1" w:rsidR="00792F80">
        <w:rPr>
          <w:b/>
        </w:rPr>
        <w:fldChar w:fldCharType="begin"/>
      </w:r>
      <w:r w:rsidRPr="00DD45C1" w:rsidR="00792F80">
        <w:rPr>
          <w:b/>
        </w:rPr>
        <w:instrText xml:space="preserve"> REF _Ref4507444 \h </w:instrText>
      </w:r>
      <w:r w:rsidR="00DD45C1">
        <w:rPr>
          <w:b/>
        </w:rPr>
        <w:instrText xml:space="preserve"> \* MERGEFORMAT </w:instrText>
      </w:r>
      <w:r w:rsidRPr="00DD45C1" w:rsidR="00792F80">
        <w:rPr>
          <w:b/>
        </w:rPr>
      </w:r>
      <w:r w:rsidRPr="00DD45C1" w:rsidR="00792F80">
        <w:rPr>
          <w:b/>
        </w:rPr>
        <w:fldChar w:fldCharType="separate"/>
      </w:r>
      <w:r w:rsidRPr="00672040" w:rsidR="00672040">
        <w:rPr>
          <w:b/>
        </w:rPr>
        <w:t xml:space="preserve">Exhibit </w:t>
      </w:r>
      <w:r w:rsidRPr="00672040" w:rsidR="00672040">
        <w:rPr>
          <w:b/>
          <w:noProof/>
        </w:rPr>
        <w:t>12</w:t>
      </w:r>
      <w:r w:rsidRPr="00DD45C1" w:rsidR="00792F80">
        <w:rPr>
          <w:b/>
        </w:rPr>
        <w:fldChar w:fldCharType="end"/>
      </w:r>
      <w:r>
        <w:t xml:space="preserve"> presents a summary of the </w:t>
      </w:r>
      <w:r w:rsidR="00524AF5">
        <w:t xml:space="preserve">total </w:t>
      </w:r>
      <w:r>
        <w:t xml:space="preserve">respondent burden over </w:t>
      </w:r>
      <w:r w:rsidR="007315D6">
        <w:t>three</w:t>
      </w:r>
      <w:r>
        <w:t xml:space="preserve"> years for PWSs and </w:t>
      </w:r>
      <w:r w:rsidR="007606BB">
        <w:t>primacy agencies</w:t>
      </w:r>
      <w:r w:rsidR="00663BE6">
        <w:t>.</w:t>
      </w:r>
      <w:r w:rsidR="001F2124">
        <w:t xml:space="preserve"> </w:t>
      </w:r>
    </w:p>
    <w:p w:rsidR="00792F80" w:rsidP="004A1618" w:rsidRDefault="00792F80" w14:paraId="559ECE8F" w14:textId="5EEF7204">
      <w:pPr>
        <w:pStyle w:val="Caption"/>
        <w:spacing w:after="0"/>
        <w:rPr>
          <w:noProof/>
        </w:rPr>
      </w:pPr>
      <w:bookmarkStart w:name="_Ref4507444" w:id="47"/>
      <w:r>
        <w:lastRenderedPageBreak/>
        <w:t xml:space="preserve">Exhibit </w:t>
      </w:r>
      <w:r w:rsidR="00856859">
        <w:rPr>
          <w:noProof/>
        </w:rPr>
        <w:fldChar w:fldCharType="begin"/>
      </w:r>
      <w:r w:rsidR="00856859">
        <w:rPr>
          <w:noProof/>
        </w:rPr>
        <w:instrText xml:space="preserve"> SEQ Exhibit \* ARABIC </w:instrText>
      </w:r>
      <w:r w:rsidR="00856859">
        <w:rPr>
          <w:noProof/>
        </w:rPr>
        <w:fldChar w:fldCharType="separate"/>
      </w:r>
      <w:r w:rsidR="00672040">
        <w:rPr>
          <w:noProof/>
        </w:rPr>
        <w:t>12</w:t>
      </w:r>
      <w:r w:rsidR="00856859">
        <w:rPr>
          <w:noProof/>
        </w:rPr>
        <w:fldChar w:fldCharType="end"/>
      </w:r>
      <w:bookmarkEnd w:id="47"/>
      <w:r>
        <w:rPr>
          <w:noProof/>
        </w:rPr>
        <w:t xml:space="preserve">. </w:t>
      </w:r>
      <w:r w:rsidRPr="00A149EE">
        <w:rPr>
          <w:noProof/>
        </w:rPr>
        <w:t xml:space="preserve">Bottom Line </w:t>
      </w:r>
      <w:r w:rsidR="00524AF5">
        <w:rPr>
          <w:noProof/>
        </w:rPr>
        <w:t xml:space="preserve">Total </w:t>
      </w:r>
      <w:r w:rsidRPr="00A149EE">
        <w:rPr>
          <w:noProof/>
        </w:rPr>
        <w:t>Burden and Costs</w:t>
      </w:r>
    </w:p>
    <w:p w:rsidRPr="00792F80" w:rsidR="00792F80" w:rsidP="004A1618" w:rsidRDefault="00792F80" w14:paraId="4867213C" w14:textId="77777777">
      <w:pPr>
        <w:keepNext/>
        <w:jc w:val="center"/>
      </w:pPr>
      <w:r w:rsidRPr="00F967F6">
        <w:rPr>
          <w:bCs/>
          <w:sz w:val="20"/>
          <w:szCs w:val="20"/>
        </w:rPr>
        <w:t>(</w:t>
      </w:r>
      <w:r>
        <w:rPr>
          <w:bCs/>
          <w:sz w:val="20"/>
          <w:szCs w:val="20"/>
        </w:rPr>
        <w:t>2016</w:t>
      </w:r>
      <w:r w:rsidR="004A1618">
        <w:rPr>
          <w:bCs/>
          <w:sz w:val="20"/>
          <w:szCs w:val="20"/>
        </w:rPr>
        <w:t xml:space="preserve"> dollars</w:t>
      </w:r>
      <w:r w:rsidRPr="00F967F6">
        <w:rPr>
          <w:bCs/>
          <w:sz w:val="20"/>
          <w:szCs w:val="20"/>
        </w:rPr>
        <w:t>)</w:t>
      </w:r>
    </w:p>
    <w:tbl>
      <w:tblPr>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4" w:type="dxa"/>
          <w:right w:w="154" w:type="dxa"/>
        </w:tblCellMar>
        <w:tblLook w:val="0000" w:firstRow="0" w:lastRow="0" w:firstColumn="0" w:lastColumn="0" w:noHBand="0" w:noVBand="0"/>
      </w:tblPr>
      <w:tblGrid>
        <w:gridCol w:w="2592"/>
        <w:gridCol w:w="2088"/>
        <w:gridCol w:w="2070"/>
        <w:gridCol w:w="3618"/>
      </w:tblGrid>
      <w:tr w:rsidRPr="00D44693" w:rsidR="007F4A44" w:rsidTr="00805A41" w14:paraId="13D861A4" w14:textId="77777777">
        <w:trPr>
          <w:jc w:val="center"/>
        </w:trPr>
        <w:tc>
          <w:tcPr>
            <w:tcW w:w="2592" w:type="dxa"/>
            <w:tcBorders>
              <w:top w:val="nil"/>
              <w:left w:val="nil"/>
            </w:tcBorders>
            <w:vAlign w:val="center"/>
          </w:tcPr>
          <w:p w:rsidRPr="00EC602C" w:rsidR="007F4A44" w:rsidP="007F4A44" w:rsidRDefault="007F4A44" w14:paraId="14FFE8FA" w14:textId="5EB4124F">
            <w:pPr>
              <w:pStyle w:val="Table"/>
              <w:jc w:val="right"/>
              <w:rPr>
                <w:b/>
                <w:color w:val="000000"/>
                <w:sz w:val="18"/>
              </w:rPr>
            </w:pPr>
          </w:p>
        </w:tc>
        <w:tc>
          <w:tcPr>
            <w:tcW w:w="2088" w:type="dxa"/>
            <w:vAlign w:val="center"/>
          </w:tcPr>
          <w:p w:rsidRPr="00EC602C" w:rsidR="007F4A44" w:rsidP="007F4A44" w:rsidRDefault="007F4A44" w14:paraId="5FB280EC" w14:textId="3E08CD37">
            <w:pPr>
              <w:pStyle w:val="Table"/>
              <w:jc w:val="right"/>
              <w:rPr>
                <w:b/>
                <w:color w:val="000000"/>
                <w:sz w:val="18"/>
              </w:rPr>
            </w:pPr>
            <w:r>
              <w:rPr>
                <w:b/>
                <w:color w:val="000000"/>
                <w:sz w:val="18"/>
              </w:rPr>
              <w:t>Low Cost Scenario</w:t>
            </w:r>
          </w:p>
        </w:tc>
        <w:tc>
          <w:tcPr>
            <w:tcW w:w="2070" w:type="dxa"/>
            <w:vAlign w:val="center"/>
          </w:tcPr>
          <w:p w:rsidRPr="005E2E1A" w:rsidR="007F4A44" w:rsidP="005E2E1A" w:rsidRDefault="007F4A44" w14:paraId="7647A9E1" w14:textId="21AFA762">
            <w:pPr>
              <w:pStyle w:val="Table"/>
              <w:jc w:val="right"/>
              <w:rPr>
                <w:b/>
                <w:sz w:val="18"/>
              </w:rPr>
            </w:pPr>
            <w:r w:rsidRPr="005E2E1A">
              <w:rPr>
                <w:b/>
                <w:sz w:val="18"/>
              </w:rPr>
              <w:t>High Cost Scenario</w:t>
            </w:r>
          </w:p>
        </w:tc>
        <w:tc>
          <w:tcPr>
            <w:tcW w:w="3618" w:type="dxa"/>
            <w:tcBorders>
              <w:top w:val="nil"/>
              <w:right w:val="nil"/>
            </w:tcBorders>
            <w:vAlign w:val="center"/>
          </w:tcPr>
          <w:p w:rsidR="007F4A44" w:rsidP="007F4A44" w:rsidRDefault="007F4A44" w14:paraId="5E08D4CB" w14:textId="515CF59F">
            <w:pPr>
              <w:pStyle w:val="Table"/>
              <w:rPr>
                <w:sz w:val="18"/>
              </w:rPr>
            </w:pPr>
          </w:p>
        </w:tc>
      </w:tr>
      <w:tr w:rsidRPr="00D44693" w:rsidR="007F4A44" w:rsidTr="00805A41" w14:paraId="1B84F542" w14:textId="77777777">
        <w:trPr>
          <w:jc w:val="center"/>
        </w:trPr>
        <w:tc>
          <w:tcPr>
            <w:tcW w:w="2592" w:type="dxa"/>
            <w:vAlign w:val="center"/>
          </w:tcPr>
          <w:p w:rsidRPr="00EC602C" w:rsidR="007F4A44" w:rsidP="00805A41" w:rsidRDefault="007F4A44" w14:paraId="3772DA1B" w14:textId="77777777">
            <w:pPr>
              <w:pStyle w:val="Table"/>
              <w:rPr>
                <w:sz w:val="18"/>
              </w:rPr>
            </w:pPr>
            <w:r w:rsidRPr="00EC602C">
              <w:rPr>
                <w:b/>
                <w:bCs/>
                <w:sz w:val="18"/>
              </w:rPr>
              <w:t>Number of Respondents</w:t>
            </w:r>
          </w:p>
        </w:tc>
        <w:tc>
          <w:tcPr>
            <w:tcW w:w="2088" w:type="dxa"/>
            <w:vAlign w:val="center"/>
          </w:tcPr>
          <w:p w:rsidR="007F4A44" w:rsidP="00805A41" w:rsidRDefault="007F4A44" w14:paraId="4C261972" w14:textId="77777777">
            <w:pPr>
              <w:pStyle w:val="Table"/>
              <w:jc w:val="right"/>
              <w:rPr>
                <w:sz w:val="18"/>
              </w:rPr>
            </w:pPr>
            <w:r w:rsidRPr="00EC602C">
              <w:rPr>
                <w:b/>
                <w:color w:val="000000"/>
                <w:sz w:val="18"/>
              </w:rPr>
              <w:t xml:space="preserve">67,712 </w:t>
            </w:r>
            <w:r w:rsidRPr="00EC602C">
              <w:rPr>
                <w:sz w:val="18"/>
              </w:rPr>
              <w:t xml:space="preserve">= </w:t>
            </w:r>
          </w:p>
          <w:p w:rsidRPr="00EC602C" w:rsidR="007F4A44" w:rsidP="00805A41" w:rsidRDefault="007F4A44" w14:paraId="6CAB09DF" w14:textId="77777777">
            <w:pPr>
              <w:pStyle w:val="Table"/>
              <w:jc w:val="right"/>
              <w:rPr>
                <w:sz w:val="18"/>
              </w:rPr>
            </w:pPr>
            <w:r w:rsidRPr="00EC602C">
              <w:rPr>
                <w:sz w:val="18"/>
              </w:rPr>
              <w:t>67,656</w:t>
            </w:r>
          </w:p>
          <w:p w:rsidRPr="00EC602C" w:rsidR="007F4A44" w:rsidP="00805A41" w:rsidRDefault="007F4A44" w14:paraId="78A69995" w14:textId="77777777">
            <w:pPr>
              <w:pStyle w:val="Table"/>
              <w:jc w:val="right"/>
              <w:rPr>
                <w:sz w:val="18"/>
              </w:rPr>
            </w:pPr>
            <w:r w:rsidRPr="00EC602C">
              <w:rPr>
                <w:sz w:val="18"/>
              </w:rPr>
              <w:t>+56</w:t>
            </w:r>
          </w:p>
        </w:tc>
        <w:tc>
          <w:tcPr>
            <w:tcW w:w="2070" w:type="dxa"/>
            <w:vAlign w:val="center"/>
          </w:tcPr>
          <w:p w:rsidR="007F4A44" w:rsidP="00805A41" w:rsidRDefault="007F4A44" w14:paraId="73CD9841" w14:textId="77777777">
            <w:pPr>
              <w:pStyle w:val="Table"/>
              <w:jc w:val="right"/>
              <w:rPr>
                <w:sz w:val="18"/>
              </w:rPr>
            </w:pPr>
            <w:r w:rsidRPr="00EC602C">
              <w:rPr>
                <w:b/>
                <w:color w:val="000000"/>
                <w:sz w:val="18"/>
              </w:rPr>
              <w:t xml:space="preserve">67,712 </w:t>
            </w:r>
            <w:r w:rsidRPr="00EC602C">
              <w:rPr>
                <w:sz w:val="18"/>
              </w:rPr>
              <w:t xml:space="preserve">= </w:t>
            </w:r>
          </w:p>
          <w:p w:rsidRPr="00EC602C" w:rsidR="007F4A44" w:rsidP="00805A41" w:rsidRDefault="007F4A44" w14:paraId="3156F7EA" w14:textId="77777777">
            <w:pPr>
              <w:pStyle w:val="Table"/>
              <w:jc w:val="right"/>
              <w:rPr>
                <w:sz w:val="18"/>
              </w:rPr>
            </w:pPr>
            <w:r w:rsidRPr="00EC602C">
              <w:rPr>
                <w:sz w:val="18"/>
              </w:rPr>
              <w:t>67,656</w:t>
            </w:r>
          </w:p>
          <w:p w:rsidR="007F4A44" w:rsidP="00805A41" w:rsidRDefault="007F4A44" w14:paraId="439646C0" w14:textId="7071A10C">
            <w:pPr>
              <w:pStyle w:val="Table"/>
              <w:jc w:val="right"/>
              <w:rPr>
                <w:sz w:val="18"/>
              </w:rPr>
            </w:pPr>
            <w:r w:rsidRPr="00EC602C">
              <w:rPr>
                <w:sz w:val="18"/>
              </w:rPr>
              <w:t>+56</w:t>
            </w:r>
          </w:p>
        </w:tc>
        <w:tc>
          <w:tcPr>
            <w:tcW w:w="3618" w:type="dxa"/>
            <w:vAlign w:val="center"/>
          </w:tcPr>
          <w:p w:rsidR="007F4A44" w:rsidP="00805A41" w:rsidRDefault="007F4A44" w14:paraId="2A5EE6C9" w14:textId="364D03C4">
            <w:pPr>
              <w:pStyle w:val="Table"/>
              <w:rPr>
                <w:sz w:val="18"/>
              </w:rPr>
            </w:pPr>
          </w:p>
          <w:p w:rsidRPr="00EC602C" w:rsidR="007F4A44" w:rsidP="00805A41" w:rsidRDefault="007F4A44" w14:paraId="15C87807" w14:textId="77777777">
            <w:pPr>
              <w:pStyle w:val="Table"/>
              <w:rPr>
                <w:sz w:val="18"/>
              </w:rPr>
            </w:pPr>
            <w:r w:rsidRPr="00EC602C">
              <w:rPr>
                <w:sz w:val="18"/>
              </w:rPr>
              <w:t>Public water systems</w:t>
            </w:r>
          </w:p>
          <w:p w:rsidRPr="00EC602C" w:rsidR="007F4A44" w:rsidP="00805A41" w:rsidRDefault="007F4A44" w14:paraId="46B15133" w14:textId="77777777">
            <w:pPr>
              <w:pStyle w:val="Table"/>
              <w:rPr>
                <w:sz w:val="18"/>
              </w:rPr>
            </w:pPr>
            <w:r>
              <w:rPr>
                <w:sz w:val="18"/>
              </w:rPr>
              <w:t>Primacy agencies</w:t>
            </w:r>
            <w:r w:rsidRPr="00EC602C">
              <w:rPr>
                <w:sz w:val="18"/>
              </w:rPr>
              <w:t xml:space="preserve"> </w:t>
            </w:r>
          </w:p>
        </w:tc>
      </w:tr>
      <w:tr w:rsidRPr="00D44693" w:rsidR="007F4A44" w:rsidTr="00805A41" w14:paraId="28CE97DC" w14:textId="77777777">
        <w:trPr>
          <w:jc w:val="center"/>
        </w:trPr>
        <w:tc>
          <w:tcPr>
            <w:tcW w:w="2592" w:type="dxa"/>
            <w:vAlign w:val="center"/>
          </w:tcPr>
          <w:p w:rsidRPr="00EC602C" w:rsidR="007F4A44" w:rsidP="00805A41" w:rsidRDefault="007F4A44" w14:paraId="56C1B5C0" w14:textId="77777777">
            <w:pPr>
              <w:pStyle w:val="Table"/>
              <w:rPr>
                <w:sz w:val="18"/>
              </w:rPr>
            </w:pPr>
            <w:r w:rsidRPr="00EC602C">
              <w:rPr>
                <w:b/>
                <w:bCs/>
                <w:sz w:val="18"/>
              </w:rPr>
              <w:t>Number of Responses</w:t>
            </w:r>
          </w:p>
        </w:tc>
        <w:tc>
          <w:tcPr>
            <w:tcW w:w="2088" w:type="dxa"/>
            <w:vAlign w:val="center"/>
          </w:tcPr>
          <w:p w:rsidR="007F4A44" w:rsidP="00805A41" w:rsidRDefault="009429D5" w14:paraId="6066593F" w14:textId="5B176898">
            <w:pPr>
              <w:pStyle w:val="Table"/>
              <w:jc w:val="right"/>
              <w:rPr>
                <w:sz w:val="18"/>
              </w:rPr>
            </w:pPr>
            <w:r w:rsidRPr="009429D5">
              <w:rPr>
                <w:b/>
                <w:sz w:val="18"/>
              </w:rPr>
              <w:t>346,164</w:t>
            </w:r>
            <w:r w:rsidR="007F4A44">
              <w:rPr>
                <w:b/>
                <w:sz w:val="18"/>
              </w:rPr>
              <w:t xml:space="preserve"> </w:t>
            </w:r>
            <w:r w:rsidRPr="00EC602C" w:rsidR="007F4A44">
              <w:rPr>
                <w:sz w:val="18"/>
              </w:rPr>
              <w:t>=</w:t>
            </w:r>
            <w:r w:rsidR="007F4A44">
              <w:rPr>
                <w:sz w:val="18"/>
              </w:rPr>
              <w:t xml:space="preserve"> </w:t>
            </w:r>
          </w:p>
          <w:p w:rsidR="00805A41" w:rsidP="00805A41" w:rsidRDefault="009429D5" w14:paraId="27B4F276" w14:textId="2C415BF3">
            <w:pPr>
              <w:pStyle w:val="Table"/>
              <w:jc w:val="right"/>
              <w:rPr>
                <w:sz w:val="18"/>
              </w:rPr>
            </w:pPr>
            <w:r w:rsidRPr="009429D5">
              <w:rPr>
                <w:sz w:val="18"/>
              </w:rPr>
              <w:t>274,454</w:t>
            </w:r>
          </w:p>
          <w:p w:rsidRPr="00EC602C" w:rsidR="007F4A44" w:rsidP="00805A41" w:rsidRDefault="007F4A44" w14:paraId="683A5525" w14:textId="2E7FD39D">
            <w:pPr>
              <w:pStyle w:val="Table"/>
              <w:jc w:val="right"/>
              <w:rPr>
                <w:b/>
                <w:bCs/>
                <w:sz w:val="18"/>
              </w:rPr>
            </w:pPr>
            <w:r w:rsidRPr="00EC602C">
              <w:rPr>
                <w:sz w:val="18"/>
              </w:rPr>
              <w:t>+</w:t>
            </w:r>
            <w:r w:rsidRPr="009429D5" w:rsidR="009429D5">
              <w:rPr>
                <w:sz w:val="18"/>
              </w:rPr>
              <w:t>71,710</w:t>
            </w:r>
          </w:p>
        </w:tc>
        <w:tc>
          <w:tcPr>
            <w:tcW w:w="2070" w:type="dxa"/>
            <w:vAlign w:val="center"/>
          </w:tcPr>
          <w:p w:rsidR="007F4A44" w:rsidP="00805A41" w:rsidRDefault="009429D5" w14:paraId="523C4FC8" w14:textId="6D4F38D4">
            <w:pPr>
              <w:pStyle w:val="Table"/>
              <w:jc w:val="right"/>
              <w:rPr>
                <w:sz w:val="18"/>
              </w:rPr>
            </w:pPr>
            <w:r w:rsidRPr="009429D5">
              <w:rPr>
                <w:b/>
                <w:sz w:val="18"/>
              </w:rPr>
              <w:t>351,796</w:t>
            </w:r>
            <w:r w:rsidR="007F4A44">
              <w:rPr>
                <w:b/>
                <w:sz w:val="18"/>
              </w:rPr>
              <w:t xml:space="preserve"> </w:t>
            </w:r>
            <w:r w:rsidRPr="00EC602C" w:rsidR="007F4A44">
              <w:rPr>
                <w:sz w:val="18"/>
              </w:rPr>
              <w:t>=</w:t>
            </w:r>
            <w:r w:rsidR="007F4A44">
              <w:rPr>
                <w:sz w:val="18"/>
              </w:rPr>
              <w:t xml:space="preserve"> </w:t>
            </w:r>
          </w:p>
          <w:p w:rsidR="007F4A44" w:rsidP="00805A41" w:rsidRDefault="009429D5" w14:paraId="1D5BAA24" w14:textId="07F74A1F">
            <w:pPr>
              <w:ind w:firstLine="180" w:firstLineChars="100"/>
              <w:jc w:val="right"/>
              <w:rPr>
                <w:rFonts w:ascii="Arial" w:hAnsi="Arial" w:cs="Arial"/>
                <w:color w:val="000000"/>
                <w:sz w:val="18"/>
                <w:szCs w:val="18"/>
              </w:rPr>
            </w:pPr>
            <w:r w:rsidRPr="009429D5">
              <w:rPr>
                <w:rFonts w:ascii="Arial" w:hAnsi="Arial" w:cs="Arial"/>
                <w:color w:val="000000"/>
                <w:sz w:val="18"/>
                <w:szCs w:val="18"/>
              </w:rPr>
              <w:t>277,270</w:t>
            </w:r>
          </w:p>
          <w:p w:rsidRPr="007F4A44" w:rsidR="007F4A44" w:rsidP="00805A41" w:rsidRDefault="007F4A44" w14:paraId="650B3A11" w14:textId="1B56B976">
            <w:pPr>
              <w:pStyle w:val="Table"/>
              <w:jc w:val="right"/>
              <w:rPr>
                <w:sz w:val="18"/>
              </w:rPr>
            </w:pPr>
            <w:r w:rsidRPr="00EC602C">
              <w:rPr>
                <w:sz w:val="18"/>
              </w:rPr>
              <w:t>+</w:t>
            </w:r>
            <w:r w:rsidRPr="009429D5" w:rsidR="009429D5">
              <w:rPr>
                <w:color w:val="000000"/>
                <w:sz w:val="18"/>
                <w:szCs w:val="18"/>
              </w:rPr>
              <w:t>74,526</w:t>
            </w:r>
          </w:p>
        </w:tc>
        <w:tc>
          <w:tcPr>
            <w:tcW w:w="3618" w:type="dxa"/>
            <w:vAlign w:val="center"/>
          </w:tcPr>
          <w:p w:rsidR="007F4A44" w:rsidP="00805A41" w:rsidRDefault="007F4A44" w14:paraId="20E162AE" w14:textId="772517B4">
            <w:pPr>
              <w:pStyle w:val="Table"/>
              <w:rPr>
                <w:sz w:val="18"/>
              </w:rPr>
            </w:pPr>
          </w:p>
          <w:p w:rsidRPr="00EC602C" w:rsidR="007F4A44" w:rsidP="00805A41" w:rsidRDefault="007F4A44" w14:paraId="019378D1" w14:textId="77777777">
            <w:pPr>
              <w:pStyle w:val="Table"/>
              <w:rPr>
                <w:sz w:val="18"/>
              </w:rPr>
            </w:pPr>
            <w:r w:rsidRPr="00EC602C">
              <w:rPr>
                <w:sz w:val="18"/>
              </w:rPr>
              <w:t>Public water systems</w:t>
            </w:r>
          </w:p>
          <w:p w:rsidRPr="00EC602C" w:rsidR="007F4A44" w:rsidP="00805A41" w:rsidRDefault="007F4A44" w14:paraId="118EA7F8" w14:textId="77777777">
            <w:pPr>
              <w:pStyle w:val="Table"/>
              <w:rPr>
                <w:sz w:val="18"/>
              </w:rPr>
            </w:pPr>
            <w:r>
              <w:rPr>
                <w:sz w:val="18"/>
              </w:rPr>
              <w:t>Primacy agencies</w:t>
            </w:r>
            <w:r w:rsidRPr="00EC602C">
              <w:rPr>
                <w:sz w:val="18"/>
              </w:rPr>
              <w:t xml:space="preserve"> </w:t>
            </w:r>
          </w:p>
        </w:tc>
      </w:tr>
      <w:tr w:rsidRPr="00D44693" w:rsidR="007F4A44" w:rsidTr="00805A41" w14:paraId="33299262" w14:textId="77777777">
        <w:trPr>
          <w:jc w:val="center"/>
        </w:trPr>
        <w:tc>
          <w:tcPr>
            <w:tcW w:w="2592" w:type="dxa"/>
            <w:vAlign w:val="center"/>
          </w:tcPr>
          <w:p w:rsidRPr="00EC602C" w:rsidR="007F4A44" w:rsidP="00805A41" w:rsidRDefault="007F4A44" w14:paraId="18A48BD5" w14:textId="77777777">
            <w:pPr>
              <w:pStyle w:val="Table"/>
              <w:rPr>
                <w:sz w:val="18"/>
              </w:rPr>
            </w:pPr>
            <w:r w:rsidRPr="00EC602C">
              <w:rPr>
                <w:b/>
                <w:bCs/>
                <w:sz w:val="18"/>
              </w:rPr>
              <w:t>Total Respondent Burden Hours</w:t>
            </w:r>
          </w:p>
        </w:tc>
        <w:tc>
          <w:tcPr>
            <w:tcW w:w="2088" w:type="dxa"/>
            <w:vAlign w:val="center"/>
          </w:tcPr>
          <w:p w:rsidR="007F4A44" w:rsidP="00805A41" w:rsidRDefault="00C52194" w14:paraId="7B952F59" w14:textId="5F7CA87A">
            <w:pPr>
              <w:pStyle w:val="Table"/>
              <w:jc w:val="right"/>
              <w:rPr>
                <w:sz w:val="18"/>
              </w:rPr>
            </w:pPr>
            <w:r>
              <w:rPr>
                <w:b/>
                <w:bCs/>
                <w:sz w:val="18"/>
              </w:rPr>
              <w:t>3,171,076</w:t>
            </w:r>
            <w:r w:rsidR="009429D5">
              <w:rPr>
                <w:b/>
                <w:bCs/>
                <w:sz w:val="18"/>
              </w:rPr>
              <w:t xml:space="preserve"> </w:t>
            </w:r>
            <w:r w:rsidRPr="00BE162E" w:rsidR="007F4A44">
              <w:rPr>
                <w:sz w:val="18"/>
              </w:rPr>
              <w:t xml:space="preserve">= </w:t>
            </w:r>
          </w:p>
          <w:p w:rsidR="005E2E1A" w:rsidP="00805A41" w:rsidRDefault="009429D5" w14:paraId="72671F93" w14:textId="0A507899">
            <w:pPr>
              <w:pStyle w:val="Table"/>
              <w:jc w:val="right"/>
              <w:rPr>
                <w:sz w:val="18"/>
              </w:rPr>
            </w:pPr>
            <w:r w:rsidRPr="009429D5">
              <w:rPr>
                <w:sz w:val="18"/>
              </w:rPr>
              <w:t>2,514,042</w:t>
            </w:r>
          </w:p>
          <w:p w:rsidRPr="00BE162E" w:rsidR="007F4A44" w:rsidP="00C52194" w:rsidRDefault="007F4A44" w14:paraId="17924255" w14:textId="4C583386">
            <w:pPr>
              <w:pStyle w:val="Table"/>
              <w:jc w:val="right"/>
              <w:rPr>
                <w:sz w:val="18"/>
              </w:rPr>
            </w:pPr>
            <w:r w:rsidRPr="00BE162E">
              <w:rPr>
                <w:sz w:val="18"/>
              </w:rPr>
              <w:t>+</w:t>
            </w:r>
            <w:r w:rsidR="00C52194">
              <w:rPr>
                <w:sz w:val="18"/>
              </w:rPr>
              <w:t>657,034</w:t>
            </w:r>
          </w:p>
        </w:tc>
        <w:tc>
          <w:tcPr>
            <w:tcW w:w="2070" w:type="dxa"/>
            <w:vAlign w:val="center"/>
          </w:tcPr>
          <w:p w:rsidRPr="005E2E1A" w:rsidR="007F4A44" w:rsidP="00805A41" w:rsidRDefault="00C52194" w14:paraId="5ACE002C" w14:textId="7826A065">
            <w:pPr>
              <w:ind w:firstLine="181" w:firstLineChars="100"/>
              <w:jc w:val="right"/>
              <w:rPr>
                <w:rFonts w:ascii="Arial" w:hAnsi="Arial" w:cs="Arial"/>
                <w:b/>
                <w:bCs/>
                <w:color w:val="000000"/>
                <w:sz w:val="18"/>
                <w:szCs w:val="18"/>
              </w:rPr>
            </w:pPr>
            <w:r>
              <w:rPr>
                <w:rFonts w:ascii="Arial" w:hAnsi="Arial" w:cs="Arial"/>
                <w:b/>
                <w:bCs/>
                <w:color w:val="000000"/>
                <w:sz w:val="18"/>
                <w:szCs w:val="18"/>
              </w:rPr>
              <w:t>3,388,020</w:t>
            </w:r>
            <w:r w:rsidR="007F4A44">
              <w:rPr>
                <w:rFonts w:ascii="Arial" w:hAnsi="Arial" w:cs="Arial"/>
                <w:b/>
                <w:bCs/>
                <w:color w:val="000000"/>
                <w:sz w:val="18"/>
                <w:szCs w:val="18"/>
              </w:rPr>
              <w:t xml:space="preserve"> </w:t>
            </w:r>
            <w:r w:rsidRPr="00BE162E" w:rsidR="007F4A44">
              <w:rPr>
                <w:sz w:val="18"/>
              </w:rPr>
              <w:t xml:space="preserve">= </w:t>
            </w:r>
          </w:p>
          <w:p w:rsidR="007F4A44" w:rsidP="00805A41" w:rsidRDefault="009429D5" w14:paraId="3333082C" w14:textId="22824027">
            <w:pPr>
              <w:pStyle w:val="Table"/>
              <w:jc w:val="right"/>
              <w:rPr>
                <w:sz w:val="18"/>
              </w:rPr>
            </w:pPr>
            <w:r w:rsidRPr="009429D5">
              <w:rPr>
                <w:sz w:val="18"/>
              </w:rPr>
              <w:t>2,689,924</w:t>
            </w:r>
          </w:p>
          <w:p w:rsidR="007F4A44" w:rsidP="00805A41" w:rsidRDefault="007F4A44" w14:paraId="213AA2CC" w14:textId="7CE43FE5">
            <w:pPr>
              <w:pStyle w:val="Table"/>
              <w:jc w:val="right"/>
              <w:rPr>
                <w:sz w:val="18"/>
              </w:rPr>
            </w:pPr>
            <w:r w:rsidRPr="00BE162E">
              <w:rPr>
                <w:sz w:val="18"/>
              </w:rPr>
              <w:t>+</w:t>
            </w:r>
            <w:r w:rsidR="00C52194">
              <w:rPr>
                <w:sz w:val="18"/>
              </w:rPr>
              <w:t>698,096</w:t>
            </w:r>
          </w:p>
        </w:tc>
        <w:tc>
          <w:tcPr>
            <w:tcW w:w="3618" w:type="dxa"/>
            <w:vAlign w:val="center"/>
          </w:tcPr>
          <w:p w:rsidR="007F4A44" w:rsidP="00805A41" w:rsidRDefault="007F4A44" w14:paraId="61078028" w14:textId="7ABF8ABE">
            <w:pPr>
              <w:pStyle w:val="Table"/>
              <w:rPr>
                <w:sz w:val="18"/>
              </w:rPr>
            </w:pPr>
          </w:p>
          <w:p w:rsidRPr="00EC602C" w:rsidR="007F4A44" w:rsidP="00805A41" w:rsidRDefault="007F4A44" w14:paraId="77CC7118" w14:textId="77777777">
            <w:pPr>
              <w:pStyle w:val="Table"/>
              <w:rPr>
                <w:sz w:val="18"/>
              </w:rPr>
            </w:pPr>
            <w:r w:rsidRPr="00EC602C">
              <w:rPr>
                <w:sz w:val="18"/>
              </w:rPr>
              <w:t>Public water system hours</w:t>
            </w:r>
          </w:p>
          <w:p w:rsidRPr="00EC602C" w:rsidR="007F4A44" w:rsidP="00805A41" w:rsidRDefault="007F4A44" w14:paraId="791B9B81" w14:textId="77777777">
            <w:pPr>
              <w:pStyle w:val="Table"/>
              <w:rPr>
                <w:sz w:val="18"/>
              </w:rPr>
            </w:pPr>
            <w:r>
              <w:rPr>
                <w:sz w:val="18"/>
              </w:rPr>
              <w:t>Primacy agency</w:t>
            </w:r>
            <w:r w:rsidRPr="00EC602C">
              <w:rPr>
                <w:sz w:val="18"/>
              </w:rPr>
              <w:t xml:space="preserve"> hours</w:t>
            </w:r>
          </w:p>
        </w:tc>
      </w:tr>
      <w:tr w:rsidRPr="00D44693" w:rsidR="007F4A44" w:rsidTr="00805A41" w14:paraId="2BA1C283" w14:textId="77777777">
        <w:trPr>
          <w:jc w:val="center"/>
        </w:trPr>
        <w:tc>
          <w:tcPr>
            <w:tcW w:w="2592" w:type="dxa"/>
            <w:vAlign w:val="center"/>
          </w:tcPr>
          <w:p w:rsidRPr="00EC602C" w:rsidR="007F4A44" w:rsidP="00805A41" w:rsidRDefault="007F4A44" w14:paraId="5CE19071" w14:textId="77777777">
            <w:pPr>
              <w:pStyle w:val="Table"/>
              <w:rPr>
                <w:b/>
                <w:bCs/>
                <w:sz w:val="18"/>
              </w:rPr>
            </w:pPr>
            <w:r w:rsidRPr="00EC602C">
              <w:rPr>
                <w:b/>
                <w:bCs/>
                <w:sz w:val="18"/>
              </w:rPr>
              <w:t>Hours per System</w:t>
            </w:r>
          </w:p>
          <w:p w:rsidRPr="00EC602C" w:rsidR="007F4A44" w:rsidP="00805A41" w:rsidRDefault="007F4A44" w14:paraId="546F2CE5" w14:textId="77777777">
            <w:pPr>
              <w:pStyle w:val="Table"/>
              <w:rPr>
                <w:sz w:val="18"/>
              </w:rPr>
            </w:pPr>
            <w:r w:rsidRPr="00EC602C">
              <w:rPr>
                <w:b/>
                <w:bCs/>
                <w:sz w:val="18"/>
              </w:rPr>
              <w:t>for Public Water Systems</w:t>
            </w:r>
          </w:p>
        </w:tc>
        <w:tc>
          <w:tcPr>
            <w:tcW w:w="2088" w:type="dxa"/>
            <w:vAlign w:val="center"/>
          </w:tcPr>
          <w:p w:rsidR="007F4A44" w:rsidP="00805A41" w:rsidRDefault="009429D5" w14:paraId="481A31F8" w14:textId="17F1FE83">
            <w:pPr>
              <w:pStyle w:val="Table"/>
              <w:jc w:val="right"/>
              <w:rPr>
                <w:sz w:val="18"/>
              </w:rPr>
            </w:pPr>
            <w:r w:rsidRPr="009429D5">
              <w:rPr>
                <w:b/>
                <w:bCs/>
                <w:sz w:val="18"/>
              </w:rPr>
              <w:t>37.16</w:t>
            </w:r>
            <w:r w:rsidR="005E2E1A">
              <w:rPr>
                <w:b/>
                <w:bCs/>
                <w:sz w:val="18"/>
              </w:rPr>
              <w:t xml:space="preserve"> </w:t>
            </w:r>
            <w:r w:rsidRPr="00BE162E" w:rsidR="007F4A44">
              <w:rPr>
                <w:sz w:val="18"/>
              </w:rPr>
              <w:t xml:space="preserve">= </w:t>
            </w:r>
          </w:p>
          <w:p w:rsidR="005E2E1A" w:rsidP="00805A41" w:rsidRDefault="009429D5" w14:paraId="12A3BDDF" w14:textId="2876A101">
            <w:pPr>
              <w:pStyle w:val="Table"/>
              <w:jc w:val="right"/>
              <w:rPr>
                <w:sz w:val="18"/>
              </w:rPr>
            </w:pPr>
            <w:r w:rsidRPr="009429D5">
              <w:rPr>
                <w:sz w:val="18"/>
              </w:rPr>
              <w:t>2,514,042</w:t>
            </w:r>
          </w:p>
          <w:p w:rsidRPr="00BE162E" w:rsidR="007F4A44" w:rsidP="00805A41" w:rsidRDefault="007F4A44" w14:paraId="6C4E7E31" w14:textId="2EB7CC95">
            <w:pPr>
              <w:pStyle w:val="Table"/>
              <w:jc w:val="right"/>
              <w:rPr>
                <w:sz w:val="18"/>
              </w:rPr>
            </w:pPr>
            <w:r w:rsidRPr="00BE162E">
              <w:rPr>
                <w:sz w:val="18"/>
              </w:rPr>
              <w:t>/67,656</w:t>
            </w:r>
          </w:p>
        </w:tc>
        <w:tc>
          <w:tcPr>
            <w:tcW w:w="2070" w:type="dxa"/>
            <w:vAlign w:val="center"/>
          </w:tcPr>
          <w:p w:rsidR="007F4A44" w:rsidP="00805A41" w:rsidRDefault="009429D5" w14:paraId="266AAA59" w14:textId="412364E4">
            <w:pPr>
              <w:pStyle w:val="Table"/>
              <w:jc w:val="right"/>
              <w:rPr>
                <w:sz w:val="18"/>
              </w:rPr>
            </w:pPr>
            <w:r w:rsidRPr="009429D5">
              <w:rPr>
                <w:b/>
                <w:bCs/>
                <w:sz w:val="18"/>
              </w:rPr>
              <w:t>39.76</w:t>
            </w:r>
            <w:r w:rsidR="007F4A44">
              <w:rPr>
                <w:b/>
                <w:bCs/>
                <w:sz w:val="18"/>
              </w:rPr>
              <w:t xml:space="preserve"> </w:t>
            </w:r>
            <w:r w:rsidRPr="00BE162E" w:rsidR="007F4A44">
              <w:rPr>
                <w:sz w:val="18"/>
              </w:rPr>
              <w:t xml:space="preserve">= </w:t>
            </w:r>
          </w:p>
          <w:p w:rsidR="007F4A44" w:rsidP="00805A41" w:rsidRDefault="009429D5" w14:paraId="5E6CD6DE" w14:textId="41778A33">
            <w:pPr>
              <w:pStyle w:val="Table"/>
              <w:jc w:val="right"/>
              <w:rPr>
                <w:sz w:val="18"/>
              </w:rPr>
            </w:pPr>
            <w:r w:rsidRPr="009429D5">
              <w:rPr>
                <w:sz w:val="18"/>
              </w:rPr>
              <w:t>2,689,924</w:t>
            </w:r>
          </w:p>
          <w:p w:rsidR="007F4A44" w:rsidP="00805A41" w:rsidRDefault="007F4A44" w14:paraId="2580065F" w14:textId="107BE901">
            <w:pPr>
              <w:pStyle w:val="Table"/>
              <w:jc w:val="right"/>
              <w:rPr>
                <w:sz w:val="18"/>
              </w:rPr>
            </w:pPr>
            <w:r w:rsidRPr="00BE162E">
              <w:rPr>
                <w:sz w:val="18"/>
              </w:rPr>
              <w:t>/67,656</w:t>
            </w:r>
          </w:p>
        </w:tc>
        <w:tc>
          <w:tcPr>
            <w:tcW w:w="3618" w:type="dxa"/>
            <w:vAlign w:val="center"/>
          </w:tcPr>
          <w:p w:rsidR="007F4A44" w:rsidP="00805A41" w:rsidRDefault="007F4A44" w14:paraId="1A4BFC5D" w14:textId="618424AE">
            <w:pPr>
              <w:pStyle w:val="Table"/>
              <w:rPr>
                <w:sz w:val="18"/>
              </w:rPr>
            </w:pPr>
          </w:p>
          <w:p w:rsidRPr="00EC602C" w:rsidR="007F4A44" w:rsidP="00805A41" w:rsidRDefault="007F4A44" w14:paraId="701D3840" w14:textId="77777777">
            <w:pPr>
              <w:pStyle w:val="Table"/>
              <w:rPr>
                <w:sz w:val="18"/>
              </w:rPr>
            </w:pPr>
            <w:r w:rsidRPr="00EC602C">
              <w:rPr>
                <w:sz w:val="18"/>
              </w:rPr>
              <w:t>Total PWS hours from above</w:t>
            </w:r>
          </w:p>
          <w:p w:rsidRPr="00EC602C" w:rsidR="007F4A44" w:rsidP="00805A41" w:rsidRDefault="007F4A44" w14:paraId="2C03DF7E" w14:textId="77777777">
            <w:pPr>
              <w:pStyle w:val="Table"/>
              <w:rPr>
                <w:sz w:val="18"/>
              </w:rPr>
            </w:pPr>
            <w:r w:rsidRPr="00EC602C">
              <w:rPr>
                <w:sz w:val="18"/>
              </w:rPr>
              <w:t>Total PWS from above</w:t>
            </w:r>
          </w:p>
        </w:tc>
      </w:tr>
      <w:tr w:rsidRPr="00D44693" w:rsidR="007F4A44" w:rsidTr="00805A41" w14:paraId="5A720D8E" w14:textId="77777777">
        <w:trPr>
          <w:jc w:val="center"/>
        </w:trPr>
        <w:tc>
          <w:tcPr>
            <w:tcW w:w="2592" w:type="dxa"/>
            <w:vAlign w:val="center"/>
          </w:tcPr>
          <w:p w:rsidRPr="00EC602C" w:rsidR="007F4A44" w:rsidP="00805A41" w:rsidRDefault="007F4A44" w14:paraId="77AFD7FB" w14:textId="77777777">
            <w:pPr>
              <w:pStyle w:val="Table"/>
              <w:rPr>
                <w:sz w:val="18"/>
              </w:rPr>
            </w:pPr>
            <w:r w:rsidRPr="00EC602C">
              <w:rPr>
                <w:b/>
                <w:bCs/>
                <w:sz w:val="18"/>
              </w:rPr>
              <w:t xml:space="preserve">Hours per </w:t>
            </w:r>
            <w:r>
              <w:rPr>
                <w:b/>
                <w:bCs/>
                <w:sz w:val="18"/>
              </w:rPr>
              <w:t>Primacy Agency</w:t>
            </w:r>
            <w:r w:rsidRPr="00EC602C">
              <w:rPr>
                <w:b/>
                <w:bCs/>
                <w:sz w:val="18"/>
              </w:rPr>
              <w:t xml:space="preserve"> for </w:t>
            </w:r>
            <w:r>
              <w:rPr>
                <w:b/>
                <w:bCs/>
                <w:sz w:val="18"/>
              </w:rPr>
              <w:t>Primacy Agencies</w:t>
            </w:r>
          </w:p>
        </w:tc>
        <w:tc>
          <w:tcPr>
            <w:tcW w:w="2088" w:type="dxa"/>
            <w:vAlign w:val="center"/>
          </w:tcPr>
          <w:p w:rsidR="007F4A44" w:rsidP="00805A41" w:rsidRDefault="00C52194" w14:paraId="2FFDA176" w14:textId="5B74221C">
            <w:pPr>
              <w:pStyle w:val="Table"/>
              <w:jc w:val="right"/>
              <w:rPr>
                <w:sz w:val="18"/>
              </w:rPr>
            </w:pPr>
            <w:r>
              <w:rPr>
                <w:b/>
                <w:sz w:val="18"/>
              </w:rPr>
              <w:t>11,733</w:t>
            </w:r>
            <w:r w:rsidR="005E2E1A">
              <w:rPr>
                <w:b/>
                <w:sz w:val="18"/>
              </w:rPr>
              <w:t xml:space="preserve"> </w:t>
            </w:r>
            <w:r w:rsidRPr="00BE162E" w:rsidR="007F4A44">
              <w:rPr>
                <w:sz w:val="18"/>
              </w:rPr>
              <w:t xml:space="preserve">= </w:t>
            </w:r>
          </w:p>
          <w:p w:rsidR="005E2E1A" w:rsidP="00805A41" w:rsidRDefault="00C52194" w14:paraId="58963112" w14:textId="114D77FF">
            <w:pPr>
              <w:pStyle w:val="Table"/>
              <w:jc w:val="right"/>
              <w:rPr>
                <w:sz w:val="18"/>
              </w:rPr>
            </w:pPr>
            <w:r>
              <w:rPr>
                <w:sz w:val="18"/>
              </w:rPr>
              <w:t>657,034</w:t>
            </w:r>
          </w:p>
          <w:p w:rsidRPr="00BE162E" w:rsidR="007F4A44" w:rsidP="00805A41" w:rsidRDefault="007F4A44" w14:paraId="05E0B6F0" w14:textId="14E564EC">
            <w:pPr>
              <w:pStyle w:val="Table"/>
              <w:jc w:val="right"/>
              <w:rPr>
                <w:sz w:val="18"/>
              </w:rPr>
            </w:pPr>
            <w:r w:rsidRPr="00BE162E">
              <w:rPr>
                <w:sz w:val="18"/>
              </w:rPr>
              <w:t>/56</w:t>
            </w:r>
          </w:p>
        </w:tc>
        <w:tc>
          <w:tcPr>
            <w:tcW w:w="2070" w:type="dxa"/>
            <w:vAlign w:val="center"/>
          </w:tcPr>
          <w:p w:rsidR="007F4A44" w:rsidP="00805A41" w:rsidRDefault="00C52194" w14:paraId="4D92575A" w14:textId="640133B9">
            <w:pPr>
              <w:pStyle w:val="Table"/>
              <w:jc w:val="right"/>
              <w:rPr>
                <w:sz w:val="18"/>
              </w:rPr>
            </w:pPr>
            <w:r>
              <w:rPr>
                <w:b/>
                <w:sz w:val="18"/>
              </w:rPr>
              <w:t>12,466</w:t>
            </w:r>
            <w:r w:rsidR="007F4A44">
              <w:rPr>
                <w:b/>
                <w:sz w:val="18"/>
              </w:rPr>
              <w:t xml:space="preserve"> </w:t>
            </w:r>
            <w:r w:rsidRPr="00BE162E" w:rsidR="007F4A44">
              <w:rPr>
                <w:sz w:val="18"/>
              </w:rPr>
              <w:t xml:space="preserve">= </w:t>
            </w:r>
          </w:p>
          <w:p w:rsidR="007F4A44" w:rsidP="00805A41" w:rsidRDefault="00C52194" w14:paraId="5A7DF90B" w14:textId="1D2A21FE">
            <w:pPr>
              <w:pStyle w:val="Table"/>
              <w:jc w:val="right"/>
              <w:rPr>
                <w:sz w:val="18"/>
              </w:rPr>
            </w:pPr>
            <w:r>
              <w:rPr>
                <w:sz w:val="18"/>
              </w:rPr>
              <w:t>698,096</w:t>
            </w:r>
          </w:p>
          <w:p w:rsidR="007F4A44" w:rsidP="00805A41" w:rsidRDefault="007F4A44" w14:paraId="67565751" w14:textId="2DC81488">
            <w:pPr>
              <w:pStyle w:val="Table"/>
              <w:jc w:val="right"/>
              <w:rPr>
                <w:sz w:val="18"/>
              </w:rPr>
            </w:pPr>
            <w:r w:rsidRPr="00BE162E">
              <w:rPr>
                <w:sz w:val="18"/>
              </w:rPr>
              <w:t>/56</w:t>
            </w:r>
          </w:p>
        </w:tc>
        <w:tc>
          <w:tcPr>
            <w:tcW w:w="3618" w:type="dxa"/>
            <w:vAlign w:val="center"/>
          </w:tcPr>
          <w:p w:rsidR="007F4A44" w:rsidP="00805A41" w:rsidRDefault="007F4A44" w14:paraId="18D6B961" w14:textId="3B813837">
            <w:pPr>
              <w:pStyle w:val="Table"/>
              <w:rPr>
                <w:sz w:val="18"/>
              </w:rPr>
            </w:pPr>
          </w:p>
          <w:p w:rsidRPr="00EC602C" w:rsidR="007F4A44" w:rsidP="00805A41" w:rsidRDefault="007F4A44" w14:paraId="00928DD1" w14:textId="77777777">
            <w:pPr>
              <w:pStyle w:val="Table"/>
              <w:rPr>
                <w:sz w:val="18"/>
              </w:rPr>
            </w:pPr>
            <w:r w:rsidRPr="00EC602C">
              <w:rPr>
                <w:sz w:val="18"/>
              </w:rPr>
              <w:t xml:space="preserve">Total </w:t>
            </w:r>
            <w:r>
              <w:rPr>
                <w:sz w:val="18"/>
              </w:rPr>
              <w:t>primacy agency</w:t>
            </w:r>
            <w:r w:rsidRPr="00EC602C">
              <w:rPr>
                <w:sz w:val="18"/>
              </w:rPr>
              <w:t xml:space="preserve"> hours from above</w:t>
            </w:r>
          </w:p>
          <w:p w:rsidRPr="00EC602C" w:rsidR="007F4A44" w:rsidP="00805A41" w:rsidRDefault="007F4A44" w14:paraId="11573AA9" w14:textId="77777777">
            <w:pPr>
              <w:pStyle w:val="Table"/>
              <w:rPr>
                <w:sz w:val="18"/>
              </w:rPr>
            </w:pPr>
            <w:r w:rsidRPr="00EC602C">
              <w:rPr>
                <w:sz w:val="18"/>
              </w:rPr>
              <w:t xml:space="preserve">Total </w:t>
            </w:r>
            <w:r>
              <w:rPr>
                <w:sz w:val="18"/>
              </w:rPr>
              <w:t>primacy agencies</w:t>
            </w:r>
            <w:r w:rsidRPr="00EC602C">
              <w:rPr>
                <w:sz w:val="18"/>
              </w:rPr>
              <w:t xml:space="preserve"> from above</w:t>
            </w:r>
          </w:p>
        </w:tc>
      </w:tr>
      <w:tr w:rsidRPr="00D44693" w:rsidR="007F4A44" w:rsidTr="00805A41" w14:paraId="62984C36" w14:textId="77777777">
        <w:trPr>
          <w:jc w:val="center"/>
        </w:trPr>
        <w:tc>
          <w:tcPr>
            <w:tcW w:w="2592" w:type="dxa"/>
            <w:vAlign w:val="center"/>
          </w:tcPr>
          <w:p w:rsidRPr="00EC602C" w:rsidR="007F4A44" w:rsidP="00805A41" w:rsidRDefault="007F4A44" w14:paraId="647EF3B6" w14:textId="77777777">
            <w:pPr>
              <w:pStyle w:val="Table"/>
              <w:rPr>
                <w:sz w:val="18"/>
              </w:rPr>
            </w:pPr>
            <w:r w:rsidRPr="00EC602C">
              <w:rPr>
                <w:b/>
                <w:bCs/>
                <w:sz w:val="18"/>
              </w:rPr>
              <w:t>Total Respondent Cost</w:t>
            </w:r>
          </w:p>
        </w:tc>
        <w:tc>
          <w:tcPr>
            <w:tcW w:w="2088" w:type="dxa"/>
            <w:vAlign w:val="center"/>
          </w:tcPr>
          <w:p w:rsidR="007F4A44" w:rsidP="00805A41" w:rsidRDefault="009429D5" w14:paraId="75587DA8" w14:textId="7466C252">
            <w:pPr>
              <w:pStyle w:val="Table"/>
              <w:jc w:val="right"/>
              <w:rPr>
                <w:sz w:val="18"/>
              </w:rPr>
            </w:pPr>
            <w:r w:rsidRPr="009429D5">
              <w:rPr>
                <w:b/>
                <w:bCs/>
                <w:sz w:val="18"/>
              </w:rPr>
              <w:t>$</w:t>
            </w:r>
            <w:r w:rsidR="00C52194">
              <w:rPr>
                <w:b/>
                <w:bCs/>
                <w:sz w:val="18"/>
              </w:rPr>
              <w:t>115,155,221</w:t>
            </w:r>
            <w:r w:rsidR="005E2E1A">
              <w:rPr>
                <w:b/>
                <w:bCs/>
                <w:sz w:val="18"/>
              </w:rPr>
              <w:t xml:space="preserve"> </w:t>
            </w:r>
            <w:r w:rsidRPr="00BE162E" w:rsidR="007F4A44">
              <w:rPr>
                <w:sz w:val="18"/>
              </w:rPr>
              <w:t>=</w:t>
            </w:r>
            <w:r w:rsidR="007F4A44">
              <w:rPr>
                <w:sz w:val="18"/>
              </w:rPr>
              <w:t xml:space="preserve">   </w:t>
            </w:r>
          </w:p>
          <w:p w:rsidR="005E2E1A" w:rsidP="00805A41" w:rsidRDefault="009429D5" w14:paraId="45F117CB" w14:textId="191155EC">
            <w:pPr>
              <w:pStyle w:val="Table"/>
              <w:jc w:val="right"/>
              <w:rPr>
                <w:sz w:val="18"/>
              </w:rPr>
            </w:pPr>
            <w:r w:rsidRPr="009429D5">
              <w:rPr>
                <w:sz w:val="18"/>
              </w:rPr>
              <w:t>$77,546,595</w:t>
            </w:r>
          </w:p>
          <w:p w:rsidRPr="00BE162E" w:rsidR="007F4A44" w:rsidP="00805A41" w:rsidRDefault="007F4A44" w14:paraId="5B62992E" w14:textId="2539B4B5">
            <w:pPr>
              <w:pStyle w:val="Table"/>
              <w:jc w:val="right"/>
              <w:rPr>
                <w:sz w:val="18"/>
              </w:rPr>
            </w:pPr>
            <w:r w:rsidRPr="00BE162E">
              <w:rPr>
                <w:sz w:val="18"/>
              </w:rPr>
              <w:t>+</w:t>
            </w:r>
            <w:r w:rsidRPr="009429D5" w:rsidR="009429D5">
              <w:rPr>
                <w:sz w:val="18"/>
              </w:rPr>
              <w:t>$</w:t>
            </w:r>
            <w:r w:rsidR="00C52194">
              <w:rPr>
                <w:sz w:val="18"/>
              </w:rPr>
              <w:t>37,608,626</w:t>
            </w:r>
          </w:p>
        </w:tc>
        <w:tc>
          <w:tcPr>
            <w:tcW w:w="2070" w:type="dxa"/>
            <w:vAlign w:val="center"/>
          </w:tcPr>
          <w:p w:rsidR="007F4A44" w:rsidP="00805A41" w:rsidRDefault="009429D5" w14:paraId="74EA9B15" w14:textId="31D65367">
            <w:pPr>
              <w:pStyle w:val="Table"/>
              <w:jc w:val="right"/>
              <w:rPr>
                <w:sz w:val="18"/>
              </w:rPr>
            </w:pPr>
            <w:r w:rsidRPr="009429D5">
              <w:rPr>
                <w:b/>
                <w:bCs/>
                <w:sz w:val="18"/>
              </w:rPr>
              <w:t>$</w:t>
            </w:r>
            <w:r w:rsidR="00C52194">
              <w:rPr>
                <w:b/>
                <w:bCs/>
                <w:sz w:val="18"/>
              </w:rPr>
              <w:t>123,344,785</w:t>
            </w:r>
            <w:r w:rsidR="007F4A44">
              <w:rPr>
                <w:b/>
                <w:bCs/>
                <w:sz w:val="18"/>
              </w:rPr>
              <w:t xml:space="preserve"> </w:t>
            </w:r>
            <w:r w:rsidRPr="00BE162E" w:rsidR="007F4A44">
              <w:rPr>
                <w:sz w:val="18"/>
              </w:rPr>
              <w:t>=</w:t>
            </w:r>
            <w:r w:rsidR="007F4A44">
              <w:rPr>
                <w:sz w:val="18"/>
              </w:rPr>
              <w:t xml:space="preserve">   </w:t>
            </w:r>
          </w:p>
          <w:p w:rsidR="007F4A44" w:rsidP="00805A41" w:rsidRDefault="009429D5" w14:paraId="3A5D9146" w14:textId="47FEDFF4">
            <w:pPr>
              <w:pStyle w:val="Table"/>
              <w:jc w:val="right"/>
              <w:rPr>
                <w:sz w:val="18"/>
              </w:rPr>
            </w:pPr>
            <w:r w:rsidRPr="009429D5">
              <w:rPr>
                <w:sz w:val="18"/>
              </w:rPr>
              <w:t>$83,385,770</w:t>
            </w:r>
          </w:p>
          <w:p w:rsidRPr="007F4A44" w:rsidR="007F4A44" w:rsidP="00C52194" w:rsidRDefault="007F4A44" w14:paraId="74FD2082" w14:textId="713D0016">
            <w:pPr>
              <w:pStyle w:val="Table"/>
              <w:jc w:val="right"/>
              <w:rPr>
                <w:sz w:val="18"/>
              </w:rPr>
            </w:pPr>
            <w:r w:rsidRPr="00BE162E">
              <w:rPr>
                <w:sz w:val="18"/>
              </w:rPr>
              <w:t>+</w:t>
            </w:r>
            <w:r w:rsidRPr="009429D5" w:rsidR="009429D5">
              <w:rPr>
                <w:color w:val="000000"/>
                <w:sz w:val="18"/>
                <w:szCs w:val="18"/>
              </w:rPr>
              <w:t>$</w:t>
            </w:r>
            <w:r w:rsidR="00C52194">
              <w:rPr>
                <w:color w:val="000000"/>
                <w:sz w:val="18"/>
                <w:szCs w:val="18"/>
              </w:rPr>
              <w:t>39,959,015</w:t>
            </w:r>
            <w:r w:rsidRPr="009429D5" w:rsidR="009429D5">
              <w:rPr>
                <w:color w:val="000000"/>
                <w:sz w:val="18"/>
                <w:szCs w:val="18"/>
              </w:rPr>
              <w:t xml:space="preserve"> </w:t>
            </w:r>
            <w:r>
              <w:rPr>
                <w:color w:val="000000"/>
                <w:sz w:val="18"/>
                <w:szCs w:val="18"/>
              </w:rPr>
              <w:t xml:space="preserve"> </w:t>
            </w:r>
          </w:p>
        </w:tc>
        <w:tc>
          <w:tcPr>
            <w:tcW w:w="3618" w:type="dxa"/>
            <w:vAlign w:val="center"/>
          </w:tcPr>
          <w:p w:rsidR="007F4A44" w:rsidP="00805A41" w:rsidRDefault="007F4A44" w14:paraId="709B73B1" w14:textId="7660A73F">
            <w:pPr>
              <w:pStyle w:val="Table"/>
              <w:rPr>
                <w:sz w:val="18"/>
              </w:rPr>
            </w:pPr>
          </w:p>
          <w:p w:rsidRPr="00EC602C" w:rsidR="007F4A44" w:rsidP="00805A41" w:rsidRDefault="007F4A44" w14:paraId="16B2426B" w14:textId="77777777">
            <w:pPr>
              <w:pStyle w:val="Table"/>
              <w:rPr>
                <w:sz w:val="18"/>
              </w:rPr>
            </w:pPr>
            <w:r w:rsidRPr="00EC602C">
              <w:rPr>
                <w:sz w:val="18"/>
              </w:rPr>
              <w:t>Public water system costs</w:t>
            </w:r>
          </w:p>
          <w:p w:rsidRPr="00EC602C" w:rsidR="007F4A44" w:rsidP="00805A41" w:rsidRDefault="007F4A44" w14:paraId="4FAAB2C0" w14:textId="77777777">
            <w:pPr>
              <w:pStyle w:val="Table"/>
              <w:rPr>
                <w:sz w:val="18"/>
              </w:rPr>
            </w:pPr>
            <w:r>
              <w:rPr>
                <w:sz w:val="18"/>
              </w:rPr>
              <w:t>Primacy agency</w:t>
            </w:r>
            <w:r w:rsidRPr="00EC602C">
              <w:rPr>
                <w:sz w:val="18"/>
              </w:rPr>
              <w:t xml:space="preserve"> costs</w:t>
            </w:r>
          </w:p>
        </w:tc>
      </w:tr>
      <w:tr w:rsidRPr="00D44693" w:rsidR="007F4A44" w:rsidTr="00805A41" w14:paraId="15F9E9C3" w14:textId="77777777">
        <w:trPr>
          <w:jc w:val="center"/>
        </w:trPr>
        <w:tc>
          <w:tcPr>
            <w:tcW w:w="2592" w:type="dxa"/>
            <w:vAlign w:val="center"/>
          </w:tcPr>
          <w:p w:rsidRPr="00EC602C" w:rsidR="007F4A44" w:rsidP="00805A41" w:rsidRDefault="007F4A44" w14:paraId="07B09301" w14:textId="77777777">
            <w:pPr>
              <w:pStyle w:val="Table"/>
              <w:rPr>
                <w:b/>
                <w:sz w:val="18"/>
              </w:rPr>
            </w:pPr>
            <w:r>
              <w:rPr>
                <w:b/>
                <w:sz w:val="18"/>
              </w:rPr>
              <w:t xml:space="preserve">Average </w:t>
            </w:r>
            <w:r w:rsidRPr="00EC602C">
              <w:rPr>
                <w:b/>
                <w:sz w:val="18"/>
              </w:rPr>
              <w:t>Cost per System for Public Water Systems</w:t>
            </w:r>
          </w:p>
        </w:tc>
        <w:tc>
          <w:tcPr>
            <w:tcW w:w="2088" w:type="dxa"/>
            <w:vAlign w:val="center"/>
          </w:tcPr>
          <w:p w:rsidR="007F4A44" w:rsidP="00805A41" w:rsidRDefault="009429D5" w14:paraId="1C04499C" w14:textId="7A16B6CE">
            <w:pPr>
              <w:pStyle w:val="Table"/>
              <w:jc w:val="right"/>
              <w:rPr>
                <w:sz w:val="18"/>
              </w:rPr>
            </w:pPr>
            <w:r w:rsidRPr="009429D5">
              <w:rPr>
                <w:b/>
                <w:bCs/>
                <w:sz w:val="18"/>
              </w:rPr>
              <w:t>$1,146.19</w:t>
            </w:r>
            <w:r w:rsidR="005E2E1A">
              <w:rPr>
                <w:b/>
                <w:bCs/>
                <w:sz w:val="18"/>
              </w:rPr>
              <w:t xml:space="preserve"> </w:t>
            </w:r>
            <w:r w:rsidRPr="00EC602C" w:rsidR="007F4A44">
              <w:rPr>
                <w:sz w:val="18"/>
              </w:rPr>
              <w:t xml:space="preserve">= </w:t>
            </w:r>
          </w:p>
          <w:p w:rsidR="005E2E1A" w:rsidP="00805A41" w:rsidRDefault="009429D5" w14:paraId="034DD604" w14:textId="37F36AB5">
            <w:pPr>
              <w:pStyle w:val="Table"/>
              <w:jc w:val="right"/>
              <w:rPr>
                <w:sz w:val="18"/>
              </w:rPr>
            </w:pPr>
            <w:r w:rsidRPr="009429D5">
              <w:rPr>
                <w:sz w:val="18"/>
              </w:rPr>
              <w:t>$77,546,595</w:t>
            </w:r>
          </w:p>
          <w:p w:rsidRPr="00EC602C" w:rsidR="007F4A44" w:rsidP="00805A41" w:rsidRDefault="007F4A44" w14:paraId="72A195E3" w14:textId="5C17FAD1">
            <w:pPr>
              <w:pStyle w:val="Table"/>
              <w:jc w:val="right"/>
              <w:rPr>
                <w:b/>
                <w:bCs/>
                <w:sz w:val="18"/>
              </w:rPr>
            </w:pPr>
            <w:r w:rsidRPr="00EC602C">
              <w:rPr>
                <w:sz w:val="18"/>
              </w:rPr>
              <w:t>/67,656</w:t>
            </w:r>
          </w:p>
        </w:tc>
        <w:tc>
          <w:tcPr>
            <w:tcW w:w="2070" w:type="dxa"/>
            <w:vAlign w:val="center"/>
          </w:tcPr>
          <w:p w:rsidR="007F4A44" w:rsidP="00805A41" w:rsidRDefault="009429D5" w14:paraId="2D66F7B0" w14:textId="489D7E53">
            <w:pPr>
              <w:pStyle w:val="Table"/>
              <w:jc w:val="right"/>
              <w:rPr>
                <w:sz w:val="18"/>
              </w:rPr>
            </w:pPr>
            <w:r w:rsidRPr="009429D5">
              <w:rPr>
                <w:b/>
                <w:bCs/>
                <w:sz w:val="18"/>
              </w:rPr>
              <w:t>$1,232.50</w:t>
            </w:r>
            <w:r w:rsidR="007F4A44">
              <w:rPr>
                <w:b/>
                <w:bCs/>
                <w:sz w:val="18"/>
              </w:rPr>
              <w:t xml:space="preserve"> </w:t>
            </w:r>
            <w:r w:rsidRPr="00EC602C" w:rsidR="007F4A44">
              <w:rPr>
                <w:sz w:val="18"/>
              </w:rPr>
              <w:t xml:space="preserve">= </w:t>
            </w:r>
          </w:p>
          <w:p w:rsidR="007F4A44" w:rsidP="00805A41" w:rsidRDefault="00B04F66" w14:paraId="1B61B5ED" w14:textId="3AD43CE2">
            <w:pPr>
              <w:pStyle w:val="Table"/>
              <w:jc w:val="right"/>
              <w:rPr>
                <w:sz w:val="18"/>
              </w:rPr>
            </w:pPr>
            <w:r w:rsidRPr="00B04F66">
              <w:rPr>
                <w:sz w:val="18"/>
              </w:rPr>
              <w:t>$83,385,770</w:t>
            </w:r>
          </w:p>
          <w:p w:rsidR="007F4A44" w:rsidP="00805A41" w:rsidRDefault="007F4A44" w14:paraId="60B5BD4C" w14:textId="0E8CFB93">
            <w:pPr>
              <w:pStyle w:val="Table"/>
              <w:jc w:val="right"/>
              <w:rPr>
                <w:sz w:val="18"/>
              </w:rPr>
            </w:pPr>
            <w:r w:rsidRPr="00EC602C">
              <w:rPr>
                <w:sz w:val="18"/>
              </w:rPr>
              <w:t>/67,656</w:t>
            </w:r>
          </w:p>
        </w:tc>
        <w:tc>
          <w:tcPr>
            <w:tcW w:w="3618" w:type="dxa"/>
            <w:vAlign w:val="center"/>
          </w:tcPr>
          <w:p w:rsidR="007F4A44" w:rsidP="00805A41" w:rsidRDefault="007F4A44" w14:paraId="3C001FAC" w14:textId="2DD5088C">
            <w:pPr>
              <w:pStyle w:val="Table"/>
              <w:rPr>
                <w:sz w:val="18"/>
              </w:rPr>
            </w:pPr>
          </w:p>
          <w:p w:rsidRPr="00EC602C" w:rsidR="007F4A44" w:rsidP="00805A41" w:rsidRDefault="007F4A44" w14:paraId="6BCBED36" w14:textId="77777777">
            <w:pPr>
              <w:pStyle w:val="Table"/>
              <w:rPr>
                <w:sz w:val="18"/>
              </w:rPr>
            </w:pPr>
            <w:r w:rsidRPr="00EC602C">
              <w:rPr>
                <w:sz w:val="18"/>
              </w:rPr>
              <w:t>Total PWS costs from above</w:t>
            </w:r>
          </w:p>
          <w:p w:rsidRPr="00EC602C" w:rsidR="007F4A44" w:rsidP="00805A41" w:rsidRDefault="007F4A44" w14:paraId="095827C2" w14:textId="77777777">
            <w:pPr>
              <w:pStyle w:val="Table"/>
              <w:rPr>
                <w:sz w:val="18"/>
              </w:rPr>
            </w:pPr>
            <w:r w:rsidRPr="00EC602C">
              <w:rPr>
                <w:sz w:val="18"/>
              </w:rPr>
              <w:t>Total PWS from above</w:t>
            </w:r>
          </w:p>
        </w:tc>
      </w:tr>
      <w:tr w:rsidRPr="00D44693" w:rsidR="007F4A44" w:rsidTr="00805A41" w14:paraId="51870149" w14:textId="77777777">
        <w:trPr>
          <w:trHeight w:val="703"/>
          <w:jc w:val="center"/>
        </w:trPr>
        <w:tc>
          <w:tcPr>
            <w:tcW w:w="2592" w:type="dxa"/>
            <w:vAlign w:val="center"/>
          </w:tcPr>
          <w:p w:rsidRPr="00EC602C" w:rsidR="007F4A44" w:rsidP="00805A41" w:rsidRDefault="007F4A44" w14:paraId="2F899EBB" w14:textId="77777777">
            <w:pPr>
              <w:pStyle w:val="Table"/>
              <w:rPr>
                <w:b/>
                <w:sz w:val="18"/>
              </w:rPr>
            </w:pPr>
            <w:r>
              <w:rPr>
                <w:b/>
                <w:sz w:val="18"/>
              </w:rPr>
              <w:t xml:space="preserve">Average </w:t>
            </w:r>
            <w:r w:rsidRPr="00EC602C">
              <w:rPr>
                <w:b/>
                <w:sz w:val="18"/>
              </w:rPr>
              <w:t xml:space="preserve">Cost per </w:t>
            </w:r>
            <w:r>
              <w:rPr>
                <w:b/>
                <w:sz w:val="18"/>
              </w:rPr>
              <w:t>Primacy Agency</w:t>
            </w:r>
            <w:r w:rsidRPr="00EC602C">
              <w:rPr>
                <w:b/>
                <w:sz w:val="18"/>
              </w:rPr>
              <w:t xml:space="preserve"> for </w:t>
            </w:r>
            <w:r>
              <w:rPr>
                <w:b/>
                <w:sz w:val="18"/>
              </w:rPr>
              <w:t>Primacy Agencies</w:t>
            </w:r>
          </w:p>
        </w:tc>
        <w:tc>
          <w:tcPr>
            <w:tcW w:w="2088" w:type="dxa"/>
            <w:vAlign w:val="center"/>
          </w:tcPr>
          <w:p w:rsidR="007F4A44" w:rsidP="00805A41" w:rsidRDefault="009429D5" w14:paraId="4D9B2AF3" w14:textId="4C3933FE">
            <w:pPr>
              <w:pStyle w:val="Table"/>
              <w:jc w:val="right"/>
              <w:rPr>
                <w:sz w:val="18"/>
              </w:rPr>
            </w:pPr>
            <w:r w:rsidRPr="009429D5">
              <w:rPr>
                <w:b/>
                <w:bCs/>
                <w:sz w:val="18"/>
              </w:rPr>
              <w:t>$</w:t>
            </w:r>
            <w:r w:rsidR="00C52194">
              <w:rPr>
                <w:b/>
                <w:bCs/>
                <w:sz w:val="18"/>
              </w:rPr>
              <w:t>671,583</w:t>
            </w:r>
            <w:r w:rsidRPr="009429D5">
              <w:rPr>
                <w:b/>
                <w:bCs/>
                <w:sz w:val="18"/>
              </w:rPr>
              <w:t xml:space="preserve"> </w:t>
            </w:r>
            <w:r w:rsidRPr="00EC602C" w:rsidR="007F4A44">
              <w:rPr>
                <w:sz w:val="18"/>
              </w:rPr>
              <w:t>=</w:t>
            </w:r>
            <w:r w:rsidR="007F4A44">
              <w:rPr>
                <w:sz w:val="18"/>
              </w:rPr>
              <w:t xml:space="preserve"> </w:t>
            </w:r>
          </w:p>
          <w:p w:rsidR="005E2E1A" w:rsidP="00805A41" w:rsidRDefault="009429D5" w14:paraId="0FE3D0CC" w14:textId="498C759C">
            <w:pPr>
              <w:pStyle w:val="Table"/>
              <w:jc w:val="right"/>
              <w:rPr>
                <w:sz w:val="18"/>
              </w:rPr>
            </w:pPr>
            <w:r>
              <w:rPr>
                <w:sz w:val="18"/>
              </w:rPr>
              <w:t>$</w:t>
            </w:r>
            <w:r w:rsidR="00C52194">
              <w:rPr>
                <w:sz w:val="18"/>
              </w:rPr>
              <w:t>37,608,626</w:t>
            </w:r>
          </w:p>
          <w:p w:rsidRPr="00EC602C" w:rsidR="007F4A44" w:rsidP="00805A41" w:rsidRDefault="007F4A44" w14:paraId="1D836E7B" w14:textId="31CDD4B0">
            <w:pPr>
              <w:pStyle w:val="Table"/>
              <w:jc w:val="right"/>
              <w:rPr>
                <w:b/>
                <w:bCs/>
                <w:sz w:val="18"/>
              </w:rPr>
            </w:pPr>
            <w:r w:rsidRPr="00EC602C">
              <w:rPr>
                <w:sz w:val="18"/>
              </w:rPr>
              <w:t>/56</w:t>
            </w:r>
          </w:p>
        </w:tc>
        <w:tc>
          <w:tcPr>
            <w:tcW w:w="2070" w:type="dxa"/>
            <w:vAlign w:val="center"/>
          </w:tcPr>
          <w:p w:rsidR="007F4A44" w:rsidP="00805A41" w:rsidRDefault="00B04F66" w14:paraId="79534FBC" w14:textId="2C88AF73">
            <w:pPr>
              <w:pStyle w:val="Table"/>
              <w:jc w:val="right"/>
              <w:rPr>
                <w:sz w:val="18"/>
              </w:rPr>
            </w:pPr>
            <w:r w:rsidRPr="00B04F66">
              <w:rPr>
                <w:b/>
                <w:bCs/>
                <w:sz w:val="18"/>
              </w:rPr>
              <w:t>$</w:t>
            </w:r>
            <w:r w:rsidR="00C52194">
              <w:rPr>
                <w:b/>
                <w:bCs/>
                <w:sz w:val="18"/>
              </w:rPr>
              <w:t>713,554</w:t>
            </w:r>
            <w:r w:rsidRPr="00B04F66">
              <w:rPr>
                <w:b/>
                <w:bCs/>
                <w:sz w:val="18"/>
              </w:rPr>
              <w:t xml:space="preserve"> </w:t>
            </w:r>
            <w:r w:rsidRPr="00EC602C" w:rsidR="007F4A44">
              <w:rPr>
                <w:sz w:val="18"/>
              </w:rPr>
              <w:t>=</w:t>
            </w:r>
            <w:r w:rsidR="007F4A44">
              <w:rPr>
                <w:sz w:val="18"/>
              </w:rPr>
              <w:t xml:space="preserve"> </w:t>
            </w:r>
          </w:p>
          <w:p w:rsidR="007F4A44" w:rsidP="00805A41" w:rsidRDefault="00B04F66" w14:paraId="37B9A4B7" w14:textId="12BF9716">
            <w:pPr>
              <w:pStyle w:val="Table"/>
              <w:jc w:val="right"/>
              <w:rPr>
                <w:sz w:val="18"/>
              </w:rPr>
            </w:pPr>
            <w:r w:rsidRPr="00B04F66">
              <w:rPr>
                <w:sz w:val="18"/>
              </w:rPr>
              <w:t>$</w:t>
            </w:r>
            <w:r w:rsidR="00C52194">
              <w:rPr>
                <w:sz w:val="18"/>
              </w:rPr>
              <w:t>39,959,015</w:t>
            </w:r>
          </w:p>
          <w:p w:rsidR="007F4A44" w:rsidP="00805A41" w:rsidRDefault="007F4A44" w14:paraId="2B962B8B" w14:textId="67F0C7BC">
            <w:pPr>
              <w:pStyle w:val="Table"/>
              <w:jc w:val="right"/>
              <w:rPr>
                <w:sz w:val="18"/>
              </w:rPr>
            </w:pPr>
            <w:r w:rsidRPr="00EC602C">
              <w:rPr>
                <w:sz w:val="18"/>
              </w:rPr>
              <w:t>/56</w:t>
            </w:r>
          </w:p>
        </w:tc>
        <w:tc>
          <w:tcPr>
            <w:tcW w:w="3618" w:type="dxa"/>
            <w:vAlign w:val="center"/>
          </w:tcPr>
          <w:p w:rsidR="007F4A44" w:rsidP="00805A41" w:rsidRDefault="007F4A44" w14:paraId="56321FE0" w14:textId="372BEFAA">
            <w:pPr>
              <w:pStyle w:val="Table"/>
              <w:rPr>
                <w:sz w:val="18"/>
              </w:rPr>
            </w:pPr>
          </w:p>
          <w:p w:rsidRPr="00EC602C" w:rsidR="007F4A44" w:rsidP="00805A41" w:rsidRDefault="007F4A44" w14:paraId="5BFDC13F" w14:textId="77777777">
            <w:pPr>
              <w:pStyle w:val="Table"/>
              <w:rPr>
                <w:sz w:val="18"/>
              </w:rPr>
            </w:pPr>
            <w:r w:rsidRPr="00EC602C">
              <w:rPr>
                <w:sz w:val="18"/>
              </w:rPr>
              <w:t xml:space="preserve">Total </w:t>
            </w:r>
            <w:r>
              <w:rPr>
                <w:sz w:val="18"/>
              </w:rPr>
              <w:t>primacy agency</w:t>
            </w:r>
            <w:r w:rsidRPr="00EC602C">
              <w:rPr>
                <w:sz w:val="18"/>
              </w:rPr>
              <w:t xml:space="preserve"> costs from above</w:t>
            </w:r>
          </w:p>
          <w:p w:rsidRPr="00EC602C" w:rsidR="007F4A44" w:rsidP="00805A41" w:rsidRDefault="007F4A44" w14:paraId="30EB64CE" w14:textId="77777777">
            <w:pPr>
              <w:pStyle w:val="Table"/>
              <w:rPr>
                <w:sz w:val="18"/>
              </w:rPr>
            </w:pPr>
            <w:r w:rsidRPr="00EC602C">
              <w:rPr>
                <w:sz w:val="18"/>
              </w:rPr>
              <w:t xml:space="preserve">Total </w:t>
            </w:r>
            <w:r>
              <w:rPr>
                <w:sz w:val="18"/>
              </w:rPr>
              <w:t>primacy agencies</w:t>
            </w:r>
            <w:r w:rsidRPr="00EC602C">
              <w:rPr>
                <w:sz w:val="18"/>
              </w:rPr>
              <w:t xml:space="preserve"> from above</w:t>
            </w:r>
          </w:p>
        </w:tc>
      </w:tr>
    </w:tbl>
    <w:p w:rsidR="00DE2EB8" w:rsidP="004A1618" w:rsidRDefault="00DE2EB8" w14:paraId="43492E2D" w14:textId="77777777">
      <w:pPr>
        <w:pStyle w:val="TableNote"/>
      </w:pPr>
      <w:r>
        <w:t>Note: Detail may not add exactly to total due to independent rounding</w:t>
      </w:r>
      <w:r w:rsidR="00663BE6">
        <w:t xml:space="preserve">. </w:t>
      </w:r>
    </w:p>
    <w:p w:rsidR="0004562C" w:rsidP="004B66B9" w:rsidRDefault="0004562C" w14:paraId="697D5A53" w14:textId="77777777">
      <w:pPr>
        <w:pStyle w:val="Heading3"/>
      </w:pPr>
      <w:bookmarkStart w:name="_Toc160872078" w:id="48"/>
      <w:r>
        <w:t>6</w:t>
      </w:r>
      <w:r w:rsidR="00B174B7">
        <w:t>(</w:t>
      </w:r>
      <w:r>
        <w:t>e</w:t>
      </w:r>
      <w:r w:rsidR="00B174B7">
        <w:t>)</w:t>
      </w:r>
      <w:r>
        <w:t>(</w:t>
      </w:r>
      <w:proofErr w:type="spellStart"/>
      <w:r>
        <w:t>i</w:t>
      </w:r>
      <w:proofErr w:type="spellEnd"/>
      <w:r>
        <w:t>)</w:t>
      </w:r>
      <w:r>
        <w:tab/>
        <w:t>Respondent</w:t>
      </w:r>
      <w:bookmarkEnd w:id="48"/>
      <w:r w:rsidR="00B174B7">
        <w:t xml:space="preserve"> Tally</w:t>
      </w:r>
    </w:p>
    <w:p w:rsidR="00E279AE" w:rsidP="00E279AE" w:rsidRDefault="00E279AE" w14:paraId="7874F028" w14:textId="2F5FAD59">
      <w:pPr>
        <w:pStyle w:val="NormalIndent"/>
      </w:pPr>
      <w:bookmarkStart w:name="_Toc160872079" w:id="49"/>
      <w:r>
        <w:t xml:space="preserve">For the first three years after the final rule </w:t>
      </w:r>
      <w:r w:rsidRPr="0027631A">
        <w:t>is</w:t>
      </w:r>
      <w:r>
        <w:t xml:space="preserve"> published</w:t>
      </w:r>
      <w:r w:rsidRPr="00847F36">
        <w:t xml:space="preserve">, </w:t>
      </w:r>
      <w:r>
        <w:t>the average burden associated with this ICR is estimated to be</w:t>
      </w:r>
      <w:r w:rsidR="003D331F">
        <w:t xml:space="preserve"> </w:t>
      </w:r>
      <w:r w:rsidR="009E3EE0">
        <w:t xml:space="preserve">1,057,025 to </w:t>
      </w:r>
      <w:r w:rsidRPr="009E3EE0" w:rsidR="009E3EE0">
        <w:t>1,129,340</w:t>
      </w:r>
      <w:r w:rsidRPr="003D331F" w:rsidR="003D331F">
        <w:t xml:space="preserve"> </w:t>
      </w:r>
      <w:r>
        <w:t>burden hours per year</w:t>
      </w:r>
      <w:r w:rsidR="00AB13A1">
        <w:t xml:space="preserve">. </w:t>
      </w:r>
      <w:r>
        <w:t>The corresponding average total respondent costs are estimated to be</w:t>
      </w:r>
      <w:r w:rsidR="003D331F">
        <w:t xml:space="preserve"> </w:t>
      </w:r>
      <w:r w:rsidR="009E3EE0">
        <w:t xml:space="preserve">$38,385,074 to </w:t>
      </w:r>
      <w:r w:rsidRPr="009E3EE0" w:rsidR="009E3EE0">
        <w:t>$41,114,928</w:t>
      </w:r>
      <w:r w:rsidRPr="003D331F" w:rsidR="003D331F">
        <w:t xml:space="preserve"> </w:t>
      </w:r>
      <w:r>
        <w:rPr>
          <w:szCs w:val="24"/>
        </w:rPr>
        <w:t>per year</w:t>
      </w:r>
      <w:r>
        <w:t xml:space="preserve">. </w:t>
      </w:r>
      <w:r w:rsidR="00AB13A1">
        <w:t xml:space="preserve">The ranges reflect estimates for the low cost and high cost scenarios described in </w:t>
      </w:r>
      <w:r w:rsidR="00C45A4F">
        <w:t>Section 1(b).</w:t>
      </w:r>
    </w:p>
    <w:p w:rsidR="00E279AE" w:rsidP="00E279AE" w:rsidRDefault="00E279AE" w14:paraId="392E3614" w14:textId="6ADD1319">
      <w:pPr>
        <w:pStyle w:val="NormalIndent"/>
      </w:pPr>
      <w:r>
        <w:t xml:space="preserve">The </w:t>
      </w:r>
      <w:r w:rsidRPr="00663BE6">
        <w:t xml:space="preserve">EPA estimates the </w:t>
      </w:r>
      <w:r>
        <w:t xml:space="preserve">average </w:t>
      </w:r>
      <w:r w:rsidRPr="00663BE6">
        <w:t>respondent burden for PWSs to be</w:t>
      </w:r>
      <w:r w:rsidR="003D331F">
        <w:t xml:space="preserve"> 838,014 to </w:t>
      </w:r>
      <w:r w:rsidRPr="003D331F" w:rsidR="003D331F">
        <w:t xml:space="preserve">896,641 </w:t>
      </w:r>
      <w:r w:rsidRPr="00663BE6">
        <w:t>hours</w:t>
      </w:r>
      <w:r>
        <w:t xml:space="preserve"> per year</w:t>
      </w:r>
      <w:r w:rsidRPr="00663BE6">
        <w:t>.</w:t>
      </w:r>
      <w:r>
        <w:t xml:space="preserve"> </w:t>
      </w:r>
      <w:r w:rsidRPr="00663BE6">
        <w:t>Respondent costs for PWSs are estimated to be</w:t>
      </w:r>
      <w:r w:rsidRPr="003D331F" w:rsidR="003D331F">
        <w:t xml:space="preserve"> $25,848,865</w:t>
      </w:r>
      <w:r w:rsidR="003D331F">
        <w:t xml:space="preserve"> to </w:t>
      </w:r>
      <w:r w:rsidRPr="003D331F" w:rsidR="003D331F">
        <w:t xml:space="preserve">$27,795,257 </w:t>
      </w:r>
      <w:r>
        <w:rPr>
          <w:szCs w:val="24"/>
        </w:rPr>
        <w:t>per year</w:t>
      </w:r>
      <w:r>
        <w:t xml:space="preserve">. </w:t>
      </w:r>
      <w:r w:rsidRPr="00663BE6">
        <w:t xml:space="preserve">The Agency estimates that the burden for </w:t>
      </w:r>
      <w:r>
        <w:t>primacy agencies is</w:t>
      </w:r>
      <w:r w:rsidR="003D331F">
        <w:t xml:space="preserve"> </w:t>
      </w:r>
      <w:r w:rsidR="009E3EE0">
        <w:t xml:space="preserve">219,011 to </w:t>
      </w:r>
      <w:r w:rsidRPr="009E3EE0" w:rsidR="009E3EE0">
        <w:t>232,699</w:t>
      </w:r>
      <w:r w:rsidRPr="003D331F" w:rsidR="003D331F">
        <w:t xml:space="preserve"> </w:t>
      </w:r>
      <w:r w:rsidRPr="00663BE6">
        <w:t>hours</w:t>
      </w:r>
      <w:r>
        <w:t xml:space="preserve"> per year. </w:t>
      </w:r>
      <w:r w:rsidRPr="00663BE6">
        <w:t xml:space="preserve">The corresponding costs for </w:t>
      </w:r>
      <w:r>
        <w:t>primacy agencies</w:t>
      </w:r>
      <w:r w:rsidRPr="00663BE6">
        <w:t xml:space="preserve"> are estimated to be</w:t>
      </w:r>
      <w:r w:rsidR="003D331F">
        <w:t xml:space="preserve"> </w:t>
      </w:r>
      <w:r w:rsidR="009E3EE0">
        <w:t xml:space="preserve">$12,536,209 to </w:t>
      </w:r>
      <w:r w:rsidRPr="009E3EE0" w:rsidR="009E3EE0">
        <w:t>$13,319,672</w:t>
      </w:r>
      <w:r w:rsidRPr="003D331F" w:rsidR="003D331F">
        <w:t xml:space="preserve"> </w:t>
      </w:r>
      <w:r>
        <w:t>per year</w:t>
      </w:r>
      <w:r w:rsidRPr="00663BE6">
        <w:t>.</w:t>
      </w:r>
    </w:p>
    <w:p w:rsidR="0004562C" w:rsidP="00040DBE" w:rsidRDefault="0004562C" w14:paraId="12900364" w14:textId="77777777">
      <w:pPr>
        <w:pStyle w:val="Heading3"/>
      </w:pPr>
      <w:r>
        <w:t>6</w:t>
      </w:r>
      <w:r w:rsidR="00B174B7">
        <w:t>(</w:t>
      </w:r>
      <w:r>
        <w:t>e</w:t>
      </w:r>
      <w:r w:rsidR="00B174B7">
        <w:t>)</w:t>
      </w:r>
      <w:r>
        <w:t>(ii)</w:t>
      </w:r>
      <w:r>
        <w:tab/>
      </w:r>
      <w:r w:rsidR="00B174B7">
        <w:t>The</w:t>
      </w:r>
      <w:r>
        <w:t xml:space="preserve"> Agency</w:t>
      </w:r>
      <w:bookmarkEnd w:id="49"/>
      <w:r w:rsidR="00B174B7">
        <w:t xml:space="preserve"> Tally</w:t>
      </w:r>
    </w:p>
    <w:p w:rsidR="000B17BF" w:rsidP="00EC602C" w:rsidRDefault="00593103" w14:paraId="39DEBDAA" w14:textId="77777777">
      <w:pPr>
        <w:pStyle w:val="NormalIndent"/>
      </w:pPr>
      <w:r>
        <w:t xml:space="preserve">Any additional burden or cost that </w:t>
      </w:r>
      <w:r w:rsidR="00E62E42">
        <w:t xml:space="preserve">the </w:t>
      </w:r>
      <w:r>
        <w:t xml:space="preserve">EPA may incur as a result of the </w:t>
      </w:r>
      <w:r w:rsidR="00C018A3">
        <w:t>LCRR</w:t>
      </w:r>
      <w:r>
        <w:t xml:space="preserve"> implementation activities is expected to be minimal and is already accounted for in existing ICRs, as explained in 6(c).</w:t>
      </w:r>
    </w:p>
    <w:p w:rsidR="00834729" w:rsidP="00834729" w:rsidRDefault="00834729" w14:paraId="311EEE49" w14:textId="77777777">
      <w:pPr>
        <w:pStyle w:val="Heading3"/>
      </w:pPr>
      <w:r>
        <w:t>6(e)(iii)</w:t>
      </w:r>
      <w:r>
        <w:tab/>
        <w:t>Variations in the Annual Bottom Line</w:t>
      </w:r>
    </w:p>
    <w:p w:rsidR="00834729" w:rsidP="00834729" w:rsidRDefault="00E62E42" w14:paraId="0AA843F5" w14:textId="77777777">
      <w:pPr>
        <w:pStyle w:val="NormalIndent"/>
      </w:pPr>
      <w:r>
        <w:t xml:space="preserve">The </w:t>
      </w:r>
      <w:r w:rsidR="00E96D39">
        <w:t xml:space="preserve">EPA assumes the rule implementation and startup activities will take place in the first year, while the implementation of the LSL inventory </w:t>
      </w:r>
      <w:r w:rsidR="00B46EAD">
        <w:t xml:space="preserve">and demonstrations requirements and </w:t>
      </w:r>
      <w:r w:rsidR="00B46EAD">
        <w:lastRenderedPageBreak/>
        <w:t>review are</w:t>
      </w:r>
      <w:r w:rsidR="00E96D39">
        <w:t xml:space="preserve"> distributed </w:t>
      </w:r>
      <w:r w:rsidR="00B46EAD">
        <w:t xml:space="preserve">uniformly </w:t>
      </w:r>
      <w:r w:rsidR="00E96D39">
        <w:t>over the first three years.</w:t>
      </w:r>
      <w:r w:rsidR="009F22A6">
        <w:t xml:space="preserve"> </w:t>
      </w:r>
      <w:r w:rsidRPr="00DD45C1" w:rsidR="009F22A6">
        <w:rPr>
          <w:b/>
        </w:rPr>
        <w:fldChar w:fldCharType="begin"/>
      </w:r>
      <w:r w:rsidRPr="00DD45C1" w:rsidR="009F22A6">
        <w:rPr>
          <w:b/>
        </w:rPr>
        <w:instrText xml:space="preserve"> REF _Ref4740504 \h </w:instrText>
      </w:r>
      <w:r w:rsidR="00DD45C1">
        <w:rPr>
          <w:b/>
        </w:rPr>
        <w:instrText xml:space="preserve"> \* MERGEFORMAT </w:instrText>
      </w:r>
      <w:r w:rsidRPr="00DD45C1" w:rsidR="009F22A6">
        <w:rPr>
          <w:b/>
        </w:rPr>
      </w:r>
      <w:r w:rsidRPr="00DD45C1" w:rsidR="009F22A6">
        <w:rPr>
          <w:b/>
        </w:rPr>
        <w:fldChar w:fldCharType="separate"/>
      </w:r>
      <w:r w:rsidRPr="00672040" w:rsidR="00672040">
        <w:rPr>
          <w:b/>
        </w:rPr>
        <w:t xml:space="preserve">Exhibit </w:t>
      </w:r>
      <w:r w:rsidRPr="00672040" w:rsidR="00672040">
        <w:rPr>
          <w:b/>
          <w:noProof/>
        </w:rPr>
        <w:t>13</w:t>
      </w:r>
      <w:r w:rsidRPr="00DD45C1" w:rsidR="009F22A6">
        <w:rPr>
          <w:b/>
        </w:rPr>
        <w:fldChar w:fldCharType="end"/>
      </w:r>
      <w:r w:rsidR="009F22A6">
        <w:t xml:space="preserve"> </w:t>
      </w:r>
      <w:r w:rsidR="00C5374C">
        <w:t xml:space="preserve">and </w:t>
      </w:r>
      <w:r w:rsidRPr="00DD45C1" w:rsidR="00C5374C">
        <w:rPr>
          <w:b/>
        </w:rPr>
        <w:fldChar w:fldCharType="begin"/>
      </w:r>
      <w:r w:rsidRPr="00DD45C1" w:rsidR="00C5374C">
        <w:rPr>
          <w:b/>
        </w:rPr>
        <w:instrText xml:space="preserve"> REF _Ref4742203 \h </w:instrText>
      </w:r>
      <w:r w:rsidR="00DD45C1">
        <w:rPr>
          <w:b/>
        </w:rPr>
        <w:instrText xml:space="preserve"> \* MERGEFORMAT </w:instrText>
      </w:r>
      <w:r w:rsidRPr="00DD45C1" w:rsidR="00C5374C">
        <w:rPr>
          <w:b/>
        </w:rPr>
      </w:r>
      <w:r w:rsidRPr="00DD45C1" w:rsidR="00C5374C">
        <w:rPr>
          <w:b/>
        </w:rPr>
        <w:fldChar w:fldCharType="separate"/>
      </w:r>
      <w:r w:rsidRPr="00672040" w:rsidR="00672040">
        <w:rPr>
          <w:b/>
        </w:rPr>
        <w:t xml:space="preserve">Exhibit </w:t>
      </w:r>
      <w:r w:rsidRPr="00672040" w:rsidR="00672040">
        <w:rPr>
          <w:b/>
          <w:noProof/>
        </w:rPr>
        <w:t>14</w:t>
      </w:r>
      <w:r w:rsidRPr="00DD45C1" w:rsidR="00C5374C">
        <w:rPr>
          <w:b/>
        </w:rPr>
        <w:fldChar w:fldCharType="end"/>
      </w:r>
      <w:r w:rsidR="00C5374C">
        <w:t xml:space="preserve"> show</w:t>
      </w:r>
      <w:r w:rsidR="009F22A6">
        <w:t xml:space="preserve"> the resulting </w:t>
      </w:r>
      <w:r w:rsidR="00C5374C">
        <w:t>distribution of burden and cost, respectively</w:t>
      </w:r>
      <w:r w:rsidR="009F22A6">
        <w:t>.</w:t>
      </w:r>
    </w:p>
    <w:p w:rsidR="009F22A6" w:rsidP="009F22A6" w:rsidRDefault="009F22A6" w14:paraId="7443D4E2" w14:textId="77777777">
      <w:pPr>
        <w:pStyle w:val="Caption"/>
        <w:rPr>
          <w:noProof/>
        </w:rPr>
      </w:pPr>
      <w:bookmarkStart w:name="_Ref4740504" w:id="50"/>
      <w:r>
        <w:t xml:space="preserve">Exhibit </w:t>
      </w:r>
      <w:r>
        <w:rPr>
          <w:noProof/>
        </w:rPr>
        <w:fldChar w:fldCharType="begin"/>
      </w:r>
      <w:r>
        <w:rPr>
          <w:noProof/>
        </w:rPr>
        <w:instrText xml:space="preserve"> SEQ Exhibit \* ARABIC </w:instrText>
      </w:r>
      <w:r>
        <w:rPr>
          <w:noProof/>
        </w:rPr>
        <w:fldChar w:fldCharType="separate"/>
      </w:r>
      <w:r w:rsidR="00672040">
        <w:rPr>
          <w:noProof/>
        </w:rPr>
        <w:t>13</w:t>
      </w:r>
      <w:r>
        <w:rPr>
          <w:noProof/>
        </w:rPr>
        <w:fldChar w:fldCharType="end"/>
      </w:r>
      <w:bookmarkEnd w:id="50"/>
      <w:r>
        <w:rPr>
          <w:noProof/>
        </w:rPr>
        <w:t xml:space="preserve">. Distribution of </w:t>
      </w:r>
      <w:r w:rsidRPr="00A251BF">
        <w:rPr>
          <w:noProof/>
        </w:rPr>
        <w:t xml:space="preserve">Burden </w:t>
      </w:r>
      <w:r>
        <w:rPr>
          <w:noProof/>
        </w:rPr>
        <w:t>over the ICR Period</w:t>
      </w:r>
    </w:p>
    <w:tbl>
      <w:tblPr>
        <w:tblStyle w:val="TableGrid"/>
        <w:tblW w:w="9977" w:type="dxa"/>
        <w:tblLayout w:type="fixed"/>
        <w:tblLook w:val="04A0" w:firstRow="1" w:lastRow="0" w:firstColumn="1" w:lastColumn="0" w:noHBand="0" w:noVBand="1"/>
      </w:tblPr>
      <w:tblGrid>
        <w:gridCol w:w="3685"/>
        <w:gridCol w:w="1170"/>
        <w:gridCol w:w="990"/>
        <w:gridCol w:w="990"/>
        <w:gridCol w:w="1033"/>
        <w:gridCol w:w="990"/>
        <w:gridCol w:w="1119"/>
      </w:tblGrid>
      <w:tr w:rsidRPr="00A04EFB" w:rsidR="00011D83" w:rsidTr="00940C93" w14:paraId="05A16B9D" w14:textId="77777777">
        <w:trPr>
          <w:trHeight w:val="300"/>
          <w:tblHeader/>
        </w:trPr>
        <w:tc>
          <w:tcPr>
            <w:tcW w:w="3685" w:type="dxa"/>
            <w:vMerge w:val="restart"/>
            <w:vAlign w:val="center"/>
          </w:tcPr>
          <w:p w:rsidRPr="00A04EFB" w:rsidR="00011D83" w:rsidP="00011D83" w:rsidRDefault="00011D83" w14:paraId="5EBD15D7" w14:textId="38C42FD9">
            <w:pPr>
              <w:pStyle w:val="Table"/>
              <w:jc w:val="center"/>
              <w:rPr>
                <w:b/>
                <w:sz w:val="18"/>
              </w:rPr>
            </w:pPr>
            <w:r w:rsidRPr="00A04EFB">
              <w:rPr>
                <w:b/>
                <w:sz w:val="18"/>
              </w:rPr>
              <w:t>Requirement</w:t>
            </w:r>
          </w:p>
        </w:tc>
        <w:tc>
          <w:tcPr>
            <w:tcW w:w="3150" w:type="dxa"/>
            <w:gridSpan w:val="3"/>
            <w:vAlign w:val="center"/>
          </w:tcPr>
          <w:p w:rsidRPr="00A04EFB" w:rsidR="00011D83" w:rsidP="00011D83" w:rsidRDefault="00011D83" w14:paraId="1472C5FF" w14:textId="006C75E8">
            <w:pPr>
              <w:pStyle w:val="Table"/>
              <w:jc w:val="center"/>
              <w:rPr>
                <w:b/>
                <w:sz w:val="18"/>
              </w:rPr>
            </w:pPr>
            <w:r>
              <w:rPr>
                <w:b/>
                <w:sz w:val="18"/>
              </w:rPr>
              <w:t>Low Cost Scenario</w:t>
            </w:r>
          </w:p>
        </w:tc>
        <w:tc>
          <w:tcPr>
            <w:tcW w:w="3142" w:type="dxa"/>
            <w:gridSpan w:val="3"/>
            <w:vAlign w:val="center"/>
          </w:tcPr>
          <w:p w:rsidRPr="00A04EFB" w:rsidR="00011D83" w:rsidP="00011D83" w:rsidRDefault="00011D83" w14:paraId="5F70CE26" w14:textId="51F3DBAF">
            <w:pPr>
              <w:pStyle w:val="Table"/>
              <w:jc w:val="center"/>
              <w:rPr>
                <w:b/>
                <w:sz w:val="18"/>
              </w:rPr>
            </w:pPr>
            <w:r>
              <w:rPr>
                <w:b/>
                <w:sz w:val="18"/>
              </w:rPr>
              <w:t>High Cost Scenario</w:t>
            </w:r>
          </w:p>
        </w:tc>
      </w:tr>
      <w:tr w:rsidRPr="00A04EFB" w:rsidR="00940C93" w:rsidTr="00940C93" w14:paraId="418868D9" w14:textId="6BDA8D26">
        <w:trPr>
          <w:trHeight w:val="300"/>
          <w:tblHeader/>
        </w:trPr>
        <w:tc>
          <w:tcPr>
            <w:tcW w:w="3685" w:type="dxa"/>
            <w:vMerge/>
            <w:vAlign w:val="center"/>
            <w:hideMark/>
          </w:tcPr>
          <w:p w:rsidRPr="00A04EFB" w:rsidR="00011D83" w:rsidP="00011D83" w:rsidRDefault="00011D83" w14:paraId="694ADBDC" w14:textId="687056F0">
            <w:pPr>
              <w:pStyle w:val="Table"/>
              <w:jc w:val="center"/>
              <w:rPr>
                <w:b/>
                <w:sz w:val="18"/>
              </w:rPr>
            </w:pPr>
          </w:p>
        </w:tc>
        <w:tc>
          <w:tcPr>
            <w:tcW w:w="1170" w:type="dxa"/>
            <w:vAlign w:val="center"/>
            <w:hideMark/>
          </w:tcPr>
          <w:p w:rsidRPr="00A04EFB" w:rsidR="00011D83" w:rsidP="00011D83" w:rsidRDefault="00011D83" w14:paraId="77E16734" w14:textId="77777777">
            <w:pPr>
              <w:pStyle w:val="Table"/>
              <w:jc w:val="center"/>
              <w:rPr>
                <w:b/>
                <w:sz w:val="18"/>
              </w:rPr>
            </w:pPr>
            <w:r w:rsidRPr="00A04EFB">
              <w:rPr>
                <w:b/>
                <w:sz w:val="18"/>
              </w:rPr>
              <w:t>Year 1 Burden (hours)</w:t>
            </w:r>
          </w:p>
        </w:tc>
        <w:tc>
          <w:tcPr>
            <w:tcW w:w="990" w:type="dxa"/>
            <w:vAlign w:val="center"/>
            <w:hideMark/>
          </w:tcPr>
          <w:p w:rsidRPr="00A04EFB" w:rsidR="00011D83" w:rsidP="00011D83" w:rsidRDefault="00011D83" w14:paraId="1D411F64" w14:textId="77777777">
            <w:pPr>
              <w:pStyle w:val="Table"/>
              <w:jc w:val="center"/>
              <w:rPr>
                <w:b/>
                <w:sz w:val="18"/>
              </w:rPr>
            </w:pPr>
            <w:r w:rsidRPr="00A04EFB">
              <w:rPr>
                <w:b/>
                <w:sz w:val="18"/>
              </w:rPr>
              <w:t>Year 2 Burden (hours)</w:t>
            </w:r>
          </w:p>
        </w:tc>
        <w:tc>
          <w:tcPr>
            <w:tcW w:w="990" w:type="dxa"/>
            <w:vAlign w:val="center"/>
            <w:hideMark/>
          </w:tcPr>
          <w:p w:rsidRPr="00A04EFB" w:rsidR="00011D83" w:rsidP="00011D83" w:rsidRDefault="00011D83" w14:paraId="665E0F93" w14:textId="77777777">
            <w:pPr>
              <w:pStyle w:val="Table"/>
              <w:jc w:val="center"/>
              <w:rPr>
                <w:b/>
                <w:sz w:val="18"/>
              </w:rPr>
            </w:pPr>
            <w:r w:rsidRPr="00A04EFB">
              <w:rPr>
                <w:b/>
                <w:sz w:val="18"/>
              </w:rPr>
              <w:t>Year 3 Burden (hours)</w:t>
            </w:r>
          </w:p>
        </w:tc>
        <w:tc>
          <w:tcPr>
            <w:tcW w:w="1033" w:type="dxa"/>
            <w:vAlign w:val="center"/>
          </w:tcPr>
          <w:p w:rsidRPr="00A04EFB" w:rsidR="00011D83" w:rsidP="00011D83" w:rsidRDefault="00011D83" w14:paraId="39AA67BA" w14:textId="207BACDB">
            <w:pPr>
              <w:pStyle w:val="Table"/>
              <w:jc w:val="center"/>
              <w:rPr>
                <w:b/>
                <w:sz w:val="18"/>
              </w:rPr>
            </w:pPr>
            <w:r w:rsidRPr="00A04EFB">
              <w:rPr>
                <w:b/>
                <w:sz w:val="18"/>
              </w:rPr>
              <w:t>Year 1 Burden (hours)</w:t>
            </w:r>
          </w:p>
        </w:tc>
        <w:tc>
          <w:tcPr>
            <w:tcW w:w="990" w:type="dxa"/>
            <w:vAlign w:val="center"/>
          </w:tcPr>
          <w:p w:rsidRPr="00A04EFB" w:rsidR="00011D83" w:rsidP="00011D83" w:rsidRDefault="00011D83" w14:paraId="390D1290" w14:textId="43A30B3A">
            <w:pPr>
              <w:pStyle w:val="Table"/>
              <w:jc w:val="center"/>
              <w:rPr>
                <w:b/>
                <w:sz w:val="18"/>
              </w:rPr>
            </w:pPr>
            <w:r w:rsidRPr="00A04EFB">
              <w:rPr>
                <w:b/>
                <w:sz w:val="18"/>
              </w:rPr>
              <w:t>Year 2 Burden (hours)</w:t>
            </w:r>
          </w:p>
        </w:tc>
        <w:tc>
          <w:tcPr>
            <w:tcW w:w="1119" w:type="dxa"/>
            <w:vAlign w:val="center"/>
          </w:tcPr>
          <w:p w:rsidRPr="00A04EFB" w:rsidR="00011D83" w:rsidP="00011D83" w:rsidRDefault="00011D83" w14:paraId="3A65DD72" w14:textId="60F2765A">
            <w:pPr>
              <w:pStyle w:val="Table"/>
              <w:jc w:val="center"/>
              <w:rPr>
                <w:b/>
                <w:sz w:val="18"/>
              </w:rPr>
            </w:pPr>
            <w:r w:rsidRPr="00A04EFB">
              <w:rPr>
                <w:b/>
                <w:sz w:val="18"/>
              </w:rPr>
              <w:t>Year 3 Burden (hours)</w:t>
            </w:r>
          </w:p>
        </w:tc>
      </w:tr>
      <w:tr w:rsidRPr="00A04EFB" w:rsidR="00B056DF" w:rsidTr="00C412C6" w14:paraId="6C70398B" w14:textId="70ED34F4">
        <w:trPr>
          <w:trHeight w:val="540"/>
        </w:trPr>
        <w:tc>
          <w:tcPr>
            <w:tcW w:w="3685" w:type="dxa"/>
            <w:vAlign w:val="center"/>
            <w:hideMark/>
          </w:tcPr>
          <w:p w:rsidRPr="00A04EFB" w:rsidR="00B056DF" w:rsidP="00B056DF" w:rsidRDefault="00B056DF" w14:paraId="292B1CA2" w14:textId="77777777">
            <w:pPr>
              <w:pStyle w:val="Table"/>
              <w:rPr>
                <w:sz w:val="18"/>
              </w:rPr>
            </w:pPr>
            <w:r w:rsidRPr="00A04EFB">
              <w:rPr>
                <w:sz w:val="18"/>
              </w:rPr>
              <w:t>System start-up activities (read rule, assign staff, attend training)</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75F6377C" w14:textId="6E4E677C">
            <w:pPr>
              <w:pStyle w:val="Table"/>
              <w:ind w:right="-517"/>
              <w:jc w:val="right"/>
              <w:rPr>
                <w:sz w:val="18"/>
                <w:szCs w:val="18"/>
              </w:rPr>
            </w:pPr>
            <w:r>
              <w:rPr>
                <w:color w:val="000000"/>
                <w:sz w:val="18"/>
                <w:szCs w:val="18"/>
              </w:rPr>
              <w:t>1,353,120</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01BB7893" w14:textId="7895B39E">
            <w:pPr>
              <w:pStyle w:val="Table"/>
              <w:ind w:right="-559"/>
              <w:jc w:val="right"/>
              <w:rPr>
                <w:sz w:val="18"/>
                <w:szCs w:val="18"/>
              </w:rPr>
            </w:pPr>
            <w:r>
              <w:rPr>
                <w:color w:val="000000"/>
                <w:sz w:val="18"/>
                <w:szCs w:val="18"/>
              </w:rPr>
              <w:t>0</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100D61DE" w14:textId="2711FE13">
            <w:pPr>
              <w:pStyle w:val="Table"/>
              <w:ind w:right="-600"/>
              <w:jc w:val="right"/>
              <w:rPr>
                <w:sz w:val="18"/>
                <w:szCs w:val="18"/>
              </w:rPr>
            </w:pPr>
            <w:r>
              <w:rPr>
                <w:color w:val="000000"/>
                <w:sz w:val="18"/>
                <w:szCs w:val="18"/>
              </w:rPr>
              <w:t>0</w:t>
            </w:r>
          </w:p>
        </w:tc>
        <w:tc>
          <w:tcPr>
            <w:tcW w:w="1033"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6FC3DDE1" w14:textId="376EB68E">
            <w:pPr>
              <w:pStyle w:val="Table"/>
              <w:jc w:val="right"/>
              <w:rPr>
                <w:sz w:val="18"/>
                <w:szCs w:val="18"/>
              </w:rPr>
            </w:pPr>
            <w:r>
              <w:rPr>
                <w:color w:val="000000"/>
                <w:sz w:val="18"/>
                <w:szCs w:val="18"/>
              </w:rPr>
              <w:t>1,353,120</w:t>
            </w:r>
          </w:p>
        </w:tc>
        <w:tc>
          <w:tcPr>
            <w:tcW w:w="99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7092D790" w14:textId="1415C5E0">
            <w:pPr>
              <w:pStyle w:val="Table"/>
              <w:jc w:val="right"/>
              <w:rPr>
                <w:sz w:val="18"/>
                <w:szCs w:val="18"/>
              </w:rPr>
            </w:pPr>
            <w:r>
              <w:rPr>
                <w:color w:val="000000"/>
                <w:sz w:val="18"/>
                <w:szCs w:val="18"/>
              </w:rPr>
              <w:t>0</w:t>
            </w:r>
          </w:p>
        </w:tc>
        <w:tc>
          <w:tcPr>
            <w:tcW w:w="1119"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57156CF9" w14:textId="2D8B47A0">
            <w:pPr>
              <w:pStyle w:val="Table"/>
              <w:jc w:val="right"/>
              <w:rPr>
                <w:sz w:val="18"/>
                <w:szCs w:val="18"/>
              </w:rPr>
            </w:pPr>
            <w:r>
              <w:rPr>
                <w:color w:val="000000"/>
                <w:sz w:val="18"/>
                <w:szCs w:val="18"/>
              </w:rPr>
              <w:t>0</w:t>
            </w:r>
          </w:p>
        </w:tc>
      </w:tr>
      <w:tr w:rsidRPr="00A04EFB" w:rsidR="00B056DF" w:rsidTr="00C412C6" w14:paraId="06746C66" w14:textId="6C0281DE">
        <w:trPr>
          <w:trHeight w:val="540"/>
        </w:trPr>
        <w:tc>
          <w:tcPr>
            <w:tcW w:w="3685" w:type="dxa"/>
            <w:vAlign w:val="center"/>
            <w:hideMark/>
          </w:tcPr>
          <w:p w:rsidRPr="00A04EFB" w:rsidR="00B056DF" w:rsidP="00B056DF" w:rsidRDefault="00B056DF" w14:paraId="285C8DAC" w14:textId="77777777">
            <w:pPr>
              <w:pStyle w:val="Table"/>
              <w:rPr>
                <w:sz w:val="18"/>
              </w:rPr>
            </w:pPr>
            <w:r>
              <w:rPr>
                <w:sz w:val="18"/>
              </w:rPr>
              <w:t>System</w:t>
            </w:r>
            <w:r w:rsidRPr="00A04EFB">
              <w:rPr>
                <w:sz w:val="18"/>
              </w:rPr>
              <w:t xml:space="preserve"> develop</w:t>
            </w:r>
            <w:r>
              <w:rPr>
                <w:sz w:val="18"/>
              </w:rPr>
              <w:t>s</w:t>
            </w:r>
            <w:r w:rsidRPr="00A04EFB">
              <w:rPr>
                <w:sz w:val="18"/>
              </w:rPr>
              <w:t xml:space="preserve"> lead service line inventory </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01B3C2D9" w14:textId="7ADB9BBB">
            <w:pPr>
              <w:pStyle w:val="Table"/>
              <w:ind w:right="-517"/>
              <w:jc w:val="right"/>
              <w:rPr>
                <w:sz w:val="18"/>
                <w:szCs w:val="18"/>
              </w:rPr>
            </w:pPr>
            <w:r>
              <w:rPr>
                <w:color w:val="000000"/>
                <w:sz w:val="18"/>
                <w:szCs w:val="18"/>
              </w:rPr>
              <w:t>155,694</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6846BD9F" w14:textId="4BD2FBCF">
            <w:pPr>
              <w:pStyle w:val="Table"/>
              <w:ind w:right="-559"/>
              <w:jc w:val="right"/>
              <w:rPr>
                <w:sz w:val="18"/>
                <w:szCs w:val="18"/>
              </w:rPr>
            </w:pPr>
            <w:r>
              <w:rPr>
                <w:color w:val="000000"/>
                <w:sz w:val="18"/>
                <w:szCs w:val="18"/>
              </w:rPr>
              <w:t>155,694</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7CE55ED8" w14:textId="0CB296F5">
            <w:pPr>
              <w:pStyle w:val="Table"/>
              <w:ind w:right="-600"/>
              <w:jc w:val="right"/>
              <w:rPr>
                <w:sz w:val="18"/>
                <w:szCs w:val="18"/>
              </w:rPr>
            </w:pPr>
            <w:r>
              <w:rPr>
                <w:color w:val="000000"/>
                <w:sz w:val="18"/>
                <w:szCs w:val="18"/>
              </w:rPr>
              <w:t>155,694</w:t>
            </w:r>
          </w:p>
        </w:tc>
        <w:tc>
          <w:tcPr>
            <w:tcW w:w="1033"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243CFDA7" w14:textId="0CB34923">
            <w:pPr>
              <w:pStyle w:val="Table"/>
              <w:jc w:val="right"/>
              <w:rPr>
                <w:sz w:val="18"/>
                <w:szCs w:val="18"/>
              </w:rPr>
            </w:pPr>
            <w:r>
              <w:rPr>
                <w:color w:val="000000"/>
                <w:sz w:val="18"/>
                <w:szCs w:val="18"/>
              </w:rPr>
              <w:t>204,380</w:t>
            </w:r>
          </w:p>
        </w:tc>
        <w:tc>
          <w:tcPr>
            <w:tcW w:w="990"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4DE1EA5F" w14:textId="6511FCC9">
            <w:pPr>
              <w:pStyle w:val="Table"/>
              <w:jc w:val="right"/>
              <w:rPr>
                <w:sz w:val="18"/>
                <w:szCs w:val="18"/>
              </w:rPr>
            </w:pPr>
            <w:r>
              <w:rPr>
                <w:color w:val="000000"/>
                <w:sz w:val="18"/>
                <w:szCs w:val="18"/>
              </w:rPr>
              <w:t>204,380</w:t>
            </w:r>
          </w:p>
        </w:tc>
        <w:tc>
          <w:tcPr>
            <w:tcW w:w="1119"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373D13B1" w14:textId="01D2F171">
            <w:pPr>
              <w:pStyle w:val="Table"/>
              <w:jc w:val="right"/>
              <w:rPr>
                <w:sz w:val="18"/>
                <w:szCs w:val="18"/>
              </w:rPr>
            </w:pPr>
            <w:r>
              <w:rPr>
                <w:color w:val="000000"/>
                <w:sz w:val="18"/>
                <w:szCs w:val="18"/>
              </w:rPr>
              <w:t>204,380</w:t>
            </w:r>
          </w:p>
        </w:tc>
      </w:tr>
      <w:tr w:rsidRPr="00A04EFB" w:rsidR="00B056DF" w:rsidTr="00C412C6" w14:paraId="26C541EC" w14:textId="3D293276">
        <w:trPr>
          <w:trHeight w:val="540"/>
        </w:trPr>
        <w:tc>
          <w:tcPr>
            <w:tcW w:w="3685" w:type="dxa"/>
            <w:vAlign w:val="center"/>
            <w:hideMark/>
          </w:tcPr>
          <w:p w:rsidRPr="00A04EFB" w:rsidR="00B056DF" w:rsidP="00B056DF" w:rsidRDefault="00B056DF" w14:paraId="3B6F3622" w14:textId="77777777">
            <w:pPr>
              <w:pStyle w:val="Table"/>
              <w:rPr>
                <w:sz w:val="18"/>
              </w:rPr>
            </w:pPr>
            <w:r w:rsidRPr="00A04EFB">
              <w:rPr>
                <w:sz w:val="18"/>
              </w:rPr>
              <w:t>System submit</w:t>
            </w:r>
            <w:r>
              <w:rPr>
                <w:sz w:val="18"/>
              </w:rPr>
              <w:t>s</w:t>
            </w:r>
            <w:r w:rsidRPr="00A04EFB">
              <w:rPr>
                <w:sz w:val="18"/>
              </w:rPr>
              <w:t xml:space="preserve"> a demonstration of no lead service lines</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347C8F38" w14:textId="53DC26F5">
            <w:pPr>
              <w:pStyle w:val="Table"/>
              <w:ind w:right="-517"/>
              <w:jc w:val="right"/>
              <w:rPr>
                <w:sz w:val="18"/>
                <w:szCs w:val="18"/>
              </w:rPr>
            </w:pPr>
            <w:r>
              <w:rPr>
                <w:color w:val="000000"/>
                <w:sz w:val="18"/>
                <w:szCs w:val="18"/>
              </w:rPr>
              <w:t>159,062</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298F1B28" w14:textId="14EE8E2F">
            <w:pPr>
              <w:pStyle w:val="Table"/>
              <w:ind w:right="-559"/>
              <w:jc w:val="right"/>
              <w:rPr>
                <w:sz w:val="18"/>
                <w:szCs w:val="18"/>
              </w:rPr>
            </w:pPr>
            <w:r>
              <w:rPr>
                <w:color w:val="000000"/>
                <w:sz w:val="18"/>
                <w:szCs w:val="18"/>
              </w:rPr>
              <w:t>159,062</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72118FC4" w14:textId="5E77A479">
            <w:pPr>
              <w:pStyle w:val="Table"/>
              <w:ind w:right="-600"/>
              <w:jc w:val="right"/>
              <w:rPr>
                <w:sz w:val="18"/>
                <w:szCs w:val="18"/>
              </w:rPr>
            </w:pPr>
            <w:r>
              <w:rPr>
                <w:color w:val="000000"/>
                <w:sz w:val="18"/>
                <w:szCs w:val="18"/>
              </w:rPr>
              <w:t>159,062</w:t>
            </w:r>
          </w:p>
        </w:tc>
        <w:tc>
          <w:tcPr>
            <w:tcW w:w="1033"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523C0F83" w14:textId="6C3C2510">
            <w:pPr>
              <w:pStyle w:val="Table"/>
              <w:jc w:val="right"/>
              <w:rPr>
                <w:sz w:val="18"/>
                <w:szCs w:val="18"/>
              </w:rPr>
            </w:pPr>
            <w:r>
              <w:rPr>
                <w:color w:val="000000"/>
                <w:sz w:val="18"/>
                <w:szCs w:val="18"/>
              </w:rPr>
              <w:t>147,685</w:t>
            </w:r>
          </w:p>
        </w:tc>
        <w:tc>
          <w:tcPr>
            <w:tcW w:w="99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00B3D6B9" w14:textId="32235684">
            <w:pPr>
              <w:pStyle w:val="Table"/>
              <w:jc w:val="right"/>
              <w:rPr>
                <w:sz w:val="18"/>
                <w:szCs w:val="18"/>
              </w:rPr>
            </w:pPr>
            <w:r>
              <w:rPr>
                <w:color w:val="000000"/>
                <w:sz w:val="18"/>
                <w:szCs w:val="18"/>
              </w:rPr>
              <w:t>147,685</w:t>
            </w:r>
          </w:p>
        </w:tc>
        <w:tc>
          <w:tcPr>
            <w:tcW w:w="1119"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7081A571" w14:textId="68D286D3">
            <w:pPr>
              <w:pStyle w:val="Table"/>
              <w:jc w:val="right"/>
              <w:rPr>
                <w:sz w:val="18"/>
                <w:szCs w:val="18"/>
              </w:rPr>
            </w:pPr>
            <w:r>
              <w:rPr>
                <w:color w:val="000000"/>
                <w:sz w:val="18"/>
                <w:szCs w:val="18"/>
              </w:rPr>
              <w:t>147,685</w:t>
            </w:r>
          </w:p>
        </w:tc>
      </w:tr>
      <w:tr w:rsidRPr="00A04EFB" w:rsidR="00B056DF" w:rsidTr="00C412C6" w14:paraId="4089CB05" w14:textId="38B4D251">
        <w:trPr>
          <w:trHeight w:val="300"/>
        </w:trPr>
        <w:tc>
          <w:tcPr>
            <w:tcW w:w="3685" w:type="dxa"/>
            <w:vAlign w:val="center"/>
          </w:tcPr>
          <w:p w:rsidRPr="00CE2FCB" w:rsidR="00B056DF" w:rsidP="00B056DF" w:rsidRDefault="00B056DF" w14:paraId="787ECDFA" w14:textId="789CD2F8">
            <w:pPr>
              <w:pStyle w:val="Table"/>
              <w:rPr>
                <w:sz w:val="18"/>
              </w:rPr>
            </w:pPr>
            <w:r>
              <w:rPr>
                <w:sz w:val="18"/>
                <w:szCs w:val="18"/>
              </w:rPr>
              <w:t xml:space="preserve">System </w:t>
            </w:r>
            <w:r w:rsidRPr="00BF0D7A">
              <w:rPr>
                <w:sz w:val="18"/>
                <w:szCs w:val="18"/>
              </w:rPr>
              <w:t>confer</w:t>
            </w:r>
            <w:r>
              <w:rPr>
                <w:sz w:val="18"/>
                <w:szCs w:val="18"/>
              </w:rPr>
              <w:t>s</w:t>
            </w:r>
            <w:r w:rsidRPr="00BF0D7A">
              <w:rPr>
                <w:sz w:val="18"/>
                <w:szCs w:val="18"/>
              </w:rPr>
              <w:t xml:space="preserve"> with </w:t>
            </w:r>
            <w:r>
              <w:rPr>
                <w:sz w:val="18"/>
                <w:szCs w:val="18"/>
              </w:rPr>
              <w:t>primacy agency</w:t>
            </w:r>
            <w:r w:rsidRPr="00BF0D7A">
              <w:rPr>
                <w:sz w:val="18"/>
                <w:szCs w:val="18"/>
              </w:rPr>
              <w:t xml:space="preserve"> on initial planning for LSLR</w:t>
            </w:r>
            <w:r w:rsidR="00E23F91">
              <w:rPr>
                <w:sz w:val="18"/>
                <w:szCs w:val="18"/>
              </w:rPr>
              <w:t xml:space="preserve"> and prepares LSLR plan</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33B0E875" w14:textId="4D722658">
            <w:pPr>
              <w:pStyle w:val="Table"/>
              <w:ind w:right="-517"/>
              <w:jc w:val="right"/>
              <w:rPr>
                <w:b/>
                <w:sz w:val="18"/>
                <w:szCs w:val="18"/>
              </w:rPr>
            </w:pPr>
            <w:r>
              <w:rPr>
                <w:color w:val="000000"/>
                <w:sz w:val="18"/>
                <w:szCs w:val="18"/>
              </w:rPr>
              <w:t>72,219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24D29511" w14:textId="3F0F7899">
            <w:pPr>
              <w:pStyle w:val="Table"/>
              <w:ind w:right="-559"/>
              <w:jc w:val="right"/>
              <w:rPr>
                <w:b/>
                <w:sz w:val="18"/>
                <w:szCs w:val="18"/>
              </w:rPr>
            </w:pPr>
            <w:r>
              <w:rPr>
                <w:color w:val="000000"/>
                <w:sz w:val="18"/>
                <w:szCs w:val="18"/>
              </w:rPr>
              <w:t>72,219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3DAD685F" w14:textId="3AF0E01A">
            <w:pPr>
              <w:pStyle w:val="Table"/>
              <w:ind w:right="-600"/>
              <w:jc w:val="right"/>
              <w:rPr>
                <w:b/>
                <w:sz w:val="18"/>
                <w:szCs w:val="18"/>
              </w:rPr>
            </w:pPr>
            <w:r>
              <w:rPr>
                <w:color w:val="000000"/>
                <w:sz w:val="18"/>
                <w:szCs w:val="18"/>
              </w:rPr>
              <w:t>72,219</w:t>
            </w:r>
          </w:p>
        </w:tc>
        <w:tc>
          <w:tcPr>
            <w:tcW w:w="1033" w:type="dxa"/>
            <w:tcBorders>
              <w:top w:val="nil"/>
              <w:left w:val="nil"/>
              <w:bottom w:val="single" w:color="auto" w:sz="8" w:space="0"/>
              <w:right w:val="single" w:color="auto" w:sz="8" w:space="0"/>
            </w:tcBorders>
            <w:shd w:val="clear" w:color="auto" w:fill="auto"/>
            <w:vAlign w:val="center"/>
          </w:tcPr>
          <w:p w:rsidR="00B056DF" w:rsidP="00B056DF" w:rsidRDefault="00B056DF" w14:paraId="64C7FCB4" w14:textId="259D2C82">
            <w:pPr>
              <w:pStyle w:val="Table"/>
              <w:jc w:val="right"/>
              <w:rPr>
                <w:sz w:val="18"/>
                <w:szCs w:val="18"/>
              </w:rPr>
            </w:pPr>
            <w:r>
              <w:rPr>
                <w:color w:val="000000"/>
                <w:sz w:val="18"/>
                <w:szCs w:val="18"/>
              </w:rPr>
              <w:t>93,536</w:t>
            </w:r>
          </w:p>
        </w:tc>
        <w:tc>
          <w:tcPr>
            <w:tcW w:w="990" w:type="dxa"/>
            <w:tcBorders>
              <w:top w:val="nil"/>
              <w:left w:val="nil"/>
              <w:bottom w:val="single" w:color="auto" w:sz="8" w:space="0"/>
              <w:right w:val="single" w:color="auto" w:sz="8" w:space="0"/>
            </w:tcBorders>
            <w:shd w:val="clear" w:color="auto" w:fill="auto"/>
            <w:vAlign w:val="center"/>
          </w:tcPr>
          <w:p w:rsidR="00B056DF" w:rsidP="00B056DF" w:rsidRDefault="00B056DF" w14:paraId="7503CDC3" w14:textId="2644A263">
            <w:pPr>
              <w:pStyle w:val="Table"/>
              <w:jc w:val="right"/>
              <w:rPr>
                <w:sz w:val="18"/>
                <w:szCs w:val="18"/>
              </w:rPr>
            </w:pPr>
            <w:r>
              <w:rPr>
                <w:color w:val="000000"/>
                <w:sz w:val="18"/>
                <w:szCs w:val="18"/>
              </w:rPr>
              <w:t>93,536</w:t>
            </w:r>
          </w:p>
        </w:tc>
        <w:tc>
          <w:tcPr>
            <w:tcW w:w="1119" w:type="dxa"/>
            <w:tcBorders>
              <w:top w:val="nil"/>
              <w:left w:val="nil"/>
              <w:bottom w:val="single" w:color="auto" w:sz="8" w:space="0"/>
              <w:right w:val="single" w:color="auto" w:sz="8" w:space="0"/>
            </w:tcBorders>
            <w:shd w:val="clear" w:color="auto" w:fill="auto"/>
            <w:vAlign w:val="center"/>
          </w:tcPr>
          <w:p w:rsidR="00B056DF" w:rsidP="00B056DF" w:rsidRDefault="00B056DF" w14:paraId="0BF5476B" w14:textId="230B1408">
            <w:pPr>
              <w:pStyle w:val="Table"/>
              <w:jc w:val="right"/>
              <w:rPr>
                <w:sz w:val="18"/>
                <w:szCs w:val="18"/>
              </w:rPr>
            </w:pPr>
            <w:r>
              <w:rPr>
                <w:color w:val="000000"/>
                <w:sz w:val="18"/>
                <w:szCs w:val="18"/>
              </w:rPr>
              <w:t>93,536</w:t>
            </w:r>
          </w:p>
        </w:tc>
      </w:tr>
      <w:tr w:rsidRPr="00A04EFB" w:rsidR="00B056DF" w:rsidTr="00C412C6" w14:paraId="621D44D3" w14:textId="5BC18D1D">
        <w:trPr>
          <w:trHeight w:val="300"/>
        </w:trPr>
        <w:tc>
          <w:tcPr>
            <w:tcW w:w="3685" w:type="dxa"/>
            <w:vAlign w:val="center"/>
            <w:hideMark/>
          </w:tcPr>
          <w:p w:rsidRPr="00A04EFB" w:rsidR="00B056DF" w:rsidP="00B056DF" w:rsidRDefault="00B056DF" w14:paraId="013E55BD" w14:textId="77777777">
            <w:pPr>
              <w:pStyle w:val="Table"/>
              <w:rPr>
                <w:b/>
                <w:sz w:val="18"/>
              </w:rPr>
            </w:pPr>
            <w:r w:rsidRPr="00A04EFB">
              <w:rPr>
                <w:b/>
                <w:sz w:val="18"/>
              </w:rPr>
              <w:t>System Subtotal</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4F6BDBBF" w14:textId="1EB6ECC6">
            <w:pPr>
              <w:pStyle w:val="Table"/>
              <w:ind w:right="-517"/>
              <w:jc w:val="right"/>
              <w:rPr>
                <w:b/>
                <w:sz w:val="18"/>
                <w:szCs w:val="18"/>
              </w:rPr>
            </w:pPr>
            <w:r>
              <w:rPr>
                <w:b/>
                <w:bCs/>
                <w:color w:val="000000"/>
                <w:sz w:val="18"/>
                <w:szCs w:val="18"/>
              </w:rPr>
              <w:t>1,740,094</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77DA0F0B" w14:textId="032B22CD">
            <w:pPr>
              <w:pStyle w:val="Table"/>
              <w:ind w:right="-559"/>
              <w:jc w:val="right"/>
              <w:rPr>
                <w:b/>
                <w:sz w:val="18"/>
                <w:szCs w:val="18"/>
              </w:rPr>
            </w:pPr>
            <w:r>
              <w:rPr>
                <w:b/>
                <w:bCs/>
                <w:color w:val="000000"/>
                <w:sz w:val="18"/>
                <w:szCs w:val="18"/>
              </w:rPr>
              <w:t>386,974</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03800A71" w14:textId="1CDCA375">
            <w:pPr>
              <w:pStyle w:val="Table"/>
              <w:ind w:right="-600"/>
              <w:jc w:val="right"/>
              <w:rPr>
                <w:b/>
                <w:sz w:val="18"/>
                <w:szCs w:val="18"/>
              </w:rPr>
            </w:pPr>
            <w:r>
              <w:rPr>
                <w:b/>
                <w:bCs/>
                <w:color w:val="000000"/>
                <w:sz w:val="18"/>
                <w:szCs w:val="18"/>
              </w:rPr>
              <w:t>386,974</w:t>
            </w:r>
          </w:p>
        </w:tc>
        <w:tc>
          <w:tcPr>
            <w:tcW w:w="1033" w:type="dxa"/>
            <w:tcBorders>
              <w:top w:val="nil"/>
              <w:left w:val="nil"/>
              <w:bottom w:val="single" w:color="auto" w:sz="8" w:space="0"/>
              <w:right w:val="single" w:color="auto" w:sz="8" w:space="0"/>
            </w:tcBorders>
            <w:shd w:val="clear" w:color="auto" w:fill="auto"/>
            <w:vAlign w:val="center"/>
          </w:tcPr>
          <w:p w:rsidR="00B056DF" w:rsidP="00B056DF" w:rsidRDefault="00B056DF" w14:paraId="2FB320C8" w14:textId="1E1DE65D">
            <w:pPr>
              <w:pStyle w:val="Table"/>
              <w:jc w:val="right"/>
              <w:rPr>
                <w:b/>
                <w:sz w:val="18"/>
                <w:szCs w:val="18"/>
              </w:rPr>
            </w:pPr>
            <w:r>
              <w:rPr>
                <w:b/>
                <w:bCs/>
                <w:color w:val="000000"/>
                <w:sz w:val="18"/>
                <w:szCs w:val="18"/>
              </w:rPr>
              <w:t>1,798,721</w:t>
            </w:r>
          </w:p>
        </w:tc>
        <w:tc>
          <w:tcPr>
            <w:tcW w:w="990" w:type="dxa"/>
            <w:tcBorders>
              <w:top w:val="nil"/>
              <w:left w:val="nil"/>
              <w:bottom w:val="single" w:color="auto" w:sz="8" w:space="0"/>
              <w:right w:val="single" w:color="auto" w:sz="8" w:space="0"/>
            </w:tcBorders>
            <w:shd w:val="clear" w:color="auto" w:fill="auto"/>
            <w:vAlign w:val="center"/>
          </w:tcPr>
          <w:p w:rsidR="00B056DF" w:rsidP="00B056DF" w:rsidRDefault="00B056DF" w14:paraId="5D90C477" w14:textId="3DD85F80">
            <w:pPr>
              <w:pStyle w:val="Table"/>
              <w:jc w:val="right"/>
              <w:rPr>
                <w:b/>
                <w:sz w:val="18"/>
                <w:szCs w:val="18"/>
              </w:rPr>
            </w:pPr>
            <w:r>
              <w:rPr>
                <w:b/>
                <w:bCs/>
                <w:color w:val="000000"/>
                <w:sz w:val="18"/>
                <w:szCs w:val="18"/>
              </w:rPr>
              <w:t>445,601</w:t>
            </w:r>
          </w:p>
        </w:tc>
        <w:tc>
          <w:tcPr>
            <w:tcW w:w="1119" w:type="dxa"/>
            <w:tcBorders>
              <w:top w:val="nil"/>
              <w:left w:val="nil"/>
              <w:bottom w:val="single" w:color="auto" w:sz="8" w:space="0"/>
              <w:right w:val="single" w:color="auto" w:sz="8" w:space="0"/>
            </w:tcBorders>
            <w:shd w:val="clear" w:color="auto" w:fill="auto"/>
            <w:vAlign w:val="center"/>
          </w:tcPr>
          <w:p w:rsidR="00B056DF" w:rsidP="00B056DF" w:rsidRDefault="00B056DF" w14:paraId="2B4F890C" w14:textId="621DFADE">
            <w:pPr>
              <w:pStyle w:val="Table"/>
              <w:jc w:val="right"/>
              <w:rPr>
                <w:b/>
                <w:sz w:val="18"/>
                <w:szCs w:val="18"/>
              </w:rPr>
            </w:pPr>
            <w:r>
              <w:rPr>
                <w:b/>
                <w:bCs/>
                <w:color w:val="000000"/>
                <w:sz w:val="18"/>
                <w:szCs w:val="18"/>
              </w:rPr>
              <w:t>445,601</w:t>
            </w:r>
          </w:p>
        </w:tc>
      </w:tr>
      <w:tr w:rsidRPr="00A04EFB" w:rsidR="00B056DF" w:rsidTr="00C412C6" w14:paraId="2D2295B0" w14:textId="25496056">
        <w:trPr>
          <w:trHeight w:val="804"/>
        </w:trPr>
        <w:tc>
          <w:tcPr>
            <w:tcW w:w="3685" w:type="dxa"/>
            <w:vAlign w:val="center"/>
            <w:hideMark/>
          </w:tcPr>
          <w:p w:rsidRPr="00A04EFB" w:rsidR="00B056DF" w:rsidP="00B056DF" w:rsidRDefault="00B056DF" w14:paraId="17E64033" w14:textId="335677BE">
            <w:pPr>
              <w:pStyle w:val="Table"/>
              <w:rPr>
                <w:sz w:val="18"/>
              </w:rPr>
            </w:pPr>
            <w:r>
              <w:rPr>
                <w:sz w:val="18"/>
              </w:rPr>
              <w:t>Primacy agency</w:t>
            </w:r>
            <w:r w:rsidRPr="00A04EFB">
              <w:rPr>
                <w:sz w:val="18"/>
              </w:rPr>
              <w:t xml:space="preserve"> start-up activities (adopt rule, modify data systems, provide training)</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9E3EE0" w14:paraId="7739AD6E" w14:textId="3E329294">
            <w:pPr>
              <w:pStyle w:val="Table"/>
              <w:ind w:right="-517"/>
              <w:jc w:val="right"/>
              <w:rPr>
                <w:sz w:val="18"/>
                <w:szCs w:val="18"/>
              </w:rPr>
            </w:pPr>
            <w:r>
              <w:rPr>
                <w:color w:val="000000"/>
                <w:sz w:val="18"/>
                <w:szCs w:val="18"/>
              </w:rPr>
              <w:t>133,056</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9E3EE0" w14:paraId="7ABF4B0B" w14:textId="352E1234">
            <w:pPr>
              <w:pStyle w:val="Table"/>
              <w:ind w:right="-559"/>
              <w:jc w:val="right"/>
              <w:rPr>
                <w:sz w:val="18"/>
                <w:szCs w:val="18"/>
              </w:rPr>
            </w:pPr>
            <w:r>
              <w:rPr>
                <w:color w:val="000000"/>
                <w:sz w:val="18"/>
                <w:szCs w:val="18"/>
              </w:rPr>
              <w:t>133,056</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9E3EE0" w14:paraId="17AEEF64" w14:textId="437D37F2">
            <w:pPr>
              <w:pStyle w:val="Table"/>
              <w:ind w:right="-600"/>
              <w:jc w:val="right"/>
              <w:rPr>
                <w:sz w:val="18"/>
                <w:szCs w:val="18"/>
              </w:rPr>
            </w:pPr>
            <w:r>
              <w:rPr>
                <w:color w:val="000000"/>
                <w:sz w:val="18"/>
                <w:szCs w:val="18"/>
              </w:rPr>
              <w:t>133,056</w:t>
            </w:r>
          </w:p>
        </w:tc>
        <w:tc>
          <w:tcPr>
            <w:tcW w:w="1033" w:type="dxa"/>
            <w:tcBorders>
              <w:top w:val="nil"/>
              <w:left w:val="nil"/>
              <w:bottom w:val="single" w:color="auto" w:sz="8" w:space="0"/>
              <w:right w:val="single" w:color="auto" w:sz="8" w:space="0"/>
            </w:tcBorders>
            <w:shd w:val="clear" w:color="auto" w:fill="auto"/>
            <w:vAlign w:val="center"/>
          </w:tcPr>
          <w:p w:rsidRPr="00CE2FCB" w:rsidR="00B056DF" w:rsidP="00B056DF" w:rsidRDefault="009E3EE0" w14:paraId="672123AD" w14:textId="35D81DB3">
            <w:pPr>
              <w:pStyle w:val="Table"/>
              <w:jc w:val="right"/>
              <w:rPr>
                <w:sz w:val="18"/>
                <w:szCs w:val="18"/>
              </w:rPr>
            </w:pPr>
            <w:r>
              <w:rPr>
                <w:color w:val="000000"/>
                <w:sz w:val="18"/>
                <w:szCs w:val="18"/>
              </w:rPr>
              <w:t>133,056</w:t>
            </w:r>
          </w:p>
        </w:tc>
        <w:tc>
          <w:tcPr>
            <w:tcW w:w="990" w:type="dxa"/>
            <w:tcBorders>
              <w:top w:val="nil"/>
              <w:left w:val="nil"/>
              <w:bottom w:val="single" w:color="auto" w:sz="8" w:space="0"/>
              <w:right w:val="single" w:color="auto" w:sz="8" w:space="0"/>
            </w:tcBorders>
            <w:shd w:val="clear" w:color="auto" w:fill="auto"/>
            <w:vAlign w:val="center"/>
          </w:tcPr>
          <w:p w:rsidRPr="00CE2FCB" w:rsidR="00B056DF" w:rsidP="00B056DF" w:rsidRDefault="009E3EE0" w14:paraId="1B0DA75B" w14:textId="3EF82D40">
            <w:pPr>
              <w:pStyle w:val="Table"/>
              <w:jc w:val="right"/>
              <w:rPr>
                <w:sz w:val="18"/>
                <w:szCs w:val="18"/>
              </w:rPr>
            </w:pPr>
            <w:r>
              <w:rPr>
                <w:color w:val="000000"/>
                <w:sz w:val="18"/>
                <w:szCs w:val="18"/>
              </w:rPr>
              <w:t>133,056</w:t>
            </w:r>
          </w:p>
        </w:tc>
        <w:tc>
          <w:tcPr>
            <w:tcW w:w="1119" w:type="dxa"/>
            <w:tcBorders>
              <w:top w:val="nil"/>
              <w:left w:val="nil"/>
              <w:bottom w:val="single" w:color="auto" w:sz="8" w:space="0"/>
              <w:right w:val="single" w:color="auto" w:sz="8" w:space="0"/>
            </w:tcBorders>
            <w:shd w:val="clear" w:color="auto" w:fill="auto"/>
            <w:vAlign w:val="center"/>
          </w:tcPr>
          <w:p w:rsidRPr="00CE2FCB" w:rsidR="00B056DF" w:rsidP="00B056DF" w:rsidRDefault="009E3EE0" w14:paraId="0B0187F4" w14:textId="51ECC631">
            <w:pPr>
              <w:pStyle w:val="Table"/>
              <w:jc w:val="right"/>
              <w:rPr>
                <w:sz w:val="18"/>
                <w:szCs w:val="18"/>
              </w:rPr>
            </w:pPr>
            <w:r>
              <w:rPr>
                <w:color w:val="000000"/>
                <w:sz w:val="18"/>
                <w:szCs w:val="18"/>
              </w:rPr>
              <w:t>133,056</w:t>
            </w:r>
          </w:p>
        </w:tc>
      </w:tr>
      <w:tr w:rsidRPr="00A04EFB" w:rsidR="00B056DF" w:rsidTr="00C412C6" w14:paraId="2A923944" w14:textId="77777777">
        <w:trPr>
          <w:trHeight w:val="804"/>
        </w:trPr>
        <w:tc>
          <w:tcPr>
            <w:tcW w:w="3685" w:type="dxa"/>
            <w:vAlign w:val="center"/>
          </w:tcPr>
          <w:p w:rsidRPr="00940C93" w:rsidR="00B056DF" w:rsidP="00B056DF" w:rsidRDefault="00B056DF" w14:paraId="3A9944CD" w14:textId="00C80A54">
            <w:pPr>
              <w:rPr>
                <w:rFonts w:ascii="Arial" w:hAnsi="Arial" w:cs="Arial"/>
                <w:sz w:val="18"/>
                <w:szCs w:val="18"/>
              </w:rPr>
            </w:pPr>
            <w:r>
              <w:rPr>
                <w:rFonts w:ascii="Arial" w:hAnsi="Arial" w:cs="Arial"/>
                <w:sz w:val="18"/>
                <w:szCs w:val="18"/>
              </w:rPr>
              <w:t>Primacy Agency assists with and reviews lead service line inventory</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tcPr>
          <w:p w:rsidR="00B056DF" w:rsidP="00B056DF" w:rsidRDefault="00B056DF" w14:paraId="24F13096" w14:textId="37E8C486">
            <w:pPr>
              <w:pStyle w:val="Table"/>
              <w:ind w:right="-517"/>
              <w:jc w:val="right"/>
              <w:rPr>
                <w:color w:val="000000"/>
                <w:sz w:val="18"/>
                <w:szCs w:val="18"/>
              </w:rPr>
            </w:pPr>
            <w:r>
              <w:rPr>
                <w:color w:val="000000"/>
                <w:sz w:val="18"/>
                <w:szCs w:val="18"/>
              </w:rPr>
              <w:t>16,889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00B056DF" w:rsidP="00B056DF" w:rsidRDefault="00B056DF" w14:paraId="53E1A23D" w14:textId="550C0C8A">
            <w:pPr>
              <w:pStyle w:val="Table"/>
              <w:ind w:right="-559"/>
              <w:jc w:val="right"/>
              <w:rPr>
                <w:color w:val="000000"/>
                <w:sz w:val="18"/>
                <w:szCs w:val="18"/>
              </w:rPr>
            </w:pPr>
            <w:r>
              <w:rPr>
                <w:color w:val="000000"/>
                <w:sz w:val="18"/>
                <w:szCs w:val="18"/>
              </w:rPr>
              <w:t>16,889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00B056DF" w:rsidP="00B056DF" w:rsidRDefault="00B056DF" w14:paraId="1219DD66" w14:textId="0EB32508">
            <w:pPr>
              <w:pStyle w:val="Table"/>
              <w:ind w:right="-600"/>
              <w:jc w:val="right"/>
              <w:rPr>
                <w:color w:val="000000"/>
                <w:sz w:val="18"/>
                <w:szCs w:val="18"/>
              </w:rPr>
            </w:pPr>
            <w:r>
              <w:rPr>
                <w:color w:val="000000"/>
                <w:sz w:val="18"/>
                <w:szCs w:val="18"/>
              </w:rPr>
              <w:t>16,889</w:t>
            </w:r>
          </w:p>
        </w:tc>
        <w:tc>
          <w:tcPr>
            <w:tcW w:w="1033" w:type="dxa"/>
            <w:tcBorders>
              <w:top w:val="nil"/>
              <w:left w:val="nil"/>
              <w:bottom w:val="single" w:color="auto" w:sz="8" w:space="0"/>
              <w:right w:val="single" w:color="auto" w:sz="8" w:space="0"/>
            </w:tcBorders>
            <w:shd w:val="clear" w:color="auto" w:fill="auto"/>
            <w:vAlign w:val="center"/>
          </w:tcPr>
          <w:p w:rsidR="00B056DF" w:rsidP="00B056DF" w:rsidRDefault="00B056DF" w14:paraId="054F405D" w14:textId="668764CF">
            <w:pPr>
              <w:pStyle w:val="Table"/>
              <w:jc w:val="right"/>
              <w:rPr>
                <w:color w:val="000000"/>
                <w:sz w:val="18"/>
                <w:szCs w:val="18"/>
              </w:rPr>
            </w:pPr>
            <w:r>
              <w:rPr>
                <w:color w:val="000000"/>
                <w:sz w:val="18"/>
                <w:szCs w:val="18"/>
              </w:rPr>
              <w:t>21,472</w:t>
            </w:r>
          </w:p>
        </w:tc>
        <w:tc>
          <w:tcPr>
            <w:tcW w:w="990" w:type="dxa"/>
            <w:tcBorders>
              <w:top w:val="nil"/>
              <w:left w:val="nil"/>
              <w:bottom w:val="single" w:color="auto" w:sz="8" w:space="0"/>
              <w:right w:val="single" w:color="auto" w:sz="8" w:space="0"/>
            </w:tcBorders>
            <w:shd w:val="clear" w:color="auto" w:fill="auto"/>
            <w:vAlign w:val="center"/>
          </w:tcPr>
          <w:p w:rsidR="00B056DF" w:rsidP="00B056DF" w:rsidRDefault="00B056DF" w14:paraId="4C64ED00" w14:textId="0EACD323">
            <w:pPr>
              <w:pStyle w:val="Table"/>
              <w:jc w:val="right"/>
              <w:rPr>
                <w:color w:val="000000"/>
                <w:sz w:val="18"/>
                <w:szCs w:val="18"/>
              </w:rPr>
            </w:pPr>
            <w:r>
              <w:rPr>
                <w:color w:val="000000"/>
                <w:sz w:val="18"/>
                <w:szCs w:val="18"/>
              </w:rPr>
              <w:t>21,472</w:t>
            </w:r>
          </w:p>
        </w:tc>
        <w:tc>
          <w:tcPr>
            <w:tcW w:w="1119" w:type="dxa"/>
            <w:tcBorders>
              <w:top w:val="nil"/>
              <w:left w:val="nil"/>
              <w:bottom w:val="single" w:color="auto" w:sz="8" w:space="0"/>
              <w:right w:val="single" w:color="auto" w:sz="8" w:space="0"/>
            </w:tcBorders>
            <w:shd w:val="clear" w:color="auto" w:fill="auto"/>
            <w:vAlign w:val="center"/>
          </w:tcPr>
          <w:p w:rsidR="00B056DF" w:rsidP="00B056DF" w:rsidRDefault="00B056DF" w14:paraId="56E50233" w14:textId="233D52A6">
            <w:pPr>
              <w:pStyle w:val="Table"/>
              <w:jc w:val="right"/>
              <w:rPr>
                <w:color w:val="000000"/>
                <w:sz w:val="18"/>
                <w:szCs w:val="18"/>
              </w:rPr>
            </w:pPr>
            <w:r>
              <w:rPr>
                <w:color w:val="000000"/>
                <w:sz w:val="18"/>
                <w:szCs w:val="18"/>
              </w:rPr>
              <w:t>21,472</w:t>
            </w:r>
          </w:p>
        </w:tc>
      </w:tr>
      <w:tr w:rsidRPr="00A04EFB" w:rsidR="009E3EE0" w:rsidTr="009E3EE0" w14:paraId="790C3223" w14:textId="54C964C5">
        <w:trPr>
          <w:trHeight w:val="540"/>
        </w:trPr>
        <w:tc>
          <w:tcPr>
            <w:tcW w:w="3685" w:type="dxa"/>
            <w:vAlign w:val="center"/>
            <w:hideMark/>
          </w:tcPr>
          <w:p w:rsidRPr="00A04EFB" w:rsidR="009E3EE0" w:rsidP="009E3EE0" w:rsidRDefault="009E3EE0" w14:paraId="22D549EB" w14:textId="77777777">
            <w:pPr>
              <w:pStyle w:val="Table"/>
              <w:rPr>
                <w:sz w:val="18"/>
              </w:rPr>
            </w:pPr>
            <w:r>
              <w:rPr>
                <w:sz w:val="18"/>
              </w:rPr>
              <w:t>Primacy agency</w:t>
            </w:r>
            <w:r w:rsidRPr="00A04EFB">
              <w:rPr>
                <w:sz w:val="18"/>
              </w:rPr>
              <w:t xml:space="preserve"> reviews demonstrations of no lead service lines</w:t>
            </w:r>
          </w:p>
        </w:tc>
        <w:tc>
          <w:tcPr>
            <w:tcW w:w="1170" w:type="dxa"/>
            <w:tcBorders>
              <w:top w:val="nil"/>
              <w:left w:val="nil"/>
              <w:bottom w:val="single" w:color="auto" w:sz="8" w:space="0"/>
              <w:right w:val="single" w:color="auto" w:sz="8" w:space="0"/>
            </w:tcBorders>
            <w:shd w:val="clear" w:color="auto" w:fill="auto"/>
            <w:tcMar>
              <w:left w:w="115" w:type="dxa"/>
              <w:right w:w="720" w:type="dxa"/>
            </w:tcMar>
            <w:hideMark/>
          </w:tcPr>
          <w:p w:rsidRPr="009E3EE0" w:rsidR="009E3EE0" w:rsidP="009E3EE0" w:rsidRDefault="009E3EE0" w14:paraId="6B819310" w14:textId="037C2CC2">
            <w:pPr>
              <w:pStyle w:val="Table"/>
              <w:ind w:right="-517"/>
              <w:jc w:val="right"/>
              <w:rPr>
                <w:sz w:val="18"/>
                <w:szCs w:val="18"/>
              </w:rPr>
            </w:pPr>
            <w:r w:rsidRPr="009E3EE0">
              <w:rPr>
                <w:sz w:val="18"/>
                <w:szCs w:val="18"/>
              </w:rPr>
              <w:t>32,957</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9E3EE0" w:rsidR="009E3EE0" w:rsidP="009E3EE0" w:rsidRDefault="009E3EE0" w14:paraId="64F3ACB8" w14:textId="4DCDB19E">
            <w:pPr>
              <w:pStyle w:val="Table"/>
              <w:ind w:right="-559"/>
              <w:jc w:val="right"/>
              <w:rPr>
                <w:sz w:val="18"/>
                <w:szCs w:val="18"/>
              </w:rPr>
            </w:pPr>
            <w:r w:rsidRPr="009E3EE0">
              <w:rPr>
                <w:sz w:val="18"/>
                <w:szCs w:val="18"/>
              </w:rPr>
              <w:t>32,957</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9E3EE0" w:rsidR="009E3EE0" w:rsidP="009E3EE0" w:rsidRDefault="009E3EE0" w14:paraId="7335FBDD" w14:textId="6723DB81">
            <w:pPr>
              <w:pStyle w:val="Table"/>
              <w:ind w:right="-600"/>
              <w:jc w:val="right"/>
              <w:rPr>
                <w:sz w:val="18"/>
                <w:szCs w:val="18"/>
              </w:rPr>
            </w:pPr>
            <w:r w:rsidRPr="009E3EE0">
              <w:rPr>
                <w:sz w:val="18"/>
                <w:szCs w:val="18"/>
              </w:rPr>
              <w:t>32,957</w:t>
            </w:r>
          </w:p>
        </w:tc>
        <w:tc>
          <w:tcPr>
            <w:tcW w:w="1033" w:type="dxa"/>
            <w:tcBorders>
              <w:top w:val="nil"/>
              <w:left w:val="nil"/>
              <w:bottom w:val="single" w:color="auto" w:sz="8" w:space="0"/>
              <w:right w:val="single" w:color="auto" w:sz="8" w:space="0"/>
            </w:tcBorders>
            <w:shd w:val="clear" w:color="auto" w:fill="auto"/>
          </w:tcPr>
          <w:p w:rsidRPr="009E3EE0" w:rsidR="009E3EE0" w:rsidP="009E3EE0" w:rsidRDefault="009E3EE0" w14:paraId="4B8D0048" w14:textId="65A8CD49">
            <w:pPr>
              <w:pStyle w:val="Table"/>
              <w:jc w:val="right"/>
              <w:rPr>
                <w:sz w:val="18"/>
                <w:szCs w:val="18"/>
              </w:rPr>
            </w:pPr>
            <w:r w:rsidRPr="009E3EE0">
              <w:rPr>
                <w:sz w:val="18"/>
                <w:szCs w:val="18"/>
              </w:rPr>
              <w:t>31,403</w:t>
            </w:r>
          </w:p>
        </w:tc>
        <w:tc>
          <w:tcPr>
            <w:tcW w:w="990" w:type="dxa"/>
            <w:tcBorders>
              <w:top w:val="nil"/>
              <w:left w:val="nil"/>
              <w:bottom w:val="single" w:color="auto" w:sz="8" w:space="0"/>
              <w:right w:val="single" w:color="auto" w:sz="8" w:space="0"/>
            </w:tcBorders>
            <w:shd w:val="clear" w:color="auto" w:fill="auto"/>
          </w:tcPr>
          <w:p w:rsidRPr="009E3EE0" w:rsidR="009E3EE0" w:rsidP="009E3EE0" w:rsidRDefault="009E3EE0" w14:paraId="46F85C43" w14:textId="17D8592A">
            <w:pPr>
              <w:pStyle w:val="Table"/>
              <w:jc w:val="right"/>
              <w:rPr>
                <w:sz w:val="18"/>
                <w:szCs w:val="18"/>
              </w:rPr>
            </w:pPr>
            <w:r w:rsidRPr="009E3EE0">
              <w:rPr>
                <w:sz w:val="18"/>
                <w:szCs w:val="18"/>
              </w:rPr>
              <w:t>31,403</w:t>
            </w:r>
          </w:p>
        </w:tc>
        <w:tc>
          <w:tcPr>
            <w:tcW w:w="1119" w:type="dxa"/>
            <w:tcBorders>
              <w:top w:val="nil"/>
              <w:left w:val="nil"/>
              <w:bottom w:val="single" w:color="auto" w:sz="8" w:space="0"/>
              <w:right w:val="single" w:color="auto" w:sz="8" w:space="0"/>
            </w:tcBorders>
            <w:shd w:val="clear" w:color="auto" w:fill="auto"/>
          </w:tcPr>
          <w:p w:rsidRPr="009E3EE0" w:rsidR="009E3EE0" w:rsidP="009E3EE0" w:rsidRDefault="009E3EE0" w14:paraId="4D2BBE32" w14:textId="61E16C75">
            <w:pPr>
              <w:pStyle w:val="Table"/>
              <w:jc w:val="right"/>
              <w:rPr>
                <w:sz w:val="18"/>
                <w:szCs w:val="18"/>
              </w:rPr>
            </w:pPr>
            <w:r w:rsidRPr="009E3EE0">
              <w:rPr>
                <w:sz w:val="18"/>
                <w:szCs w:val="18"/>
              </w:rPr>
              <w:t>31,403</w:t>
            </w:r>
          </w:p>
        </w:tc>
      </w:tr>
      <w:tr w:rsidRPr="00A04EFB" w:rsidR="00B056DF" w:rsidTr="00C412C6" w14:paraId="3563D78F" w14:textId="222C5BD5">
        <w:trPr>
          <w:trHeight w:val="300"/>
        </w:trPr>
        <w:tc>
          <w:tcPr>
            <w:tcW w:w="3685" w:type="dxa"/>
            <w:vAlign w:val="center"/>
          </w:tcPr>
          <w:p w:rsidRPr="00A04EFB" w:rsidR="00B056DF" w:rsidP="00B056DF" w:rsidRDefault="00B056DF" w14:paraId="63EC556F" w14:textId="1B2E5B7C">
            <w:pPr>
              <w:pStyle w:val="Table"/>
              <w:rPr>
                <w:b/>
                <w:sz w:val="18"/>
              </w:rPr>
            </w:pPr>
            <w:r>
              <w:rPr>
                <w:sz w:val="18"/>
              </w:rPr>
              <w:t>Primacy agency</w:t>
            </w:r>
            <w:r w:rsidRPr="00A04EFB">
              <w:rPr>
                <w:sz w:val="18"/>
              </w:rPr>
              <w:t xml:space="preserve"> </w:t>
            </w:r>
            <w:r>
              <w:rPr>
                <w:color w:val="000000"/>
                <w:sz w:val="18"/>
                <w:szCs w:val="18"/>
              </w:rPr>
              <w:t>confers on and reviews initial LSLR plan</w:t>
            </w:r>
          </w:p>
        </w:tc>
        <w:tc>
          <w:tcPr>
            <w:tcW w:w="117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7C9672BD" w14:textId="1575FFE6">
            <w:pPr>
              <w:pStyle w:val="Table"/>
              <w:ind w:right="-517"/>
              <w:jc w:val="right"/>
              <w:rPr>
                <w:b/>
                <w:sz w:val="18"/>
                <w:szCs w:val="18"/>
              </w:rPr>
            </w:pPr>
            <w:r>
              <w:rPr>
                <w:color w:val="000000"/>
                <w:sz w:val="18"/>
                <w:szCs w:val="18"/>
              </w:rPr>
              <w:t>36,109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32BCC0AF" w14:textId="32138ABF">
            <w:pPr>
              <w:pStyle w:val="Table"/>
              <w:ind w:right="-559"/>
              <w:jc w:val="right"/>
              <w:rPr>
                <w:b/>
                <w:sz w:val="18"/>
                <w:szCs w:val="18"/>
              </w:rPr>
            </w:pPr>
            <w:r>
              <w:rPr>
                <w:color w:val="000000"/>
                <w:sz w:val="18"/>
                <w:szCs w:val="18"/>
              </w:rPr>
              <w:t>36,109</w:t>
            </w:r>
          </w:p>
        </w:tc>
        <w:tc>
          <w:tcPr>
            <w:tcW w:w="99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0E38D584" w14:textId="51FD3848">
            <w:pPr>
              <w:pStyle w:val="Table"/>
              <w:ind w:right="-600"/>
              <w:jc w:val="right"/>
              <w:rPr>
                <w:b/>
                <w:sz w:val="18"/>
                <w:szCs w:val="18"/>
              </w:rPr>
            </w:pPr>
            <w:r>
              <w:rPr>
                <w:color w:val="000000"/>
                <w:sz w:val="18"/>
                <w:szCs w:val="18"/>
              </w:rPr>
              <w:t>36,109</w:t>
            </w:r>
          </w:p>
        </w:tc>
        <w:tc>
          <w:tcPr>
            <w:tcW w:w="1033" w:type="dxa"/>
            <w:tcBorders>
              <w:top w:val="nil"/>
              <w:left w:val="nil"/>
              <w:bottom w:val="single" w:color="auto" w:sz="8" w:space="0"/>
              <w:right w:val="single" w:color="auto" w:sz="8" w:space="0"/>
            </w:tcBorders>
            <w:shd w:val="clear" w:color="auto" w:fill="auto"/>
            <w:vAlign w:val="center"/>
          </w:tcPr>
          <w:p w:rsidRPr="000D72F3" w:rsidR="00B056DF" w:rsidP="00B056DF" w:rsidRDefault="00B056DF" w14:paraId="62CF5B5B" w14:textId="0F243750">
            <w:pPr>
              <w:pStyle w:val="Table"/>
              <w:jc w:val="right"/>
              <w:rPr>
                <w:sz w:val="18"/>
                <w:szCs w:val="18"/>
              </w:rPr>
            </w:pPr>
            <w:r>
              <w:rPr>
                <w:color w:val="000000"/>
                <w:sz w:val="18"/>
                <w:szCs w:val="18"/>
              </w:rPr>
              <w:t>46,768</w:t>
            </w:r>
          </w:p>
        </w:tc>
        <w:tc>
          <w:tcPr>
            <w:tcW w:w="990" w:type="dxa"/>
            <w:tcBorders>
              <w:top w:val="nil"/>
              <w:left w:val="nil"/>
              <w:bottom w:val="single" w:color="auto" w:sz="8" w:space="0"/>
              <w:right w:val="single" w:color="auto" w:sz="8" w:space="0"/>
            </w:tcBorders>
            <w:shd w:val="clear" w:color="auto" w:fill="auto"/>
            <w:vAlign w:val="center"/>
          </w:tcPr>
          <w:p w:rsidRPr="000D72F3" w:rsidR="00B056DF" w:rsidP="00B056DF" w:rsidRDefault="00B056DF" w14:paraId="10261206" w14:textId="46381F52">
            <w:pPr>
              <w:pStyle w:val="Table"/>
              <w:jc w:val="right"/>
              <w:rPr>
                <w:sz w:val="18"/>
                <w:szCs w:val="18"/>
              </w:rPr>
            </w:pPr>
            <w:r>
              <w:rPr>
                <w:color w:val="000000"/>
                <w:sz w:val="18"/>
                <w:szCs w:val="18"/>
              </w:rPr>
              <w:t>46,768</w:t>
            </w:r>
          </w:p>
        </w:tc>
        <w:tc>
          <w:tcPr>
            <w:tcW w:w="1119" w:type="dxa"/>
            <w:tcBorders>
              <w:top w:val="nil"/>
              <w:left w:val="nil"/>
              <w:bottom w:val="single" w:color="auto" w:sz="8" w:space="0"/>
              <w:right w:val="single" w:color="auto" w:sz="8" w:space="0"/>
            </w:tcBorders>
            <w:shd w:val="clear" w:color="auto" w:fill="auto"/>
            <w:vAlign w:val="center"/>
          </w:tcPr>
          <w:p w:rsidRPr="000D72F3" w:rsidR="00B056DF" w:rsidP="00B056DF" w:rsidRDefault="00B056DF" w14:paraId="1ACBC1CA" w14:textId="62D8E439">
            <w:pPr>
              <w:pStyle w:val="Table"/>
              <w:jc w:val="right"/>
              <w:rPr>
                <w:sz w:val="18"/>
                <w:szCs w:val="18"/>
              </w:rPr>
            </w:pPr>
            <w:r>
              <w:rPr>
                <w:color w:val="000000"/>
                <w:sz w:val="18"/>
                <w:szCs w:val="18"/>
              </w:rPr>
              <w:t>46,768</w:t>
            </w:r>
          </w:p>
        </w:tc>
      </w:tr>
      <w:tr w:rsidRPr="00A04EFB" w:rsidR="006C0500" w:rsidTr="006C0500" w14:paraId="7F7CD1EB" w14:textId="15D619D5">
        <w:trPr>
          <w:trHeight w:val="300"/>
        </w:trPr>
        <w:tc>
          <w:tcPr>
            <w:tcW w:w="3685" w:type="dxa"/>
            <w:vAlign w:val="center"/>
            <w:hideMark/>
          </w:tcPr>
          <w:p w:rsidRPr="00A04EFB" w:rsidR="006C0500" w:rsidP="006C0500" w:rsidRDefault="006C0500" w14:paraId="5251620A" w14:textId="77777777">
            <w:pPr>
              <w:pStyle w:val="Table"/>
              <w:rPr>
                <w:b/>
                <w:sz w:val="18"/>
              </w:rPr>
            </w:pPr>
            <w:r>
              <w:rPr>
                <w:b/>
                <w:sz w:val="18"/>
              </w:rPr>
              <w:t>Primacy Agency</w:t>
            </w:r>
            <w:r w:rsidRPr="00A04EFB">
              <w:rPr>
                <w:b/>
                <w:sz w:val="18"/>
              </w:rPr>
              <w:t xml:space="preserve"> Subtotal</w:t>
            </w:r>
          </w:p>
        </w:tc>
        <w:tc>
          <w:tcPr>
            <w:tcW w:w="117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172AF25A" w14:textId="56999767">
            <w:pPr>
              <w:pStyle w:val="Table"/>
              <w:ind w:right="-517"/>
              <w:jc w:val="right"/>
              <w:rPr>
                <w:b/>
                <w:sz w:val="18"/>
                <w:szCs w:val="18"/>
              </w:rPr>
            </w:pPr>
            <w:r w:rsidRPr="006C0500">
              <w:rPr>
                <w:b/>
                <w:sz w:val="18"/>
                <w:szCs w:val="18"/>
              </w:rPr>
              <w:t>219,011</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65A01C91" w14:textId="5D52212F">
            <w:pPr>
              <w:pStyle w:val="Table"/>
              <w:ind w:right="-559"/>
              <w:jc w:val="right"/>
              <w:rPr>
                <w:b/>
                <w:sz w:val="18"/>
                <w:szCs w:val="18"/>
              </w:rPr>
            </w:pPr>
            <w:r w:rsidRPr="006C0500">
              <w:rPr>
                <w:b/>
                <w:sz w:val="18"/>
                <w:szCs w:val="18"/>
              </w:rPr>
              <w:t>219,011</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4A74D784" w14:textId="32CFEEF4">
            <w:pPr>
              <w:pStyle w:val="Table"/>
              <w:ind w:right="-600"/>
              <w:jc w:val="right"/>
              <w:rPr>
                <w:b/>
                <w:sz w:val="18"/>
                <w:szCs w:val="18"/>
              </w:rPr>
            </w:pPr>
            <w:r w:rsidRPr="006C0500">
              <w:rPr>
                <w:b/>
                <w:sz w:val="18"/>
                <w:szCs w:val="18"/>
              </w:rPr>
              <w:t>219,011</w:t>
            </w:r>
          </w:p>
        </w:tc>
        <w:tc>
          <w:tcPr>
            <w:tcW w:w="1033" w:type="dxa"/>
            <w:tcBorders>
              <w:top w:val="nil"/>
              <w:left w:val="nil"/>
              <w:bottom w:val="single" w:color="auto" w:sz="8" w:space="0"/>
              <w:right w:val="single" w:color="auto" w:sz="8" w:space="0"/>
            </w:tcBorders>
            <w:shd w:val="clear" w:color="auto" w:fill="auto"/>
          </w:tcPr>
          <w:p w:rsidRPr="006C0500" w:rsidR="006C0500" w:rsidP="006C0500" w:rsidRDefault="006C0500" w14:paraId="72EBBFF2" w14:textId="6E0EC92D">
            <w:pPr>
              <w:pStyle w:val="Table"/>
              <w:jc w:val="right"/>
              <w:rPr>
                <w:b/>
                <w:sz w:val="18"/>
                <w:szCs w:val="18"/>
              </w:rPr>
            </w:pPr>
            <w:r w:rsidRPr="006C0500">
              <w:rPr>
                <w:b/>
                <w:sz w:val="18"/>
                <w:szCs w:val="18"/>
              </w:rPr>
              <w:t>232,699</w:t>
            </w:r>
          </w:p>
        </w:tc>
        <w:tc>
          <w:tcPr>
            <w:tcW w:w="990" w:type="dxa"/>
            <w:tcBorders>
              <w:top w:val="nil"/>
              <w:left w:val="nil"/>
              <w:bottom w:val="single" w:color="auto" w:sz="8" w:space="0"/>
              <w:right w:val="single" w:color="auto" w:sz="8" w:space="0"/>
            </w:tcBorders>
            <w:shd w:val="clear" w:color="auto" w:fill="auto"/>
          </w:tcPr>
          <w:p w:rsidRPr="006C0500" w:rsidR="006C0500" w:rsidP="006C0500" w:rsidRDefault="006C0500" w14:paraId="2EC08A40" w14:textId="4848A893">
            <w:pPr>
              <w:pStyle w:val="Table"/>
              <w:jc w:val="right"/>
              <w:rPr>
                <w:b/>
                <w:sz w:val="18"/>
                <w:szCs w:val="18"/>
              </w:rPr>
            </w:pPr>
            <w:r w:rsidRPr="006C0500">
              <w:rPr>
                <w:b/>
                <w:sz w:val="18"/>
                <w:szCs w:val="18"/>
              </w:rPr>
              <w:t>232,699</w:t>
            </w:r>
          </w:p>
        </w:tc>
        <w:tc>
          <w:tcPr>
            <w:tcW w:w="1119" w:type="dxa"/>
            <w:tcBorders>
              <w:top w:val="nil"/>
              <w:left w:val="nil"/>
              <w:bottom w:val="single" w:color="auto" w:sz="8" w:space="0"/>
              <w:right w:val="single" w:color="auto" w:sz="8" w:space="0"/>
            </w:tcBorders>
            <w:shd w:val="clear" w:color="auto" w:fill="auto"/>
          </w:tcPr>
          <w:p w:rsidRPr="006C0500" w:rsidR="006C0500" w:rsidP="006C0500" w:rsidRDefault="006C0500" w14:paraId="51A9C3BD" w14:textId="2677F887">
            <w:pPr>
              <w:pStyle w:val="Table"/>
              <w:jc w:val="right"/>
              <w:rPr>
                <w:b/>
                <w:sz w:val="18"/>
                <w:szCs w:val="18"/>
              </w:rPr>
            </w:pPr>
            <w:r w:rsidRPr="006C0500">
              <w:rPr>
                <w:b/>
                <w:sz w:val="18"/>
                <w:szCs w:val="18"/>
              </w:rPr>
              <w:t>232,699</w:t>
            </w:r>
          </w:p>
        </w:tc>
      </w:tr>
      <w:tr w:rsidRPr="00A04EFB" w:rsidR="006C0500" w:rsidTr="006C0500" w14:paraId="0A61EE73" w14:textId="78C70ECF">
        <w:trPr>
          <w:trHeight w:val="300"/>
        </w:trPr>
        <w:tc>
          <w:tcPr>
            <w:tcW w:w="3685" w:type="dxa"/>
            <w:vAlign w:val="center"/>
            <w:hideMark/>
          </w:tcPr>
          <w:p w:rsidRPr="00A04EFB" w:rsidR="006C0500" w:rsidP="006C0500" w:rsidRDefault="006C0500" w14:paraId="728E24F2" w14:textId="77777777">
            <w:pPr>
              <w:pStyle w:val="Table"/>
              <w:rPr>
                <w:b/>
                <w:sz w:val="18"/>
              </w:rPr>
            </w:pPr>
            <w:r>
              <w:rPr>
                <w:b/>
                <w:sz w:val="18"/>
              </w:rPr>
              <w:t>Combined System</w:t>
            </w:r>
            <w:r w:rsidRPr="00A04EFB">
              <w:rPr>
                <w:b/>
                <w:sz w:val="18"/>
              </w:rPr>
              <w:t xml:space="preserve"> and </w:t>
            </w:r>
            <w:r>
              <w:rPr>
                <w:b/>
                <w:sz w:val="18"/>
              </w:rPr>
              <w:t>Primacy Agency Total</w:t>
            </w:r>
          </w:p>
        </w:tc>
        <w:tc>
          <w:tcPr>
            <w:tcW w:w="117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522C4C6D" w14:textId="000C68CE">
            <w:pPr>
              <w:pStyle w:val="Table"/>
              <w:ind w:right="-517"/>
              <w:jc w:val="right"/>
              <w:rPr>
                <w:b/>
                <w:sz w:val="18"/>
                <w:szCs w:val="18"/>
              </w:rPr>
            </w:pPr>
            <w:r w:rsidRPr="006C0500">
              <w:rPr>
                <w:b/>
                <w:sz w:val="18"/>
                <w:szCs w:val="18"/>
              </w:rPr>
              <w:t>1,959,105</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087CDCD3" w14:textId="771D4B2C">
            <w:pPr>
              <w:pStyle w:val="Table"/>
              <w:ind w:right="-559"/>
              <w:jc w:val="right"/>
              <w:rPr>
                <w:b/>
                <w:sz w:val="18"/>
                <w:szCs w:val="18"/>
              </w:rPr>
            </w:pPr>
            <w:r w:rsidRPr="006C0500">
              <w:rPr>
                <w:b/>
                <w:sz w:val="18"/>
                <w:szCs w:val="18"/>
              </w:rPr>
              <w:t>605,985</w:t>
            </w:r>
          </w:p>
        </w:tc>
        <w:tc>
          <w:tcPr>
            <w:tcW w:w="99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39303B5B" w14:textId="39D9DADC">
            <w:pPr>
              <w:pStyle w:val="Table"/>
              <w:ind w:right="-600"/>
              <w:jc w:val="right"/>
              <w:rPr>
                <w:b/>
                <w:sz w:val="18"/>
                <w:szCs w:val="18"/>
              </w:rPr>
            </w:pPr>
            <w:r w:rsidRPr="006C0500">
              <w:rPr>
                <w:b/>
                <w:sz w:val="18"/>
                <w:szCs w:val="18"/>
              </w:rPr>
              <w:t>605,985</w:t>
            </w:r>
          </w:p>
        </w:tc>
        <w:tc>
          <w:tcPr>
            <w:tcW w:w="1033" w:type="dxa"/>
            <w:tcBorders>
              <w:top w:val="nil"/>
              <w:left w:val="nil"/>
              <w:bottom w:val="single" w:color="auto" w:sz="8" w:space="0"/>
              <w:right w:val="single" w:color="auto" w:sz="8" w:space="0"/>
            </w:tcBorders>
            <w:shd w:val="clear" w:color="auto" w:fill="auto"/>
          </w:tcPr>
          <w:p w:rsidRPr="006C0500" w:rsidR="006C0500" w:rsidP="006C0500" w:rsidRDefault="006C0500" w14:paraId="14D1B426" w14:textId="75AE058E">
            <w:pPr>
              <w:pStyle w:val="Table"/>
              <w:jc w:val="right"/>
              <w:rPr>
                <w:b/>
                <w:sz w:val="18"/>
                <w:szCs w:val="18"/>
              </w:rPr>
            </w:pPr>
            <w:r w:rsidRPr="006C0500">
              <w:rPr>
                <w:b/>
                <w:sz w:val="18"/>
                <w:szCs w:val="18"/>
              </w:rPr>
              <w:t>2,031,420</w:t>
            </w:r>
          </w:p>
        </w:tc>
        <w:tc>
          <w:tcPr>
            <w:tcW w:w="990" w:type="dxa"/>
            <w:tcBorders>
              <w:top w:val="nil"/>
              <w:left w:val="nil"/>
              <w:bottom w:val="single" w:color="auto" w:sz="8" w:space="0"/>
              <w:right w:val="single" w:color="auto" w:sz="8" w:space="0"/>
            </w:tcBorders>
            <w:shd w:val="clear" w:color="auto" w:fill="auto"/>
          </w:tcPr>
          <w:p w:rsidRPr="006C0500" w:rsidR="006C0500" w:rsidP="006C0500" w:rsidRDefault="006C0500" w14:paraId="17707204" w14:textId="30181E69">
            <w:pPr>
              <w:pStyle w:val="Table"/>
              <w:jc w:val="right"/>
              <w:rPr>
                <w:b/>
                <w:sz w:val="18"/>
                <w:szCs w:val="18"/>
              </w:rPr>
            </w:pPr>
            <w:r w:rsidRPr="006C0500">
              <w:rPr>
                <w:b/>
                <w:sz w:val="18"/>
                <w:szCs w:val="18"/>
              </w:rPr>
              <w:t>678,300</w:t>
            </w:r>
          </w:p>
        </w:tc>
        <w:tc>
          <w:tcPr>
            <w:tcW w:w="1119" w:type="dxa"/>
            <w:tcBorders>
              <w:top w:val="nil"/>
              <w:left w:val="nil"/>
              <w:bottom w:val="single" w:color="auto" w:sz="8" w:space="0"/>
              <w:right w:val="single" w:color="auto" w:sz="8" w:space="0"/>
            </w:tcBorders>
            <w:shd w:val="clear" w:color="auto" w:fill="auto"/>
          </w:tcPr>
          <w:p w:rsidRPr="006C0500" w:rsidR="006C0500" w:rsidP="006C0500" w:rsidRDefault="006C0500" w14:paraId="079023A6" w14:textId="28536582">
            <w:pPr>
              <w:pStyle w:val="Table"/>
              <w:jc w:val="right"/>
              <w:rPr>
                <w:b/>
                <w:sz w:val="18"/>
                <w:szCs w:val="18"/>
              </w:rPr>
            </w:pPr>
            <w:r w:rsidRPr="006C0500">
              <w:rPr>
                <w:b/>
                <w:sz w:val="18"/>
                <w:szCs w:val="18"/>
              </w:rPr>
              <w:t>678,300</w:t>
            </w:r>
          </w:p>
        </w:tc>
      </w:tr>
    </w:tbl>
    <w:p w:rsidR="009F22A6" w:rsidP="009F22A6" w:rsidRDefault="009F22A6" w14:paraId="6A0563D4" w14:textId="77777777"/>
    <w:p w:rsidR="0026208A" w:rsidP="009F22A6" w:rsidRDefault="0026208A" w14:paraId="53F4C5AD" w14:textId="77777777"/>
    <w:p w:rsidR="00C5374C" w:rsidP="00C5374C" w:rsidRDefault="00C5374C" w14:paraId="6BD3A2BD" w14:textId="77777777">
      <w:pPr>
        <w:pStyle w:val="Caption"/>
        <w:rPr>
          <w:noProof/>
        </w:rPr>
      </w:pPr>
      <w:bookmarkStart w:name="_Ref4742203" w:id="51"/>
      <w:bookmarkStart w:name="OLE_LINK1" w:id="52"/>
      <w:r>
        <w:lastRenderedPageBreak/>
        <w:t xml:space="preserve">Exhibit </w:t>
      </w:r>
      <w:r>
        <w:rPr>
          <w:noProof/>
        </w:rPr>
        <w:fldChar w:fldCharType="begin"/>
      </w:r>
      <w:r>
        <w:rPr>
          <w:noProof/>
        </w:rPr>
        <w:instrText xml:space="preserve"> SEQ Exhibit \* ARABIC </w:instrText>
      </w:r>
      <w:r>
        <w:rPr>
          <w:noProof/>
        </w:rPr>
        <w:fldChar w:fldCharType="separate"/>
      </w:r>
      <w:r w:rsidR="00672040">
        <w:rPr>
          <w:noProof/>
        </w:rPr>
        <w:t>14</w:t>
      </w:r>
      <w:r>
        <w:rPr>
          <w:noProof/>
        </w:rPr>
        <w:fldChar w:fldCharType="end"/>
      </w:r>
      <w:bookmarkEnd w:id="51"/>
      <w:r>
        <w:rPr>
          <w:noProof/>
        </w:rPr>
        <w:t>. Distribution of Cost</w:t>
      </w:r>
      <w:r w:rsidRPr="00A251BF">
        <w:rPr>
          <w:noProof/>
        </w:rPr>
        <w:t xml:space="preserve"> </w:t>
      </w:r>
      <w:r>
        <w:rPr>
          <w:noProof/>
        </w:rPr>
        <w:t>over the ICR Period</w:t>
      </w:r>
    </w:p>
    <w:tbl>
      <w:tblPr>
        <w:tblStyle w:val="TableGrid"/>
        <w:tblW w:w="9977" w:type="dxa"/>
        <w:tblLayout w:type="fixed"/>
        <w:tblLook w:val="04A0" w:firstRow="1" w:lastRow="0" w:firstColumn="1" w:lastColumn="0" w:noHBand="0" w:noVBand="1"/>
      </w:tblPr>
      <w:tblGrid>
        <w:gridCol w:w="2245"/>
        <w:gridCol w:w="1350"/>
        <w:gridCol w:w="1350"/>
        <w:gridCol w:w="1260"/>
        <w:gridCol w:w="1260"/>
        <w:gridCol w:w="1260"/>
        <w:gridCol w:w="1252"/>
      </w:tblGrid>
      <w:tr w:rsidRPr="00A04EFB" w:rsidR="00940C93" w:rsidTr="00940C93" w14:paraId="6D0D232F" w14:textId="77777777">
        <w:trPr>
          <w:trHeight w:val="300"/>
          <w:tblHeader/>
        </w:trPr>
        <w:tc>
          <w:tcPr>
            <w:tcW w:w="2245" w:type="dxa"/>
            <w:vMerge w:val="restart"/>
            <w:vAlign w:val="center"/>
          </w:tcPr>
          <w:bookmarkEnd w:id="52"/>
          <w:p w:rsidRPr="00A04EFB" w:rsidR="00940C93" w:rsidP="00AE14EF" w:rsidRDefault="00940C93" w14:paraId="7F2C2A5D" w14:textId="77777777">
            <w:pPr>
              <w:pStyle w:val="Table"/>
              <w:jc w:val="center"/>
              <w:rPr>
                <w:b/>
                <w:sz w:val="18"/>
              </w:rPr>
            </w:pPr>
            <w:r w:rsidRPr="00A04EFB">
              <w:rPr>
                <w:b/>
                <w:sz w:val="18"/>
              </w:rPr>
              <w:t>Requirement</w:t>
            </w:r>
          </w:p>
        </w:tc>
        <w:tc>
          <w:tcPr>
            <w:tcW w:w="3960" w:type="dxa"/>
            <w:gridSpan w:val="3"/>
            <w:vAlign w:val="center"/>
          </w:tcPr>
          <w:p w:rsidRPr="00A04EFB" w:rsidR="00940C93" w:rsidP="00AE14EF" w:rsidRDefault="00940C93" w14:paraId="5C623D00" w14:textId="77777777">
            <w:pPr>
              <w:pStyle w:val="Table"/>
              <w:jc w:val="center"/>
              <w:rPr>
                <w:b/>
                <w:sz w:val="18"/>
              </w:rPr>
            </w:pPr>
            <w:r>
              <w:rPr>
                <w:b/>
                <w:sz w:val="18"/>
              </w:rPr>
              <w:t>Low Cost Scenario</w:t>
            </w:r>
          </w:p>
        </w:tc>
        <w:tc>
          <w:tcPr>
            <w:tcW w:w="3772" w:type="dxa"/>
            <w:gridSpan w:val="3"/>
            <w:vAlign w:val="center"/>
          </w:tcPr>
          <w:p w:rsidRPr="00A04EFB" w:rsidR="00940C93" w:rsidP="00AE14EF" w:rsidRDefault="00940C93" w14:paraId="3FCB15B9" w14:textId="77777777">
            <w:pPr>
              <w:pStyle w:val="Table"/>
              <w:jc w:val="center"/>
              <w:rPr>
                <w:b/>
                <w:sz w:val="18"/>
              </w:rPr>
            </w:pPr>
            <w:r>
              <w:rPr>
                <w:b/>
                <w:sz w:val="18"/>
              </w:rPr>
              <w:t>High Cost Scenario</w:t>
            </w:r>
          </w:p>
        </w:tc>
      </w:tr>
      <w:tr w:rsidRPr="00A04EFB" w:rsidR="00940C93" w:rsidTr="00940C93" w14:paraId="44DD679E" w14:textId="77777777">
        <w:trPr>
          <w:trHeight w:val="300"/>
          <w:tblHeader/>
        </w:trPr>
        <w:tc>
          <w:tcPr>
            <w:tcW w:w="2245" w:type="dxa"/>
            <w:vMerge/>
            <w:vAlign w:val="center"/>
            <w:hideMark/>
          </w:tcPr>
          <w:p w:rsidRPr="00A04EFB" w:rsidR="00940C93" w:rsidP="00AE14EF" w:rsidRDefault="00940C93" w14:paraId="2C0BBF22" w14:textId="77777777">
            <w:pPr>
              <w:pStyle w:val="Table"/>
              <w:jc w:val="center"/>
              <w:rPr>
                <w:b/>
                <w:sz w:val="18"/>
              </w:rPr>
            </w:pPr>
          </w:p>
        </w:tc>
        <w:tc>
          <w:tcPr>
            <w:tcW w:w="1350" w:type="dxa"/>
            <w:vAlign w:val="center"/>
            <w:hideMark/>
          </w:tcPr>
          <w:p w:rsidRPr="00A04EFB" w:rsidR="00940C93" w:rsidP="00AE14EF" w:rsidRDefault="00940C93" w14:paraId="59B034F8" w14:textId="77777777">
            <w:pPr>
              <w:pStyle w:val="Table"/>
              <w:jc w:val="center"/>
              <w:rPr>
                <w:b/>
                <w:sz w:val="18"/>
              </w:rPr>
            </w:pPr>
            <w:r w:rsidRPr="00A04EFB">
              <w:rPr>
                <w:b/>
                <w:sz w:val="18"/>
              </w:rPr>
              <w:t>Year 1 Burden (hours)</w:t>
            </w:r>
          </w:p>
        </w:tc>
        <w:tc>
          <w:tcPr>
            <w:tcW w:w="1350" w:type="dxa"/>
            <w:vAlign w:val="center"/>
            <w:hideMark/>
          </w:tcPr>
          <w:p w:rsidRPr="00A04EFB" w:rsidR="00940C93" w:rsidP="00AE14EF" w:rsidRDefault="00940C93" w14:paraId="57ED0215" w14:textId="77777777">
            <w:pPr>
              <w:pStyle w:val="Table"/>
              <w:jc w:val="center"/>
              <w:rPr>
                <w:b/>
                <w:sz w:val="18"/>
              </w:rPr>
            </w:pPr>
            <w:r w:rsidRPr="00A04EFB">
              <w:rPr>
                <w:b/>
                <w:sz w:val="18"/>
              </w:rPr>
              <w:t>Year 2 Burden (hours)</w:t>
            </w:r>
          </w:p>
        </w:tc>
        <w:tc>
          <w:tcPr>
            <w:tcW w:w="1260" w:type="dxa"/>
            <w:vAlign w:val="center"/>
            <w:hideMark/>
          </w:tcPr>
          <w:p w:rsidRPr="00A04EFB" w:rsidR="00940C93" w:rsidP="00AE14EF" w:rsidRDefault="00940C93" w14:paraId="3A75C05D" w14:textId="77777777">
            <w:pPr>
              <w:pStyle w:val="Table"/>
              <w:jc w:val="center"/>
              <w:rPr>
                <w:b/>
                <w:sz w:val="18"/>
              </w:rPr>
            </w:pPr>
            <w:r w:rsidRPr="00A04EFB">
              <w:rPr>
                <w:b/>
                <w:sz w:val="18"/>
              </w:rPr>
              <w:t>Year 3 Burden (hours)</w:t>
            </w:r>
          </w:p>
        </w:tc>
        <w:tc>
          <w:tcPr>
            <w:tcW w:w="1260" w:type="dxa"/>
            <w:vAlign w:val="center"/>
          </w:tcPr>
          <w:p w:rsidRPr="00A04EFB" w:rsidR="00940C93" w:rsidP="00AE14EF" w:rsidRDefault="00940C93" w14:paraId="5261765E" w14:textId="77777777">
            <w:pPr>
              <w:pStyle w:val="Table"/>
              <w:jc w:val="center"/>
              <w:rPr>
                <w:b/>
                <w:sz w:val="18"/>
              </w:rPr>
            </w:pPr>
            <w:r w:rsidRPr="00A04EFB">
              <w:rPr>
                <w:b/>
                <w:sz w:val="18"/>
              </w:rPr>
              <w:t>Year 1 Burden (hours)</w:t>
            </w:r>
          </w:p>
        </w:tc>
        <w:tc>
          <w:tcPr>
            <w:tcW w:w="1260" w:type="dxa"/>
            <w:vAlign w:val="center"/>
          </w:tcPr>
          <w:p w:rsidRPr="00A04EFB" w:rsidR="00940C93" w:rsidP="00AE14EF" w:rsidRDefault="00940C93" w14:paraId="0006D20A" w14:textId="77777777">
            <w:pPr>
              <w:pStyle w:val="Table"/>
              <w:jc w:val="center"/>
              <w:rPr>
                <w:b/>
                <w:sz w:val="18"/>
              </w:rPr>
            </w:pPr>
            <w:r w:rsidRPr="00A04EFB">
              <w:rPr>
                <w:b/>
                <w:sz w:val="18"/>
              </w:rPr>
              <w:t>Year 2 Burden (hours)</w:t>
            </w:r>
          </w:p>
        </w:tc>
        <w:tc>
          <w:tcPr>
            <w:tcW w:w="1252" w:type="dxa"/>
            <w:vAlign w:val="center"/>
          </w:tcPr>
          <w:p w:rsidRPr="00A04EFB" w:rsidR="00940C93" w:rsidP="00AE14EF" w:rsidRDefault="00940C93" w14:paraId="20B46D9A" w14:textId="77777777">
            <w:pPr>
              <w:pStyle w:val="Table"/>
              <w:jc w:val="center"/>
              <w:rPr>
                <w:b/>
                <w:sz w:val="18"/>
              </w:rPr>
            </w:pPr>
            <w:r w:rsidRPr="00A04EFB">
              <w:rPr>
                <w:b/>
                <w:sz w:val="18"/>
              </w:rPr>
              <w:t>Year 3 Burden (hours)</w:t>
            </w:r>
          </w:p>
        </w:tc>
      </w:tr>
      <w:tr w:rsidRPr="00A04EFB" w:rsidR="00B056DF" w:rsidTr="00C412C6" w14:paraId="688CE7D9" w14:textId="77777777">
        <w:trPr>
          <w:trHeight w:val="540"/>
        </w:trPr>
        <w:tc>
          <w:tcPr>
            <w:tcW w:w="2245" w:type="dxa"/>
            <w:vAlign w:val="center"/>
            <w:hideMark/>
          </w:tcPr>
          <w:p w:rsidRPr="00A04EFB" w:rsidR="00B056DF" w:rsidP="00B056DF" w:rsidRDefault="00B056DF" w14:paraId="7CDCE220" w14:textId="77777777">
            <w:pPr>
              <w:pStyle w:val="Table"/>
              <w:rPr>
                <w:sz w:val="18"/>
              </w:rPr>
            </w:pPr>
            <w:r w:rsidRPr="00A04EFB">
              <w:rPr>
                <w:sz w:val="18"/>
              </w:rPr>
              <w:t>System start-up activities (read rule, assign staff, attend training)</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40DBDBA3" w14:textId="21487E66">
            <w:pPr>
              <w:pStyle w:val="Table"/>
              <w:ind w:right="-517"/>
              <w:jc w:val="right"/>
              <w:rPr>
                <w:sz w:val="18"/>
                <w:szCs w:val="18"/>
              </w:rPr>
            </w:pPr>
            <w:r>
              <w:rPr>
                <w:color w:val="000000"/>
                <w:sz w:val="18"/>
                <w:szCs w:val="18"/>
              </w:rPr>
              <w:t xml:space="preserve">$40,028,655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4D85D95A" w14:textId="466518E7">
            <w:pPr>
              <w:pStyle w:val="Table"/>
              <w:ind w:right="-559"/>
              <w:jc w:val="right"/>
              <w:rPr>
                <w:sz w:val="18"/>
                <w:szCs w:val="18"/>
              </w:rPr>
            </w:pPr>
            <w:r>
              <w:rPr>
                <w:color w:val="000000"/>
                <w:sz w:val="18"/>
                <w:szCs w:val="18"/>
              </w:rPr>
              <w:t xml:space="preserve">$0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22F02312" w14:textId="5882E7A1">
            <w:pPr>
              <w:pStyle w:val="Table"/>
              <w:ind w:right="-600"/>
              <w:jc w:val="right"/>
              <w:rPr>
                <w:sz w:val="18"/>
                <w:szCs w:val="18"/>
              </w:rPr>
            </w:pPr>
            <w:r>
              <w:rPr>
                <w:color w:val="000000"/>
                <w:sz w:val="18"/>
                <w:szCs w:val="18"/>
              </w:rPr>
              <w:t xml:space="preserve">$0 </w:t>
            </w:r>
          </w:p>
        </w:tc>
        <w:tc>
          <w:tcPr>
            <w:tcW w:w="126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717E270D" w14:textId="718652B8">
            <w:pPr>
              <w:pStyle w:val="Table"/>
              <w:jc w:val="right"/>
              <w:rPr>
                <w:sz w:val="18"/>
                <w:szCs w:val="18"/>
              </w:rPr>
            </w:pPr>
            <w:r>
              <w:rPr>
                <w:color w:val="000000"/>
                <w:sz w:val="18"/>
                <w:szCs w:val="18"/>
              </w:rPr>
              <w:t xml:space="preserve">$40,028,655 </w:t>
            </w:r>
          </w:p>
        </w:tc>
        <w:tc>
          <w:tcPr>
            <w:tcW w:w="126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0FAD22CC" w14:textId="776B0073">
            <w:pPr>
              <w:pStyle w:val="Table"/>
              <w:jc w:val="right"/>
              <w:rPr>
                <w:sz w:val="18"/>
                <w:szCs w:val="18"/>
              </w:rPr>
            </w:pPr>
            <w:r>
              <w:rPr>
                <w:color w:val="000000"/>
                <w:sz w:val="18"/>
                <w:szCs w:val="18"/>
              </w:rPr>
              <w:t xml:space="preserve">$0 </w:t>
            </w:r>
          </w:p>
        </w:tc>
        <w:tc>
          <w:tcPr>
            <w:tcW w:w="1252"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001CB65E" w14:textId="353D6F22">
            <w:pPr>
              <w:pStyle w:val="Table"/>
              <w:jc w:val="right"/>
              <w:rPr>
                <w:sz w:val="18"/>
                <w:szCs w:val="18"/>
              </w:rPr>
            </w:pPr>
            <w:r>
              <w:rPr>
                <w:color w:val="000000"/>
                <w:sz w:val="18"/>
                <w:szCs w:val="18"/>
              </w:rPr>
              <w:t xml:space="preserve">$0 </w:t>
            </w:r>
          </w:p>
        </w:tc>
      </w:tr>
      <w:tr w:rsidRPr="00A04EFB" w:rsidR="00B056DF" w:rsidTr="00C412C6" w14:paraId="4C758A57" w14:textId="77777777">
        <w:trPr>
          <w:trHeight w:val="540"/>
        </w:trPr>
        <w:tc>
          <w:tcPr>
            <w:tcW w:w="2245" w:type="dxa"/>
            <w:vAlign w:val="center"/>
            <w:hideMark/>
          </w:tcPr>
          <w:p w:rsidRPr="00A04EFB" w:rsidR="00B056DF" w:rsidP="00B056DF" w:rsidRDefault="00B056DF" w14:paraId="00A7566A" w14:textId="77777777">
            <w:pPr>
              <w:pStyle w:val="Table"/>
              <w:rPr>
                <w:sz w:val="18"/>
              </w:rPr>
            </w:pPr>
            <w:r>
              <w:rPr>
                <w:sz w:val="18"/>
              </w:rPr>
              <w:t>System</w:t>
            </w:r>
            <w:r w:rsidRPr="00A04EFB">
              <w:rPr>
                <w:sz w:val="18"/>
              </w:rPr>
              <w:t xml:space="preserve"> develop</w:t>
            </w:r>
            <w:r>
              <w:rPr>
                <w:sz w:val="18"/>
              </w:rPr>
              <w:t>s</w:t>
            </w:r>
            <w:r w:rsidRPr="00A04EFB">
              <w:rPr>
                <w:sz w:val="18"/>
              </w:rPr>
              <w:t xml:space="preserve"> lead service line inventory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2EAAD58F" w14:textId="13B15A9B">
            <w:pPr>
              <w:pStyle w:val="Table"/>
              <w:ind w:right="-517"/>
              <w:jc w:val="right"/>
              <w:rPr>
                <w:sz w:val="18"/>
                <w:szCs w:val="18"/>
              </w:rPr>
            </w:pPr>
            <w:r>
              <w:rPr>
                <w:color w:val="000000"/>
                <w:sz w:val="18"/>
                <w:szCs w:val="18"/>
              </w:rPr>
              <w:t xml:space="preserve">$5,323,474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6ACF9980" w14:textId="58A48D5A">
            <w:pPr>
              <w:pStyle w:val="Table"/>
              <w:ind w:right="-559"/>
              <w:jc w:val="right"/>
              <w:rPr>
                <w:sz w:val="18"/>
                <w:szCs w:val="18"/>
              </w:rPr>
            </w:pPr>
            <w:r>
              <w:rPr>
                <w:color w:val="000000"/>
                <w:sz w:val="18"/>
                <w:szCs w:val="18"/>
              </w:rPr>
              <w:t xml:space="preserve">$5,323,474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3940C4F0" w14:textId="28ECBC77">
            <w:pPr>
              <w:pStyle w:val="Table"/>
              <w:ind w:right="-600"/>
              <w:jc w:val="right"/>
              <w:rPr>
                <w:sz w:val="18"/>
                <w:szCs w:val="18"/>
              </w:rPr>
            </w:pPr>
            <w:r>
              <w:rPr>
                <w:color w:val="000000"/>
                <w:sz w:val="18"/>
                <w:szCs w:val="18"/>
              </w:rPr>
              <w:t xml:space="preserve">$5,323,474 </w:t>
            </w:r>
          </w:p>
        </w:tc>
        <w:tc>
          <w:tcPr>
            <w:tcW w:w="1260"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04D00FF8" w14:textId="2AE14C81">
            <w:pPr>
              <w:pStyle w:val="Table"/>
              <w:jc w:val="right"/>
              <w:rPr>
                <w:sz w:val="18"/>
                <w:szCs w:val="18"/>
              </w:rPr>
            </w:pPr>
            <w:r>
              <w:rPr>
                <w:color w:val="000000"/>
                <w:sz w:val="18"/>
                <w:szCs w:val="18"/>
              </w:rPr>
              <w:t xml:space="preserve">$6,938,828 </w:t>
            </w:r>
          </w:p>
        </w:tc>
        <w:tc>
          <w:tcPr>
            <w:tcW w:w="1260"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3D015C55" w14:textId="6E3D6920">
            <w:pPr>
              <w:pStyle w:val="Table"/>
              <w:jc w:val="right"/>
              <w:rPr>
                <w:sz w:val="18"/>
                <w:szCs w:val="18"/>
              </w:rPr>
            </w:pPr>
            <w:r>
              <w:rPr>
                <w:color w:val="000000"/>
                <w:sz w:val="18"/>
                <w:szCs w:val="18"/>
              </w:rPr>
              <w:t xml:space="preserve">$6,938,828 </w:t>
            </w:r>
          </w:p>
        </w:tc>
        <w:tc>
          <w:tcPr>
            <w:tcW w:w="1252" w:type="dxa"/>
            <w:tcBorders>
              <w:top w:val="nil"/>
              <w:left w:val="nil"/>
              <w:bottom w:val="single" w:color="auto" w:sz="8" w:space="0"/>
              <w:right w:val="single" w:color="auto" w:sz="8" w:space="0"/>
            </w:tcBorders>
            <w:shd w:val="clear" w:color="auto" w:fill="auto"/>
            <w:vAlign w:val="center"/>
          </w:tcPr>
          <w:p w:rsidRPr="00F73AC1" w:rsidR="00B056DF" w:rsidP="00B056DF" w:rsidRDefault="00B056DF" w14:paraId="78400E67" w14:textId="4C79D51D">
            <w:pPr>
              <w:pStyle w:val="Table"/>
              <w:jc w:val="right"/>
              <w:rPr>
                <w:sz w:val="18"/>
                <w:szCs w:val="18"/>
              </w:rPr>
            </w:pPr>
            <w:r>
              <w:rPr>
                <w:color w:val="000000"/>
                <w:sz w:val="18"/>
                <w:szCs w:val="18"/>
              </w:rPr>
              <w:t xml:space="preserve">$6,938,828 </w:t>
            </w:r>
          </w:p>
        </w:tc>
      </w:tr>
      <w:tr w:rsidRPr="00A04EFB" w:rsidR="00B056DF" w:rsidTr="00C412C6" w14:paraId="76F4DC87" w14:textId="77777777">
        <w:trPr>
          <w:trHeight w:val="540"/>
        </w:trPr>
        <w:tc>
          <w:tcPr>
            <w:tcW w:w="2245" w:type="dxa"/>
            <w:vAlign w:val="center"/>
            <w:hideMark/>
          </w:tcPr>
          <w:p w:rsidRPr="00A04EFB" w:rsidR="00B056DF" w:rsidP="00B056DF" w:rsidRDefault="00B056DF" w14:paraId="54490E6F" w14:textId="77777777">
            <w:pPr>
              <w:pStyle w:val="Table"/>
              <w:rPr>
                <w:sz w:val="18"/>
              </w:rPr>
            </w:pPr>
            <w:r w:rsidRPr="00A04EFB">
              <w:rPr>
                <w:sz w:val="18"/>
              </w:rPr>
              <w:t>System submit</w:t>
            </w:r>
            <w:r>
              <w:rPr>
                <w:sz w:val="18"/>
              </w:rPr>
              <w:t>s</w:t>
            </w:r>
            <w:r w:rsidRPr="00A04EFB">
              <w:rPr>
                <w:sz w:val="18"/>
              </w:rPr>
              <w:t xml:space="preserve"> a demonstration of no lead service lines</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11BBA892" w14:textId="69DD16F2">
            <w:pPr>
              <w:pStyle w:val="Table"/>
              <w:ind w:right="-517"/>
              <w:jc w:val="right"/>
              <w:rPr>
                <w:sz w:val="18"/>
                <w:szCs w:val="18"/>
              </w:rPr>
            </w:pPr>
            <w:r>
              <w:rPr>
                <w:color w:val="000000"/>
                <w:sz w:val="18"/>
                <w:szCs w:val="18"/>
              </w:rPr>
              <w:t xml:space="preserve">$4,827,176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673EA042" w14:textId="0B87A5BB">
            <w:pPr>
              <w:pStyle w:val="Table"/>
              <w:ind w:right="-559"/>
              <w:jc w:val="right"/>
              <w:rPr>
                <w:sz w:val="18"/>
                <w:szCs w:val="18"/>
              </w:rPr>
            </w:pPr>
            <w:r>
              <w:rPr>
                <w:color w:val="000000"/>
                <w:sz w:val="18"/>
                <w:szCs w:val="18"/>
              </w:rPr>
              <w:t xml:space="preserve">$4,827,176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6896FF28" w14:textId="54D42B9B">
            <w:pPr>
              <w:pStyle w:val="Table"/>
              <w:ind w:right="-600"/>
              <w:jc w:val="right"/>
              <w:rPr>
                <w:sz w:val="18"/>
                <w:szCs w:val="18"/>
              </w:rPr>
            </w:pPr>
            <w:r>
              <w:rPr>
                <w:color w:val="000000"/>
                <w:sz w:val="18"/>
                <w:szCs w:val="18"/>
              </w:rPr>
              <w:t xml:space="preserve">$4,827,176 </w:t>
            </w:r>
          </w:p>
        </w:tc>
        <w:tc>
          <w:tcPr>
            <w:tcW w:w="126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03C7930D" w14:textId="24FC102B">
            <w:pPr>
              <w:pStyle w:val="Table"/>
              <w:jc w:val="right"/>
              <w:rPr>
                <w:sz w:val="18"/>
                <w:szCs w:val="18"/>
              </w:rPr>
            </w:pPr>
            <w:r>
              <w:rPr>
                <w:color w:val="000000"/>
                <w:sz w:val="18"/>
                <w:szCs w:val="18"/>
              </w:rPr>
              <w:t xml:space="preserve">$4,457,878 </w:t>
            </w:r>
          </w:p>
        </w:tc>
        <w:tc>
          <w:tcPr>
            <w:tcW w:w="1260"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1A611452" w14:textId="5E57A26B">
            <w:pPr>
              <w:pStyle w:val="Table"/>
              <w:jc w:val="right"/>
              <w:rPr>
                <w:sz w:val="18"/>
                <w:szCs w:val="18"/>
              </w:rPr>
            </w:pPr>
            <w:r>
              <w:rPr>
                <w:color w:val="000000"/>
                <w:sz w:val="18"/>
                <w:szCs w:val="18"/>
              </w:rPr>
              <w:t xml:space="preserve">$4,457,878 </w:t>
            </w:r>
          </w:p>
        </w:tc>
        <w:tc>
          <w:tcPr>
            <w:tcW w:w="1252" w:type="dxa"/>
            <w:tcBorders>
              <w:top w:val="nil"/>
              <w:left w:val="nil"/>
              <w:bottom w:val="single" w:color="auto" w:sz="8" w:space="0"/>
              <w:right w:val="single" w:color="auto" w:sz="8" w:space="0"/>
            </w:tcBorders>
            <w:shd w:val="clear" w:color="auto" w:fill="auto"/>
            <w:vAlign w:val="center"/>
          </w:tcPr>
          <w:p w:rsidRPr="00CE2FCB" w:rsidR="00B056DF" w:rsidP="00B056DF" w:rsidRDefault="00B056DF" w14:paraId="195542EA" w14:textId="6577374D">
            <w:pPr>
              <w:pStyle w:val="Table"/>
              <w:jc w:val="right"/>
              <w:rPr>
                <w:sz w:val="18"/>
                <w:szCs w:val="18"/>
              </w:rPr>
            </w:pPr>
            <w:r>
              <w:rPr>
                <w:color w:val="000000"/>
                <w:sz w:val="18"/>
                <w:szCs w:val="18"/>
              </w:rPr>
              <w:t xml:space="preserve">$4,457,878 </w:t>
            </w:r>
          </w:p>
        </w:tc>
      </w:tr>
      <w:tr w:rsidRPr="00A04EFB" w:rsidR="00B056DF" w:rsidTr="00C412C6" w14:paraId="2063E57F" w14:textId="77777777">
        <w:trPr>
          <w:trHeight w:val="300"/>
        </w:trPr>
        <w:tc>
          <w:tcPr>
            <w:tcW w:w="2245" w:type="dxa"/>
            <w:vAlign w:val="center"/>
          </w:tcPr>
          <w:p w:rsidRPr="00CE2FCB" w:rsidR="00B056DF" w:rsidP="00B056DF" w:rsidRDefault="00B056DF" w14:paraId="2ABD18DC" w14:textId="77B6FFD7">
            <w:pPr>
              <w:pStyle w:val="Table"/>
              <w:rPr>
                <w:sz w:val="18"/>
              </w:rPr>
            </w:pPr>
            <w:r>
              <w:rPr>
                <w:sz w:val="18"/>
                <w:szCs w:val="18"/>
              </w:rPr>
              <w:t xml:space="preserve">System </w:t>
            </w:r>
            <w:r w:rsidRPr="00BF0D7A">
              <w:rPr>
                <w:sz w:val="18"/>
                <w:szCs w:val="18"/>
              </w:rPr>
              <w:t>confer</w:t>
            </w:r>
            <w:r>
              <w:rPr>
                <w:sz w:val="18"/>
                <w:szCs w:val="18"/>
              </w:rPr>
              <w:t>s</w:t>
            </w:r>
            <w:r w:rsidRPr="00BF0D7A">
              <w:rPr>
                <w:sz w:val="18"/>
                <w:szCs w:val="18"/>
              </w:rPr>
              <w:t xml:space="preserve"> with </w:t>
            </w:r>
            <w:r>
              <w:rPr>
                <w:sz w:val="18"/>
                <w:szCs w:val="18"/>
              </w:rPr>
              <w:t>primacy agency</w:t>
            </w:r>
            <w:r w:rsidRPr="00BF0D7A">
              <w:rPr>
                <w:sz w:val="18"/>
                <w:szCs w:val="18"/>
              </w:rPr>
              <w:t xml:space="preserve"> on initial planning for LSLR</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336F8677" w14:textId="4922E0E8">
            <w:pPr>
              <w:pStyle w:val="Table"/>
              <w:ind w:right="-517"/>
              <w:jc w:val="right"/>
              <w:rPr>
                <w:b/>
                <w:sz w:val="18"/>
                <w:szCs w:val="18"/>
              </w:rPr>
            </w:pPr>
            <w:r>
              <w:rPr>
                <w:color w:val="000000"/>
                <w:sz w:val="18"/>
                <w:szCs w:val="18"/>
              </w:rPr>
              <w:t xml:space="preserve">$2,355,331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58865533" w14:textId="58E43950">
            <w:pPr>
              <w:pStyle w:val="Table"/>
              <w:ind w:right="-559"/>
              <w:jc w:val="right"/>
              <w:rPr>
                <w:b/>
                <w:sz w:val="18"/>
                <w:szCs w:val="18"/>
              </w:rPr>
            </w:pPr>
            <w:r>
              <w:rPr>
                <w:color w:val="000000"/>
                <w:sz w:val="18"/>
                <w:szCs w:val="18"/>
              </w:rPr>
              <w:t xml:space="preserve">$2,355,331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tcPr>
          <w:p w:rsidRPr="004358ED" w:rsidR="00B056DF" w:rsidP="00B056DF" w:rsidRDefault="00B056DF" w14:paraId="347F7ACB" w14:textId="73222FE1">
            <w:pPr>
              <w:pStyle w:val="Table"/>
              <w:ind w:right="-600"/>
              <w:jc w:val="right"/>
              <w:rPr>
                <w:b/>
                <w:sz w:val="18"/>
                <w:szCs w:val="18"/>
              </w:rPr>
            </w:pPr>
            <w:r>
              <w:rPr>
                <w:color w:val="000000"/>
                <w:sz w:val="18"/>
                <w:szCs w:val="18"/>
              </w:rPr>
              <w:t xml:space="preserve">$2,355,331 </w:t>
            </w:r>
          </w:p>
        </w:tc>
        <w:tc>
          <w:tcPr>
            <w:tcW w:w="1260" w:type="dxa"/>
            <w:tcBorders>
              <w:top w:val="nil"/>
              <w:left w:val="nil"/>
              <w:bottom w:val="single" w:color="auto" w:sz="8" w:space="0"/>
              <w:right w:val="single" w:color="auto" w:sz="8" w:space="0"/>
            </w:tcBorders>
            <w:shd w:val="clear" w:color="auto" w:fill="auto"/>
            <w:vAlign w:val="center"/>
          </w:tcPr>
          <w:p w:rsidR="00B056DF" w:rsidP="00B056DF" w:rsidRDefault="00B056DF" w14:paraId="19967B7D" w14:textId="1E394D29">
            <w:pPr>
              <w:pStyle w:val="Table"/>
              <w:jc w:val="right"/>
              <w:rPr>
                <w:sz w:val="18"/>
                <w:szCs w:val="18"/>
              </w:rPr>
            </w:pPr>
            <w:r>
              <w:rPr>
                <w:color w:val="000000"/>
                <w:sz w:val="18"/>
                <w:szCs w:val="18"/>
              </w:rPr>
              <w:t xml:space="preserve">$3,055,666 </w:t>
            </w:r>
          </w:p>
        </w:tc>
        <w:tc>
          <w:tcPr>
            <w:tcW w:w="1260" w:type="dxa"/>
            <w:tcBorders>
              <w:top w:val="nil"/>
              <w:left w:val="nil"/>
              <w:bottom w:val="single" w:color="auto" w:sz="8" w:space="0"/>
              <w:right w:val="single" w:color="auto" w:sz="8" w:space="0"/>
            </w:tcBorders>
            <w:shd w:val="clear" w:color="auto" w:fill="auto"/>
            <w:vAlign w:val="center"/>
          </w:tcPr>
          <w:p w:rsidR="00B056DF" w:rsidP="00B056DF" w:rsidRDefault="00B056DF" w14:paraId="3D0C37A9" w14:textId="3D0FF630">
            <w:pPr>
              <w:pStyle w:val="Table"/>
              <w:jc w:val="right"/>
              <w:rPr>
                <w:sz w:val="18"/>
                <w:szCs w:val="18"/>
              </w:rPr>
            </w:pPr>
            <w:r>
              <w:rPr>
                <w:color w:val="000000"/>
                <w:sz w:val="18"/>
                <w:szCs w:val="18"/>
              </w:rPr>
              <w:t xml:space="preserve">$3,055,666 </w:t>
            </w:r>
          </w:p>
        </w:tc>
        <w:tc>
          <w:tcPr>
            <w:tcW w:w="1252" w:type="dxa"/>
            <w:tcBorders>
              <w:top w:val="nil"/>
              <w:left w:val="nil"/>
              <w:bottom w:val="single" w:color="auto" w:sz="8" w:space="0"/>
              <w:right w:val="single" w:color="auto" w:sz="8" w:space="0"/>
            </w:tcBorders>
            <w:shd w:val="clear" w:color="auto" w:fill="auto"/>
            <w:vAlign w:val="center"/>
          </w:tcPr>
          <w:p w:rsidR="00B056DF" w:rsidP="00B056DF" w:rsidRDefault="00B056DF" w14:paraId="18C032A7" w14:textId="2FA784AC">
            <w:pPr>
              <w:pStyle w:val="Table"/>
              <w:jc w:val="right"/>
              <w:rPr>
                <w:sz w:val="18"/>
                <w:szCs w:val="18"/>
              </w:rPr>
            </w:pPr>
            <w:r>
              <w:rPr>
                <w:color w:val="000000"/>
                <w:sz w:val="18"/>
                <w:szCs w:val="18"/>
              </w:rPr>
              <w:t xml:space="preserve">$3,055,666 </w:t>
            </w:r>
          </w:p>
        </w:tc>
      </w:tr>
      <w:tr w:rsidRPr="00A04EFB" w:rsidR="00B056DF" w:rsidTr="00C412C6" w14:paraId="17C1A00F" w14:textId="77777777">
        <w:trPr>
          <w:trHeight w:val="300"/>
        </w:trPr>
        <w:tc>
          <w:tcPr>
            <w:tcW w:w="2245" w:type="dxa"/>
            <w:vAlign w:val="center"/>
            <w:hideMark/>
          </w:tcPr>
          <w:p w:rsidRPr="00A04EFB" w:rsidR="00B056DF" w:rsidP="00B056DF" w:rsidRDefault="00B056DF" w14:paraId="3367EEC9" w14:textId="77777777">
            <w:pPr>
              <w:pStyle w:val="Table"/>
              <w:rPr>
                <w:b/>
                <w:sz w:val="18"/>
              </w:rPr>
            </w:pPr>
            <w:r w:rsidRPr="00A04EFB">
              <w:rPr>
                <w:b/>
                <w:sz w:val="18"/>
              </w:rPr>
              <w:t>System Subtotal</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354070F5" w14:textId="47887E11">
            <w:pPr>
              <w:pStyle w:val="Table"/>
              <w:ind w:right="-517"/>
              <w:jc w:val="right"/>
              <w:rPr>
                <w:b/>
                <w:sz w:val="18"/>
                <w:szCs w:val="18"/>
              </w:rPr>
            </w:pPr>
            <w:r>
              <w:rPr>
                <w:b/>
                <w:bCs/>
                <w:color w:val="000000"/>
                <w:sz w:val="18"/>
                <w:szCs w:val="18"/>
              </w:rPr>
              <w:t xml:space="preserve">$52,534,635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043A3BFA" w14:textId="2759C564">
            <w:pPr>
              <w:pStyle w:val="Table"/>
              <w:ind w:right="-559"/>
              <w:jc w:val="right"/>
              <w:rPr>
                <w:b/>
                <w:sz w:val="18"/>
                <w:szCs w:val="18"/>
              </w:rPr>
            </w:pPr>
            <w:r>
              <w:rPr>
                <w:b/>
                <w:bCs/>
                <w:color w:val="000000"/>
                <w:sz w:val="18"/>
                <w:szCs w:val="18"/>
              </w:rPr>
              <w:t xml:space="preserve">$12,505,980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hideMark/>
          </w:tcPr>
          <w:p w:rsidRPr="004358ED" w:rsidR="00B056DF" w:rsidP="00B056DF" w:rsidRDefault="00B056DF" w14:paraId="491B988C" w14:textId="37D8E83B">
            <w:pPr>
              <w:pStyle w:val="Table"/>
              <w:ind w:right="-600"/>
              <w:jc w:val="right"/>
              <w:rPr>
                <w:b/>
                <w:sz w:val="18"/>
                <w:szCs w:val="18"/>
              </w:rPr>
            </w:pPr>
            <w:r>
              <w:rPr>
                <w:b/>
                <w:bCs/>
                <w:color w:val="000000"/>
                <w:sz w:val="18"/>
                <w:szCs w:val="18"/>
              </w:rPr>
              <w:t xml:space="preserve">$12,505,980 </w:t>
            </w:r>
          </w:p>
        </w:tc>
        <w:tc>
          <w:tcPr>
            <w:tcW w:w="1260" w:type="dxa"/>
            <w:tcBorders>
              <w:top w:val="nil"/>
              <w:left w:val="nil"/>
              <w:bottom w:val="single" w:color="auto" w:sz="8" w:space="0"/>
              <w:right w:val="single" w:color="auto" w:sz="8" w:space="0"/>
            </w:tcBorders>
            <w:shd w:val="clear" w:color="auto" w:fill="auto"/>
            <w:vAlign w:val="center"/>
          </w:tcPr>
          <w:p w:rsidR="00B056DF" w:rsidP="00B056DF" w:rsidRDefault="00B056DF" w14:paraId="42B80B93" w14:textId="3F7B7C9A">
            <w:pPr>
              <w:pStyle w:val="Table"/>
              <w:jc w:val="right"/>
              <w:rPr>
                <w:b/>
                <w:sz w:val="18"/>
                <w:szCs w:val="18"/>
              </w:rPr>
            </w:pPr>
            <w:r>
              <w:rPr>
                <w:b/>
                <w:bCs/>
                <w:color w:val="000000"/>
                <w:sz w:val="18"/>
                <w:szCs w:val="18"/>
              </w:rPr>
              <w:t xml:space="preserve">$54,481,027 </w:t>
            </w:r>
          </w:p>
        </w:tc>
        <w:tc>
          <w:tcPr>
            <w:tcW w:w="1260" w:type="dxa"/>
            <w:tcBorders>
              <w:top w:val="nil"/>
              <w:left w:val="nil"/>
              <w:bottom w:val="single" w:color="auto" w:sz="8" w:space="0"/>
              <w:right w:val="single" w:color="auto" w:sz="8" w:space="0"/>
            </w:tcBorders>
            <w:shd w:val="clear" w:color="auto" w:fill="auto"/>
            <w:vAlign w:val="center"/>
          </w:tcPr>
          <w:p w:rsidR="00B056DF" w:rsidP="00B056DF" w:rsidRDefault="00B056DF" w14:paraId="29A0E2A4" w14:textId="5181F5BA">
            <w:pPr>
              <w:pStyle w:val="Table"/>
              <w:jc w:val="right"/>
              <w:rPr>
                <w:b/>
                <w:sz w:val="18"/>
                <w:szCs w:val="18"/>
              </w:rPr>
            </w:pPr>
            <w:r>
              <w:rPr>
                <w:b/>
                <w:bCs/>
                <w:color w:val="000000"/>
                <w:sz w:val="18"/>
                <w:szCs w:val="18"/>
              </w:rPr>
              <w:t xml:space="preserve">$14,452,372 </w:t>
            </w:r>
          </w:p>
        </w:tc>
        <w:tc>
          <w:tcPr>
            <w:tcW w:w="1252" w:type="dxa"/>
            <w:tcBorders>
              <w:top w:val="nil"/>
              <w:left w:val="nil"/>
              <w:bottom w:val="single" w:color="auto" w:sz="8" w:space="0"/>
              <w:right w:val="single" w:color="auto" w:sz="8" w:space="0"/>
            </w:tcBorders>
            <w:shd w:val="clear" w:color="auto" w:fill="auto"/>
            <w:vAlign w:val="center"/>
          </w:tcPr>
          <w:p w:rsidR="00B056DF" w:rsidP="00B056DF" w:rsidRDefault="00B056DF" w14:paraId="1C23780F" w14:textId="42140B20">
            <w:pPr>
              <w:pStyle w:val="Table"/>
              <w:jc w:val="right"/>
              <w:rPr>
                <w:b/>
                <w:sz w:val="18"/>
                <w:szCs w:val="18"/>
              </w:rPr>
            </w:pPr>
            <w:r>
              <w:rPr>
                <w:b/>
                <w:bCs/>
                <w:color w:val="000000"/>
                <w:sz w:val="18"/>
                <w:szCs w:val="18"/>
              </w:rPr>
              <w:t xml:space="preserve">$14,452,372 </w:t>
            </w:r>
          </w:p>
        </w:tc>
      </w:tr>
      <w:tr w:rsidRPr="00A04EFB" w:rsidR="006C0500" w:rsidTr="006C0500" w14:paraId="4A1B815E" w14:textId="77777777">
        <w:trPr>
          <w:trHeight w:val="804"/>
        </w:trPr>
        <w:tc>
          <w:tcPr>
            <w:tcW w:w="2245" w:type="dxa"/>
            <w:vAlign w:val="center"/>
            <w:hideMark/>
          </w:tcPr>
          <w:p w:rsidRPr="00A04EFB" w:rsidR="006C0500" w:rsidP="006C0500" w:rsidRDefault="006C0500" w14:paraId="7A26134C" w14:textId="0BB2ECD8">
            <w:pPr>
              <w:pStyle w:val="Table"/>
              <w:rPr>
                <w:sz w:val="18"/>
              </w:rPr>
            </w:pPr>
            <w:r>
              <w:rPr>
                <w:sz w:val="18"/>
              </w:rPr>
              <w:t>Primacy agency</w:t>
            </w:r>
            <w:r w:rsidRPr="00A04EFB">
              <w:rPr>
                <w:sz w:val="18"/>
              </w:rPr>
              <w:t xml:space="preserve"> start-up activities (adopt rule, modify data systems, provide training)</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21BF3F20" w14:textId="2269EB05">
            <w:pPr>
              <w:pStyle w:val="Table"/>
              <w:ind w:right="-517"/>
              <w:jc w:val="right"/>
              <w:rPr>
                <w:sz w:val="18"/>
                <w:szCs w:val="18"/>
              </w:rPr>
            </w:pPr>
            <w:r w:rsidRPr="006C0500">
              <w:rPr>
                <w:sz w:val="18"/>
                <w:szCs w:val="18"/>
              </w:rPr>
              <w:t xml:space="preserve">$7,616,125 </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40E5737C" w14:textId="5469DA89">
            <w:pPr>
              <w:pStyle w:val="Table"/>
              <w:ind w:right="-559"/>
              <w:jc w:val="right"/>
              <w:rPr>
                <w:sz w:val="18"/>
                <w:szCs w:val="18"/>
              </w:rPr>
            </w:pPr>
            <w:r w:rsidRPr="006C0500">
              <w:rPr>
                <w:sz w:val="18"/>
                <w:szCs w:val="18"/>
              </w:rPr>
              <w:t xml:space="preserve">$7,616,125 </w:t>
            </w:r>
          </w:p>
        </w:tc>
        <w:tc>
          <w:tcPr>
            <w:tcW w:w="126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3D8C331D" w14:textId="7BF18AB0">
            <w:pPr>
              <w:pStyle w:val="Table"/>
              <w:ind w:right="-600"/>
              <w:jc w:val="right"/>
              <w:rPr>
                <w:sz w:val="18"/>
                <w:szCs w:val="18"/>
              </w:rPr>
            </w:pPr>
            <w:r w:rsidRPr="006C0500">
              <w:rPr>
                <w:sz w:val="18"/>
                <w:szCs w:val="18"/>
              </w:rPr>
              <w:t xml:space="preserve">$7,616,125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4691BBEC" w14:textId="7C6288BB">
            <w:pPr>
              <w:pStyle w:val="Table"/>
              <w:jc w:val="right"/>
              <w:rPr>
                <w:sz w:val="18"/>
                <w:szCs w:val="18"/>
              </w:rPr>
            </w:pPr>
            <w:r w:rsidRPr="006C0500">
              <w:rPr>
                <w:sz w:val="18"/>
                <w:szCs w:val="18"/>
              </w:rPr>
              <w:t xml:space="preserve">$7,616,125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5FE32526" w14:textId="6B246571">
            <w:pPr>
              <w:pStyle w:val="Table"/>
              <w:jc w:val="right"/>
              <w:rPr>
                <w:sz w:val="18"/>
                <w:szCs w:val="18"/>
              </w:rPr>
            </w:pPr>
            <w:r w:rsidRPr="006C0500">
              <w:rPr>
                <w:sz w:val="18"/>
                <w:szCs w:val="18"/>
              </w:rPr>
              <w:t xml:space="preserve">$7,616,125 </w:t>
            </w:r>
          </w:p>
        </w:tc>
        <w:tc>
          <w:tcPr>
            <w:tcW w:w="1252" w:type="dxa"/>
            <w:tcBorders>
              <w:top w:val="nil"/>
              <w:left w:val="nil"/>
              <w:bottom w:val="single" w:color="auto" w:sz="8" w:space="0"/>
              <w:right w:val="single" w:color="auto" w:sz="8" w:space="0"/>
            </w:tcBorders>
            <w:shd w:val="clear" w:color="auto" w:fill="auto"/>
          </w:tcPr>
          <w:p w:rsidRPr="006C0500" w:rsidR="006C0500" w:rsidP="006C0500" w:rsidRDefault="006C0500" w14:paraId="28150988" w14:textId="6E549576">
            <w:pPr>
              <w:pStyle w:val="Table"/>
              <w:jc w:val="right"/>
              <w:rPr>
                <w:sz w:val="18"/>
                <w:szCs w:val="18"/>
              </w:rPr>
            </w:pPr>
            <w:r w:rsidRPr="006C0500">
              <w:rPr>
                <w:sz w:val="18"/>
                <w:szCs w:val="18"/>
              </w:rPr>
              <w:t xml:space="preserve">$7,616,125 </w:t>
            </w:r>
          </w:p>
        </w:tc>
      </w:tr>
      <w:tr w:rsidRPr="00A04EFB" w:rsidR="00B056DF" w:rsidTr="00C412C6" w14:paraId="61E40B03" w14:textId="77777777">
        <w:trPr>
          <w:trHeight w:val="804"/>
        </w:trPr>
        <w:tc>
          <w:tcPr>
            <w:tcW w:w="2245" w:type="dxa"/>
            <w:vAlign w:val="center"/>
          </w:tcPr>
          <w:p w:rsidRPr="00940C93" w:rsidR="00B056DF" w:rsidP="00B056DF" w:rsidRDefault="00B056DF" w14:paraId="1C3EE09F" w14:textId="2262B994">
            <w:pPr>
              <w:rPr>
                <w:rFonts w:ascii="Arial" w:hAnsi="Arial" w:cs="Arial"/>
                <w:sz w:val="18"/>
                <w:szCs w:val="18"/>
              </w:rPr>
            </w:pPr>
            <w:r>
              <w:rPr>
                <w:rFonts w:ascii="Arial" w:hAnsi="Arial" w:cs="Arial"/>
                <w:sz w:val="18"/>
                <w:szCs w:val="18"/>
              </w:rPr>
              <w:t>Primacy Agency assists with and reviews lead service line inventory</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333BF5B3" w14:textId="573EB0EE">
            <w:pPr>
              <w:pStyle w:val="Table"/>
              <w:ind w:right="-517"/>
              <w:jc w:val="right"/>
              <w:rPr>
                <w:color w:val="000000"/>
                <w:sz w:val="18"/>
                <w:szCs w:val="18"/>
              </w:rPr>
            </w:pPr>
            <w:r w:rsidRPr="006C0500">
              <w:rPr>
                <w:color w:val="000000"/>
                <w:sz w:val="18"/>
                <w:szCs w:val="18"/>
              </w:rPr>
              <w:t xml:space="preserve">$966,745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1E4DA7E0" w14:textId="49EE0352">
            <w:pPr>
              <w:pStyle w:val="Table"/>
              <w:ind w:right="-559"/>
              <w:jc w:val="right"/>
              <w:rPr>
                <w:color w:val="000000"/>
                <w:sz w:val="18"/>
                <w:szCs w:val="18"/>
              </w:rPr>
            </w:pPr>
            <w:r w:rsidRPr="006C0500">
              <w:rPr>
                <w:color w:val="000000"/>
                <w:sz w:val="18"/>
                <w:szCs w:val="18"/>
              </w:rPr>
              <w:t xml:space="preserve">$966,745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242DF9AB" w14:textId="32394583">
            <w:pPr>
              <w:pStyle w:val="Table"/>
              <w:ind w:right="-600"/>
              <w:jc w:val="right"/>
              <w:rPr>
                <w:color w:val="000000"/>
                <w:sz w:val="18"/>
                <w:szCs w:val="18"/>
              </w:rPr>
            </w:pPr>
            <w:r w:rsidRPr="006C0500">
              <w:rPr>
                <w:color w:val="000000"/>
                <w:sz w:val="18"/>
                <w:szCs w:val="18"/>
              </w:rPr>
              <w:t xml:space="preserve">$966,745 </w:t>
            </w:r>
          </w:p>
        </w:tc>
        <w:tc>
          <w:tcPr>
            <w:tcW w:w="1260"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12CFDEEE" w14:textId="775F68CC">
            <w:pPr>
              <w:pStyle w:val="Table"/>
              <w:jc w:val="right"/>
              <w:rPr>
                <w:color w:val="000000"/>
                <w:sz w:val="18"/>
                <w:szCs w:val="18"/>
              </w:rPr>
            </w:pPr>
            <w:r w:rsidRPr="006C0500">
              <w:rPr>
                <w:color w:val="000000"/>
                <w:sz w:val="18"/>
                <w:szCs w:val="18"/>
              </w:rPr>
              <w:t xml:space="preserve">$1,229,057 </w:t>
            </w:r>
          </w:p>
        </w:tc>
        <w:tc>
          <w:tcPr>
            <w:tcW w:w="1260"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4BA800B7" w14:textId="329468E2">
            <w:pPr>
              <w:pStyle w:val="Table"/>
              <w:jc w:val="right"/>
              <w:rPr>
                <w:color w:val="000000"/>
                <w:sz w:val="18"/>
                <w:szCs w:val="18"/>
              </w:rPr>
            </w:pPr>
            <w:r w:rsidRPr="006C0500">
              <w:rPr>
                <w:color w:val="000000"/>
                <w:sz w:val="18"/>
                <w:szCs w:val="18"/>
              </w:rPr>
              <w:t xml:space="preserve">$1,229,057 </w:t>
            </w:r>
          </w:p>
        </w:tc>
        <w:tc>
          <w:tcPr>
            <w:tcW w:w="1252"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0730456D" w14:textId="4839C263">
            <w:pPr>
              <w:pStyle w:val="Table"/>
              <w:jc w:val="right"/>
              <w:rPr>
                <w:color w:val="000000"/>
                <w:sz w:val="18"/>
                <w:szCs w:val="18"/>
              </w:rPr>
            </w:pPr>
            <w:r w:rsidRPr="006C0500">
              <w:rPr>
                <w:color w:val="000000"/>
                <w:sz w:val="18"/>
                <w:szCs w:val="18"/>
              </w:rPr>
              <w:t xml:space="preserve">$1,229,057 </w:t>
            </w:r>
          </w:p>
        </w:tc>
      </w:tr>
      <w:tr w:rsidRPr="00A04EFB" w:rsidR="006C0500" w:rsidTr="006C0500" w14:paraId="3129C503" w14:textId="77777777">
        <w:trPr>
          <w:trHeight w:val="540"/>
        </w:trPr>
        <w:tc>
          <w:tcPr>
            <w:tcW w:w="2245" w:type="dxa"/>
            <w:vAlign w:val="center"/>
            <w:hideMark/>
          </w:tcPr>
          <w:p w:rsidRPr="00A04EFB" w:rsidR="006C0500" w:rsidP="006C0500" w:rsidRDefault="006C0500" w14:paraId="04875693" w14:textId="77777777">
            <w:pPr>
              <w:pStyle w:val="Table"/>
              <w:rPr>
                <w:sz w:val="18"/>
              </w:rPr>
            </w:pPr>
            <w:r>
              <w:rPr>
                <w:sz w:val="18"/>
              </w:rPr>
              <w:t>Primacy agency</w:t>
            </w:r>
            <w:r w:rsidRPr="00A04EFB">
              <w:rPr>
                <w:sz w:val="18"/>
              </w:rPr>
              <w:t xml:space="preserve"> reviews demonstrations of no lead service lines</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5710E8C4" w14:textId="3DF6C1FC">
            <w:pPr>
              <w:pStyle w:val="Table"/>
              <w:ind w:right="-517"/>
              <w:jc w:val="right"/>
              <w:rPr>
                <w:sz w:val="18"/>
                <w:szCs w:val="18"/>
              </w:rPr>
            </w:pPr>
            <w:r w:rsidRPr="006C0500">
              <w:rPr>
                <w:sz w:val="18"/>
                <w:szCs w:val="18"/>
              </w:rPr>
              <w:t xml:space="preserve">$1,886,440 </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3EBE9D37" w14:textId="3E7CAC99">
            <w:pPr>
              <w:pStyle w:val="Table"/>
              <w:ind w:right="-559"/>
              <w:jc w:val="right"/>
              <w:rPr>
                <w:sz w:val="18"/>
                <w:szCs w:val="18"/>
              </w:rPr>
            </w:pPr>
            <w:r w:rsidRPr="006C0500">
              <w:rPr>
                <w:sz w:val="18"/>
                <w:szCs w:val="18"/>
              </w:rPr>
              <w:t xml:space="preserve">$1,886,440 </w:t>
            </w:r>
          </w:p>
        </w:tc>
        <w:tc>
          <w:tcPr>
            <w:tcW w:w="126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31A2240B" w14:textId="379EDFB9">
            <w:pPr>
              <w:pStyle w:val="Table"/>
              <w:ind w:right="-600"/>
              <w:jc w:val="right"/>
              <w:rPr>
                <w:sz w:val="18"/>
                <w:szCs w:val="18"/>
              </w:rPr>
            </w:pPr>
            <w:r w:rsidRPr="006C0500">
              <w:rPr>
                <w:sz w:val="18"/>
                <w:szCs w:val="18"/>
              </w:rPr>
              <w:t xml:space="preserve">$1,886,440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344D8467" w14:textId="64F99239">
            <w:pPr>
              <w:pStyle w:val="Table"/>
              <w:jc w:val="right"/>
              <w:rPr>
                <w:sz w:val="18"/>
                <w:szCs w:val="18"/>
              </w:rPr>
            </w:pPr>
            <w:r w:rsidRPr="006C0500">
              <w:rPr>
                <w:sz w:val="18"/>
                <w:szCs w:val="18"/>
              </w:rPr>
              <w:t xml:space="preserve">$1,797,489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1CDD250F" w14:textId="556B82A0">
            <w:pPr>
              <w:pStyle w:val="Table"/>
              <w:jc w:val="right"/>
              <w:rPr>
                <w:sz w:val="18"/>
                <w:szCs w:val="18"/>
              </w:rPr>
            </w:pPr>
            <w:r w:rsidRPr="006C0500">
              <w:rPr>
                <w:sz w:val="18"/>
                <w:szCs w:val="18"/>
              </w:rPr>
              <w:t xml:space="preserve">$1,797,489 </w:t>
            </w:r>
          </w:p>
        </w:tc>
        <w:tc>
          <w:tcPr>
            <w:tcW w:w="1252" w:type="dxa"/>
            <w:tcBorders>
              <w:top w:val="nil"/>
              <w:left w:val="nil"/>
              <w:bottom w:val="single" w:color="auto" w:sz="8" w:space="0"/>
              <w:right w:val="single" w:color="auto" w:sz="8" w:space="0"/>
            </w:tcBorders>
            <w:shd w:val="clear" w:color="auto" w:fill="auto"/>
          </w:tcPr>
          <w:p w:rsidRPr="006C0500" w:rsidR="006C0500" w:rsidP="006C0500" w:rsidRDefault="006C0500" w14:paraId="6AE3686B" w14:textId="187F1FE0">
            <w:pPr>
              <w:pStyle w:val="Table"/>
              <w:jc w:val="right"/>
              <w:rPr>
                <w:sz w:val="18"/>
                <w:szCs w:val="18"/>
              </w:rPr>
            </w:pPr>
            <w:r w:rsidRPr="006C0500">
              <w:rPr>
                <w:sz w:val="18"/>
                <w:szCs w:val="18"/>
              </w:rPr>
              <w:t xml:space="preserve">$1,797,489 </w:t>
            </w:r>
          </w:p>
        </w:tc>
      </w:tr>
      <w:tr w:rsidRPr="00A04EFB" w:rsidR="00B056DF" w:rsidTr="00C412C6" w14:paraId="620D1DC4" w14:textId="77777777">
        <w:trPr>
          <w:trHeight w:val="300"/>
        </w:trPr>
        <w:tc>
          <w:tcPr>
            <w:tcW w:w="2245" w:type="dxa"/>
            <w:vAlign w:val="center"/>
          </w:tcPr>
          <w:p w:rsidRPr="00A04EFB" w:rsidR="00B056DF" w:rsidP="00B056DF" w:rsidRDefault="00E23F91" w14:paraId="2A77CC8C" w14:textId="55942CE6">
            <w:pPr>
              <w:pStyle w:val="Table"/>
              <w:rPr>
                <w:b/>
                <w:sz w:val="18"/>
              </w:rPr>
            </w:pPr>
            <w:r>
              <w:rPr>
                <w:color w:val="000000"/>
                <w:sz w:val="18"/>
                <w:szCs w:val="18"/>
              </w:rPr>
              <w:t xml:space="preserve">Primacy agency </w:t>
            </w:r>
            <w:r w:rsidR="00B056DF">
              <w:rPr>
                <w:color w:val="000000"/>
                <w:sz w:val="18"/>
                <w:szCs w:val="18"/>
              </w:rPr>
              <w:t>confers on and reviews initial LSLR plan</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50EEE323" w14:textId="0F515D8D">
            <w:pPr>
              <w:pStyle w:val="Table"/>
              <w:ind w:right="-517"/>
              <w:jc w:val="right"/>
              <w:rPr>
                <w:b/>
                <w:sz w:val="18"/>
                <w:szCs w:val="18"/>
              </w:rPr>
            </w:pPr>
            <w:r w:rsidRPr="006C0500">
              <w:rPr>
                <w:color w:val="000000"/>
                <w:sz w:val="18"/>
                <w:szCs w:val="18"/>
              </w:rPr>
              <w:t xml:space="preserve">$2,066,898 </w:t>
            </w:r>
          </w:p>
        </w:tc>
        <w:tc>
          <w:tcPr>
            <w:tcW w:w="135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778C8C1B" w14:textId="78B69F36">
            <w:pPr>
              <w:pStyle w:val="Table"/>
              <w:ind w:right="-559"/>
              <w:jc w:val="right"/>
              <w:rPr>
                <w:b/>
                <w:sz w:val="18"/>
                <w:szCs w:val="18"/>
              </w:rPr>
            </w:pPr>
            <w:r w:rsidRPr="006C0500">
              <w:rPr>
                <w:color w:val="000000"/>
                <w:sz w:val="18"/>
                <w:szCs w:val="18"/>
              </w:rPr>
              <w:t xml:space="preserve">$2,066,898 </w:t>
            </w:r>
          </w:p>
        </w:tc>
        <w:tc>
          <w:tcPr>
            <w:tcW w:w="1260" w:type="dxa"/>
            <w:tcBorders>
              <w:top w:val="nil"/>
              <w:left w:val="nil"/>
              <w:bottom w:val="single" w:color="auto" w:sz="8" w:space="0"/>
              <w:right w:val="single" w:color="auto" w:sz="8" w:space="0"/>
            </w:tcBorders>
            <w:shd w:val="clear" w:color="auto" w:fill="auto"/>
            <w:tcMar>
              <w:left w:w="115" w:type="dxa"/>
              <w:right w:w="720" w:type="dxa"/>
            </w:tcMar>
            <w:vAlign w:val="center"/>
          </w:tcPr>
          <w:p w:rsidRPr="006C0500" w:rsidR="00B056DF" w:rsidP="00B056DF" w:rsidRDefault="00B056DF" w14:paraId="65E7D234" w14:textId="4EC63EE1">
            <w:pPr>
              <w:pStyle w:val="Table"/>
              <w:ind w:right="-600"/>
              <w:jc w:val="right"/>
              <w:rPr>
                <w:b/>
                <w:sz w:val="18"/>
                <w:szCs w:val="18"/>
              </w:rPr>
            </w:pPr>
            <w:r w:rsidRPr="006C0500">
              <w:rPr>
                <w:color w:val="000000"/>
                <w:sz w:val="18"/>
                <w:szCs w:val="18"/>
              </w:rPr>
              <w:t xml:space="preserve">$2,066,898 </w:t>
            </w:r>
          </w:p>
        </w:tc>
        <w:tc>
          <w:tcPr>
            <w:tcW w:w="1260"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09781266" w14:textId="5F111721">
            <w:pPr>
              <w:pStyle w:val="Table"/>
              <w:jc w:val="right"/>
              <w:rPr>
                <w:sz w:val="18"/>
                <w:szCs w:val="18"/>
              </w:rPr>
            </w:pPr>
            <w:r w:rsidRPr="006C0500">
              <w:rPr>
                <w:color w:val="000000"/>
                <w:sz w:val="18"/>
                <w:szCs w:val="18"/>
              </w:rPr>
              <w:t xml:space="preserve">$2,677,000 </w:t>
            </w:r>
          </w:p>
        </w:tc>
        <w:tc>
          <w:tcPr>
            <w:tcW w:w="1260"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5E66900B" w14:textId="03F9D8DA">
            <w:pPr>
              <w:pStyle w:val="Table"/>
              <w:jc w:val="right"/>
              <w:rPr>
                <w:sz w:val="18"/>
                <w:szCs w:val="18"/>
              </w:rPr>
            </w:pPr>
            <w:r w:rsidRPr="006C0500">
              <w:rPr>
                <w:color w:val="000000"/>
                <w:sz w:val="18"/>
                <w:szCs w:val="18"/>
              </w:rPr>
              <w:t xml:space="preserve">$2,677,000 </w:t>
            </w:r>
          </w:p>
        </w:tc>
        <w:tc>
          <w:tcPr>
            <w:tcW w:w="1252" w:type="dxa"/>
            <w:tcBorders>
              <w:top w:val="nil"/>
              <w:left w:val="nil"/>
              <w:bottom w:val="single" w:color="auto" w:sz="8" w:space="0"/>
              <w:right w:val="single" w:color="auto" w:sz="8" w:space="0"/>
            </w:tcBorders>
            <w:shd w:val="clear" w:color="auto" w:fill="auto"/>
            <w:vAlign w:val="center"/>
          </w:tcPr>
          <w:p w:rsidRPr="006C0500" w:rsidR="00B056DF" w:rsidP="00B056DF" w:rsidRDefault="00B056DF" w14:paraId="1FB0F0A8" w14:textId="6FC2D27A">
            <w:pPr>
              <w:pStyle w:val="Table"/>
              <w:jc w:val="right"/>
              <w:rPr>
                <w:sz w:val="18"/>
                <w:szCs w:val="18"/>
              </w:rPr>
            </w:pPr>
            <w:r w:rsidRPr="006C0500">
              <w:rPr>
                <w:color w:val="000000"/>
                <w:sz w:val="18"/>
                <w:szCs w:val="18"/>
              </w:rPr>
              <w:t xml:space="preserve">$2,677,000 </w:t>
            </w:r>
          </w:p>
        </w:tc>
      </w:tr>
      <w:tr w:rsidRPr="00A04EFB" w:rsidR="006C0500" w:rsidTr="006C0500" w14:paraId="719CB865" w14:textId="77777777">
        <w:trPr>
          <w:trHeight w:val="300"/>
        </w:trPr>
        <w:tc>
          <w:tcPr>
            <w:tcW w:w="2245" w:type="dxa"/>
            <w:vAlign w:val="center"/>
            <w:hideMark/>
          </w:tcPr>
          <w:p w:rsidRPr="00A04EFB" w:rsidR="006C0500" w:rsidP="006C0500" w:rsidRDefault="006C0500" w14:paraId="2C3BE602" w14:textId="77777777">
            <w:pPr>
              <w:pStyle w:val="Table"/>
              <w:rPr>
                <w:b/>
                <w:sz w:val="18"/>
              </w:rPr>
            </w:pPr>
            <w:r>
              <w:rPr>
                <w:b/>
                <w:sz w:val="18"/>
              </w:rPr>
              <w:t>Primacy Agency</w:t>
            </w:r>
            <w:r w:rsidRPr="00A04EFB">
              <w:rPr>
                <w:b/>
                <w:sz w:val="18"/>
              </w:rPr>
              <w:t xml:space="preserve"> Subtotal</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10F3B398" w14:textId="5FF68F7E">
            <w:pPr>
              <w:pStyle w:val="Table"/>
              <w:ind w:right="-517"/>
              <w:jc w:val="right"/>
              <w:rPr>
                <w:b/>
                <w:sz w:val="18"/>
                <w:szCs w:val="18"/>
              </w:rPr>
            </w:pPr>
            <w:r w:rsidRPr="006C0500">
              <w:rPr>
                <w:b/>
                <w:sz w:val="18"/>
                <w:szCs w:val="18"/>
              </w:rPr>
              <w:t xml:space="preserve">$12,536,209 </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703D9207" w14:textId="10EBBAAE">
            <w:pPr>
              <w:pStyle w:val="Table"/>
              <w:ind w:right="-559"/>
              <w:jc w:val="right"/>
              <w:rPr>
                <w:b/>
                <w:sz w:val="18"/>
                <w:szCs w:val="18"/>
              </w:rPr>
            </w:pPr>
            <w:r w:rsidRPr="006C0500">
              <w:rPr>
                <w:b/>
                <w:sz w:val="18"/>
                <w:szCs w:val="18"/>
              </w:rPr>
              <w:t xml:space="preserve">$12,536,209 </w:t>
            </w:r>
          </w:p>
        </w:tc>
        <w:tc>
          <w:tcPr>
            <w:tcW w:w="126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0517FF26" w14:textId="3E6559E3">
            <w:pPr>
              <w:pStyle w:val="Table"/>
              <w:ind w:right="-600"/>
              <w:jc w:val="right"/>
              <w:rPr>
                <w:b/>
                <w:sz w:val="18"/>
                <w:szCs w:val="18"/>
              </w:rPr>
            </w:pPr>
            <w:r w:rsidRPr="006C0500">
              <w:rPr>
                <w:b/>
                <w:sz w:val="18"/>
                <w:szCs w:val="18"/>
              </w:rPr>
              <w:t xml:space="preserve">$12,536,209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04A3F7CD" w14:textId="5136278A">
            <w:pPr>
              <w:pStyle w:val="Table"/>
              <w:jc w:val="right"/>
              <w:rPr>
                <w:b/>
                <w:sz w:val="18"/>
                <w:szCs w:val="18"/>
              </w:rPr>
            </w:pPr>
            <w:r w:rsidRPr="006C0500">
              <w:rPr>
                <w:b/>
                <w:sz w:val="18"/>
                <w:szCs w:val="18"/>
              </w:rPr>
              <w:t xml:space="preserve">$13,319,672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21662048" w14:textId="2597BD50">
            <w:pPr>
              <w:pStyle w:val="Table"/>
              <w:jc w:val="right"/>
              <w:rPr>
                <w:b/>
                <w:sz w:val="18"/>
                <w:szCs w:val="18"/>
              </w:rPr>
            </w:pPr>
            <w:r w:rsidRPr="006C0500">
              <w:rPr>
                <w:b/>
                <w:sz w:val="18"/>
                <w:szCs w:val="18"/>
              </w:rPr>
              <w:t xml:space="preserve">$13,319,672 </w:t>
            </w:r>
          </w:p>
        </w:tc>
        <w:tc>
          <w:tcPr>
            <w:tcW w:w="1252" w:type="dxa"/>
            <w:tcBorders>
              <w:top w:val="nil"/>
              <w:left w:val="nil"/>
              <w:bottom w:val="single" w:color="auto" w:sz="8" w:space="0"/>
              <w:right w:val="single" w:color="auto" w:sz="8" w:space="0"/>
            </w:tcBorders>
            <w:shd w:val="clear" w:color="auto" w:fill="auto"/>
          </w:tcPr>
          <w:p w:rsidRPr="006C0500" w:rsidR="006C0500" w:rsidP="006C0500" w:rsidRDefault="006C0500" w14:paraId="65F13575" w14:textId="49467A48">
            <w:pPr>
              <w:pStyle w:val="Table"/>
              <w:jc w:val="right"/>
              <w:rPr>
                <w:b/>
                <w:sz w:val="18"/>
                <w:szCs w:val="18"/>
              </w:rPr>
            </w:pPr>
            <w:r w:rsidRPr="006C0500">
              <w:rPr>
                <w:b/>
                <w:sz w:val="18"/>
                <w:szCs w:val="18"/>
              </w:rPr>
              <w:t xml:space="preserve">$13,319,672 </w:t>
            </w:r>
          </w:p>
        </w:tc>
      </w:tr>
      <w:tr w:rsidRPr="00A04EFB" w:rsidR="006C0500" w:rsidTr="006C0500" w14:paraId="36079BFC" w14:textId="77777777">
        <w:trPr>
          <w:trHeight w:val="300"/>
        </w:trPr>
        <w:tc>
          <w:tcPr>
            <w:tcW w:w="2245" w:type="dxa"/>
            <w:vAlign w:val="center"/>
            <w:hideMark/>
          </w:tcPr>
          <w:p w:rsidRPr="00A04EFB" w:rsidR="006C0500" w:rsidP="006C0500" w:rsidRDefault="006C0500" w14:paraId="245AF44D" w14:textId="77777777">
            <w:pPr>
              <w:pStyle w:val="Table"/>
              <w:rPr>
                <w:b/>
                <w:sz w:val="18"/>
              </w:rPr>
            </w:pPr>
            <w:r>
              <w:rPr>
                <w:b/>
                <w:sz w:val="18"/>
              </w:rPr>
              <w:t>Combined System</w:t>
            </w:r>
            <w:r w:rsidRPr="00A04EFB">
              <w:rPr>
                <w:b/>
                <w:sz w:val="18"/>
              </w:rPr>
              <w:t xml:space="preserve"> and </w:t>
            </w:r>
            <w:r>
              <w:rPr>
                <w:b/>
                <w:sz w:val="18"/>
              </w:rPr>
              <w:t>Primacy Agency Total</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505B0051" w14:textId="2FCDFC4A">
            <w:pPr>
              <w:pStyle w:val="Table"/>
              <w:ind w:right="-517"/>
              <w:jc w:val="right"/>
              <w:rPr>
                <w:b/>
                <w:sz w:val="18"/>
                <w:szCs w:val="18"/>
              </w:rPr>
            </w:pPr>
            <w:r w:rsidRPr="006C0500">
              <w:rPr>
                <w:b/>
                <w:sz w:val="18"/>
                <w:szCs w:val="18"/>
              </w:rPr>
              <w:t xml:space="preserve">$65,070,844 </w:t>
            </w:r>
          </w:p>
        </w:tc>
        <w:tc>
          <w:tcPr>
            <w:tcW w:w="135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4E28152B" w14:textId="0C547E73">
            <w:pPr>
              <w:pStyle w:val="Table"/>
              <w:ind w:right="-559"/>
              <w:jc w:val="right"/>
              <w:rPr>
                <w:b/>
                <w:sz w:val="18"/>
                <w:szCs w:val="18"/>
              </w:rPr>
            </w:pPr>
            <w:r w:rsidRPr="006C0500">
              <w:rPr>
                <w:b/>
                <w:sz w:val="18"/>
                <w:szCs w:val="18"/>
              </w:rPr>
              <w:t xml:space="preserve">$25,042,189 </w:t>
            </w:r>
          </w:p>
        </w:tc>
        <w:tc>
          <w:tcPr>
            <w:tcW w:w="1260" w:type="dxa"/>
            <w:tcBorders>
              <w:top w:val="nil"/>
              <w:left w:val="nil"/>
              <w:bottom w:val="single" w:color="auto" w:sz="8" w:space="0"/>
              <w:right w:val="single" w:color="auto" w:sz="8" w:space="0"/>
            </w:tcBorders>
            <w:shd w:val="clear" w:color="auto" w:fill="auto"/>
            <w:tcMar>
              <w:left w:w="115" w:type="dxa"/>
              <w:right w:w="720" w:type="dxa"/>
            </w:tcMar>
            <w:hideMark/>
          </w:tcPr>
          <w:p w:rsidRPr="006C0500" w:rsidR="006C0500" w:rsidP="006C0500" w:rsidRDefault="006C0500" w14:paraId="72C0E21E" w14:textId="2083B3E8">
            <w:pPr>
              <w:pStyle w:val="Table"/>
              <w:ind w:right="-600"/>
              <w:jc w:val="right"/>
              <w:rPr>
                <w:b/>
                <w:sz w:val="18"/>
                <w:szCs w:val="18"/>
              </w:rPr>
            </w:pPr>
            <w:r w:rsidRPr="006C0500">
              <w:rPr>
                <w:b/>
                <w:sz w:val="18"/>
                <w:szCs w:val="18"/>
              </w:rPr>
              <w:t xml:space="preserve">$25,042,189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6CAF8E62" w14:textId="599A67E0">
            <w:pPr>
              <w:pStyle w:val="Table"/>
              <w:jc w:val="right"/>
              <w:rPr>
                <w:b/>
                <w:sz w:val="18"/>
                <w:szCs w:val="18"/>
              </w:rPr>
            </w:pPr>
            <w:r w:rsidRPr="006C0500">
              <w:rPr>
                <w:b/>
                <w:sz w:val="18"/>
                <w:szCs w:val="18"/>
              </w:rPr>
              <w:t xml:space="preserve">$67,800,698 </w:t>
            </w:r>
          </w:p>
        </w:tc>
        <w:tc>
          <w:tcPr>
            <w:tcW w:w="1260" w:type="dxa"/>
            <w:tcBorders>
              <w:top w:val="nil"/>
              <w:left w:val="nil"/>
              <w:bottom w:val="single" w:color="auto" w:sz="8" w:space="0"/>
              <w:right w:val="single" w:color="auto" w:sz="8" w:space="0"/>
            </w:tcBorders>
            <w:shd w:val="clear" w:color="auto" w:fill="auto"/>
          </w:tcPr>
          <w:p w:rsidRPr="006C0500" w:rsidR="006C0500" w:rsidP="006C0500" w:rsidRDefault="006C0500" w14:paraId="25F63E9D" w14:textId="138FEA4C">
            <w:pPr>
              <w:pStyle w:val="Table"/>
              <w:jc w:val="right"/>
              <w:rPr>
                <w:b/>
                <w:sz w:val="18"/>
                <w:szCs w:val="18"/>
              </w:rPr>
            </w:pPr>
            <w:r w:rsidRPr="006C0500">
              <w:rPr>
                <w:b/>
                <w:sz w:val="18"/>
                <w:szCs w:val="18"/>
              </w:rPr>
              <w:t xml:space="preserve">$27,772,043 </w:t>
            </w:r>
          </w:p>
        </w:tc>
        <w:tc>
          <w:tcPr>
            <w:tcW w:w="1252" w:type="dxa"/>
            <w:tcBorders>
              <w:top w:val="nil"/>
              <w:left w:val="nil"/>
              <w:bottom w:val="single" w:color="auto" w:sz="8" w:space="0"/>
              <w:right w:val="single" w:color="auto" w:sz="8" w:space="0"/>
            </w:tcBorders>
            <w:shd w:val="clear" w:color="auto" w:fill="auto"/>
          </w:tcPr>
          <w:p w:rsidRPr="006C0500" w:rsidR="006C0500" w:rsidP="006C0500" w:rsidRDefault="006C0500" w14:paraId="72CCCDFF" w14:textId="131C2AFF">
            <w:pPr>
              <w:pStyle w:val="Table"/>
              <w:jc w:val="right"/>
              <w:rPr>
                <w:b/>
                <w:sz w:val="18"/>
                <w:szCs w:val="18"/>
              </w:rPr>
            </w:pPr>
            <w:r w:rsidRPr="006C0500">
              <w:rPr>
                <w:b/>
                <w:sz w:val="18"/>
                <w:szCs w:val="18"/>
              </w:rPr>
              <w:t xml:space="preserve">$27,772,043 </w:t>
            </w:r>
          </w:p>
        </w:tc>
      </w:tr>
    </w:tbl>
    <w:p w:rsidR="00C5374C" w:rsidP="00C5374C" w:rsidRDefault="00C5374C" w14:paraId="72FCC7F5" w14:textId="77777777"/>
    <w:p w:rsidR="00282040" w:rsidP="00282040" w:rsidRDefault="00282040" w14:paraId="668FF8EA" w14:textId="77777777">
      <w:pPr>
        <w:pStyle w:val="Heading1"/>
      </w:pPr>
      <w:r>
        <w:t>6(f)</w:t>
      </w:r>
      <w:r>
        <w:tab/>
        <w:t>Reasons for Change in Burden</w:t>
      </w:r>
    </w:p>
    <w:p w:rsidR="00FC69EB" w:rsidP="00FC69EB" w:rsidRDefault="00CF00D6" w14:paraId="3C4D0D0A" w14:textId="77777777">
      <w:pPr>
        <w:pStyle w:val="NormalIndent"/>
      </w:pPr>
      <w:r w:rsidRPr="00C16859">
        <w:t xml:space="preserve">The </w:t>
      </w:r>
      <w:r w:rsidR="00824955">
        <w:t>LCR</w:t>
      </w:r>
      <w:r w:rsidRPr="00C16859">
        <w:t xml:space="preserve"> Revisions are </w:t>
      </w:r>
      <w:r w:rsidRPr="00EC602C">
        <w:t xml:space="preserve">intended to strengthen the implementation of the LCR in the areas of CCT, customer awareness, and LSL replacement. </w:t>
      </w:r>
      <w:r w:rsidRPr="00C16859">
        <w:t xml:space="preserve">The changes are expected to ensure and enhance </w:t>
      </w:r>
      <w:r>
        <w:t>the</w:t>
      </w:r>
      <w:r w:rsidRPr="00C16859">
        <w:t xml:space="preserve"> protection of public health through the reduction in lead exposure</w:t>
      </w:r>
      <w:r>
        <w:t xml:space="preserve"> in drinking water</w:t>
      </w:r>
      <w:r w:rsidRPr="00C16859">
        <w:t xml:space="preserve">. </w:t>
      </w:r>
      <w:r w:rsidR="00824955">
        <w:t xml:space="preserve">The </w:t>
      </w:r>
      <w:r w:rsidRPr="00423550">
        <w:t xml:space="preserve">EPA needs comprehensive and current information on lead and copper </w:t>
      </w:r>
      <w:r>
        <w:t>exposure</w:t>
      </w:r>
      <w:r w:rsidRPr="00423550">
        <w:t xml:space="preserve"> and associated enforcement activities to implement its program oversight and enforcement responsibilities mandated by </w:t>
      </w:r>
      <w:r w:rsidRPr="00824A88">
        <w:t>the SDWA.</w:t>
      </w:r>
      <w:r w:rsidRPr="00423550">
        <w:t xml:space="preserve"> </w:t>
      </w:r>
      <w:r w:rsidR="00E604CC">
        <w:t>Primacy agencies</w:t>
      </w:r>
      <w:r w:rsidRPr="00423550">
        <w:t xml:space="preserve"> </w:t>
      </w:r>
      <w:r>
        <w:t>need the information to</w:t>
      </w:r>
      <w:r w:rsidRPr="00423550">
        <w:t xml:space="preserve"> identify significant contaminant concentrations that might threaten the health and safety of drinking water consumers</w:t>
      </w:r>
      <w:r>
        <w:t xml:space="preserve"> </w:t>
      </w:r>
      <w:r w:rsidRPr="00423550">
        <w:t>in a timely fashion</w:t>
      </w:r>
      <w:r>
        <w:t>.</w:t>
      </w:r>
      <w:r w:rsidR="00E44E90">
        <w:t xml:space="preserve"> </w:t>
      </w:r>
    </w:p>
    <w:p w:rsidR="00CF00D6" w:rsidP="00FC69EB" w:rsidRDefault="00E44E90" w14:paraId="72F9FEEA" w14:textId="7645B4D9">
      <w:pPr>
        <w:pStyle w:val="NormalIndent"/>
      </w:pPr>
      <w:r>
        <w:t xml:space="preserve">Over the next </w:t>
      </w:r>
      <w:r w:rsidR="00665DB7">
        <w:t>three</w:t>
      </w:r>
      <w:r>
        <w:t xml:space="preserve"> years, the Long-Term Revisions would require respondents to undertake additional one-time actions beyond those in the </w:t>
      </w:r>
      <w:r w:rsidRPr="00726D43" w:rsidR="00726D43">
        <w:t xml:space="preserve">ICR entitled </w:t>
      </w:r>
      <w:r w:rsidRPr="00726D43" w:rsidR="00726D43">
        <w:rPr>
          <w:i/>
        </w:rPr>
        <w:t>Disinfectants/Disinfection Byproducts, Chemical, and Radionuclides Rules</w:t>
      </w:r>
      <w:r w:rsidRPr="00726D43" w:rsidR="00726D43">
        <w:t xml:space="preserve"> (</w:t>
      </w:r>
      <w:r w:rsidR="00C347D7">
        <w:t>2015 ICR and extensions</w:t>
      </w:r>
      <w:r w:rsidRPr="00726D43" w:rsidR="00726D43">
        <w:t>, OMB control number 2040-020</w:t>
      </w:r>
      <w:r w:rsidR="00562B44">
        <w:t>4</w:t>
      </w:r>
      <w:r w:rsidRPr="00726D43" w:rsidR="00726D43">
        <w:t>)</w:t>
      </w:r>
      <w:r w:rsidR="00665DB7">
        <w:t xml:space="preserve">. These one-time actions would increase burden by </w:t>
      </w:r>
      <w:r w:rsidR="00E279AE">
        <w:t>approximately</w:t>
      </w:r>
      <w:r w:rsidR="00F85D41">
        <w:t xml:space="preserve"> 1.</w:t>
      </w:r>
      <w:r w:rsidR="006C0500">
        <w:t>06</w:t>
      </w:r>
      <w:r w:rsidR="00F85D41">
        <w:t xml:space="preserve"> to 1.</w:t>
      </w:r>
      <w:r w:rsidR="006C0500">
        <w:t>13</w:t>
      </w:r>
      <w:r w:rsidR="00F85D41">
        <w:t xml:space="preserve"> </w:t>
      </w:r>
      <w:r w:rsidR="00E279AE">
        <w:t xml:space="preserve">million </w:t>
      </w:r>
      <w:r w:rsidRPr="004568E3" w:rsidR="00E279AE">
        <w:t>hours and</w:t>
      </w:r>
      <w:r w:rsidR="00F85D41">
        <w:t xml:space="preserve"> $</w:t>
      </w:r>
      <w:r w:rsidR="006C0500">
        <w:t>38.4</w:t>
      </w:r>
      <w:r w:rsidR="00F85D41">
        <w:t xml:space="preserve"> to $</w:t>
      </w:r>
      <w:r w:rsidR="006C0500">
        <w:t>41.1</w:t>
      </w:r>
      <w:r w:rsidR="005378A1">
        <w:t xml:space="preserve"> </w:t>
      </w:r>
      <w:r w:rsidRPr="004568E3" w:rsidR="00E279AE">
        <w:t>million</w:t>
      </w:r>
      <w:r w:rsidR="00E279AE">
        <w:t xml:space="preserve"> annually over the next three years.</w:t>
      </w:r>
    </w:p>
    <w:p w:rsidR="00282040" w:rsidP="00282040" w:rsidRDefault="00282040" w14:paraId="7BB53F61" w14:textId="77777777">
      <w:pPr>
        <w:pStyle w:val="Heading1"/>
      </w:pPr>
      <w:r>
        <w:lastRenderedPageBreak/>
        <w:t>6(g)</w:t>
      </w:r>
      <w:r>
        <w:tab/>
        <w:t>Burden Statement</w:t>
      </w:r>
    </w:p>
    <w:p w:rsidR="00D75BD8" w:rsidP="00D75BD8" w:rsidRDefault="00F4058C" w14:paraId="734D6D7D" w14:textId="391FECD6">
      <w:pPr>
        <w:pStyle w:val="NormalIndent"/>
      </w:pPr>
      <w:r>
        <w:fldChar w:fldCharType="begin"/>
      </w:r>
      <w:r>
        <w:instrText xml:space="preserve"> REF _Ref4507444 \h </w:instrText>
      </w:r>
      <w:r>
        <w:fldChar w:fldCharType="separate"/>
      </w:r>
      <w:r w:rsidR="00E279AE">
        <w:t xml:space="preserve">Exhibit </w:t>
      </w:r>
      <w:r w:rsidR="00E279AE">
        <w:rPr>
          <w:noProof/>
        </w:rPr>
        <w:t>11</w:t>
      </w:r>
      <w:r>
        <w:fldChar w:fldCharType="end"/>
      </w:r>
      <w:r>
        <w:t xml:space="preserve"> presents the public reporting burden associated with this ICR. </w:t>
      </w:r>
      <w:r w:rsidR="00D75BD8">
        <w:t xml:space="preserve">For the first three years after the final rule </w:t>
      </w:r>
      <w:r w:rsidRPr="0027631A" w:rsidR="00D75BD8">
        <w:t>is</w:t>
      </w:r>
      <w:r w:rsidR="00D75BD8">
        <w:t xml:space="preserve"> published</w:t>
      </w:r>
      <w:r w:rsidRPr="00847F36" w:rsidR="00D75BD8">
        <w:t xml:space="preserve">, </w:t>
      </w:r>
      <w:r w:rsidR="00A14CFC">
        <w:t>the average burden associated w</w:t>
      </w:r>
      <w:r w:rsidR="00E279AE">
        <w:t>ith this ICR is estimated to be</w:t>
      </w:r>
      <w:r w:rsidR="00C412C6">
        <w:t xml:space="preserve"> </w:t>
      </w:r>
      <w:r w:rsidR="006C0500">
        <w:t xml:space="preserve">1,057,025 to </w:t>
      </w:r>
      <w:r w:rsidRPr="006C0500" w:rsidR="006C0500">
        <w:t>1,129,340</w:t>
      </w:r>
      <w:r w:rsidRPr="00C412C6" w:rsidR="00C412C6">
        <w:t xml:space="preserve"> </w:t>
      </w:r>
      <w:r w:rsidR="00E279AE">
        <w:t>burden hours per year. The corresponding total respondent costs are estimated to be</w:t>
      </w:r>
      <w:r w:rsidR="00C412C6">
        <w:t xml:space="preserve"> </w:t>
      </w:r>
      <w:r w:rsidR="006C0500">
        <w:t xml:space="preserve">$38,385,074 to </w:t>
      </w:r>
      <w:r w:rsidRPr="006C0500" w:rsidR="006C0500">
        <w:t xml:space="preserve">$41,114,928 </w:t>
      </w:r>
      <w:r w:rsidR="00E279AE">
        <w:rPr>
          <w:szCs w:val="24"/>
        </w:rPr>
        <w:t>per year</w:t>
      </w:r>
      <w:r w:rsidR="00E279AE">
        <w:t xml:space="preserve">. </w:t>
      </w:r>
      <w:r w:rsidRPr="00663BE6" w:rsidR="00E279AE">
        <w:t>EPA estimates the respondent burden for PWSs to be</w:t>
      </w:r>
      <w:r w:rsidR="00C412C6">
        <w:t xml:space="preserve"> </w:t>
      </w:r>
      <w:r w:rsidR="006C0500">
        <w:t xml:space="preserve">838,014 to </w:t>
      </w:r>
      <w:r w:rsidRPr="006C0500" w:rsidR="006C0500">
        <w:t xml:space="preserve">896,641 </w:t>
      </w:r>
      <w:r w:rsidRPr="00663BE6" w:rsidR="00E279AE">
        <w:t>hours</w:t>
      </w:r>
      <w:r w:rsidR="00E279AE">
        <w:t xml:space="preserve"> per year</w:t>
      </w:r>
      <w:r w:rsidRPr="00663BE6" w:rsidR="00E279AE">
        <w:t>.</w:t>
      </w:r>
      <w:r w:rsidR="00E279AE">
        <w:t xml:space="preserve"> </w:t>
      </w:r>
      <w:r w:rsidRPr="00663BE6" w:rsidR="00E279AE">
        <w:t>Respondent costs for PWSs are estimated to be</w:t>
      </w:r>
      <w:r w:rsidRPr="00C412C6" w:rsidR="00C412C6">
        <w:t xml:space="preserve"> </w:t>
      </w:r>
      <w:r w:rsidR="006C0500">
        <w:t xml:space="preserve">$25,848,865 to </w:t>
      </w:r>
      <w:r w:rsidRPr="006C0500" w:rsidR="006C0500">
        <w:t>$27,795,257</w:t>
      </w:r>
      <w:r w:rsidRPr="00C412C6" w:rsidR="00C412C6">
        <w:t xml:space="preserve"> </w:t>
      </w:r>
      <w:r w:rsidR="00E279AE">
        <w:rPr>
          <w:szCs w:val="24"/>
        </w:rPr>
        <w:t>per year</w:t>
      </w:r>
      <w:r w:rsidR="00E279AE">
        <w:t xml:space="preserve">. </w:t>
      </w:r>
      <w:r w:rsidRPr="00663BE6" w:rsidR="00E279AE">
        <w:t xml:space="preserve">The Agency estimates that the respondent burden for </w:t>
      </w:r>
      <w:r w:rsidR="00E279AE">
        <w:t>primacy agencies is</w:t>
      </w:r>
      <w:r w:rsidR="00C412C6">
        <w:t xml:space="preserve"> </w:t>
      </w:r>
      <w:r w:rsidR="006C0500">
        <w:t xml:space="preserve">219,011 to </w:t>
      </w:r>
      <w:r w:rsidRPr="006C0500" w:rsidR="006C0500">
        <w:t>232,699</w:t>
      </w:r>
      <w:r w:rsidRPr="00C412C6" w:rsidR="00C412C6">
        <w:t xml:space="preserve"> </w:t>
      </w:r>
      <w:r w:rsidRPr="00663BE6" w:rsidR="00E279AE">
        <w:t>hours</w:t>
      </w:r>
      <w:r w:rsidR="00E279AE">
        <w:t xml:space="preserve"> per year. </w:t>
      </w:r>
      <w:r w:rsidRPr="00663BE6" w:rsidR="00E279AE">
        <w:t xml:space="preserve">The corresponding respondent costs for </w:t>
      </w:r>
      <w:r w:rsidR="00E279AE">
        <w:t>primacy agencies</w:t>
      </w:r>
      <w:r w:rsidRPr="00663BE6" w:rsidR="00E279AE">
        <w:t xml:space="preserve"> are estimated to be</w:t>
      </w:r>
      <w:r w:rsidR="00C412C6">
        <w:t xml:space="preserve"> </w:t>
      </w:r>
      <w:r w:rsidR="006C0500">
        <w:t xml:space="preserve">$12,536,209 to </w:t>
      </w:r>
      <w:r w:rsidRPr="006C0500" w:rsidR="006C0500">
        <w:t xml:space="preserve">$13,319,672 </w:t>
      </w:r>
      <w:r w:rsidR="00E279AE">
        <w:t>per year</w:t>
      </w:r>
      <w:r w:rsidRPr="00663BE6" w:rsidR="00E279AE">
        <w:t>.</w:t>
      </w:r>
      <w:r w:rsidR="00E279AE">
        <w:t xml:space="preserve"> </w:t>
      </w:r>
      <w:r w:rsidR="00D75BD8">
        <w:t xml:space="preserve">The rule implementation and startup activities are assumed to occur in the first year while the implementation of the lead service line inventory is distributed over the first three years. There is no Agency burden or cost except where the Agency acts as </w:t>
      </w:r>
      <w:r w:rsidR="00CB0667">
        <w:t>the</w:t>
      </w:r>
      <w:r w:rsidR="00D75BD8">
        <w:t xml:space="preserve"> primacy agency.</w:t>
      </w:r>
      <w:r w:rsidR="00C45A4F">
        <w:t xml:space="preserve"> The ranges reflect estimates for the low cost and high cost scenarios described in Section 1(b).</w:t>
      </w:r>
      <w:r w:rsidR="00C25FB6">
        <w:rPr>
          <w:rStyle w:val="FootnoteReference"/>
        </w:rPr>
        <w:footnoteReference w:id="17"/>
      </w:r>
    </w:p>
    <w:p w:rsidR="00353D5B" w:rsidP="00353D5B" w:rsidRDefault="00D75BD8" w14:paraId="7C6E3AFC" w14:textId="77777777">
      <w:pPr>
        <w:pStyle w:val="NormalIndent"/>
      </w:pPr>
      <w:r>
        <w:t xml:space="preserve">The total number of respondents for this ICR is 67,712. Fifty-six of these respondents are primacy agencies and the remaining 67,656 respondents are water systems. </w:t>
      </w:r>
    </w:p>
    <w:p w:rsidR="002A5BD2" w:rsidP="002A5BD2" w:rsidRDefault="00C70EB2" w14:paraId="2BD9C903" w14:textId="7E017145">
      <w:pPr>
        <w:pStyle w:val="NormalIndent"/>
      </w:pPr>
      <w:r>
        <w:t>The total number of responses for these respondents is</w:t>
      </w:r>
      <w:r w:rsidR="00C412C6">
        <w:t xml:space="preserve"> </w:t>
      </w:r>
      <w:r w:rsidRPr="00C412C6" w:rsidR="00C412C6">
        <w:t>346,164</w:t>
      </w:r>
      <w:r w:rsidR="00C412C6">
        <w:t xml:space="preserve"> to </w:t>
      </w:r>
      <w:r w:rsidRPr="00C412C6" w:rsidR="00C412C6">
        <w:t>351,796</w:t>
      </w:r>
      <w:r w:rsidR="00C412C6">
        <w:t xml:space="preserve"> </w:t>
      </w:r>
      <w:r w:rsidR="004718E8">
        <w:t>with</w:t>
      </w:r>
      <w:r w:rsidR="00C412C6">
        <w:t xml:space="preserve"> </w:t>
      </w:r>
      <w:r w:rsidRPr="00C412C6" w:rsidR="00C412C6">
        <w:t>274,454</w:t>
      </w:r>
      <w:r w:rsidR="00C412C6">
        <w:t xml:space="preserve"> to </w:t>
      </w:r>
      <w:r w:rsidRPr="00C412C6" w:rsidR="00C412C6">
        <w:t>277,270</w:t>
      </w:r>
      <w:r w:rsidR="00C412C6">
        <w:t xml:space="preserve"> </w:t>
      </w:r>
      <w:r>
        <w:t xml:space="preserve">responses </w:t>
      </w:r>
      <w:r w:rsidRPr="00C16859">
        <w:t>for water systems and</w:t>
      </w:r>
      <w:r w:rsidR="00C412C6">
        <w:t xml:space="preserve"> 71,710 to </w:t>
      </w:r>
      <w:r w:rsidRPr="00C412C6" w:rsidR="00C412C6">
        <w:t>74,526</w:t>
      </w:r>
      <w:r w:rsidR="00C412C6">
        <w:t xml:space="preserve"> </w:t>
      </w:r>
      <w:r>
        <w:t xml:space="preserve">responses </w:t>
      </w:r>
      <w:r w:rsidRPr="00C16859">
        <w:t>for primacy agencies.</w:t>
      </w:r>
      <w:r>
        <w:t xml:space="preserve"> The average burden per response is</w:t>
      </w:r>
      <w:r w:rsidR="00C412C6">
        <w:t xml:space="preserve"> </w:t>
      </w:r>
      <w:r w:rsidR="006C0500">
        <w:t xml:space="preserve">9.16 to </w:t>
      </w:r>
      <w:r w:rsidRPr="006C0500" w:rsidR="006C0500">
        <w:t xml:space="preserve">9.63 </w:t>
      </w:r>
      <w:r>
        <w:t>hours. The average cost per response is</w:t>
      </w:r>
      <w:r w:rsidR="004E72BA">
        <w:t xml:space="preserve"> </w:t>
      </w:r>
      <w:r w:rsidR="006C0500">
        <w:t xml:space="preserve">$333 to </w:t>
      </w:r>
      <w:r w:rsidRPr="006C0500" w:rsidR="006C0500">
        <w:t>$351</w:t>
      </w:r>
      <w:r>
        <w:t>.</w:t>
      </w:r>
    </w:p>
    <w:p w:rsidR="00D75BD8" w:rsidP="00D75BD8" w:rsidRDefault="00D75BD8" w14:paraId="5D014E7B" w14:textId="77777777">
      <w:pPr>
        <w:pStyle w:val="NormalIndent"/>
      </w:pPr>
      <w:r w:rsidRPr="00847F36">
        <w:t xml:space="preserve">These burden and cost estimates represent those activities that </w:t>
      </w:r>
      <w:r w:rsidR="0077783B">
        <w:t xml:space="preserve">the </w:t>
      </w:r>
      <w:r w:rsidRPr="00847F36">
        <w:t>EPA expects would occur in the initial three-year period. During this period, systems and</w:t>
      </w:r>
      <w:r w:rsidR="00E604CC">
        <w:t xml:space="preserve"> </w:t>
      </w:r>
      <w:r w:rsidR="007606BB">
        <w:t>primacy agencies</w:t>
      </w:r>
      <w:r w:rsidRPr="00847F36">
        <w:t xml:space="preserve"> would perform the initial, one-time activities related to rule review and primacy requirements. </w:t>
      </w:r>
      <w:r>
        <w:t>Because implementation does not begin during the initial three-year period, this ICR does not include burden and costs for activities that are required during full rule implementation (e.g., primacy agencies reporting data to SDWIS and water systems reporting tap sampling</w:t>
      </w:r>
      <w:r w:rsidR="0077783B">
        <w:t>, other monitoring results and regulatory milestones</w:t>
      </w:r>
      <w:r>
        <w:t>).</w:t>
      </w:r>
    </w:p>
    <w:p w:rsidR="00282040" w:rsidP="00282040" w:rsidRDefault="00282040" w14:paraId="162CAF16" w14:textId="77777777">
      <w:pPr>
        <w:pStyle w:val="NormalIndent"/>
      </w:pPr>
      <w:r>
        <w:t>Burden means the total time, effort, or financial resources expended by people to generate, maintain, retain, disclose, or provide information to or for a federal agency. This includes the time needed to review instructions; develop, acquire, install, and utilize technology, and systems for the purposes of collecti</w:t>
      </w:r>
      <w:bookmarkStart w:name="_GoBack" w:id="53"/>
      <w:bookmarkEnd w:id="53"/>
      <w:r>
        <w:t>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request for information collection unless it displays a currently valid OMB control number. The OMB control numbers for the EPA’s regulations are listed in 40 CFR Part 9 and 48 CFR Chapter 15.</w:t>
      </w:r>
    </w:p>
    <w:p w:rsidR="00A96FB6" w:rsidP="004013E7" w:rsidRDefault="00282040" w14:paraId="4B458FC5" w14:textId="77777777">
      <w:pPr>
        <w:pStyle w:val="NormalIndent"/>
        <w:rPr>
          <w:b/>
          <w:bCs/>
        </w:rPr>
      </w:pPr>
      <w:r>
        <w:t xml:space="preserve">To comment on the Agency's need for this information, the accuracy of the provided burden estimates, and any suggested methods for minimizing respondent burden, including the </w:t>
      </w:r>
      <w:r>
        <w:lastRenderedPageBreak/>
        <w:t xml:space="preserve">use of automated collection techniques, EPA has established a public docket for this ICR under Docket ID </w:t>
      </w:r>
      <w:r w:rsidRPr="00944D98">
        <w:t xml:space="preserve">Number </w:t>
      </w:r>
      <w:r w:rsidRPr="00E604CC">
        <w:t>EPA-HQ-OW-</w:t>
      </w:r>
      <w:r w:rsidRPr="00E604CC" w:rsidR="00944D98">
        <w:t>2017</w:t>
      </w:r>
      <w:r w:rsidRPr="00944D98" w:rsidR="00944D98">
        <w:t>-0300</w:t>
      </w:r>
      <w:r w:rsidRPr="00944D98">
        <w:t>, which is available for online viewing at www.regulations.gov, or in person</w:t>
      </w:r>
      <w:r>
        <w:t xml:space="preserve"> viewing at the Water Docket in the EPA Docket Center (EPA/DC), WJC West, Room 3334, 1301 Constitution Ave., NW, Washington, DC. The EPA Docket Center Public Reading Room is open from 8:30 a.m. to 4:30 p.m., Monday through </w:t>
      </w:r>
      <w:r w:rsidRPr="00604B16">
        <w:t xml:space="preserve">Friday, excluding legal holidays. The telephone number for the Reading Room is (202) 566-1744, and the telephone number for the Water Docket is (202) 566-2426. An electronic version of the public docket is available at </w:t>
      </w:r>
      <w:hyperlink w:history="1" r:id="rId17">
        <w:r w:rsidRPr="00604B16">
          <w:rPr>
            <w:rStyle w:val="Hyperlink"/>
          </w:rPr>
          <w:t>www.regulations.gov</w:t>
        </w:r>
      </w:hyperlink>
      <w:r w:rsidRPr="00604B16">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Comments can also be sent to the Office of Information and Regulatory Affairs, Office of Management and Budget, 725 17th Street, NW, Washington, DC 20503, Attention: Desk Officer for EPA. Please include the EPA Docket ID </w:t>
      </w:r>
      <w:r w:rsidRPr="00944D98">
        <w:t>Number (</w:t>
      </w:r>
      <w:r w:rsidRPr="00734756">
        <w:t>EPA-HQ-OW-</w:t>
      </w:r>
      <w:r w:rsidRPr="00944D98" w:rsidR="00944D98">
        <w:t>2017</w:t>
      </w:r>
      <w:r w:rsidR="00944D98">
        <w:t>-0300</w:t>
      </w:r>
      <w:r w:rsidRPr="00604B16">
        <w:t xml:space="preserve">) and the OMB Control </w:t>
      </w:r>
      <w:r w:rsidRPr="003A1C05">
        <w:t xml:space="preserve">Number </w:t>
      </w:r>
      <w:r w:rsidRPr="00E604CC">
        <w:t>2040-</w:t>
      </w:r>
      <w:r w:rsidRPr="00E604CC" w:rsidR="003A1C05">
        <w:t>0204</w:t>
      </w:r>
      <w:r w:rsidRPr="00604B16">
        <w:t xml:space="preserve"> in any correspondence</w:t>
      </w:r>
      <w:r>
        <w:t>.</w:t>
      </w:r>
      <w:r w:rsidR="00A96FB6">
        <w:br w:type="page"/>
      </w:r>
    </w:p>
    <w:p w:rsidRPr="00A96FB6" w:rsidR="000B17BF" w:rsidP="002B4324" w:rsidRDefault="006A22C4" w14:paraId="46A95BEC" w14:textId="77777777">
      <w:pPr>
        <w:pStyle w:val="Heading1"/>
        <w:tabs>
          <w:tab w:val="left" w:pos="756"/>
          <w:tab w:val="center" w:pos="4680"/>
        </w:tabs>
      </w:pPr>
      <w:r>
        <w:lastRenderedPageBreak/>
        <w:tab/>
      </w:r>
      <w:r>
        <w:tab/>
      </w:r>
      <w:r w:rsidR="00245710">
        <w:t>APPENDIX</w:t>
      </w:r>
      <w:r w:rsidRPr="00A96FB6" w:rsidR="000B17BF">
        <w:t xml:space="preserve"> A: SDWA Sections that Provide Authority for the Collection</w:t>
      </w:r>
    </w:p>
    <w:p w:rsidR="000B17BF" w:rsidP="00245710" w:rsidRDefault="000B17BF" w14:paraId="6A384107" w14:textId="77777777">
      <w:r w:rsidRPr="00245710">
        <w:t>Section 1401. For purposes of this title:</w:t>
      </w:r>
    </w:p>
    <w:p w:rsidRPr="00245710" w:rsidR="00245710" w:rsidP="00245710" w:rsidRDefault="00245710" w14:paraId="0B2390A6" w14:textId="77777777"/>
    <w:p w:rsidRPr="00245710" w:rsidR="000B17BF" w:rsidP="00245710" w:rsidRDefault="000B17BF" w14:paraId="6E70E161" w14:textId="77777777">
      <w:r w:rsidRPr="00245710">
        <w:t>(1) The term “primary drinking water regulation” means a regulation which-</w:t>
      </w:r>
    </w:p>
    <w:p w:rsidRPr="00245710" w:rsidR="000B17BF" w:rsidP="00245710" w:rsidRDefault="000B17BF" w14:paraId="7B834577" w14:textId="77777777"/>
    <w:p w:rsidRPr="00245710" w:rsidR="000B17BF" w:rsidP="00245710" w:rsidRDefault="000B17BF" w14:paraId="64A9A7D5" w14:textId="2AF6D1E5">
      <w:r w:rsidRPr="00245710">
        <w:t xml:space="preserve">(D) contains criteria and procedures to assure a supply of drinking water which dependably complies with such maximum contaminant levels; including accepted methods for quality control and testing procedures to insure compliance with such levels and to </w:t>
      </w:r>
      <w:r w:rsidR="00FA7A2B">
        <w:t>e</w:t>
      </w:r>
      <w:r w:rsidRPr="00245710">
        <w:t>nsure proper operation and maintenance of the system, and requirements as to (</w:t>
      </w:r>
      <w:proofErr w:type="spellStart"/>
      <w:r w:rsidRPr="00245710">
        <w:t>i</w:t>
      </w:r>
      <w:proofErr w:type="spellEnd"/>
      <w:r w:rsidRPr="00245710">
        <w:t>) the minimum quality of water which may be taken into the system and (ii) siting for new facilities for public water systems. At any time after promulgation of a regulation referred to in this paragraph, the Administrator may add equally effective quality control and testing procedures by guidance published in the Federal Register. Such procedures shall be treated as an alternative for public water systems to the quality control and testing procedures listed in the regulation.</w:t>
      </w:r>
    </w:p>
    <w:p w:rsidRPr="00245710" w:rsidR="000B17BF" w:rsidP="00245710" w:rsidRDefault="000B17BF" w14:paraId="5B9884E6" w14:textId="77777777"/>
    <w:p w:rsidRPr="00245710" w:rsidR="000B17BF" w:rsidP="00245710" w:rsidRDefault="000B17BF" w14:paraId="052F4253" w14:textId="77777777">
      <w:r w:rsidRPr="00245710">
        <w:t xml:space="preserve">Section 1413(a) For purposes of this title, a </w:t>
      </w:r>
      <w:r w:rsidRPr="00245710" w:rsidR="00BB55A4">
        <w:t>state</w:t>
      </w:r>
      <w:r w:rsidRPr="00245710">
        <w:t xml:space="preserve"> has primary enforcement responsibility for public water systems during any period for which the Administration determines (pursuant to regulations under subsection (b)) that such </w:t>
      </w:r>
      <w:r w:rsidRPr="00245710" w:rsidR="00BB55A4">
        <w:t>state</w:t>
      </w:r>
      <w:r w:rsidRPr="00245710">
        <w:t>-</w:t>
      </w:r>
    </w:p>
    <w:p w:rsidRPr="00245710" w:rsidR="000B17BF" w:rsidP="00245710" w:rsidRDefault="000B17BF" w14:paraId="01102AAB" w14:textId="77777777"/>
    <w:p w:rsidRPr="00245710" w:rsidR="000B17BF" w:rsidP="00245710" w:rsidRDefault="000B17BF" w14:paraId="6441A4A8" w14:textId="77777777">
      <w:r w:rsidRPr="00245710">
        <w:t xml:space="preserve">(1) has adopted drinking water regulations that are no less stringent than the national primary drinking water regulations promulgated by the Administrator under subsections (a) and (b) of section 1412 not later than 2 years after the date on which the regulations are promulgated by the Administrator, except that the Administrator may provide for an extension of not more than 2 years if, after submission and review of appropriate, adequate documentation from the </w:t>
      </w:r>
      <w:r w:rsidRPr="00245710" w:rsidR="00BB55A4">
        <w:t>state</w:t>
      </w:r>
      <w:r w:rsidRPr="00245710">
        <w:t>, the Administrator determines that the extension is necessary and justified;</w:t>
      </w:r>
    </w:p>
    <w:p w:rsidRPr="00245710" w:rsidR="000B17BF" w:rsidP="00245710" w:rsidRDefault="000B17BF" w14:paraId="4556A643" w14:textId="77777777"/>
    <w:p w:rsidRPr="00245710" w:rsidR="000B17BF" w:rsidP="00245710" w:rsidRDefault="000B17BF" w14:paraId="2835267E" w14:textId="77777777">
      <w:r w:rsidRPr="00245710">
        <w:t xml:space="preserve">(2) has adopted and is implementing adequate procedures for the enforcement of such </w:t>
      </w:r>
      <w:r w:rsidRPr="00245710" w:rsidR="00BB55A4">
        <w:t>state</w:t>
      </w:r>
      <w:r w:rsidRPr="00245710">
        <w:t xml:space="preserve"> regulations, including conducting such monitoring and making such inspections as the Administrator may require by regulation;</w:t>
      </w:r>
    </w:p>
    <w:p w:rsidRPr="00245710" w:rsidR="000B17BF" w:rsidP="00245710" w:rsidRDefault="000B17BF" w14:paraId="1A12748F" w14:textId="77777777"/>
    <w:p w:rsidRPr="00245710" w:rsidR="000B17BF" w:rsidP="00245710" w:rsidRDefault="000B17BF" w14:paraId="510E620C" w14:textId="77777777">
      <w:r w:rsidRPr="00245710">
        <w:t>(3) will keep such records and make such reports with respect to its activities under paragraphs (1) and (2)</w:t>
      </w:r>
      <w:r w:rsidR="00245710">
        <w:t xml:space="preserve"> </w:t>
      </w:r>
      <w:r w:rsidRPr="00245710">
        <w:t>as the Administrator may require by regulation.</w:t>
      </w:r>
    </w:p>
    <w:p w:rsidRPr="00245710" w:rsidR="000B17BF" w:rsidP="00245710" w:rsidRDefault="000B17BF" w14:paraId="2FD446DE" w14:textId="77777777"/>
    <w:p w:rsidRPr="00245710" w:rsidR="000B17BF" w:rsidP="00245710" w:rsidRDefault="000B17BF" w14:paraId="7DAF8AB0" w14:textId="77777777">
      <w:r w:rsidRPr="00245710">
        <w:t>Section 1445 (a)(1)(A)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w:t>
      </w:r>
    </w:p>
    <w:p w:rsidRPr="00245710" w:rsidR="000B17BF" w:rsidP="00245710" w:rsidRDefault="000B17BF" w14:paraId="52686C2F" w14:textId="77777777"/>
    <w:p w:rsidRPr="00245710" w:rsidR="000B17BF" w:rsidP="00245710" w:rsidRDefault="000B17BF" w14:paraId="0B0B36CC" w14:textId="77777777">
      <w:r w:rsidRPr="00245710">
        <w:t xml:space="preserve">(B) Every person who is subject to a national primary drinking water regulation under section 1412 shall provide such information as the Administrator may reasonably require, after consultation with the </w:t>
      </w:r>
      <w:r w:rsidRPr="00245710" w:rsidR="00BB55A4">
        <w:t>state</w:t>
      </w:r>
      <w:r w:rsidRPr="00245710">
        <w:t xml:space="preserve"> in which such person is located if such </w:t>
      </w:r>
      <w:r w:rsidRPr="00245710" w:rsidR="00BB55A4">
        <w:t>state</w:t>
      </w:r>
      <w:r w:rsidRPr="00245710">
        <w:t xml:space="preserve"> has primary enforcement </w:t>
      </w:r>
      <w:r w:rsidRPr="00245710">
        <w:lastRenderedPageBreak/>
        <w:t>responsibility for public water systems, on a case-by-case basis, to determine whether such person has acted or is acting in compliance with this title.</w:t>
      </w:r>
    </w:p>
    <w:p w:rsidRPr="00245710" w:rsidR="000B17BF" w:rsidP="00245710" w:rsidRDefault="000B17BF" w14:paraId="4841DCEB" w14:textId="77777777"/>
    <w:p w:rsidRPr="00245710" w:rsidR="000B17BF" w:rsidP="00245710" w:rsidRDefault="000B17BF" w14:paraId="21C4EEAD" w14:textId="77777777">
      <w:r w:rsidRPr="00245710">
        <w:t>(C) Every person who is subject to a national primary drinking water regulation under section</w:t>
      </w:r>
    </w:p>
    <w:p w:rsidRPr="00245710" w:rsidR="000B17BF" w:rsidP="00245710" w:rsidRDefault="000B17BF" w14:paraId="1B052B61" w14:textId="77777777">
      <w:r w:rsidRPr="00245710">
        <w:t xml:space="preserve">1412 shall provide such information as the Administrator may reasonably require </w:t>
      </w:r>
      <w:proofErr w:type="gramStart"/>
      <w:r w:rsidRPr="00245710">
        <w:t>to assist</w:t>
      </w:r>
      <w:proofErr w:type="gramEnd"/>
      <w:r w:rsidRPr="00245710">
        <w:t xml:space="preserve"> the Administrator in establishing regulations under section 1412 of this title, after consultation with </w:t>
      </w:r>
      <w:r w:rsidR="007606BB">
        <w:t>primacy agencies</w:t>
      </w:r>
      <w:r w:rsidRPr="00245710">
        <w:t xml:space="preserve">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w:t>
      </w:r>
    </w:p>
    <w:p w:rsidRPr="00245710" w:rsidR="000B17BF" w:rsidP="00245710" w:rsidRDefault="000B17BF" w14:paraId="305DFB7C" w14:textId="77777777"/>
    <w:p w:rsidRPr="00AF3107" w:rsidR="000B17BF" w:rsidP="00245710" w:rsidRDefault="000B17BF" w14:paraId="20859652" w14:textId="77777777">
      <w:pPr>
        <w:rPr>
          <w:sz w:val="22"/>
          <w:szCs w:val="22"/>
        </w:rPr>
      </w:pPr>
      <w:r w:rsidRPr="00245710">
        <w:t xml:space="preserve">(D) The Administrator shall not later than 2 years after the date of enactment of this subparagraph, after consultation with public health experts, representatives of the general public, and officials of </w:t>
      </w:r>
      <w:r w:rsidRPr="00245710" w:rsidR="00BB55A4">
        <w:t>state</w:t>
      </w:r>
      <w:r w:rsidRPr="00245710">
        <w:t xml:space="preserve"> and local governments, review the monitoring requirements for not fewer than 12 contaminants identified by the Administrator, and promulgate any necessary modifications.</w:t>
      </w:r>
    </w:p>
    <w:p w:rsidR="00E672CA" w:rsidRDefault="00E672CA" w14:paraId="3FE48C33" w14:textId="77777777">
      <w:pPr>
        <w:rPr>
          <w:b/>
          <w:bCs/>
          <w:sz w:val="48"/>
          <w:szCs w:val="48"/>
        </w:rPr>
      </w:pPr>
      <w:r>
        <w:rPr>
          <w:b/>
          <w:bCs/>
          <w:sz w:val="48"/>
          <w:szCs w:val="48"/>
        </w:rPr>
        <w:br w:type="page"/>
      </w:r>
    </w:p>
    <w:p w:rsidR="00E672CA" w:rsidP="00EC602C" w:rsidRDefault="00E672CA" w14:paraId="3DE35426" w14:textId="77777777">
      <w:pPr>
        <w:pStyle w:val="Heading1"/>
        <w:jc w:val="center"/>
      </w:pPr>
      <w:r w:rsidRPr="004A1618">
        <w:lastRenderedPageBreak/>
        <w:t>APPENDIX</w:t>
      </w:r>
      <w:r w:rsidRPr="00E672CA">
        <w:t xml:space="preserve"> B</w:t>
      </w:r>
      <w:r w:rsidR="004A1618">
        <w:t>: Burden and Labor Rate D</w:t>
      </w:r>
      <w:r>
        <w:t>erivations</w:t>
      </w:r>
      <w:r w:rsidR="00952585">
        <w:rPr>
          <w:rStyle w:val="FootnoteReference"/>
        </w:rPr>
        <w:footnoteReference w:id="18"/>
      </w:r>
    </w:p>
    <w:tbl>
      <w:tblPr>
        <w:tblW w:w="9596" w:type="dxa"/>
        <w:tblBorders>
          <w:top w:val="single" w:color="auto" w:sz="4" w:space="0"/>
          <w:bottom w:val="single" w:color="auto" w:sz="4" w:space="0"/>
        </w:tblBorders>
        <w:tblLayout w:type="fixed"/>
        <w:tblLook w:val="04A0" w:firstRow="1" w:lastRow="0" w:firstColumn="1" w:lastColumn="0" w:noHBand="0" w:noVBand="1"/>
      </w:tblPr>
      <w:tblGrid>
        <w:gridCol w:w="1800"/>
        <w:gridCol w:w="1800"/>
        <w:gridCol w:w="2340"/>
        <w:gridCol w:w="135"/>
        <w:gridCol w:w="101"/>
        <w:gridCol w:w="3184"/>
        <w:gridCol w:w="236"/>
      </w:tblGrid>
      <w:tr w:rsidRPr="00E672CA" w:rsidR="007A5B04" w:rsidTr="00A02249" w14:paraId="7BF36E9A" w14:textId="77777777">
        <w:trPr>
          <w:gridAfter w:val="1"/>
          <w:wAfter w:w="236" w:type="dxa"/>
          <w:trHeight w:val="289"/>
        </w:trPr>
        <w:tc>
          <w:tcPr>
            <w:tcW w:w="3600" w:type="dxa"/>
            <w:gridSpan w:val="2"/>
            <w:shd w:val="clear" w:color="000000" w:fill="FFFFFF"/>
            <w:noWrap/>
            <w:hideMark/>
          </w:tcPr>
          <w:p w:rsidRPr="00E672CA" w:rsidR="007A5B04" w:rsidP="007A5B04" w:rsidRDefault="007A5B04" w14:paraId="5520048E" w14:textId="77777777">
            <w:pPr>
              <w:rPr>
                <w:rFonts w:ascii="Calibri" w:hAnsi="Calibri" w:cs="Calibri"/>
                <w:b/>
                <w:bCs/>
                <w:color w:val="000000"/>
                <w:sz w:val="22"/>
                <w:szCs w:val="22"/>
              </w:rPr>
            </w:pPr>
            <w:r>
              <w:rPr>
                <w:rFonts w:ascii="Calibri" w:hAnsi="Calibri" w:cs="Calibri"/>
                <w:b/>
                <w:bCs/>
                <w:color w:val="000000"/>
                <w:sz w:val="22"/>
                <w:szCs w:val="22"/>
              </w:rPr>
              <w:t>Estimated hours per system to read the rule</w:t>
            </w:r>
          </w:p>
        </w:tc>
        <w:tc>
          <w:tcPr>
            <w:tcW w:w="5760" w:type="dxa"/>
            <w:gridSpan w:val="4"/>
            <w:shd w:val="clear" w:color="000000" w:fill="FFFFFF"/>
            <w:noWrap/>
            <w:hideMark/>
          </w:tcPr>
          <w:p w:rsidR="00D25962" w:rsidP="00D25962" w:rsidRDefault="007A5B04" w14:paraId="56C9AB49" w14:textId="77777777">
            <w:pPr>
              <w:pStyle w:val="Belowexhibitnotes"/>
              <w:rPr>
                <w:iCs/>
              </w:rPr>
            </w:pPr>
            <w:r w:rsidRPr="00E672CA">
              <w:rPr>
                <w:b/>
                <w:bCs/>
                <w:sz w:val="22"/>
                <w:szCs w:val="22"/>
              </w:rPr>
              <w:t xml:space="preserve">Source: </w:t>
            </w:r>
            <w:r w:rsidRPr="00D25962" w:rsidR="00D25962">
              <w:rPr>
                <w:sz w:val="22"/>
                <w:szCs w:val="22"/>
              </w:rPr>
              <w:t xml:space="preserve">Based on implementation burden estimated for EPA's 2012, </w:t>
            </w:r>
            <w:r w:rsidRPr="00D25962" w:rsidR="00D25962">
              <w:rPr>
                <w:i/>
                <w:iCs/>
                <w:sz w:val="22"/>
                <w:szCs w:val="22"/>
              </w:rPr>
              <w:t xml:space="preserve">Economic Analysis for the Final Revised Total Coliform Rule. </w:t>
            </w:r>
            <w:r w:rsidRPr="00D25962" w:rsidR="00D25962">
              <w:rPr>
                <w:iCs/>
                <w:sz w:val="22"/>
                <w:szCs w:val="22"/>
              </w:rPr>
              <w:t>Available in the docket at EPA-HQ-OW-2017-0300 at www.regulations.gov.</w:t>
            </w:r>
          </w:p>
          <w:p w:rsidRPr="00E672CA" w:rsidR="007A5B04" w:rsidP="007A5B04" w:rsidRDefault="007A5B04" w14:paraId="485B91C1" w14:textId="59F968CA">
            <w:pPr>
              <w:rPr>
                <w:rFonts w:ascii="Calibri" w:hAnsi="Calibri" w:cs="Calibri"/>
                <w:color w:val="000000"/>
                <w:sz w:val="22"/>
                <w:szCs w:val="22"/>
              </w:rPr>
            </w:pPr>
          </w:p>
        </w:tc>
      </w:tr>
      <w:tr w:rsidRPr="00E672CA" w:rsidR="007A5B04" w:rsidTr="00A02249" w14:paraId="6FEFF4CA" w14:textId="77777777">
        <w:trPr>
          <w:gridAfter w:val="5"/>
          <w:wAfter w:w="5996" w:type="dxa"/>
          <w:trHeight w:val="289"/>
        </w:trPr>
        <w:tc>
          <w:tcPr>
            <w:tcW w:w="3600" w:type="dxa"/>
            <w:gridSpan w:val="2"/>
            <w:tcBorders>
              <w:bottom w:val="single" w:color="auto" w:sz="4" w:space="0"/>
            </w:tcBorders>
            <w:shd w:val="clear" w:color="000000" w:fill="EDEDED"/>
            <w:noWrap/>
            <w:hideMark/>
          </w:tcPr>
          <w:p w:rsidRPr="00E672CA" w:rsidR="007A5B04" w:rsidP="007A5B04" w:rsidRDefault="007A5B04" w14:paraId="44E713D0" w14:textId="77777777">
            <w:pPr>
              <w:rPr>
                <w:rFonts w:ascii="Calibri" w:hAnsi="Calibri" w:cs="Calibri"/>
                <w:color w:val="000000"/>
                <w:sz w:val="22"/>
                <w:szCs w:val="22"/>
              </w:rPr>
            </w:pPr>
            <w:r w:rsidRPr="00E672CA">
              <w:rPr>
                <w:rFonts w:ascii="Calibri" w:hAnsi="Calibri" w:cs="Calibri"/>
                <w:color w:val="000000"/>
                <w:sz w:val="22"/>
                <w:szCs w:val="22"/>
              </w:rPr>
              <w:t>4</w:t>
            </w:r>
          </w:p>
        </w:tc>
      </w:tr>
      <w:tr w:rsidRPr="00E672CA" w:rsidR="007A5B04" w:rsidTr="00A02249" w14:paraId="14DB2811" w14:textId="77777777">
        <w:trPr>
          <w:gridAfter w:val="1"/>
          <w:wAfter w:w="236" w:type="dxa"/>
          <w:trHeight w:val="289"/>
        </w:trPr>
        <w:tc>
          <w:tcPr>
            <w:tcW w:w="3600" w:type="dxa"/>
            <w:gridSpan w:val="2"/>
            <w:tcBorders>
              <w:top w:val="single" w:color="auto" w:sz="4" w:space="0"/>
            </w:tcBorders>
            <w:shd w:val="clear" w:color="000000" w:fill="FFFFFF"/>
            <w:noWrap/>
            <w:hideMark/>
          </w:tcPr>
          <w:p w:rsidRPr="00E672CA" w:rsidR="007A5B04" w:rsidP="007A5B04" w:rsidRDefault="007A5B04" w14:paraId="638EEE9A" w14:textId="77777777">
            <w:pPr>
              <w:rPr>
                <w:rFonts w:ascii="Calibri" w:hAnsi="Calibri" w:cs="Calibri"/>
                <w:b/>
                <w:bCs/>
                <w:color w:val="000000"/>
                <w:sz w:val="22"/>
                <w:szCs w:val="22"/>
              </w:rPr>
            </w:pPr>
            <w:r>
              <w:rPr>
                <w:rFonts w:ascii="Calibri" w:hAnsi="Calibri" w:cs="Calibri"/>
                <w:b/>
                <w:bCs/>
                <w:color w:val="000000"/>
                <w:sz w:val="22"/>
                <w:szCs w:val="22"/>
              </w:rPr>
              <w:t>Estimated hours per system to assign staff for implementation</w:t>
            </w:r>
          </w:p>
        </w:tc>
        <w:tc>
          <w:tcPr>
            <w:tcW w:w="5760" w:type="dxa"/>
            <w:gridSpan w:val="4"/>
            <w:tcBorders>
              <w:top w:val="single" w:color="auto" w:sz="4" w:space="0"/>
            </w:tcBorders>
            <w:shd w:val="clear" w:color="000000" w:fill="FFFFFF"/>
            <w:noWrap/>
            <w:hideMark/>
          </w:tcPr>
          <w:p w:rsidRPr="00E672CA" w:rsidR="007A5B04" w:rsidP="00952585" w:rsidRDefault="007A5B04" w14:paraId="7D6488A5" w14:textId="1BCEA89C">
            <w:pPr>
              <w:rPr>
                <w:rFonts w:ascii="Calibri" w:hAnsi="Calibri" w:cs="Calibri"/>
                <w:color w:val="000000"/>
                <w:sz w:val="22"/>
                <w:szCs w:val="22"/>
              </w:rPr>
            </w:pPr>
            <w:r w:rsidRPr="00E672CA">
              <w:rPr>
                <w:rFonts w:ascii="Calibri" w:hAnsi="Calibri" w:cs="Calibri"/>
                <w:b/>
                <w:bCs/>
                <w:color w:val="000000"/>
                <w:sz w:val="22"/>
                <w:szCs w:val="22"/>
              </w:rPr>
              <w:t xml:space="preserve">Source: </w:t>
            </w:r>
            <w:r w:rsidRPr="00D25962" w:rsidR="00D25962">
              <w:rPr>
                <w:rFonts w:asciiTheme="minorHAnsi" w:hAnsiTheme="minorHAnsi" w:cstheme="minorHAnsi"/>
                <w:sz w:val="22"/>
                <w:szCs w:val="22"/>
              </w:rPr>
              <w:t xml:space="preserve">Based on implementation burden estimated for EPA's 2012, </w:t>
            </w:r>
            <w:r w:rsidRPr="00D25962" w:rsidR="00D25962">
              <w:rPr>
                <w:rFonts w:asciiTheme="minorHAnsi" w:hAnsiTheme="minorHAnsi" w:cstheme="minorHAnsi"/>
                <w:i/>
                <w:iCs/>
                <w:sz w:val="22"/>
                <w:szCs w:val="22"/>
              </w:rPr>
              <w:t xml:space="preserve">Economic Analysis for the Final Revised Total Coliform Rule. </w:t>
            </w:r>
            <w:r w:rsidRPr="00D25962" w:rsidR="00D25962">
              <w:rPr>
                <w:rFonts w:asciiTheme="minorHAnsi" w:hAnsiTheme="minorHAnsi" w:cstheme="minorHAnsi"/>
                <w:iCs/>
                <w:sz w:val="22"/>
                <w:szCs w:val="22"/>
              </w:rPr>
              <w:t>Available in the docket at EPA-HQ-OW-2017-0300 at www.regulations.gov.</w:t>
            </w:r>
          </w:p>
        </w:tc>
      </w:tr>
      <w:tr w:rsidRPr="00E672CA" w:rsidR="007A5B04" w:rsidTr="00A02249" w14:paraId="32BA6220" w14:textId="77777777">
        <w:trPr>
          <w:gridAfter w:val="1"/>
          <w:wAfter w:w="236" w:type="dxa"/>
          <w:trHeight w:val="289"/>
        </w:trPr>
        <w:tc>
          <w:tcPr>
            <w:tcW w:w="3600" w:type="dxa"/>
            <w:gridSpan w:val="2"/>
            <w:tcBorders>
              <w:bottom w:val="single" w:color="auto" w:sz="4" w:space="0"/>
            </w:tcBorders>
            <w:shd w:val="clear" w:color="000000" w:fill="EDEDED"/>
            <w:noWrap/>
            <w:hideMark/>
          </w:tcPr>
          <w:p w:rsidRPr="00E672CA" w:rsidR="007A5B04" w:rsidP="007A5B04" w:rsidRDefault="007A5B04" w14:paraId="369CCD0C" w14:textId="77777777">
            <w:pPr>
              <w:rPr>
                <w:rFonts w:ascii="Calibri" w:hAnsi="Calibri" w:cs="Calibri"/>
                <w:color w:val="000000"/>
                <w:sz w:val="22"/>
                <w:szCs w:val="22"/>
              </w:rPr>
            </w:pPr>
            <w:r w:rsidRPr="00E672CA">
              <w:rPr>
                <w:rFonts w:ascii="Calibri" w:hAnsi="Calibri" w:cs="Calibri"/>
                <w:color w:val="000000"/>
                <w:sz w:val="22"/>
                <w:szCs w:val="22"/>
              </w:rPr>
              <w:t>8</w:t>
            </w:r>
          </w:p>
        </w:tc>
        <w:tc>
          <w:tcPr>
            <w:tcW w:w="5760" w:type="dxa"/>
            <w:gridSpan w:val="4"/>
            <w:tcBorders>
              <w:bottom w:val="single" w:color="auto" w:sz="4" w:space="0"/>
            </w:tcBorders>
            <w:shd w:val="clear" w:color="000000" w:fill="FFFFFF"/>
            <w:noWrap/>
            <w:hideMark/>
          </w:tcPr>
          <w:p w:rsidRPr="00E672CA" w:rsidR="007A5B04" w:rsidP="007A5B04" w:rsidRDefault="007A5B04" w14:paraId="38731A07" w14:textId="77777777">
            <w:pPr>
              <w:rPr>
                <w:rFonts w:ascii="Calibri" w:hAnsi="Calibri" w:cs="Calibri"/>
                <w:color w:val="000000"/>
                <w:sz w:val="22"/>
                <w:szCs w:val="22"/>
              </w:rPr>
            </w:pPr>
            <w:r w:rsidRPr="00E672CA">
              <w:rPr>
                <w:rFonts w:ascii="Calibri" w:hAnsi="Calibri" w:cs="Calibri"/>
                <w:color w:val="000000"/>
                <w:sz w:val="22"/>
                <w:szCs w:val="22"/>
              </w:rPr>
              <w:t> </w:t>
            </w:r>
          </w:p>
        </w:tc>
      </w:tr>
      <w:tr w:rsidRPr="00E672CA" w:rsidR="007A5B04" w:rsidTr="00A02249" w14:paraId="06643FE1" w14:textId="77777777">
        <w:trPr>
          <w:gridAfter w:val="1"/>
          <w:wAfter w:w="236" w:type="dxa"/>
          <w:trHeight w:val="289"/>
        </w:trPr>
        <w:tc>
          <w:tcPr>
            <w:tcW w:w="3600" w:type="dxa"/>
            <w:gridSpan w:val="2"/>
            <w:tcBorders>
              <w:top w:val="single" w:color="auto" w:sz="4" w:space="0"/>
            </w:tcBorders>
            <w:shd w:val="clear" w:color="000000" w:fill="FFFFFF"/>
            <w:noWrap/>
          </w:tcPr>
          <w:p w:rsidRPr="00606BF0" w:rsidR="007A5B04" w:rsidP="007A5B04" w:rsidRDefault="007A5B04" w14:paraId="33532876" w14:textId="77777777">
            <w:pPr>
              <w:rPr>
                <w:rFonts w:ascii="Calibri" w:hAnsi="Calibri" w:cs="Calibri"/>
                <w:b/>
                <w:color w:val="000000"/>
                <w:sz w:val="22"/>
                <w:szCs w:val="22"/>
              </w:rPr>
            </w:pPr>
            <w:r w:rsidRPr="00606BF0">
              <w:rPr>
                <w:rFonts w:ascii="Calibri" w:hAnsi="Calibri" w:cs="Calibri"/>
                <w:b/>
                <w:bCs/>
                <w:color w:val="000000"/>
                <w:sz w:val="22"/>
                <w:szCs w:val="22"/>
              </w:rPr>
              <w:t>Estimated hours per system for staff to attend</w:t>
            </w:r>
            <w:r w:rsidRPr="00606BF0">
              <w:rPr>
                <w:rFonts w:ascii="Calibri" w:hAnsi="Calibri" w:cs="Calibri"/>
                <w:b/>
                <w:color w:val="000000"/>
                <w:sz w:val="22"/>
                <w:szCs w:val="22"/>
              </w:rPr>
              <w:t xml:space="preserve"> training and technical assistance from the state during rule implementation</w:t>
            </w:r>
          </w:p>
        </w:tc>
        <w:tc>
          <w:tcPr>
            <w:tcW w:w="5760" w:type="dxa"/>
            <w:gridSpan w:val="4"/>
            <w:tcBorders>
              <w:top w:val="single" w:color="auto" w:sz="4" w:space="0"/>
            </w:tcBorders>
            <w:shd w:val="clear" w:color="000000" w:fill="FFFFFF"/>
            <w:noWrap/>
          </w:tcPr>
          <w:p w:rsidRPr="00E672CA" w:rsidR="007A5B04" w:rsidP="007A5B04" w:rsidRDefault="007A5B04" w14:paraId="1844119C" w14:textId="44B70558">
            <w:pPr>
              <w:rPr>
                <w:rFonts w:ascii="Calibri" w:hAnsi="Calibri" w:cs="Calibri"/>
                <w:color w:val="000000"/>
                <w:sz w:val="22"/>
                <w:szCs w:val="22"/>
              </w:rPr>
            </w:pPr>
            <w:r w:rsidRPr="00E672CA">
              <w:rPr>
                <w:rFonts w:ascii="Calibri" w:hAnsi="Calibri" w:cs="Calibri"/>
                <w:b/>
                <w:bCs/>
                <w:color w:val="000000"/>
                <w:sz w:val="22"/>
                <w:szCs w:val="22"/>
              </w:rPr>
              <w:t>Source</w:t>
            </w:r>
            <w:r w:rsidRPr="00E672CA">
              <w:rPr>
                <w:rFonts w:ascii="Calibri" w:hAnsi="Calibri" w:cs="Calibri"/>
                <w:color w:val="000000"/>
                <w:sz w:val="22"/>
                <w:szCs w:val="22"/>
              </w:rPr>
              <w:t xml:space="preserve">: </w:t>
            </w:r>
            <w:r w:rsidRPr="00D25962" w:rsidR="00D25962">
              <w:rPr>
                <w:rFonts w:asciiTheme="minorHAnsi" w:hAnsiTheme="minorHAnsi" w:cstheme="minorHAnsi"/>
                <w:sz w:val="22"/>
                <w:szCs w:val="22"/>
              </w:rPr>
              <w:t xml:space="preserve">Based on EPA's 2015, </w:t>
            </w:r>
            <w:r w:rsidRPr="00D25962" w:rsidR="00D25962">
              <w:rPr>
                <w:rFonts w:asciiTheme="minorHAnsi" w:hAnsiTheme="minorHAnsi" w:cstheme="minorHAnsi"/>
                <w:i/>
                <w:iCs/>
                <w:sz w:val="22"/>
                <w:szCs w:val="22"/>
              </w:rPr>
              <w:t xml:space="preserve">Public Water System Supervision Program Information Collection Request (Renewal). </w:t>
            </w:r>
            <w:r w:rsidRPr="00D25962" w:rsidR="00D25962">
              <w:rPr>
                <w:rFonts w:asciiTheme="minorHAnsi" w:hAnsiTheme="minorHAnsi" w:cstheme="minorHAnsi"/>
                <w:iCs/>
                <w:sz w:val="22"/>
                <w:szCs w:val="22"/>
              </w:rPr>
              <w:t xml:space="preserve">Available in the docket at EPA-HQ-OW-2017-0300 at </w:t>
            </w:r>
            <w:r w:rsidRPr="00D25962" w:rsidR="00D25962">
              <w:rPr>
                <w:rStyle w:val="Hyperlink"/>
                <w:rFonts w:asciiTheme="minorHAnsi" w:hAnsiTheme="minorHAnsi" w:cstheme="minorHAnsi"/>
                <w:iCs/>
                <w:color w:val="auto"/>
                <w:sz w:val="22"/>
                <w:szCs w:val="22"/>
                <w:u w:val="none"/>
              </w:rPr>
              <w:t>www.regulations.gov</w:t>
            </w:r>
            <w:r w:rsidR="00D25962">
              <w:rPr>
                <w:rStyle w:val="Hyperlink"/>
                <w:rFonts w:asciiTheme="minorHAnsi" w:hAnsiTheme="minorHAnsi" w:cstheme="minorHAnsi"/>
                <w:iCs/>
                <w:color w:val="auto"/>
                <w:sz w:val="22"/>
                <w:szCs w:val="22"/>
                <w:u w:val="none"/>
              </w:rPr>
              <w:t>.</w:t>
            </w:r>
          </w:p>
        </w:tc>
      </w:tr>
      <w:tr w:rsidRPr="00E672CA" w:rsidR="007A5B04" w:rsidTr="00A02249" w14:paraId="0B48DDE6" w14:textId="77777777">
        <w:trPr>
          <w:gridAfter w:val="1"/>
          <w:wAfter w:w="236" w:type="dxa"/>
          <w:trHeight w:val="289"/>
        </w:trPr>
        <w:tc>
          <w:tcPr>
            <w:tcW w:w="3600" w:type="dxa"/>
            <w:gridSpan w:val="2"/>
            <w:tcBorders>
              <w:bottom w:val="single" w:color="auto" w:sz="4" w:space="0"/>
            </w:tcBorders>
            <w:shd w:val="clear" w:color="auto" w:fill="F2F2F2" w:themeFill="background1" w:themeFillShade="F2"/>
            <w:noWrap/>
          </w:tcPr>
          <w:p w:rsidRPr="00606BF0" w:rsidR="007A5B04" w:rsidP="007A5B04" w:rsidRDefault="007A5B04" w14:paraId="4EF342AD" w14:textId="77777777">
            <w:pPr>
              <w:rPr>
                <w:rFonts w:ascii="Calibri" w:hAnsi="Calibri" w:cs="Calibri"/>
                <w:b/>
                <w:color w:val="000000"/>
                <w:sz w:val="22"/>
                <w:szCs w:val="22"/>
              </w:rPr>
            </w:pPr>
            <w:r w:rsidRPr="00E672CA">
              <w:rPr>
                <w:rFonts w:ascii="Calibri" w:hAnsi="Calibri" w:cs="Calibri"/>
                <w:color w:val="000000"/>
                <w:sz w:val="22"/>
                <w:szCs w:val="22"/>
              </w:rPr>
              <w:t>8</w:t>
            </w:r>
          </w:p>
        </w:tc>
        <w:tc>
          <w:tcPr>
            <w:tcW w:w="5760" w:type="dxa"/>
            <w:gridSpan w:val="4"/>
            <w:tcBorders>
              <w:bottom w:val="single" w:color="auto" w:sz="4" w:space="0"/>
            </w:tcBorders>
            <w:shd w:val="clear" w:color="000000" w:fill="FFFFFF"/>
            <w:noWrap/>
          </w:tcPr>
          <w:p w:rsidRPr="00E672CA" w:rsidR="007A5B04" w:rsidP="007A5B04" w:rsidRDefault="007A5B04" w14:paraId="6551B991" w14:textId="77777777">
            <w:pPr>
              <w:rPr>
                <w:rFonts w:ascii="Calibri" w:hAnsi="Calibri" w:cs="Calibri"/>
                <w:color w:val="000000"/>
                <w:sz w:val="22"/>
                <w:szCs w:val="22"/>
              </w:rPr>
            </w:pPr>
          </w:p>
        </w:tc>
      </w:tr>
      <w:tr w:rsidRPr="00E672CA" w:rsidR="0031118A" w:rsidTr="00A02249" w14:paraId="34E98255" w14:textId="77777777">
        <w:trPr>
          <w:gridAfter w:val="1"/>
          <w:wAfter w:w="236" w:type="dxa"/>
          <w:trHeight w:val="289"/>
        </w:trPr>
        <w:tc>
          <w:tcPr>
            <w:tcW w:w="3600" w:type="dxa"/>
            <w:gridSpan w:val="2"/>
            <w:tcBorders>
              <w:top w:val="single" w:color="auto" w:sz="4" w:space="0"/>
            </w:tcBorders>
            <w:shd w:val="clear" w:color="000000" w:fill="FFFFFF"/>
            <w:noWrap/>
          </w:tcPr>
          <w:p w:rsidRPr="00040DBE" w:rsidR="0031118A" w:rsidP="000C1E76" w:rsidRDefault="0031118A" w14:paraId="05757B74" w14:textId="496FE8B1">
            <w:pPr>
              <w:rPr>
                <w:rFonts w:asciiTheme="minorHAnsi" w:hAnsiTheme="minorHAnsi" w:cstheme="minorHAnsi"/>
                <w:b/>
                <w:color w:val="000000"/>
                <w:sz w:val="22"/>
                <w:szCs w:val="22"/>
              </w:rPr>
            </w:pPr>
            <w:r w:rsidRPr="00040DBE">
              <w:rPr>
                <w:rFonts w:asciiTheme="minorHAnsi" w:hAnsiTheme="minorHAnsi" w:cstheme="minorHAnsi"/>
                <w:b/>
                <w:bCs/>
                <w:color w:val="000000"/>
                <w:sz w:val="22"/>
                <w:szCs w:val="22"/>
              </w:rPr>
              <w:t xml:space="preserve">Estimated hours per system for staff </w:t>
            </w:r>
            <w:r w:rsidRPr="00040DBE" w:rsidR="00E52E93">
              <w:rPr>
                <w:rFonts w:asciiTheme="minorHAnsi" w:hAnsiTheme="minorHAnsi" w:cstheme="minorHAnsi"/>
                <w:b/>
                <w:bCs/>
                <w:color w:val="000000"/>
                <w:sz w:val="22"/>
                <w:szCs w:val="22"/>
              </w:rPr>
              <w:t xml:space="preserve">to </w:t>
            </w:r>
            <w:r w:rsidR="000C1E76">
              <w:rPr>
                <w:rFonts w:asciiTheme="minorHAnsi" w:hAnsiTheme="minorHAnsi" w:cstheme="minorHAnsi"/>
                <w:b/>
                <w:bCs/>
                <w:color w:val="000000"/>
                <w:sz w:val="22"/>
                <w:szCs w:val="22"/>
              </w:rPr>
              <w:t>confer with primacy agency on initial planning for LSLR</w:t>
            </w:r>
            <w:r w:rsidR="00E23F91">
              <w:rPr>
                <w:rFonts w:asciiTheme="minorHAnsi" w:hAnsiTheme="minorHAnsi" w:cstheme="minorHAnsi"/>
                <w:b/>
                <w:bCs/>
                <w:color w:val="000000"/>
                <w:sz w:val="22"/>
                <w:szCs w:val="22"/>
              </w:rPr>
              <w:t xml:space="preserve"> and prepare LSLR plan</w:t>
            </w:r>
          </w:p>
        </w:tc>
        <w:tc>
          <w:tcPr>
            <w:tcW w:w="5760" w:type="dxa"/>
            <w:gridSpan w:val="4"/>
            <w:tcBorders>
              <w:top w:val="single" w:color="auto" w:sz="4" w:space="0"/>
            </w:tcBorders>
            <w:shd w:val="clear" w:color="000000" w:fill="FFFFFF"/>
            <w:noWrap/>
          </w:tcPr>
          <w:p w:rsidRPr="00040DBE" w:rsidR="0031118A" w:rsidP="00ED142F" w:rsidRDefault="00ED142F" w14:paraId="070DBBC7" w14:textId="2845D065">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Source: </w:t>
            </w:r>
            <w:r w:rsidRPr="00ED142F">
              <w:rPr>
                <w:rFonts w:asciiTheme="minorHAnsi" w:hAnsiTheme="minorHAnsi" w:cstheme="minorHAnsi"/>
                <w:bCs/>
                <w:color w:val="000000"/>
                <w:sz w:val="22"/>
                <w:szCs w:val="22"/>
              </w:rPr>
              <w:t>Assumes systems require twice the burden to prepare the plan as for the Primacy Agency to review it</w:t>
            </w:r>
            <w:r>
              <w:rPr>
                <w:rFonts w:asciiTheme="minorHAnsi" w:hAnsiTheme="minorHAnsi" w:cstheme="minorHAnsi"/>
                <w:bCs/>
                <w:color w:val="000000"/>
                <w:sz w:val="22"/>
                <w:szCs w:val="22"/>
              </w:rPr>
              <w:t xml:space="preserve"> (see below)</w:t>
            </w:r>
            <w:r w:rsidRPr="00ED142F">
              <w:rPr>
                <w:rFonts w:asciiTheme="minorHAnsi" w:hAnsiTheme="minorHAnsi" w:cstheme="minorHAnsi"/>
                <w:bCs/>
                <w:color w:val="000000"/>
                <w:sz w:val="22"/>
                <w:szCs w:val="22"/>
              </w:rPr>
              <w:t>.</w:t>
            </w:r>
          </w:p>
        </w:tc>
      </w:tr>
      <w:tr w:rsidRPr="00E672CA" w:rsidR="003E7268" w:rsidTr="00A02249" w14:paraId="114A204D"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7D39C3D4" w14:textId="1BA4BEE3">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2C1A8AC3" w14:textId="4BF57038">
            <w:pPr>
              <w:rPr>
                <w:rFonts w:asciiTheme="minorHAnsi" w:hAnsiTheme="minorHAnsi" w:cstheme="minorHAnsi"/>
                <w:b/>
                <w:bCs/>
                <w:color w:val="000000"/>
                <w:sz w:val="22"/>
                <w:szCs w:val="22"/>
              </w:rPr>
            </w:pPr>
            <w:r>
              <w:rPr>
                <w:rFonts w:ascii="Calibri" w:hAnsi="Calibri" w:cs="Calibri"/>
                <w:color w:val="000000"/>
                <w:sz w:val="22"/>
                <w:szCs w:val="22"/>
              </w:rPr>
              <w:t>12</w:t>
            </w:r>
          </w:p>
        </w:tc>
      </w:tr>
      <w:tr w:rsidRPr="00E672CA" w:rsidR="003E7268" w:rsidTr="00A02249" w14:paraId="381CFBD9"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63C5EC0F" w14:textId="02B3040D">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3AFDDD3B" w14:textId="02F69522">
            <w:pPr>
              <w:rPr>
                <w:rFonts w:asciiTheme="minorHAnsi" w:hAnsiTheme="minorHAnsi" w:cstheme="minorHAnsi"/>
                <w:b/>
                <w:bCs/>
                <w:color w:val="000000"/>
                <w:sz w:val="22"/>
                <w:szCs w:val="22"/>
              </w:rPr>
            </w:pPr>
            <w:r>
              <w:rPr>
                <w:rFonts w:ascii="Calibri" w:hAnsi="Calibri" w:cs="Calibri"/>
                <w:color w:val="000000"/>
                <w:sz w:val="22"/>
                <w:szCs w:val="22"/>
              </w:rPr>
              <w:t>12</w:t>
            </w:r>
          </w:p>
        </w:tc>
      </w:tr>
      <w:tr w:rsidRPr="00E672CA" w:rsidR="003E7268" w:rsidTr="00A02249" w14:paraId="67396339"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4AF67E63" w14:textId="28AF230B">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6D5B6B89" w14:textId="219D58F5">
            <w:pPr>
              <w:rPr>
                <w:rFonts w:asciiTheme="minorHAnsi" w:hAnsiTheme="minorHAnsi" w:cstheme="minorHAnsi"/>
                <w:b/>
                <w:bCs/>
                <w:color w:val="000000"/>
                <w:sz w:val="22"/>
                <w:szCs w:val="22"/>
              </w:rPr>
            </w:pPr>
            <w:r>
              <w:rPr>
                <w:rFonts w:ascii="Calibri" w:hAnsi="Calibri" w:cs="Calibri"/>
                <w:color w:val="000000"/>
                <w:sz w:val="22"/>
                <w:szCs w:val="22"/>
              </w:rPr>
              <w:t>12</w:t>
            </w:r>
          </w:p>
        </w:tc>
      </w:tr>
      <w:tr w:rsidRPr="00E672CA" w:rsidR="003E7268" w:rsidTr="00A02249" w14:paraId="07588638"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1FA076AC" w14:textId="61E018F0">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3E7268" w14:paraId="69F56CB7" w14:textId="09874C64">
            <w:pPr>
              <w:rPr>
                <w:rFonts w:asciiTheme="minorHAnsi" w:hAnsiTheme="minorHAnsi" w:cstheme="minorHAnsi"/>
                <w:b/>
                <w:bCs/>
                <w:color w:val="000000"/>
                <w:sz w:val="22"/>
                <w:szCs w:val="22"/>
              </w:rPr>
            </w:pPr>
            <w:r>
              <w:rPr>
                <w:rFonts w:ascii="Calibri" w:hAnsi="Calibri" w:cs="Calibri"/>
                <w:color w:val="000000"/>
                <w:sz w:val="22"/>
                <w:szCs w:val="22"/>
              </w:rPr>
              <w:t>1</w:t>
            </w:r>
            <w:r w:rsidR="000C1E76">
              <w:rPr>
                <w:rFonts w:ascii="Calibri" w:hAnsi="Calibri" w:cs="Calibri"/>
                <w:color w:val="000000"/>
                <w:sz w:val="22"/>
                <w:szCs w:val="22"/>
              </w:rPr>
              <w:t>2</w:t>
            </w:r>
          </w:p>
        </w:tc>
      </w:tr>
      <w:tr w:rsidRPr="00E672CA" w:rsidR="003E7268" w:rsidTr="00A02249" w14:paraId="0DCE21C0"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6A21CEBC" w14:textId="6D29AC04">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2E04EB93" w14:textId="11890DF8">
            <w:pPr>
              <w:rPr>
                <w:rFonts w:asciiTheme="minorHAnsi" w:hAnsiTheme="minorHAnsi" w:cstheme="minorHAnsi"/>
                <w:b/>
                <w:bCs/>
                <w:color w:val="000000"/>
                <w:sz w:val="22"/>
                <w:szCs w:val="22"/>
              </w:rPr>
            </w:pPr>
            <w:r>
              <w:rPr>
                <w:rFonts w:ascii="Calibri" w:hAnsi="Calibri" w:cs="Calibri"/>
                <w:color w:val="000000"/>
                <w:sz w:val="22"/>
                <w:szCs w:val="22"/>
              </w:rPr>
              <w:t>36</w:t>
            </w:r>
          </w:p>
        </w:tc>
      </w:tr>
      <w:tr w:rsidRPr="00E672CA" w:rsidR="003E7268" w:rsidTr="00A02249" w14:paraId="5A2B6A49"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37F170D5" w14:textId="72B906D1">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44826A0E" w14:textId="08FE6DF3">
            <w:pPr>
              <w:rPr>
                <w:rFonts w:asciiTheme="minorHAnsi" w:hAnsiTheme="minorHAnsi" w:cstheme="minorHAnsi"/>
                <w:b/>
                <w:bCs/>
                <w:color w:val="000000"/>
                <w:sz w:val="22"/>
                <w:szCs w:val="22"/>
              </w:rPr>
            </w:pPr>
            <w:r>
              <w:rPr>
                <w:rFonts w:ascii="Calibri" w:hAnsi="Calibri" w:cs="Calibri"/>
                <w:color w:val="000000"/>
                <w:sz w:val="22"/>
                <w:szCs w:val="22"/>
              </w:rPr>
              <w:t>36</w:t>
            </w:r>
          </w:p>
        </w:tc>
      </w:tr>
      <w:tr w:rsidRPr="00E672CA" w:rsidR="003E7268" w:rsidTr="00A02249" w14:paraId="33622F70"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4E994C22" w14:textId="3F477963">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3E7268" w14:paraId="6A0A977B" w14:textId="7F74DCD1">
            <w:pPr>
              <w:rPr>
                <w:rFonts w:asciiTheme="minorHAnsi" w:hAnsiTheme="minorHAnsi" w:cstheme="minorHAnsi"/>
                <w:b/>
                <w:bCs/>
                <w:color w:val="000000"/>
                <w:sz w:val="22"/>
                <w:szCs w:val="22"/>
              </w:rPr>
            </w:pPr>
            <w:r>
              <w:rPr>
                <w:rFonts w:ascii="Calibri" w:hAnsi="Calibri" w:cs="Calibri"/>
                <w:color w:val="000000"/>
                <w:sz w:val="22"/>
                <w:szCs w:val="22"/>
              </w:rPr>
              <w:t>5</w:t>
            </w:r>
            <w:r w:rsidR="000C1E76">
              <w:rPr>
                <w:rFonts w:ascii="Calibri" w:hAnsi="Calibri" w:cs="Calibri"/>
                <w:color w:val="000000"/>
                <w:sz w:val="22"/>
                <w:szCs w:val="22"/>
              </w:rPr>
              <w:t>2</w:t>
            </w:r>
          </w:p>
        </w:tc>
      </w:tr>
      <w:tr w:rsidRPr="00E672CA" w:rsidR="003E7268" w:rsidTr="00A02249" w14:paraId="1EB06D76"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58C2A8CA" w14:textId="34088F60">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3ED223B3" w14:textId="53994E2F">
            <w:pPr>
              <w:rPr>
                <w:rFonts w:asciiTheme="minorHAnsi" w:hAnsiTheme="minorHAnsi" w:cstheme="minorHAnsi"/>
                <w:b/>
                <w:bCs/>
                <w:color w:val="000000"/>
                <w:sz w:val="22"/>
                <w:szCs w:val="22"/>
              </w:rPr>
            </w:pPr>
            <w:r>
              <w:rPr>
                <w:rFonts w:ascii="Calibri" w:hAnsi="Calibri" w:cs="Calibri"/>
                <w:color w:val="000000"/>
                <w:sz w:val="22"/>
                <w:szCs w:val="22"/>
              </w:rPr>
              <w:t>52</w:t>
            </w:r>
          </w:p>
        </w:tc>
      </w:tr>
      <w:tr w:rsidRPr="00E672CA" w:rsidR="003E7268" w:rsidTr="00A02249" w14:paraId="1BC6B8F8"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7163FCC4" w14:textId="4771297F">
            <w:pPr>
              <w:rPr>
                <w:rFonts w:asciiTheme="minorHAnsi" w:hAnsiTheme="minorHAnsi" w:cstheme="minorHAnsi"/>
                <w:b/>
                <w:bCs/>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23E4CE2F" w14:textId="6DC42A38">
            <w:pPr>
              <w:rPr>
                <w:rFonts w:asciiTheme="minorHAnsi" w:hAnsiTheme="minorHAnsi" w:cstheme="minorHAnsi"/>
                <w:b/>
                <w:bCs/>
                <w:color w:val="000000"/>
                <w:sz w:val="22"/>
                <w:szCs w:val="22"/>
              </w:rPr>
            </w:pPr>
            <w:r>
              <w:rPr>
                <w:rFonts w:ascii="Calibri" w:hAnsi="Calibri" w:cs="Calibri"/>
                <w:color w:val="000000"/>
                <w:sz w:val="22"/>
                <w:szCs w:val="22"/>
              </w:rPr>
              <w:t>52</w:t>
            </w:r>
          </w:p>
        </w:tc>
      </w:tr>
      <w:tr w:rsidRPr="00E672CA" w:rsidR="003E7268" w:rsidTr="00A02249" w14:paraId="782E19E8"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0E7B70E2" w14:textId="733EB927">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30A65596" w14:textId="682057DE">
            <w:pPr>
              <w:rPr>
                <w:rFonts w:asciiTheme="minorHAnsi" w:hAnsiTheme="minorHAnsi" w:cstheme="minorHAnsi"/>
                <w:sz w:val="22"/>
                <w:szCs w:val="22"/>
              </w:rPr>
            </w:pPr>
            <w:r>
              <w:rPr>
                <w:rFonts w:ascii="Calibri" w:hAnsi="Calibri" w:cs="Calibri"/>
                <w:color w:val="000000"/>
                <w:sz w:val="22"/>
                <w:szCs w:val="22"/>
              </w:rPr>
              <w:t>12</w:t>
            </w:r>
          </w:p>
        </w:tc>
      </w:tr>
      <w:tr w:rsidRPr="00E672CA" w:rsidR="003E7268" w:rsidTr="00A02249" w14:paraId="54AE783F"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27E8882E" w14:textId="1102F816">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0C1E76" w:rsidRDefault="003E7268" w14:paraId="1EBD067C" w14:textId="28435F81">
            <w:pPr>
              <w:rPr>
                <w:rFonts w:asciiTheme="minorHAnsi" w:hAnsiTheme="minorHAnsi" w:cstheme="minorHAnsi"/>
                <w:sz w:val="22"/>
                <w:szCs w:val="22"/>
              </w:rPr>
            </w:pPr>
            <w:r>
              <w:rPr>
                <w:rFonts w:ascii="Calibri" w:hAnsi="Calibri" w:cs="Calibri"/>
                <w:color w:val="000000"/>
                <w:sz w:val="22"/>
                <w:szCs w:val="22"/>
              </w:rPr>
              <w:t>1</w:t>
            </w:r>
            <w:r w:rsidR="000C1E76">
              <w:rPr>
                <w:rFonts w:ascii="Calibri" w:hAnsi="Calibri" w:cs="Calibri"/>
                <w:color w:val="000000"/>
                <w:sz w:val="22"/>
                <w:szCs w:val="22"/>
              </w:rPr>
              <w:t>2</w:t>
            </w:r>
          </w:p>
        </w:tc>
      </w:tr>
      <w:tr w:rsidRPr="00E672CA" w:rsidR="003E7268" w:rsidTr="00A02249" w14:paraId="3D3D9275"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166ACF86" w14:textId="631B74F0">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0C1E76" w:rsidRDefault="003E7268" w14:paraId="1AA81515" w14:textId="4C4BFCAB">
            <w:pPr>
              <w:rPr>
                <w:rFonts w:asciiTheme="minorHAnsi" w:hAnsiTheme="minorHAnsi" w:cstheme="minorHAnsi"/>
                <w:sz w:val="22"/>
                <w:szCs w:val="22"/>
              </w:rPr>
            </w:pPr>
            <w:r>
              <w:rPr>
                <w:rFonts w:ascii="Calibri" w:hAnsi="Calibri" w:cs="Calibri"/>
                <w:color w:val="000000"/>
                <w:sz w:val="22"/>
                <w:szCs w:val="22"/>
              </w:rPr>
              <w:t>1</w:t>
            </w:r>
            <w:r w:rsidR="000C1E76">
              <w:rPr>
                <w:rFonts w:ascii="Calibri" w:hAnsi="Calibri" w:cs="Calibri"/>
                <w:color w:val="000000"/>
                <w:sz w:val="22"/>
                <w:szCs w:val="22"/>
              </w:rPr>
              <w:t>2</w:t>
            </w:r>
          </w:p>
        </w:tc>
      </w:tr>
      <w:tr w:rsidRPr="00E672CA" w:rsidR="003E7268" w:rsidTr="00A02249" w14:paraId="47F2F771"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6CF55D95" w14:textId="5EF8BD12">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0C1E76" w:rsidRDefault="003E7268" w14:paraId="1C140AE7" w14:textId="4D2012BB">
            <w:pPr>
              <w:rPr>
                <w:rFonts w:asciiTheme="minorHAnsi" w:hAnsiTheme="minorHAnsi" w:cstheme="minorHAnsi"/>
                <w:sz w:val="22"/>
                <w:szCs w:val="22"/>
              </w:rPr>
            </w:pPr>
            <w:r>
              <w:rPr>
                <w:rFonts w:ascii="Calibri" w:hAnsi="Calibri" w:cs="Calibri"/>
                <w:color w:val="000000"/>
                <w:sz w:val="22"/>
                <w:szCs w:val="22"/>
              </w:rPr>
              <w:t>1</w:t>
            </w:r>
            <w:r w:rsidR="000C1E76">
              <w:rPr>
                <w:rFonts w:ascii="Calibri" w:hAnsi="Calibri" w:cs="Calibri"/>
                <w:color w:val="000000"/>
                <w:sz w:val="22"/>
                <w:szCs w:val="22"/>
              </w:rPr>
              <w:t>2</w:t>
            </w:r>
          </w:p>
        </w:tc>
      </w:tr>
      <w:tr w:rsidRPr="00E672CA" w:rsidR="003E7268" w:rsidTr="00A02249" w14:paraId="7E26C291"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3C44F9CE" w14:textId="79FC324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3D3039D0" w14:textId="35B7E109">
            <w:pPr>
              <w:rPr>
                <w:rFonts w:asciiTheme="minorHAnsi" w:hAnsiTheme="minorHAnsi" w:cstheme="minorHAnsi"/>
                <w:sz w:val="22"/>
                <w:szCs w:val="22"/>
              </w:rPr>
            </w:pPr>
            <w:r>
              <w:rPr>
                <w:rFonts w:ascii="Calibri" w:hAnsi="Calibri" w:cs="Calibri"/>
                <w:color w:val="000000"/>
                <w:sz w:val="22"/>
                <w:szCs w:val="22"/>
              </w:rPr>
              <w:t>12</w:t>
            </w:r>
          </w:p>
        </w:tc>
      </w:tr>
      <w:tr w:rsidRPr="00E672CA" w:rsidR="003E7268" w:rsidTr="00A02249" w14:paraId="723E243C"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0947749E" w14:textId="2633EFDD">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15517D3C" w14:textId="547F7F6D">
            <w:pPr>
              <w:rPr>
                <w:rFonts w:asciiTheme="minorHAnsi" w:hAnsiTheme="minorHAnsi" w:cstheme="minorHAnsi"/>
                <w:sz w:val="22"/>
                <w:szCs w:val="22"/>
              </w:rPr>
            </w:pPr>
            <w:r>
              <w:rPr>
                <w:rFonts w:ascii="Calibri" w:hAnsi="Calibri" w:cs="Calibri"/>
                <w:color w:val="000000"/>
                <w:sz w:val="22"/>
                <w:szCs w:val="22"/>
              </w:rPr>
              <w:t>12</w:t>
            </w:r>
          </w:p>
        </w:tc>
      </w:tr>
      <w:tr w:rsidRPr="00E672CA" w:rsidR="003E7268" w:rsidTr="00A02249" w14:paraId="5B67FF75"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6B82AB45" w14:textId="70872D91">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0EF15574" w14:textId="04A637D2">
            <w:pPr>
              <w:rPr>
                <w:rFonts w:asciiTheme="minorHAnsi" w:hAnsiTheme="minorHAnsi" w:cstheme="minorHAnsi"/>
                <w:sz w:val="22"/>
                <w:szCs w:val="22"/>
              </w:rPr>
            </w:pPr>
            <w:r>
              <w:rPr>
                <w:rFonts w:ascii="Calibri" w:hAnsi="Calibri" w:cs="Calibri"/>
                <w:color w:val="000000"/>
                <w:sz w:val="22"/>
                <w:szCs w:val="22"/>
              </w:rPr>
              <w:t>12</w:t>
            </w:r>
          </w:p>
        </w:tc>
      </w:tr>
      <w:tr w:rsidRPr="00E672CA" w:rsidR="003E7268" w:rsidTr="00A02249" w14:paraId="311BDEC2"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617C00D4" w14:textId="5747D5F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0C1E76" w14:paraId="6D38A4EC" w14:textId="6C38BB74">
            <w:pPr>
              <w:rPr>
                <w:rFonts w:asciiTheme="minorHAnsi" w:hAnsiTheme="minorHAnsi" w:cstheme="minorHAnsi"/>
                <w:sz w:val="22"/>
                <w:szCs w:val="22"/>
              </w:rPr>
            </w:pPr>
            <w:r>
              <w:rPr>
                <w:rFonts w:ascii="Calibri" w:hAnsi="Calibri" w:cs="Calibri"/>
                <w:color w:val="000000"/>
                <w:sz w:val="22"/>
                <w:szCs w:val="22"/>
              </w:rPr>
              <w:t>12</w:t>
            </w:r>
          </w:p>
        </w:tc>
      </w:tr>
      <w:tr w:rsidRPr="00E672CA" w:rsidR="003E7268" w:rsidTr="00A02249" w14:paraId="1C06E558" w14:textId="77777777">
        <w:trPr>
          <w:gridAfter w:val="1"/>
          <w:wAfter w:w="236" w:type="dxa"/>
          <w:trHeight w:val="289"/>
        </w:trPr>
        <w:tc>
          <w:tcPr>
            <w:tcW w:w="3600" w:type="dxa"/>
            <w:gridSpan w:val="2"/>
            <w:tcBorders>
              <w:top w:val="single" w:color="auto" w:sz="4" w:space="0"/>
            </w:tcBorders>
            <w:shd w:val="clear" w:color="000000" w:fill="FFFFFF"/>
            <w:noWrap/>
            <w:vAlign w:val="bottom"/>
          </w:tcPr>
          <w:p w:rsidRPr="00040DBE" w:rsidR="003E7268" w:rsidP="003E7268" w:rsidRDefault="003E7268" w14:paraId="5AB56B39" w14:textId="7CA06A2C">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5760" w:type="dxa"/>
            <w:gridSpan w:val="4"/>
            <w:tcBorders>
              <w:top w:val="single" w:color="auto" w:sz="4" w:space="0"/>
            </w:tcBorders>
            <w:shd w:val="clear" w:color="auto" w:fill="F2F2F2" w:themeFill="background1" w:themeFillShade="F2"/>
            <w:noWrap/>
          </w:tcPr>
          <w:p w:rsidRPr="00040DBE" w:rsidR="003E7268" w:rsidP="003E7268" w:rsidRDefault="003E7268" w14:paraId="7CDF427E" w14:textId="04EB5C3B">
            <w:pPr>
              <w:rPr>
                <w:rFonts w:asciiTheme="minorHAnsi" w:hAnsiTheme="minorHAnsi" w:cstheme="minorHAnsi"/>
                <w:sz w:val="22"/>
                <w:szCs w:val="22"/>
              </w:rPr>
            </w:pPr>
            <w:r>
              <w:rPr>
                <w:rFonts w:asciiTheme="minorHAnsi" w:hAnsiTheme="minorHAnsi" w:cstheme="minorHAnsi"/>
                <w:sz w:val="22"/>
                <w:szCs w:val="22"/>
              </w:rPr>
              <w:t>Not applicable</w:t>
            </w:r>
          </w:p>
        </w:tc>
      </w:tr>
      <w:tr w:rsidRPr="00E672CA" w:rsidR="003E7268" w:rsidTr="00A02249" w14:paraId="06D7DC97" w14:textId="77777777">
        <w:trPr>
          <w:gridAfter w:val="1"/>
          <w:wAfter w:w="236" w:type="dxa"/>
          <w:trHeight w:val="299"/>
        </w:trPr>
        <w:tc>
          <w:tcPr>
            <w:tcW w:w="3600" w:type="dxa"/>
            <w:gridSpan w:val="2"/>
            <w:tcBorders>
              <w:top w:val="single" w:color="auto" w:sz="4" w:space="0"/>
            </w:tcBorders>
            <w:shd w:val="clear" w:color="000000" w:fill="FFFFFF"/>
            <w:noWrap/>
            <w:hideMark/>
          </w:tcPr>
          <w:p w:rsidRPr="00606BF0" w:rsidR="003E7268" w:rsidP="003E7268" w:rsidRDefault="003E7268" w14:paraId="4454289A" w14:textId="77777777">
            <w:pPr>
              <w:rPr>
                <w:rFonts w:ascii="Calibri" w:hAnsi="Calibri" w:cs="Calibri"/>
                <w:b/>
                <w:bCs/>
                <w:color w:val="000000"/>
                <w:sz w:val="22"/>
                <w:szCs w:val="22"/>
              </w:rPr>
            </w:pPr>
            <w:r w:rsidRPr="00606BF0">
              <w:rPr>
                <w:rFonts w:ascii="Calibri" w:hAnsi="Calibri" w:cs="Calibri"/>
                <w:b/>
                <w:color w:val="000000"/>
                <w:sz w:val="22"/>
                <w:szCs w:val="22"/>
              </w:rPr>
              <w:lastRenderedPageBreak/>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adopt rule and develop program</w:t>
            </w:r>
          </w:p>
          <w:p w:rsidRPr="00E672CA" w:rsidR="003E7268" w:rsidP="003E7268" w:rsidRDefault="003E7268" w14:paraId="6BA66AFE" w14:textId="77777777">
            <w:pPr>
              <w:rPr>
                <w:rFonts w:ascii="Calibri" w:hAnsi="Calibri" w:cs="Calibri"/>
                <w:b/>
                <w:bCs/>
                <w:color w:val="000000"/>
                <w:sz w:val="22"/>
                <w:szCs w:val="22"/>
              </w:rPr>
            </w:pPr>
            <w:r w:rsidRPr="00E672CA">
              <w:rPr>
                <w:rFonts w:ascii="Calibri" w:hAnsi="Calibri" w:cs="Calibri"/>
                <w:b/>
                <w:bCs/>
                <w:color w:val="000000"/>
                <w:sz w:val="22"/>
                <w:szCs w:val="22"/>
              </w:rPr>
              <w:t>Value</w:t>
            </w:r>
          </w:p>
        </w:tc>
        <w:tc>
          <w:tcPr>
            <w:tcW w:w="5760" w:type="dxa"/>
            <w:gridSpan w:val="4"/>
            <w:tcBorders>
              <w:top w:val="single" w:color="auto" w:sz="4" w:space="0"/>
            </w:tcBorders>
            <w:shd w:val="clear" w:color="000000" w:fill="FFFFFF"/>
            <w:noWrap/>
            <w:hideMark/>
          </w:tcPr>
          <w:p w:rsidRPr="00E672CA" w:rsidR="003E7268" w:rsidP="00ED142F" w:rsidRDefault="00DE4311" w14:paraId="6A638450" w14:textId="65211590">
            <w:pPr>
              <w:rPr>
                <w:rFonts w:ascii="Calibri" w:hAnsi="Calibri" w:cs="Calibri"/>
                <w:color w:val="000000"/>
                <w:sz w:val="22"/>
                <w:szCs w:val="22"/>
              </w:rPr>
            </w:pPr>
            <w:r w:rsidRPr="00DE4311">
              <w:rPr>
                <w:rFonts w:ascii="Calibri" w:hAnsi="Calibri" w:cs="Calibri"/>
                <w:b/>
                <w:bCs/>
                <w:color w:val="000000"/>
                <w:sz w:val="22"/>
                <w:szCs w:val="22"/>
              </w:rPr>
              <w:t xml:space="preserve">Source: </w:t>
            </w:r>
            <w:r>
              <w:rPr>
                <w:rFonts w:ascii="Calibri" w:hAnsi="Calibri" w:cs="Calibri"/>
                <w:bCs/>
                <w:color w:val="000000"/>
                <w:sz w:val="22"/>
                <w:szCs w:val="22"/>
              </w:rPr>
              <w:t xml:space="preserve">ASDWA </w:t>
            </w:r>
            <w:proofErr w:type="spellStart"/>
            <w:r>
              <w:rPr>
                <w:rFonts w:ascii="Calibri" w:hAnsi="Calibri" w:cs="Calibri"/>
                <w:bCs/>
                <w:color w:val="000000"/>
                <w:sz w:val="22"/>
                <w:szCs w:val="22"/>
              </w:rPr>
              <w:t>CoSTS</w:t>
            </w:r>
            <w:proofErr w:type="spellEnd"/>
            <w:r>
              <w:rPr>
                <w:rFonts w:ascii="Calibri" w:hAnsi="Calibri" w:cs="Calibri"/>
                <w:bCs/>
                <w:color w:val="000000"/>
                <w:sz w:val="22"/>
                <w:szCs w:val="22"/>
              </w:rPr>
              <w:t xml:space="preserve"> model, </w:t>
            </w:r>
            <w:r w:rsidRPr="00DE4311">
              <w:rPr>
                <w:rFonts w:ascii="Calibri" w:hAnsi="Calibri" w:cs="Calibri"/>
                <w:bCs/>
                <w:color w:val="000000"/>
                <w:sz w:val="22"/>
                <w:szCs w:val="22"/>
              </w:rPr>
              <w:t xml:space="preserve">"Final </w:t>
            </w:r>
            <w:proofErr w:type="spellStart"/>
            <w:r w:rsidRPr="00DE4311">
              <w:rPr>
                <w:rFonts w:ascii="Calibri" w:hAnsi="Calibri" w:cs="Calibri"/>
                <w:bCs/>
                <w:color w:val="000000"/>
                <w:sz w:val="22"/>
                <w:szCs w:val="22"/>
              </w:rPr>
              <w:t>CoSTS</w:t>
            </w:r>
            <w:proofErr w:type="spellEnd"/>
            <w:r w:rsidRPr="00DE4311">
              <w:rPr>
                <w:rFonts w:ascii="Calibri" w:hAnsi="Calibri" w:cs="Calibri"/>
                <w:bCs/>
                <w:color w:val="000000"/>
                <w:sz w:val="22"/>
                <w:szCs w:val="22"/>
              </w:rPr>
              <w:t xml:space="preserve"> 2-6-20.xlsx”, worksheet, Reg. Start-up.</w:t>
            </w:r>
            <w:r>
              <w:rPr>
                <w:rStyle w:val="FootnoteReference"/>
                <w:rFonts w:ascii="Calibri" w:hAnsi="Calibri" w:cs="Calibri"/>
                <w:bCs/>
                <w:color w:val="000000"/>
                <w:sz w:val="22"/>
                <w:szCs w:val="22"/>
              </w:rPr>
              <w:footnoteReference w:id="19"/>
            </w:r>
          </w:p>
        </w:tc>
      </w:tr>
      <w:tr w:rsidRPr="00E672CA" w:rsidR="003E7268" w:rsidTr="00A02249" w14:paraId="29A799F7" w14:textId="77777777">
        <w:trPr>
          <w:gridAfter w:val="1"/>
          <w:wAfter w:w="236" w:type="dxa"/>
          <w:trHeight w:val="289"/>
        </w:trPr>
        <w:tc>
          <w:tcPr>
            <w:tcW w:w="3600" w:type="dxa"/>
            <w:gridSpan w:val="2"/>
            <w:tcBorders>
              <w:bottom w:val="single" w:color="auto" w:sz="4" w:space="0"/>
            </w:tcBorders>
            <w:shd w:val="clear" w:color="000000" w:fill="EDEDED"/>
            <w:noWrap/>
            <w:hideMark/>
          </w:tcPr>
          <w:p w:rsidRPr="00E672CA" w:rsidR="003E7268" w:rsidP="003E7268" w:rsidRDefault="00DE4311" w14:paraId="22363312" w14:textId="41451FC9">
            <w:pPr>
              <w:rPr>
                <w:rFonts w:ascii="Calibri" w:hAnsi="Calibri" w:cs="Calibri"/>
                <w:color w:val="000000"/>
                <w:sz w:val="22"/>
                <w:szCs w:val="22"/>
              </w:rPr>
            </w:pPr>
            <w:r>
              <w:rPr>
                <w:rFonts w:ascii="Calibri" w:hAnsi="Calibri" w:cs="Calibri"/>
                <w:color w:val="000000"/>
                <w:sz w:val="22"/>
                <w:szCs w:val="22"/>
              </w:rPr>
              <w:t>1,920</w:t>
            </w:r>
          </w:p>
        </w:tc>
        <w:tc>
          <w:tcPr>
            <w:tcW w:w="5760" w:type="dxa"/>
            <w:gridSpan w:val="4"/>
            <w:tcBorders>
              <w:bottom w:val="single" w:color="auto" w:sz="4" w:space="0"/>
            </w:tcBorders>
            <w:shd w:val="clear" w:color="000000" w:fill="FFFFFF"/>
            <w:noWrap/>
            <w:hideMark/>
          </w:tcPr>
          <w:p w:rsidRPr="00E672CA" w:rsidR="003E7268" w:rsidP="003E7268" w:rsidRDefault="003E7268" w14:paraId="14520572" w14:textId="77777777">
            <w:pPr>
              <w:rPr>
                <w:rFonts w:ascii="Calibri" w:hAnsi="Calibri" w:cs="Calibri"/>
                <w:color w:val="000000"/>
                <w:sz w:val="22"/>
                <w:szCs w:val="22"/>
              </w:rPr>
            </w:pPr>
            <w:r w:rsidRPr="00E672CA">
              <w:rPr>
                <w:rFonts w:ascii="Calibri" w:hAnsi="Calibri" w:cs="Calibri"/>
                <w:color w:val="000000"/>
                <w:sz w:val="22"/>
                <w:szCs w:val="22"/>
              </w:rPr>
              <w:t> </w:t>
            </w:r>
          </w:p>
        </w:tc>
      </w:tr>
      <w:tr w:rsidRPr="00E672CA" w:rsidR="003E7268" w:rsidTr="00A02249" w14:paraId="20E5AD42" w14:textId="77777777">
        <w:trPr>
          <w:gridAfter w:val="1"/>
          <w:wAfter w:w="236" w:type="dxa"/>
          <w:trHeight w:val="289"/>
        </w:trPr>
        <w:tc>
          <w:tcPr>
            <w:tcW w:w="3600" w:type="dxa"/>
            <w:gridSpan w:val="2"/>
            <w:tcBorders>
              <w:top w:val="single" w:color="auto" w:sz="4" w:space="0"/>
            </w:tcBorders>
            <w:shd w:val="clear" w:color="000000" w:fill="FFFFFF"/>
            <w:noWrap/>
            <w:hideMark/>
          </w:tcPr>
          <w:p w:rsidRPr="00606BF0" w:rsidR="003E7268" w:rsidP="003E7268" w:rsidRDefault="003E7268" w14:paraId="1DCA7160" w14:textId="77777777">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modify data system while implementing rule</w:t>
            </w:r>
          </w:p>
        </w:tc>
        <w:tc>
          <w:tcPr>
            <w:tcW w:w="5760" w:type="dxa"/>
            <w:gridSpan w:val="4"/>
            <w:tcBorders>
              <w:top w:val="single" w:color="auto" w:sz="4" w:space="0"/>
            </w:tcBorders>
            <w:shd w:val="clear" w:color="000000" w:fill="FFFFFF"/>
            <w:noWrap/>
            <w:hideMark/>
          </w:tcPr>
          <w:p w:rsidRPr="00E672CA" w:rsidR="003E7268" w:rsidP="003E7268" w:rsidRDefault="00DE4311" w14:paraId="7A6C1EC7" w14:textId="12A92275">
            <w:pPr>
              <w:rPr>
                <w:rFonts w:ascii="Calibri" w:hAnsi="Calibri" w:cs="Calibri"/>
                <w:color w:val="000000"/>
                <w:sz w:val="22"/>
                <w:szCs w:val="22"/>
              </w:rPr>
            </w:pPr>
            <w:r w:rsidRPr="00DE4311">
              <w:rPr>
                <w:rFonts w:ascii="Calibri" w:hAnsi="Calibri" w:cs="Calibri"/>
                <w:b/>
                <w:bCs/>
                <w:color w:val="000000"/>
                <w:sz w:val="22"/>
                <w:szCs w:val="22"/>
              </w:rPr>
              <w:t xml:space="preserve">Source: </w:t>
            </w:r>
            <w:r>
              <w:rPr>
                <w:rFonts w:ascii="Calibri" w:hAnsi="Calibri" w:cs="Calibri"/>
                <w:bCs/>
                <w:color w:val="000000"/>
                <w:sz w:val="22"/>
                <w:szCs w:val="22"/>
              </w:rPr>
              <w:t xml:space="preserve">ASDWA </w:t>
            </w:r>
            <w:proofErr w:type="spellStart"/>
            <w:r>
              <w:rPr>
                <w:rFonts w:ascii="Calibri" w:hAnsi="Calibri" w:cs="Calibri"/>
                <w:bCs/>
                <w:color w:val="000000"/>
                <w:sz w:val="22"/>
                <w:szCs w:val="22"/>
              </w:rPr>
              <w:t>CoSTS</w:t>
            </w:r>
            <w:proofErr w:type="spellEnd"/>
            <w:r>
              <w:rPr>
                <w:rFonts w:ascii="Calibri" w:hAnsi="Calibri" w:cs="Calibri"/>
                <w:bCs/>
                <w:color w:val="000000"/>
                <w:sz w:val="22"/>
                <w:szCs w:val="22"/>
              </w:rPr>
              <w:t xml:space="preserve"> model, </w:t>
            </w:r>
            <w:r w:rsidRPr="00DE4311">
              <w:rPr>
                <w:rFonts w:ascii="Calibri" w:hAnsi="Calibri" w:cs="Calibri"/>
                <w:bCs/>
                <w:color w:val="000000"/>
                <w:sz w:val="22"/>
                <w:szCs w:val="22"/>
              </w:rPr>
              <w:t xml:space="preserve">"Final </w:t>
            </w:r>
            <w:proofErr w:type="spellStart"/>
            <w:r w:rsidRPr="00DE4311">
              <w:rPr>
                <w:rFonts w:ascii="Calibri" w:hAnsi="Calibri" w:cs="Calibri"/>
                <w:bCs/>
                <w:color w:val="000000"/>
                <w:sz w:val="22"/>
                <w:szCs w:val="22"/>
              </w:rPr>
              <w:t>CoSTS</w:t>
            </w:r>
            <w:proofErr w:type="spellEnd"/>
            <w:r w:rsidRPr="00DE4311">
              <w:rPr>
                <w:rFonts w:ascii="Calibri" w:hAnsi="Calibri" w:cs="Calibri"/>
                <w:bCs/>
                <w:color w:val="000000"/>
                <w:sz w:val="22"/>
                <w:szCs w:val="22"/>
              </w:rPr>
              <w:t xml:space="preserve"> 2-6-20.xlsx”, worksheet, Reg. Start-up.</w:t>
            </w:r>
          </w:p>
        </w:tc>
      </w:tr>
      <w:tr w:rsidRPr="00E672CA" w:rsidR="003E7268" w:rsidTr="00A02249" w14:paraId="7709798E" w14:textId="77777777">
        <w:trPr>
          <w:gridAfter w:val="1"/>
          <w:wAfter w:w="236" w:type="dxa"/>
          <w:trHeight w:val="289"/>
        </w:trPr>
        <w:tc>
          <w:tcPr>
            <w:tcW w:w="3600" w:type="dxa"/>
            <w:gridSpan w:val="2"/>
            <w:tcBorders>
              <w:bottom w:val="single" w:color="auto" w:sz="4" w:space="0"/>
            </w:tcBorders>
            <w:shd w:val="clear" w:color="000000" w:fill="EDEDED"/>
            <w:noWrap/>
            <w:hideMark/>
          </w:tcPr>
          <w:p w:rsidRPr="00E672CA" w:rsidR="003E7268" w:rsidP="003E7268" w:rsidRDefault="000C1E76" w14:paraId="26348549" w14:textId="5C702027">
            <w:pPr>
              <w:rPr>
                <w:rFonts w:ascii="Calibri" w:hAnsi="Calibri" w:cs="Calibri"/>
                <w:color w:val="000000"/>
                <w:sz w:val="22"/>
                <w:szCs w:val="22"/>
              </w:rPr>
            </w:pPr>
            <w:r>
              <w:rPr>
                <w:rFonts w:ascii="Calibri" w:hAnsi="Calibri" w:cs="Calibri"/>
                <w:color w:val="000000"/>
                <w:sz w:val="22"/>
                <w:szCs w:val="22"/>
              </w:rPr>
              <w:t>2,220</w:t>
            </w:r>
          </w:p>
        </w:tc>
        <w:tc>
          <w:tcPr>
            <w:tcW w:w="5760" w:type="dxa"/>
            <w:gridSpan w:val="4"/>
            <w:tcBorders>
              <w:bottom w:val="single" w:color="auto" w:sz="4" w:space="0"/>
            </w:tcBorders>
            <w:shd w:val="clear" w:color="000000" w:fill="FFFFFF"/>
            <w:noWrap/>
            <w:hideMark/>
          </w:tcPr>
          <w:p w:rsidRPr="00E672CA" w:rsidR="003E7268" w:rsidP="003E7268" w:rsidRDefault="003E7268" w14:paraId="47E9FFDC" w14:textId="77777777">
            <w:pPr>
              <w:rPr>
                <w:rFonts w:ascii="Calibri" w:hAnsi="Calibri" w:cs="Calibri"/>
                <w:color w:val="000000"/>
                <w:sz w:val="22"/>
                <w:szCs w:val="22"/>
              </w:rPr>
            </w:pPr>
            <w:r w:rsidRPr="00E672CA">
              <w:rPr>
                <w:rFonts w:ascii="Calibri" w:hAnsi="Calibri" w:cs="Calibri"/>
                <w:color w:val="000000"/>
                <w:sz w:val="22"/>
                <w:szCs w:val="22"/>
              </w:rPr>
              <w:t> </w:t>
            </w:r>
          </w:p>
        </w:tc>
      </w:tr>
      <w:tr w:rsidRPr="00E672CA" w:rsidR="003E7268" w:rsidTr="00A02249" w14:paraId="4067A821" w14:textId="77777777">
        <w:trPr>
          <w:gridAfter w:val="1"/>
          <w:wAfter w:w="236" w:type="dxa"/>
          <w:trHeight w:val="289"/>
        </w:trPr>
        <w:tc>
          <w:tcPr>
            <w:tcW w:w="3600" w:type="dxa"/>
            <w:gridSpan w:val="2"/>
            <w:tcBorders>
              <w:top w:val="single" w:color="auto" w:sz="4" w:space="0"/>
            </w:tcBorders>
            <w:shd w:val="clear" w:color="000000" w:fill="FFFFFF"/>
            <w:noWrap/>
            <w:hideMark/>
          </w:tcPr>
          <w:p w:rsidRPr="00E672CA" w:rsidR="003E7268" w:rsidP="000C1E76" w:rsidRDefault="003E7268" w14:paraId="4189263C" w14:textId="74DB5227">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w:t>
            </w:r>
            <w:r w:rsidR="000C1E76">
              <w:rPr>
                <w:rFonts w:ascii="Calibri" w:hAnsi="Calibri" w:cs="Calibri"/>
                <w:b/>
                <w:color w:val="000000"/>
                <w:sz w:val="22"/>
                <w:szCs w:val="22"/>
              </w:rPr>
              <w:t>to provide system</w:t>
            </w:r>
            <w:r w:rsidRPr="00606BF0" w:rsidR="000C1E76">
              <w:rPr>
                <w:rFonts w:ascii="Calibri" w:hAnsi="Calibri" w:cs="Calibri"/>
                <w:b/>
                <w:color w:val="000000"/>
                <w:sz w:val="22"/>
                <w:szCs w:val="22"/>
              </w:rPr>
              <w:t xml:space="preserve"> </w:t>
            </w:r>
            <w:r w:rsidRPr="00606BF0">
              <w:rPr>
                <w:rFonts w:ascii="Calibri" w:hAnsi="Calibri" w:cs="Calibri"/>
                <w:b/>
                <w:color w:val="000000"/>
                <w:sz w:val="22"/>
                <w:szCs w:val="22"/>
              </w:rPr>
              <w:t xml:space="preserve">staff </w:t>
            </w:r>
            <w:r w:rsidR="000C1E76">
              <w:rPr>
                <w:rFonts w:ascii="Calibri" w:hAnsi="Calibri" w:cs="Calibri"/>
                <w:b/>
                <w:color w:val="000000"/>
                <w:sz w:val="22"/>
                <w:szCs w:val="22"/>
              </w:rPr>
              <w:t>with</w:t>
            </w:r>
            <w:r w:rsidRPr="00606BF0" w:rsidR="000C1E76">
              <w:rPr>
                <w:rFonts w:ascii="Calibri" w:hAnsi="Calibri" w:cs="Calibri"/>
                <w:b/>
                <w:color w:val="000000"/>
                <w:sz w:val="22"/>
                <w:szCs w:val="22"/>
              </w:rPr>
              <w:t xml:space="preserve"> </w:t>
            </w:r>
            <w:r w:rsidRPr="00606BF0">
              <w:rPr>
                <w:rFonts w:ascii="Calibri" w:hAnsi="Calibri" w:cs="Calibri"/>
                <w:b/>
                <w:color w:val="000000"/>
                <w:sz w:val="22"/>
                <w:szCs w:val="22"/>
              </w:rPr>
              <w:t>training and technical assistance during rule implementation</w:t>
            </w:r>
          </w:p>
        </w:tc>
        <w:tc>
          <w:tcPr>
            <w:tcW w:w="5760" w:type="dxa"/>
            <w:gridSpan w:val="4"/>
            <w:tcBorders>
              <w:top w:val="single" w:color="auto" w:sz="4" w:space="0"/>
            </w:tcBorders>
            <w:shd w:val="clear" w:color="000000" w:fill="FFFFFF"/>
            <w:noWrap/>
            <w:hideMark/>
          </w:tcPr>
          <w:p w:rsidRPr="00E672CA" w:rsidR="003E7268" w:rsidP="003E7268" w:rsidRDefault="00DE4311" w14:paraId="458CAA22" w14:textId="5D635AF0">
            <w:pPr>
              <w:rPr>
                <w:rFonts w:ascii="Calibri" w:hAnsi="Calibri" w:cs="Calibri"/>
                <w:color w:val="000000"/>
                <w:sz w:val="22"/>
                <w:szCs w:val="22"/>
              </w:rPr>
            </w:pPr>
            <w:r w:rsidRPr="00DE4311">
              <w:rPr>
                <w:rFonts w:ascii="Calibri" w:hAnsi="Calibri" w:cs="Calibri"/>
                <w:b/>
                <w:bCs/>
                <w:color w:val="000000"/>
                <w:sz w:val="22"/>
                <w:szCs w:val="22"/>
              </w:rPr>
              <w:t xml:space="preserve">Source: </w:t>
            </w:r>
            <w:r>
              <w:rPr>
                <w:rFonts w:ascii="Calibri" w:hAnsi="Calibri" w:cs="Calibri"/>
                <w:bCs/>
                <w:color w:val="000000"/>
                <w:sz w:val="22"/>
                <w:szCs w:val="22"/>
              </w:rPr>
              <w:t xml:space="preserve">ASDWA </w:t>
            </w:r>
            <w:proofErr w:type="spellStart"/>
            <w:r>
              <w:rPr>
                <w:rFonts w:ascii="Calibri" w:hAnsi="Calibri" w:cs="Calibri"/>
                <w:bCs/>
                <w:color w:val="000000"/>
                <w:sz w:val="22"/>
                <w:szCs w:val="22"/>
              </w:rPr>
              <w:t>CoSTS</w:t>
            </w:r>
            <w:proofErr w:type="spellEnd"/>
            <w:r>
              <w:rPr>
                <w:rFonts w:ascii="Calibri" w:hAnsi="Calibri" w:cs="Calibri"/>
                <w:bCs/>
                <w:color w:val="000000"/>
                <w:sz w:val="22"/>
                <w:szCs w:val="22"/>
              </w:rPr>
              <w:t xml:space="preserve"> model, </w:t>
            </w:r>
            <w:r w:rsidRPr="00DE4311">
              <w:rPr>
                <w:rFonts w:ascii="Calibri" w:hAnsi="Calibri" w:cs="Calibri"/>
                <w:bCs/>
                <w:color w:val="000000"/>
                <w:sz w:val="22"/>
                <w:szCs w:val="22"/>
              </w:rPr>
              <w:t xml:space="preserve">"Final </w:t>
            </w:r>
            <w:proofErr w:type="spellStart"/>
            <w:r w:rsidRPr="00DE4311">
              <w:rPr>
                <w:rFonts w:ascii="Calibri" w:hAnsi="Calibri" w:cs="Calibri"/>
                <w:bCs/>
                <w:color w:val="000000"/>
                <w:sz w:val="22"/>
                <w:szCs w:val="22"/>
              </w:rPr>
              <w:t>CoSTS</w:t>
            </w:r>
            <w:proofErr w:type="spellEnd"/>
            <w:r w:rsidRPr="00DE4311">
              <w:rPr>
                <w:rFonts w:ascii="Calibri" w:hAnsi="Calibri" w:cs="Calibri"/>
                <w:bCs/>
                <w:color w:val="000000"/>
                <w:sz w:val="22"/>
                <w:szCs w:val="22"/>
              </w:rPr>
              <w:t xml:space="preserve"> 2-6-20.xlsx”, worksheet, Reg. Start-up</w:t>
            </w:r>
          </w:p>
        </w:tc>
      </w:tr>
      <w:tr w:rsidRPr="00E672CA" w:rsidR="003E7268" w:rsidTr="00A02249" w14:paraId="5A5E97E9" w14:textId="77777777">
        <w:trPr>
          <w:gridAfter w:val="1"/>
          <w:wAfter w:w="236" w:type="dxa"/>
          <w:trHeight w:val="289"/>
        </w:trPr>
        <w:tc>
          <w:tcPr>
            <w:tcW w:w="3600" w:type="dxa"/>
            <w:gridSpan w:val="2"/>
            <w:tcBorders>
              <w:bottom w:val="single" w:color="auto" w:sz="4" w:space="0"/>
            </w:tcBorders>
            <w:shd w:val="clear" w:color="auto" w:fill="F2F2F2" w:themeFill="background1" w:themeFillShade="F2"/>
            <w:noWrap/>
            <w:hideMark/>
          </w:tcPr>
          <w:p w:rsidRPr="00E672CA" w:rsidR="003E7268" w:rsidP="003E7268" w:rsidRDefault="000C1E76" w14:paraId="63A9C24B" w14:textId="1CEB8FA4">
            <w:pPr>
              <w:rPr>
                <w:rFonts w:ascii="Calibri" w:hAnsi="Calibri" w:cs="Calibri"/>
                <w:sz w:val="22"/>
                <w:szCs w:val="22"/>
              </w:rPr>
            </w:pPr>
            <w:r>
              <w:rPr>
                <w:rFonts w:ascii="Calibri" w:hAnsi="Calibri" w:cs="Calibri"/>
                <w:sz w:val="22"/>
                <w:szCs w:val="22"/>
              </w:rPr>
              <w:t>2,400</w:t>
            </w:r>
          </w:p>
        </w:tc>
        <w:tc>
          <w:tcPr>
            <w:tcW w:w="5760" w:type="dxa"/>
            <w:gridSpan w:val="4"/>
            <w:tcBorders>
              <w:bottom w:val="single" w:color="auto" w:sz="4" w:space="0"/>
            </w:tcBorders>
            <w:shd w:val="clear" w:color="000000" w:fill="FFFFFF"/>
            <w:noWrap/>
            <w:hideMark/>
          </w:tcPr>
          <w:p w:rsidRPr="00E672CA" w:rsidR="003E7268" w:rsidP="003E7268" w:rsidRDefault="003E7268" w14:paraId="028F9BF4" w14:textId="77777777">
            <w:pPr>
              <w:rPr>
                <w:rFonts w:ascii="Calibri" w:hAnsi="Calibri" w:cs="Calibri"/>
                <w:color w:val="000000"/>
                <w:sz w:val="22"/>
                <w:szCs w:val="22"/>
              </w:rPr>
            </w:pPr>
            <w:r w:rsidRPr="00E672CA">
              <w:rPr>
                <w:rFonts w:ascii="Calibri" w:hAnsi="Calibri" w:cs="Calibri"/>
                <w:color w:val="000000"/>
                <w:sz w:val="22"/>
                <w:szCs w:val="22"/>
              </w:rPr>
              <w:t> </w:t>
            </w:r>
          </w:p>
        </w:tc>
      </w:tr>
      <w:tr w:rsidRPr="00E672CA" w:rsidR="003E7268" w:rsidTr="00A02249" w14:paraId="7D361075" w14:textId="77777777">
        <w:trPr>
          <w:gridAfter w:val="1"/>
          <w:wAfter w:w="236" w:type="dxa"/>
          <w:trHeight w:val="289"/>
        </w:trPr>
        <w:tc>
          <w:tcPr>
            <w:tcW w:w="3600" w:type="dxa"/>
            <w:gridSpan w:val="2"/>
            <w:tcBorders>
              <w:top w:val="single" w:color="auto" w:sz="4" w:space="0"/>
            </w:tcBorders>
            <w:shd w:val="clear" w:color="000000" w:fill="FFFFFF"/>
            <w:noWrap/>
            <w:hideMark/>
          </w:tcPr>
          <w:p w:rsidRPr="00606BF0" w:rsidR="003E7268" w:rsidP="003E7268" w:rsidRDefault="003E7268" w14:paraId="79F6AF4B" w14:textId="74F8EE7E">
            <w:pPr>
              <w:rPr>
                <w:rFonts w:ascii="Calibri" w:hAnsi="Calibri" w:cs="Calibri"/>
                <w:b/>
                <w:bCs/>
                <w:color w:val="000000"/>
                <w:sz w:val="22"/>
                <w:szCs w:val="22"/>
              </w:rPr>
            </w:pPr>
            <w:r w:rsidRPr="00606BF0">
              <w:rPr>
                <w:rFonts w:ascii="Calibri" w:hAnsi="Calibri" w:cs="Calibri"/>
                <w:b/>
                <w:color w:val="000000"/>
                <w:sz w:val="22"/>
                <w:szCs w:val="22"/>
              </w:rPr>
              <w:t xml:space="preserve">Estimated hours per </w:t>
            </w:r>
            <w:r>
              <w:rPr>
                <w:rFonts w:ascii="Calibri" w:hAnsi="Calibri" w:cs="Calibri"/>
                <w:b/>
                <w:color w:val="000000"/>
                <w:sz w:val="22"/>
                <w:szCs w:val="22"/>
              </w:rPr>
              <w:t>primacy agency</w:t>
            </w:r>
            <w:r w:rsidRPr="00606BF0">
              <w:rPr>
                <w:rFonts w:ascii="Calibri" w:hAnsi="Calibri" w:cs="Calibri"/>
                <w:b/>
                <w:color w:val="000000"/>
                <w:sz w:val="22"/>
                <w:szCs w:val="22"/>
              </w:rPr>
              <w:t xml:space="preserve"> for staff to train internal </w:t>
            </w:r>
            <w:r w:rsidR="000C1E76">
              <w:rPr>
                <w:rFonts w:ascii="Calibri" w:hAnsi="Calibri" w:cs="Calibri"/>
                <w:b/>
                <w:color w:val="000000"/>
                <w:sz w:val="22"/>
                <w:szCs w:val="22"/>
              </w:rPr>
              <w:t xml:space="preserve">primacy agency </w:t>
            </w:r>
            <w:r w:rsidRPr="00606BF0">
              <w:rPr>
                <w:rFonts w:ascii="Calibri" w:hAnsi="Calibri" w:cs="Calibri"/>
                <w:b/>
                <w:color w:val="000000"/>
                <w:sz w:val="22"/>
                <w:szCs w:val="22"/>
              </w:rPr>
              <w:t>staff for rule implementation</w:t>
            </w:r>
          </w:p>
        </w:tc>
        <w:tc>
          <w:tcPr>
            <w:tcW w:w="5760" w:type="dxa"/>
            <w:gridSpan w:val="4"/>
            <w:tcBorders>
              <w:top w:val="single" w:color="auto" w:sz="4" w:space="0"/>
              <w:bottom w:val="nil"/>
            </w:tcBorders>
            <w:shd w:val="clear" w:color="000000" w:fill="FFFFFF"/>
            <w:noWrap/>
            <w:hideMark/>
          </w:tcPr>
          <w:p w:rsidRPr="00E672CA" w:rsidR="003E7268" w:rsidP="003E7268" w:rsidRDefault="00DE4311" w14:paraId="07AFC570" w14:textId="3C132892">
            <w:pPr>
              <w:rPr>
                <w:rFonts w:ascii="Calibri" w:hAnsi="Calibri" w:cs="Calibri"/>
                <w:color w:val="000000"/>
                <w:sz w:val="22"/>
                <w:szCs w:val="22"/>
              </w:rPr>
            </w:pPr>
            <w:r w:rsidRPr="00DE4311">
              <w:rPr>
                <w:rFonts w:ascii="Calibri" w:hAnsi="Calibri" w:cs="Calibri"/>
                <w:b/>
                <w:bCs/>
                <w:color w:val="000000"/>
                <w:sz w:val="22"/>
                <w:szCs w:val="22"/>
              </w:rPr>
              <w:t xml:space="preserve">Source: </w:t>
            </w:r>
            <w:r>
              <w:rPr>
                <w:rFonts w:ascii="Calibri" w:hAnsi="Calibri" w:cs="Calibri"/>
                <w:bCs/>
                <w:color w:val="000000"/>
                <w:sz w:val="22"/>
                <w:szCs w:val="22"/>
              </w:rPr>
              <w:t xml:space="preserve">ASDWA </w:t>
            </w:r>
            <w:proofErr w:type="spellStart"/>
            <w:r>
              <w:rPr>
                <w:rFonts w:ascii="Calibri" w:hAnsi="Calibri" w:cs="Calibri"/>
                <w:bCs/>
                <w:color w:val="000000"/>
                <w:sz w:val="22"/>
                <w:szCs w:val="22"/>
              </w:rPr>
              <w:t>CoSTS</w:t>
            </w:r>
            <w:proofErr w:type="spellEnd"/>
            <w:r>
              <w:rPr>
                <w:rFonts w:ascii="Calibri" w:hAnsi="Calibri" w:cs="Calibri"/>
                <w:bCs/>
                <w:color w:val="000000"/>
                <w:sz w:val="22"/>
                <w:szCs w:val="22"/>
              </w:rPr>
              <w:t xml:space="preserve"> model, </w:t>
            </w:r>
            <w:r w:rsidRPr="00DE4311">
              <w:rPr>
                <w:rFonts w:ascii="Calibri" w:hAnsi="Calibri" w:cs="Calibri"/>
                <w:bCs/>
                <w:color w:val="000000"/>
                <w:sz w:val="22"/>
                <w:szCs w:val="22"/>
              </w:rPr>
              <w:t xml:space="preserve">"Final </w:t>
            </w:r>
            <w:proofErr w:type="spellStart"/>
            <w:r w:rsidRPr="00DE4311">
              <w:rPr>
                <w:rFonts w:ascii="Calibri" w:hAnsi="Calibri" w:cs="Calibri"/>
                <w:bCs/>
                <w:color w:val="000000"/>
                <w:sz w:val="22"/>
                <w:szCs w:val="22"/>
              </w:rPr>
              <w:t>CoSTS</w:t>
            </w:r>
            <w:proofErr w:type="spellEnd"/>
            <w:r w:rsidRPr="00DE4311">
              <w:rPr>
                <w:rFonts w:ascii="Calibri" w:hAnsi="Calibri" w:cs="Calibri"/>
                <w:bCs/>
                <w:color w:val="000000"/>
                <w:sz w:val="22"/>
                <w:szCs w:val="22"/>
              </w:rPr>
              <w:t xml:space="preserve"> 2-6-20.xlsx”, worksheet, Reg. Start-up</w:t>
            </w:r>
          </w:p>
        </w:tc>
      </w:tr>
      <w:tr w:rsidRPr="00E672CA" w:rsidR="003E7268" w:rsidTr="00A02249" w14:paraId="6545D615" w14:textId="77777777">
        <w:trPr>
          <w:gridAfter w:val="1"/>
          <w:wAfter w:w="236" w:type="dxa"/>
          <w:trHeight w:val="289"/>
        </w:trPr>
        <w:tc>
          <w:tcPr>
            <w:tcW w:w="3600" w:type="dxa"/>
            <w:gridSpan w:val="2"/>
            <w:tcBorders>
              <w:bottom w:val="single" w:color="000000" w:sz="4" w:space="0"/>
            </w:tcBorders>
            <w:shd w:val="clear" w:color="000000" w:fill="EDEDED"/>
            <w:noWrap/>
            <w:hideMark/>
          </w:tcPr>
          <w:p w:rsidRPr="00E672CA" w:rsidR="003E7268" w:rsidP="003E7268" w:rsidRDefault="000C1E76" w14:paraId="1E22503E" w14:textId="13F24898">
            <w:pPr>
              <w:rPr>
                <w:rFonts w:ascii="Calibri" w:hAnsi="Calibri" w:cs="Calibri"/>
                <w:color w:val="000000"/>
                <w:sz w:val="22"/>
                <w:szCs w:val="22"/>
              </w:rPr>
            </w:pPr>
            <w:r>
              <w:rPr>
                <w:rFonts w:ascii="Calibri" w:hAnsi="Calibri" w:cs="Calibri"/>
                <w:color w:val="000000"/>
                <w:sz w:val="22"/>
                <w:szCs w:val="22"/>
              </w:rPr>
              <w:t>588</w:t>
            </w:r>
          </w:p>
        </w:tc>
        <w:tc>
          <w:tcPr>
            <w:tcW w:w="5760" w:type="dxa"/>
            <w:gridSpan w:val="4"/>
            <w:tcBorders>
              <w:top w:val="nil"/>
              <w:bottom w:val="single" w:color="000000" w:sz="4" w:space="0"/>
            </w:tcBorders>
            <w:shd w:val="clear" w:color="000000" w:fill="FFFFFF"/>
            <w:noWrap/>
            <w:hideMark/>
          </w:tcPr>
          <w:p w:rsidRPr="00E672CA" w:rsidR="003E7268" w:rsidP="003E7268" w:rsidRDefault="003E7268" w14:paraId="256D1831" w14:textId="77777777">
            <w:pPr>
              <w:rPr>
                <w:rFonts w:ascii="Calibri" w:hAnsi="Calibri" w:cs="Calibri"/>
                <w:color w:val="000000"/>
                <w:sz w:val="22"/>
                <w:szCs w:val="22"/>
              </w:rPr>
            </w:pPr>
            <w:r w:rsidRPr="00E672CA">
              <w:rPr>
                <w:rFonts w:ascii="Calibri" w:hAnsi="Calibri" w:cs="Calibri"/>
                <w:color w:val="000000"/>
                <w:sz w:val="22"/>
                <w:szCs w:val="22"/>
              </w:rPr>
              <w:t> </w:t>
            </w:r>
          </w:p>
        </w:tc>
      </w:tr>
      <w:tr w:rsidRPr="00E672CA" w:rsidR="003E7268" w:rsidTr="00A02249" w14:paraId="5DF2318A" w14:textId="77777777">
        <w:trPr>
          <w:gridAfter w:val="1"/>
          <w:wAfter w:w="236" w:type="dxa"/>
          <w:trHeight w:val="289"/>
        </w:trPr>
        <w:tc>
          <w:tcPr>
            <w:tcW w:w="3600" w:type="dxa"/>
            <w:gridSpan w:val="2"/>
            <w:tcBorders>
              <w:top w:val="single" w:color="000000" w:sz="4" w:space="0"/>
              <w:bottom w:val="nil"/>
            </w:tcBorders>
            <w:shd w:val="clear" w:color="auto" w:fill="auto"/>
            <w:noWrap/>
          </w:tcPr>
          <w:p w:rsidRPr="00E672CA" w:rsidR="003E7268" w:rsidP="003E7268" w:rsidRDefault="00A02249" w14:paraId="4ACAA6EE" w14:textId="2A1CDB27">
            <w:pPr>
              <w:rPr>
                <w:rFonts w:ascii="Calibri" w:hAnsi="Calibri" w:cs="Calibri"/>
                <w:color w:val="000000"/>
                <w:sz w:val="22"/>
                <w:szCs w:val="22"/>
              </w:rPr>
            </w:pPr>
            <w:r>
              <w:rPr>
                <w:rFonts w:ascii="Calibri" w:hAnsi="Calibri" w:cs="Calibri"/>
                <w:b/>
                <w:color w:val="000000"/>
                <w:sz w:val="22"/>
                <w:szCs w:val="22"/>
              </w:rPr>
              <w:t>Hourly labor</w:t>
            </w:r>
            <w:r w:rsidR="003E7268">
              <w:rPr>
                <w:rFonts w:ascii="Calibri" w:hAnsi="Calibri" w:cs="Calibri"/>
                <w:b/>
                <w:color w:val="000000"/>
                <w:sz w:val="22"/>
                <w:szCs w:val="22"/>
              </w:rPr>
              <w:t xml:space="preserve"> rate for primacy agency staff</w:t>
            </w:r>
          </w:p>
        </w:tc>
        <w:tc>
          <w:tcPr>
            <w:tcW w:w="5760" w:type="dxa"/>
            <w:gridSpan w:val="4"/>
            <w:tcBorders>
              <w:top w:val="single" w:color="000000" w:sz="4" w:space="0"/>
              <w:bottom w:val="nil"/>
            </w:tcBorders>
            <w:shd w:val="clear" w:color="000000" w:fill="FFFFFF"/>
            <w:noWrap/>
            <w:vAlign w:val="bottom"/>
          </w:tcPr>
          <w:p w:rsidRPr="00E672CA" w:rsidR="003E7268" w:rsidP="00DE4311" w:rsidRDefault="00BE54D8" w14:paraId="5B72CB68" w14:textId="46084C8B">
            <w:pPr>
              <w:rPr>
                <w:rFonts w:ascii="Calibri" w:hAnsi="Calibri" w:cs="Calibri"/>
                <w:color w:val="000000"/>
                <w:sz w:val="22"/>
                <w:szCs w:val="22"/>
              </w:rPr>
            </w:pPr>
            <w:r>
              <w:rPr>
                <w:rFonts w:asciiTheme="minorHAnsi" w:hAnsiTheme="minorHAnsi" w:cstheme="minorHAnsi"/>
                <w:b/>
                <w:bCs/>
                <w:color w:val="000000"/>
                <w:sz w:val="22"/>
                <w:szCs w:val="22"/>
              </w:rPr>
              <w:t xml:space="preserve">Source: </w:t>
            </w:r>
            <w:r w:rsidR="003E7268">
              <w:rPr>
                <w:rFonts w:ascii="Calibri" w:hAnsi="Calibri" w:cs="Calibri"/>
                <w:color w:val="000000"/>
                <w:sz w:val="22"/>
                <w:szCs w:val="22"/>
              </w:rPr>
              <w:t xml:space="preserve">Fully loaded </w:t>
            </w:r>
            <w:r w:rsidRPr="00DB28DB" w:rsidR="003E7268">
              <w:rPr>
                <w:rFonts w:ascii="Calibri" w:hAnsi="Calibri" w:cs="Calibri"/>
                <w:color w:val="000000"/>
                <w:sz w:val="22"/>
                <w:szCs w:val="22"/>
              </w:rPr>
              <w:t>State employee wage rates</w:t>
            </w:r>
            <w:r w:rsidR="003E7268">
              <w:rPr>
                <w:rFonts w:ascii="Calibri" w:hAnsi="Calibri" w:cs="Calibri"/>
                <w:color w:val="000000"/>
                <w:sz w:val="22"/>
                <w:szCs w:val="22"/>
              </w:rPr>
              <w:t xml:space="preserve">. Derived in part </w:t>
            </w:r>
            <w:r w:rsidRPr="00DB28DB" w:rsidR="003E7268">
              <w:rPr>
                <w:rFonts w:ascii="Calibri" w:hAnsi="Calibri" w:cs="Calibri"/>
                <w:color w:val="000000"/>
                <w:sz w:val="22"/>
                <w:szCs w:val="22"/>
              </w:rPr>
              <w:t xml:space="preserve">from National Occupational Employment and Wage Estimates, United States, </w:t>
            </w:r>
            <w:r w:rsidR="003E7268">
              <w:rPr>
                <w:rFonts w:ascii="Calibri" w:hAnsi="Calibri" w:cs="Calibri"/>
                <w:color w:val="000000"/>
                <w:sz w:val="22"/>
                <w:szCs w:val="22"/>
              </w:rPr>
              <w:t>Bureau of Labor Statistics (</w:t>
            </w:r>
            <w:r w:rsidRPr="002E12C7" w:rsidR="003E7268">
              <w:rPr>
                <w:rFonts w:ascii="Calibri" w:hAnsi="Calibri" w:cs="Calibri"/>
                <w:color w:val="000000"/>
                <w:sz w:val="22"/>
                <w:szCs w:val="22"/>
              </w:rPr>
              <w:t>BLS</w:t>
            </w:r>
            <w:r w:rsidR="003E7268">
              <w:rPr>
                <w:rFonts w:ascii="Calibri" w:hAnsi="Calibri" w:cs="Calibri"/>
                <w:color w:val="000000"/>
                <w:sz w:val="22"/>
                <w:szCs w:val="22"/>
              </w:rPr>
              <w:t>) Standard Occupational Classification (</w:t>
            </w:r>
            <w:r w:rsidRPr="002E12C7" w:rsidR="003E7268">
              <w:rPr>
                <w:rFonts w:ascii="Calibri" w:hAnsi="Calibri" w:cs="Calibri"/>
                <w:color w:val="000000"/>
                <w:sz w:val="22"/>
                <w:szCs w:val="22"/>
              </w:rPr>
              <w:t>SOC</w:t>
            </w:r>
            <w:r w:rsidR="003E7268">
              <w:rPr>
                <w:rFonts w:ascii="Calibri" w:hAnsi="Calibri" w:cs="Calibri"/>
                <w:color w:val="000000"/>
                <w:sz w:val="22"/>
                <w:szCs w:val="22"/>
              </w:rPr>
              <w:t>)</w:t>
            </w:r>
            <w:r w:rsidRPr="00DB28DB" w:rsidR="003E7268">
              <w:rPr>
                <w:rFonts w:ascii="Calibri" w:hAnsi="Calibri" w:cs="Calibri"/>
                <w:color w:val="000000"/>
                <w:sz w:val="22"/>
                <w:szCs w:val="22"/>
              </w:rPr>
              <w:t xml:space="preserve"> Code 19-2041, "State Government - Environmental Scientists and Specialists, Including Health," hourly mean wage rate. May 2016 data (published in March 2017).</w:t>
            </w:r>
            <w:r w:rsidR="003E7268">
              <w:rPr>
                <w:rStyle w:val="FootnoteReference"/>
                <w:rFonts w:ascii="Calibri" w:hAnsi="Calibri" w:cs="Calibri"/>
                <w:color w:val="000000"/>
                <w:sz w:val="22"/>
                <w:szCs w:val="22"/>
              </w:rPr>
              <w:footnoteReference w:id="20"/>
            </w:r>
            <w:r w:rsidRPr="00DB28DB" w:rsidR="003E7268">
              <w:rPr>
                <w:rFonts w:ascii="Calibri" w:hAnsi="Calibri" w:cs="Calibri"/>
                <w:color w:val="000000"/>
                <w:sz w:val="22"/>
                <w:szCs w:val="22"/>
              </w:rPr>
              <w:t xml:space="preserve"> </w:t>
            </w:r>
          </w:p>
        </w:tc>
      </w:tr>
      <w:tr w:rsidRPr="00E672CA" w:rsidR="003E7268" w:rsidTr="00A02249" w14:paraId="4201949D" w14:textId="77777777">
        <w:trPr>
          <w:gridAfter w:val="1"/>
          <w:wAfter w:w="236" w:type="dxa"/>
          <w:trHeight w:val="289"/>
        </w:trPr>
        <w:tc>
          <w:tcPr>
            <w:tcW w:w="3600" w:type="dxa"/>
            <w:gridSpan w:val="2"/>
            <w:tcBorders>
              <w:top w:val="nil"/>
              <w:bottom w:val="single" w:color="000000" w:sz="4" w:space="0"/>
            </w:tcBorders>
            <w:shd w:val="clear" w:color="000000" w:fill="EDEDED"/>
            <w:noWrap/>
            <w:vAlign w:val="bottom"/>
          </w:tcPr>
          <w:p w:rsidRPr="00E672CA" w:rsidR="003E7268" w:rsidP="003E7268" w:rsidRDefault="003E7268" w14:paraId="2F637664" w14:textId="77777777">
            <w:pPr>
              <w:rPr>
                <w:rFonts w:ascii="Calibri" w:hAnsi="Calibri" w:cs="Calibri"/>
                <w:color w:val="000000"/>
                <w:sz w:val="22"/>
                <w:szCs w:val="22"/>
              </w:rPr>
            </w:pPr>
            <w:r>
              <w:rPr>
                <w:rFonts w:ascii="Calibri" w:hAnsi="Calibri" w:cs="Calibri"/>
                <w:color w:val="000000"/>
                <w:sz w:val="22"/>
                <w:szCs w:val="22"/>
              </w:rPr>
              <w:t>$57.24</w:t>
            </w:r>
          </w:p>
        </w:tc>
        <w:tc>
          <w:tcPr>
            <w:tcW w:w="5760" w:type="dxa"/>
            <w:gridSpan w:val="4"/>
            <w:tcBorders>
              <w:top w:val="nil"/>
              <w:bottom w:val="single" w:color="000000" w:sz="4" w:space="0"/>
            </w:tcBorders>
            <w:shd w:val="clear" w:color="000000" w:fill="FFFFFF"/>
            <w:noWrap/>
            <w:vAlign w:val="bottom"/>
          </w:tcPr>
          <w:p w:rsidRPr="00E672CA" w:rsidR="003E7268" w:rsidP="003E7268" w:rsidRDefault="003E7268" w14:paraId="15C1AC74" w14:textId="77777777">
            <w:pPr>
              <w:rPr>
                <w:rFonts w:ascii="Calibri" w:hAnsi="Calibri" w:cs="Calibri"/>
                <w:color w:val="000000"/>
                <w:sz w:val="22"/>
                <w:szCs w:val="22"/>
              </w:rPr>
            </w:pPr>
          </w:p>
        </w:tc>
      </w:tr>
      <w:tr w:rsidRPr="00E672CA" w:rsidR="003E7268" w:rsidTr="00A02249" w14:paraId="4B1F0BCC" w14:textId="77777777">
        <w:trPr>
          <w:gridAfter w:val="1"/>
          <w:wAfter w:w="236" w:type="dxa"/>
          <w:trHeight w:val="289"/>
        </w:trPr>
        <w:tc>
          <w:tcPr>
            <w:tcW w:w="3600" w:type="dxa"/>
            <w:gridSpan w:val="2"/>
            <w:tcBorders>
              <w:top w:val="single" w:color="000000" w:sz="4" w:space="0"/>
              <w:bottom w:val="nil"/>
            </w:tcBorders>
            <w:shd w:val="clear" w:color="auto" w:fill="auto"/>
            <w:noWrap/>
          </w:tcPr>
          <w:p w:rsidRPr="00F16140" w:rsidR="003E7268" w:rsidP="003E7268" w:rsidRDefault="00A02249" w14:paraId="51AF26E6" w14:textId="7E295BFE">
            <w:pPr>
              <w:rPr>
                <w:rFonts w:ascii="Calibri" w:hAnsi="Calibri" w:cs="Calibri"/>
                <w:b/>
                <w:color w:val="000000"/>
                <w:sz w:val="22"/>
                <w:szCs w:val="22"/>
              </w:rPr>
            </w:pPr>
            <w:r>
              <w:rPr>
                <w:rFonts w:ascii="Calibri" w:hAnsi="Calibri" w:cs="Calibri"/>
                <w:b/>
                <w:color w:val="000000"/>
                <w:sz w:val="22"/>
                <w:szCs w:val="22"/>
              </w:rPr>
              <w:t>Hourly labor</w:t>
            </w:r>
            <w:r w:rsidR="003E7268">
              <w:rPr>
                <w:rFonts w:ascii="Calibri" w:hAnsi="Calibri" w:cs="Calibri"/>
                <w:b/>
                <w:color w:val="000000"/>
                <w:sz w:val="22"/>
                <w:szCs w:val="22"/>
              </w:rPr>
              <w:t xml:space="preserve"> rate for system staff</w:t>
            </w:r>
          </w:p>
        </w:tc>
        <w:tc>
          <w:tcPr>
            <w:tcW w:w="5760" w:type="dxa"/>
            <w:gridSpan w:val="4"/>
            <w:tcBorders>
              <w:top w:val="single" w:color="000000" w:sz="4" w:space="0"/>
              <w:bottom w:val="nil"/>
            </w:tcBorders>
            <w:shd w:val="clear" w:color="000000" w:fill="FFFFFF"/>
            <w:noWrap/>
          </w:tcPr>
          <w:p w:rsidRPr="00E672CA" w:rsidR="003E7268" w:rsidP="003E7268" w:rsidRDefault="00BE54D8" w14:paraId="4774138E" w14:textId="3083C85C">
            <w:pPr>
              <w:rPr>
                <w:rFonts w:ascii="Calibri" w:hAnsi="Calibri" w:cs="Calibri"/>
                <w:color w:val="000000"/>
                <w:sz w:val="22"/>
                <w:szCs w:val="22"/>
              </w:rPr>
            </w:pPr>
            <w:r>
              <w:rPr>
                <w:rFonts w:asciiTheme="minorHAnsi" w:hAnsiTheme="minorHAnsi" w:cstheme="minorHAnsi"/>
                <w:b/>
                <w:bCs/>
                <w:color w:val="000000"/>
                <w:sz w:val="22"/>
                <w:szCs w:val="22"/>
              </w:rPr>
              <w:t xml:space="preserve">Source: </w:t>
            </w:r>
            <w:r w:rsidR="003E7268">
              <w:rPr>
                <w:rFonts w:ascii="Calibri" w:hAnsi="Calibri" w:cs="Calibri"/>
                <w:color w:val="000000"/>
                <w:sz w:val="22"/>
                <w:szCs w:val="22"/>
              </w:rPr>
              <w:t>Fully loaded t</w:t>
            </w:r>
            <w:r w:rsidRPr="00DB28DB" w:rsidR="003E7268">
              <w:rPr>
                <w:rFonts w:ascii="Calibri" w:hAnsi="Calibri" w:cs="Calibri"/>
                <w:color w:val="000000"/>
                <w:sz w:val="22"/>
                <w:szCs w:val="22"/>
              </w:rPr>
              <w:t>echnical labor wage rates are based on wage rates for treatment plant operators. EPA estimates that systems serving 3,300 or less use 100% (technical) labor, whereas systems serving &gt;3,300 use 80% technical (operator) labor and 20% managerial (engineer) labor.</w:t>
            </w:r>
          </w:p>
        </w:tc>
      </w:tr>
      <w:tr w:rsidRPr="00E672CA" w:rsidR="003E7268" w:rsidTr="00A02249" w14:paraId="1773F1CC"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01146974" w14:textId="77777777">
            <w:pPr>
              <w:rPr>
                <w:rFonts w:ascii="Calibri" w:hAnsi="Calibri" w:cs="Calibri"/>
                <w:color w:val="000000"/>
                <w:sz w:val="22"/>
                <w:szCs w:val="22"/>
              </w:rPr>
            </w:pPr>
            <w:r>
              <w:rPr>
                <w:rFonts w:ascii="Calibri" w:hAnsi="Calibri" w:cs="Calibri"/>
                <w:color w:val="000000"/>
                <w:sz w:val="22"/>
                <w:szCs w:val="22"/>
              </w:rPr>
              <w:t>Systems &lt;=100</w:t>
            </w:r>
          </w:p>
        </w:tc>
        <w:tc>
          <w:tcPr>
            <w:tcW w:w="2340" w:type="dxa"/>
            <w:tcBorders>
              <w:top w:val="nil"/>
              <w:left w:val="nil"/>
              <w:bottom w:val="nil"/>
            </w:tcBorders>
            <w:shd w:val="clear" w:color="000000" w:fill="EDEDED"/>
            <w:vAlign w:val="bottom"/>
          </w:tcPr>
          <w:p w:rsidRPr="00E672CA" w:rsidR="003E7268" w:rsidP="003E7268" w:rsidRDefault="003E7268" w14:paraId="071E408A" w14:textId="77777777">
            <w:pPr>
              <w:rPr>
                <w:rFonts w:ascii="Calibri" w:hAnsi="Calibri" w:cs="Calibri"/>
                <w:color w:val="000000"/>
                <w:sz w:val="22"/>
                <w:szCs w:val="22"/>
              </w:rPr>
            </w:pPr>
            <w:r>
              <w:rPr>
                <w:rFonts w:ascii="Calibri" w:hAnsi="Calibri" w:cs="Calibri"/>
                <w:color w:val="000000"/>
                <w:sz w:val="22"/>
                <w:szCs w:val="22"/>
              </w:rPr>
              <w:t>$28.64</w:t>
            </w:r>
          </w:p>
        </w:tc>
        <w:tc>
          <w:tcPr>
            <w:tcW w:w="3420" w:type="dxa"/>
            <w:gridSpan w:val="3"/>
            <w:tcBorders>
              <w:top w:val="nil"/>
              <w:bottom w:val="nil"/>
            </w:tcBorders>
            <w:shd w:val="clear" w:color="000000" w:fill="FFFFFF"/>
            <w:noWrap/>
          </w:tcPr>
          <w:p w:rsidRPr="00E672CA" w:rsidR="003E7268" w:rsidP="003E7268" w:rsidRDefault="003E7268" w14:paraId="2E9EA6DB" w14:textId="77777777">
            <w:pPr>
              <w:rPr>
                <w:rFonts w:ascii="Calibri" w:hAnsi="Calibri" w:cs="Calibri"/>
                <w:color w:val="000000"/>
                <w:sz w:val="22"/>
                <w:szCs w:val="22"/>
              </w:rPr>
            </w:pPr>
          </w:p>
        </w:tc>
      </w:tr>
      <w:tr w:rsidRPr="00E672CA" w:rsidR="003E7268" w:rsidTr="00A02249" w14:paraId="3E542115"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560FCCDA" w14:textId="77777777">
            <w:pPr>
              <w:rPr>
                <w:rFonts w:ascii="Calibri" w:hAnsi="Calibri" w:cs="Calibri"/>
                <w:color w:val="000000"/>
                <w:sz w:val="22"/>
                <w:szCs w:val="22"/>
              </w:rPr>
            </w:pPr>
            <w:r>
              <w:rPr>
                <w:rFonts w:ascii="Calibri" w:hAnsi="Calibri" w:cs="Calibri"/>
                <w:color w:val="000000"/>
                <w:sz w:val="22"/>
                <w:szCs w:val="22"/>
              </w:rPr>
              <w:t>Systems 101-500</w:t>
            </w:r>
          </w:p>
        </w:tc>
        <w:tc>
          <w:tcPr>
            <w:tcW w:w="2340" w:type="dxa"/>
            <w:tcBorders>
              <w:top w:val="nil"/>
              <w:left w:val="nil"/>
              <w:bottom w:val="nil"/>
            </w:tcBorders>
            <w:shd w:val="clear" w:color="000000" w:fill="EDEDED"/>
            <w:vAlign w:val="bottom"/>
          </w:tcPr>
          <w:p w:rsidRPr="00E672CA" w:rsidR="003E7268" w:rsidP="003E7268" w:rsidRDefault="003E7268" w14:paraId="3732B00F" w14:textId="77777777">
            <w:pPr>
              <w:rPr>
                <w:rFonts w:ascii="Calibri" w:hAnsi="Calibri" w:cs="Calibri"/>
                <w:color w:val="000000"/>
                <w:sz w:val="22"/>
                <w:szCs w:val="22"/>
              </w:rPr>
            </w:pPr>
            <w:r>
              <w:rPr>
                <w:rFonts w:ascii="Calibri" w:hAnsi="Calibri" w:cs="Calibri"/>
                <w:color w:val="000000"/>
                <w:sz w:val="22"/>
                <w:szCs w:val="22"/>
              </w:rPr>
              <w:t>$28.64</w:t>
            </w:r>
          </w:p>
        </w:tc>
        <w:tc>
          <w:tcPr>
            <w:tcW w:w="3420" w:type="dxa"/>
            <w:gridSpan w:val="3"/>
            <w:tcBorders>
              <w:top w:val="nil"/>
              <w:bottom w:val="nil"/>
            </w:tcBorders>
            <w:shd w:val="clear" w:color="000000" w:fill="FFFFFF"/>
            <w:noWrap/>
          </w:tcPr>
          <w:p w:rsidRPr="00E672CA" w:rsidR="003E7268" w:rsidP="003E7268" w:rsidRDefault="003E7268" w14:paraId="2E98FDFA" w14:textId="77777777">
            <w:pPr>
              <w:rPr>
                <w:rFonts w:ascii="Calibri" w:hAnsi="Calibri" w:cs="Calibri"/>
                <w:color w:val="000000"/>
                <w:sz w:val="22"/>
                <w:szCs w:val="22"/>
              </w:rPr>
            </w:pPr>
          </w:p>
        </w:tc>
      </w:tr>
      <w:tr w:rsidRPr="00E672CA" w:rsidR="003E7268" w:rsidTr="00A02249" w14:paraId="49D66FA4"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3C86047C" w14:textId="77777777">
            <w:pPr>
              <w:rPr>
                <w:rFonts w:ascii="Calibri" w:hAnsi="Calibri" w:cs="Calibri"/>
                <w:color w:val="000000"/>
                <w:sz w:val="22"/>
                <w:szCs w:val="22"/>
              </w:rPr>
            </w:pPr>
            <w:r>
              <w:rPr>
                <w:rFonts w:ascii="Calibri" w:hAnsi="Calibri" w:cs="Calibri"/>
                <w:color w:val="000000"/>
                <w:sz w:val="22"/>
                <w:szCs w:val="22"/>
              </w:rPr>
              <w:t>Systems 501-1,000</w:t>
            </w:r>
          </w:p>
        </w:tc>
        <w:tc>
          <w:tcPr>
            <w:tcW w:w="2340" w:type="dxa"/>
            <w:tcBorders>
              <w:top w:val="nil"/>
              <w:left w:val="nil"/>
              <w:bottom w:val="nil"/>
            </w:tcBorders>
            <w:shd w:val="clear" w:color="000000" w:fill="EDEDED"/>
            <w:vAlign w:val="bottom"/>
          </w:tcPr>
          <w:p w:rsidRPr="00E672CA" w:rsidR="003E7268" w:rsidP="003E7268" w:rsidRDefault="003E7268" w14:paraId="7C66EB6D" w14:textId="77777777">
            <w:pPr>
              <w:rPr>
                <w:rFonts w:ascii="Calibri" w:hAnsi="Calibri" w:cs="Calibri"/>
                <w:color w:val="000000"/>
                <w:sz w:val="22"/>
                <w:szCs w:val="22"/>
              </w:rPr>
            </w:pPr>
            <w:r>
              <w:rPr>
                <w:rFonts w:ascii="Calibri" w:hAnsi="Calibri" w:cs="Calibri"/>
                <w:color w:val="000000"/>
                <w:sz w:val="22"/>
                <w:szCs w:val="22"/>
              </w:rPr>
              <w:t>$28.64</w:t>
            </w:r>
          </w:p>
        </w:tc>
        <w:tc>
          <w:tcPr>
            <w:tcW w:w="3420" w:type="dxa"/>
            <w:gridSpan w:val="3"/>
            <w:tcBorders>
              <w:top w:val="nil"/>
              <w:bottom w:val="nil"/>
            </w:tcBorders>
            <w:shd w:val="clear" w:color="000000" w:fill="FFFFFF"/>
            <w:noWrap/>
          </w:tcPr>
          <w:p w:rsidRPr="00E672CA" w:rsidR="003E7268" w:rsidP="003E7268" w:rsidRDefault="003E7268" w14:paraId="1362A166" w14:textId="77777777">
            <w:pPr>
              <w:rPr>
                <w:rFonts w:ascii="Calibri" w:hAnsi="Calibri" w:cs="Calibri"/>
                <w:color w:val="000000"/>
                <w:sz w:val="22"/>
                <w:szCs w:val="22"/>
              </w:rPr>
            </w:pPr>
          </w:p>
        </w:tc>
      </w:tr>
      <w:tr w:rsidRPr="00E672CA" w:rsidR="003E7268" w:rsidTr="00A02249" w14:paraId="7D643205"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4285B926" w14:textId="77777777">
            <w:pPr>
              <w:rPr>
                <w:rFonts w:ascii="Calibri" w:hAnsi="Calibri" w:cs="Calibri"/>
                <w:color w:val="000000"/>
                <w:sz w:val="22"/>
                <w:szCs w:val="22"/>
              </w:rPr>
            </w:pPr>
            <w:r>
              <w:rPr>
                <w:rFonts w:ascii="Calibri" w:hAnsi="Calibri" w:cs="Calibri"/>
                <w:color w:val="000000"/>
                <w:sz w:val="22"/>
                <w:szCs w:val="22"/>
              </w:rPr>
              <w:t>Systems 1,001-3,300</w:t>
            </w:r>
          </w:p>
        </w:tc>
        <w:tc>
          <w:tcPr>
            <w:tcW w:w="2340" w:type="dxa"/>
            <w:tcBorders>
              <w:top w:val="nil"/>
              <w:left w:val="nil"/>
              <w:bottom w:val="nil"/>
            </w:tcBorders>
            <w:shd w:val="clear" w:color="000000" w:fill="EDEDED"/>
            <w:vAlign w:val="bottom"/>
          </w:tcPr>
          <w:p w:rsidRPr="00E672CA" w:rsidR="003E7268" w:rsidP="003E7268" w:rsidRDefault="003E7268" w14:paraId="1F1CC717" w14:textId="77777777">
            <w:pPr>
              <w:rPr>
                <w:rFonts w:ascii="Calibri" w:hAnsi="Calibri" w:cs="Calibri"/>
                <w:color w:val="000000"/>
                <w:sz w:val="22"/>
                <w:szCs w:val="22"/>
              </w:rPr>
            </w:pPr>
            <w:r>
              <w:rPr>
                <w:rFonts w:ascii="Calibri" w:hAnsi="Calibri" w:cs="Calibri"/>
                <w:color w:val="000000"/>
                <w:sz w:val="22"/>
                <w:szCs w:val="22"/>
              </w:rPr>
              <w:t>$28.64</w:t>
            </w:r>
          </w:p>
        </w:tc>
        <w:tc>
          <w:tcPr>
            <w:tcW w:w="3420" w:type="dxa"/>
            <w:gridSpan w:val="3"/>
            <w:tcBorders>
              <w:top w:val="nil"/>
              <w:bottom w:val="nil"/>
            </w:tcBorders>
            <w:shd w:val="clear" w:color="000000" w:fill="FFFFFF"/>
            <w:noWrap/>
          </w:tcPr>
          <w:p w:rsidRPr="00E672CA" w:rsidR="003E7268" w:rsidP="003E7268" w:rsidRDefault="003E7268" w14:paraId="2E0E807E" w14:textId="77777777">
            <w:pPr>
              <w:rPr>
                <w:rFonts w:ascii="Calibri" w:hAnsi="Calibri" w:cs="Calibri"/>
                <w:color w:val="000000"/>
                <w:sz w:val="22"/>
                <w:szCs w:val="22"/>
              </w:rPr>
            </w:pPr>
          </w:p>
        </w:tc>
      </w:tr>
      <w:tr w:rsidRPr="00E672CA" w:rsidR="003E7268" w:rsidTr="00A02249" w14:paraId="5966496C"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07DFD844" w14:textId="77777777">
            <w:pPr>
              <w:rPr>
                <w:rFonts w:ascii="Calibri" w:hAnsi="Calibri" w:cs="Calibri"/>
                <w:color w:val="000000"/>
                <w:sz w:val="22"/>
                <w:szCs w:val="22"/>
              </w:rPr>
            </w:pPr>
            <w:r>
              <w:rPr>
                <w:rFonts w:ascii="Calibri" w:hAnsi="Calibri" w:cs="Calibri"/>
                <w:color w:val="000000"/>
                <w:sz w:val="22"/>
                <w:szCs w:val="22"/>
              </w:rPr>
              <w:t>Systems 3,301-10,000</w:t>
            </w:r>
          </w:p>
        </w:tc>
        <w:tc>
          <w:tcPr>
            <w:tcW w:w="2340" w:type="dxa"/>
            <w:tcBorders>
              <w:top w:val="nil"/>
              <w:left w:val="nil"/>
              <w:bottom w:val="nil"/>
            </w:tcBorders>
            <w:shd w:val="clear" w:color="000000" w:fill="EDEDED"/>
            <w:vAlign w:val="bottom"/>
          </w:tcPr>
          <w:p w:rsidRPr="00E672CA" w:rsidR="003E7268" w:rsidP="003E7268" w:rsidRDefault="003E7268" w14:paraId="3178524A" w14:textId="77777777">
            <w:pPr>
              <w:rPr>
                <w:rFonts w:ascii="Calibri" w:hAnsi="Calibri" w:cs="Calibri"/>
                <w:color w:val="000000"/>
                <w:sz w:val="22"/>
                <w:szCs w:val="22"/>
              </w:rPr>
            </w:pPr>
            <w:r>
              <w:rPr>
                <w:rFonts w:ascii="Calibri" w:hAnsi="Calibri" w:cs="Calibri"/>
                <w:color w:val="000000"/>
                <w:sz w:val="22"/>
                <w:szCs w:val="22"/>
              </w:rPr>
              <w:t>$33.74</w:t>
            </w:r>
          </w:p>
        </w:tc>
        <w:tc>
          <w:tcPr>
            <w:tcW w:w="3420" w:type="dxa"/>
            <w:gridSpan w:val="3"/>
            <w:tcBorders>
              <w:top w:val="nil"/>
              <w:bottom w:val="nil"/>
            </w:tcBorders>
            <w:shd w:val="clear" w:color="000000" w:fill="FFFFFF"/>
            <w:noWrap/>
          </w:tcPr>
          <w:p w:rsidRPr="00E672CA" w:rsidR="003E7268" w:rsidP="003E7268" w:rsidRDefault="003E7268" w14:paraId="6FF9B374" w14:textId="77777777">
            <w:pPr>
              <w:rPr>
                <w:rFonts w:ascii="Calibri" w:hAnsi="Calibri" w:cs="Calibri"/>
                <w:color w:val="000000"/>
                <w:sz w:val="22"/>
                <w:szCs w:val="22"/>
              </w:rPr>
            </w:pPr>
          </w:p>
        </w:tc>
      </w:tr>
      <w:tr w:rsidRPr="00E672CA" w:rsidR="003E7268" w:rsidTr="00A02249" w14:paraId="63F8A4A0"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441B9DCF" w14:textId="77777777">
            <w:pPr>
              <w:rPr>
                <w:rFonts w:ascii="Calibri" w:hAnsi="Calibri" w:cs="Calibri"/>
                <w:color w:val="000000"/>
                <w:sz w:val="22"/>
                <w:szCs w:val="22"/>
              </w:rPr>
            </w:pPr>
            <w:r>
              <w:rPr>
                <w:rFonts w:ascii="Calibri" w:hAnsi="Calibri" w:cs="Calibri"/>
                <w:color w:val="000000"/>
                <w:sz w:val="22"/>
                <w:szCs w:val="22"/>
              </w:rPr>
              <w:t>Systems 10,001-50,000</w:t>
            </w:r>
          </w:p>
        </w:tc>
        <w:tc>
          <w:tcPr>
            <w:tcW w:w="2340" w:type="dxa"/>
            <w:tcBorders>
              <w:top w:val="nil"/>
              <w:left w:val="nil"/>
              <w:bottom w:val="nil"/>
            </w:tcBorders>
            <w:shd w:val="clear" w:color="000000" w:fill="EDEDED"/>
            <w:vAlign w:val="bottom"/>
          </w:tcPr>
          <w:p w:rsidRPr="00E672CA" w:rsidR="003E7268" w:rsidP="003E7268" w:rsidRDefault="003E7268" w14:paraId="7281E56A" w14:textId="77777777">
            <w:pPr>
              <w:rPr>
                <w:rFonts w:ascii="Calibri" w:hAnsi="Calibri" w:cs="Calibri"/>
                <w:color w:val="000000"/>
                <w:sz w:val="22"/>
                <w:szCs w:val="22"/>
              </w:rPr>
            </w:pPr>
            <w:r>
              <w:rPr>
                <w:rFonts w:ascii="Calibri" w:hAnsi="Calibri" w:cs="Calibri"/>
                <w:color w:val="000000"/>
                <w:sz w:val="22"/>
                <w:szCs w:val="22"/>
              </w:rPr>
              <w:t>$36.15</w:t>
            </w:r>
          </w:p>
        </w:tc>
        <w:tc>
          <w:tcPr>
            <w:tcW w:w="3420" w:type="dxa"/>
            <w:gridSpan w:val="3"/>
            <w:tcBorders>
              <w:top w:val="nil"/>
              <w:bottom w:val="nil"/>
            </w:tcBorders>
            <w:shd w:val="clear" w:color="000000" w:fill="FFFFFF"/>
            <w:noWrap/>
          </w:tcPr>
          <w:p w:rsidRPr="00E672CA" w:rsidR="003E7268" w:rsidP="003E7268" w:rsidRDefault="003E7268" w14:paraId="7C4AFDD4" w14:textId="77777777">
            <w:pPr>
              <w:rPr>
                <w:rFonts w:ascii="Calibri" w:hAnsi="Calibri" w:cs="Calibri"/>
                <w:color w:val="000000"/>
                <w:sz w:val="22"/>
                <w:szCs w:val="22"/>
              </w:rPr>
            </w:pPr>
          </w:p>
        </w:tc>
      </w:tr>
      <w:tr w:rsidRPr="00E672CA" w:rsidR="003E7268" w:rsidTr="00A02249" w14:paraId="2253B364"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54D07CA5" w14:textId="77777777">
            <w:pPr>
              <w:rPr>
                <w:rFonts w:ascii="Calibri" w:hAnsi="Calibri" w:cs="Calibri"/>
                <w:color w:val="000000"/>
                <w:sz w:val="22"/>
                <w:szCs w:val="22"/>
              </w:rPr>
            </w:pPr>
            <w:r>
              <w:rPr>
                <w:rFonts w:ascii="Calibri" w:hAnsi="Calibri" w:cs="Calibri"/>
                <w:color w:val="000000"/>
                <w:sz w:val="22"/>
                <w:szCs w:val="22"/>
              </w:rPr>
              <w:t>Systems 50,001-100,000</w:t>
            </w:r>
          </w:p>
        </w:tc>
        <w:tc>
          <w:tcPr>
            <w:tcW w:w="2340" w:type="dxa"/>
            <w:tcBorders>
              <w:top w:val="nil"/>
              <w:left w:val="nil"/>
              <w:bottom w:val="nil"/>
            </w:tcBorders>
            <w:shd w:val="clear" w:color="000000" w:fill="EDEDED"/>
            <w:vAlign w:val="bottom"/>
          </w:tcPr>
          <w:p w:rsidRPr="00E672CA" w:rsidR="003E7268" w:rsidP="003E7268" w:rsidRDefault="003E7268" w14:paraId="5D4A9CB5" w14:textId="77777777">
            <w:pPr>
              <w:rPr>
                <w:rFonts w:ascii="Calibri" w:hAnsi="Calibri" w:cs="Calibri"/>
                <w:color w:val="000000"/>
                <w:sz w:val="22"/>
                <w:szCs w:val="22"/>
              </w:rPr>
            </w:pPr>
            <w:r>
              <w:rPr>
                <w:rFonts w:ascii="Calibri" w:hAnsi="Calibri" w:cs="Calibri"/>
                <w:color w:val="000000"/>
                <w:sz w:val="22"/>
                <w:szCs w:val="22"/>
              </w:rPr>
              <w:t>$39.01</w:t>
            </w:r>
          </w:p>
        </w:tc>
        <w:tc>
          <w:tcPr>
            <w:tcW w:w="3420" w:type="dxa"/>
            <w:gridSpan w:val="3"/>
            <w:tcBorders>
              <w:top w:val="nil"/>
              <w:bottom w:val="nil"/>
            </w:tcBorders>
            <w:shd w:val="clear" w:color="000000" w:fill="FFFFFF"/>
            <w:noWrap/>
          </w:tcPr>
          <w:p w:rsidRPr="00E672CA" w:rsidR="003E7268" w:rsidP="003E7268" w:rsidRDefault="003E7268" w14:paraId="126AB2A2" w14:textId="77777777">
            <w:pPr>
              <w:rPr>
                <w:rFonts w:ascii="Calibri" w:hAnsi="Calibri" w:cs="Calibri"/>
                <w:color w:val="000000"/>
                <w:sz w:val="22"/>
                <w:szCs w:val="22"/>
              </w:rPr>
            </w:pPr>
          </w:p>
        </w:tc>
      </w:tr>
      <w:tr w:rsidRPr="00E672CA" w:rsidR="003E7268" w:rsidTr="00A02249" w14:paraId="16846A15"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Pr="00E672CA" w:rsidR="003E7268" w:rsidP="003E7268" w:rsidRDefault="003E7268" w14:paraId="0015C232" w14:textId="77777777">
            <w:pPr>
              <w:rPr>
                <w:rFonts w:ascii="Calibri" w:hAnsi="Calibri" w:cs="Calibri"/>
                <w:color w:val="000000"/>
                <w:sz w:val="22"/>
                <w:szCs w:val="22"/>
              </w:rPr>
            </w:pPr>
            <w:r>
              <w:rPr>
                <w:rFonts w:ascii="Calibri" w:hAnsi="Calibri" w:cs="Calibri"/>
                <w:color w:val="000000"/>
                <w:sz w:val="22"/>
                <w:szCs w:val="22"/>
              </w:rPr>
              <w:t>Systems 100,001-1,000,000</w:t>
            </w:r>
          </w:p>
        </w:tc>
        <w:tc>
          <w:tcPr>
            <w:tcW w:w="2340" w:type="dxa"/>
            <w:tcBorders>
              <w:top w:val="nil"/>
              <w:left w:val="nil"/>
              <w:bottom w:val="nil"/>
            </w:tcBorders>
            <w:shd w:val="clear" w:color="000000" w:fill="EDEDED"/>
            <w:vAlign w:val="bottom"/>
          </w:tcPr>
          <w:p w:rsidRPr="00E672CA" w:rsidR="003E7268" w:rsidP="003E7268" w:rsidRDefault="003E7268" w14:paraId="5DC7BAD9" w14:textId="77777777">
            <w:pPr>
              <w:rPr>
                <w:rFonts w:ascii="Calibri" w:hAnsi="Calibri" w:cs="Calibri"/>
                <w:color w:val="000000"/>
                <w:sz w:val="22"/>
                <w:szCs w:val="22"/>
              </w:rPr>
            </w:pPr>
            <w:r>
              <w:rPr>
                <w:rFonts w:ascii="Calibri" w:hAnsi="Calibri" w:cs="Calibri"/>
                <w:color w:val="000000"/>
                <w:sz w:val="22"/>
                <w:szCs w:val="22"/>
              </w:rPr>
              <w:t>$44.38</w:t>
            </w:r>
          </w:p>
        </w:tc>
        <w:tc>
          <w:tcPr>
            <w:tcW w:w="3420" w:type="dxa"/>
            <w:gridSpan w:val="3"/>
            <w:tcBorders>
              <w:top w:val="nil"/>
              <w:bottom w:val="nil"/>
            </w:tcBorders>
            <w:shd w:val="clear" w:color="000000" w:fill="FFFFFF"/>
            <w:noWrap/>
          </w:tcPr>
          <w:p w:rsidRPr="00E672CA" w:rsidR="003E7268" w:rsidP="003E7268" w:rsidRDefault="003E7268" w14:paraId="525809FF" w14:textId="77777777">
            <w:pPr>
              <w:rPr>
                <w:rFonts w:ascii="Calibri" w:hAnsi="Calibri" w:cs="Calibri"/>
                <w:color w:val="000000"/>
                <w:sz w:val="22"/>
                <w:szCs w:val="22"/>
              </w:rPr>
            </w:pPr>
          </w:p>
        </w:tc>
      </w:tr>
      <w:tr w:rsidRPr="00E672CA" w:rsidR="003E7268" w:rsidTr="00A02249" w14:paraId="3BC987C6" w14:textId="77777777">
        <w:trPr>
          <w:gridAfter w:val="1"/>
          <w:wAfter w:w="236" w:type="dxa"/>
          <w:trHeight w:val="289"/>
        </w:trPr>
        <w:tc>
          <w:tcPr>
            <w:tcW w:w="3600" w:type="dxa"/>
            <w:gridSpan w:val="2"/>
            <w:tcBorders>
              <w:top w:val="nil"/>
              <w:bottom w:val="single" w:color="auto" w:sz="4" w:space="0"/>
              <w:right w:val="nil"/>
            </w:tcBorders>
            <w:shd w:val="clear" w:color="auto" w:fill="auto"/>
            <w:noWrap/>
            <w:vAlign w:val="bottom"/>
          </w:tcPr>
          <w:p w:rsidR="003E7268" w:rsidP="003E7268" w:rsidRDefault="003E7268" w14:paraId="70E6776D" w14:textId="77777777">
            <w:pPr>
              <w:rPr>
                <w:rFonts w:ascii="Calibri" w:hAnsi="Calibri" w:cs="Calibri"/>
                <w:color w:val="000000"/>
                <w:sz w:val="22"/>
                <w:szCs w:val="22"/>
              </w:rPr>
            </w:pPr>
            <w:r>
              <w:rPr>
                <w:rFonts w:ascii="Calibri" w:hAnsi="Calibri" w:cs="Calibri"/>
                <w:color w:val="000000"/>
                <w:sz w:val="22"/>
                <w:szCs w:val="22"/>
              </w:rPr>
              <w:t>Systems &gt;1,000,000</w:t>
            </w:r>
          </w:p>
        </w:tc>
        <w:tc>
          <w:tcPr>
            <w:tcW w:w="2340" w:type="dxa"/>
            <w:tcBorders>
              <w:top w:val="nil"/>
              <w:left w:val="nil"/>
              <w:bottom w:val="single" w:color="auto" w:sz="4" w:space="0"/>
            </w:tcBorders>
            <w:shd w:val="clear" w:color="000000" w:fill="EDEDED"/>
            <w:vAlign w:val="bottom"/>
          </w:tcPr>
          <w:p w:rsidR="003E7268" w:rsidP="003E7268" w:rsidRDefault="003E7268" w14:paraId="54807B98" w14:textId="77777777">
            <w:pPr>
              <w:rPr>
                <w:rFonts w:ascii="Calibri" w:hAnsi="Calibri" w:cs="Calibri"/>
                <w:color w:val="000000"/>
                <w:sz w:val="22"/>
                <w:szCs w:val="22"/>
              </w:rPr>
            </w:pPr>
            <w:r>
              <w:rPr>
                <w:rFonts w:ascii="Calibri" w:hAnsi="Calibri" w:cs="Calibri"/>
                <w:color w:val="000000"/>
                <w:sz w:val="22"/>
                <w:szCs w:val="22"/>
              </w:rPr>
              <w:t>$44.38</w:t>
            </w:r>
          </w:p>
        </w:tc>
        <w:tc>
          <w:tcPr>
            <w:tcW w:w="3420" w:type="dxa"/>
            <w:gridSpan w:val="3"/>
            <w:tcBorders>
              <w:top w:val="nil"/>
              <w:bottom w:val="single" w:color="auto" w:sz="4" w:space="0"/>
            </w:tcBorders>
            <w:shd w:val="clear" w:color="000000" w:fill="FFFFFF"/>
            <w:noWrap/>
          </w:tcPr>
          <w:p w:rsidRPr="00E672CA" w:rsidR="003E7268" w:rsidP="003E7268" w:rsidRDefault="003E7268" w14:paraId="60125EBE" w14:textId="77777777">
            <w:pPr>
              <w:rPr>
                <w:rFonts w:ascii="Calibri" w:hAnsi="Calibri" w:cs="Calibri"/>
                <w:color w:val="000000"/>
                <w:sz w:val="22"/>
                <w:szCs w:val="22"/>
              </w:rPr>
            </w:pPr>
          </w:p>
        </w:tc>
      </w:tr>
      <w:tr w:rsidRPr="00E672CA" w:rsidR="00BE54D8" w:rsidTr="00BE54D8" w14:paraId="36572823" w14:textId="77777777">
        <w:trPr>
          <w:trHeight w:val="289"/>
        </w:trPr>
        <w:tc>
          <w:tcPr>
            <w:tcW w:w="3600" w:type="dxa"/>
            <w:gridSpan w:val="2"/>
            <w:tcBorders>
              <w:top w:val="single" w:color="auto" w:sz="4" w:space="0"/>
              <w:bottom w:val="nil"/>
              <w:right w:val="nil"/>
            </w:tcBorders>
            <w:shd w:val="clear" w:color="auto" w:fill="auto"/>
            <w:noWrap/>
            <w:vAlign w:val="bottom"/>
          </w:tcPr>
          <w:p w:rsidR="00BE54D8" w:rsidP="003E7268" w:rsidRDefault="00BE54D8" w14:paraId="3D6A8E39" w14:textId="77777777">
            <w:pPr>
              <w:rPr>
                <w:rFonts w:ascii="Calibri" w:hAnsi="Calibri" w:cs="Calibri"/>
                <w:color w:val="000000"/>
                <w:sz w:val="22"/>
                <w:szCs w:val="22"/>
              </w:rPr>
            </w:pPr>
            <w:r>
              <w:rPr>
                <w:rFonts w:ascii="Calibri" w:hAnsi="Calibri" w:cs="Calibri"/>
                <w:b/>
                <w:color w:val="000000"/>
                <w:sz w:val="22"/>
                <w:szCs w:val="22"/>
              </w:rPr>
              <w:lastRenderedPageBreak/>
              <w:t>Estimated hours per system for staff to create the lead service line inventory</w:t>
            </w:r>
          </w:p>
        </w:tc>
        <w:tc>
          <w:tcPr>
            <w:tcW w:w="5996" w:type="dxa"/>
            <w:gridSpan w:val="5"/>
            <w:tcBorders>
              <w:top w:val="single" w:color="auto" w:sz="4" w:space="0"/>
              <w:left w:val="nil"/>
              <w:bottom w:val="nil"/>
            </w:tcBorders>
            <w:shd w:val="clear" w:color="auto" w:fill="auto"/>
          </w:tcPr>
          <w:p w:rsidRPr="00DE4311" w:rsidR="00BE54D8" w:rsidP="00BE54D8" w:rsidRDefault="00BE54D8" w14:paraId="350826AA" w14:textId="6FF7667C">
            <w:pPr>
              <w:rPr>
                <w:rFonts w:ascii="Calibri" w:hAnsi="Calibri" w:cs="Calibri"/>
                <w:color w:val="000000"/>
                <w:sz w:val="22"/>
                <w:szCs w:val="22"/>
              </w:rPr>
            </w:pPr>
            <w:r>
              <w:rPr>
                <w:rFonts w:ascii="Calibri" w:hAnsi="Calibri" w:cs="Calibri"/>
                <w:b/>
                <w:color w:val="000000"/>
                <w:sz w:val="22"/>
                <w:szCs w:val="22"/>
              </w:rPr>
              <w:t xml:space="preserve">Source: </w:t>
            </w:r>
            <w:r w:rsidRPr="00DE4311">
              <w:rPr>
                <w:rFonts w:ascii="Calibri" w:hAnsi="Calibri" w:cs="Calibri"/>
                <w:color w:val="000000"/>
                <w:sz w:val="22"/>
                <w:szCs w:val="22"/>
              </w:rPr>
              <w:t xml:space="preserve">For CWSs, EPA used the LSL inventory burden estimates provided by Indiana, Ohio, and Green Bay Water Utility to calculate the relationship of inventory burden per population served. EPA used these hours to inform the estimated burden, assuming increasing hours with increasing system size. </w:t>
            </w:r>
          </w:p>
          <w:p w:rsidRPr="00DF3D04" w:rsidR="00BE54D8" w:rsidP="003E7268" w:rsidRDefault="00BE54D8" w14:paraId="6898508D" w14:textId="2B835919">
            <w:pPr>
              <w:rPr>
                <w:rFonts w:ascii="Calibri" w:hAnsi="Calibri" w:cs="Calibri"/>
                <w:b/>
                <w:color w:val="000000"/>
                <w:sz w:val="22"/>
                <w:szCs w:val="22"/>
              </w:rPr>
            </w:pPr>
            <w:r w:rsidRPr="00DE4311">
              <w:rPr>
                <w:rFonts w:ascii="Calibri" w:hAnsi="Calibri" w:cs="Calibri"/>
                <w:color w:val="000000"/>
                <w:sz w:val="22"/>
                <w:szCs w:val="22"/>
              </w:rPr>
              <w:t>For NTNCWSs, EPA assumed systems should have the necessary documentation onsite to determine if a service line is lead or not because NTNCWSs own their own service lines. EPA assumed systems would incur the same burden to demonstrate the presence or absence of LSLs but those with LSLs would incur additional burden to develop a tracking system. Note that no NTNCWS serves more than 1 million people.</w:t>
            </w:r>
          </w:p>
        </w:tc>
      </w:tr>
      <w:tr w:rsidRPr="00E672CA" w:rsidR="00A02249" w:rsidTr="00A02249" w14:paraId="67EE5A84"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48AB844E" w14:textId="011D4EA1">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76FF8A03" w14:textId="445EB697">
            <w:pPr>
              <w:rPr>
                <w:rFonts w:ascii="Calibri" w:hAnsi="Calibri" w:cs="Calibri"/>
                <w:color w:val="000000"/>
                <w:sz w:val="22"/>
                <w:szCs w:val="22"/>
              </w:rPr>
            </w:pPr>
            <w:r>
              <w:rPr>
                <w:rFonts w:ascii="Calibri" w:hAnsi="Calibri" w:cs="Calibri"/>
                <w:color w:val="000000"/>
                <w:sz w:val="22"/>
                <w:szCs w:val="22"/>
              </w:rPr>
              <w:t>20</w:t>
            </w:r>
          </w:p>
        </w:tc>
        <w:tc>
          <w:tcPr>
            <w:tcW w:w="3420" w:type="dxa"/>
            <w:gridSpan w:val="3"/>
            <w:vMerge w:val="restart"/>
            <w:tcBorders>
              <w:top w:val="nil"/>
              <w:left w:val="nil"/>
            </w:tcBorders>
            <w:shd w:val="clear" w:color="auto" w:fill="auto"/>
            <w:vAlign w:val="bottom"/>
          </w:tcPr>
          <w:p w:rsidRPr="00E672CA" w:rsidR="00A02249" w:rsidP="003E7268" w:rsidRDefault="00A02249" w14:paraId="789E31ED" w14:textId="77777777">
            <w:pPr>
              <w:rPr>
                <w:rFonts w:ascii="Calibri" w:hAnsi="Calibri" w:cs="Calibri"/>
                <w:color w:val="000000"/>
                <w:sz w:val="22"/>
                <w:szCs w:val="22"/>
              </w:rPr>
            </w:pPr>
          </w:p>
        </w:tc>
      </w:tr>
      <w:tr w:rsidRPr="00E672CA" w:rsidR="00A02249" w:rsidTr="00A02249" w14:paraId="3E6B9985"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3E1358E3" w14:textId="253D263B">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0745DBA1" w14:textId="1F40BD95">
            <w:pPr>
              <w:rPr>
                <w:rFonts w:ascii="Calibri" w:hAnsi="Calibri" w:cs="Calibri"/>
                <w:color w:val="000000"/>
                <w:sz w:val="22"/>
                <w:szCs w:val="22"/>
              </w:rPr>
            </w:pPr>
            <w:r>
              <w:rPr>
                <w:rFonts w:ascii="Calibri" w:hAnsi="Calibri" w:cs="Calibri"/>
                <w:color w:val="000000"/>
                <w:sz w:val="22"/>
                <w:szCs w:val="22"/>
              </w:rPr>
              <w:t>20</w:t>
            </w:r>
          </w:p>
        </w:tc>
        <w:tc>
          <w:tcPr>
            <w:tcW w:w="3420" w:type="dxa"/>
            <w:gridSpan w:val="3"/>
            <w:vMerge/>
            <w:tcBorders>
              <w:left w:val="nil"/>
            </w:tcBorders>
            <w:shd w:val="clear" w:color="auto" w:fill="auto"/>
            <w:vAlign w:val="bottom"/>
          </w:tcPr>
          <w:p w:rsidRPr="00E672CA" w:rsidR="00A02249" w:rsidP="003E7268" w:rsidRDefault="00A02249" w14:paraId="1A9AC45B" w14:textId="77777777">
            <w:pPr>
              <w:rPr>
                <w:rFonts w:ascii="Calibri" w:hAnsi="Calibri" w:cs="Calibri"/>
                <w:color w:val="000000"/>
                <w:sz w:val="22"/>
                <w:szCs w:val="22"/>
              </w:rPr>
            </w:pPr>
          </w:p>
        </w:tc>
      </w:tr>
      <w:tr w:rsidRPr="00E672CA" w:rsidR="00A02249" w:rsidTr="00A02249" w14:paraId="22AA1720"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40ED6194" w14:textId="639AB144">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6DC53192" w14:textId="024AC73A">
            <w:pPr>
              <w:rPr>
                <w:rFonts w:ascii="Calibri" w:hAnsi="Calibri" w:cs="Calibri"/>
                <w:color w:val="000000"/>
                <w:sz w:val="22"/>
                <w:szCs w:val="22"/>
              </w:rPr>
            </w:pPr>
            <w:r>
              <w:rPr>
                <w:rFonts w:ascii="Calibri" w:hAnsi="Calibri" w:cs="Calibri"/>
                <w:color w:val="000000"/>
                <w:sz w:val="22"/>
                <w:szCs w:val="22"/>
              </w:rPr>
              <w:t>20</w:t>
            </w:r>
          </w:p>
        </w:tc>
        <w:tc>
          <w:tcPr>
            <w:tcW w:w="3420" w:type="dxa"/>
            <w:gridSpan w:val="3"/>
            <w:vMerge/>
            <w:tcBorders>
              <w:left w:val="nil"/>
            </w:tcBorders>
            <w:shd w:val="clear" w:color="auto" w:fill="auto"/>
            <w:vAlign w:val="bottom"/>
          </w:tcPr>
          <w:p w:rsidRPr="00E672CA" w:rsidR="00A02249" w:rsidP="003E7268" w:rsidRDefault="00A02249" w14:paraId="7625C957" w14:textId="77777777">
            <w:pPr>
              <w:rPr>
                <w:rFonts w:ascii="Calibri" w:hAnsi="Calibri" w:cs="Calibri"/>
                <w:color w:val="000000"/>
                <w:sz w:val="22"/>
                <w:szCs w:val="22"/>
              </w:rPr>
            </w:pPr>
          </w:p>
        </w:tc>
      </w:tr>
      <w:tr w:rsidRPr="00E672CA" w:rsidR="00A02249" w:rsidTr="00A02249" w14:paraId="45834AC7"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7245FEAA" w14:textId="5B28E719">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0247AA03" w14:textId="1A44E541">
            <w:pPr>
              <w:rPr>
                <w:rFonts w:ascii="Calibri" w:hAnsi="Calibri" w:cs="Calibri"/>
                <w:color w:val="000000"/>
                <w:sz w:val="22"/>
                <w:szCs w:val="22"/>
              </w:rPr>
            </w:pPr>
            <w:r>
              <w:rPr>
                <w:rFonts w:ascii="Calibri" w:hAnsi="Calibri" w:cs="Calibri"/>
                <w:color w:val="000000"/>
                <w:sz w:val="22"/>
                <w:szCs w:val="22"/>
              </w:rPr>
              <w:t>40</w:t>
            </w:r>
          </w:p>
        </w:tc>
        <w:tc>
          <w:tcPr>
            <w:tcW w:w="3420" w:type="dxa"/>
            <w:gridSpan w:val="3"/>
            <w:vMerge/>
            <w:tcBorders>
              <w:left w:val="nil"/>
            </w:tcBorders>
            <w:shd w:val="clear" w:color="auto" w:fill="auto"/>
            <w:vAlign w:val="bottom"/>
          </w:tcPr>
          <w:p w:rsidRPr="00E672CA" w:rsidR="00A02249" w:rsidP="003E7268" w:rsidRDefault="00A02249" w14:paraId="68DB70CD" w14:textId="77777777">
            <w:pPr>
              <w:rPr>
                <w:rFonts w:ascii="Calibri" w:hAnsi="Calibri" w:cs="Calibri"/>
                <w:color w:val="000000"/>
                <w:sz w:val="22"/>
                <w:szCs w:val="22"/>
              </w:rPr>
            </w:pPr>
          </w:p>
        </w:tc>
      </w:tr>
      <w:tr w:rsidRPr="00E672CA" w:rsidR="00A02249" w:rsidTr="00A02249" w14:paraId="7416A17E"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58D89A1F" w14:textId="09C8345C">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089D6B56" w14:textId="224C0DC7">
            <w:pPr>
              <w:rPr>
                <w:rFonts w:ascii="Calibri" w:hAnsi="Calibri" w:cs="Calibri"/>
                <w:color w:val="000000"/>
                <w:sz w:val="22"/>
                <w:szCs w:val="22"/>
              </w:rPr>
            </w:pPr>
            <w:r>
              <w:rPr>
                <w:rFonts w:ascii="Calibri" w:hAnsi="Calibri" w:cs="Calibri"/>
                <w:color w:val="000000"/>
                <w:sz w:val="22"/>
                <w:szCs w:val="22"/>
              </w:rPr>
              <w:t>80</w:t>
            </w:r>
          </w:p>
        </w:tc>
        <w:tc>
          <w:tcPr>
            <w:tcW w:w="3420" w:type="dxa"/>
            <w:gridSpan w:val="3"/>
            <w:vMerge/>
            <w:tcBorders>
              <w:left w:val="nil"/>
            </w:tcBorders>
            <w:shd w:val="clear" w:color="auto" w:fill="auto"/>
            <w:vAlign w:val="bottom"/>
          </w:tcPr>
          <w:p w:rsidRPr="00E672CA" w:rsidR="00A02249" w:rsidP="003E7268" w:rsidRDefault="00A02249" w14:paraId="0F2AB2B6" w14:textId="77777777">
            <w:pPr>
              <w:rPr>
                <w:rFonts w:ascii="Calibri" w:hAnsi="Calibri" w:cs="Calibri"/>
                <w:color w:val="000000"/>
                <w:sz w:val="22"/>
                <w:szCs w:val="22"/>
              </w:rPr>
            </w:pPr>
          </w:p>
        </w:tc>
      </w:tr>
      <w:tr w:rsidRPr="00E672CA" w:rsidR="00A02249" w:rsidTr="00A02249" w14:paraId="5B2E57BF"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233E5384" w14:textId="2D2F6DAE">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2916A26E" w14:textId="14CB8224">
            <w:pPr>
              <w:rPr>
                <w:rFonts w:ascii="Calibri" w:hAnsi="Calibri" w:cs="Calibri"/>
                <w:color w:val="000000"/>
                <w:sz w:val="22"/>
                <w:szCs w:val="22"/>
              </w:rPr>
            </w:pPr>
            <w:r>
              <w:rPr>
                <w:rFonts w:ascii="Calibri" w:hAnsi="Calibri" w:cs="Calibri"/>
                <w:color w:val="000000"/>
                <w:sz w:val="22"/>
                <w:szCs w:val="22"/>
              </w:rPr>
              <w:t>100</w:t>
            </w:r>
          </w:p>
        </w:tc>
        <w:tc>
          <w:tcPr>
            <w:tcW w:w="3420" w:type="dxa"/>
            <w:gridSpan w:val="3"/>
            <w:vMerge/>
            <w:tcBorders>
              <w:left w:val="nil"/>
            </w:tcBorders>
            <w:shd w:val="clear" w:color="auto" w:fill="auto"/>
            <w:vAlign w:val="bottom"/>
          </w:tcPr>
          <w:p w:rsidRPr="00E672CA" w:rsidR="00A02249" w:rsidP="003E7268" w:rsidRDefault="00A02249" w14:paraId="24974B3E" w14:textId="77777777">
            <w:pPr>
              <w:rPr>
                <w:rFonts w:ascii="Calibri" w:hAnsi="Calibri" w:cs="Calibri"/>
                <w:color w:val="000000"/>
                <w:sz w:val="22"/>
                <w:szCs w:val="22"/>
              </w:rPr>
            </w:pPr>
          </w:p>
        </w:tc>
      </w:tr>
      <w:tr w:rsidRPr="00E672CA" w:rsidR="00A02249" w:rsidTr="00A02249" w14:paraId="2891BB9B"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1BE92C81" w14:textId="10B48B49">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5B5D1CD7" w14:textId="42124829">
            <w:pPr>
              <w:rPr>
                <w:rFonts w:ascii="Calibri" w:hAnsi="Calibri" w:cs="Calibri"/>
                <w:color w:val="000000"/>
                <w:sz w:val="22"/>
                <w:szCs w:val="22"/>
              </w:rPr>
            </w:pPr>
            <w:r>
              <w:rPr>
                <w:rFonts w:ascii="Calibri" w:hAnsi="Calibri" w:cs="Calibri"/>
                <w:color w:val="000000"/>
                <w:sz w:val="22"/>
                <w:szCs w:val="22"/>
              </w:rPr>
              <w:t>200</w:t>
            </w:r>
          </w:p>
        </w:tc>
        <w:tc>
          <w:tcPr>
            <w:tcW w:w="3420" w:type="dxa"/>
            <w:gridSpan w:val="3"/>
            <w:vMerge/>
            <w:tcBorders>
              <w:left w:val="nil"/>
            </w:tcBorders>
            <w:shd w:val="clear" w:color="auto" w:fill="auto"/>
            <w:vAlign w:val="bottom"/>
          </w:tcPr>
          <w:p w:rsidRPr="00E672CA" w:rsidR="00A02249" w:rsidP="003E7268" w:rsidRDefault="00A02249" w14:paraId="09EB726F" w14:textId="77777777">
            <w:pPr>
              <w:rPr>
                <w:rFonts w:ascii="Calibri" w:hAnsi="Calibri" w:cs="Calibri"/>
                <w:color w:val="000000"/>
                <w:sz w:val="22"/>
                <w:szCs w:val="22"/>
              </w:rPr>
            </w:pPr>
          </w:p>
        </w:tc>
      </w:tr>
      <w:tr w:rsidRPr="00E672CA" w:rsidR="00A02249" w:rsidTr="00A02249" w14:paraId="7762D8EB"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79D6F462" w14:textId="12D13D02">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466A53F4" w14:textId="74D4AFEC">
            <w:pPr>
              <w:rPr>
                <w:rFonts w:ascii="Calibri" w:hAnsi="Calibri" w:cs="Calibri"/>
                <w:color w:val="000000"/>
                <w:sz w:val="22"/>
                <w:szCs w:val="22"/>
              </w:rPr>
            </w:pPr>
            <w:r>
              <w:rPr>
                <w:rFonts w:ascii="Calibri" w:hAnsi="Calibri" w:cs="Calibri"/>
                <w:color w:val="000000"/>
                <w:sz w:val="22"/>
                <w:szCs w:val="22"/>
              </w:rPr>
              <w:t>300</w:t>
            </w:r>
          </w:p>
        </w:tc>
        <w:tc>
          <w:tcPr>
            <w:tcW w:w="3420" w:type="dxa"/>
            <w:gridSpan w:val="3"/>
            <w:vMerge/>
            <w:tcBorders>
              <w:left w:val="nil"/>
            </w:tcBorders>
            <w:shd w:val="clear" w:color="auto" w:fill="auto"/>
            <w:vAlign w:val="bottom"/>
          </w:tcPr>
          <w:p w:rsidRPr="00E672CA" w:rsidR="00A02249" w:rsidP="003E7268" w:rsidRDefault="00A02249" w14:paraId="08712346" w14:textId="77777777">
            <w:pPr>
              <w:rPr>
                <w:rFonts w:ascii="Calibri" w:hAnsi="Calibri" w:cs="Calibri"/>
                <w:color w:val="000000"/>
                <w:sz w:val="22"/>
                <w:szCs w:val="22"/>
              </w:rPr>
            </w:pPr>
          </w:p>
        </w:tc>
      </w:tr>
      <w:tr w:rsidRPr="00E672CA" w:rsidR="00A02249" w:rsidTr="00A02249" w14:paraId="04A521A6"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26289AD2" w14:textId="237DDAC4">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A02249" w:rsidP="003E7268" w:rsidRDefault="00A02249" w14:paraId="7EC8300B" w14:textId="7BD4EC84">
            <w:pPr>
              <w:rPr>
                <w:rFonts w:ascii="Calibri" w:hAnsi="Calibri" w:cs="Calibri"/>
                <w:color w:val="000000"/>
                <w:sz w:val="22"/>
                <w:szCs w:val="22"/>
              </w:rPr>
            </w:pPr>
            <w:r>
              <w:rPr>
                <w:rFonts w:ascii="Calibri" w:hAnsi="Calibri" w:cs="Calibri"/>
                <w:color w:val="000000"/>
                <w:sz w:val="22"/>
                <w:szCs w:val="22"/>
              </w:rPr>
              <w:t>400</w:t>
            </w:r>
          </w:p>
        </w:tc>
        <w:tc>
          <w:tcPr>
            <w:tcW w:w="3420" w:type="dxa"/>
            <w:gridSpan w:val="3"/>
            <w:vMerge/>
            <w:tcBorders>
              <w:left w:val="nil"/>
            </w:tcBorders>
            <w:shd w:val="clear" w:color="auto" w:fill="auto"/>
            <w:vAlign w:val="bottom"/>
          </w:tcPr>
          <w:p w:rsidRPr="00E672CA" w:rsidR="00A02249" w:rsidP="003E7268" w:rsidRDefault="00A02249" w14:paraId="43468D3C" w14:textId="77777777">
            <w:pPr>
              <w:rPr>
                <w:rFonts w:ascii="Calibri" w:hAnsi="Calibri" w:cs="Calibri"/>
                <w:color w:val="000000"/>
                <w:sz w:val="22"/>
                <w:szCs w:val="22"/>
              </w:rPr>
            </w:pPr>
          </w:p>
        </w:tc>
      </w:tr>
      <w:tr w:rsidRPr="00E672CA" w:rsidR="00A02249" w:rsidTr="00A02249" w14:paraId="73EB8C19"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0F5A3ABB" w14:textId="5F1CC02F">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138BC545" w14:textId="5342EDCB">
            <w:pPr>
              <w:rPr>
                <w:rFonts w:ascii="Calibri" w:hAnsi="Calibri" w:cs="Calibri"/>
                <w:color w:val="000000"/>
                <w:sz w:val="22"/>
                <w:szCs w:val="22"/>
              </w:rPr>
            </w:pPr>
            <w:r>
              <w:rPr>
                <w:rFonts w:ascii="Calibri" w:hAnsi="Calibri" w:cs="Calibri"/>
                <w:color w:val="000000"/>
                <w:sz w:val="22"/>
                <w:szCs w:val="22"/>
              </w:rPr>
              <w:t>7</w:t>
            </w:r>
          </w:p>
        </w:tc>
        <w:tc>
          <w:tcPr>
            <w:tcW w:w="3420" w:type="dxa"/>
            <w:gridSpan w:val="3"/>
            <w:vMerge/>
            <w:tcBorders>
              <w:left w:val="nil"/>
            </w:tcBorders>
            <w:shd w:val="clear" w:color="auto" w:fill="auto"/>
            <w:vAlign w:val="bottom"/>
          </w:tcPr>
          <w:p w:rsidRPr="00E672CA" w:rsidR="00A02249" w:rsidP="003E7268" w:rsidRDefault="00A02249" w14:paraId="618CDC47" w14:textId="77777777">
            <w:pPr>
              <w:rPr>
                <w:rFonts w:ascii="Calibri" w:hAnsi="Calibri" w:cs="Calibri"/>
                <w:color w:val="000000"/>
                <w:sz w:val="22"/>
                <w:szCs w:val="22"/>
              </w:rPr>
            </w:pPr>
          </w:p>
        </w:tc>
      </w:tr>
      <w:tr w:rsidRPr="00E672CA" w:rsidR="00A02249" w:rsidTr="00A02249" w14:paraId="5B59FBAD"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493DF81D" w14:textId="6D05A3B6">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69645AB5" w14:textId="269C41B2">
            <w:pPr>
              <w:rPr>
                <w:rFonts w:ascii="Calibri" w:hAnsi="Calibri" w:cs="Calibri"/>
                <w:color w:val="000000"/>
                <w:sz w:val="22"/>
                <w:szCs w:val="22"/>
              </w:rPr>
            </w:pPr>
            <w:r>
              <w:rPr>
                <w:rFonts w:ascii="Calibri" w:hAnsi="Calibri" w:cs="Calibri"/>
                <w:color w:val="000000"/>
                <w:sz w:val="22"/>
                <w:szCs w:val="22"/>
              </w:rPr>
              <w:t>7</w:t>
            </w:r>
          </w:p>
        </w:tc>
        <w:tc>
          <w:tcPr>
            <w:tcW w:w="3420" w:type="dxa"/>
            <w:gridSpan w:val="3"/>
            <w:vMerge/>
            <w:tcBorders>
              <w:left w:val="nil"/>
            </w:tcBorders>
            <w:shd w:val="clear" w:color="auto" w:fill="auto"/>
            <w:vAlign w:val="bottom"/>
          </w:tcPr>
          <w:p w:rsidRPr="00E672CA" w:rsidR="00A02249" w:rsidP="003E7268" w:rsidRDefault="00A02249" w14:paraId="6611FE69" w14:textId="77777777">
            <w:pPr>
              <w:rPr>
                <w:rFonts w:ascii="Calibri" w:hAnsi="Calibri" w:cs="Calibri"/>
                <w:color w:val="000000"/>
                <w:sz w:val="22"/>
                <w:szCs w:val="22"/>
              </w:rPr>
            </w:pPr>
          </w:p>
        </w:tc>
      </w:tr>
      <w:tr w:rsidRPr="00E672CA" w:rsidR="00A02249" w:rsidTr="00A02249" w14:paraId="596E6A08"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7E6E4EC4" w14:textId="0C6678C1">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68D0B301" w14:textId="4D94A314">
            <w:pPr>
              <w:rPr>
                <w:rFonts w:ascii="Calibri" w:hAnsi="Calibri" w:cs="Calibri"/>
                <w:color w:val="000000"/>
                <w:sz w:val="22"/>
                <w:szCs w:val="22"/>
              </w:rPr>
            </w:pPr>
            <w:r>
              <w:rPr>
                <w:rFonts w:ascii="Calibri" w:hAnsi="Calibri" w:cs="Calibri"/>
                <w:color w:val="000000"/>
                <w:sz w:val="22"/>
                <w:szCs w:val="22"/>
              </w:rPr>
              <w:t>7</w:t>
            </w:r>
          </w:p>
        </w:tc>
        <w:tc>
          <w:tcPr>
            <w:tcW w:w="3420" w:type="dxa"/>
            <w:gridSpan w:val="3"/>
            <w:vMerge/>
            <w:tcBorders>
              <w:left w:val="nil"/>
            </w:tcBorders>
            <w:shd w:val="clear" w:color="auto" w:fill="auto"/>
            <w:vAlign w:val="bottom"/>
          </w:tcPr>
          <w:p w:rsidRPr="00E672CA" w:rsidR="00A02249" w:rsidP="003E7268" w:rsidRDefault="00A02249" w14:paraId="4F6E66E6" w14:textId="77777777">
            <w:pPr>
              <w:rPr>
                <w:rFonts w:ascii="Calibri" w:hAnsi="Calibri" w:cs="Calibri"/>
                <w:color w:val="000000"/>
                <w:sz w:val="22"/>
                <w:szCs w:val="22"/>
              </w:rPr>
            </w:pPr>
          </w:p>
        </w:tc>
      </w:tr>
      <w:tr w:rsidRPr="00E672CA" w:rsidR="00A02249" w:rsidTr="00A02249" w14:paraId="218F403A"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55C7E08F" w14:textId="52332C80">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6FFEB2CD" w14:textId="73C78617">
            <w:pPr>
              <w:rPr>
                <w:rFonts w:ascii="Calibri" w:hAnsi="Calibri" w:cs="Calibri"/>
                <w:color w:val="000000"/>
                <w:sz w:val="22"/>
                <w:szCs w:val="22"/>
              </w:rPr>
            </w:pPr>
            <w:r>
              <w:rPr>
                <w:rFonts w:ascii="Calibri" w:hAnsi="Calibri" w:cs="Calibri"/>
                <w:color w:val="000000"/>
                <w:sz w:val="22"/>
                <w:szCs w:val="22"/>
              </w:rPr>
              <w:t>7</w:t>
            </w:r>
          </w:p>
        </w:tc>
        <w:tc>
          <w:tcPr>
            <w:tcW w:w="3420" w:type="dxa"/>
            <w:gridSpan w:val="3"/>
            <w:vMerge/>
            <w:tcBorders>
              <w:left w:val="nil"/>
            </w:tcBorders>
            <w:shd w:val="clear" w:color="auto" w:fill="auto"/>
            <w:vAlign w:val="bottom"/>
          </w:tcPr>
          <w:p w:rsidRPr="00E672CA" w:rsidR="00A02249" w:rsidP="003E7268" w:rsidRDefault="00A02249" w14:paraId="3ACB3A7A" w14:textId="77777777">
            <w:pPr>
              <w:rPr>
                <w:rFonts w:ascii="Calibri" w:hAnsi="Calibri" w:cs="Calibri"/>
                <w:color w:val="000000"/>
                <w:sz w:val="22"/>
                <w:szCs w:val="22"/>
              </w:rPr>
            </w:pPr>
          </w:p>
        </w:tc>
      </w:tr>
      <w:tr w:rsidRPr="00E672CA" w:rsidR="00A02249" w:rsidTr="00A02249" w14:paraId="1B4A829E"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4239AC0B" w14:textId="103F00AC">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398A002F" w14:textId="0E7BB845">
            <w:pPr>
              <w:rPr>
                <w:rFonts w:ascii="Calibri" w:hAnsi="Calibri" w:cs="Calibri"/>
                <w:color w:val="000000"/>
                <w:sz w:val="22"/>
                <w:szCs w:val="22"/>
              </w:rPr>
            </w:pPr>
            <w:r>
              <w:rPr>
                <w:rFonts w:ascii="Calibri" w:hAnsi="Calibri" w:cs="Calibri"/>
                <w:color w:val="000000"/>
                <w:sz w:val="22"/>
                <w:szCs w:val="22"/>
              </w:rPr>
              <w:t>12</w:t>
            </w:r>
          </w:p>
        </w:tc>
        <w:tc>
          <w:tcPr>
            <w:tcW w:w="3420" w:type="dxa"/>
            <w:gridSpan w:val="3"/>
            <w:vMerge/>
            <w:tcBorders>
              <w:left w:val="nil"/>
            </w:tcBorders>
            <w:shd w:val="clear" w:color="auto" w:fill="auto"/>
            <w:vAlign w:val="bottom"/>
          </w:tcPr>
          <w:p w:rsidRPr="00E672CA" w:rsidR="00A02249" w:rsidP="003E7268" w:rsidRDefault="00A02249" w14:paraId="70B6438E" w14:textId="77777777">
            <w:pPr>
              <w:rPr>
                <w:rFonts w:ascii="Calibri" w:hAnsi="Calibri" w:cs="Calibri"/>
                <w:color w:val="000000"/>
                <w:sz w:val="22"/>
                <w:szCs w:val="22"/>
              </w:rPr>
            </w:pPr>
          </w:p>
        </w:tc>
      </w:tr>
      <w:tr w:rsidRPr="00E672CA" w:rsidR="00A02249" w:rsidTr="00A02249" w14:paraId="595C801D"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67B1D044" w14:textId="5C09759D">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2B8FBAFD" w14:textId="5F4D79C2">
            <w:pPr>
              <w:rPr>
                <w:rFonts w:ascii="Calibri" w:hAnsi="Calibri" w:cs="Calibri"/>
                <w:color w:val="000000"/>
                <w:sz w:val="22"/>
                <w:szCs w:val="22"/>
              </w:rPr>
            </w:pPr>
            <w:r>
              <w:rPr>
                <w:rFonts w:ascii="Calibri" w:hAnsi="Calibri" w:cs="Calibri"/>
                <w:color w:val="000000"/>
                <w:sz w:val="22"/>
                <w:szCs w:val="22"/>
              </w:rPr>
              <w:t>12</w:t>
            </w:r>
          </w:p>
        </w:tc>
        <w:tc>
          <w:tcPr>
            <w:tcW w:w="3420" w:type="dxa"/>
            <w:gridSpan w:val="3"/>
            <w:vMerge/>
            <w:tcBorders>
              <w:left w:val="nil"/>
            </w:tcBorders>
            <w:shd w:val="clear" w:color="auto" w:fill="auto"/>
            <w:vAlign w:val="bottom"/>
          </w:tcPr>
          <w:p w:rsidRPr="00E672CA" w:rsidR="00A02249" w:rsidP="003E7268" w:rsidRDefault="00A02249" w14:paraId="187B9DAC" w14:textId="77777777">
            <w:pPr>
              <w:rPr>
                <w:rFonts w:ascii="Calibri" w:hAnsi="Calibri" w:cs="Calibri"/>
                <w:color w:val="000000"/>
                <w:sz w:val="22"/>
                <w:szCs w:val="22"/>
              </w:rPr>
            </w:pPr>
          </w:p>
        </w:tc>
      </w:tr>
      <w:tr w:rsidRPr="00E672CA" w:rsidR="00A02249" w:rsidTr="00A02249" w14:paraId="47026B06"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5FC3A319" w14:textId="71F1EB8A">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6F54E799" w14:textId="26850BC6">
            <w:pPr>
              <w:rPr>
                <w:rFonts w:ascii="Calibri" w:hAnsi="Calibri" w:cs="Calibri"/>
                <w:color w:val="000000"/>
                <w:sz w:val="22"/>
                <w:szCs w:val="22"/>
              </w:rPr>
            </w:pPr>
            <w:r>
              <w:rPr>
                <w:rFonts w:ascii="Calibri" w:hAnsi="Calibri" w:cs="Calibri"/>
                <w:color w:val="000000"/>
                <w:sz w:val="22"/>
                <w:szCs w:val="22"/>
              </w:rPr>
              <w:t>28</w:t>
            </w:r>
          </w:p>
        </w:tc>
        <w:tc>
          <w:tcPr>
            <w:tcW w:w="3420" w:type="dxa"/>
            <w:gridSpan w:val="3"/>
            <w:vMerge/>
            <w:tcBorders>
              <w:left w:val="nil"/>
            </w:tcBorders>
            <w:shd w:val="clear" w:color="auto" w:fill="auto"/>
            <w:vAlign w:val="bottom"/>
          </w:tcPr>
          <w:p w:rsidRPr="00E672CA" w:rsidR="00A02249" w:rsidP="003E7268" w:rsidRDefault="00A02249" w14:paraId="38EBBEC5" w14:textId="77777777">
            <w:pPr>
              <w:rPr>
                <w:rFonts w:ascii="Calibri" w:hAnsi="Calibri" w:cs="Calibri"/>
                <w:color w:val="000000"/>
                <w:sz w:val="22"/>
                <w:szCs w:val="22"/>
              </w:rPr>
            </w:pPr>
          </w:p>
        </w:tc>
      </w:tr>
      <w:tr w:rsidRPr="00E672CA" w:rsidR="00A02249" w:rsidTr="00A02249" w14:paraId="1C8796DC"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A02249" w:rsidP="003E7268" w:rsidRDefault="00A02249" w14:paraId="498FEE7E" w14:textId="68E5EF5D">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A02249" w:rsidP="003E7268" w:rsidRDefault="00A02249" w14:paraId="31BD4193" w14:textId="5DCC3BC1">
            <w:pPr>
              <w:rPr>
                <w:rFonts w:ascii="Calibri" w:hAnsi="Calibri" w:cs="Calibri"/>
                <w:color w:val="000000"/>
                <w:sz w:val="22"/>
                <w:szCs w:val="22"/>
              </w:rPr>
            </w:pPr>
            <w:r>
              <w:rPr>
                <w:rFonts w:ascii="Calibri" w:hAnsi="Calibri" w:cs="Calibri"/>
                <w:color w:val="000000"/>
                <w:sz w:val="22"/>
                <w:szCs w:val="22"/>
              </w:rPr>
              <w:t>28</w:t>
            </w:r>
          </w:p>
        </w:tc>
        <w:tc>
          <w:tcPr>
            <w:tcW w:w="3420" w:type="dxa"/>
            <w:gridSpan w:val="3"/>
            <w:vMerge/>
            <w:tcBorders>
              <w:left w:val="nil"/>
            </w:tcBorders>
            <w:shd w:val="clear" w:color="auto" w:fill="auto"/>
            <w:vAlign w:val="bottom"/>
          </w:tcPr>
          <w:p w:rsidRPr="00E672CA" w:rsidR="00A02249" w:rsidP="003E7268" w:rsidRDefault="00A02249" w14:paraId="66BA84DA" w14:textId="77777777">
            <w:pPr>
              <w:rPr>
                <w:rFonts w:ascii="Calibri" w:hAnsi="Calibri" w:cs="Calibri"/>
                <w:color w:val="000000"/>
                <w:sz w:val="22"/>
                <w:szCs w:val="22"/>
              </w:rPr>
            </w:pPr>
          </w:p>
        </w:tc>
      </w:tr>
      <w:tr w:rsidRPr="00E672CA" w:rsidR="00A02249" w:rsidTr="00A02249" w14:paraId="4D38EE86" w14:textId="77777777">
        <w:trPr>
          <w:gridAfter w:val="1"/>
          <w:wAfter w:w="236" w:type="dxa"/>
          <w:trHeight w:val="289"/>
        </w:trPr>
        <w:tc>
          <w:tcPr>
            <w:tcW w:w="3600" w:type="dxa"/>
            <w:gridSpan w:val="2"/>
            <w:tcBorders>
              <w:top w:val="nil"/>
              <w:bottom w:val="single" w:color="auto" w:sz="4" w:space="0"/>
              <w:right w:val="nil"/>
            </w:tcBorders>
            <w:shd w:val="clear" w:color="auto" w:fill="auto"/>
            <w:noWrap/>
            <w:vAlign w:val="bottom"/>
          </w:tcPr>
          <w:p w:rsidR="00A02249" w:rsidP="003E7268" w:rsidRDefault="00A02249" w14:paraId="14AE172D" w14:textId="581CA1B8">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2340" w:type="dxa"/>
            <w:tcBorders>
              <w:top w:val="nil"/>
              <w:left w:val="nil"/>
              <w:bottom w:val="single" w:color="auto" w:sz="4" w:space="0"/>
              <w:right w:val="nil"/>
            </w:tcBorders>
            <w:shd w:val="clear" w:color="000000" w:fill="EDEDED"/>
            <w:vAlign w:val="bottom"/>
          </w:tcPr>
          <w:p w:rsidR="00A02249" w:rsidP="003E7268" w:rsidRDefault="00A02249" w14:paraId="75BBE28D" w14:textId="396DC26A">
            <w:pPr>
              <w:rPr>
                <w:rFonts w:ascii="Calibri" w:hAnsi="Calibri" w:cs="Calibri"/>
                <w:color w:val="000000"/>
                <w:sz w:val="22"/>
                <w:szCs w:val="22"/>
              </w:rPr>
            </w:pPr>
            <w:r>
              <w:rPr>
                <w:rFonts w:ascii="Calibri" w:hAnsi="Calibri" w:cs="Calibri"/>
                <w:color w:val="000000"/>
                <w:sz w:val="22"/>
                <w:szCs w:val="22"/>
              </w:rPr>
              <w:t>Not applicable</w:t>
            </w:r>
          </w:p>
        </w:tc>
        <w:tc>
          <w:tcPr>
            <w:tcW w:w="3420" w:type="dxa"/>
            <w:gridSpan w:val="3"/>
            <w:vMerge/>
            <w:tcBorders>
              <w:left w:val="nil"/>
              <w:bottom w:val="single" w:color="auto" w:sz="4" w:space="0"/>
            </w:tcBorders>
            <w:shd w:val="clear" w:color="auto" w:fill="auto"/>
            <w:vAlign w:val="bottom"/>
          </w:tcPr>
          <w:p w:rsidRPr="00E672CA" w:rsidR="00A02249" w:rsidP="003E7268" w:rsidRDefault="00A02249" w14:paraId="48B119D5" w14:textId="77777777">
            <w:pPr>
              <w:rPr>
                <w:rFonts w:ascii="Calibri" w:hAnsi="Calibri" w:cs="Calibri"/>
                <w:color w:val="000000"/>
                <w:sz w:val="22"/>
                <w:szCs w:val="22"/>
              </w:rPr>
            </w:pPr>
          </w:p>
        </w:tc>
      </w:tr>
      <w:tr w:rsidRPr="00E672CA" w:rsidR="003E7268" w:rsidTr="00DE4311" w14:paraId="296A04D0" w14:textId="77777777">
        <w:trPr>
          <w:gridAfter w:val="1"/>
          <w:wAfter w:w="236" w:type="dxa"/>
          <w:trHeight w:val="1151"/>
        </w:trPr>
        <w:tc>
          <w:tcPr>
            <w:tcW w:w="3600" w:type="dxa"/>
            <w:gridSpan w:val="2"/>
            <w:tcBorders>
              <w:top w:val="single" w:color="auto" w:sz="4" w:space="0"/>
              <w:bottom w:val="nil"/>
              <w:right w:val="nil"/>
            </w:tcBorders>
            <w:shd w:val="clear" w:color="auto" w:fill="auto"/>
            <w:noWrap/>
          </w:tcPr>
          <w:p w:rsidR="003E7268" w:rsidP="00BE54D8" w:rsidRDefault="003E7268" w14:paraId="4E089187" w14:textId="3FA21EAA">
            <w:pPr>
              <w:rPr>
                <w:rFonts w:ascii="Calibri" w:hAnsi="Calibri" w:cs="Calibri"/>
                <w:b/>
                <w:color w:val="000000"/>
                <w:sz w:val="22"/>
                <w:szCs w:val="22"/>
              </w:rPr>
            </w:pPr>
            <w:r>
              <w:rPr>
                <w:rFonts w:ascii="Calibri" w:hAnsi="Calibri" w:cs="Calibri"/>
                <w:b/>
                <w:color w:val="000000"/>
                <w:sz w:val="22"/>
                <w:szCs w:val="22"/>
              </w:rPr>
              <w:t>Probability community water systems with lead service lines already have a lead service line inventory</w:t>
            </w:r>
            <w:r w:rsidR="0093228D">
              <w:rPr>
                <w:rFonts w:ascii="Calibri" w:hAnsi="Calibri" w:cs="Calibri"/>
                <w:b/>
                <w:color w:val="000000"/>
                <w:sz w:val="22"/>
                <w:szCs w:val="22"/>
              </w:rPr>
              <w:t xml:space="preserve"> or demonstration of no lead service lines</w:t>
            </w:r>
          </w:p>
        </w:tc>
        <w:tc>
          <w:tcPr>
            <w:tcW w:w="5760" w:type="dxa"/>
            <w:gridSpan w:val="4"/>
            <w:tcBorders>
              <w:top w:val="single" w:color="auto" w:sz="4" w:space="0"/>
              <w:left w:val="nil"/>
              <w:bottom w:val="nil"/>
            </w:tcBorders>
            <w:shd w:val="clear" w:color="auto" w:fill="auto"/>
          </w:tcPr>
          <w:p w:rsidRPr="00E672CA" w:rsidR="003E7268" w:rsidP="00BE54D8" w:rsidRDefault="00BE54D8" w14:paraId="39C3D909" w14:textId="0F5966C1">
            <w:pPr>
              <w:rPr>
                <w:rFonts w:ascii="Calibri" w:hAnsi="Calibri" w:cs="Calibri"/>
                <w:color w:val="000000"/>
                <w:sz w:val="22"/>
                <w:szCs w:val="22"/>
              </w:rPr>
            </w:pPr>
            <w:r>
              <w:rPr>
                <w:rFonts w:asciiTheme="minorHAnsi" w:hAnsiTheme="minorHAnsi" w:cstheme="minorHAnsi"/>
                <w:b/>
                <w:bCs/>
                <w:color w:val="000000"/>
                <w:sz w:val="22"/>
                <w:szCs w:val="22"/>
              </w:rPr>
              <w:t xml:space="preserve">Source: </w:t>
            </w:r>
            <w:r>
              <w:rPr>
                <w:rFonts w:ascii="Calibri" w:hAnsi="Calibri" w:cs="Calibri"/>
                <w:color w:val="000000"/>
                <w:sz w:val="22"/>
                <w:szCs w:val="22"/>
              </w:rPr>
              <w:t>The estimate for systems with LSLs is b</w:t>
            </w:r>
            <w:r w:rsidRPr="00BE54D8">
              <w:rPr>
                <w:rFonts w:ascii="Calibri" w:hAnsi="Calibri" w:cs="Calibri"/>
                <w:color w:val="000000"/>
                <w:sz w:val="22"/>
                <w:szCs w:val="22"/>
              </w:rPr>
              <w:t>ased on review of states with LSL inventory requirements and assumption that 5 percent of LSL systems in states without requirements will have completed their inventories in advance of the LCRR.</w:t>
            </w:r>
            <w:r>
              <w:rPr>
                <w:rFonts w:ascii="Calibri" w:hAnsi="Calibri" w:cs="Calibri"/>
                <w:color w:val="000000"/>
                <w:sz w:val="22"/>
                <w:szCs w:val="22"/>
              </w:rPr>
              <w:t xml:space="preserve"> The estimate for systems without LSLs is b</w:t>
            </w:r>
            <w:r w:rsidRPr="00BE54D8">
              <w:rPr>
                <w:rFonts w:ascii="Calibri" w:hAnsi="Calibri" w:cs="Calibri"/>
                <w:color w:val="000000"/>
                <w:sz w:val="22"/>
                <w:szCs w:val="22"/>
              </w:rPr>
              <w:t>ased on analysis of CWSs and NTNCWSs in states that already require systems to submit an LSL inventory and states and territori</w:t>
            </w:r>
            <w:r>
              <w:rPr>
                <w:rFonts w:ascii="Calibri" w:hAnsi="Calibri" w:cs="Calibri"/>
                <w:color w:val="000000"/>
                <w:sz w:val="22"/>
                <w:szCs w:val="22"/>
              </w:rPr>
              <w:t>es that have no LSLs. Assumed 5 percent</w:t>
            </w:r>
            <w:r w:rsidRPr="00BE54D8">
              <w:rPr>
                <w:rFonts w:ascii="Calibri" w:hAnsi="Calibri" w:cs="Calibri"/>
                <w:color w:val="000000"/>
                <w:sz w:val="22"/>
                <w:szCs w:val="22"/>
              </w:rPr>
              <w:t xml:space="preserve"> of remaining systems without LSLs voluntarily submitted inventory information that met the requirements of the LCRR.</w:t>
            </w:r>
            <w:r w:rsidR="00D25962">
              <w:rPr>
                <w:rFonts w:ascii="Calibri" w:hAnsi="Calibri" w:cs="Calibri"/>
                <w:color w:val="000000"/>
                <w:sz w:val="22"/>
                <w:szCs w:val="22"/>
              </w:rPr>
              <w:t xml:space="preserve"> Values are rounded to nearest hundredths.</w:t>
            </w:r>
          </w:p>
        </w:tc>
      </w:tr>
      <w:tr w:rsidRPr="00E672CA" w:rsidR="003E7268" w:rsidTr="00A02249" w14:paraId="2D4F9A01" w14:textId="77777777">
        <w:trPr>
          <w:gridAfter w:val="1"/>
          <w:wAfter w:w="236" w:type="dxa"/>
          <w:trHeight w:val="289"/>
        </w:trPr>
        <w:tc>
          <w:tcPr>
            <w:tcW w:w="3600" w:type="dxa"/>
            <w:gridSpan w:val="2"/>
            <w:tcBorders>
              <w:top w:val="nil"/>
              <w:bottom w:val="nil"/>
              <w:right w:val="nil"/>
            </w:tcBorders>
            <w:shd w:val="clear" w:color="auto" w:fill="auto"/>
            <w:noWrap/>
            <w:vAlign w:val="bottom"/>
          </w:tcPr>
          <w:p w:rsidR="003E7268" w:rsidP="003E7268" w:rsidRDefault="003E7268" w14:paraId="4A81A265" w14:textId="77777777">
            <w:pPr>
              <w:rPr>
                <w:rFonts w:ascii="Calibri" w:hAnsi="Calibri" w:cs="Calibri"/>
                <w:b/>
                <w:color w:val="000000"/>
                <w:sz w:val="22"/>
                <w:szCs w:val="22"/>
              </w:rPr>
            </w:pPr>
          </w:p>
        </w:tc>
        <w:tc>
          <w:tcPr>
            <w:tcW w:w="2475" w:type="dxa"/>
            <w:gridSpan w:val="2"/>
            <w:tcBorders>
              <w:top w:val="nil"/>
              <w:left w:val="nil"/>
              <w:bottom w:val="nil"/>
            </w:tcBorders>
            <w:shd w:val="clear" w:color="auto" w:fill="auto"/>
            <w:vAlign w:val="bottom"/>
          </w:tcPr>
          <w:p w:rsidR="003E7268" w:rsidP="003E7268" w:rsidRDefault="003E7268" w14:paraId="19717FE8" w14:textId="22E644E0">
            <w:pPr>
              <w:rPr>
                <w:rFonts w:ascii="Calibri" w:hAnsi="Calibri" w:cs="Calibri"/>
                <w:color w:val="000000"/>
                <w:sz w:val="22"/>
                <w:szCs w:val="22"/>
              </w:rPr>
            </w:pPr>
            <w:r>
              <w:rPr>
                <w:rFonts w:ascii="Calibri" w:hAnsi="Calibri" w:cs="Calibri"/>
                <w:color w:val="000000"/>
                <w:sz w:val="22"/>
                <w:szCs w:val="22"/>
              </w:rPr>
              <w:t>Systems with LSLs</w:t>
            </w:r>
          </w:p>
        </w:tc>
        <w:tc>
          <w:tcPr>
            <w:tcW w:w="3285" w:type="dxa"/>
            <w:gridSpan w:val="2"/>
            <w:tcBorders>
              <w:top w:val="nil"/>
              <w:left w:val="nil"/>
              <w:bottom w:val="nil"/>
            </w:tcBorders>
            <w:shd w:val="clear" w:color="auto" w:fill="auto"/>
            <w:vAlign w:val="bottom"/>
          </w:tcPr>
          <w:p w:rsidR="003E7268" w:rsidP="003E7268" w:rsidRDefault="003E7268" w14:paraId="6A3FD15C" w14:textId="42AC2805">
            <w:pPr>
              <w:rPr>
                <w:rFonts w:ascii="Calibri" w:hAnsi="Calibri" w:cs="Calibri"/>
                <w:color w:val="000000"/>
                <w:sz w:val="22"/>
                <w:szCs w:val="22"/>
              </w:rPr>
            </w:pPr>
            <w:r>
              <w:rPr>
                <w:rFonts w:ascii="Calibri" w:hAnsi="Calibri" w:cs="Calibri"/>
                <w:color w:val="000000"/>
                <w:sz w:val="22"/>
                <w:szCs w:val="22"/>
              </w:rPr>
              <w:t>Systems without LSLs</w:t>
            </w:r>
          </w:p>
        </w:tc>
      </w:tr>
      <w:tr w:rsidRPr="00E672CA" w:rsidR="003E7268" w:rsidTr="00A02249" w14:paraId="3FEE870B"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63477188" w14:textId="61881D15">
            <w:pPr>
              <w:rPr>
                <w:rFonts w:ascii="Calibri" w:hAnsi="Calibri" w:cs="Calibri"/>
                <w:b/>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3E7268" w14:paraId="46DB63AB" w14:textId="34CA9926">
            <w:pPr>
              <w:rPr>
                <w:rFonts w:ascii="Calibri" w:hAnsi="Calibri" w:cs="Calibri"/>
                <w:b/>
                <w:color w:val="000000"/>
                <w:sz w:val="22"/>
                <w:szCs w:val="22"/>
              </w:rPr>
            </w:pPr>
            <w:r>
              <w:rPr>
                <w:rFonts w:ascii="Calibri" w:hAnsi="Calibri" w:cs="Calibri"/>
                <w:color w:val="000000"/>
                <w:sz w:val="22"/>
                <w:szCs w:val="22"/>
              </w:rPr>
              <w:t>0.1</w:t>
            </w:r>
            <w:r w:rsidR="0070475A">
              <w:rPr>
                <w:rFonts w:ascii="Calibri" w:hAnsi="Calibri" w:cs="Calibri"/>
                <w:color w:val="000000"/>
                <w:sz w:val="22"/>
                <w:szCs w:val="22"/>
              </w:rPr>
              <w:t>1</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698B7B39" w14:textId="77777777">
            <w:pPr>
              <w:rPr>
                <w:rFonts w:ascii="Calibri" w:hAnsi="Calibri" w:cs="Calibri"/>
                <w:b/>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27032D53" w14:textId="456413A1">
            <w:pPr>
              <w:rPr>
                <w:rFonts w:ascii="Calibri" w:hAnsi="Calibri" w:cs="Calibri"/>
                <w:color w:val="000000"/>
                <w:sz w:val="22"/>
                <w:szCs w:val="22"/>
              </w:rPr>
            </w:pPr>
            <w:r>
              <w:rPr>
                <w:rFonts w:ascii="Calibri" w:hAnsi="Calibri" w:cs="Calibri"/>
                <w:color w:val="000000"/>
                <w:sz w:val="22"/>
                <w:szCs w:val="22"/>
              </w:rPr>
              <w:t>0.1</w:t>
            </w:r>
            <w:r w:rsidR="0070475A">
              <w:rPr>
                <w:rFonts w:ascii="Calibri" w:hAnsi="Calibri" w:cs="Calibri"/>
                <w:color w:val="000000"/>
                <w:sz w:val="22"/>
                <w:szCs w:val="22"/>
              </w:rPr>
              <w:t>2</w:t>
            </w:r>
          </w:p>
        </w:tc>
      </w:tr>
      <w:tr w:rsidRPr="00E672CA" w:rsidR="003E7268" w:rsidTr="00A02249" w14:paraId="169FE634"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CBF8C2F" w14:textId="0820C674">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1B71C317" w14:textId="5C69042F">
            <w:pPr>
              <w:rPr>
                <w:rFonts w:ascii="Calibri" w:hAnsi="Calibri" w:cs="Calibri"/>
                <w:color w:val="000000"/>
                <w:sz w:val="22"/>
                <w:szCs w:val="22"/>
              </w:rPr>
            </w:pPr>
            <w:r>
              <w:rPr>
                <w:rFonts w:ascii="Calibri" w:hAnsi="Calibri" w:cs="Calibri"/>
                <w:color w:val="000000"/>
                <w:sz w:val="22"/>
                <w:szCs w:val="22"/>
              </w:rPr>
              <w:t>0.12</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7655FEED"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5C21C56E" w14:textId="7F3E252F">
            <w:pPr>
              <w:rPr>
                <w:rFonts w:ascii="Calibri" w:hAnsi="Calibri" w:cs="Calibri"/>
                <w:color w:val="000000"/>
                <w:sz w:val="22"/>
                <w:szCs w:val="22"/>
              </w:rPr>
            </w:pPr>
            <w:r>
              <w:rPr>
                <w:rFonts w:ascii="Calibri" w:hAnsi="Calibri" w:cs="Calibri"/>
                <w:color w:val="000000"/>
                <w:sz w:val="22"/>
                <w:szCs w:val="22"/>
              </w:rPr>
              <w:t>0.1</w:t>
            </w:r>
            <w:r w:rsidR="0070475A">
              <w:rPr>
                <w:rFonts w:ascii="Calibri" w:hAnsi="Calibri" w:cs="Calibri"/>
                <w:color w:val="000000"/>
                <w:sz w:val="22"/>
                <w:szCs w:val="22"/>
              </w:rPr>
              <w:t>3</w:t>
            </w:r>
          </w:p>
        </w:tc>
      </w:tr>
      <w:tr w:rsidRPr="00E672CA" w:rsidR="003E7268" w:rsidTr="00A02249" w14:paraId="6607159C"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0F4F192F" w14:textId="3AAF0F59">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6885CDB4" w14:textId="79F4404B">
            <w:pPr>
              <w:rPr>
                <w:rFonts w:ascii="Calibri" w:hAnsi="Calibri" w:cs="Calibri"/>
                <w:color w:val="000000"/>
                <w:sz w:val="22"/>
                <w:szCs w:val="22"/>
              </w:rPr>
            </w:pPr>
            <w:r>
              <w:rPr>
                <w:rFonts w:ascii="Calibri" w:hAnsi="Calibri" w:cs="Calibri"/>
                <w:color w:val="000000"/>
                <w:sz w:val="22"/>
                <w:szCs w:val="22"/>
              </w:rPr>
              <w:t>0.15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703163FB"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31D57C1C" w14:textId="0301A9AA">
            <w:pPr>
              <w:rPr>
                <w:rFonts w:ascii="Calibri" w:hAnsi="Calibri" w:cs="Calibri"/>
                <w:color w:val="000000"/>
                <w:sz w:val="22"/>
                <w:szCs w:val="22"/>
              </w:rPr>
            </w:pPr>
            <w:r>
              <w:rPr>
                <w:rFonts w:ascii="Calibri" w:hAnsi="Calibri" w:cs="Calibri"/>
                <w:color w:val="000000"/>
                <w:sz w:val="22"/>
                <w:szCs w:val="22"/>
              </w:rPr>
              <w:t>0.1</w:t>
            </w:r>
            <w:r w:rsidR="0070475A">
              <w:rPr>
                <w:rFonts w:ascii="Calibri" w:hAnsi="Calibri" w:cs="Calibri"/>
                <w:color w:val="000000"/>
                <w:sz w:val="22"/>
                <w:szCs w:val="22"/>
              </w:rPr>
              <w:t>6</w:t>
            </w:r>
          </w:p>
        </w:tc>
      </w:tr>
      <w:tr w:rsidRPr="00E672CA" w:rsidR="003E7268" w:rsidTr="00A02249" w14:paraId="0FD106C7"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8D500E7" w14:textId="55D2C7F8">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5E9061BA" w14:textId="606DB19C">
            <w:pPr>
              <w:rPr>
                <w:rFonts w:ascii="Calibri" w:hAnsi="Calibri" w:cs="Calibri"/>
                <w:color w:val="000000"/>
                <w:sz w:val="22"/>
                <w:szCs w:val="22"/>
              </w:rPr>
            </w:pPr>
            <w:r>
              <w:rPr>
                <w:rFonts w:ascii="Calibri" w:hAnsi="Calibri" w:cs="Calibri"/>
                <w:color w:val="000000"/>
                <w:sz w:val="22"/>
                <w:szCs w:val="22"/>
              </w:rPr>
              <w:t>0.15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6402052B"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3C8D3257" w14:textId="53067324">
            <w:pPr>
              <w:rPr>
                <w:rFonts w:ascii="Calibri" w:hAnsi="Calibri" w:cs="Calibri"/>
                <w:color w:val="000000"/>
                <w:sz w:val="22"/>
                <w:szCs w:val="22"/>
              </w:rPr>
            </w:pPr>
            <w:r>
              <w:rPr>
                <w:rFonts w:ascii="Calibri" w:hAnsi="Calibri" w:cs="Calibri"/>
                <w:color w:val="000000"/>
                <w:sz w:val="22"/>
                <w:szCs w:val="22"/>
              </w:rPr>
              <w:t>0.1</w:t>
            </w:r>
            <w:r w:rsidR="0070475A">
              <w:rPr>
                <w:rFonts w:ascii="Calibri" w:hAnsi="Calibri" w:cs="Calibri"/>
                <w:color w:val="000000"/>
                <w:sz w:val="22"/>
                <w:szCs w:val="22"/>
              </w:rPr>
              <w:t>5</w:t>
            </w:r>
          </w:p>
        </w:tc>
      </w:tr>
      <w:tr w:rsidRPr="00E672CA" w:rsidR="003E7268" w:rsidTr="00A02249" w14:paraId="71B3DCDE"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60FDCB98" w14:textId="64EB8DD1">
            <w:pPr>
              <w:rPr>
                <w:rFonts w:ascii="Calibri" w:hAnsi="Calibri" w:cs="Calibri"/>
                <w:color w:val="000000"/>
                <w:sz w:val="22"/>
                <w:szCs w:val="22"/>
              </w:rPr>
            </w:pPr>
            <w:r w:rsidRPr="00040DBE">
              <w:rPr>
                <w:rFonts w:asciiTheme="minorHAnsi" w:hAnsiTheme="minorHAnsi" w:cstheme="minorHAnsi"/>
                <w:color w:val="000000"/>
                <w:sz w:val="22"/>
                <w:szCs w:val="22"/>
              </w:rPr>
              <w:lastRenderedPageBreak/>
              <w:t>Systems 3,301-10,000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0378751E" w14:textId="1933D872">
            <w:pPr>
              <w:rPr>
                <w:rFonts w:ascii="Calibri" w:hAnsi="Calibri" w:cs="Calibri"/>
                <w:color w:val="000000"/>
                <w:sz w:val="22"/>
                <w:szCs w:val="22"/>
              </w:rPr>
            </w:pPr>
            <w:r>
              <w:rPr>
                <w:rFonts w:ascii="Calibri" w:hAnsi="Calibri" w:cs="Calibri"/>
                <w:color w:val="000000"/>
                <w:sz w:val="22"/>
                <w:szCs w:val="22"/>
              </w:rPr>
              <w:t>0.14</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3F31ACC8"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6FBE46ED" w14:textId="7B5CCBFD">
            <w:pPr>
              <w:rPr>
                <w:rFonts w:ascii="Calibri" w:hAnsi="Calibri" w:cs="Calibri"/>
                <w:color w:val="000000"/>
                <w:sz w:val="22"/>
                <w:szCs w:val="22"/>
              </w:rPr>
            </w:pPr>
            <w:r>
              <w:rPr>
                <w:rFonts w:ascii="Calibri" w:hAnsi="Calibri" w:cs="Calibri"/>
                <w:color w:val="000000"/>
                <w:sz w:val="22"/>
                <w:szCs w:val="22"/>
              </w:rPr>
              <w:t>0.</w:t>
            </w:r>
            <w:r w:rsidR="0070475A">
              <w:rPr>
                <w:rFonts w:ascii="Calibri" w:hAnsi="Calibri" w:cs="Calibri"/>
                <w:color w:val="000000"/>
                <w:sz w:val="22"/>
                <w:szCs w:val="22"/>
              </w:rPr>
              <w:t>16</w:t>
            </w:r>
          </w:p>
        </w:tc>
      </w:tr>
      <w:tr w:rsidRPr="00E672CA" w:rsidR="003E7268" w:rsidTr="00A02249" w14:paraId="2BE83A9F"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1C2D2AB6" w14:textId="62BBE12E">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0BCC378D" w14:textId="19C33228">
            <w:pPr>
              <w:rPr>
                <w:rFonts w:ascii="Calibri" w:hAnsi="Calibri" w:cs="Calibri"/>
                <w:color w:val="000000"/>
                <w:sz w:val="22"/>
                <w:szCs w:val="22"/>
              </w:rPr>
            </w:pPr>
            <w:r>
              <w:rPr>
                <w:rFonts w:ascii="Calibri" w:hAnsi="Calibri" w:cs="Calibri"/>
                <w:color w:val="000000"/>
                <w:sz w:val="22"/>
                <w:szCs w:val="22"/>
              </w:rPr>
              <w:t>0.16</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347BCEE0"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0CBC3920" w14:textId="2EE6ECA4">
            <w:pPr>
              <w:rPr>
                <w:rFonts w:ascii="Calibri" w:hAnsi="Calibri" w:cs="Calibri"/>
                <w:color w:val="000000"/>
                <w:sz w:val="22"/>
                <w:szCs w:val="22"/>
              </w:rPr>
            </w:pPr>
            <w:r>
              <w:rPr>
                <w:rFonts w:ascii="Calibri" w:hAnsi="Calibri" w:cs="Calibri"/>
                <w:color w:val="000000"/>
                <w:sz w:val="22"/>
                <w:szCs w:val="22"/>
              </w:rPr>
              <w:t>0.17</w:t>
            </w:r>
          </w:p>
        </w:tc>
      </w:tr>
      <w:tr w:rsidRPr="00E672CA" w:rsidR="003E7268" w:rsidTr="00A02249" w14:paraId="280405F0"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071DAFDF" w14:textId="7B16CB63">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18F0A3C7" w14:textId="5DBA7004">
            <w:pPr>
              <w:rPr>
                <w:rFonts w:ascii="Calibri" w:hAnsi="Calibri" w:cs="Calibri"/>
                <w:color w:val="000000"/>
                <w:sz w:val="22"/>
                <w:szCs w:val="22"/>
              </w:rPr>
            </w:pPr>
            <w:r>
              <w:rPr>
                <w:rFonts w:ascii="Calibri" w:hAnsi="Calibri" w:cs="Calibri"/>
                <w:color w:val="000000"/>
                <w:sz w:val="22"/>
                <w:szCs w:val="22"/>
              </w:rPr>
              <w:t>0.14</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62C7D1BF"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26C67F07" w14:textId="1DF4BF7A">
            <w:pPr>
              <w:rPr>
                <w:rFonts w:ascii="Calibri" w:hAnsi="Calibri" w:cs="Calibri"/>
                <w:color w:val="000000"/>
                <w:sz w:val="22"/>
                <w:szCs w:val="22"/>
              </w:rPr>
            </w:pPr>
            <w:r>
              <w:rPr>
                <w:rFonts w:ascii="Calibri" w:hAnsi="Calibri" w:cs="Calibri"/>
                <w:color w:val="000000"/>
                <w:sz w:val="22"/>
                <w:szCs w:val="22"/>
              </w:rPr>
              <w:t>0.15</w:t>
            </w:r>
          </w:p>
        </w:tc>
      </w:tr>
      <w:tr w:rsidRPr="00E672CA" w:rsidR="003E7268" w:rsidTr="00A02249" w14:paraId="2038970A"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D648C39" w14:textId="056D50B7">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55643DD9" w14:textId="049C2D64">
            <w:pPr>
              <w:rPr>
                <w:rFonts w:ascii="Calibri" w:hAnsi="Calibri" w:cs="Calibri"/>
                <w:color w:val="000000"/>
                <w:sz w:val="22"/>
                <w:szCs w:val="22"/>
              </w:rPr>
            </w:pPr>
            <w:r>
              <w:rPr>
                <w:rFonts w:ascii="Calibri" w:hAnsi="Calibri" w:cs="Calibri"/>
                <w:color w:val="000000"/>
                <w:sz w:val="22"/>
                <w:szCs w:val="22"/>
              </w:rPr>
              <w:t>0.10</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01A59131"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47BFB2BB" w14:textId="37F66970">
            <w:pPr>
              <w:rPr>
                <w:rFonts w:ascii="Calibri" w:hAnsi="Calibri" w:cs="Calibri"/>
                <w:color w:val="000000"/>
                <w:sz w:val="22"/>
                <w:szCs w:val="22"/>
              </w:rPr>
            </w:pPr>
            <w:r>
              <w:rPr>
                <w:rFonts w:ascii="Calibri" w:hAnsi="Calibri" w:cs="Calibri"/>
                <w:color w:val="000000"/>
                <w:sz w:val="22"/>
                <w:szCs w:val="22"/>
              </w:rPr>
              <w:t>0.13</w:t>
            </w:r>
          </w:p>
        </w:tc>
      </w:tr>
      <w:tr w:rsidRPr="00E672CA" w:rsidR="003E7268" w:rsidTr="00A02249" w14:paraId="2649E335"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607172D" w14:textId="76139417">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4910EA32" w14:textId="0F8DF2B1">
            <w:pPr>
              <w:rPr>
                <w:rFonts w:ascii="Calibri" w:hAnsi="Calibri" w:cs="Calibri"/>
                <w:color w:val="000000"/>
                <w:sz w:val="22"/>
                <w:szCs w:val="22"/>
              </w:rPr>
            </w:pPr>
            <w:r>
              <w:rPr>
                <w:rFonts w:ascii="Calibri" w:hAnsi="Calibri" w:cs="Calibri"/>
                <w:color w:val="000000"/>
                <w:sz w:val="22"/>
                <w:szCs w:val="22"/>
              </w:rPr>
              <w:t>0.10</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28F559A1"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677C4AAE" w14:textId="066CD4AD">
            <w:pPr>
              <w:rPr>
                <w:rFonts w:ascii="Calibri" w:hAnsi="Calibri" w:cs="Calibri"/>
                <w:color w:val="000000"/>
                <w:sz w:val="22"/>
                <w:szCs w:val="22"/>
              </w:rPr>
            </w:pPr>
            <w:r>
              <w:rPr>
                <w:rFonts w:ascii="Calibri" w:hAnsi="Calibri" w:cs="Calibri"/>
                <w:color w:val="000000"/>
                <w:sz w:val="22"/>
                <w:szCs w:val="22"/>
              </w:rPr>
              <w:t>0.21</w:t>
            </w:r>
          </w:p>
        </w:tc>
      </w:tr>
      <w:tr w:rsidRPr="00E672CA" w:rsidR="003E7268" w:rsidTr="00A02249" w14:paraId="47A1C120"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4DCA8FDF" w14:textId="02E97785">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6EFE3D2B" w14:textId="3A98A660">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2A7D8EB0"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2DD7B75A" w14:textId="7B347BEB">
            <w:pPr>
              <w:rPr>
                <w:rFonts w:ascii="Calibri" w:hAnsi="Calibri" w:cs="Calibri"/>
                <w:color w:val="000000"/>
                <w:sz w:val="22"/>
                <w:szCs w:val="22"/>
              </w:rPr>
            </w:pPr>
            <w:r>
              <w:rPr>
                <w:rFonts w:ascii="Calibri" w:hAnsi="Calibri" w:cs="Calibri"/>
                <w:color w:val="000000"/>
                <w:sz w:val="22"/>
                <w:szCs w:val="22"/>
              </w:rPr>
              <w:t>0.06</w:t>
            </w:r>
          </w:p>
        </w:tc>
      </w:tr>
      <w:tr w:rsidRPr="00E672CA" w:rsidR="003E7268" w:rsidTr="00A02249" w14:paraId="09D92996"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5109591E" w14:textId="519AE136">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6EACAE2F" w14:textId="4ECE20C0">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71A33C8E"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1E56FA9D" w14:textId="0A15669F">
            <w:pPr>
              <w:rPr>
                <w:rFonts w:ascii="Calibri" w:hAnsi="Calibri" w:cs="Calibri"/>
                <w:color w:val="000000"/>
                <w:sz w:val="22"/>
                <w:szCs w:val="22"/>
              </w:rPr>
            </w:pPr>
            <w:r>
              <w:rPr>
                <w:rFonts w:ascii="Calibri" w:hAnsi="Calibri" w:cs="Calibri"/>
                <w:color w:val="000000"/>
                <w:sz w:val="22"/>
                <w:szCs w:val="22"/>
              </w:rPr>
              <w:t>0.0</w:t>
            </w:r>
            <w:r w:rsidR="003E7268">
              <w:rPr>
                <w:rFonts w:ascii="Calibri" w:hAnsi="Calibri" w:cs="Calibri"/>
                <w:color w:val="000000"/>
                <w:sz w:val="22"/>
                <w:szCs w:val="22"/>
              </w:rPr>
              <w:t>6</w:t>
            </w:r>
          </w:p>
        </w:tc>
      </w:tr>
      <w:tr w:rsidRPr="00E672CA" w:rsidR="003E7268" w:rsidTr="00A02249" w14:paraId="6D36BF15"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7404DFD8" w14:textId="3DBEC1CA">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7A0C506F" w14:textId="14D78F95">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4576B2FA"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75BCF603" w14:textId="34BF53FD">
            <w:pPr>
              <w:rPr>
                <w:rFonts w:ascii="Calibri" w:hAnsi="Calibri" w:cs="Calibri"/>
                <w:color w:val="000000"/>
                <w:sz w:val="22"/>
                <w:szCs w:val="22"/>
              </w:rPr>
            </w:pPr>
            <w:r>
              <w:rPr>
                <w:rFonts w:ascii="Calibri" w:hAnsi="Calibri" w:cs="Calibri"/>
                <w:color w:val="000000"/>
                <w:sz w:val="22"/>
                <w:szCs w:val="22"/>
              </w:rPr>
              <w:t>0.0</w:t>
            </w:r>
            <w:r w:rsidR="003E7268">
              <w:rPr>
                <w:rFonts w:ascii="Calibri" w:hAnsi="Calibri" w:cs="Calibri"/>
                <w:color w:val="000000"/>
                <w:sz w:val="22"/>
                <w:szCs w:val="22"/>
              </w:rPr>
              <w:t>6</w:t>
            </w:r>
          </w:p>
        </w:tc>
      </w:tr>
      <w:tr w:rsidRPr="00E672CA" w:rsidR="003E7268" w:rsidTr="00A02249" w14:paraId="0FF448A8"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9CDD2BB" w14:textId="5A1D45D0">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281A3430" w14:textId="5CFEDAE0">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1050F0A1"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70475A" w:rsidRDefault="003E7268" w14:paraId="0C2C0624" w14:textId="1AE3B241">
            <w:pPr>
              <w:rPr>
                <w:rFonts w:ascii="Calibri" w:hAnsi="Calibri" w:cs="Calibri"/>
                <w:color w:val="000000"/>
                <w:sz w:val="22"/>
                <w:szCs w:val="22"/>
              </w:rPr>
            </w:pPr>
            <w:r>
              <w:rPr>
                <w:rFonts w:ascii="Calibri" w:hAnsi="Calibri" w:cs="Calibri"/>
                <w:color w:val="000000"/>
                <w:sz w:val="22"/>
                <w:szCs w:val="22"/>
              </w:rPr>
              <w:t>0.0</w:t>
            </w:r>
            <w:r w:rsidR="0070475A">
              <w:rPr>
                <w:rFonts w:ascii="Calibri" w:hAnsi="Calibri" w:cs="Calibri"/>
                <w:color w:val="000000"/>
                <w:sz w:val="22"/>
                <w:szCs w:val="22"/>
              </w:rPr>
              <w:t>7</w:t>
            </w:r>
          </w:p>
        </w:tc>
      </w:tr>
      <w:tr w:rsidRPr="00E672CA" w:rsidR="003E7268" w:rsidTr="00A02249" w14:paraId="28E6CFF6"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08815AB0" w14:textId="300C17D4">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6580BD05" w14:textId="323ABD7F">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16E053AB"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36F67B59" w14:textId="60FAAE99">
            <w:pPr>
              <w:rPr>
                <w:rFonts w:ascii="Calibri" w:hAnsi="Calibri" w:cs="Calibri"/>
                <w:color w:val="000000"/>
                <w:sz w:val="22"/>
                <w:szCs w:val="22"/>
              </w:rPr>
            </w:pPr>
            <w:r>
              <w:rPr>
                <w:rFonts w:ascii="Calibri" w:hAnsi="Calibri" w:cs="Calibri"/>
                <w:color w:val="000000"/>
                <w:sz w:val="22"/>
                <w:szCs w:val="22"/>
              </w:rPr>
              <w:t>0.14</w:t>
            </w:r>
          </w:p>
        </w:tc>
      </w:tr>
      <w:tr w:rsidRPr="00E672CA" w:rsidR="003E7268" w:rsidTr="00A02249" w14:paraId="340BC14A"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4B26BFDA" w14:textId="5AFADCA2">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70475A" w14:paraId="289AF5E6" w14:textId="7E8D1040">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5BD83B04"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70475A" w14:paraId="115CE6B7" w14:textId="091BFDEC">
            <w:pPr>
              <w:rPr>
                <w:rFonts w:ascii="Calibri" w:hAnsi="Calibri" w:cs="Calibri"/>
                <w:color w:val="000000"/>
                <w:sz w:val="22"/>
                <w:szCs w:val="22"/>
              </w:rPr>
            </w:pPr>
            <w:r>
              <w:rPr>
                <w:rFonts w:ascii="Calibri" w:hAnsi="Calibri" w:cs="Calibri"/>
                <w:color w:val="000000"/>
                <w:sz w:val="22"/>
                <w:szCs w:val="22"/>
              </w:rPr>
              <w:t>0.05</w:t>
            </w:r>
          </w:p>
        </w:tc>
      </w:tr>
      <w:tr w:rsidRPr="00E672CA" w:rsidR="003E7268" w:rsidTr="00A02249" w14:paraId="51110E1D"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4E3104E7" w14:textId="64EF0AAA">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3E7268" w14:paraId="4995F486" w14:textId="55C20851">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18D29405"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61854766" w14:textId="1879010D">
            <w:pPr>
              <w:rPr>
                <w:rFonts w:ascii="Calibri" w:hAnsi="Calibri" w:cs="Calibri"/>
                <w:color w:val="000000"/>
                <w:sz w:val="22"/>
                <w:szCs w:val="22"/>
              </w:rPr>
            </w:pPr>
            <w:r>
              <w:rPr>
                <w:rFonts w:ascii="Calibri" w:hAnsi="Calibri" w:cs="Calibri"/>
                <w:color w:val="000000"/>
                <w:sz w:val="22"/>
                <w:szCs w:val="22"/>
              </w:rPr>
              <w:t>0.05</w:t>
            </w:r>
          </w:p>
        </w:tc>
      </w:tr>
      <w:tr w:rsidRPr="00E672CA" w:rsidR="003E7268" w:rsidTr="00A02249" w14:paraId="625F0A48"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5517FE61" w14:textId="41791777">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3E7268" w:rsidP="003E7268" w:rsidRDefault="003E7268" w14:paraId="1486C135" w14:textId="0FC5EF4F">
            <w:pPr>
              <w:rPr>
                <w:rFonts w:ascii="Calibri" w:hAnsi="Calibri" w:cs="Calibri"/>
                <w:color w:val="000000"/>
                <w:sz w:val="22"/>
                <w:szCs w:val="22"/>
              </w:rPr>
            </w:pPr>
            <w:r>
              <w:rPr>
                <w:rFonts w:ascii="Calibri" w:hAnsi="Calibri" w:cs="Calibri"/>
                <w:color w:val="000000"/>
                <w:sz w:val="22"/>
                <w:szCs w:val="22"/>
              </w:rPr>
              <w:t>0.05</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10AECC4C"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1CE0425F" w14:textId="752A1F4B">
            <w:pPr>
              <w:rPr>
                <w:rFonts w:ascii="Calibri" w:hAnsi="Calibri" w:cs="Calibri"/>
                <w:color w:val="000000"/>
                <w:sz w:val="22"/>
                <w:szCs w:val="22"/>
              </w:rPr>
            </w:pPr>
            <w:r>
              <w:rPr>
                <w:rFonts w:ascii="Calibri" w:hAnsi="Calibri" w:cs="Calibri"/>
                <w:color w:val="000000"/>
                <w:sz w:val="22"/>
                <w:szCs w:val="22"/>
              </w:rPr>
              <w:t>0.05</w:t>
            </w:r>
          </w:p>
        </w:tc>
      </w:tr>
      <w:tr w:rsidRPr="00E672CA" w:rsidR="003E7268" w:rsidTr="00A02249" w14:paraId="13223D47" w14:textId="77777777">
        <w:trPr>
          <w:trHeight w:val="289"/>
        </w:trPr>
        <w:tc>
          <w:tcPr>
            <w:tcW w:w="3600" w:type="dxa"/>
            <w:gridSpan w:val="2"/>
            <w:tcBorders>
              <w:top w:val="nil"/>
              <w:bottom w:val="single" w:color="000000" w:sz="4" w:space="0"/>
              <w:right w:val="nil"/>
            </w:tcBorders>
            <w:shd w:val="clear" w:color="auto" w:fill="auto"/>
            <w:noWrap/>
            <w:vAlign w:val="bottom"/>
          </w:tcPr>
          <w:p w:rsidR="003E7268" w:rsidP="003E7268" w:rsidRDefault="003E7268" w14:paraId="20C09749" w14:textId="5D8605CC">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2340" w:type="dxa"/>
            <w:tcBorders>
              <w:top w:val="nil"/>
              <w:left w:val="nil"/>
              <w:bottom w:val="single" w:color="000000" w:sz="4" w:space="0"/>
              <w:right w:val="nil"/>
            </w:tcBorders>
            <w:shd w:val="clear" w:color="auto" w:fill="F2F2F2" w:themeFill="background1" w:themeFillShade="F2"/>
            <w:vAlign w:val="bottom"/>
          </w:tcPr>
          <w:p w:rsidR="003E7268" w:rsidP="003E7268" w:rsidRDefault="003E7268" w14:paraId="1778A1FD" w14:textId="42D392CF">
            <w:pPr>
              <w:rPr>
                <w:rFonts w:ascii="Calibri" w:hAnsi="Calibri" w:cs="Calibri"/>
                <w:color w:val="000000"/>
                <w:sz w:val="22"/>
                <w:szCs w:val="22"/>
              </w:rPr>
            </w:pPr>
            <w:r>
              <w:rPr>
                <w:rFonts w:ascii="Calibri" w:hAnsi="Calibri" w:cs="Calibri"/>
                <w:color w:val="000000"/>
                <w:sz w:val="22"/>
                <w:szCs w:val="22"/>
              </w:rPr>
              <w:t>Not applicable</w:t>
            </w:r>
          </w:p>
        </w:tc>
        <w:tc>
          <w:tcPr>
            <w:tcW w:w="236" w:type="dxa"/>
            <w:gridSpan w:val="2"/>
            <w:tcBorders>
              <w:top w:val="nil"/>
              <w:left w:val="nil"/>
              <w:bottom w:val="nil"/>
              <w:right w:val="nil"/>
            </w:tcBorders>
            <w:shd w:val="clear" w:color="auto" w:fill="F2F2F2" w:themeFill="background1" w:themeFillShade="F2"/>
            <w:vAlign w:val="bottom"/>
          </w:tcPr>
          <w:p w:rsidR="003E7268" w:rsidP="003E7268" w:rsidRDefault="003E7268" w14:paraId="09EB31EB" w14:textId="77777777">
            <w:pPr>
              <w:rPr>
                <w:rFonts w:ascii="Calibri" w:hAnsi="Calibri" w:cs="Calibri"/>
                <w:color w:val="000000"/>
                <w:sz w:val="22"/>
                <w:szCs w:val="22"/>
              </w:rPr>
            </w:pPr>
          </w:p>
        </w:tc>
        <w:tc>
          <w:tcPr>
            <w:tcW w:w="3420" w:type="dxa"/>
            <w:gridSpan w:val="2"/>
            <w:tcBorders>
              <w:top w:val="nil"/>
              <w:left w:val="nil"/>
              <w:bottom w:val="nil"/>
            </w:tcBorders>
            <w:shd w:val="clear" w:color="auto" w:fill="F2F2F2" w:themeFill="background1" w:themeFillShade="F2"/>
            <w:noWrap/>
            <w:vAlign w:val="bottom"/>
          </w:tcPr>
          <w:p w:rsidRPr="00E672CA" w:rsidR="003E7268" w:rsidP="003E7268" w:rsidRDefault="003E7268" w14:paraId="1EE6B108" w14:textId="4D7470BF">
            <w:pPr>
              <w:rPr>
                <w:rFonts w:ascii="Calibri" w:hAnsi="Calibri" w:cs="Calibri"/>
                <w:color w:val="000000"/>
                <w:sz w:val="22"/>
                <w:szCs w:val="22"/>
              </w:rPr>
            </w:pPr>
            <w:r>
              <w:rPr>
                <w:rFonts w:ascii="Calibri" w:hAnsi="Calibri" w:cs="Calibri"/>
                <w:color w:val="000000"/>
                <w:sz w:val="22"/>
                <w:szCs w:val="22"/>
              </w:rPr>
              <w:t>Not applicable</w:t>
            </w:r>
          </w:p>
        </w:tc>
      </w:tr>
      <w:tr w:rsidRPr="00E672CA" w:rsidR="00BE54D8" w:rsidTr="00BE54D8" w14:paraId="7B983199" w14:textId="77777777">
        <w:trPr>
          <w:trHeight w:val="289"/>
        </w:trPr>
        <w:tc>
          <w:tcPr>
            <w:tcW w:w="3600" w:type="dxa"/>
            <w:gridSpan w:val="2"/>
            <w:tcBorders>
              <w:top w:val="single" w:color="000000" w:sz="4" w:space="0"/>
              <w:bottom w:val="nil"/>
              <w:right w:val="nil"/>
            </w:tcBorders>
            <w:shd w:val="clear" w:color="auto" w:fill="auto"/>
            <w:noWrap/>
          </w:tcPr>
          <w:p w:rsidR="00BE54D8" w:rsidP="003E7268" w:rsidRDefault="00BE54D8" w14:paraId="7B9E349A" w14:textId="77777777">
            <w:pPr>
              <w:rPr>
                <w:rFonts w:ascii="Calibri" w:hAnsi="Calibri" w:cs="Calibri"/>
                <w:color w:val="000000"/>
                <w:sz w:val="22"/>
                <w:szCs w:val="22"/>
              </w:rPr>
            </w:pPr>
            <w:r>
              <w:rPr>
                <w:rFonts w:ascii="Calibri" w:hAnsi="Calibri" w:cs="Calibri"/>
                <w:b/>
                <w:color w:val="000000"/>
                <w:sz w:val="22"/>
                <w:szCs w:val="22"/>
              </w:rPr>
              <w:t>Estimated hours per system for staff to demonstrate that the system has no lead service lines</w:t>
            </w:r>
          </w:p>
        </w:tc>
        <w:tc>
          <w:tcPr>
            <w:tcW w:w="5996" w:type="dxa"/>
            <w:gridSpan w:val="5"/>
            <w:tcBorders>
              <w:top w:val="single" w:color="000000" w:sz="4" w:space="0"/>
              <w:left w:val="nil"/>
              <w:bottom w:val="nil"/>
            </w:tcBorders>
            <w:shd w:val="clear" w:color="auto" w:fill="auto"/>
          </w:tcPr>
          <w:p w:rsidRPr="00E672CA" w:rsidR="00BE54D8" w:rsidP="00524AF5" w:rsidRDefault="00BE54D8" w14:paraId="2C0CA164" w14:textId="18CDAE41">
            <w:pPr>
              <w:rPr>
                <w:rFonts w:ascii="Calibri" w:hAnsi="Calibri" w:cs="Calibri"/>
                <w:color w:val="000000"/>
                <w:sz w:val="22"/>
                <w:szCs w:val="22"/>
              </w:rPr>
            </w:pPr>
            <w:r>
              <w:rPr>
                <w:rFonts w:asciiTheme="minorHAnsi" w:hAnsiTheme="minorHAnsi" w:cstheme="minorHAnsi"/>
                <w:b/>
                <w:bCs/>
                <w:color w:val="000000"/>
                <w:sz w:val="22"/>
                <w:szCs w:val="22"/>
              </w:rPr>
              <w:t xml:space="preserve">Source: </w:t>
            </w:r>
            <w:r>
              <w:rPr>
                <w:rFonts w:ascii="Calibri" w:hAnsi="Calibri" w:cs="Calibri"/>
                <w:color w:val="000000"/>
                <w:sz w:val="22"/>
                <w:szCs w:val="22"/>
              </w:rPr>
              <w:t xml:space="preserve">The </w:t>
            </w:r>
            <w:r w:rsidRPr="00BE54D8">
              <w:rPr>
                <w:rFonts w:ascii="Calibri" w:hAnsi="Calibri" w:cs="Calibri"/>
                <w:color w:val="000000"/>
                <w:sz w:val="22"/>
                <w:szCs w:val="22"/>
              </w:rPr>
              <w:t xml:space="preserve">EPA assumed systems that have no LSLs already have </w:t>
            </w:r>
            <w:proofErr w:type="gramStart"/>
            <w:r w:rsidRPr="00BE54D8">
              <w:rPr>
                <w:rFonts w:ascii="Calibri" w:hAnsi="Calibri" w:cs="Calibri"/>
                <w:color w:val="000000"/>
                <w:sz w:val="22"/>
                <w:szCs w:val="22"/>
              </w:rPr>
              <w:t>documentation</w:t>
            </w:r>
            <w:r w:rsidR="00D25962">
              <w:rPr>
                <w:rFonts w:ascii="Calibri" w:hAnsi="Calibri" w:cs="Calibri"/>
                <w:color w:val="000000"/>
                <w:sz w:val="22"/>
                <w:szCs w:val="22"/>
              </w:rPr>
              <w:t>,</w:t>
            </w:r>
            <w:r w:rsidRPr="00BE54D8">
              <w:rPr>
                <w:rFonts w:ascii="Calibri" w:hAnsi="Calibri" w:cs="Calibri"/>
                <w:color w:val="000000"/>
                <w:sz w:val="22"/>
                <w:szCs w:val="22"/>
              </w:rPr>
              <w:t xml:space="preserve"> but</w:t>
            </w:r>
            <w:proofErr w:type="gramEnd"/>
            <w:r w:rsidRPr="00BE54D8">
              <w:rPr>
                <w:rFonts w:ascii="Calibri" w:hAnsi="Calibri" w:cs="Calibri"/>
                <w:color w:val="000000"/>
                <w:sz w:val="22"/>
                <w:szCs w:val="22"/>
              </w:rPr>
              <w:t xml:space="preserve"> will require time to gather the information and prepare a package for their Primacy Agency. Larger systems will require more documentation and thus have a higher corresponding burden. NTNCWSs will spend less time providing supporting documentation because they own the entirety of their service line and should have available records on-site, as well as have fewer service lines than CWSs.</w:t>
            </w:r>
          </w:p>
        </w:tc>
      </w:tr>
      <w:tr w:rsidRPr="00E672CA" w:rsidR="003E7268" w:rsidTr="00A02249" w14:paraId="6C521222"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18B3A43C" w14:textId="7620E3E7">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3EB049C5" w14:textId="66D3FB45">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0C0AD858"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171A7047" w14:textId="77777777">
            <w:pPr>
              <w:rPr>
                <w:rFonts w:ascii="Calibri" w:hAnsi="Calibri" w:cs="Calibri"/>
                <w:color w:val="000000"/>
                <w:sz w:val="22"/>
                <w:szCs w:val="22"/>
              </w:rPr>
            </w:pPr>
          </w:p>
        </w:tc>
      </w:tr>
      <w:tr w:rsidRPr="00E672CA" w:rsidR="003E7268" w:rsidTr="00A02249" w14:paraId="5DC19185"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238E80FD" w14:textId="6D5B64B3">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2CF72D46" w14:textId="663310AD">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21909539"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42B9676D" w14:textId="77777777">
            <w:pPr>
              <w:rPr>
                <w:rFonts w:ascii="Calibri" w:hAnsi="Calibri" w:cs="Calibri"/>
                <w:color w:val="000000"/>
                <w:sz w:val="22"/>
                <w:szCs w:val="22"/>
              </w:rPr>
            </w:pPr>
          </w:p>
        </w:tc>
      </w:tr>
      <w:tr w:rsidRPr="00E672CA" w:rsidR="003E7268" w:rsidTr="00A02249" w14:paraId="179914D4"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65F87BBF" w14:textId="50139B2F">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08B045D3" w14:textId="1B3527DA">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6D7377A8"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01C2573B" w14:textId="77777777">
            <w:pPr>
              <w:rPr>
                <w:rFonts w:ascii="Calibri" w:hAnsi="Calibri" w:cs="Calibri"/>
                <w:color w:val="000000"/>
                <w:sz w:val="22"/>
                <w:szCs w:val="22"/>
              </w:rPr>
            </w:pPr>
          </w:p>
        </w:tc>
      </w:tr>
      <w:tr w:rsidRPr="00E672CA" w:rsidR="003E7268" w:rsidTr="00A02249" w14:paraId="14C9C14C"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66C0CACE" w14:textId="61469E80">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0D311DC0" w14:textId="6D3B7934">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304F0B38"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636E2D39" w14:textId="77777777">
            <w:pPr>
              <w:rPr>
                <w:rFonts w:ascii="Calibri" w:hAnsi="Calibri" w:cs="Calibri"/>
                <w:color w:val="000000"/>
                <w:sz w:val="22"/>
                <w:szCs w:val="22"/>
              </w:rPr>
            </w:pPr>
          </w:p>
        </w:tc>
      </w:tr>
      <w:tr w:rsidRPr="00E672CA" w:rsidR="003E7268" w:rsidTr="00A02249" w14:paraId="487450F0"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1B092F11" w14:textId="1DA59E87">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4A5F6A54" w14:textId="75BF6467">
            <w:pPr>
              <w:rPr>
                <w:rFonts w:ascii="Calibri" w:hAnsi="Calibri" w:cs="Calibri"/>
                <w:color w:val="000000"/>
                <w:sz w:val="22"/>
                <w:szCs w:val="22"/>
              </w:rPr>
            </w:pPr>
            <w:r>
              <w:rPr>
                <w:rFonts w:ascii="Calibri" w:hAnsi="Calibri" w:cs="Calibri"/>
                <w:color w:val="000000"/>
                <w:sz w:val="22"/>
                <w:szCs w:val="22"/>
              </w:rPr>
              <w:t>20</w:t>
            </w:r>
          </w:p>
        </w:tc>
        <w:tc>
          <w:tcPr>
            <w:tcW w:w="236" w:type="dxa"/>
            <w:gridSpan w:val="2"/>
            <w:tcBorders>
              <w:top w:val="nil"/>
              <w:left w:val="nil"/>
              <w:bottom w:val="nil"/>
              <w:right w:val="nil"/>
            </w:tcBorders>
            <w:shd w:val="clear" w:color="000000" w:fill="EDEDED"/>
            <w:vAlign w:val="bottom"/>
          </w:tcPr>
          <w:p w:rsidR="003E7268" w:rsidP="003E7268" w:rsidRDefault="003E7268" w14:paraId="497EF979"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27357272" w14:textId="77777777">
            <w:pPr>
              <w:rPr>
                <w:rFonts w:ascii="Calibri" w:hAnsi="Calibri" w:cs="Calibri"/>
                <w:color w:val="000000"/>
                <w:sz w:val="22"/>
                <w:szCs w:val="22"/>
              </w:rPr>
            </w:pPr>
          </w:p>
        </w:tc>
      </w:tr>
      <w:tr w:rsidRPr="00E672CA" w:rsidR="003E7268" w:rsidTr="00A02249" w14:paraId="29754F91"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151D2A4" w14:textId="4A7BA892">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2B0AB40C" w14:textId="04FECB46">
            <w:pPr>
              <w:rPr>
                <w:rFonts w:ascii="Calibri" w:hAnsi="Calibri" w:cs="Calibri"/>
                <w:color w:val="000000"/>
                <w:sz w:val="22"/>
                <w:szCs w:val="22"/>
              </w:rPr>
            </w:pPr>
            <w:r>
              <w:rPr>
                <w:rFonts w:ascii="Calibri" w:hAnsi="Calibri" w:cs="Calibri"/>
                <w:color w:val="000000"/>
                <w:sz w:val="22"/>
                <w:szCs w:val="22"/>
              </w:rPr>
              <w:t>20</w:t>
            </w:r>
          </w:p>
        </w:tc>
        <w:tc>
          <w:tcPr>
            <w:tcW w:w="236" w:type="dxa"/>
            <w:gridSpan w:val="2"/>
            <w:tcBorders>
              <w:top w:val="nil"/>
              <w:left w:val="nil"/>
              <w:bottom w:val="nil"/>
              <w:right w:val="nil"/>
            </w:tcBorders>
            <w:shd w:val="clear" w:color="000000" w:fill="EDEDED"/>
            <w:vAlign w:val="bottom"/>
          </w:tcPr>
          <w:p w:rsidR="003E7268" w:rsidP="003E7268" w:rsidRDefault="003E7268" w14:paraId="54A9FB5D"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181CF1CF" w14:textId="77777777">
            <w:pPr>
              <w:rPr>
                <w:rFonts w:ascii="Calibri" w:hAnsi="Calibri" w:cs="Calibri"/>
                <w:color w:val="000000"/>
                <w:sz w:val="22"/>
                <w:szCs w:val="22"/>
              </w:rPr>
            </w:pPr>
          </w:p>
        </w:tc>
      </w:tr>
      <w:tr w:rsidRPr="00E672CA" w:rsidR="003E7268" w:rsidTr="00A02249" w14:paraId="7B6901D0"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147A3E74" w14:textId="3DC8F4ED">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30BA9446" w14:textId="61690049">
            <w:pPr>
              <w:rPr>
                <w:rFonts w:ascii="Calibri" w:hAnsi="Calibri" w:cs="Calibri"/>
                <w:color w:val="000000"/>
                <w:sz w:val="22"/>
                <w:szCs w:val="22"/>
              </w:rPr>
            </w:pPr>
            <w:r>
              <w:rPr>
                <w:rFonts w:ascii="Calibri" w:hAnsi="Calibri" w:cs="Calibri"/>
                <w:color w:val="000000"/>
                <w:sz w:val="22"/>
                <w:szCs w:val="22"/>
              </w:rPr>
              <w:t>40</w:t>
            </w:r>
          </w:p>
        </w:tc>
        <w:tc>
          <w:tcPr>
            <w:tcW w:w="236" w:type="dxa"/>
            <w:gridSpan w:val="2"/>
            <w:tcBorders>
              <w:top w:val="nil"/>
              <w:left w:val="nil"/>
              <w:bottom w:val="nil"/>
              <w:right w:val="nil"/>
            </w:tcBorders>
            <w:shd w:val="clear" w:color="000000" w:fill="EDEDED"/>
            <w:vAlign w:val="bottom"/>
          </w:tcPr>
          <w:p w:rsidR="003E7268" w:rsidP="003E7268" w:rsidRDefault="003E7268" w14:paraId="00D71AC0"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5729D8A4" w14:textId="77777777">
            <w:pPr>
              <w:rPr>
                <w:rFonts w:ascii="Calibri" w:hAnsi="Calibri" w:cs="Calibri"/>
                <w:color w:val="000000"/>
                <w:sz w:val="22"/>
                <w:szCs w:val="22"/>
              </w:rPr>
            </w:pPr>
          </w:p>
        </w:tc>
      </w:tr>
      <w:tr w:rsidRPr="00E672CA" w:rsidR="003E7268" w:rsidTr="00A02249" w14:paraId="6BCB5277"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067785FF" w14:textId="143CE8B5">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325C3DD0" w14:textId="7FB828B7">
            <w:pPr>
              <w:rPr>
                <w:rFonts w:ascii="Calibri" w:hAnsi="Calibri" w:cs="Calibri"/>
                <w:color w:val="000000"/>
                <w:sz w:val="22"/>
                <w:szCs w:val="22"/>
              </w:rPr>
            </w:pPr>
            <w:r>
              <w:rPr>
                <w:rFonts w:ascii="Calibri" w:hAnsi="Calibri" w:cs="Calibri"/>
                <w:color w:val="000000"/>
                <w:sz w:val="22"/>
                <w:szCs w:val="22"/>
              </w:rPr>
              <w:t>40</w:t>
            </w:r>
          </w:p>
        </w:tc>
        <w:tc>
          <w:tcPr>
            <w:tcW w:w="236" w:type="dxa"/>
            <w:gridSpan w:val="2"/>
            <w:tcBorders>
              <w:top w:val="nil"/>
              <w:left w:val="nil"/>
              <w:bottom w:val="nil"/>
              <w:right w:val="nil"/>
            </w:tcBorders>
            <w:shd w:val="clear" w:color="000000" w:fill="EDEDED"/>
            <w:vAlign w:val="bottom"/>
          </w:tcPr>
          <w:p w:rsidR="003E7268" w:rsidP="003E7268" w:rsidRDefault="003E7268" w14:paraId="17BC148E"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256D43B6" w14:textId="77777777">
            <w:pPr>
              <w:rPr>
                <w:rFonts w:ascii="Calibri" w:hAnsi="Calibri" w:cs="Calibri"/>
                <w:color w:val="000000"/>
                <w:sz w:val="22"/>
                <w:szCs w:val="22"/>
              </w:rPr>
            </w:pPr>
          </w:p>
        </w:tc>
      </w:tr>
      <w:tr w:rsidRPr="00E672CA" w:rsidR="003E7268" w:rsidTr="00A02249" w14:paraId="5AA75459"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722785A8" w14:textId="56FEE0D3">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3E7268" w:rsidP="003E7268" w:rsidRDefault="003E7268" w14:paraId="713F638E" w14:textId="0B03F1AC">
            <w:pPr>
              <w:rPr>
                <w:rFonts w:ascii="Calibri" w:hAnsi="Calibri" w:cs="Calibri"/>
                <w:color w:val="000000"/>
                <w:sz w:val="22"/>
                <w:szCs w:val="22"/>
              </w:rPr>
            </w:pPr>
            <w:r>
              <w:rPr>
                <w:rFonts w:ascii="Calibri" w:hAnsi="Calibri" w:cs="Calibri"/>
                <w:color w:val="000000"/>
                <w:sz w:val="22"/>
                <w:szCs w:val="22"/>
              </w:rPr>
              <w:t>40</w:t>
            </w:r>
          </w:p>
        </w:tc>
        <w:tc>
          <w:tcPr>
            <w:tcW w:w="236" w:type="dxa"/>
            <w:gridSpan w:val="2"/>
            <w:tcBorders>
              <w:top w:val="nil"/>
              <w:left w:val="nil"/>
              <w:bottom w:val="nil"/>
              <w:right w:val="nil"/>
            </w:tcBorders>
            <w:shd w:val="clear" w:color="000000" w:fill="EDEDED"/>
            <w:vAlign w:val="bottom"/>
          </w:tcPr>
          <w:p w:rsidR="003E7268" w:rsidP="003E7268" w:rsidRDefault="003E7268" w14:paraId="27DB4396"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21BC94DB" w14:textId="77777777">
            <w:pPr>
              <w:rPr>
                <w:rFonts w:ascii="Calibri" w:hAnsi="Calibri" w:cs="Calibri"/>
                <w:color w:val="000000"/>
                <w:sz w:val="22"/>
                <w:szCs w:val="22"/>
              </w:rPr>
            </w:pPr>
          </w:p>
        </w:tc>
      </w:tr>
      <w:tr w:rsidRPr="00E672CA" w:rsidR="003E7268" w:rsidTr="00A02249" w14:paraId="17DAC625"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7CED73B8" w14:textId="3186104F">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3C7D6549" w14:textId="08024933">
            <w:pPr>
              <w:rPr>
                <w:rFonts w:ascii="Calibri" w:hAnsi="Calibri" w:cs="Calibri"/>
                <w:color w:val="000000"/>
                <w:sz w:val="22"/>
                <w:szCs w:val="22"/>
              </w:rPr>
            </w:pPr>
            <w:r>
              <w:rPr>
                <w:rFonts w:ascii="Calibri" w:hAnsi="Calibri" w:cs="Calibri"/>
                <w:color w:val="000000"/>
                <w:sz w:val="22"/>
                <w:szCs w:val="22"/>
              </w:rPr>
              <w:t>5</w:t>
            </w:r>
          </w:p>
        </w:tc>
        <w:tc>
          <w:tcPr>
            <w:tcW w:w="236" w:type="dxa"/>
            <w:gridSpan w:val="2"/>
            <w:tcBorders>
              <w:top w:val="nil"/>
              <w:left w:val="nil"/>
              <w:bottom w:val="nil"/>
              <w:right w:val="nil"/>
            </w:tcBorders>
            <w:shd w:val="clear" w:color="000000" w:fill="EDEDED"/>
            <w:vAlign w:val="bottom"/>
          </w:tcPr>
          <w:p w:rsidR="003E7268" w:rsidP="003E7268" w:rsidRDefault="003E7268" w14:paraId="31A37CB5"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67F407C4" w14:textId="77777777">
            <w:pPr>
              <w:rPr>
                <w:rFonts w:ascii="Calibri" w:hAnsi="Calibri" w:cs="Calibri"/>
                <w:color w:val="000000"/>
                <w:sz w:val="22"/>
                <w:szCs w:val="22"/>
              </w:rPr>
            </w:pPr>
          </w:p>
        </w:tc>
      </w:tr>
      <w:tr w:rsidRPr="00E672CA" w:rsidR="003E7268" w:rsidTr="00A02249" w14:paraId="6B4DB5C1"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26BD2F51" w14:textId="7F2C6616">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42CCF5F7" w14:textId="5ABEEFA9">
            <w:pPr>
              <w:rPr>
                <w:rFonts w:ascii="Calibri" w:hAnsi="Calibri" w:cs="Calibri"/>
                <w:color w:val="000000"/>
                <w:sz w:val="22"/>
                <w:szCs w:val="22"/>
              </w:rPr>
            </w:pPr>
            <w:r>
              <w:rPr>
                <w:rFonts w:ascii="Calibri" w:hAnsi="Calibri" w:cs="Calibri"/>
                <w:color w:val="000000"/>
                <w:sz w:val="22"/>
                <w:szCs w:val="22"/>
              </w:rPr>
              <w:t>5</w:t>
            </w:r>
          </w:p>
        </w:tc>
        <w:tc>
          <w:tcPr>
            <w:tcW w:w="236" w:type="dxa"/>
            <w:gridSpan w:val="2"/>
            <w:tcBorders>
              <w:top w:val="nil"/>
              <w:left w:val="nil"/>
              <w:bottom w:val="nil"/>
              <w:right w:val="nil"/>
            </w:tcBorders>
            <w:shd w:val="clear" w:color="000000" w:fill="EDEDED"/>
            <w:vAlign w:val="bottom"/>
          </w:tcPr>
          <w:p w:rsidR="003E7268" w:rsidP="003E7268" w:rsidRDefault="003E7268" w14:paraId="4C04DFC5"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720956A4" w14:textId="77777777">
            <w:pPr>
              <w:rPr>
                <w:rFonts w:ascii="Calibri" w:hAnsi="Calibri" w:cs="Calibri"/>
                <w:color w:val="000000"/>
                <w:sz w:val="22"/>
                <w:szCs w:val="22"/>
              </w:rPr>
            </w:pPr>
          </w:p>
        </w:tc>
      </w:tr>
      <w:tr w:rsidRPr="00E672CA" w:rsidR="003E7268" w:rsidTr="00A02249" w14:paraId="185D4849"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688F9BE8" w14:textId="65554D74">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685CFA15" w14:textId="69FD00D5">
            <w:pPr>
              <w:rPr>
                <w:rFonts w:ascii="Calibri" w:hAnsi="Calibri" w:cs="Calibri"/>
                <w:color w:val="000000"/>
                <w:sz w:val="22"/>
                <w:szCs w:val="22"/>
              </w:rPr>
            </w:pPr>
            <w:r>
              <w:rPr>
                <w:rFonts w:ascii="Calibri" w:hAnsi="Calibri" w:cs="Calibri"/>
                <w:color w:val="000000"/>
                <w:sz w:val="22"/>
                <w:szCs w:val="22"/>
              </w:rPr>
              <w:t>5</w:t>
            </w:r>
          </w:p>
        </w:tc>
        <w:tc>
          <w:tcPr>
            <w:tcW w:w="236" w:type="dxa"/>
            <w:gridSpan w:val="2"/>
            <w:tcBorders>
              <w:top w:val="nil"/>
              <w:left w:val="nil"/>
              <w:bottom w:val="nil"/>
              <w:right w:val="nil"/>
            </w:tcBorders>
            <w:shd w:val="clear" w:color="000000" w:fill="EDEDED"/>
            <w:vAlign w:val="bottom"/>
          </w:tcPr>
          <w:p w:rsidR="003E7268" w:rsidP="003E7268" w:rsidRDefault="003E7268" w14:paraId="51F2D98F"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6C912C4C" w14:textId="77777777">
            <w:pPr>
              <w:rPr>
                <w:rFonts w:ascii="Calibri" w:hAnsi="Calibri" w:cs="Calibri"/>
                <w:color w:val="000000"/>
                <w:sz w:val="22"/>
                <w:szCs w:val="22"/>
              </w:rPr>
            </w:pPr>
          </w:p>
        </w:tc>
      </w:tr>
      <w:tr w:rsidRPr="00E672CA" w:rsidR="003E7268" w:rsidTr="00A02249" w14:paraId="0E8A6A47"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4675658" w14:textId="148957E6">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7B683BE4" w14:textId="2A15CE70">
            <w:pPr>
              <w:rPr>
                <w:rFonts w:ascii="Calibri" w:hAnsi="Calibri" w:cs="Calibri"/>
                <w:color w:val="000000"/>
                <w:sz w:val="22"/>
                <w:szCs w:val="22"/>
              </w:rPr>
            </w:pPr>
            <w:r>
              <w:rPr>
                <w:rFonts w:ascii="Calibri" w:hAnsi="Calibri" w:cs="Calibri"/>
                <w:color w:val="000000"/>
                <w:sz w:val="22"/>
                <w:szCs w:val="22"/>
              </w:rPr>
              <w:t>5</w:t>
            </w:r>
          </w:p>
        </w:tc>
        <w:tc>
          <w:tcPr>
            <w:tcW w:w="236" w:type="dxa"/>
            <w:gridSpan w:val="2"/>
            <w:tcBorders>
              <w:top w:val="nil"/>
              <w:left w:val="nil"/>
              <w:bottom w:val="nil"/>
              <w:right w:val="nil"/>
            </w:tcBorders>
            <w:shd w:val="clear" w:color="000000" w:fill="EDEDED"/>
            <w:vAlign w:val="bottom"/>
          </w:tcPr>
          <w:p w:rsidR="003E7268" w:rsidP="003E7268" w:rsidRDefault="003E7268" w14:paraId="68CE966F"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586DFCDC" w14:textId="77777777">
            <w:pPr>
              <w:rPr>
                <w:rFonts w:ascii="Calibri" w:hAnsi="Calibri" w:cs="Calibri"/>
                <w:color w:val="000000"/>
                <w:sz w:val="22"/>
                <w:szCs w:val="22"/>
              </w:rPr>
            </w:pPr>
          </w:p>
        </w:tc>
      </w:tr>
      <w:tr w:rsidRPr="00E672CA" w:rsidR="003E7268" w:rsidTr="00A02249" w14:paraId="2221846C"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3932006E" w14:textId="73FDD696">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4E474B62" w14:textId="219D571C">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2023DD20"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1AE6C508" w14:textId="77777777">
            <w:pPr>
              <w:rPr>
                <w:rFonts w:ascii="Calibri" w:hAnsi="Calibri" w:cs="Calibri"/>
                <w:color w:val="000000"/>
                <w:sz w:val="22"/>
                <w:szCs w:val="22"/>
              </w:rPr>
            </w:pPr>
          </w:p>
        </w:tc>
      </w:tr>
      <w:tr w:rsidRPr="00E672CA" w:rsidR="003E7268" w:rsidTr="00A02249" w14:paraId="1FE88999"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53BFC7D4" w14:textId="6C1E35FF">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7F61E5BB" w14:textId="2C239E65">
            <w:pPr>
              <w:rPr>
                <w:rFonts w:ascii="Calibri" w:hAnsi="Calibri" w:cs="Calibri"/>
                <w:color w:val="000000"/>
                <w:sz w:val="22"/>
                <w:szCs w:val="22"/>
              </w:rPr>
            </w:pPr>
            <w:r>
              <w:rPr>
                <w:rFonts w:ascii="Calibri" w:hAnsi="Calibri" w:cs="Calibri"/>
                <w:color w:val="000000"/>
                <w:sz w:val="22"/>
                <w:szCs w:val="22"/>
              </w:rPr>
              <w:t>10</w:t>
            </w:r>
          </w:p>
        </w:tc>
        <w:tc>
          <w:tcPr>
            <w:tcW w:w="236" w:type="dxa"/>
            <w:gridSpan w:val="2"/>
            <w:tcBorders>
              <w:top w:val="nil"/>
              <w:left w:val="nil"/>
              <w:bottom w:val="nil"/>
              <w:right w:val="nil"/>
            </w:tcBorders>
            <w:shd w:val="clear" w:color="000000" w:fill="EDEDED"/>
            <w:vAlign w:val="bottom"/>
          </w:tcPr>
          <w:p w:rsidR="003E7268" w:rsidP="003E7268" w:rsidRDefault="003E7268" w14:paraId="69B72F57"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33A018EA" w14:textId="77777777">
            <w:pPr>
              <w:rPr>
                <w:rFonts w:ascii="Calibri" w:hAnsi="Calibri" w:cs="Calibri"/>
                <w:color w:val="000000"/>
                <w:sz w:val="22"/>
                <w:szCs w:val="22"/>
              </w:rPr>
            </w:pPr>
          </w:p>
        </w:tc>
      </w:tr>
      <w:tr w:rsidRPr="00E672CA" w:rsidR="003E7268" w:rsidTr="00A02249" w14:paraId="1AEFD9FD"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5FB5EF8B" w14:textId="5E0A5B11">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61B3842E" w14:textId="6D805EA2">
            <w:pPr>
              <w:rPr>
                <w:rFonts w:ascii="Calibri" w:hAnsi="Calibri" w:cs="Calibri"/>
                <w:color w:val="000000"/>
                <w:sz w:val="22"/>
                <w:szCs w:val="22"/>
              </w:rPr>
            </w:pPr>
            <w:r>
              <w:rPr>
                <w:rFonts w:ascii="Calibri" w:hAnsi="Calibri" w:cs="Calibri"/>
                <w:color w:val="000000"/>
                <w:sz w:val="22"/>
                <w:szCs w:val="22"/>
              </w:rPr>
              <w:t>20</w:t>
            </w:r>
          </w:p>
        </w:tc>
        <w:tc>
          <w:tcPr>
            <w:tcW w:w="236" w:type="dxa"/>
            <w:gridSpan w:val="2"/>
            <w:tcBorders>
              <w:top w:val="nil"/>
              <w:left w:val="nil"/>
              <w:bottom w:val="nil"/>
              <w:right w:val="nil"/>
            </w:tcBorders>
            <w:shd w:val="clear" w:color="000000" w:fill="EDEDED"/>
            <w:vAlign w:val="bottom"/>
          </w:tcPr>
          <w:p w:rsidR="003E7268" w:rsidP="003E7268" w:rsidRDefault="003E7268" w14:paraId="3EE2CD00"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1DDF4F3F" w14:textId="77777777">
            <w:pPr>
              <w:rPr>
                <w:rFonts w:ascii="Calibri" w:hAnsi="Calibri" w:cs="Calibri"/>
                <w:color w:val="000000"/>
                <w:sz w:val="22"/>
                <w:szCs w:val="22"/>
              </w:rPr>
            </w:pPr>
          </w:p>
        </w:tc>
      </w:tr>
      <w:tr w:rsidRPr="00E672CA" w:rsidR="003E7268" w:rsidTr="00A02249" w14:paraId="38398F94" w14:textId="77777777">
        <w:trPr>
          <w:trHeight w:val="289"/>
        </w:trPr>
        <w:tc>
          <w:tcPr>
            <w:tcW w:w="3600" w:type="dxa"/>
            <w:gridSpan w:val="2"/>
            <w:tcBorders>
              <w:top w:val="nil"/>
              <w:bottom w:val="nil"/>
              <w:right w:val="nil"/>
            </w:tcBorders>
            <w:shd w:val="clear" w:color="auto" w:fill="auto"/>
            <w:noWrap/>
            <w:vAlign w:val="bottom"/>
          </w:tcPr>
          <w:p w:rsidR="003E7268" w:rsidP="003E7268" w:rsidRDefault="003E7268" w14:paraId="076B7A9B" w14:textId="4E547683">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3E7268" w:rsidP="003E7268" w:rsidRDefault="003E7268" w14:paraId="414B4494" w14:textId="70BB53CD">
            <w:pPr>
              <w:rPr>
                <w:rFonts w:ascii="Calibri" w:hAnsi="Calibri" w:cs="Calibri"/>
                <w:color w:val="000000"/>
                <w:sz w:val="22"/>
                <w:szCs w:val="22"/>
              </w:rPr>
            </w:pPr>
            <w:r>
              <w:rPr>
                <w:rFonts w:ascii="Calibri" w:hAnsi="Calibri" w:cs="Calibri"/>
                <w:color w:val="000000"/>
                <w:sz w:val="22"/>
                <w:szCs w:val="22"/>
              </w:rPr>
              <w:t>20</w:t>
            </w:r>
          </w:p>
        </w:tc>
        <w:tc>
          <w:tcPr>
            <w:tcW w:w="236" w:type="dxa"/>
            <w:gridSpan w:val="2"/>
            <w:tcBorders>
              <w:top w:val="nil"/>
              <w:left w:val="nil"/>
              <w:bottom w:val="nil"/>
              <w:right w:val="nil"/>
            </w:tcBorders>
            <w:shd w:val="clear" w:color="000000" w:fill="EDEDED"/>
            <w:vAlign w:val="bottom"/>
          </w:tcPr>
          <w:p w:rsidR="003E7268" w:rsidP="003E7268" w:rsidRDefault="003E7268" w14:paraId="7F92CB69" w14:textId="77777777">
            <w:pPr>
              <w:rPr>
                <w:rFonts w:ascii="Calibri" w:hAnsi="Calibri" w:cs="Calibri"/>
                <w:color w:val="000000"/>
                <w:sz w:val="22"/>
                <w:szCs w:val="22"/>
              </w:rPr>
            </w:pPr>
          </w:p>
        </w:tc>
        <w:tc>
          <w:tcPr>
            <w:tcW w:w="3420" w:type="dxa"/>
            <w:gridSpan w:val="2"/>
            <w:tcBorders>
              <w:top w:val="nil"/>
              <w:left w:val="nil"/>
              <w:bottom w:val="nil"/>
            </w:tcBorders>
            <w:shd w:val="clear" w:color="000000" w:fill="FFFFFF"/>
            <w:noWrap/>
          </w:tcPr>
          <w:p w:rsidRPr="00E672CA" w:rsidR="003E7268" w:rsidP="003E7268" w:rsidRDefault="003E7268" w14:paraId="3D927FB1" w14:textId="77777777">
            <w:pPr>
              <w:rPr>
                <w:rFonts w:ascii="Calibri" w:hAnsi="Calibri" w:cs="Calibri"/>
                <w:color w:val="000000"/>
                <w:sz w:val="22"/>
                <w:szCs w:val="22"/>
              </w:rPr>
            </w:pPr>
          </w:p>
        </w:tc>
      </w:tr>
      <w:tr w:rsidRPr="00E672CA" w:rsidR="003E7268" w:rsidTr="00A02249" w14:paraId="6C5495E0" w14:textId="77777777">
        <w:trPr>
          <w:trHeight w:val="289"/>
        </w:trPr>
        <w:tc>
          <w:tcPr>
            <w:tcW w:w="3600" w:type="dxa"/>
            <w:gridSpan w:val="2"/>
            <w:tcBorders>
              <w:top w:val="nil"/>
              <w:bottom w:val="single" w:color="000000" w:sz="4" w:space="0"/>
              <w:right w:val="nil"/>
            </w:tcBorders>
            <w:shd w:val="clear" w:color="auto" w:fill="auto"/>
            <w:noWrap/>
            <w:vAlign w:val="bottom"/>
          </w:tcPr>
          <w:p w:rsidR="003E7268" w:rsidP="003E7268" w:rsidRDefault="003E7268" w14:paraId="525CDB2A" w14:textId="1953698B">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2340" w:type="dxa"/>
            <w:tcBorders>
              <w:top w:val="nil"/>
              <w:left w:val="nil"/>
              <w:bottom w:val="single" w:color="000000" w:sz="4" w:space="0"/>
              <w:right w:val="nil"/>
            </w:tcBorders>
            <w:shd w:val="clear" w:color="000000" w:fill="EDEDED"/>
            <w:vAlign w:val="bottom"/>
          </w:tcPr>
          <w:p w:rsidR="003E7268" w:rsidP="003E7268" w:rsidRDefault="003E7268" w14:paraId="4F50B931" w14:textId="0E2DD124">
            <w:pPr>
              <w:rPr>
                <w:rFonts w:ascii="Calibri" w:hAnsi="Calibri" w:cs="Calibri"/>
                <w:color w:val="000000"/>
                <w:sz w:val="22"/>
                <w:szCs w:val="22"/>
              </w:rPr>
            </w:pPr>
            <w:r>
              <w:rPr>
                <w:rFonts w:ascii="Calibri" w:hAnsi="Calibri" w:cs="Calibri"/>
                <w:color w:val="000000"/>
                <w:sz w:val="22"/>
                <w:szCs w:val="22"/>
              </w:rPr>
              <w:t>Not applicable</w:t>
            </w:r>
          </w:p>
        </w:tc>
        <w:tc>
          <w:tcPr>
            <w:tcW w:w="236" w:type="dxa"/>
            <w:gridSpan w:val="2"/>
            <w:tcBorders>
              <w:top w:val="nil"/>
              <w:left w:val="nil"/>
              <w:bottom w:val="single" w:color="000000" w:sz="4" w:space="0"/>
              <w:right w:val="nil"/>
            </w:tcBorders>
            <w:shd w:val="clear" w:color="000000" w:fill="EDEDED"/>
            <w:vAlign w:val="bottom"/>
          </w:tcPr>
          <w:p w:rsidR="003E7268" w:rsidP="003E7268" w:rsidRDefault="003E7268" w14:paraId="66DD6BF5" w14:textId="77777777">
            <w:pPr>
              <w:rPr>
                <w:rFonts w:ascii="Calibri" w:hAnsi="Calibri" w:cs="Calibri"/>
                <w:color w:val="000000"/>
                <w:sz w:val="22"/>
                <w:szCs w:val="22"/>
              </w:rPr>
            </w:pPr>
          </w:p>
        </w:tc>
        <w:tc>
          <w:tcPr>
            <w:tcW w:w="3420" w:type="dxa"/>
            <w:gridSpan w:val="2"/>
            <w:tcBorders>
              <w:top w:val="nil"/>
              <w:left w:val="nil"/>
              <w:bottom w:val="single" w:color="000000" w:sz="4" w:space="0"/>
            </w:tcBorders>
            <w:shd w:val="clear" w:color="000000" w:fill="FFFFFF"/>
            <w:noWrap/>
          </w:tcPr>
          <w:p w:rsidRPr="00E672CA" w:rsidR="003E7268" w:rsidP="003E7268" w:rsidRDefault="003E7268" w14:paraId="57838A11" w14:textId="77777777">
            <w:pPr>
              <w:rPr>
                <w:rFonts w:ascii="Calibri" w:hAnsi="Calibri" w:cs="Calibri"/>
                <w:color w:val="000000"/>
                <w:sz w:val="22"/>
                <w:szCs w:val="22"/>
              </w:rPr>
            </w:pPr>
          </w:p>
        </w:tc>
      </w:tr>
      <w:tr w:rsidRPr="00E672CA" w:rsidR="00DE4311" w:rsidTr="00541D94" w14:paraId="454CA536" w14:textId="77777777">
        <w:trPr>
          <w:trHeight w:val="289"/>
        </w:trPr>
        <w:tc>
          <w:tcPr>
            <w:tcW w:w="3600" w:type="dxa"/>
            <w:gridSpan w:val="2"/>
            <w:tcBorders>
              <w:top w:val="single" w:color="000000" w:sz="4" w:space="0"/>
              <w:bottom w:val="nil"/>
              <w:right w:val="nil"/>
            </w:tcBorders>
            <w:shd w:val="clear" w:color="auto" w:fill="auto"/>
            <w:noWrap/>
          </w:tcPr>
          <w:p w:rsidR="00DE4311" w:rsidP="00A02249" w:rsidRDefault="00DE4311" w14:paraId="605BBC69" w14:textId="3B2230E6">
            <w:pPr>
              <w:rPr>
                <w:rFonts w:ascii="Calibri" w:hAnsi="Calibri" w:cs="Calibri"/>
                <w:color w:val="000000"/>
                <w:sz w:val="22"/>
                <w:szCs w:val="22"/>
              </w:rPr>
            </w:pPr>
            <w:r>
              <w:rPr>
                <w:rFonts w:ascii="Calibri" w:hAnsi="Calibri" w:cs="Calibri"/>
                <w:b/>
                <w:color w:val="000000"/>
                <w:sz w:val="22"/>
                <w:szCs w:val="22"/>
              </w:rPr>
              <w:t>Estimated hours per system for primacy agency staff to assist systems to develop LSL inventory and review submission of inventory</w:t>
            </w:r>
          </w:p>
        </w:tc>
        <w:tc>
          <w:tcPr>
            <w:tcW w:w="5996" w:type="dxa"/>
            <w:gridSpan w:val="5"/>
            <w:tcBorders>
              <w:top w:val="single" w:color="000000" w:sz="4" w:space="0"/>
              <w:left w:val="nil"/>
              <w:bottom w:val="nil"/>
            </w:tcBorders>
            <w:shd w:val="clear" w:color="auto" w:fill="auto"/>
          </w:tcPr>
          <w:p w:rsidRPr="00E672CA" w:rsidR="00DE4311" w:rsidP="006C480A" w:rsidRDefault="00DE4311" w14:paraId="57C896C3" w14:textId="49523425">
            <w:pPr>
              <w:rPr>
                <w:rFonts w:ascii="Calibri" w:hAnsi="Calibri" w:cs="Calibri"/>
                <w:color w:val="000000"/>
                <w:sz w:val="22"/>
                <w:szCs w:val="22"/>
              </w:rPr>
            </w:pPr>
            <w:r w:rsidRPr="00DE4311">
              <w:rPr>
                <w:rFonts w:ascii="Calibri" w:hAnsi="Calibri" w:cs="Calibri"/>
                <w:b/>
                <w:color w:val="000000"/>
                <w:sz w:val="22"/>
                <w:szCs w:val="22"/>
              </w:rPr>
              <w:t>Source:</w:t>
            </w:r>
            <w:r w:rsidRPr="00DE4311">
              <w:rPr>
                <w:rFonts w:ascii="Calibri" w:hAnsi="Calibri" w:cs="Calibri"/>
                <w:color w:val="000000"/>
                <w:sz w:val="22"/>
                <w:szCs w:val="22"/>
              </w:rPr>
              <w:t xml:space="preserve"> ASDWA’s “Final </w:t>
            </w:r>
            <w:proofErr w:type="spellStart"/>
            <w:r w:rsidRPr="00DE4311">
              <w:rPr>
                <w:rFonts w:ascii="Calibri" w:hAnsi="Calibri" w:cs="Calibri"/>
                <w:color w:val="000000"/>
                <w:sz w:val="22"/>
                <w:szCs w:val="22"/>
              </w:rPr>
              <w:t>CoSTS</w:t>
            </w:r>
            <w:proofErr w:type="spellEnd"/>
            <w:r w:rsidRPr="00DE4311">
              <w:rPr>
                <w:rFonts w:ascii="Calibri" w:hAnsi="Calibri" w:cs="Calibri"/>
                <w:color w:val="000000"/>
                <w:sz w:val="22"/>
                <w:szCs w:val="22"/>
              </w:rPr>
              <w:t xml:space="preserve"> 2-6-20</w:t>
            </w:r>
            <w:r w:rsidR="006C480A">
              <w:rPr>
                <w:rFonts w:ascii="Calibri" w:hAnsi="Calibri" w:cs="Calibri"/>
                <w:color w:val="000000"/>
                <w:sz w:val="22"/>
                <w:szCs w:val="22"/>
              </w:rPr>
              <w:t>”</w:t>
            </w:r>
            <w:r w:rsidRPr="00DE4311">
              <w:rPr>
                <w:rFonts w:ascii="Calibri" w:hAnsi="Calibri" w:cs="Calibri"/>
                <w:color w:val="000000"/>
                <w:sz w:val="22"/>
                <w:szCs w:val="22"/>
              </w:rPr>
              <w:t xml:space="preserve">, worksheet LSL Inv. and </w:t>
            </w:r>
            <w:proofErr w:type="spellStart"/>
            <w:r w:rsidRPr="00DE4311">
              <w:rPr>
                <w:rFonts w:ascii="Calibri" w:hAnsi="Calibri" w:cs="Calibri"/>
                <w:color w:val="000000"/>
                <w:sz w:val="22"/>
                <w:szCs w:val="22"/>
              </w:rPr>
              <w:t>Repl</w:t>
            </w:r>
            <w:proofErr w:type="spellEnd"/>
            <w:r w:rsidRPr="00DE4311">
              <w:rPr>
                <w:rFonts w:ascii="Calibri" w:hAnsi="Calibri" w:cs="Calibri"/>
                <w:color w:val="000000"/>
                <w:sz w:val="22"/>
                <w:szCs w:val="22"/>
              </w:rPr>
              <w:t xml:space="preserve"> (Row 22).</w:t>
            </w:r>
          </w:p>
        </w:tc>
      </w:tr>
      <w:tr w:rsidRPr="00E672CA" w:rsidR="00A02249" w:rsidTr="00D451BF" w14:paraId="41354A88"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286AD173" w14:textId="6389534D">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4F1F189" w14:textId="4E699A4A">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70CBD68E"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56F2F1DB" w14:textId="77777777">
            <w:pPr>
              <w:rPr>
                <w:rFonts w:ascii="Calibri" w:hAnsi="Calibri" w:cs="Calibri"/>
                <w:color w:val="000000"/>
                <w:sz w:val="22"/>
                <w:szCs w:val="22"/>
              </w:rPr>
            </w:pPr>
          </w:p>
        </w:tc>
      </w:tr>
      <w:tr w:rsidRPr="00E672CA" w:rsidR="00A02249" w:rsidTr="00D451BF" w14:paraId="7D0B52CA"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3479136E" w14:textId="4B0AC409">
            <w:pPr>
              <w:rPr>
                <w:rFonts w:ascii="Calibri" w:hAnsi="Calibri" w:cs="Calibri"/>
                <w:color w:val="000000"/>
                <w:sz w:val="22"/>
                <w:szCs w:val="22"/>
              </w:rPr>
            </w:pPr>
            <w:r w:rsidRPr="00040DBE">
              <w:rPr>
                <w:rFonts w:asciiTheme="minorHAnsi" w:hAnsiTheme="minorHAnsi" w:cstheme="minorHAnsi"/>
                <w:color w:val="000000"/>
                <w:sz w:val="22"/>
                <w:szCs w:val="22"/>
              </w:rPr>
              <w:lastRenderedPageBreak/>
              <w:t>Systems 101-500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3EB3C81" w14:textId="4450DB14">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127CD6AA"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5A43FB44" w14:textId="77777777">
            <w:pPr>
              <w:rPr>
                <w:rFonts w:ascii="Calibri" w:hAnsi="Calibri" w:cs="Calibri"/>
                <w:color w:val="000000"/>
                <w:sz w:val="22"/>
                <w:szCs w:val="22"/>
              </w:rPr>
            </w:pPr>
          </w:p>
        </w:tc>
      </w:tr>
      <w:tr w:rsidRPr="00E672CA" w:rsidR="00A02249" w:rsidTr="00D451BF" w14:paraId="1866B25D"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36740F96" w14:textId="60C59A1C">
            <w:pPr>
              <w:rPr>
                <w:rFonts w:ascii="Calibri" w:hAnsi="Calibri" w:cs="Calibr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1D86BF3E" w14:textId="6CF17211">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55636784"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6187236B" w14:textId="77777777">
            <w:pPr>
              <w:rPr>
                <w:rFonts w:ascii="Calibri" w:hAnsi="Calibri" w:cs="Calibri"/>
                <w:color w:val="000000"/>
                <w:sz w:val="22"/>
                <w:szCs w:val="22"/>
              </w:rPr>
            </w:pPr>
          </w:p>
        </w:tc>
      </w:tr>
      <w:tr w:rsidRPr="00E672CA" w:rsidR="00A02249" w:rsidTr="00D451BF" w14:paraId="0859E6B8"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36D5623E" w14:textId="167E0A87">
            <w:pPr>
              <w:rPr>
                <w:rFonts w:ascii="Calibri" w:hAnsi="Calibri" w:cs="Calibr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3326B0CD" w14:textId="05B1F449">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6E597EDD"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7A64CEAE" w14:textId="77777777">
            <w:pPr>
              <w:rPr>
                <w:rFonts w:ascii="Calibri" w:hAnsi="Calibri" w:cs="Calibri"/>
                <w:color w:val="000000"/>
                <w:sz w:val="22"/>
                <w:szCs w:val="22"/>
              </w:rPr>
            </w:pPr>
          </w:p>
        </w:tc>
      </w:tr>
      <w:tr w:rsidRPr="00E672CA" w:rsidR="00A02249" w:rsidTr="00D451BF" w14:paraId="64DE0686"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7BF4DDE8" w14:textId="1B859AFE">
            <w:pPr>
              <w:rPr>
                <w:rFonts w:ascii="Calibri" w:hAnsi="Calibri" w:cs="Calibr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7BF20EE7" w14:textId="16F53C9C">
            <w:pPr>
              <w:rPr>
                <w:rFonts w:ascii="Calibri" w:hAnsi="Calibri" w:cs="Calibri"/>
                <w:color w:val="000000"/>
                <w:sz w:val="22"/>
                <w:szCs w:val="22"/>
              </w:rPr>
            </w:pPr>
            <w:r>
              <w:rPr>
                <w:rFonts w:ascii="Calibri" w:hAnsi="Calibri" w:cs="Calibri"/>
                <w:color w:val="000000"/>
                <w:sz w:val="22"/>
                <w:szCs w:val="22"/>
              </w:rPr>
              <w:t>8</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1032BD6A"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05994AFA" w14:textId="77777777">
            <w:pPr>
              <w:rPr>
                <w:rFonts w:ascii="Calibri" w:hAnsi="Calibri" w:cs="Calibri"/>
                <w:color w:val="000000"/>
                <w:sz w:val="22"/>
                <w:szCs w:val="22"/>
              </w:rPr>
            </w:pPr>
          </w:p>
        </w:tc>
      </w:tr>
      <w:tr w:rsidRPr="00E672CA" w:rsidR="00A02249" w:rsidTr="00D451BF" w14:paraId="30DDE784"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34AD3B3E" w14:textId="13D4A328">
            <w:pPr>
              <w:rPr>
                <w:rFonts w:ascii="Calibri" w:hAnsi="Calibri" w:cs="Calibr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74C676F6" w14:textId="5922E6F7">
            <w:pPr>
              <w:rPr>
                <w:rFonts w:ascii="Calibri" w:hAnsi="Calibri" w:cs="Calibri"/>
                <w:color w:val="000000"/>
                <w:sz w:val="22"/>
                <w:szCs w:val="22"/>
              </w:rPr>
            </w:pPr>
            <w:r>
              <w:rPr>
                <w:rFonts w:ascii="Calibri" w:hAnsi="Calibri" w:cs="Calibri"/>
                <w:color w:val="000000"/>
                <w:sz w:val="22"/>
                <w:szCs w:val="22"/>
              </w:rPr>
              <w:t>8</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7CCEB978"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21AE2569" w14:textId="77777777">
            <w:pPr>
              <w:rPr>
                <w:rFonts w:ascii="Calibri" w:hAnsi="Calibri" w:cs="Calibri"/>
                <w:color w:val="000000"/>
                <w:sz w:val="22"/>
                <w:szCs w:val="22"/>
              </w:rPr>
            </w:pPr>
          </w:p>
        </w:tc>
      </w:tr>
      <w:tr w:rsidRPr="00E672CA" w:rsidR="00A02249" w:rsidTr="00D451BF" w14:paraId="1B8BB799"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4C077989" w14:textId="7A3A39DA">
            <w:pPr>
              <w:rPr>
                <w:rFonts w:ascii="Calibri" w:hAnsi="Calibri" w:cs="Calibr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55CE5AA7" w14:textId="2B0377B6">
            <w:pPr>
              <w:rPr>
                <w:rFonts w:ascii="Calibri" w:hAnsi="Calibri" w:cs="Calibri"/>
                <w:color w:val="000000"/>
                <w:sz w:val="22"/>
                <w:szCs w:val="22"/>
              </w:rPr>
            </w:pPr>
            <w:r>
              <w:rPr>
                <w:rFonts w:ascii="Calibri" w:hAnsi="Calibri" w:cs="Calibri"/>
                <w:color w:val="000000"/>
                <w:sz w:val="22"/>
                <w:szCs w:val="22"/>
              </w:rPr>
              <w:t>8</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6878A95C"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78060F73" w14:textId="77777777">
            <w:pPr>
              <w:rPr>
                <w:rFonts w:ascii="Calibri" w:hAnsi="Calibri" w:cs="Calibri"/>
                <w:color w:val="000000"/>
                <w:sz w:val="22"/>
                <w:szCs w:val="22"/>
              </w:rPr>
            </w:pPr>
          </w:p>
        </w:tc>
      </w:tr>
      <w:tr w:rsidRPr="00E672CA" w:rsidR="00A02249" w:rsidTr="00D451BF" w14:paraId="2EF9045B"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5A0F3622" w14:textId="684E5FFF">
            <w:pPr>
              <w:rPr>
                <w:rFonts w:ascii="Calibri" w:hAnsi="Calibri" w:cs="Calibr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149C901E" w14:textId="3F143CC3">
            <w:pPr>
              <w:rPr>
                <w:rFonts w:ascii="Calibri" w:hAnsi="Calibri" w:cs="Calibri"/>
                <w:color w:val="000000"/>
                <w:sz w:val="22"/>
                <w:szCs w:val="22"/>
              </w:rPr>
            </w:pPr>
            <w:r>
              <w:rPr>
                <w:rFonts w:ascii="Calibri" w:hAnsi="Calibri" w:cs="Calibri"/>
                <w:color w:val="000000"/>
                <w:sz w:val="22"/>
                <w:szCs w:val="22"/>
              </w:rPr>
              <w:t>8</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5551999A"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367E8675" w14:textId="77777777">
            <w:pPr>
              <w:rPr>
                <w:rFonts w:ascii="Calibri" w:hAnsi="Calibri" w:cs="Calibri"/>
                <w:color w:val="000000"/>
                <w:sz w:val="22"/>
                <w:szCs w:val="22"/>
              </w:rPr>
            </w:pPr>
          </w:p>
        </w:tc>
      </w:tr>
      <w:tr w:rsidRPr="00E672CA" w:rsidR="00A02249" w:rsidTr="00D451BF" w14:paraId="75D6E571" w14:textId="77777777">
        <w:trPr>
          <w:trHeight w:val="289"/>
        </w:trPr>
        <w:tc>
          <w:tcPr>
            <w:tcW w:w="3600" w:type="dxa"/>
            <w:gridSpan w:val="2"/>
            <w:tcBorders>
              <w:top w:val="nil"/>
              <w:bottom w:val="nil"/>
              <w:right w:val="nil"/>
            </w:tcBorders>
            <w:shd w:val="clear" w:color="auto" w:fill="auto"/>
            <w:noWrap/>
            <w:vAlign w:val="bottom"/>
          </w:tcPr>
          <w:p w:rsidR="00A02249" w:rsidP="00A02249" w:rsidRDefault="00A02249" w14:paraId="2228E656" w14:textId="50F0AEB2">
            <w:pPr>
              <w:rPr>
                <w:rFonts w:ascii="Calibri" w:hAnsi="Calibri" w:cs="Calibr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16192B77" w14:textId="066BCECC">
            <w:pPr>
              <w:rPr>
                <w:rFonts w:ascii="Calibri" w:hAnsi="Calibri" w:cs="Calibri"/>
                <w:color w:val="000000"/>
                <w:sz w:val="22"/>
                <w:szCs w:val="22"/>
              </w:rPr>
            </w:pPr>
            <w:r>
              <w:rPr>
                <w:rFonts w:ascii="Calibri" w:hAnsi="Calibri" w:cs="Calibri"/>
                <w:color w:val="000000"/>
                <w:sz w:val="22"/>
                <w:szCs w:val="22"/>
              </w:rPr>
              <w:t>8</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5EA52CE0" w14:textId="77777777">
            <w:pPr>
              <w:rPr>
                <w:rFonts w:ascii="Calibri" w:hAnsi="Calibri" w:cs="Calibri"/>
                <w:color w:val="000000"/>
                <w:sz w:val="22"/>
                <w:szCs w:val="22"/>
              </w:rPr>
            </w:pPr>
          </w:p>
        </w:tc>
        <w:tc>
          <w:tcPr>
            <w:tcW w:w="3420" w:type="dxa"/>
            <w:gridSpan w:val="2"/>
            <w:tcBorders>
              <w:top w:val="nil"/>
              <w:left w:val="nil"/>
              <w:bottom w:val="nil"/>
            </w:tcBorders>
            <w:shd w:val="clear" w:color="auto" w:fill="auto"/>
            <w:noWrap/>
          </w:tcPr>
          <w:p w:rsidRPr="00E672CA" w:rsidR="00A02249" w:rsidP="00A02249" w:rsidRDefault="00A02249" w14:paraId="01B77382" w14:textId="77777777">
            <w:pPr>
              <w:rPr>
                <w:rFonts w:ascii="Calibri" w:hAnsi="Calibri" w:cs="Calibri"/>
                <w:color w:val="000000"/>
                <w:sz w:val="22"/>
                <w:szCs w:val="22"/>
              </w:rPr>
            </w:pPr>
          </w:p>
        </w:tc>
      </w:tr>
      <w:tr w:rsidR="00A02249" w:rsidTr="00D451BF" w14:paraId="56F575C0" w14:textId="17FE0D69">
        <w:trPr>
          <w:trHeight w:val="289"/>
        </w:trPr>
        <w:tc>
          <w:tcPr>
            <w:tcW w:w="3600" w:type="dxa"/>
            <w:gridSpan w:val="2"/>
            <w:tcBorders>
              <w:top w:val="nil"/>
              <w:bottom w:val="nil"/>
              <w:right w:val="nil"/>
            </w:tcBorders>
            <w:shd w:val="clear" w:color="auto" w:fill="auto"/>
            <w:noWrap/>
            <w:vAlign w:val="bottom"/>
          </w:tcPr>
          <w:p w:rsidR="00A02249" w:rsidP="00A02249" w:rsidRDefault="00A02249" w14:paraId="7D1B462B" w14:textId="09E8AAD7">
            <w:pPr>
              <w:rPr>
                <w:rFonts w:ascii="Calibri" w:hAnsi="Calibri" w:cs="Calibr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1A5FE898" w14:textId="70E9264C">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6C6AC431"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0855246E" w14:textId="77777777"/>
        </w:tc>
      </w:tr>
      <w:tr w:rsidR="00A02249" w:rsidTr="00D451BF" w14:paraId="58BEC667" w14:textId="42BAB171">
        <w:trPr>
          <w:trHeight w:val="289"/>
        </w:trPr>
        <w:tc>
          <w:tcPr>
            <w:tcW w:w="3600" w:type="dxa"/>
            <w:gridSpan w:val="2"/>
            <w:tcBorders>
              <w:top w:val="nil"/>
              <w:bottom w:val="nil"/>
              <w:right w:val="nil"/>
            </w:tcBorders>
            <w:shd w:val="clear" w:color="auto" w:fill="auto"/>
            <w:noWrap/>
            <w:vAlign w:val="bottom"/>
          </w:tcPr>
          <w:p w:rsidR="00A02249" w:rsidP="00A02249" w:rsidRDefault="00A02249" w14:paraId="21B31A99" w14:textId="11D433BF">
            <w:pPr>
              <w:rPr>
                <w:rFonts w:ascii="Calibri" w:hAnsi="Calibri" w:cs="Calibr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6F101CDF" w14:textId="3B6F28AC">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5830872E"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0F362720" w14:textId="77777777"/>
        </w:tc>
      </w:tr>
      <w:tr w:rsidR="00A02249" w:rsidTr="00D451BF" w14:paraId="78FE1874"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7E12843C" w14:textId="46FD1E0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767F8F8" w14:textId="32781A17">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5AC70FA5"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21B006B5" w14:textId="77777777"/>
        </w:tc>
      </w:tr>
      <w:tr w:rsidR="00A02249" w:rsidTr="00D451BF" w14:paraId="750D2A4B"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2541428E" w14:textId="151C7543">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53A31A86" w14:textId="448DA265">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333D77D3"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582A97C4" w14:textId="77777777"/>
        </w:tc>
      </w:tr>
      <w:tr w:rsidR="00A02249" w:rsidTr="00D451BF" w14:paraId="5A49977D"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29E0B8C9" w14:textId="5445896D">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D1DB031" w14:textId="089BE5D2">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66FD11FA"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15A79D48" w14:textId="77777777"/>
        </w:tc>
      </w:tr>
      <w:tr w:rsidR="00A02249" w:rsidTr="00D451BF" w14:paraId="72E95AB5"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3072619D" w14:textId="7D49B448">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F17A179" w14:textId="5FCC56B2">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389A65D7"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1641BC81" w14:textId="77777777"/>
        </w:tc>
      </w:tr>
      <w:tr w:rsidR="00A02249" w:rsidTr="00D451BF" w14:paraId="3778FB2B"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1DD67649" w14:textId="3748669B">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47848704" w14:textId="3D26C75A">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423C7CA5"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258697C4" w14:textId="77777777"/>
        </w:tc>
      </w:tr>
      <w:tr w:rsidR="00A02249" w:rsidTr="00D451BF" w14:paraId="518464AE" w14:textId="77777777">
        <w:trPr>
          <w:trHeight w:val="289"/>
        </w:trPr>
        <w:tc>
          <w:tcPr>
            <w:tcW w:w="3600" w:type="dxa"/>
            <w:gridSpan w:val="2"/>
            <w:tcBorders>
              <w:top w:val="nil"/>
              <w:bottom w:val="nil"/>
              <w:right w:val="nil"/>
            </w:tcBorders>
            <w:shd w:val="clear" w:color="auto" w:fill="auto"/>
            <w:noWrap/>
            <w:vAlign w:val="bottom"/>
          </w:tcPr>
          <w:p w:rsidRPr="00040DBE" w:rsidR="00A02249" w:rsidP="00A02249" w:rsidRDefault="00A02249" w14:paraId="3439F4D7" w14:textId="5F175B46">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auto" w:fill="F2F2F2" w:themeFill="background1" w:themeFillShade="F2"/>
            <w:vAlign w:val="bottom"/>
          </w:tcPr>
          <w:p w:rsidR="00A02249" w:rsidP="00A02249" w:rsidRDefault="00D451BF" w14:paraId="2E72A277" w14:textId="13BA95A0">
            <w:pPr>
              <w:rPr>
                <w:rFonts w:ascii="Calibri" w:hAnsi="Calibri" w:cs="Calibri"/>
                <w:color w:val="000000"/>
                <w:sz w:val="22"/>
                <w:szCs w:val="22"/>
              </w:rPr>
            </w:pPr>
            <w:r>
              <w:rPr>
                <w:rFonts w:ascii="Calibri" w:hAnsi="Calibri" w:cs="Calibri"/>
                <w:color w:val="000000"/>
                <w:sz w:val="22"/>
                <w:szCs w:val="22"/>
              </w:rPr>
              <w:t>4</w:t>
            </w:r>
          </w:p>
        </w:tc>
        <w:tc>
          <w:tcPr>
            <w:tcW w:w="236" w:type="dxa"/>
            <w:gridSpan w:val="2"/>
            <w:tcBorders>
              <w:top w:val="nil"/>
              <w:left w:val="nil"/>
              <w:bottom w:val="nil"/>
              <w:right w:val="nil"/>
            </w:tcBorders>
            <w:shd w:val="clear" w:color="auto" w:fill="F2F2F2" w:themeFill="background1" w:themeFillShade="F2"/>
            <w:vAlign w:val="bottom"/>
          </w:tcPr>
          <w:p w:rsidR="00A02249" w:rsidP="00A02249" w:rsidRDefault="00A02249" w14:paraId="7ECF7835" w14:textId="77777777">
            <w:pPr>
              <w:rPr>
                <w:rFonts w:ascii="Calibri" w:hAnsi="Calibri" w:cs="Calibri"/>
                <w:color w:val="000000"/>
                <w:sz w:val="22"/>
                <w:szCs w:val="22"/>
              </w:rPr>
            </w:pPr>
          </w:p>
        </w:tc>
        <w:tc>
          <w:tcPr>
            <w:tcW w:w="3420" w:type="dxa"/>
            <w:gridSpan w:val="2"/>
            <w:tcBorders>
              <w:top w:val="nil"/>
              <w:bottom w:val="nil"/>
            </w:tcBorders>
            <w:shd w:val="clear" w:color="auto" w:fill="auto"/>
          </w:tcPr>
          <w:p w:rsidR="00A02249" w:rsidP="00A02249" w:rsidRDefault="00A02249" w14:paraId="7843864E" w14:textId="77777777"/>
        </w:tc>
      </w:tr>
      <w:tr w:rsidR="00A02249" w:rsidTr="00D451BF" w14:paraId="76245085" w14:textId="77777777">
        <w:trPr>
          <w:trHeight w:val="289"/>
        </w:trPr>
        <w:tc>
          <w:tcPr>
            <w:tcW w:w="3600" w:type="dxa"/>
            <w:gridSpan w:val="2"/>
            <w:tcBorders>
              <w:top w:val="nil"/>
              <w:bottom w:val="single" w:color="auto" w:sz="4" w:space="0"/>
              <w:right w:val="nil"/>
            </w:tcBorders>
            <w:shd w:val="clear" w:color="auto" w:fill="auto"/>
            <w:noWrap/>
            <w:vAlign w:val="bottom"/>
          </w:tcPr>
          <w:p w:rsidRPr="00040DBE" w:rsidR="00A02249" w:rsidP="00A02249" w:rsidRDefault="00A02249" w14:paraId="4812A893" w14:textId="6A31E5A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NTNCWS</w:t>
            </w:r>
          </w:p>
        </w:tc>
        <w:tc>
          <w:tcPr>
            <w:tcW w:w="2340" w:type="dxa"/>
            <w:tcBorders>
              <w:top w:val="nil"/>
              <w:left w:val="nil"/>
              <w:bottom w:val="single" w:color="auto" w:sz="4" w:space="0"/>
              <w:right w:val="nil"/>
            </w:tcBorders>
            <w:shd w:val="clear" w:color="auto" w:fill="F2F2F2" w:themeFill="background1" w:themeFillShade="F2"/>
            <w:vAlign w:val="bottom"/>
          </w:tcPr>
          <w:p w:rsidR="00A02249" w:rsidP="00A02249" w:rsidRDefault="00A02249" w14:paraId="0ED9F1A3" w14:textId="1743B101">
            <w:pPr>
              <w:rPr>
                <w:rFonts w:ascii="Calibri" w:hAnsi="Calibri" w:cs="Calibri"/>
                <w:color w:val="000000"/>
                <w:sz w:val="22"/>
                <w:szCs w:val="22"/>
              </w:rPr>
            </w:pPr>
            <w:r>
              <w:rPr>
                <w:rFonts w:ascii="Calibri" w:hAnsi="Calibri" w:cs="Calibri"/>
                <w:color w:val="000000"/>
                <w:sz w:val="22"/>
                <w:szCs w:val="22"/>
              </w:rPr>
              <w:t>Not applicable</w:t>
            </w:r>
          </w:p>
        </w:tc>
        <w:tc>
          <w:tcPr>
            <w:tcW w:w="236" w:type="dxa"/>
            <w:gridSpan w:val="2"/>
            <w:tcBorders>
              <w:top w:val="nil"/>
              <w:left w:val="nil"/>
              <w:bottom w:val="single" w:color="auto" w:sz="4" w:space="0"/>
              <w:right w:val="nil"/>
            </w:tcBorders>
            <w:shd w:val="clear" w:color="auto" w:fill="F2F2F2" w:themeFill="background1" w:themeFillShade="F2"/>
            <w:vAlign w:val="bottom"/>
          </w:tcPr>
          <w:p w:rsidR="00A02249" w:rsidP="00A02249" w:rsidRDefault="00A02249" w14:paraId="5A17B2B6" w14:textId="77777777">
            <w:pPr>
              <w:rPr>
                <w:rFonts w:ascii="Calibri" w:hAnsi="Calibri" w:cs="Calibri"/>
                <w:color w:val="000000"/>
                <w:sz w:val="22"/>
                <w:szCs w:val="22"/>
              </w:rPr>
            </w:pPr>
          </w:p>
        </w:tc>
        <w:tc>
          <w:tcPr>
            <w:tcW w:w="3420" w:type="dxa"/>
            <w:gridSpan w:val="2"/>
            <w:tcBorders>
              <w:top w:val="nil"/>
              <w:bottom w:val="single" w:color="auto" w:sz="4" w:space="0"/>
            </w:tcBorders>
            <w:shd w:val="clear" w:color="auto" w:fill="auto"/>
          </w:tcPr>
          <w:p w:rsidR="00A02249" w:rsidP="00A02249" w:rsidRDefault="00A02249" w14:paraId="5A2FC84E" w14:textId="77777777"/>
        </w:tc>
      </w:tr>
      <w:tr w:rsidR="005504B0" w:rsidTr="00BE54D8" w14:paraId="5EF94CD2" w14:textId="77777777">
        <w:trPr>
          <w:trHeight w:val="289"/>
        </w:trPr>
        <w:tc>
          <w:tcPr>
            <w:tcW w:w="3600" w:type="dxa"/>
            <w:gridSpan w:val="2"/>
            <w:tcBorders>
              <w:top w:val="single" w:color="auto" w:sz="4" w:space="0"/>
              <w:bottom w:val="nil"/>
              <w:right w:val="nil"/>
            </w:tcBorders>
            <w:shd w:val="clear" w:color="auto" w:fill="auto"/>
            <w:noWrap/>
          </w:tcPr>
          <w:p w:rsidRPr="00040DBE" w:rsidR="005504B0" w:rsidP="00D451BF" w:rsidRDefault="005504B0" w14:paraId="0A1702DD" w14:textId="10EFB53B">
            <w:pPr>
              <w:rPr>
                <w:rFonts w:asciiTheme="minorHAnsi" w:hAnsiTheme="minorHAnsi" w:cstheme="minorHAnsi"/>
                <w:color w:val="000000"/>
                <w:sz w:val="22"/>
                <w:szCs w:val="22"/>
              </w:rPr>
            </w:pPr>
            <w:r>
              <w:rPr>
                <w:rFonts w:ascii="Calibri" w:hAnsi="Calibri" w:cs="Calibri"/>
                <w:b/>
                <w:color w:val="000000"/>
                <w:sz w:val="22"/>
                <w:szCs w:val="22"/>
              </w:rPr>
              <w:t>Estimated hours per system for primacy agency staff to review demonstrations that the system has no lead service lines</w:t>
            </w:r>
          </w:p>
        </w:tc>
        <w:tc>
          <w:tcPr>
            <w:tcW w:w="5996" w:type="dxa"/>
            <w:gridSpan w:val="5"/>
            <w:tcBorders>
              <w:top w:val="single" w:color="auto" w:sz="4" w:space="0"/>
              <w:left w:val="nil"/>
              <w:bottom w:val="nil"/>
            </w:tcBorders>
            <w:shd w:val="clear" w:color="auto" w:fill="auto"/>
          </w:tcPr>
          <w:p w:rsidRPr="00BE54D8" w:rsidR="005504B0" w:rsidP="00A865BE" w:rsidRDefault="00BE54D8" w14:paraId="3F6D4B94" w14:textId="6356D8EF">
            <w:pPr>
              <w:rPr>
                <w:rFonts w:asciiTheme="minorHAnsi" w:hAnsiTheme="minorHAnsi" w:cstheme="minorHAnsi"/>
                <w:sz w:val="22"/>
                <w:szCs w:val="22"/>
              </w:rPr>
            </w:pPr>
            <w:r>
              <w:rPr>
                <w:rFonts w:asciiTheme="minorHAnsi" w:hAnsiTheme="minorHAnsi" w:cstheme="minorHAnsi"/>
                <w:b/>
                <w:sz w:val="22"/>
                <w:szCs w:val="22"/>
              </w:rPr>
              <w:t xml:space="preserve">Source: </w:t>
            </w:r>
            <w:r w:rsidRPr="00A865BE" w:rsidR="00A865BE">
              <w:rPr>
                <w:rFonts w:asciiTheme="minorHAnsi" w:hAnsiTheme="minorHAnsi" w:cstheme="minorHAnsi"/>
                <w:sz w:val="22"/>
                <w:szCs w:val="22"/>
              </w:rPr>
              <w:t>Based on</w:t>
            </w:r>
            <w:r w:rsidR="00A865BE">
              <w:rPr>
                <w:rFonts w:asciiTheme="minorHAnsi" w:hAnsiTheme="minorHAnsi" w:cstheme="minorHAnsi"/>
                <w:b/>
                <w:sz w:val="22"/>
                <w:szCs w:val="22"/>
              </w:rPr>
              <w:t xml:space="preserve"> </w:t>
            </w:r>
            <w:r w:rsidRPr="00DE4311" w:rsidR="00A865BE">
              <w:rPr>
                <w:rFonts w:ascii="Calibri" w:hAnsi="Calibri" w:cs="Calibri"/>
                <w:color w:val="000000"/>
                <w:sz w:val="22"/>
                <w:szCs w:val="22"/>
              </w:rPr>
              <w:t xml:space="preserve">ASDWA’s “Final </w:t>
            </w:r>
            <w:proofErr w:type="spellStart"/>
            <w:r w:rsidRPr="00DE4311" w:rsidR="00A865BE">
              <w:rPr>
                <w:rFonts w:ascii="Calibri" w:hAnsi="Calibri" w:cs="Calibri"/>
                <w:color w:val="000000"/>
                <w:sz w:val="22"/>
                <w:szCs w:val="22"/>
              </w:rPr>
              <w:t>CoSTS</w:t>
            </w:r>
            <w:proofErr w:type="spellEnd"/>
            <w:r w:rsidRPr="00DE4311" w:rsidR="00A865BE">
              <w:rPr>
                <w:rFonts w:ascii="Calibri" w:hAnsi="Calibri" w:cs="Calibri"/>
                <w:color w:val="000000"/>
                <w:sz w:val="22"/>
                <w:szCs w:val="22"/>
              </w:rPr>
              <w:t xml:space="preserve"> 2-6-20</w:t>
            </w:r>
            <w:r w:rsidR="00A865BE">
              <w:rPr>
                <w:rFonts w:ascii="Calibri" w:hAnsi="Calibri" w:cs="Calibri"/>
                <w:color w:val="000000"/>
                <w:sz w:val="22"/>
                <w:szCs w:val="22"/>
              </w:rPr>
              <w:t>”</w:t>
            </w:r>
            <w:r w:rsidRPr="00DE4311" w:rsidR="00A865BE">
              <w:rPr>
                <w:rFonts w:ascii="Calibri" w:hAnsi="Calibri" w:cs="Calibri"/>
                <w:color w:val="000000"/>
                <w:sz w:val="22"/>
                <w:szCs w:val="22"/>
              </w:rPr>
              <w:t xml:space="preserve">, worksheet LSL Inv. and </w:t>
            </w:r>
            <w:proofErr w:type="spellStart"/>
            <w:r w:rsidRPr="00DE4311" w:rsidR="00A865BE">
              <w:rPr>
                <w:rFonts w:ascii="Calibri" w:hAnsi="Calibri" w:cs="Calibri"/>
                <w:color w:val="000000"/>
                <w:sz w:val="22"/>
                <w:szCs w:val="22"/>
              </w:rPr>
              <w:t>Repl</w:t>
            </w:r>
            <w:proofErr w:type="spellEnd"/>
            <w:r w:rsidRPr="00DE4311" w:rsidR="00A865BE">
              <w:rPr>
                <w:rFonts w:ascii="Calibri" w:hAnsi="Calibri" w:cs="Calibri"/>
                <w:color w:val="000000"/>
                <w:sz w:val="22"/>
                <w:szCs w:val="22"/>
              </w:rPr>
              <w:t xml:space="preserve"> (Row </w:t>
            </w:r>
            <w:r w:rsidR="00A865BE">
              <w:rPr>
                <w:rFonts w:ascii="Calibri" w:hAnsi="Calibri" w:cs="Calibri"/>
                <w:color w:val="000000"/>
                <w:sz w:val="22"/>
                <w:szCs w:val="22"/>
              </w:rPr>
              <w:t>43</w:t>
            </w:r>
            <w:r w:rsidRPr="00DE4311" w:rsidR="00A865BE">
              <w:rPr>
                <w:rFonts w:ascii="Calibri" w:hAnsi="Calibri" w:cs="Calibri"/>
                <w:color w:val="000000"/>
                <w:sz w:val="22"/>
                <w:szCs w:val="22"/>
              </w:rPr>
              <w:t>).</w:t>
            </w:r>
          </w:p>
        </w:tc>
      </w:tr>
      <w:tr w:rsidR="005504B0" w:rsidTr="005504B0" w14:paraId="795EF597" w14:textId="77777777">
        <w:trPr>
          <w:trHeight w:val="289"/>
        </w:trPr>
        <w:tc>
          <w:tcPr>
            <w:tcW w:w="3600" w:type="dxa"/>
            <w:gridSpan w:val="2"/>
            <w:tcBorders>
              <w:top w:val="nil"/>
              <w:bottom w:val="nil"/>
              <w:right w:val="nil"/>
            </w:tcBorders>
            <w:shd w:val="clear" w:color="auto" w:fill="EDEDED"/>
            <w:noWrap/>
            <w:vAlign w:val="bottom"/>
          </w:tcPr>
          <w:p w:rsidRPr="00040DBE" w:rsidR="005504B0" w:rsidP="005504B0" w:rsidRDefault="005504B0" w14:paraId="64C40A3D" w14:textId="32AF5566">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340" w:type="dxa"/>
            <w:tcBorders>
              <w:top w:val="nil"/>
              <w:left w:val="nil"/>
              <w:bottom w:val="nil"/>
              <w:right w:val="nil"/>
            </w:tcBorders>
            <w:shd w:val="clear" w:color="auto" w:fill="FFFFFF" w:themeFill="background1"/>
            <w:vAlign w:val="bottom"/>
          </w:tcPr>
          <w:p w:rsidR="005504B0" w:rsidP="005504B0" w:rsidRDefault="005504B0" w14:paraId="4FC9B56E" w14:textId="3CE2604A">
            <w:pPr>
              <w:rPr>
                <w:rFonts w:ascii="Calibri" w:hAnsi="Calibri" w:cs="Calibri"/>
                <w:color w:val="000000"/>
                <w:sz w:val="22"/>
                <w:szCs w:val="22"/>
              </w:rPr>
            </w:pPr>
          </w:p>
        </w:tc>
        <w:tc>
          <w:tcPr>
            <w:tcW w:w="236" w:type="dxa"/>
            <w:gridSpan w:val="2"/>
            <w:tcBorders>
              <w:top w:val="nil"/>
              <w:left w:val="nil"/>
              <w:bottom w:val="nil"/>
              <w:right w:val="nil"/>
            </w:tcBorders>
            <w:shd w:val="clear" w:color="auto" w:fill="FFFFFF" w:themeFill="background1"/>
            <w:vAlign w:val="bottom"/>
          </w:tcPr>
          <w:p w:rsidR="005504B0" w:rsidP="005504B0" w:rsidRDefault="005504B0" w14:paraId="08420CB0" w14:textId="77777777">
            <w:pPr>
              <w:rPr>
                <w:rFonts w:ascii="Calibri" w:hAnsi="Calibri" w:cs="Calibri"/>
                <w:color w:val="000000"/>
                <w:sz w:val="22"/>
                <w:szCs w:val="22"/>
              </w:rPr>
            </w:pPr>
          </w:p>
        </w:tc>
        <w:tc>
          <w:tcPr>
            <w:tcW w:w="3420" w:type="dxa"/>
            <w:gridSpan w:val="2"/>
          </w:tcPr>
          <w:p w:rsidR="005504B0" w:rsidP="005504B0" w:rsidRDefault="005504B0" w14:paraId="68ED799A" w14:textId="77777777"/>
        </w:tc>
      </w:tr>
      <w:tr w:rsidR="00ED142F" w:rsidTr="00114FC3" w14:paraId="40F07169" w14:textId="77777777">
        <w:trPr>
          <w:trHeight w:val="289"/>
        </w:trPr>
        <w:tc>
          <w:tcPr>
            <w:tcW w:w="1800" w:type="dxa"/>
            <w:tcBorders>
              <w:top w:val="single" w:color="auto" w:sz="4" w:space="0"/>
              <w:bottom w:val="nil"/>
              <w:right w:val="nil"/>
            </w:tcBorders>
            <w:shd w:val="clear" w:color="auto" w:fill="auto"/>
            <w:noWrap/>
          </w:tcPr>
          <w:p w:rsidRPr="00040DBE" w:rsidR="00ED142F" w:rsidP="00D451BF" w:rsidRDefault="00ED142F" w14:paraId="1109F87F" w14:textId="77777777">
            <w:pPr>
              <w:rPr>
                <w:rFonts w:asciiTheme="minorHAnsi" w:hAnsiTheme="minorHAnsi" w:cstheme="minorHAnsi"/>
                <w:color w:val="000000"/>
                <w:sz w:val="22"/>
                <w:szCs w:val="22"/>
              </w:rPr>
            </w:pPr>
            <w:r>
              <w:rPr>
                <w:rFonts w:ascii="Calibri" w:hAnsi="Calibri" w:cs="Calibri"/>
                <w:b/>
                <w:color w:val="000000"/>
                <w:sz w:val="22"/>
                <w:szCs w:val="22"/>
              </w:rPr>
              <w:t>Estimated hours per system for primacy agency staff to confer on and review initial LSLR plan</w:t>
            </w:r>
          </w:p>
        </w:tc>
        <w:tc>
          <w:tcPr>
            <w:tcW w:w="1800" w:type="dxa"/>
            <w:tcBorders>
              <w:top w:val="single" w:color="auto" w:sz="4" w:space="0"/>
              <w:bottom w:val="nil"/>
              <w:right w:val="nil"/>
            </w:tcBorders>
            <w:shd w:val="clear" w:color="auto" w:fill="auto"/>
          </w:tcPr>
          <w:p w:rsidRPr="00040DBE" w:rsidR="00ED142F" w:rsidP="00D451BF" w:rsidRDefault="00ED142F" w14:paraId="5618AE11" w14:textId="2FF62584">
            <w:pPr>
              <w:rPr>
                <w:rFonts w:asciiTheme="minorHAnsi" w:hAnsiTheme="minorHAnsi" w:cstheme="minorHAnsi"/>
                <w:color w:val="000000"/>
                <w:sz w:val="22"/>
                <w:szCs w:val="22"/>
              </w:rPr>
            </w:pPr>
          </w:p>
        </w:tc>
        <w:tc>
          <w:tcPr>
            <w:tcW w:w="5996" w:type="dxa"/>
            <w:gridSpan w:val="5"/>
            <w:tcBorders>
              <w:top w:val="single" w:color="auto" w:sz="4" w:space="0"/>
              <w:left w:val="nil"/>
              <w:bottom w:val="nil"/>
            </w:tcBorders>
            <w:shd w:val="clear" w:color="auto" w:fill="auto"/>
            <w:vAlign w:val="bottom"/>
          </w:tcPr>
          <w:p w:rsidR="00ED142F" w:rsidP="00A865BE" w:rsidRDefault="00DE4311" w14:paraId="31D7DAC4" w14:textId="1C2A67AF">
            <w:r w:rsidRPr="00DE4311">
              <w:rPr>
                <w:rFonts w:ascii="Calibri" w:hAnsi="Calibri" w:cs="Calibri"/>
                <w:b/>
                <w:color w:val="000000"/>
                <w:sz w:val="22"/>
                <w:szCs w:val="22"/>
              </w:rPr>
              <w:t xml:space="preserve">Source: </w:t>
            </w:r>
            <w:r w:rsidRPr="00DE4311">
              <w:rPr>
                <w:rFonts w:ascii="Calibri" w:hAnsi="Calibri" w:cs="Calibri"/>
                <w:color w:val="000000"/>
                <w:sz w:val="22"/>
                <w:szCs w:val="22"/>
              </w:rPr>
              <w:t xml:space="preserve">ASDWA’s “Final </w:t>
            </w:r>
            <w:proofErr w:type="spellStart"/>
            <w:r w:rsidRPr="00DE4311">
              <w:rPr>
                <w:rFonts w:ascii="Calibri" w:hAnsi="Calibri" w:cs="Calibri"/>
                <w:color w:val="000000"/>
                <w:sz w:val="22"/>
                <w:szCs w:val="22"/>
              </w:rPr>
              <w:t>CoSTS</w:t>
            </w:r>
            <w:proofErr w:type="spellEnd"/>
            <w:r w:rsidRPr="00DE4311">
              <w:rPr>
                <w:rFonts w:ascii="Calibri" w:hAnsi="Calibri" w:cs="Calibri"/>
                <w:color w:val="000000"/>
                <w:sz w:val="22"/>
                <w:szCs w:val="22"/>
              </w:rPr>
              <w:t xml:space="preserve"> 2-6-20”, worksheet LSL Inv. and Repl. Includes the burden to review the LSLR plan of 6, 10, 18 hours for NTNCWS/CWS</w:t>
            </w:r>
            <w:r w:rsidR="00A865BE">
              <w:rPr>
                <w:rFonts w:ascii="Calibri" w:hAnsi="Calibri" w:cs="Calibri"/>
                <w:color w:val="000000"/>
                <w:sz w:val="22"/>
                <w:szCs w:val="22"/>
              </w:rPr>
              <w:t xml:space="preserve"> ≤3,300</w:t>
            </w:r>
            <w:r w:rsidRPr="00DE4311">
              <w:rPr>
                <w:rFonts w:ascii="Calibri" w:hAnsi="Calibri" w:cs="Calibri"/>
                <w:color w:val="000000"/>
                <w:sz w:val="22"/>
                <w:szCs w:val="22"/>
              </w:rPr>
              <w:t>, CWS</w:t>
            </w:r>
            <w:r w:rsidR="00A865BE">
              <w:rPr>
                <w:rFonts w:ascii="Calibri" w:hAnsi="Calibri" w:cs="Calibri"/>
                <w:color w:val="000000"/>
                <w:sz w:val="22"/>
                <w:szCs w:val="22"/>
              </w:rPr>
              <w:t xml:space="preserve"> 3,320-50,000</w:t>
            </w:r>
            <w:r w:rsidRPr="00DE4311">
              <w:rPr>
                <w:rFonts w:ascii="Calibri" w:hAnsi="Calibri" w:cs="Calibri"/>
                <w:color w:val="000000"/>
                <w:sz w:val="22"/>
                <w:szCs w:val="22"/>
              </w:rPr>
              <w:t>, and CWS</w:t>
            </w:r>
            <w:r w:rsidR="00A865BE">
              <w:rPr>
                <w:rFonts w:ascii="Calibri" w:hAnsi="Calibri" w:cs="Calibri"/>
                <w:color w:val="000000"/>
                <w:sz w:val="22"/>
                <w:szCs w:val="22"/>
              </w:rPr>
              <w:t xml:space="preserve"> &gt;50,000</w:t>
            </w:r>
            <w:r w:rsidRPr="00DE4311">
              <w:rPr>
                <w:rFonts w:ascii="Calibri" w:hAnsi="Calibri" w:cs="Calibri"/>
                <w:color w:val="000000"/>
                <w:sz w:val="22"/>
                <w:szCs w:val="22"/>
              </w:rPr>
              <w:t>, respectively</w:t>
            </w:r>
            <w:r w:rsidR="00A865BE">
              <w:rPr>
                <w:rFonts w:ascii="Calibri" w:hAnsi="Calibri" w:cs="Calibri"/>
                <w:color w:val="000000"/>
                <w:sz w:val="22"/>
                <w:szCs w:val="22"/>
              </w:rPr>
              <w:t xml:space="preserve"> (</w:t>
            </w:r>
            <w:r w:rsidRPr="00DE4311" w:rsidR="00A865BE">
              <w:rPr>
                <w:rFonts w:ascii="Calibri" w:hAnsi="Calibri" w:cs="Calibri"/>
                <w:color w:val="000000"/>
                <w:sz w:val="22"/>
                <w:szCs w:val="22"/>
              </w:rPr>
              <w:t>row 71</w:t>
            </w:r>
            <w:r w:rsidR="00A865BE">
              <w:rPr>
                <w:rFonts w:ascii="Calibri" w:hAnsi="Calibri" w:cs="Calibri"/>
                <w:color w:val="000000"/>
                <w:sz w:val="22"/>
                <w:szCs w:val="22"/>
              </w:rPr>
              <w:t>)</w:t>
            </w:r>
            <w:r w:rsidRPr="00DE4311">
              <w:rPr>
                <w:rFonts w:ascii="Calibri" w:hAnsi="Calibri" w:cs="Calibri"/>
                <w:color w:val="000000"/>
                <w:sz w:val="22"/>
                <w:szCs w:val="22"/>
              </w:rPr>
              <w:t>. Also includes an estimated burden to negotiate a goal of 8 hours from row 73 that EPA applied to CWSs serving more than 3,300 people.</w:t>
            </w:r>
          </w:p>
        </w:tc>
      </w:tr>
      <w:tr w:rsidR="00D451BF" w:rsidTr="00D451BF" w14:paraId="57FA2571" w14:textId="77777777">
        <w:trPr>
          <w:trHeight w:val="289"/>
        </w:trPr>
        <w:tc>
          <w:tcPr>
            <w:tcW w:w="3600" w:type="dxa"/>
            <w:gridSpan w:val="2"/>
            <w:tcBorders>
              <w:top w:val="nil"/>
              <w:bottom w:val="nil"/>
              <w:right w:val="nil"/>
            </w:tcBorders>
            <w:shd w:val="clear" w:color="auto" w:fill="auto"/>
            <w:noWrap/>
            <w:vAlign w:val="bottom"/>
          </w:tcPr>
          <w:p w:rsidR="00D451BF" w:rsidP="00D451BF" w:rsidRDefault="00D451BF" w14:paraId="4DF9455D" w14:textId="327B4FEB">
            <w:pPr>
              <w:rPr>
                <w:rFonts w:ascii="Calibri" w:hAnsi="Calibri" w:cs="Calibri"/>
                <w:b/>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6EE6D680" w14:textId="576675E8">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28BFE4E9"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64BD9496" w14:textId="77777777"/>
        </w:tc>
      </w:tr>
      <w:tr w:rsidR="00D451BF" w:rsidTr="00D451BF" w14:paraId="6CC5FD5C"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562D9CEC" w14:textId="029597F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2EE9E094" w14:textId="10C63095">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5D59553F"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472836AA" w14:textId="77777777"/>
        </w:tc>
      </w:tr>
      <w:tr w:rsidR="00D451BF" w:rsidTr="00D451BF" w14:paraId="17D7D425"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EC2B409" w14:textId="4DF25C8B">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3E81C258" w14:textId="1E427BCE">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1309743A"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6CBC88C5" w14:textId="77777777"/>
        </w:tc>
      </w:tr>
      <w:tr w:rsidR="00D451BF" w:rsidTr="00D451BF" w14:paraId="61A6B652"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14AA3606" w14:textId="53AD62D2">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60E73362" w14:textId="77943FBC">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20AB2114"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6020B403" w14:textId="77777777"/>
        </w:tc>
      </w:tr>
      <w:tr w:rsidR="00D451BF" w:rsidTr="00D451BF" w14:paraId="76B8787B"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7E9EC564" w14:textId="1DF2FA60">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2C077B8D" w14:textId="4EC94DC6">
            <w:pPr>
              <w:rPr>
                <w:rFonts w:ascii="Calibri" w:hAnsi="Calibri" w:cs="Calibri"/>
                <w:color w:val="000000"/>
                <w:sz w:val="22"/>
                <w:szCs w:val="22"/>
              </w:rPr>
            </w:pPr>
            <w:r>
              <w:rPr>
                <w:rFonts w:ascii="Calibri" w:hAnsi="Calibri" w:cs="Calibri"/>
                <w:color w:val="000000"/>
                <w:sz w:val="22"/>
                <w:szCs w:val="22"/>
              </w:rPr>
              <w:t>18</w:t>
            </w:r>
          </w:p>
        </w:tc>
        <w:tc>
          <w:tcPr>
            <w:tcW w:w="236" w:type="dxa"/>
            <w:gridSpan w:val="2"/>
            <w:tcBorders>
              <w:top w:val="nil"/>
              <w:left w:val="nil"/>
              <w:bottom w:val="nil"/>
              <w:right w:val="nil"/>
            </w:tcBorders>
            <w:shd w:val="clear" w:color="000000" w:fill="EDEDED"/>
            <w:vAlign w:val="bottom"/>
          </w:tcPr>
          <w:p w:rsidR="00D451BF" w:rsidP="00D451BF" w:rsidRDefault="00D451BF" w14:paraId="361B8B31"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59B7AEC4" w14:textId="77777777"/>
        </w:tc>
      </w:tr>
      <w:tr w:rsidR="00D451BF" w:rsidTr="00D451BF" w14:paraId="1E2386EB"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3B8CCA9F" w14:textId="6C5D350E">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2345FCDF" w14:textId="38DBFF3C">
            <w:pPr>
              <w:rPr>
                <w:rFonts w:ascii="Calibri" w:hAnsi="Calibri" w:cs="Calibri"/>
                <w:color w:val="000000"/>
                <w:sz w:val="22"/>
                <w:szCs w:val="22"/>
              </w:rPr>
            </w:pPr>
            <w:r>
              <w:rPr>
                <w:rFonts w:ascii="Calibri" w:hAnsi="Calibri" w:cs="Calibri"/>
                <w:color w:val="000000"/>
                <w:sz w:val="22"/>
                <w:szCs w:val="22"/>
              </w:rPr>
              <w:t>18</w:t>
            </w:r>
          </w:p>
        </w:tc>
        <w:tc>
          <w:tcPr>
            <w:tcW w:w="236" w:type="dxa"/>
            <w:gridSpan w:val="2"/>
            <w:tcBorders>
              <w:top w:val="nil"/>
              <w:left w:val="nil"/>
              <w:bottom w:val="nil"/>
              <w:right w:val="nil"/>
            </w:tcBorders>
            <w:shd w:val="clear" w:color="000000" w:fill="EDEDED"/>
            <w:vAlign w:val="bottom"/>
          </w:tcPr>
          <w:p w:rsidR="00D451BF" w:rsidP="00D451BF" w:rsidRDefault="00D451BF" w14:paraId="4F02B8F3"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367E161F" w14:textId="77777777"/>
        </w:tc>
      </w:tr>
      <w:tr w:rsidR="00D451BF" w:rsidTr="00D451BF" w14:paraId="621F4DB6"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9C643AB" w14:textId="65F5343A">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761EE7A9" w14:textId="6ADB7D2E">
            <w:pPr>
              <w:rPr>
                <w:rFonts w:ascii="Calibri" w:hAnsi="Calibri" w:cs="Calibri"/>
                <w:color w:val="000000"/>
                <w:sz w:val="22"/>
                <w:szCs w:val="22"/>
              </w:rPr>
            </w:pPr>
            <w:r>
              <w:rPr>
                <w:rFonts w:ascii="Calibri" w:hAnsi="Calibri" w:cs="Calibri"/>
                <w:color w:val="000000"/>
                <w:sz w:val="22"/>
                <w:szCs w:val="22"/>
              </w:rPr>
              <w:t>26</w:t>
            </w:r>
          </w:p>
        </w:tc>
        <w:tc>
          <w:tcPr>
            <w:tcW w:w="236" w:type="dxa"/>
            <w:gridSpan w:val="2"/>
            <w:tcBorders>
              <w:top w:val="nil"/>
              <w:left w:val="nil"/>
              <w:bottom w:val="nil"/>
              <w:right w:val="nil"/>
            </w:tcBorders>
            <w:shd w:val="clear" w:color="000000" w:fill="EDEDED"/>
            <w:vAlign w:val="bottom"/>
          </w:tcPr>
          <w:p w:rsidR="00D451BF" w:rsidP="00D451BF" w:rsidRDefault="00D451BF" w14:paraId="1AAA37DB"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0F2D90F9" w14:textId="77777777"/>
        </w:tc>
      </w:tr>
      <w:tr w:rsidR="00D451BF" w:rsidTr="00D451BF" w14:paraId="70242714"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79D3C08A" w14:textId="35FC1377">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4B8E7441" w14:textId="015E4C7E">
            <w:pPr>
              <w:rPr>
                <w:rFonts w:ascii="Calibri" w:hAnsi="Calibri" w:cs="Calibri"/>
                <w:color w:val="000000"/>
                <w:sz w:val="22"/>
                <w:szCs w:val="22"/>
              </w:rPr>
            </w:pPr>
            <w:r>
              <w:rPr>
                <w:rFonts w:ascii="Calibri" w:hAnsi="Calibri" w:cs="Calibri"/>
                <w:color w:val="000000"/>
                <w:sz w:val="22"/>
                <w:szCs w:val="22"/>
              </w:rPr>
              <w:t>26</w:t>
            </w:r>
          </w:p>
        </w:tc>
        <w:tc>
          <w:tcPr>
            <w:tcW w:w="236" w:type="dxa"/>
            <w:gridSpan w:val="2"/>
            <w:tcBorders>
              <w:top w:val="nil"/>
              <w:left w:val="nil"/>
              <w:bottom w:val="nil"/>
              <w:right w:val="nil"/>
            </w:tcBorders>
            <w:shd w:val="clear" w:color="000000" w:fill="EDEDED"/>
            <w:vAlign w:val="bottom"/>
          </w:tcPr>
          <w:p w:rsidR="00D451BF" w:rsidP="00D451BF" w:rsidRDefault="00D451BF" w14:paraId="330EC0D9"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58091980" w14:textId="77777777"/>
        </w:tc>
      </w:tr>
      <w:tr w:rsidR="00D451BF" w:rsidTr="00D451BF" w14:paraId="5985165E"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A6A3E8C" w14:textId="61B7E82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&gt;1,000,000</w:t>
            </w:r>
            <w:r>
              <w:rPr>
                <w:rFonts w:asciiTheme="minorHAnsi" w:hAnsiTheme="minorHAnsi" w:cstheme="minorHAnsi"/>
                <w:color w:val="000000"/>
                <w:sz w:val="22"/>
                <w:szCs w:val="22"/>
              </w:rPr>
              <w:t>, CWS</w:t>
            </w:r>
          </w:p>
        </w:tc>
        <w:tc>
          <w:tcPr>
            <w:tcW w:w="2340" w:type="dxa"/>
            <w:tcBorders>
              <w:top w:val="nil"/>
              <w:left w:val="nil"/>
              <w:bottom w:val="nil"/>
              <w:right w:val="nil"/>
            </w:tcBorders>
            <w:shd w:val="clear" w:color="000000" w:fill="EDEDED"/>
            <w:vAlign w:val="bottom"/>
          </w:tcPr>
          <w:p w:rsidR="00D451BF" w:rsidP="00D451BF" w:rsidRDefault="00D451BF" w14:paraId="08EE603D" w14:textId="19A93E24">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3BEEB11E"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4F0DA523" w14:textId="77777777"/>
        </w:tc>
      </w:tr>
      <w:tr w:rsidR="00D451BF" w:rsidTr="00D451BF" w14:paraId="07F4330A"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84829C6" w14:textId="3E56A953">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&lt;=100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3377800D" w14:textId="0CC19FAF">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0A783483"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40834B80" w14:textId="77777777"/>
        </w:tc>
      </w:tr>
      <w:tr w:rsidR="00D451BF" w:rsidTr="00D451BF" w14:paraId="789052F1"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07E5D263" w14:textId="53CAE65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101-500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16C4C6EE" w14:textId="7B17A8D1">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16105D53"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0CD8E9DC" w14:textId="77777777"/>
        </w:tc>
      </w:tr>
      <w:tr w:rsidR="00D451BF" w:rsidTr="00D451BF" w14:paraId="78B5B108"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35F1A10D" w14:textId="6D557936">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501-1,000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11BC39E8" w14:textId="55B450E0">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7D062603"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6FED2BC9" w14:textId="77777777"/>
        </w:tc>
      </w:tr>
      <w:tr w:rsidR="00D451BF" w:rsidTr="00D451BF" w14:paraId="350BE79E"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01D2537C" w14:textId="24C15D8F">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1,001-3,300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7CD96016" w14:textId="018F75AC">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3A4813FF"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7A33ECAF" w14:textId="77777777"/>
        </w:tc>
      </w:tr>
      <w:tr w:rsidR="00D451BF" w:rsidTr="00D451BF" w14:paraId="4888C5E6"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32DA95B9" w14:textId="421CE76A">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3,301-10,000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06AEB061" w14:textId="77A20838">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76B1285D"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056681A8" w14:textId="77777777"/>
        </w:tc>
      </w:tr>
      <w:tr w:rsidR="00D451BF" w:rsidTr="00D451BF" w14:paraId="4D6B280B"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97E7E88" w14:textId="22EC061D">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10,001-50,000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34C90C69" w14:textId="1E224A27">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1FEDEC4B"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058EAC0D" w14:textId="77777777"/>
        </w:tc>
      </w:tr>
      <w:tr w:rsidR="00D451BF" w:rsidTr="00D451BF" w14:paraId="5CF68A39"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668E68AA" w14:textId="7921930E">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50,001-100,000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0052329B" w14:textId="24837849">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6C6C068C"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07442971" w14:textId="77777777"/>
        </w:tc>
      </w:tr>
      <w:tr w:rsidR="00D451BF" w:rsidTr="00D451BF" w14:paraId="7CD7E2E7" w14:textId="77777777">
        <w:trPr>
          <w:trHeight w:val="289"/>
        </w:trPr>
        <w:tc>
          <w:tcPr>
            <w:tcW w:w="3600" w:type="dxa"/>
            <w:gridSpan w:val="2"/>
            <w:tcBorders>
              <w:top w:val="nil"/>
              <w:bottom w:val="nil"/>
              <w:right w:val="nil"/>
            </w:tcBorders>
            <w:shd w:val="clear" w:color="auto" w:fill="auto"/>
            <w:noWrap/>
            <w:vAlign w:val="bottom"/>
          </w:tcPr>
          <w:p w:rsidRPr="00040DBE" w:rsidR="00D451BF" w:rsidP="00D451BF" w:rsidRDefault="00D451BF" w14:paraId="055128A0" w14:textId="0128C1A4">
            <w:pPr>
              <w:rPr>
                <w:rFonts w:asciiTheme="minorHAnsi" w:hAnsiTheme="minorHAnsi" w:cstheme="minorHAnsi"/>
                <w:color w:val="000000"/>
                <w:sz w:val="22"/>
                <w:szCs w:val="22"/>
              </w:rPr>
            </w:pPr>
            <w:r w:rsidRPr="00040DBE">
              <w:rPr>
                <w:rFonts w:asciiTheme="minorHAnsi" w:hAnsiTheme="minorHAnsi" w:cstheme="minorHAnsi"/>
                <w:color w:val="000000"/>
                <w:sz w:val="22"/>
                <w:szCs w:val="22"/>
              </w:rPr>
              <w:t>Systems 100,001-1,000,000</w:t>
            </w:r>
            <w:r>
              <w:rPr>
                <w:rFonts w:asciiTheme="minorHAnsi" w:hAnsiTheme="minorHAnsi" w:cstheme="minorHAnsi"/>
                <w:color w:val="000000"/>
                <w:sz w:val="22"/>
                <w:szCs w:val="22"/>
              </w:rPr>
              <w:t>, NTNCWS</w:t>
            </w:r>
          </w:p>
        </w:tc>
        <w:tc>
          <w:tcPr>
            <w:tcW w:w="2340" w:type="dxa"/>
            <w:tcBorders>
              <w:top w:val="nil"/>
              <w:left w:val="nil"/>
              <w:bottom w:val="nil"/>
              <w:right w:val="nil"/>
            </w:tcBorders>
            <w:shd w:val="clear" w:color="000000" w:fill="EDEDED"/>
            <w:vAlign w:val="bottom"/>
          </w:tcPr>
          <w:p w:rsidR="00D451BF" w:rsidP="00D451BF" w:rsidRDefault="00D451BF" w14:paraId="1590280B" w14:textId="62AA523F">
            <w:pPr>
              <w:rPr>
                <w:rFonts w:ascii="Calibri" w:hAnsi="Calibri" w:cs="Calibri"/>
                <w:color w:val="000000"/>
                <w:sz w:val="22"/>
                <w:szCs w:val="22"/>
              </w:rPr>
            </w:pPr>
            <w:r>
              <w:rPr>
                <w:rFonts w:ascii="Calibri" w:hAnsi="Calibri" w:cs="Calibri"/>
                <w:color w:val="000000"/>
                <w:sz w:val="22"/>
                <w:szCs w:val="22"/>
              </w:rPr>
              <w:t>6</w:t>
            </w:r>
          </w:p>
        </w:tc>
        <w:tc>
          <w:tcPr>
            <w:tcW w:w="236" w:type="dxa"/>
            <w:gridSpan w:val="2"/>
            <w:tcBorders>
              <w:top w:val="nil"/>
              <w:left w:val="nil"/>
              <w:bottom w:val="nil"/>
              <w:right w:val="nil"/>
            </w:tcBorders>
            <w:shd w:val="clear" w:color="000000" w:fill="EDEDED"/>
            <w:vAlign w:val="bottom"/>
          </w:tcPr>
          <w:p w:rsidR="00D451BF" w:rsidP="00D451BF" w:rsidRDefault="00D451BF" w14:paraId="565CDE06" w14:textId="77777777">
            <w:pPr>
              <w:rPr>
                <w:rFonts w:ascii="Calibri" w:hAnsi="Calibri" w:cs="Calibri"/>
                <w:color w:val="000000"/>
                <w:sz w:val="22"/>
                <w:szCs w:val="22"/>
              </w:rPr>
            </w:pPr>
          </w:p>
        </w:tc>
        <w:tc>
          <w:tcPr>
            <w:tcW w:w="3420" w:type="dxa"/>
            <w:gridSpan w:val="2"/>
            <w:tcBorders>
              <w:top w:val="nil"/>
              <w:left w:val="nil"/>
              <w:bottom w:val="nil"/>
            </w:tcBorders>
          </w:tcPr>
          <w:p w:rsidR="00D451BF" w:rsidP="00D451BF" w:rsidRDefault="00D451BF" w14:paraId="43BE7694" w14:textId="77777777"/>
        </w:tc>
      </w:tr>
      <w:tr w:rsidR="00D451BF" w:rsidTr="00D451BF" w14:paraId="308C5D28" w14:textId="77777777">
        <w:trPr>
          <w:trHeight w:val="289"/>
        </w:trPr>
        <w:tc>
          <w:tcPr>
            <w:tcW w:w="3600" w:type="dxa"/>
            <w:gridSpan w:val="2"/>
            <w:tcBorders>
              <w:top w:val="nil"/>
              <w:bottom w:val="single" w:color="000000" w:sz="4" w:space="0"/>
              <w:right w:val="nil"/>
            </w:tcBorders>
            <w:shd w:val="clear" w:color="auto" w:fill="auto"/>
            <w:noWrap/>
            <w:vAlign w:val="bottom"/>
          </w:tcPr>
          <w:p w:rsidRPr="00040DBE" w:rsidR="00D451BF" w:rsidP="00D451BF" w:rsidRDefault="00D451BF" w14:paraId="3A44C2AA" w14:textId="13DE8ECB">
            <w:pPr>
              <w:rPr>
                <w:rFonts w:asciiTheme="minorHAnsi" w:hAnsiTheme="minorHAnsi" w:cstheme="minorHAnsi"/>
                <w:color w:val="000000"/>
                <w:sz w:val="22"/>
                <w:szCs w:val="22"/>
              </w:rPr>
            </w:pPr>
            <w:r w:rsidRPr="00040DBE">
              <w:rPr>
                <w:rFonts w:asciiTheme="minorHAnsi" w:hAnsiTheme="minorHAnsi" w:cstheme="minorHAnsi"/>
                <w:color w:val="000000"/>
                <w:sz w:val="22"/>
                <w:szCs w:val="22"/>
              </w:rPr>
              <w:lastRenderedPageBreak/>
              <w:t>Systems &gt;1,000,000</w:t>
            </w:r>
            <w:r>
              <w:rPr>
                <w:rFonts w:asciiTheme="minorHAnsi" w:hAnsiTheme="minorHAnsi" w:cstheme="minorHAnsi"/>
                <w:color w:val="000000"/>
                <w:sz w:val="22"/>
                <w:szCs w:val="22"/>
              </w:rPr>
              <w:t>, NTNCWS</w:t>
            </w:r>
          </w:p>
        </w:tc>
        <w:tc>
          <w:tcPr>
            <w:tcW w:w="2340" w:type="dxa"/>
            <w:tcBorders>
              <w:top w:val="nil"/>
              <w:left w:val="nil"/>
              <w:bottom w:val="single" w:color="000000" w:sz="4" w:space="0"/>
              <w:right w:val="nil"/>
            </w:tcBorders>
            <w:shd w:val="clear" w:color="000000" w:fill="EDEDED"/>
            <w:vAlign w:val="bottom"/>
          </w:tcPr>
          <w:p w:rsidR="00D451BF" w:rsidP="00D451BF" w:rsidRDefault="00D451BF" w14:paraId="7AECBE02" w14:textId="5C18AB41">
            <w:pPr>
              <w:rPr>
                <w:rFonts w:ascii="Calibri" w:hAnsi="Calibri" w:cs="Calibri"/>
                <w:color w:val="000000"/>
                <w:sz w:val="22"/>
                <w:szCs w:val="22"/>
              </w:rPr>
            </w:pPr>
            <w:r>
              <w:rPr>
                <w:rFonts w:ascii="Calibri" w:hAnsi="Calibri" w:cs="Calibri"/>
                <w:color w:val="000000"/>
                <w:sz w:val="22"/>
                <w:szCs w:val="22"/>
              </w:rPr>
              <w:t>Not applicable</w:t>
            </w:r>
          </w:p>
        </w:tc>
        <w:tc>
          <w:tcPr>
            <w:tcW w:w="236" w:type="dxa"/>
            <w:gridSpan w:val="2"/>
            <w:tcBorders>
              <w:top w:val="nil"/>
              <w:left w:val="nil"/>
              <w:bottom w:val="single" w:color="000000" w:sz="4" w:space="0"/>
              <w:right w:val="nil"/>
            </w:tcBorders>
            <w:shd w:val="clear" w:color="000000" w:fill="EDEDED"/>
            <w:vAlign w:val="bottom"/>
          </w:tcPr>
          <w:p w:rsidR="00D451BF" w:rsidP="00D451BF" w:rsidRDefault="00D451BF" w14:paraId="67425327" w14:textId="77777777">
            <w:pPr>
              <w:rPr>
                <w:rFonts w:ascii="Calibri" w:hAnsi="Calibri" w:cs="Calibri"/>
                <w:color w:val="000000"/>
                <w:sz w:val="22"/>
                <w:szCs w:val="22"/>
              </w:rPr>
            </w:pPr>
          </w:p>
        </w:tc>
        <w:tc>
          <w:tcPr>
            <w:tcW w:w="3420" w:type="dxa"/>
            <w:gridSpan w:val="2"/>
            <w:tcBorders>
              <w:top w:val="nil"/>
              <w:left w:val="nil"/>
            </w:tcBorders>
          </w:tcPr>
          <w:p w:rsidR="00D451BF" w:rsidP="00D451BF" w:rsidRDefault="00D451BF" w14:paraId="767CE5E4" w14:textId="77777777"/>
        </w:tc>
      </w:tr>
    </w:tbl>
    <w:p w:rsidRPr="005104C1" w:rsidR="00881798" w:rsidP="00DF3D04" w:rsidRDefault="00881798" w14:paraId="502D0821" w14:textId="77777777"/>
    <w:sectPr w:rsidRPr="005104C1" w:rsidR="00881798" w:rsidSect="007A5B04">
      <w:footerReference w:type="default" r:id="rId18"/>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38239" w14:textId="77777777" w:rsidR="00C7669D" w:rsidRDefault="00C7669D">
      <w:r>
        <w:separator/>
      </w:r>
    </w:p>
  </w:endnote>
  <w:endnote w:type="continuationSeparator" w:id="0">
    <w:p w14:paraId="42444748" w14:textId="77777777" w:rsidR="00C7669D" w:rsidRDefault="00C7669D">
      <w:r>
        <w:continuationSeparator/>
      </w:r>
    </w:p>
  </w:endnote>
  <w:endnote w:type="continuationNotice" w:id="1">
    <w:p w14:paraId="5BF3F5F9" w14:textId="77777777" w:rsidR="00C7669D" w:rsidRDefault="00C76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636056"/>
      <w:docPartObj>
        <w:docPartGallery w:val="Page Numbers (Bottom of Page)"/>
        <w:docPartUnique/>
      </w:docPartObj>
    </w:sdtPr>
    <w:sdtEndPr>
      <w:rPr>
        <w:noProof/>
      </w:rPr>
    </w:sdtEndPr>
    <w:sdtContent>
      <w:p w14:paraId="7D5A8B85" w14:textId="77777777" w:rsidR="00631340" w:rsidRDefault="00631340">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15A7747D" w14:textId="77777777" w:rsidR="00631340" w:rsidRDefault="00631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F349" w14:textId="77777777" w:rsidR="00C7669D" w:rsidRDefault="00C7669D">
      <w:r>
        <w:separator/>
      </w:r>
    </w:p>
  </w:footnote>
  <w:footnote w:type="continuationSeparator" w:id="0">
    <w:p w14:paraId="2865C403" w14:textId="77777777" w:rsidR="00C7669D" w:rsidRDefault="00C7669D">
      <w:r>
        <w:continuationSeparator/>
      </w:r>
    </w:p>
  </w:footnote>
  <w:footnote w:type="continuationNotice" w:id="1">
    <w:p w14:paraId="7E01DAF7" w14:textId="77777777" w:rsidR="00C7669D" w:rsidRDefault="00C7669D"/>
  </w:footnote>
  <w:footnote w:id="2">
    <w:p w14:paraId="435A6A0E" w14:textId="77777777" w:rsidR="00631340" w:rsidRDefault="00631340">
      <w:pPr>
        <w:pStyle w:val="FootnoteText"/>
      </w:pPr>
      <w:r>
        <w:rPr>
          <w:rStyle w:val="FootnoteReference"/>
        </w:rPr>
        <w:footnoteRef/>
      </w:r>
      <w:r>
        <w:t xml:space="preserve"> Community water systems (CWSs) are public water systems (PWSs) that have at least 15 service connections used by year-round residents or regularly serve at least 25 year-round residents. Non-transient non-community water systems (NTNCWSs) are PWSs that are not CWSs but regularly serve at least 25 of the same persons over six months a year. Throughout the rest of this document, the reference to water systems, systems, utilities, and PWSs include only these two types of PWS.</w:t>
      </w:r>
    </w:p>
  </w:footnote>
  <w:footnote w:id="3">
    <w:p w14:paraId="7EA37898" w14:textId="77777777" w:rsidR="00631340" w:rsidRDefault="00631340">
      <w:pPr>
        <w:pStyle w:val="FootnoteText"/>
      </w:pPr>
      <w:r w:rsidRPr="00896295">
        <w:rPr>
          <w:rStyle w:val="FootnoteReference"/>
          <w:sz w:val="24"/>
          <w:szCs w:val="24"/>
        </w:rPr>
        <w:footnoteRef/>
      </w:r>
      <w:r>
        <w:t xml:space="preserve"> </w:t>
      </w:r>
      <w:r w:rsidRPr="00856859">
        <w:t>When the system’s lead 90th percentile level is above 15 μg/L</w:t>
      </w:r>
      <w:r>
        <w:t>.</w:t>
      </w:r>
    </w:p>
  </w:footnote>
  <w:footnote w:id="4">
    <w:p w14:paraId="6056536E" w14:textId="77777777" w:rsidR="00631340" w:rsidRDefault="00631340" w:rsidP="00FE664D">
      <w:pPr>
        <w:pStyle w:val="FootnoteText"/>
      </w:pPr>
      <w:r w:rsidRPr="00896295">
        <w:rPr>
          <w:rStyle w:val="FootnoteReference"/>
          <w:sz w:val="24"/>
          <w:szCs w:val="24"/>
        </w:rPr>
        <w:footnoteRef/>
      </w:r>
      <w:r w:rsidRPr="00896295">
        <w:rPr>
          <w:rStyle w:val="FootnoteReference"/>
          <w:sz w:val="24"/>
          <w:szCs w:val="24"/>
        </w:rPr>
        <w:t xml:space="preserve"> </w:t>
      </w:r>
      <w:r w:rsidRPr="00856859">
        <w:t>When the system’s lead 90th percentile level is above 10 µg/L</w:t>
      </w:r>
      <w:r>
        <w:t>,</w:t>
      </w:r>
      <w:r w:rsidRPr="00856859">
        <w:t xml:space="preserve"> but does not exceed 15 µg/L.</w:t>
      </w:r>
    </w:p>
  </w:footnote>
  <w:footnote w:id="5">
    <w:p w14:paraId="6ACB98AC" w14:textId="77777777" w:rsidR="00631340" w:rsidRDefault="00631340" w:rsidP="005E2D56">
      <w:pPr>
        <w:autoSpaceDE w:val="0"/>
        <w:autoSpaceDN w:val="0"/>
        <w:adjustRightInd w:val="0"/>
      </w:pPr>
      <w:r>
        <w:rPr>
          <w:rStyle w:val="FootnoteReference"/>
        </w:rPr>
        <w:footnoteRef/>
      </w:r>
      <w:r>
        <w:t xml:space="preserve"> </w:t>
      </w:r>
      <w:r>
        <w:rPr>
          <w:sz w:val="20"/>
          <w:szCs w:val="20"/>
        </w:rPr>
        <w:t>Throughout the rest of this document, the term primacy agency refers to a state, territory, or federally-recognized tribe that has been granted primacy with respect to the LCR or the appropriate EPA Region (where the state, territory, or tribe does not have primacy).</w:t>
      </w:r>
    </w:p>
  </w:footnote>
  <w:footnote w:id="6">
    <w:p w14:paraId="214E4475" w14:textId="4A860E56" w:rsidR="00631340" w:rsidRDefault="00631340">
      <w:pPr>
        <w:pStyle w:val="FootnoteText"/>
      </w:pPr>
      <w:r>
        <w:rPr>
          <w:rStyle w:val="FootnoteReference"/>
        </w:rPr>
        <w:footnoteRef/>
      </w:r>
      <w:r>
        <w:t xml:space="preserve"> </w:t>
      </w:r>
      <w:r w:rsidRPr="005048A2">
        <w:t>Cornwell, D.A, R.A. Brown, and S.H Via. 2016. National Survey of Lead Service Line Occurrence. Journal American Water Works Association. 108(4):E182-E191.</w:t>
      </w:r>
    </w:p>
  </w:footnote>
  <w:footnote w:id="7">
    <w:p w14:paraId="348328C7" w14:textId="7455E43E" w:rsidR="00631340" w:rsidRDefault="00631340">
      <w:pPr>
        <w:pStyle w:val="FootnoteText"/>
      </w:pPr>
      <w:r>
        <w:rPr>
          <w:rStyle w:val="FootnoteReference"/>
        </w:rPr>
        <w:footnoteRef/>
      </w:r>
      <w:r>
        <w:t xml:space="preserve"> </w:t>
      </w:r>
      <w:r w:rsidRPr="005048A2">
        <w:t>USEPA. 1991. Drinking Water Regulations; Maximum Contaminant Level Goals and National Primary Drinking Water Regulations for Lead and Copper; Regulatory Impact Analysis. RIN 2040-AB51.</w:t>
      </w:r>
    </w:p>
  </w:footnote>
  <w:footnote w:id="8">
    <w:p w14:paraId="1FACE60A" w14:textId="77777777" w:rsidR="00631340" w:rsidRDefault="00631340">
      <w:pPr>
        <w:pStyle w:val="FootnoteText"/>
      </w:pPr>
      <w:r>
        <w:rPr>
          <w:rStyle w:val="FootnoteReference"/>
        </w:rPr>
        <w:footnoteRef/>
      </w:r>
      <w:r>
        <w:t xml:space="preserve"> </w:t>
      </w:r>
      <w:r w:rsidRPr="00F26ACD">
        <w:t xml:space="preserve"> </w:t>
      </w:r>
      <w:r>
        <w:t>S</w:t>
      </w:r>
      <w:r w:rsidRPr="00F26ACD">
        <w:t>ystems will no longer be allowed to replace an LSL through testing</w:t>
      </w:r>
    </w:p>
  </w:footnote>
  <w:footnote w:id="9">
    <w:p w14:paraId="4701C24F" w14:textId="77777777" w:rsidR="00631340" w:rsidRDefault="00631340" w:rsidP="000543B3">
      <w:pPr>
        <w:pStyle w:val="FootnoteText"/>
      </w:pPr>
      <w:r>
        <w:rPr>
          <w:rStyle w:val="FootnoteReference"/>
        </w:rPr>
        <w:footnoteRef/>
      </w:r>
      <w:r>
        <w:t xml:space="preserve"> Participants were: </w:t>
      </w:r>
      <w:r w:rsidRPr="000C4C6F">
        <w:t>the National Governors’ Association, the National Conference of State Legislatures, the Council of State Governments, the National League of Cities, the U.S. Conference of Mayors, the National Association of Counties, the International City/County Management Association, the National Association of Towns and Townships, the County Executives of America, and the Environmental Council of States. Additionally, the Agency invited the Association of State Drinking Water Administrators, the Association of Metropolitan Water Agencies, the National Rural Water Association, the American Water Works Association, the American Public Works Association, the National School Board Association, the American Association of School Administrators, and the Western Governors’ Association</w:t>
      </w:r>
      <w:r>
        <w:t xml:space="preserve">. For more information regarding the LCR Federalism Consultation, refer to: </w:t>
      </w:r>
      <w:hyperlink r:id="rId1" w:history="1">
        <w:r w:rsidRPr="000B2DC8">
          <w:rPr>
            <w:rStyle w:val="Hyperlink"/>
          </w:rPr>
          <w:t>https://www.epa.gov/dwstandardsregulations/lcr-federalism-consultation</w:t>
        </w:r>
      </w:hyperlink>
      <w:r>
        <w:t xml:space="preserve">. </w:t>
      </w:r>
    </w:p>
  </w:footnote>
  <w:footnote w:id="10">
    <w:p w14:paraId="29881EC7" w14:textId="77777777" w:rsidR="00631340" w:rsidRDefault="00631340">
      <w:pPr>
        <w:pStyle w:val="FootnoteText"/>
      </w:pPr>
      <w:r>
        <w:rPr>
          <w:rStyle w:val="FootnoteReference"/>
        </w:rPr>
        <w:footnoteRef/>
      </w:r>
      <w:r>
        <w:t xml:space="preserve"> </w:t>
      </w:r>
      <w:hyperlink r:id="rId2" w:history="1">
        <w:r w:rsidRPr="00C26548">
          <w:rPr>
            <w:rStyle w:val="Hyperlink"/>
          </w:rPr>
          <w:t>https://www.epa.gov/dwstandardsregulations/ndwac-recommendations-administrator-long-term-revisions-lead-and-copper-rule</w:t>
        </w:r>
      </w:hyperlink>
    </w:p>
  </w:footnote>
  <w:footnote w:id="11">
    <w:p w14:paraId="6611761B" w14:textId="77777777" w:rsidR="00631340" w:rsidRDefault="00631340">
      <w:pPr>
        <w:pStyle w:val="FootnoteText"/>
      </w:pPr>
      <w:r>
        <w:rPr>
          <w:rStyle w:val="FootnoteReference"/>
        </w:rPr>
        <w:footnoteRef/>
      </w:r>
      <w:r>
        <w:t xml:space="preserve"> For more information regarding the tribal consultation, refer to the EPA Tribal Portal site at: </w:t>
      </w:r>
      <w:hyperlink r:id="rId3" w:history="1">
        <w:r w:rsidRPr="00EA1072">
          <w:rPr>
            <w:rStyle w:val="Hyperlink"/>
          </w:rPr>
          <w:t>http://www.epa.gov/tribal/consultation/index.htm</w:t>
        </w:r>
      </w:hyperlink>
      <w:r>
        <w:t>.</w:t>
      </w:r>
    </w:p>
  </w:footnote>
  <w:footnote w:id="12">
    <w:p w14:paraId="46ECE464" w14:textId="28FBB9CB" w:rsidR="00631340" w:rsidRPr="00D608B4" w:rsidRDefault="00631340" w:rsidP="00C203D5">
      <w:pPr>
        <w:rPr>
          <w:sz w:val="20"/>
          <w:szCs w:val="20"/>
        </w:rPr>
      </w:pPr>
      <w:r>
        <w:rPr>
          <w:rStyle w:val="FootnoteReference"/>
        </w:rPr>
        <w:footnoteRef/>
      </w:r>
      <w:r>
        <w:t xml:space="preserve"> </w:t>
      </w:r>
      <w:r w:rsidRPr="00D608B4">
        <w:rPr>
          <w:sz w:val="20"/>
          <w:szCs w:val="20"/>
        </w:rPr>
        <w:t xml:space="preserve">There are two types of costs that may result from the </w:t>
      </w:r>
      <w:r>
        <w:rPr>
          <w:sz w:val="20"/>
          <w:szCs w:val="20"/>
        </w:rPr>
        <w:t>LCRR</w:t>
      </w:r>
      <w:r w:rsidRPr="00D608B4">
        <w:rPr>
          <w:sz w:val="20"/>
          <w:szCs w:val="20"/>
        </w:rPr>
        <w:t xml:space="preserve"> – direct and indirect</w:t>
      </w:r>
      <w:r>
        <w:rPr>
          <w:sz w:val="20"/>
          <w:szCs w:val="20"/>
        </w:rPr>
        <w:t xml:space="preserve">. </w:t>
      </w:r>
      <w:r w:rsidRPr="00D608B4">
        <w:rPr>
          <w:sz w:val="20"/>
          <w:szCs w:val="20"/>
        </w:rPr>
        <w:t>Direct costs are from those activities that are specified by the rule change, such as costs for additional monitoring or distribution of consumer notices</w:t>
      </w:r>
      <w:r>
        <w:rPr>
          <w:sz w:val="20"/>
          <w:szCs w:val="20"/>
        </w:rPr>
        <w:t xml:space="preserve">. </w:t>
      </w:r>
      <w:r w:rsidRPr="00D608B4">
        <w:rPr>
          <w:sz w:val="20"/>
          <w:szCs w:val="20"/>
        </w:rPr>
        <w:t xml:space="preserve">A second type of cost may also result when systems and </w:t>
      </w:r>
      <w:r>
        <w:rPr>
          <w:sz w:val="20"/>
          <w:szCs w:val="20"/>
        </w:rPr>
        <w:t>primacy agencies</w:t>
      </w:r>
      <w:r w:rsidRPr="00D608B4">
        <w:rPr>
          <w:sz w:val="20"/>
          <w:szCs w:val="20"/>
        </w:rPr>
        <w:t xml:space="preserve"> use the information generated by the directly related rule activities to modify or enhance practices to reduce lead levels</w:t>
      </w:r>
      <w:r>
        <w:rPr>
          <w:sz w:val="20"/>
          <w:szCs w:val="20"/>
        </w:rPr>
        <w:t xml:space="preserve">. </w:t>
      </w:r>
      <w:r w:rsidRPr="00D608B4">
        <w:rPr>
          <w:sz w:val="20"/>
          <w:szCs w:val="20"/>
        </w:rPr>
        <w:t>Section 6 focuses solely on the estimation of direct costs</w:t>
      </w:r>
      <w:r>
        <w:rPr>
          <w:sz w:val="20"/>
          <w:szCs w:val="20"/>
        </w:rPr>
        <w:t xml:space="preserve"> for implementation activities</w:t>
      </w:r>
    </w:p>
    <w:p w14:paraId="0902B077" w14:textId="77777777" w:rsidR="00631340" w:rsidRDefault="00631340" w:rsidP="00C203D5">
      <w:pPr>
        <w:pStyle w:val="FootnoteText"/>
      </w:pPr>
    </w:p>
  </w:footnote>
  <w:footnote w:id="13">
    <w:p w14:paraId="51525785" w14:textId="7D9581C2" w:rsidR="00631340" w:rsidRDefault="00631340">
      <w:pPr>
        <w:pStyle w:val="FootnoteText"/>
      </w:pPr>
      <w:r>
        <w:rPr>
          <w:rStyle w:val="FootnoteReference"/>
        </w:rPr>
        <w:footnoteRef/>
      </w:r>
      <w:r>
        <w:t xml:space="preserve"> The number of systems submitting demonstrations of no LSLs is lower in the high cost scenario because more systems are estimated to have LSLs in that scenario. Thus, the total burden associated with this activity in the high cost scenario is lower, because these systems would instead undertake the higher burden and cost activities of an LSL inventory and LSLR planning.</w:t>
      </w:r>
    </w:p>
  </w:footnote>
  <w:footnote w:id="14">
    <w:p w14:paraId="6A86FDFD" w14:textId="6F3E09E0" w:rsidR="00631340" w:rsidRDefault="00631340" w:rsidP="00445ADD">
      <w:pPr>
        <w:pStyle w:val="FootnoteText"/>
      </w:pPr>
      <w:r>
        <w:rPr>
          <w:rStyle w:val="FootnoteReference"/>
        </w:rPr>
        <w:footnoteRef/>
      </w:r>
      <w:r>
        <w:t xml:space="preserve"> The total burden for primacy agencies to review demonstrations of no LSLs is lower in the high cost scenario because more systems are estimated to have LSLs in that scenario. For these systems, primacy agencies would instead undertake the higher burden and cost activities of reviewing LSL inventories and assisting with LSLR planning.</w:t>
      </w:r>
    </w:p>
  </w:footnote>
  <w:footnote w:id="15">
    <w:p w14:paraId="5CBDA673" w14:textId="77777777" w:rsidR="00631340" w:rsidRDefault="00631340">
      <w:pPr>
        <w:pStyle w:val="FootnoteText"/>
      </w:pPr>
      <w:r>
        <w:rPr>
          <w:rStyle w:val="FootnoteReference"/>
        </w:rPr>
        <w:footnoteRef/>
      </w:r>
      <w:r>
        <w:t xml:space="preserve"> EPA regions will also conduct primacy activities on behalf of states, tribes, and territories that do not have primacy. The</w:t>
      </w:r>
      <w:r w:rsidRPr="00D23847">
        <w:t xml:space="preserve"> burden and costs for these activities are </w:t>
      </w:r>
      <w:r>
        <w:t>included in</w:t>
      </w:r>
      <w:r w:rsidRPr="00D23847">
        <w:t xml:space="preserve"> the primacy agency burden</w:t>
      </w:r>
      <w:r>
        <w:t>.</w:t>
      </w:r>
    </w:p>
  </w:footnote>
  <w:footnote w:id="16">
    <w:p w14:paraId="72A77778" w14:textId="77777777" w:rsidR="00631340" w:rsidRPr="00AF5571" w:rsidRDefault="00631340" w:rsidP="00AF5571">
      <w:pPr>
        <w:pStyle w:val="FootnoteText"/>
      </w:pPr>
      <w:r>
        <w:rPr>
          <w:rStyle w:val="FootnoteReference"/>
        </w:rPr>
        <w:footnoteRef/>
      </w:r>
      <w:r>
        <w:t xml:space="preserve"> Information Collection Request for the Public Water System Supervision Program, OMB control number </w:t>
      </w:r>
      <w:r w:rsidRPr="00AF5571">
        <w:t>2040-0090</w:t>
      </w:r>
      <w:r>
        <w:t>.</w:t>
      </w:r>
    </w:p>
  </w:footnote>
  <w:footnote w:id="17">
    <w:p w14:paraId="70637D8E" w14:textId="6257A2F7" w:rsidR="00631340" w:rsidRDefault="00631340">
      <w:pPr>
        <w:pStyle w:val="FootnoteText"/>
      </w:pPr>
      <w:r>
        <w:rPr>
          <w:rStyle w:val="FootnoteReference"/>
        </w:rPr>
        <w:footnoteRef/>
      </w:r>
      <w:r>
        <w:t xml:space="preserve"> To accommodate reporting form requirements, entries will be the mean values of each range reported in this section.</w:t>
      </w:r>
    </w:p>
  </w:footnote>
  <w:footnote w:id="18">
    <w:p w14:paraId="1D9F33CD" w14:textId="77777777" w:rsidR="00631340" w:rsidRDefault="00631340">
      <w:pPr>
        <w:pStyle w:val="FootnoteText"/>
      </w:pPr>
      <w:r>
        <w:rPr>
          <w:rStyle w:val="FootnoteReference"/>
        </w:rPr>
        <w:footnoteRef/>
      </w:r>
      <w:r>
        <w:t xml:space="preserve"> Derivation of the burden and rate estimates are provided in the Economic Analysis for the Lead and Copper Rule Long-term Revisions, </w:t>
      </w:r>
      <w:r w:rsidRPr="00F8006D">
        <w:t>EPA-HQ-OW-2017-0300</w:t>
      </w:r>
    </w:p>
  </w:footnote>
  <w:footnote w:id="19">
    <w:p w14:paraId="1CCE59DB" w14:textId="630A133F" w:rsidR="00631340" w:rsidRDefault="00631340">
      <w:pPr>
        <w:pStyle w:val="FootnoteText"/>
      </w:pPr>
      <w:r>
        <w:rPr>
          <w:rStyle w:val="FootnoteReference"/>
        </w:rPr>
        <w:footnoteRef/>
      </w:r>
      <w:r>
        <w:t xml:space="preserve"> </w:t>
      </w:r>
      <w:r w:rsidRPr="00DE4311">
        <w:t xml:space="preserve">ASDWA developed a model to estimate the increase in costs to Primacy Agencies to implement the </w:t>
      </w:r>
      <w:r>
        <w:t>current</w:t>
      </w:r>
      <w:r w:rsidRPr="00DE4311">
        <w:t xml:space="preserve"> LCRR requirements. This model was provided to the Agency as part of the public comment process on the </w:t>
      </w:r>
      <w:r>
        <w:t>current</w:t>
      </w:r>
      <w:r w:rsidRPr="00DE4311">
        <w:t xml:space="preserve"> rulemaking and can be found in the file</w:t>
      </w:r>
      <w:r>
        <w:t xml:space="preserve"> called</w:t>
      </w:r>
      <w:r w:rsidRPr="00DE4311">
        <w:t xml:space="preserve"> “Final C</w:t>
      </w:r>
      <w:r>
        <w:t>O</w:t>
      </w:r>
      <w:r w:rsidRPr="00DE4311">
        <w:t>STS 2-6-20” that is available in the docket at EPA-HQ-OW-2017-0300 at www.regulations.gov.</w:t>
      </w:r>
    </w:p>
  </w:footnote>
  <w:footnote w:id="20">
    <w:p w14:paraId="380C886E" w14:textId="77777777" w:rsidR="00631340" w:rsidRPr="00952585" w:rsidRDefault="00631340">
      <w:pPr>
        <w:pStyle w:val="FootnoteText"/>
      </w:pPr>
      <w:r w:rsidRPr="00952585">
        <w:rPr>
          <w:rStyle w:val="FootnoteReference"/>
        </w:rPr>
        <w:footnoteRef/>
      </w:r>
      <w:r w:rsidRPr="00952585">
        <w:t xml:space="preserve"> </w:t>
      </w:r>
      <w:r w:rsidRPr="00952585">
        <w:rPr>
          <w:color w:val="000000"/>
        </w:rPr>
        <w:t>Bureau of Labor Statistics (BLS) accessed: https://stats.bls.gov/oes/2016/May/oes192041.htm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B5A7C"/>
    <w:multiLevelType w:val="hybridMultilevel"/>
    <w:tmpl w:val="EB7A5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624DF1"/>
    <w:multiLevelType w:val="hybridMultilevel"/>
    <w:tmpl w:val="970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F33B6"/>
    <w:multiLevelType w:val="hybridMultilevel"/>
    <w:tmpl w:val="F8E61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62A32"/>
    <w:multiLevelType w:val="hybridMultilevel"/>
    <w:tmpl w:val="72B86E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9130CB"/>
    <w:multiLevelType w:val="hybridMultilevel"/>
    <w:tmpl w:val="74A8F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57534E"/>
    <w:multiLevelType w:val="hybridMultilevel"/>
    <w:tmpl w:val="5C861F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2EF7FC6"/>
    <w:multiLevelType w:val="hybridMultilevel"/>
    <w:tmpl w:val="32CC2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E66754"/>
    <w:multiLevelType w:val="hybridMultilevel"/>
    <w:tmpl w:val="7816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76F5E"/>
    <w:multiLevelType w:val="hybridMultilevel"/>
    <w:tmpl w:val="85D2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06211"/>
    <w:multiLevelType w:val="hybridMultilevel"/>
    <w:tmpl w:val="6B562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EF1CEB"/>
    <w:multiLevelType w:val="hybridMultilevel"/>
    <w:tmpl w:val="77A2F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172E2"/>
    <w:multiLevelType w:val="hybridMultilevel"/>
    <w:tmpl w:val="7B58614C"/>
    <w:lvl w:ilvl="0" w:tplc="97FC3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8142F"/>
    <w:multiLevelType w:val="hybridMultilevel"/>
    <w:tmpl w:val="7A663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71290"/>
    <w:multiLevelType w:val="hybridMultilevel"/>
    <w:tmpl w:val="8C04EE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CE14AF"/>
    <w:multiLevelType w:val="hybridMultilevel"/>
    <w:tmpl w:val="519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C0554"/>
    <w:multiLevelType w:val="hybridMultilevel"/>
    <w:tmpl w:val="DB8E97BA"/>
    <w:lvl w:ilvl="0" w:tplc="07AE1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137D5"/>
    <w:multiLevelType w:val="hybridMultilevel"/>
    <w:tmpl w:val="2580F5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2C5554"/>
    <w:multiLevelType w:val="hybridMultilevel"/>
    <w:tmpl w:val="89BC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019D2"/>
    <w:multiLevelType w:val="hybridMultilevel"/>
    <w:tmpl w:val="E0665C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A076656"/>
    <w:multiLevelType w:val="multilevel"/>
    <w:tmpl w:val="3FE23D9C"/>
    <w:lvl w:ilvl="0">
      <w:start w:val="1"/>
      <w:numFmt w:val="bullet"/>
      <w:lvlText w:val=""/>
      <w:lvlJc w:val="left"/>
      <w:pPr>
        <w:ind w:left="720" w:hanging="360"/>
      </w:pPr>
      <w:rPr>
        <w:rFonts w:ascii="Symbol" w:hAnsi="Symbol" w:hint="default"/>
        <w:color w:val="auto"/>
        <w:sz w:val="22"/>
        <w:szCs w:val="22"/>
      </w:rPr>
    </w:lvl>
    <w:lvl w:ilvl="1">
      <w:numFmt w:val="bullet"/>
      <w:lvlText w:val="-"/>
      <w:lvlJc w:val="left"/>
      <w:pPr>
        <w:ind w:left="1080" w:hanging="360"/>
      </w:pPr>
      <w:rPr>
        <w:rFonts w:ascii="Calibri" w:eastAsia="Calibri" w:hAnsi="Calibri" w:cs="Calibri" w:hint="default"/>
      </w:rPr>
    </w:lvl>
    <w:lvl w:ilvl="2">
      <w:start w:val="1"/>
      <w:numFmt w:val="lowerRoman"/>
      <w:lvlText w:val="%3."/>
      <w:lvlJc w:val="right"/>
      <w:pPr>
        <w:ind w:left="3366" w:hanging="180"/>
      </w:pPr>
      <w:rPr>
        <w:rFonts w:hint="default"/>
      </w:rPr>
    </w:lvl>
    <w:lvl w:ilvl="3">
      <w:start w:val="1"/>
      <w:numFmt w:val="decimal"/>
      <w:lvlText w:val="%4."/>
      <w:lvlJc w:val="left"/>
      <w:pPr>
        <w:ind w:left="360" w:hanging="360"/>
      </w:pPr>
      <w:rPr>
        <w:rFonts w:hint="default"/>
        <w:vertAlign w:val="superscript"/>
      </w:rPr>
    </w:lvl>
    <w:lvl w:ilvl="4">
      <w:start w:val="1"/>
      <w:numFmt w:val="lowerLetter"/>
      <w:lvlText w:val="%5."/>
      <w:lvlJc w:val="left"/>
      <w:pPr>
        <w:ind w:left="4806" w:hanging="360"/>
      </w:pPr>
      <w:rPr>
        <w:rFonts w:hint="default"/>
      </w:rPr>
    </w:lvl>
    <w:lvl w:ilvl="5">
      <w:start w:val="1"/>
      <w:numFmt w:val="lowerRoman"/>
      <w:lvlText w:val="%6."/>
      <w:lvlJc w:val="right"/>
      <w:pPr>
        <w:ind w:left="5526" w:hanging="180"/>
      </w:pPr>
      <w:rPr>
        <w:rFonts w:hint="default"/>
      </w:rPr>
    </w:lvl>
    <w:lvl w:ilvl="6">
      <w:start w:val="1"/>
      <w:numFmt w:val="decimal"/>
      <w:lvlText w:val="%7."/>
      <w:lvlJc w:val="left"/>
      <w:pPr>
        <w:ind w:left="6246" w:hanging="360"/>
      </w:pPr>
      <w:rPr>
        <w:rFonts w:hint="default"/>
      </w:rPr>
    </w:lvl>
    <w:lvl w:ilvl="7">
      <w:start w:val="1"/>
      <w:numFmt w:val="lowerLetter"/>
      <w:lvlText w:val="%8."/>
      <w:lvlJc w:val="left"/>
      <w:pPr>
        <w:ind w:left="6966" w:hanging="360"/>
      </w:pPr>
      <w:rPr>
        <w:rFonts w:hint="default"/>
      </w:rPr>
    </w:lvl>
    <w:lvl w:ilvl="8">
      <w:start w:val="1"/>
      <w:numFmt w:val="lowerRoman"/>
      <w:lvlText w:val="%9."/>
      <w:lvlJc w:val="right"/>
      <w:pPr>
        <w:ind w:left="7686" w:hanging="180"/>
      </w:pPr>
      <w:rPr>
        <w:rFonts w:hint="default"/>
      </w:rPr>
    </w:lvl>
  </w:abstractNum>
  <w:abstractNum w:abstractNumId="21" w15:restartNumberingAfterBreak="0">
    <w:nsid w:val="3E94766C"/>
    <w:multiLevelType w:val="hybridMultilevel"/>
    <w:tmpl w:val="060EBCAE"/>
    <w:lvl w:ilvl="0" w:tplc="002624F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155F6"/>
    <w:multiLevelType w:val="hybridMultilevel"/>
    <w:tmpl w:val="0562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13909"/>
    <w:multiLevelType w:val="hybridMultilevel"/>
    <w:tmpl w:val="97EA60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6A3242F"/>
    <w:multiLevelType w:val="hybridMultilevel"/>
    <w:tmpl w:val="C3146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AF3C72"/>
    <w:multiLevelType w:val="hybridMultilevel"/>
    <w:tmpl w:val="32B83E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A0E18"/>
    <w:multiLevelType w:val="hybridMultilevel"/>
    <w:tmpl w:val="1B3082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025CF"/>
    <w:multiLevelType w:val="hybridMultilevel"/>
    <w:tmpl w:val="3A7AAC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D737144"/>
    <w:multiLevelType w:val="hybridMultilevel"/>
    <w:tmpl w:val="66844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272D8"/>
    <w:multiLevelType w:val="hybridMultilevel"/>
    <w:tmpl w:val="4666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635BB"/>
    <w:multiLevelType w:val="hybridMultilevel"/>
    <w:tmpl w:val="F64EA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80A4D08"/>
    <w:multiLevelType w:val="hybridMultilevel"/>
    <w:tmpl w:val="D65C0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C756E"/>
    <w:multiLevelType w:val="hybridMultilevel"/>
    <w:tmpl w:val="4136360E"/>
    <w:lvl w:ilvl="0" w:tplc="47B67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838BB"/>
    <w:multiLevelType w:val="hybridMultilevel"/>
    <w:tmpl w:val="DA4422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AF6A68"/>
    <w:multiLevelType w:val="hybridMultilevel"/>
    <w:tmpl w:val="ACCA639C"/>
    <w:lvl w:ilvl="0" w:tplc="A82067D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553282"/>
    <w:multiLevelType w:val="hybridMultilevel"/>
    <w:tmpl w:val="3466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E1904"/>
    <w:multiLevelType w:val="hybridMultilevel"/>
    <w:tmpl w:val="628895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0C2937"/>
    <w:multiLevelType w:val="hybridMultilevel"/>
    <w:tmpl w:val="D64CA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D37D8"/>
    <w:multiLevelType w:val="hybridMultilevel"/>
    <w:tmpl w:val="2530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B2128"/>
    <w:multiLevelType w:val="hybridMultilevel"/>
    <w:tmpl w:val="01E60F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3"/>
  </w:num>
  <w:num w:numId="3">
    <w:abstractNumId w:val="36"/>
  </w:num>
  <w:num w:numId="4">
    <w:abstractNumId w:val="0"/>
  </w:num>
  <w:num w:numId="5">
    <w:abstractNumId w:val="6"/>
  </w:num>
  <w:num w:numId="6">
    <w:abstractNumId w:val="30"/>
  </w:num>
  <w:num w:numId="7">
    <w:abstractNumId w:val="7"/>
  </w:num>
  <w:num w:numId="8">
    <w:abstractNumId w:val="13"/>
  </w:num>
  <w:num w:numId="9">
    <w:abstractNumId w:val="17"/>
  </w:num>
  <w:num w:numId="10">
    <w:abstractNumId w:val="27"/>
  </w:num>
  <w:num w:numId="11">
    <w:abstractNumId w:val="14"/>
  </w:num>
  <w:num w:numId="12">
    <w:abstractNumId w:val="34"/>
  </w:num>
  <w:num w:numId="13">
    <w:abstractNumId w:val="18"/>
  </w:num>
  <w:num w:numId="14">
    <w:abstractNumId w:val="35"/>
  </w:num>
  <w:num w:numId="15">
    <w:abstractNumId w:val="4"/>
  </w:num>
  <w:num w:numId="16">
    <w:abstractNumId w:val="33"/>
  </w:num>
  <w:num w:numId="17">
    <w:abstractNumId w:val="37"/>
  </w:num>
  <w:num w:numId="18">
    <w:abstractNumId w:val="1"/>
  </w:num>
  <w:num w:numId="19">
    <w:abstractNumId w:val="31"/>
  </w:num>
  <w:num w:numId="20">
    <w:abstractNumId w:val="28"/>
  </w:num>
  <w:num w:numId="21">
    <w:abstractNumId w:val="10"/>
  </w:num>
  <w:num w:numId="22">
    <w:abstractNumId w:val="5"/>
  </w:num>
  <w:num w:numId="23">
    <w:abstractNumId w:val="11"/>
  </w:num>
  <w:num w:numId="24">
    <w:abstractNumId w:val="38"/>
  </w:num>
  <w:num w:numId="25">
    <w:abstractNumId w:val="8"/>
  </w:num>
  <w:num w:numId="26">
    <w:abstractNumId w:val="9"/>
  </w:num>
  <w:num w:numId="27">
    <w:abstractNumId w:val="25"/>
  </w:num>
  <w:num w:numId="28">
    <w:abstractNumId w:val="2"/>
  </w:num>
  <w:num w:numId="29">
    <w:abstractNumId w:val="26"/>
  </w:num>
  <w:num w:numId="30">
    <w:abstractNumId w:val="24"/>
  </w:num>
  <w:num w:numId="31">
    <w:abstractNumId w:val="12"/>
  </w:num>
  <w:num w:numId="32">
    <w:abstractNumId w:val="16"/>
  </w:num>
  <w:num w:numId="33">
    <w:abstractNumId w:val="32"/>
  </w:num>
  <w:num w:numId="34">
    <w:abstractNumId w:val="3"/>
  </w:num>
  <w:num w:numId="3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1"/>
  </w:num>
  <w:num w:numId="38">
    <w:abstractNumId w:val="29"/>
  </w:num>
  <w:num w:numId="39">
    <w:abstractNumId w:val="39"/>
  </w:num>
  <w:num w:numId="40">
    <w:abstractNumId w:val="2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16A"/>
    <w:rsid w:val="00000BA7"/>
    <w:rsid w:val="00002255"/>
    <w:rsid w:val="00003A3A"/>
    <w:rsid w:val="00004497"/>
    <w:rsid w:val="00004D18"/>
    <w:rsid w:val="00006B80"/>
    <w:rsid w:val="000107F1"/>
    <w:rsid w:val="00010FE0"/>
    <w:rsid w:val="000111E8"/>
    <w:rsid w:val="0001168E"/>
    <w:rsid w:val="00011BC8"/>
    <w:rsid w:val="00011D69"/>
    <w:rsid w:val="00011D83"/>
    <w:rsid w:val="00011E97"/>
    <w:rsid w:val="00011EA5"/>
    <w:rsid w:val="00011FB1"/>
    <w:rsid w:val="0001242A"/>
    <w:rsid w:val="000136DC"/>
    <w:rsid w:val="00013A61"/>
    <w:rsid w:val="000145B9"/>
    <w:rsid w:val="000148E6"/>
    <w:rsid w:val="00015001"/>
    <w:rsid w:val="00021325"/>
    <w:rsid w:val="00025BF6"/>
    <w:rsid w:val="0003077B"/>
    <w:rsid w:val="00032260"/>
    <w:rsid w:val="00034B35"/>
    <w:rsid w:val="00035051"/>
    <w:rsid w:val="00036E51"/>
    <w:rsid w:val="00040453"/>
    <w:rsid w:val="00040DBE"/>
    <w:rsid w:val="00041430"/>
    <w:rsid w:val="00043178"/>
    <w:rsid w:val="00044B2B"/>
    <w:rsid w:val="0004562C"/>
    <w:rsid w:val="00045AAA"/>
    <w:rsid w:val="000474EA"/>
    <w:rsid w:val="000475E8"/>
    <w:rsid w:val="00051001"/>
    <w:rsid w:val="00054267"/>
    <w:rsid w:val="000543B3"/>
    <w:rsid w:val="0006364A"/>
    <w:rsid w:val="000657C8"/>
    <w:rsid w:val="00066B78"/>
    <w:rsid w:val="00066ED3"/>
    <w:rsid w:val="0007094A"/>
    <w:rsid w:val="00071A2D"/>
    <w:rsid w:val="00072E45"/>
    <w:rsid w:val="000755DB"/>
    <w:rsid w:val="000756F1"/>
    <w:rsid w:val="00075704"/>
    <w:rsid w:val="00077F71"/>
    <w:rsid w:val="00081277"/>
    <w:rsid w:val="00082BC3"/>
    <w:rsid w:val="0008309A"/>
    <w:rsid w:val="0008444B"/>
    <w:rsid w:val="00090E74"/>
    <w:rsid w:val="0009139C"/>
    <w:rsid w:val="00091976"/>
    <w:rsid w:val="000929DC"/>
    <w:rsid w:val="00093A7F"/>
    <w:rsid w:val="000944FC"/>
    <w:rsid w:val="000945AD"/>
    <w:rsid w:val="00094F63"/>
    <w:rsid w:val="000958AD"/>
    <w:rsid w:val="00096630"/>
    <w:rsid w:val="0009701F"/>
    <w:rsid w:val="000976EE"/>
    <w:rsid w:val="000A010F"/>
    <w:rsid w:val="000A2961"/>
    <w:rsid w:val="000A3BD3"/>
    <w:rsid w:val="000A432B"/>
    <w:rsid w:val="000A573A"/>
    <w:rsid w:val="000A6323"/>
    <w:rsid w:val="000A72E4"/>
    <w:rsid w:val="000A73A1"/>
    <w:rsid w:val="000A7CBB"/>
    <w:rsid w:val="000B030B"/>
    <w:rsid w:val="000B1718"/>
    <w:rsid w:val="000B17BF"/>
    <w:rsid w:val="000B2207"/>
    <w:rsid w:val="000B289E"/>
    <w:rsid w:val="000B7361"/>
    <w:rsid w:val="000B754E"/>
    <w:rsid w:val="000C033D"/>
    <w:rsid w:val="000C08CF"/>
    <w:rsid w:val="000C0ED7"/>
    <w:rsid w:val="000C1AA9"/>
    <w:rsid w:val="000C1E76"/>
    <w:rsid w:val="000C29D2"/>
    <w:rsid w:val="000C768B"/>
    <w:rsid w:val="000D0C7D"/>
    <w:rsid w:val="000D4BE4"/>
    <w:rsid w:val="000D5E60"/>
    <w:rsid w:val="000D5E7F"/>
    <w:rsid w:val="000D6C1C"/>
    <w:rsid w:val="000D72F3"/>
    <w:rsid w:val="000D7C3F"/>
    <w:rsid w:val="000E01AE"/>
    <w:rsid w:val="000E1F36"/>
    <w:rsid w:val="000E4322"/>
    <w:rsid w:val="000E5A44"/>
    <w:rsid w:val="000E77EB"/>
    <w:rsid w:val="000F1680"/>
    <w:rsid w:val="000F36CC"/>
    <w:rsid w:val="000F5A45"/>
    <w:rsid w:val="000F6F69"/>
    <w:rsid w:val="0010300C"/>
    <w:rsid w:val="00104760"/>
    <w:rsid w:val="00105499"/>
    <w:rsid w:val="00106B5A"/>
    <w:rsid w:val="001078C1"/>
    <w:rsid w:val="0011097F"/>
    <w:rsid w:val="00110E7B"/>
    <w:rsid w:val="0011467F"/>
    <w:rsid w:val="00114AAC"/>
    <w:rsid w:val="00114FC3"/>
    <w:rsid w:val="00115464"/>
    <w:rsid w:val="00116D64"/>
    <w:rsid w:val="00117206"/>
    <w:rsid w:val="00120EA8"/>
    <w:rsid w:val="00121939"/>
    <w:rsid w:val="00121BBE"/>
    <w:rsid w:val="001243C8"/>
    <w:rsid w:val="00124A08"/>
    <w:rsid w:val="00126883"/>
    <w:rsid w:val="00127423"/>
    <w:rsid w:val="0012794D"/>
    <w:rsid w:val="001308A7"/>
    <w:rsid w:val="00134208"/>
    <w:rsid w:val="00135A4B"/>
    <w:rsid w:val="00135D48"/>
    <w:rsid w:val="00137430"/>
    <w:rsid w:val="00140141"/>
    <w:rsid w:val="001411E5"/>
    <w:rsid w:val="001415F4"/>
    <w:rsid w:val="00142C42"/>
    <w:rsid w:val="00143204"/>
    <w:rsid w:val="00143D34"/>
    <w:rsid w:val="00144C78"/>
    <w:rsid w:val="00144D90"/>
    <w:rsid w:val="00145AA1"/>
    <w:rsid w:val="00147889"/>
    <w:rsid w:val="00150AB2"/>
    <w:rsid w:val="00151727"/>
    <w:rsid w:val="00152786"/>
    <w:rsid w:val="00160FCF"/>
    <w:rsid w:val="00164DD1"/>
    <w:rsid w:val="00165292"/>
    <w:rsid w:val="00165705"/>
    <w:rsid w:val="001658EC"/>
    <w:rsid w:val="0017170A"/>
    <w:rsid w:val="001718A8"/>
    <w:rsid w:val="00171B45"/>
    <w:rsid w:val="001727CD"/>
    <w:rsid w:val="001764C8"/>
    <w:rsid w:val="0017650E"/>
    <w:rsid w:val="00181749"/>
    <w:rsid w:val="001818CA"/>
    <w:rsid w:val="001825E2"/>
    <w:rsid w:val="00183D3D"/>
    <w:rsid w:val="0018431C"/>
    <w:rsid w:val="00185F7A"/>
    <w:rsid w:val="00186F4C"/>
    <w:rsid w:val="00190AB4"/>
    <w:rsid w:val="00192A44"/>
    <w:rsid w:val="00194809"/>
    <w:rsid w:val="00194D32"/>
    <w:rsid w:val="001A2579"/>
    <w:rsid w:val="001A2A82"/>
    <w:rsid w:val="001A406E"/>
    <w:rsid w:val="001A48BB"/>
    <w:rsid w:val="001A5CB8"/>
    <w:rsid w:val="001A65EF"/>
    <w:rsid w:val="001A6BAD"/>
    <w:rsid w:val="001A7551"/>
    <w:rsid w:val="001B0126"/>
    <w:rsid w:val="001B0711"/>
    <w:rsid w:val="001B1275"/>
    <w:rsid w:val="001B1812"/>
    <w:rsid w:val="001B244F"/>
    <w:rsid w:val="001B48BF"/>
    <w:rsid w:val="001B4C71"/>
    <w:rsid w:val="001B4E6E"/>
    <w:rsid w:val="001B6FF4"/>
    <w:rsid w:val="001B7843"/>
    <w:rsid w:val="001C1AAF"/>
    <w:rsid w:val="001C399C"/>
    <w:rsid w:val="001D07A5"/>
    <w:rsid w:val="001D1514"/>
    <w:rsid w:val="001D1E9F"/>
    <w:rsid w:val="001D22E4"/>
    <w:rsid w:val="001D3E1F"/>
    <w:rsid w:val="001D53D3"/>
    <w:rsid w:val="001D6711"/>
    <w:rsid w:val="001D75CB"/>
    <w:rsid w:val="001E0D20"/>
    <w:rsid w:val="001E1452"/>
    <w:rsid w:val="001E26DF"/>
    <w:rsid w:val="001E32AD"/>
    <w:rsid w:val="001E4BBC"/>
    <w:rsid w:val="001E630F"/>
    <w:rsid w:val="001E6E1D"/>
    <w:rsid w:val="001F1304"/>
    <w:rsid w:val="001F2124"/>
    <w:rsid w:val="001F4012"/>
    <w:rsid w:val="001F417C"/>
    <w:rsid w:val="001F61B2"/>
    <w:rsid w:val="002000F5"/>
    <w:rsid w:val="0020097A"/>
    <w:rsid w:val="0020272C"/>
    <w:rsid w:val="002034F3"/>
    <w:rsid w:val="0020494F"/>
    <w:rsid w:val="00204EAF"/>
    <w:rsid w:val="00205F94"/>
    <w:rsid w:val="00207382"/>
    <w:rsid w:val="002073D2"/>
    <w:rsid w:val="0021205A"/>
    <w:rsid w:val="00217A33"/>
    <w:rsid w:val="00217A69"/>
    <w:rsid w:val="00217F97"/>
    <w:rsid w:val="00220DA8"/>
    <w:rsid w:val="002220B5"/>
    <w:rsid w:val="0022215E"/>
    <w:rsid w:val="00224DF7"/>
    <w:rsid w:val="00224E07"/>
    <w:rsid w:val="00225534"/>
    <w:rsid w:val="00225815"/>
    <w:rsid w:val="002260EC"/>
    <w:rsid w:val="00227D1B"/>
    <w:rsid w:val="00230327"/>
    <w:rsid w:val="00231DAF"/>
    <w:rsid w:val="00231E77"/>
    <w:rsid w:val="0023452F"/>
    <w:rsid w:val="00235667"/>
    <w:rsid w:val="00235BBE"/>
    <w:rsid w:val="00235BC2"/>
    <w:rsid w:val="00237E63"/>
    <w:rsid w:val="00240D14"/>
    <w:rsid w:val="002450B1"/>
    <w:rsid w:val="00245710"/>
    <w:rsid w:val="002462E6"/>
    <w:rsid w:val="00247D4F"/>
    <w:rsid w:val="00250620"/>
    <w:rsid w:val="00250F0F"/>
    <w:rsid w:val="002564C6"/>
    <w:rsid w:val="002567F3"/>
    <w:rsid w:val="002575F7"/>
    <w:rsid w:val="00260277"/>
    <w:rsid w:val="00261098"/>
    <w:rsid w:val="00261643"/>
    <w:rsid w:val="00261CB2"/>
    <w:rsid w:val="00261EB6"/>
    <w:rsid w:val="0026208A"/>
    <w:rsid w:val="0026218F"/>
    <w:rsid w:val="00262661"/>
    <w:rsid w:val="00263C03"/>
    <w:rsid w:val="00266F14"/>
    <w:rsid w:val="00266F7C"/>
    <w:rsid w:val="00270ACD"/>
    <w:rsid w:val="00272E2E"/>
    <w:rsid w:val="00274686"/>
    <w:rsid w:val="00274B90"/>
    <w:rsid w:val="0027631A"/>
    <w:rsid w:val="002773F5"/>
    <w:rsid w:val="0027766C"/>
    <w:rsid w:val="00277A6B"/>
    <w:rsid w:val="00281FC5"/>
    <w:rsid w:val="00282040"/>
    <w:rsid w:val="0028370B"/>
    <w:rsid w:val="00283D46"/>
    <w:rsid w:val="0028475A"/>
    <w:rsid w:val="002856C4"/>
    <w:rsid w:val="00286D02"/>
    <w:rsid w:val="00287A56"/>
    <w:rsid w:val="00287EE9"/>
    <w:rsid w:val="00290F87"/>
    <w:rsid w:val="00292CBC"/>
    <w:rsid w:val="0029725E"/>
    <w:rsid w:val="002A1815"/>
    <w:rsid w:val="002A215B"/>
    <w:rsid w:val="002A2D95"/>
    <w:rsid w:val="002A53B6"/>
    <w:rsid w:val="002A5BD2"/>
    <w:rsid w:val="002A6726"/>
    <w:rsid w:val="002B1629"/>
    <w:rsid w:val="002B1D73"/>
    <w:rsid w:val="002B2570"/>
    <w:rsid w:val="002B40A7"/>
    <w:rsid w:val="002B4324"/>
    <w:rsid w:val="002B6D67"/>
    <w:rsid w:val="002B6EF4"/>
    <w:rsid w:val="002B746B"/>
    <w:rsid w:val="002B7D61"/>
    <w:rsid w:val="002C2B30"/>
    <w:rsid w:val="002C51C9"/>
    <w:rsid w:val="002C6D9C"/>
    <w:rsid w:val="002D0A93"/>
    <w:rsid w:val="002D3C6B"/>
    <w:rsid w:val="002D3DD1"/>
    <w:rsid w:val="002D4A38"/>
    <w:rsid w:val="002D5402"/>
    <w:rsid w:val="002D5D0E"/>
    <w:rsid w:val="002D5E7C"/>
    <w:rsid w:val="002D6254"/>
    <w:rsid w:val="002D6A2E"/>
    <w:rsid w:val="002D6A85"/>
    <w:rsid w:val="002D7AF5"/>
    <w:rsid w:val="002E12C7"/>
    <w:rsid w:val="002E2A73"/>
    <w:rsid w:val="002E2E68"/>
    <w:rsid w:val="002E3588"/>
    <w:rsid w:val="002E42FD"/>
    <w:rsid w:val="002F1354"/>
    <w:rsid w:val="002F434F"/>
    <w:rsid w:val="002F491A"/>
    <w:rsid w:val="002F4B81"/>
    <w:rsid w:val="002F6581"/>
    <w:rsid w:val="002F6CA8"/>
    <w:rsid w:val="002F6F74"/>
    <w:rsid w:val="002F6FAD"/>
    <w:rsid w:val="003022A0"/>
    <w:rsid w:val="003059D1"/>
    <w:rsid w:val="003061FA"/>
    <w:rsid w:val="00307572"/>
    <w:rsid w:val="00307E04"/>
    <w:rsid w:val="00310DC8"/>
    <w:rsid w:val="0031118A"/>
    <w:rsid w:val="00312C50"/>
    <w:rsid w:val="00313D27"/>
    <w:rsid w:val="0031426D"/>
    <w:rsid w:val="003151F1"/>
    <w:rsid w:val="00316391"/>
    <w:rsid w:val="00317218"/>
    <w:rsid w:val="00317D6B"/>
    <w:rsid w:val="0032028A"/>
    <w:rsid w:val="003211D4"/>
    <w:rsid w:val="003255B3"/>
    <w:rsid w:val="003269D1"/>
    <w:rsid w:val="00326F7F"/>
    <w:rsid w:val="003271C4"/>
    <w:rsid w:val="00327253"/>
    <w:rsid w:val="0033011C"/>
    <w:rsid w:val="00331375"/>
    <w:rsid w:val="0033340D"/>
    <w:rsid w:val="0033371B"/>
    <w:rsid w:val="00335F5C"/>
    <w:rsid w:val="00336EA9"/>
    <w:rsid w:val="00343063"/>
    <w:rsid w:val="0034332A"/>
    <w:rsid w:val="0034376C"/>
    <w:rsid w:val="00344BA9"/>
    <w:rsid w:val="00344F30"/>
    <w:rsid w:val="003454B9"/>
    <w:rsid w:val="00347581"/>
    <w:rsid w:val="003501BE"/>
    <w:rsid w:val="0035066D"/>
    <w:rsid w:val="00353D5B"/>
    <w:rsid w:val="00354760"/>
    <w:rsid w:val="00357FC2"/>
    <w:rsid w:val="003613B6"/>
    <w:rsid w:val="00361B65"/>
    <w:rsid w:val="0036317C"/>
    <w:rsid w:val="00363F61"/>
    <w:rsid w:val="0036659B"/>
    <w:rsid w:val="00366866"/>
    <w:rsid w:val="00370DE1"/>
    <w:rsid w:val="00372F17"/>
    <w:rsid w:val="00374756"/>
    <w:rsid w:val="0037485A"/>
    <w:rsid w:val="003749F0"/>
    <w:rsid w:val="00374B7A"/>
    <w:rsid w:val="0038118E"/>
    <w:rsid w:val="00381F71"/>
    <w:rsid w:val="0038414D"/>
    <w:rsid w:val="00384684"/>
    <w:rsid w:val="0038636A"/>
    <w:rsid w:val="00387CC9"/>
    <w:rsid w:val="003906C2"/>
    <w:rsid w:val="003947BF"/>
    <w:rsid w:val="00395AC4"/>
    <w:rsid w:val="003965DA"/>
    <w:rsid w:val="00396943"/>
    <w:rsid w:val="00396FE2"/>
    <w:rsid w:val="00397826"/>
    <w:rsid w:val="003A1A83"/>
    <w:rsid w:val="003A1B1A"/>
    <w:rsid w:val="003A1C05"/>
    <w:rsid w:val="003A2B2E"/>
    <w:rsid w:val="003A5675"/>
    <w:rsid w:val="003A5E32"/>
    <w:rsid w:val="003A67D2"/>
    <w:rsid w:val="003A725C"/>
    <w:rsid w:val="003A7B36"/>
    <w:rsid w:val="003B005F"/>
    <w:rsid w:val="003B08B4"/>
    <w:rsid w:val="003B1F88"/>
    <w:rsid w:val="003B42BF"/>
    <w:rsid w:val="003B44C6"/>
    <w:rsid w:val="003B549A"/>
    <w:rsid w:val="003B583F"/>
    <w:rsid w:val="003B7211"/>
    <w:rsid w:val="003C11FA"/>
    <w:rsid w:val="003C1466"/>
    <w:rsid w:val="003C26F7"/>
    <w:rsid w:val="003C2EA0"/>
    <w:rsid w:val="003C3B59"/>
    <w:rsid w:val="003D2036"/>
    <w:rsid w:val="003D2974"/>
    <w:rsid w:val="003D2CC4"/>
    <w:rsid w:val="003D2D0D"/>
    <w:rsid w:val="003D331F"/>
    <w:rsid w:val="003D3562"/>
    <w:rsid w:val="003D3F95"/>
    <w:rsid w:val="003D553F"/>
    <w:rsid w:val="003D5B90"/>
    <w:rsid w:val="003D707A"/>
    <w:rsid w:val="003E17DD"/>
    <w:rsid w:val="003E3724"/>
    <w:rsid w:val="003E5B9E"/>
    <w:rsid w:val="003E5E1B"/>
    <w:rsid w:val="003E6A75"/>
    <w:rsid w:val="003E6D4B"/>
    <w:rsid w:val="003E7268"/>
    <w:rsid w:val="003F0C6E"/>
    <w:rsid w:val="003F3402"/>
    <w:rsid w:val="003F4D3C"/>
    <w:rsid w:val="003F70CB"/>
    <w:rsid w:val="003F7208"/>
    <w:rsid w:val="003F768C"/>
    <w:rsid w:val="0040026D"/>
    <w:rsid w:val="004013E7"/>
    <w:rsid w:val="00401C8E"/>
    <w:rsid w:val="00404816"/>
    <w:rsid w:val="004056C5"/>
    <w:rsid w:val="00406EBD"/>
    <w:rsid w:val="00413F96"/>
    <w:rsid w:val="0041480F"/>
    <w:rsid w:val="00415776"/>
    <w:rsid w:val="00416C4A"/>
    <w:rsid w:val="00416C81"/>
    <w:rsid w:val="0042017C"/>
    <w:rsid w:val="00420214"/>
    <w:rsid w:val="00422B00"/>
    <w:rsid w:val="00423550"/>
    <w:rsid w:val="00426155"/>
    <w:rsid w:val="00426815"/>
    <w:rsid w:val="0042767A"/>
    <w:rsid w:val="0042773F"/>
    <w:rsid w:val="00431B34"/>
    <w:rsid w:val="00431C7E"/>
    <w:rsid w:val="00432B5B"/>
    <w:rsid w:val="00432B6A"/>
    <w:rsid w:val="00432DE4"/>
    <w:rsid w:val="00433A38"/>
    <w:rsid w:val="00434C0A"/>
    <w:rsid w:val="004358ED"/>
    <w:rsid w:val="0043628D"/>
    <w:rsid w:val="004373F6"/>
    <w:rsid w:val="00437735"/>
    <w:rsid w:val="004377B5"/>
    <w:rsid w:val="0043786A"/>
    <w:rsid w:val="00437D7D"/>
    <w:rsid w:val="00441AFF"/>
    <w:rsid w:val="00441D5A"/>
    <w:rsid w:val="00443812"/>
    <w:rsid w:val="00443BC0"/>
    <w:rsid w:val="00444917"/>
    <w:rsid w:val="004455BF"/>
    <w:rsid w:val="00445ADD"/>
    <w:rsid w:val="00446AC8"/>
    <w:rsid w:val="004510E5"/>
    <w:rsid w:val="00451DCB"/>
    <w:rsid w:val="0045674A"/>
    <w:rsid w:val="004568E3"/>
    <w:rsid w:val="0045786C"/>
    <w:rsid w:val="0046053F"/>
    <w:rsid w:val="004611E9"/>
    <w:rsid w:val="00462B53"/>
    <w:rsid w:val="00465C51"/>
    <w:rsid w:val="00467959"/>
    <w:rsid w:val="004718E8"/>
    <w:rsid w:val="00473378"/>
    <w:rsid w:val="004741EF"/>
    <w:rsid w:val="004745F7"/>
    <w:rsid w:val="004750F7"/>
    <w:rsid w:val="004757A5"/>
    <w:rsid w:val="00475802"/>
    <w:rsid w:val="00475EF0"/>
    <w:rsid w:val="0047658E"/>
    <w:rsid w:val="00476B09"/>
    <w:rsid w:val="00477064"/>
    <w:rsid w:val="0047765A"/>
    <w:rsid w:val="00477BEE"/>
    <w:rsid w:val="0048008A"/>
    <w:rsid w:val="00481470"/>
    <w:rsid w:val="004829C4"/>
    <w:rsid w:val="00484C51"/>
    <w:rsid w:val="00485123"/>
    <w:rsid w:val="00486CB6"/>
    <w:rsid w:val="00487B8D"/>
    <w:rsid w:val="0049228A"/>
    <w:rsid w:val="0049299F"/>
    <w:rsid w:val="004943C7"/>
    <w:rsid w:val="00495770"/>
    <w:rsid w:val="0049615B"/>
    <w:rsid w:val="0049714E"/>
    <w:rsid w:val="004A14B2"/>
    <w:rsid w:val="004A1618"/>
    <w:rsid w:val="004A31A0"/>
    <w:rsid w:val="004A3AD5"/>
    <w:rsid w:val="004B66B9"/>
    <w:rsid w:val="004B6E18"/>
    <w:rsid w:val="004B6F37"/>
    <w:rsid w:val="004C06D3"/>
    <w:rsid w:val="004C0AA2"/>
    <w:rsid w:val="004C0B22"/>
    <w:rsid w:val="004C1310"/>
    <w:rsid w:val="004C1987"/>
    <w:rsid w:val="004C383C"/>
    <w:rsid w:val="004C44E2"/>
    <w:rsid w:val="004C5F68"/>
    <w:rsid w:val="004C6BFE"/>
    <w:rsid w:val="004D1CF9"/>
    <w:rsid w:val="004D1EFF"/>
    <w:rsid w:val="004D3E3B"/>
    <w:rsid w:val="004D65C7"/>
    <w:rsid w:val="004D6817"/>
    <w:rsid w:val="004D6D4D"/>
    <w:rsid w:val="004D78B6"/>
    <w:rsid w:val="004D7BCD"/>
    <w:rsid w:val="004E1109"/>
    <w:rsid w:val="004E4F83"/>
    <w:rsid w:val="004E616F"/>
    <w:rsid w:val="004E72BA"/>
    <w:rsid w:val="004E7D84"/>
    <w:rsid w:val="004F0217"/>
    <w:rsid w:val="004F0396"/>
    <w:rsid w:val="004F0D52"/>
    <w:rsid w:val="004F1132"/>
    <w:rsid w:val="004F1234"/>
    <w:rsid w:val="004F1973"/>
    <w:rsid w:val="004F4482"/>
    <w:rsid w:val="004F70FA"/>
    <w:rsid w:val="00502CD2"/>
    <w:rsid w:val="005048A2"/>
    <w:rsid w:val="00504F66"/>
    <w:rsid w:val="00506D6E"/>
    <w:rsid w:val="00507267"/>
    <w:rsid w:val="00507E41"/>
    <w:rsid w:val="005104C1"/>
    <w:rsid w:val="00510CDC"/>
    <w:rsid w:val="005119FD"/>
    <w:rsid w:val="00511C3F"/>
    <w:rsid w:val="00512380"/>
    <w:rsid w:val="005130C3"/>
    <w:rsid w:val="00514A2F"/>
    <w:rsid w:val="00516174"/>
    <w:rsid w:val="00516D26"/>
    <w:rsid w:val="005173B4"/>
    <w:rsid w:val="0052060D"/>
    <w:rsid w:val="00520980"/>
    <w:rsid w:val="00520D48"/>
    <w:rsid w:val="00521AC6"/>
    <w:rsid w:val="00522E92"/>
    <w:rsid w:val="00524AF5"/>
    <w:rsid w:val="00525B2C"/>
    <w:rsid w:val="005271D6"/>
    <w:rsid w:val="00530E9A"/>
    <w:rsid w:val="005310C3"/>
    <w:rsid w:val="005314A0"/>
    <w:rsid w:val="0053179F"/>
    <w:rsid w:val="00531AB3"/>
    <w:rsid w:val="00533261"/>
    <w:rsid w:val="00533936"/>
    <w:rsid w:val="00534C82"/>
    <w:rsid w:val="0053501C"/>
    <w:rsid w:val="005350B0"/>
    <w:rsid w:val="00535463"/>
    <w:rsid w:val="005378A1"/>
    <w:rsid w:val="005379BF"/>
    <w:rsid w:val="00541D94"/>
    <w:rsid w:val="005437E1"/>
    <w:rsid w:val="00543947"/>
    <w:rsid w:val="00543E10"/>
    <w:rsid w:val="00544E15"/>
    <w:rsid w:val="00545879"/>
    <w:rsid w:val="00545D41"/>
    <w:rsid w:val="00546682"/>
    <w:rsid w:val="00546AFB"/>
    <w:rsid w:val="00547019"/>
    <w:rsid w:val="005504B0"/>
    <w:rsid w:val="005504D4"/>
    <w:rsid w:val="00550FAA"/>
    <w:rsid w:val="005511ED"/>
    <w:rsid w:val="005524D7"/>
    <w:rsid w:val="005528BD"/>
    <w:rsid w:val="0055316A"/>
    <w:rsid w:val="0055341E"/>
    <w:rsid w:val="0055392B"/>
    <w:rsid w:val="00553C3D"/>
    <w:rsid w:val="0055419B"/>
    <w:rsid w:val="00557ECC"/>
    <w:rsid w:val="00561313"/>
    <w:rsid w:val="00562B44"/>
    <w:rsid w:val="00563BCC"/>
    <w:rsid w:val="00564AAE"/>
    <w:rsid w:val="00565B8F"/>
    <w:rsid w:val="00566C81"/>
    <w:rsid w:val="00566FBA"/>
    <w:rsid w:val="005674E2"/>
    <w:rsid w:val="00567583"/>
    <w:rsid w:val="00573F58"/>
    <w:rsid w:val="00574522"/>
    <w:rsid w:val="00575D91"/>
    <w:rsid w:val="00577E4F"/>
    <w:rsid w:val="00577FD9"/>
    <w:rsid w:val="005801D7"/>
    <w:rsid w:val="005802E4"/>
    <w:rsid w:val="005834D0"/>
    <w:rsid w:val="0058537C"/>
    <w:rsid w:val="00586B7A"/>
    <w:rsid w:val="0058707F"/>
    <w:rsid w:val="0058750D"/>
    <w:rsid w:val="005877D3"/>
    <w:rsid w:val="00587BED"/>
    <w:rsid w:val="00590BF7"/>
    <w:rsid w:val="00590E0D"/>
    <w:rsid w:val="005911AB"/>
    <w:rsid w:val="00592420"/>
    <w:rsid w:val="005925CA"/>
    <w:rsid w:val="00593103"/>
    <w:rsid w:val="00593C55"/>
    <w:rsid w:val="00593FCC"/>
    <w:rsid w:val="0059482B"/>
    <w:rsid w:val="0059483B"/>
    <w:rsid w:val="00596543"/>
    <w:rsid w:val="00597992"/>
    <w:rsid w:val="005A019D"/>
    <w:rsid w:val="005A0C29"/>
    <w:rsid w:val="005A21D6"/>
    <w:rsid w:val="005A34D8"/>
    <w:rsid w:val="005A53B5"/>
    <w:rsid w:val="005B004C"/>
    <w:rsid w:val="005B0250"/>
    <w:rsid w:val="005B1285"/>
    <w:rsid w:val="005B18FC"/>
    <w:rsid w:val="005B267C"/>
    <w:rsid w:val="005B3632"/>
    <w:rsid w:val="005B41EE"/>
    <w:rsid w:val="005B4879"/>
    <w:rsid w:val="005B4B54"/>
    <w:rsid w:val="005C0DD7"/>
    <w:rsid w:val="005C27D5"/>
    <w:rsid w:val="005C5080"/>
    <w:rsid w:val="005C5301"/>
    <w:rsid w:val="005D235A"/>
    <w:rsid w:val="005D23CF"/>
    <w:rsid w:val="005D291B"/>
    <w:rsid w:val="005D33D1"/>
    <w:rsid w:val="005D3484"/>
    <w:rsid w:val="005D3C6D"/>
    <w:rsid w:val="005D3ED5"/>
    <w:rsid w:val="005D4B1F"/>
    <w:rsid w:val="005E15D8"/>
    <w:rsid w:val="005E2D56"/>
    <w:rsid w:val="005E2E1A"/>
    <w:rsid w:val="005E5A5E"/>
    <w:rsid w:val="005E6322"/>
    <w:rsid w:val="005E6F19"/>
    <w:rsid w:val="005E7E11"/>
    <w:rsid w:val="005E7FD0"/>
    <w:rsid w:val="005F0AF1"/>
    <w:rsid w:val="005F1E17"/>
    <w:rsid w:val="005F2818"/>
    <w:rsid w:val="005F368E"/>
    <w:rsid w:val="005F596A"/>
    <w:rsid w:val="005F6CF6"/>
    <w:rsid w:val="005F6E66"/>
    <w:rsid w:val="005F787A"/>
    <w:rsid w:val="006000B4"/>
    <w:rsid w:val="00600A40"/>
    <w:rsid w:val="006026F0"/>
    <w:rsid w:val="00602AE7"/>
    <w:rsid w:val="0060534E"/>
    <w:rsid w:val="0060615D"/>
    <w:rsid w:val="00606BF0"/>
    <w:rsid w:val="006070B6"/>
    <w:rsid w:val="006076AB"/>
    <w:rsid w:val="00607F81"/>
    <w:rsid w:val="00610FF3"/>
    <w:rsid w:val="00613326"/>
    <w:rsid w:val="006135D5"/>
    <w:rsid w:val="00621D95"/>
    <w:rsid w:val="006228AC"/>
    <w:rsid w:val="00623B6C"/>
    <w:rsid w:val="006245EB"/>
    <w:rsid w:val="00624775"/>
    <w:rsid w:val="00625D34"/>
    <w:rsid w:val="00626ACC"/>
    <w:rsid w:val="0063023D"/>
    <w:rsid w:val="00631340"/>
    <w:rsid w:val="0063474A"/>
    <w:rsid w:val="00634FF6"/>
    <w:rsid w:val="0063562F"/>
    <w:rsid w:val="00641167"/>
    <w:rsid w:val="00643877"/>
    <w:rsid w:val="006448DC"/>
    <w:rsid w:val="006455A7"/>
    <w:rsid w:val="006477B3"/>
    <w:rsid w:val="00651313"/>
    <w:rsid w:val="006522CD"/>
    <w:rsid w:val="006532A4"/>
    <w:rsid w:val="00655074"/>
    <w:rsid w:val="006562DB"/>
    <w:rsid w:val="00656E9A"/>
    <w:rsid w:val="006603A4"/>
    <w:rsid w:val="006612EC"/>
    <w:rsid w:val="00662342"/>
    <w:rsid w:val="006628BA"/>
    <w:rsid w:val="00663BE6"/>
    <w:rsid w:val="00663D3F"/>
    <w:rsid w:val="00665DB7"/>
    <w:rsid w:val="006668E1"/>
    <w:rsid w:val="006714B4"/>
    <w:rsid w:val="00672040"/>
    <w:rsid w:val="006726A1"/>
    <w:rsid w:val="00673867"/>
    <w:rsid w:val="00673B7C"/>
    <w:rsid w:val="00673D89"/>
    <w:rsid w:val="006755BB"/>
    <w:rsid w:val="0067626B"/>
    <w:rsid w:val="006770D4"/>
    <w:rsid w:val="00677454"/>
    <w:rsid w:val="00677931"/>
    <w:rsid w:val="00677E39"/>
    <w:rsid w:val="00680537"/>
    <w:rsid w:val="00681E07"/>
    <w:rsid w:val="006826AC"/>
    <w:rsid w:val="0068398A"/>
    <w:rsid w:val="00684603"/>
    <w:rsid w:val="00691D38"/>
    <w:rsid w:val="006927DF"/>
    <w:rsid w:val="006929D3"/>
    <w:rsid w:val="00693463"/>
    <w:rsid w:val="0069644F"/>
    <w:rsid w:val="006A131F"/>
    <w:rsid w:val="006A2101"/>
    <w:rsid w:val="006A22C4"/>
    <w:rsid w:val="006A389E"/>
    <w:rsid w:val="006A4170"/>
    <w:rsid w:val="006A43C1"/>
    <w:rsid w:val="006A49B5"/>
    <w:rsid w:val="006A5532"/>
    <w:rsid w:val="006A6171"/>
    <w:rsid w:val="006A7D84"/>
    <w:rsid w:val="006B156A"/>
    <w:rsid w:val="006B1DE4"/>
    <w:rsid w:val="006B2F06"/>
    <w:rsid w:val="006B358D"/>
    <w:rsid w:val="006B4C09"/>
    <w:rsid w:val="006B6576"/>
    <w:rsid w:val="006B73BD"/>
    <w:rsid w:val="006C0500"/>
    <w:rsid w:val="006C11B1"/>
    <w:rsid w:val="006C3017"/>
    <w:rsid w:val="006C480A"/>
    <w:rsid w:val="006C5EBD"/>
    <w:rsid w:val="006C7A23"/>
    <w:rsid w:val="006D2C95"/>
    <w:rsid w:val="006D321E"/>
    <w:rsid w:val="006D36B7"/>
    <w:rsid w:val="006D58E6"/>
    <w:rsid w:val="006D60DB"/>
    <w:rsid w:val="006E0CFE"/>
    <w:rsid w:val="006E2538"/>
    <w:rsid w:val="006E263B"/>
    <w:rsid w:val="006E3FEB"/>
    <w:rsid w:val="006E64B0"/>
    <w:rsid w:val="006E76CA"/>
    <w:rsid w:val="006F0CB9"/>
    <w:rsid w:val="006F2FBF"/>
    <w:rsid w:val="006F32D8"/>
    <w:rsid w:val="006F399A"/>
    <w:rsid w:val="006F415E"/>
    <w:rsid w:val="006F4ABC"/>
    <w:rsid w:val="006F4C4F"/>
    <w:rsid w:val="006F5350"/>
    <w:rsid w:val="006F556E"/>
    <w:rsid w:val="00701B9F"/>
    <w:rsid w:val="0070475A"/>
    <w:rsid w:val="00704984"/>
    <w:rsid w:val="00707357"/>
    <w:rsid w:val="0071108F"/>
    <w:rsid w:val="00711504"/>
    <w:rsid w:val="007119D5"/>
    <w:rsid w:val="007133A0"/>
    <w:rsid w:val="00713A46"/>
    <w:rsid w:val="007166E6"/>
    <w:rsid w:val="00716D91"/>
    <w:rsid w:val="007201D2"/>
    <w:rsid w:val="007205C1"/>
    <w:rsid w:val="00720F97"/>
    <w:rsid w:val="0072223C"/>
    <w:rsid w:val="00722576"/>
    <w:rsid w:val="007237B0"/>
    <w:rsid w:val="00725DD2"/>
    <w:rsid w:val="0072622B"/>
    <w:rsid w:val="00726285"/>
    <w:rsid w:val="007269DC"/>
    <w:rsid w:val="00726D43"/>
    <w:rsid w:val="007271AD"/>
    <w:rsid w:val="007277F0"/>
    <w:rsid w:val="00727C9E"/>
    <w:rsid w:val="00727DA2"/>
    <w:rsid w:val="0073053D"/>
    <w:rsid w:val="007315D6"/>
    <w:rsid w:val="0073171D"/>
    <w:rsid w:val="00731CD1"/>
    <w:rsid w:val="007325E5"/>
    <w:rsid w:val="00734756"/>
    <w:rsid w:val="0073604F"/>
    <w:rsid w:val="007436CB"/>
    <w:rsid w:val="00743B82"/>
    <w:rsid w:val="00744BBB"/>
    <w:rsid w:val="00744BE8"/>
    <w:rsid w:val="00744C79"/>
    <w:rsid w:val="007466DE"/>
    <w:rsid w:val="007507AA"/>
    <w:rsid w:val="00752F88"/>
    <w:rsid w:val="00753984"/>
    <w:rsid w:val="00757247"/>
    <w:rsid w:val="007578A4"/>
    <w:rsid w:val="007606BB"/>
    <w:rsid w:val="0076171B"/>
    <w:rsid w:val="00761CEB"/>
    <w:rsid w:val="00761D18"/>
    <w:rsid w:val="007624F1"/>
    <w:rsid w:val="00762F1B"/>
    <w:rsid w:val="00763332"/>
    <w:rsid w:val="00764BFE"/>
    <w:rsid w:val="00764C03"/>
    <w:rsid w:val="007660E0"/>
    <w:rsid w:val="0076630A"/>
    <w:rsid w:val="00766A5E"/>
    <w:rsid w:val="007679F6"/>
    <w:rsid w:val="007701DC"/>
    <w:rsid w:val="00770A02"/>
    <w:rsid w:val="0077119D"/>
    <w:rsid w:val="007725B3"/>
    <w:rsid w:val="00773769"/>
    <w:rsid w:val="007751B6"/>
    <w:rsid w:val="007755FF"/>
    <w:rsid w:val="00775D02"/>
    <w:rsid w:val="0077783B"/>
    <w:rsid w:val="00781CFB"/>
    <w:rsid w:val="00783B5B"/>
    <w:rsid w:val="00785854"/>
    <w:rsid w:val="00785D34"/>
    <w:rsid w:val="00786106"/>
    <w:rsid w:val="0078671C"/>
    <w:rsid w:val="0079004B"/>
    <w:rsid w:val="00790B12"/>
    <w:rsid w:val="0079196D"/>
    <w:rsid w:val="00792249"/>
    <w:rsid w:val="007922A5"/>
    <w:rsid w:val="00792F80"/>
    <w:rsid w:val="00794601"/>
    <w:rsid w:val="00795EF5"/>
    <w:rsid w:val="007962FB"/>
    <w:rsid w:val="0079680A"/>
    <w:rsid w:val="007A0847"/>
    <w:rsid w:val="007A3488"/>
    <w:rsid w:val="007A5A97"/>
    <w:rsid w:val="007A5B04"/>
    <w:rsid w:val="007A6595"/>
    <w:rsid w:val="007A7022"/>
    <w:rsid w:val="007B18DA"/>
    <w:rsid w:val="007B2F44"/>
    <w:rsid w:val="007C20CE"/>
    <w:rsid w:val="007C5894"/>
    <w:rsid w:val="007C7825"/>
    <w:rsid w:val="007C7D21"/>
    <w:rsid w:val="007C7F0E"/>
    <w:rsid w:val="007D01D9"/>
    <w:rsid w:val="007D078D"/>
    <w:rsid w:val="007D10BC"/>
    <w:rsid w:val="007D144C"/>
    <w:rsid w:val="007D173C"/>
    <w:rsid w:val="007D67D0"/>
    <w:rsid w:val="007D6C2E"/>
    <w:rsid w:val="007E013F"/>
    <w:rsid w:val="007E05D8"/>
    <w:rsid w:val="007E076F"/>
    <w:rsid w:val="007E3541"/>
    <w:rsid w:val="007E3A3C"/>
    <w:rsid w:val="007E4C70"/>
    <w:rsid w:val="007F0253"/>
    <w:rsid w:val="007F23BE"/>
    <w:rsid w:val="007F35A0"/>
    <w:rsid w:val="007F39D1"/>
    <w:rsid w:val="007F4483"/>
    <w:rsid w:val="007F4A44"/>
    <w:rsid w:val="00803490"/>
    <w:rsid w:val="00803613"/>
    <w:rsid w:val="008044FF"/>
    <w:rsid w:val="00804AEE"/>
    <w:rsid w:val="00805071"/>
    <w:rsid w:val="00805A41"/>
    <w:rsid w:val="008101AD"/>
    <w:rsid w:val="00814B46"/>
    <w:rsid w:val="0081631E"/>
    <w:rsid w:val="00817AFC"/>
    <w:rsid w:val="00817DCF"/>
    <w:rsid w:val="00820282"/>
    <w:rsid w:val="008205D6"/>
    <w:rsid w:val="00820665"/>
    <w:rsid w:val="00820E8C"/>
    <w:rsid w:val="00821549"/>
    <w:rsid w:val="00822C9A"/>
    <w:rsid w:val="00824955"/>
    <w:rsid w:val="00824A88"/>
    <w:rsid w:val="00826EDE"/>
    <w:rsid w:val="00827AE6"/>
    <w:rsid w:val="008303DE"/>
    <w:rsid w:val="008318A5"/>
    <w:rsid w:val="00833C70"/>
    <w:rsid w:val="0083441D"/>
    <w:rsid w:val="00834729"/>
    <w:rsid w:val="00834745"/>
    <w:rsid w:val="00834CBE"/>
    <w:rsid w:val="0083779F"/>
    <w:rsid w:val="0084162F"/>
    <w:rsid w:val="0084212E"/>
    <w:rsid w:val="00843683"/>
    <w:rsid w:val="008437D0"/>
    <w:rsid w:val="00843F1C"/>
    <w:rsid w:val="0084635C"/>
    <w:rsid w:val="00847538"/>
    <w:rsid w:val="00847F28"/>
    <w:rsid w:val="00847F36"/>
    <w:rsid w:val="008509CD"/>
    <w:rsid w:val="008514F4"/>
    <w:rsid w:val="0085280B"/>
    <w:rsid w:val="00856859"/>
    <w:rsid w:val="00860D64"/>
    <w:rsid w:val="00861B0E"/>
    <w:rsid w:val="00862671"/>
    <w:rsid w:val="0086283F"/>
    <w:rsid w:val="00862963"/>
    <w:rsid w:val="00862A2B"/>
    <w:rsid w:val="0086651C"/>
    <w:rsid w:val="00866884"/>
    <w:rsid w:val="00867C38"/>
    <w:rsid w:val="008703C6"/>
    <w:rsid w:val="00871D24"/>
    <w:rsid w:val="00873779"/>
    <w:rsid w:val="00874AA5"/>
    <w:rsid w:val="008765F7"/>
    <w:rsid w:val="00876E47"/>
    <w:rsid w:val="00881574"/>
    <w:rsid w:val="00881798"/>
    <w:rsid w:val="00881DC2"/>
    <w:rsid w:val="00883D78"/>
    <w:rsid w:val="0088455D"/>
    <w:rsid w:val="00886353"/>
    <w:rsid w:val="00886EEE"/>
    <w:rsid w:val="008873CC"/>
    <w:rsid w:val="008877C2"/>
    <w:rsid w:val="00890A40"/>
    <w:rsid w:val="00890B2C"/>
    <w:rsid w:val="00892745"/>
    <w:rsid w:val="00894528"/>
    <w:rsid w:val="00895121"/>
    <w:rsid w:val="008954B2"/>
    <w:rsid w:val="00895DBE"/>
    <w:rsid w:val="00896295"/>
    <w:rsid w:val="00897F4E"/>
    <w:rsid w:val="008A0845"/>
    <w:rsid w:val="008A0CC2"/>
    <w:rsid w:val="008A1E9A"/>
    <w:rsid w:val="008A410E"/>
    <w:rsid w:val="008A62A7"/>
    <w:rsid w:val="008B0C4C"/>
    <w:rsid w:val="008B18C1"/>
    <w:rsid w:val="008B222C"/>
    <w:rsid w:val="008B2D50"/>
    <w:rsid w:val="008B3B60"/>
    <w:rsid w:val="008B3D87"/>
    <w:rsid w:val="008B4762"/>
    <w:rsid w:val="008B51F6"/>
    <w:rsid w:val="008C053B"/>
    <w:rsid w:val="008C2C2A"/>
    <w:rsid w:val="008C30A5"/>
    <w:rsid w:val="008C3210"/>
    <w:rsid w:val="008C4930"/>
    <w:rsid w:val="008C63B9"/>
    <w:rsid w:val="008C669C"/>
    <w:rsid w:val="008C7BA6"/>
    <w:rsid w:val="008D3641"/>
    <w:rsid w:val="008D46A8"/>
    <w:rsid w:val="008D4AA0"/>
    <w:rsid w:val="008D50C4"/>
    <w:rsid w:val="008E03B6"/>
    <w:rsid w:val="008E0425"/>
    <w:rsid w:val="008E5BB3"/>
    <w:rsid w:val="008E7DC2"/>
    <w:rsid w:val="008F0759"/>
    <w:rsid w:val="008F324B"/>
    <w:rsid w:val="008F3535"/>
    <w:rsid w:val="008F5941"/>
    <w:rsid w:val="008F59D2"/>
    <w:rsid w:val="008F5C37"/>
    <w:rsid w:val="008F74FB"/>
    <w:rsid w:val="008F78DE"/>
    <w:rsid w:val="0090069E"/>
    <w:rsid w:val="00902B69"/>
    <w:rsid w:val="00904339"/>
    <w:rsid w:val="009045D2"/>
    <w:rsid w:val="009048AD"/>
    <w:rsid w:val="009076FB"/>
    <w:rsid w:val="00907A2D"/>
    <w:rsid w:val="00911C1F"/>
    <w:rsid w:val="00913988"/>
    <w:rsid w:val="00913D9D"/>
    <w:rsid w:val="009150F9"/>
    <w:rsid w:val="00917068"/>
    <w:rsid w:val="00917BA4"/>
    <w:rsid w:val="00917BB2"/>
    <w:rsid w:val="00920E6F"/>
    <w:rsid w:val="009214D9"/>
    <w:rsid w:val="009245CD"/>
    <w:rsid w:val="00924654"/>
    <w:rsid w:val="009251EE"/>
    <w:rsid w:val="00930582"/>
    <w:rsid w:val="00931863"/>
    <w:rsid w:val="00931CA8"/>
    <w:rsid w:val="0093228D"/>
    <w:rsid w:val="00934231"/>
    <w:rsid w:val="009343C1"/>
    <w:rsid w:val="0093449D"/>
    <w:rsid w:val="00936C2C"/>
    <w:rsid w:val="00937284"/>
    <w:rsid w:val="00940C93"/>
    <w:rsid w:val="00941E48"/>
    <w:rsid w:val="009429D5"/>
    <w:rsid w:val="009441B6"/>
    <w:rsid w:val="00944D98"/>
    <w:rsid w:val="00945FCB"/>
    <w:rsid w:val="00946964"/>
    <w:rsid w:val="00952585"/>
    <w:rsid w:val="009540AB"/>
    <w:rsid w:val="00954693"/>
    <w:rsid w:val="00957048"/>
    <w:rsid w:val="00960F6B"/>
    <w:rsid w:val="00961E46"/>
    <w:rsid w:val="00961F0E"/>
    <w:rsid w:val="00964DA6"/>
    <w:rsid w:val="009719BA"/>
    <w:rsid w:val="00973D70"/>
    <w:rsid w:val="009755EF"/>
    <w:rsid w:val="00975908"/>
    <w:rsid w:val="00977BD7"/>
    <w:rsid w:val="009805AC"/>
    <w:rsid w:val="00980DF8"/>
    <w:rsid w:val="009820CB"/>
    <w:rsid w:val="00983901"/>
    <w:rsid w:val="00986121"/>
    <w:rsid w:val="00987C22"/>
    <w:rsid w:val="00991461"/>
    <w:rsid w:val="00993AC1"/>
    <w:rsid w:val="009943B2"/>
    <w:rsid w:val="00994ED2"/>
    <w:rsid w:val="00996405"/>
    <w:rsid w:val="00997C3C"/>
    <w:rsid w:val="009A075A"/>
    <w:rsid w:val="009A3403"/>
    <w:rsid w:val="009A3811"/>
    <w:rsid w:val="009A4521"/>
    <w:rsid w:val="009A6EEF"/>
    <w:rsid w:val="009B047A"/>
    <w:rsid w:val="009B0677"/>
    <w:rsid w:val="009B1180"/>
    <w:rsid w:val="009B34DB"/>
    <w:rsid w:val="009B5248"/>
    <w:rsid w:val="009C26EA"/>
    <w:rsid w:val="009C3EF7"/>
    <w:rsid w:val="009C4C23"/>
    <w:rsid w:val="009D007F"/>
    <w:rsid w:val="009D16BA"/>
    <w:rsid w:val="009D42EE"/>
    <w:rsid w:val="009D56DD"/>
    <w:rsid w:val="009D5F1C"/>
    <w:rsid w:val="009D750C"/>
    <w:rsid w:val="009E00B0"/>
    <w:rsid w:val="009E16C6"/>
    <w:rsid w:val="009E1F84"/>
    <w:rsid w:val="009E3ED6"/>
    <w:rsid w:val="009E3EE0"/>
    <w:rsid w:val="009E59E4"/>
    <w:rsid w:val="009E5A80"/>
    <w:rsid w:val="009E6027"/>
    <w:rsid w:val="009E6927"/>
    <w:rsid w:val="009E71BE"/>
    <w:rsid w:val="009F030A"/>
    <w:rsid w:val="009F0C3F"/>
    <w:rsid w:val="009F0E1A"/>
    <w:rsid w:val="009F22A6"/>
    <w:rsid w:val="009F3544"/>
    <w:rsid w:val="009F4A52"/>
    <w:rsid w:val="009F5BB6"/>
    <w:rsid w:val="00A00A2C"/>
    <w:rsid w:val="00A01AC2"/>
    <w:rsid w:val="00A02249"/>
    <w:rsid w:val="00A03313"/>
    <w:rsid w:val="00A0427B"/>
    <w:rsid w:val="00A04EF4"/>
    <w:rsid w:val="00A04EFB"/>
    <w:rsid w:val="00A064A7"/>
    <w:rsid w:val="00A067CC"/>
    <w:rsid w:val="00A06847"/>
    <w:rsid w:val="00A06944"/>
    <w:rsid w:val="00A107C0"/>
    <w:rsid w:val="00A148E8"/>
    <w:rsid w:val="00A14CFC"/>
    <w:rsid w:val="00A1555B"/>
    <w:rsid w:val="00A1572B"/>
    <w:rsid w:val="00A166EE"/>
    <w:rsid w:val="00A17D13"/>
    <w:rsid w:val="00A202AB"/>
    <w:rsid w:val="00A208A7"/>
    <w:rsid w:val="00A251BF"/>
    <w:rsid w:val="00A27157"/>
    <w:rsid w:val="00A278E1"/>
    <w:rsid w:val="00A27AA4"/>
    <w:rsid w:val="00A355B6"/>
    <w:rsid w:val="00A35D18"/>
    <w:rsid w:val="00A36DA6"/>
    <w:rsid w:val="00A424FD"/>
    <w:rsid w:val="00A42E72"/>
    <w:rsid w:val="00A43A29"/>
    <w:rsid w:val="00A46240"/>
    <w:rsid w:val="00A47C7B"/>
    <w:rsid w:val="00A52B65"/>
    <w:rsid w:val="00A539B3"/>
    <w:rsid w:val="00A541FE"/>
    <w:rsid w:val="00A55FBA"/>
    <w:rsid w:val="00A560D8"/>
    <w:rsid w:val="00A566CB"/>
    <w:rsid w:val="00A57BA6"/>
    <w:rsid w:val="00A60AB2"/>
    <w:rsid w:val="00A616FA"/>
    <w:rsid w:val="00A64316"/>
    <w:rsid w:val="00A64F1A"/>
    <w:rsid w:val="00A6573F"/>
    <w:rsid w:val="00A665BF"/>
    <w:rsid w:val="00A67350"/>
    <w:rsid w:val="00A674D2"/>
    <w:rsid w:val="00A70649"/>
    <w:rsid w:val="00A71C78"/>
    <w:rsid w:val="00A72003"/>
    <w:rsid w:val="00A72C5F"/>
    <w:rsid w:val="00A7301B"/>
    <w:rsid w:val="00A73B30"/>
    <w:rsid w:val="00A73B3A"/>
    <w:rsid w:val="00A73B65"/>
    <w:rsid w:val="00A74116"/>
    <w:rsid w:val="00A7449F"/>
    <w:rsid w:val="00A7535A"/>
    <w:rsid w:val="00A7562C"/>
    <w:rsid w:val="00A75929"/>
    <w:rsid w:val="00A767DD"/>
    <w:rsid w:val="00A83711"/>
    <w:rsid w:val="00A84311"/>
    <w:rsid w:val="00A85FD9"/>
    <w:rsid w:val="00A865BE"/>
    <w:rsid w:val="00A867D7"/>
    <w:rsid w:val="00A87135"/>
    <w:rsid w:val="00A87956"/>
    <w:rsid w:val="00A9000F"/>
    <w:rsid w:val="00A92C36"/>
    <w:rsid w:val="00A93415"/>
    <w:rsid w:val="00A938EA"/>
    <w:rsid w:val="00A93985"/>
    <w:rsid w:val="00A94429"/>
    <w:rsid w:val="00A947AD"/>
    <w:rsid w:val="00A961EA"/>
    <w:rsid w:val="00A96356"/>
    <w:rsid w:val="00A96FB6"/>
    <w:rsid w:val="00A97466"/>
    <w:rsid w:val="00A97A43"/>
    <w:rsid w:val="00A97B17"/>
    <w:rsid w:val="00AA082E"/>
    <w:rsid w:val="00AA1AF8"/>
    <w:rsid w:val="00AA2BD0"/>
    <w:rsid w:val="00AA3C3F"/>
    <w:rsid w:val="00AA3E4E"/>
    <w:rsid w:val="00AA47AC"/>
    <w:rsid w:val="00AA5FDB"/>
    <w:rsid w:val="00AA6F00"/>
    <w:rsid w:val="00AB13A1"/>
    <w:rsid w:val="00AB351A"/>
    <w:rsid w:val="00AB3E13"/>
    <w:rsid w:val="00AB443F"/>
    <w:rsid w:val="00AB650E"/>
    <w:rsid w:val="00AB766A"/>
    <w:rsid w:val="00AB781C"/>
    <w:rsid w:val="00AC1C1E"/>
    <w:rsid w:val="00AC37F9"/>
    <w:rsid w:val="00AC7C46"/>
    <w:rsid w:val="00AC7FF0"/>
    <w:rsid w:val="00AD0D21"/>
    <w:rsid w:val="00AD11A7"/>
    <w:rsid w:val="00AD31E8"/>
    <w:rsid w:val="00AD52D0"/>
    <w:rsid w:val="00AD7E6F"/>
    <w:rsid w:val="00AE0A27"/>
    <w:rsid w:val="00AE14EF"/>
    <w:rsid w:val="00AE41F0"/>
    <w:rsid w:val="00AE49D6"/>
    <w:rsid w:val="00AE5C8A"/>
    <w:rsid w:val="00AE72F1"/>
    <w:rsid w:val="00AF0FD9"/>
    <w:rsid w:val="00AF26B4"/>
    <w:rsid w:val="00AF5571"/>
    <w:rsid w:val="00AF7A64"/>
    <w:rsid w:val="00B00BC6"/>
    <w:rsid w:val="00B00BE0"/>
    <w:rsid w:val="00B0181B"/>
    <w:rsid w:val="00B037A1"/>
    <w:rsid w:val="00B04E81"/>
    <w:rsid w:val="00B04F66"/>
    <w:rsid w:val="00B056DF"/>
    <w:rsid w:val="00B06F7F"/>
    <w:rsid w:val="00B11081"/>
    <w:rsid w:val="00B128E9"/>
    <w:rsid w:val="00B12F11"/>
    <w:rsid w:val="00B13063"/>
    <w:rsid w:val="00B13ACF"/>
    <w:rsid w:val="00B140FD"/>
    <w:rsid w:val="00B1433B"/>
    <w:rsid w:val="00B14572"/>
    <w:rsid w:val="00B14F25"/>
    <w:rsid w:val="00B174B7"/>
    <w:rsid w:val="00B1767A"/>
    <w:rsid w:val="00B17AF0"/>
    <w:rsid w:val="00B22FBB"/>
    <w:rsid w:val="00B231AA"/>
    <w:rsid w:val="00B23AE8"/>
    <w:rsid w:val="00B242D1"/>
    <w:rsid w:val="00B245BE"/>
    <w:rsid w:val="00B25DD2"/>
    <w:rsid w:val="00B261B7"/>
    <w:rsid w:val="00B273F9"/>
    <w:rsid w:val="00B276C0"/>
    <w:rsid w:val="00B310F7"/>
    <w:rsid w:val="00B32286"/>
    <w:rsid w:val="00B34301"/>
    <w:rsid w:val="00B3516F"/>
    <w:rsid w:val="00B37961"/>
    <w:rsid w:val="00B37A03"/>
    <w:rsid w:val="00B426D5"/>
    <w:rsid w:val="00B44D7F"/>
    <w:rsid w:val="00B44E0A"/>
    <w:rsid w:val="00B45008"/>
    <w:rsid w:val="00B46EAD"/>
    <w:rsid w:val="00B4730F"/>
    <w:rsid w:val="00B50ABE"/>
    <w:rsid w:val="00B50B44"/>
    <w:rsid w:val="00B519A7"/>
    <w:rsid w:val="00B53453"/>
    <w:rsid w:val="00B537C1"/>
    <w:rsid w:val="00B54253"/>
    <w:rsid w:val="00B5640A"/>
    <w:rsid w:val="00B60469"/>
    <w:rsid w:val="00B629AC"/>
    <w:rsid w:val="00B62F26"/>
    <w:rsid w:val="00B63BB0"/>
    <w:rsid w:val="00B65303"/>
    <w:rsid w:val="00B65826"/>
    <w:rsid w:val="00B70768"/>
    <w:rsid w:val="00B73673"/>
    <w:rsid w:val="00B73C14"/>
    <w:rsid w:val="00B742A4"/>
    <w:rsid w:val="00B74833"/>
    <w:rsid w:val="00B749EC"/>
    <w:rsid w:val="00B74D1F"/>
    <w:rsid w:val="00B75720"/>
    <w:rsid w:val="00B80256"/>
    <w:rsid w:val="00B84642"/>
    <w:rsid w:val="00B84EC0"/>
    <w:rsid w:val="00B86014"/>
    <w:rsid w:val="00B86D5F"/>
    <w:rsid w:val="00B876F9"/>
    <w:rsid w:val="00B87DC5"/>
    <w:rsid w:val="00B90960"/>
    <w:rsid w:val="00B90CED"/>
    <w:rsid w:val="00B93D2D"/>
    <w:rsid w:val="00B954E8"/>
    <w:rsid w:val="00B95A19"/>
    <w:rsid w:val="00B96502"/>
    <w:rsid w:val="00B9656E"/>
    <w:rsid w:val="00B9766D"/>
    <w:rsid w:val="00B97BBE"/>
    <w:rsid w:val="00BB02B4"/>
    <w:rsid w:val="00BB1F44"/>
    <w:rsid w:val="00BB2E1B"/>
    <w:rsid w:val="00BB55A4"/>
    <w:rsid w:val="00BB7600"/>
    <w:rsid w:val="00BB7E93"/>
    <w:rsid w:val="00BB7EC8"/>
    <w:rsid w:val="00BC000A"/>
    <w:rsid w:val="00BC14C8"/>
    <w:rsid w:val="00BC1AE7"/>
    <w:rsid w:val="00BC313A"/>
    <w:rsid w:val="00BC4716"/>
    <w:rsid w:val="00BC476E"/>
    <w:rsid w:val="00BC5E8A"/>
    <w:rsid w:val="00BC75D7"/>
    <w:rsid w:val="00BC78F3"/>
    <w:rsid w:val="00BC7A99"/>
    <w:rsid w:val="00BD0EC9"/>
    <w:rsid w:val="00BD117D"/>
    <w:rsid w:val="00BD1861"/>
    <w:rsid w:val="00BD2482"/>
    <w:rsid w:val="00BD2DC9"/>
    <w:rsid w:val="00BD383F"/>
    <w:rsid w:val="00BD3C9B"/>
    <w:rsid w:val="00BD5023"/>
    <w:rsid w:val="00BD5DF5"/>
    <w:rsid w:val="00BD7532"/>
    <w:rsid w:val="00BD7626"/>
    <w:rsid w:val="00BD7DE8"/>
    <w:rsid w:val="00BD7F82"/>
    <w:rsid w:val="00BE05D2"/>
    <w:rsid w:val="00BE162E"/>
    <w:rsid w:val="00BE3988"/>
    <w:rsid w:val="00BE50B1"/>
    <w:rsid w:val="00BE54D8"/>
    <w:rsid w:val="00BE598F"/>
    <w:rsid w:val="00BE66F2"/>
    <w:rsid w:val="00BE682D"/>
    <w:rsid w:val="00BE7C3B"/>
    <w:rsid w:val="00BF0D7A"/>
    <w:rsid w:val="00BF278B"/>
    <w:rsid w:val="00BF3935"/>
    <w:rsid w:val="00BF3F51"/>
    <w:rsid w:val="00BF3F7E"/>
    <w:rsid w:val="00BF4B2B"/>
    <w:rsid w:val="00BF706B"/>
    <w:rsid w:val="00BF7675"/>
    <w:rsid w:val="00C00257"/>
    <w:rsid w:val="00C01319"/>
    <w:rsid w:val="00C018A3"/>
    <w:rsid w:val="00C01CAF"/>
    <w:rsid w:val="00C0304A"/>
    <w:rsid w:val="00C03501"/>
    <w:rsid w:val="00C03C45"/>
    <w:rsid w:val="00C066EF"/>
    <w:rsid w:val="00C11499"/>
    <w:rsid w:val="00C128DE"/>
    <w:rsid w:val="00C134B0"/>
    <w:rsid w:val="00C1528F"/>
    <w:rsid w:val="00C15CD4"/>
    <w:rsid w:val="00C16019"/>
    <w:rsid w:val="00C16859"/>
    <w:rsid w:val="00C170C5"/>
    <w:rsid w:val="00C203D5"/>
    <w:rsid w:val="00C20553"/>
    <w:rsid w:val="00C206B0"/>
    <w:rsid w:val="00C247AF"/>
    <w:rsid w:val="00C25FB6"/>
    <w:rsid w:val="00C275CD"/>
    <w:rsid w:val="00C27BB6"/>
    <w:rsid w:val="00C3367A"/>
    <w:rsid w:val="00C33A78"/>
    <w:rsid w:val="00C33DF8"/>
    <w:rsid w:val="00C347D7"/>
    <w:rsid w:val="00C34F91"/>
    <w:rsid w:val="00C37DCA"/>
    <w:rsid w:val="00C40649"/>
    <w:rsid w:val="00C40D8D"/>
    <w:rsid w:val="00C412C6"/>
    <w:rsid w:val="00C437B2"/>
    <w:rsid w:val="00C4480A"/>
    <w:rsid w:val="00C45063"/>
    <w:rsid w:val="00C45241"/>
    <w:rsid w:val="00C45A4F"/>
    <w:rsid w:val="00C516E4"/>
    <w:rsid w:val="00C52109"/>
    <w:rsid w:val="00C52194"/>
    <w:rsid w:val="00C52AB4"/>
    <w:rsid w:val="00C5314E"/>
    <w:rsid w:val="00C5374C"/>
    <w:rsid w:val="00C541DA"/>
    <w:rsid w:val="00C54BDB"/>
    <w:rsid w:val="00C55483"/>
    <w:rsid w:val="00C571F8"/>
    <w:rsid w:val="00C57255"/>
    <w:rsid w:val="00C57613"/>
    <w:rsid w:val="00C61B81"/>
    <w:rsid w:val="00C64D37"/>
    <w:rsid w:val="00C70729"/>
    <w:rsid w:val="00C70EB2"/>
    <w:rsid w:val="00C71098"/>
    <w:rsid w:val="00C71D09"/>
    <w:rsid w:val="00C72EC6"/>
    <w:rsid w:val="00C72F27"/>
    <w:rsid w:val="00C758CA"/>
    <w:rsid w:val="00C76509"/>
    <w:rsid w:val="00C7669D"/>
    <w:rsid w:val="00C7680D"/>
    <w:rsid w:val="00C77EC2"/>
    <w:rsid w:val="00C8303B"/>
    <w:rsid w:val="00C8778E"/>
    <w:rsid w:val="00C87FAE"/>
    <w:rsid w:val="00C901F3"/>
    <w:rsid w:val="00C90CF0"/>
    <w:rsid w:val="00C92CD1"/>
    <w:rsid w:val="00C93A78"/>
    <w:rsid w:val="00C94C27"/>
    <w:rsid w:val="00C94E5B"/>
    <w:rsid w:val="00C97256"/>
    <w:rsid w:val="00C97531"/>
    <w:rsid w:val="00C97BD5"/>
    <w:rsid w:val="00CA01A0"/>
    <w:rsid w:val="00CA126F"/>
    <w:rsid w:val="00CA2C01"/>
    <w:rsid w:val="00CB0209"/>
    <w:rsid w:val="00CB0667"/>
    <w:rsid w:val="00CB410D"/>
    <w:rsid w:val="00CB46AF"/>
    <w:rsid w:val="00CB57EF"/>
    <w:rsid w:val="00CC0AFB"/>
    <w:rsid w:val="00CC1A9E"/>
    <w:rsid w:val="00CC1D05"/>
    <w:rsid w:val="00CC1D6E"/>
    <w:rsid w:val="00CC31CF"/>
    <w:rsid w:val="00CC5312"/>
    <w:rsid w:val="00CD4AF9"/>
    <w:rsid w:val="00CD6CE3"/>
    <w:rsid w:val="00CE1E13"/>
    <w:rsid w:val="00CE2FCB"/>
    <w:rsid w:val="00CE5FD6"/>
    <w:rsid w:val="00CE75B5"/>
    <w:rsid w:val="00CF00D6"/>
    <w:rsid w:val="00CF027C"/>
    <w:rsid w:val="00CF08B1"/>
    <w:rsid w:val="00CF0B16"/>
    <w:rsid w:val="00CF2BB2"/>
    <w:rsid w:val="00CF3BFC"/>
    <w:rsid w:val="00CF61DE"/>
    <w:rsid w:val="00D0055A"/>
    <w:rsid w:val="00D01793"/>
    <w:rsid w:val="00D03BC0"/>
    <w:rsid w:val="00D03C4E"/>
    <w:rsid w:val="00D04D77"/>
    <w:rsid w:val="00D050D1"/>
    <w:rsid w:val="00D056B5"/>
    <w:rsid w:val="00D071C5"/>
    <w:rsid w:val="00D07293"/>
    <w:rsid w:val="00D07BBF"/>
    <w:rsid w:val="00D12DE0"/>
    <w:rsid w:val="00D1305E"/>
    <w:rsid w:val="00D13A2E"/>
    <w:rsid w:val="00D143D9"/>
    <w:rsid w:val="00D1450E"/>
    <w:rsid w:val="00D174CD"/>
    <w:rsid w:val="00D178E5"/>
    <w:rsid w:val="00D20D08"/>
    <w:rsid w:val="00D22143"/>
    <w:rsid w:val="00D23847"/>
    <w:rsid w:val="00D2552F"/>
    <w:rsid w:val="00D25962"/>
    <w:rsid w:val="00D26536"/>
    <w:rsid w:val="00D26C60"/>
    <w:rsid w:val="00D27947"/>
    <w:rsid w:val="00D32587"/>
    <w:rsid w:val="00D32894"/>
    <w:rsid w:val="00D33386"/>
    <w:rsid w:val="00D35E7F"/>
    <w:rsid w:val="00D36167"/>
    <w:rsid w:val="00D37D84"/>
    <w:rsid w:val="00D40F27"/>
    <w:rsid w:val="00D41A35"/>
    <w:rsid w:val="00D44693"/>
    <w:rsid w:val="00D451BF"/>
    <w:rsid w:val="00D5122B"/>
    <w:rsid w:val="00D52A2C"/>
    <w:rsid w:val="00D5395F"/>
    <w:rsid w:val="00D55BD4"/>
    <w:rsid w:val="00D57C7E"/>
    <w:rsid w:val="00D606FF"/>
    <w:rsid w:val="00D61BE0"/>
    <w:rsid w:val="00D624A0"/>
    <w:rsid w:val="00D6677B"/>
    <w:rsid w:val="00D66ECF"/>
    <w:rsid w:val="00D67BCB"/>
    <w:rsid w:val="00D70AE0"/>
    <w:rsid w:val="00D71230"/>
    <w:rsid w:val="00D7123C"/>
    <w:rsid w:val="00D73220"/>
    <w:rsid w:val="00D752D6"/>
    <w:rsid w:val="00D75BD8"/>
    <w:rsid w:val="00D761BE"/>
    <w:rsid w:val="00D76E3F"/>
    <w:rsid w:val="00D80727"/>
    <w:rsid w:val="00D815EC"/>
    <w:rsid w:val="00D81CE0"/>
    <w:rsid w:val="00D8246F"/>
    <w:rsid w:val="00D8388D"/>
    <w:rsid w:val="00D86C48"/>
    <w:rsid w:val="00D92095"/>
    <w:rsid w:val="00D95BEA"/>
    <w:rsid w:val="00D96FE1"/>
    <w:rsid w:val="00DA1368"/>
    <w:rsid w:val="00DA209B"/>
    <w:rsid w:val="00DA22C8"/>
    <w:rsid w:val="00DA2D3C"/>
    <w:rsid w:val="00DA4695"/>
    <w:rsid w:val="00DA4E2A"/>
    <w:rsid w:val="00DA603E"/>
    <w:rsid w:val="00DB126F"/>
    <w:rsid w:val="00DB21B8"/>
    <w:rsid w:val="00DB28DB"/>
    <w:rsid w:val="00DB2DCA"/>
    <w:rsid w:val="00DB34EE"/>
    <w:rsid w:val="00DB4A73"/>
    <w:rsid w:val="00DB4CE1"/>
    <w:rsid w:val="00DB5CE8"/>
    <w:rsid w:val="00DB7111"/>
    <w:rsid w:val="00DB7925"/>
    <w:rsid w:val="00DB7ED1"/>
    <w:rsid w:val="00DB7F88"/>
    <w:rsid w:val="00DC0296"/>
    <w:rsid w:val="00DC14C7"/>
    <w:rsid w:val="00DC237F"/>
    <w:rsid w:val="00DC4ADF"/>
    <w:rsid w:val="00DC4B8F"/>
    <w:rsid w:val="00DC717E"/>
    <w:rsid w:val="00DC738B"/>
    <w:rsid w:val="00DC7772"/>
    <w:rsid w:val="00DD0E9A"/>
    <w:rsid w:val="00DD11E4"/>
    <w:rsid w:val="00DD17DA"/>
    <w:rsid w:val="00DD2769"/>
    <w:rsid w:val="00DD36EB"/>
    <w:rsid w:val="00DD400C"/>
    <w:rsid w:val="00DD45C1"/>
    <w:rsid w:val="00DD460E"/>
    <w:rsid w:val="00DD5B2C"/>
    <w:rsid w:val="00DE0686"/>
    <w:rsid w:val="00DE0877"/>
    <w:rsid w:val="00DE0CA3"/>
    <w:rsid w:val="00DE2EB8"/>
    <w:rsid w:val="00DE306D"/>
    <w:rsid w:val="00DE384C"/>
    <w:rsid w:val="00DE40BE"/>
    <w:rsid w:val="00DE4311"/>
    <w:rsid w:val="00DE57EA"/>
    <w:rsid w:val="00DE6439"/>
    <w:rsid w:val="00DE74EF"/>
    <w:rsid w:val="00DF3D04"/>
    <w:rsid w:val="00DF56DB"/>
    <w:rsid w:val="00DF6C65"/>
    <w:rsid w:val="00E02157"/>
    <w:rsid w:val="00E02C57"/>
    <w:rsid w:val="00E02F4B"/>
    <w:rsid w:val="00E0498B"/>
    <w:rsid w:val="00E0677C"/>
    <w:rsid w:val="00E07F9F"/>
    <w:rsid w:val="00E165BD"/>
    <w:rsid w:val="00E167C6"/>
    <w:rsid w:val="00E169C3"/>
    <w:rsid w:val="00E16C36"/>
    <w:rsid w:val="00E16E0D"/>
    <w:rsid w:val="00E170F7"/>
    <w:rsid w:val="00E23E83"/>
    <w:rsid w:val="00E23F91"/>
    <w:rsid w:val="00E25FEE"/>
    <w:rsid w:val="00E2664C"/>
    <w:rsid w:val="00E279AE"/>
    <w:rsid w:val="00E30278"/>
    <w:rsid w:val="00E30D31"/>
    <w:rsid w:val="00E3112D"/>
    <w:rsid w:val="00E31D73"/>
    <w:rsid w:val="00E32175"/>
    <w:rsid w:val="00E347AD"/>
    <w:rsid w:val="00E356BD"/>
    <w:rsid w:val="00E36525"/>
    <w:rsid w:val="00E40F0D"/>
    <w:rsid w:val="00E42280"/>
    <w:rsid w:val="00E43733"/>
    <w:rsid w:val="00E43DB1"/>
    <w:rsid w:val="00E44E90"/>
    <w:rsid w:val="00E4610B"/>
    <w:rsid w:val="00E469CD"/>
    <w:rsid w:val="00E46C76"/>
    <w:rsid w:val="00E471D0"/>
    <w:rsid w:val="00E513B3"/>
    <w:rsid w:val="00E5250C"/>
    <w:rsid w:val="00E52B5D"/>
    <w:rsid w:val="00E52E93"/>
    <w:rsid w:val="00E52ED6"/>
    <w:rsid w:val="00E549FD"/>
    <w:rsid w:val="00E56684"/>
    <w:rsid w:val="00E574A4"/>
    <w:rsid w:val="00E604CC"/>
    <w:rsid w:val="00E60D80"/>
    <w:rsid w:val="00E626E6"/>
    <w:rsid w:val="00E62BBA"/>
    <w:rsid w:val="00E62E42"/>
    <w:rsid w:val="00E635C2"/>
    <w:rsid w:val="00E64F33"/>
    <w:rsid w:val="00E64F81"/>
    <w:rsid w:val="00E65AB9"/>
    <w:rsid w:val="00E672CA"/>
    <w:rsid w:val="00E70219"/>
    <w:rsid w:val="00E729C7"/>
    <w:rsid w:val="00E73614"/>
    <w:rsid w:val="00E76002"/>
    <w:rsid w:val="00E7635B"/>
    <w:rsid w:val="00E77611"/>
    <w:rsid w:val="00E77C6E"/>
    <w:rsid w:val="00E8016A"/>
    <w:rsid w:val="00E804E6"/>
    <w:rsid w:val="00E82C11"/>
    <w:rsid w:val="00E84D23"/>
    <w:rsid w:val="00E8725A"/>
    <w:rsid w:val="00E87399"/>
    <w:rsid w:val="00E87DD3"/>
    <w:rsid w:val="00E91C09"/>
    <w:rsid w:val="00E950E7"/>
    <w:rsid w:val="00E967D9"/>
    <w:rsid w:val="00E9692D"/>
    <w:rsid w:val="00E96D39"/>
    <w:rsid w:val="00EA478C"/>
    <w:rsid w:val="00EA5A71"/>
    <w:rsid w:val="00EA69E3"/>
    <w:rsid w:val="00EA7D50"/>
    <w:rsid w:val="00EB07E2"/>
    <w:rsid w:val="00EB1327"/>
    <w:rsid w:val="00EB1BF1"/>
    <w:rsid w:val="00EB2990"/>
    <w:rsid w:val="00EB41B0"/>
    <w:rsid w:val="00EB45CF"/>
    <w:rsid w:val="00EB65FB"/>
    <w:rsid w:val="00EB792F"/>
    <w:rsid w:val="00EC1C12"/>
    <w:rsid w:val="00EC1DDE"/>
    <w:rsid w:val="00EC1F69"/>
    <w:rsid w:val="00EC2054"/>
    <w:rsid w:val="00EC28F6"/>
    <w:rsid w:val="00EC4820"/>
    <w:rsid w:val="00EC4C89"/>
    <w:rsid w:val="00EC52AE"/>
    <w:rsid w:val="00EC602C"/>
    <w:rsid w:val="00EC735F"/>
    <w:rsid w:val="00EC738B"/>
    <w:rsid w:val="00ED07F9"/>
    <w:rsid w:val="00ED142F"/>
    <w:rsid w:val="00ED6026"/>
    <w:rsid w:val="00EE00A7"/>
    <w:rsid w:val="00EE00CE"/>
    <w:rsid w:val="00EE01F6"/>
    <w:rsid w:val="00EE0253"/>
    <w:rsid w:val="00EE0A26"/>
    <w:rsid w:val="00EE0F2E"/>
    <w:rsid w:val="00EE0FA5"/>
    <w:rsid w:val="00EE37E7"/>
    <w:rsid w:val="00EE393C"/>
    <w:rsid w:val="00EE4E57"/>
    <w:rsid w:val="00EE6A43"/>
    <w:rsid w:val="00EE781C"/>
    <w:rsid w:val="00EE7A4E"/>
    <w:rsid w:val="00EE7C32"/>
    <w:rsid w:val="00EE7E1D"/>
    <w:rsid w:val="00EF1824"/>
    <w:rsid w:val="00EF1FC6"/>
    <w:rsid w:val="00EF27F4"/>
    <w:rsid w:val="00EF3D45"/>
    <w:rsid w:val="00EF3ED2"/>
    <w:rsid w:val="00EF5454"/>
    <w:rsid w:val="00EF5D18"/>
    <w:rsid w:val="00EF669B"/>
    <w:rsid w:val="00F00B30"/>
    <w:rsid w:val="00F02641"/>
    <w:rsid w:val="00F052BE"/>
    <w:rsid w:val="00F0665D"/>
    <w:rsid w:val="00F068F6"/>
    <w:rsid w:val="00F06F1D"/>
    <w:rsid w:val="00F06F40"/>
    <w:rsid w:val="00F121F9"/>
    <w:rsid w:val="00F15D92"/>
    <w:rsid w:val="00F16140"/>
    <w:rsid w:val="00F16B66"/>
    <w:rsid w:val="00F1703F"/>
    <w:rsid w:val="00F21E82"/>
    <w:rsid w:val="00F22F24"/>
    <w:rsid w:val="00F236F9"/>
    <w:rsid w:val="00F23935"/>
    <w:rsid w:val="00F23DFC"/>
    <w:rsid w:val="00F24F01"/>
    <w:rsid w:val="00F2552D"/>
    <w:rsid w:val="00F257D4"/>
    <w:rsid w:val="00F26ACD"/>
    <w:rsid w:val="00F31F3E"/>
    <w:rsid w:val="00F32B3B"/>
    <w:rsid w:val="00F3555A"/>
    <w:rsid w:val="00F36AFA"/>
    <w:rsid w:val="00F376CD"/>
    <w:rsid w:val="00F4058C"/>
    <w:rsid w:val="00F4070B"/>
    <w:rsid w:val="00F41F38"/>
    <w:rsid w:val="00F45A14"/>
    <w:rsid w:val="00F471C3"/>
    <w:rsid w:val="00F47391"/>
    <w:rsid w:val="00F47DD5"/>
    <w:rsid w:val="00F503D5"/>
    <w:rsid w:val="00F519AD"/>
    <w:rsid w:val="00F5307F"/>
    <w:rsid w:val="00F54DA0"/>
    <w:rsid w:val="00F55725"/>
    <w:rsid w:val="00F56931"/>
    <w:rsid w:val="00F60838"/>
    <w:rsid w:val="00F61C9D"/>
    <w:rsid w:val="00F66815"/>
    <w:rsid w:val="00F707BD"/>
    <w:rsid w:val="00F708DB"/>
    <w:rsid w:val="00F72E02"/>
    <w:rsid w:val="00F73AC1"/>
    <w:rsid w:val="00F74B39"/>
    <w:rsid w:val="00F75F7A"/>
    <w:rsid w:val="00F76B69"/>
    <w:rsid w:val="00F8006D"/>
    <w:rsid w:val="00F81A9D"/>
    <w:rsid w:val="00F81BEB"/>
    <w:rsid w:val="00F81C2B"/>
    <w:rsid w:val="00F8429F"/>
    <w:rsid w:val="00F85D41"/>
    <w:rsid w:val="00F90FEA"/>
    <w:rsid w:val="00F91DF7"/>
    <w:rsid w:val="00F93AB8"/>
    <w:rsid w:val="00F93F38"/>
    <w:rsid w:val="00F94892"/>
    <w:rsid w:val="00F95251"/>
    <w:rsid w:val="00F956DB"/>
    <w:rsid w:val="00F967F6"/>
    <w:rsid w:val="00F97643"/>
    <w:rsid w:val="00F97B00"/>
    <w:rsid w:val="00F97FA6"/>
    <w:rsid w:val="00FA0AF7"/>
    <w:rsid w:val="00FA36F1"/>
    <w:rsid w:val="00FA5E36"/>
    <w:rsid w:val="00FA670C"/>
    <w:rsid w:val="00FA7A2B"/>
    <w:rsid w:val="00FB0128"/>
    <w:rsid w:val="00FB0654"/>
    <w:rsid w:val="00FB24CD"/>
    <w:rsid w:val="00FB33AD"/>
    <w:rsid w:val="00FB4F7D"/>
    <w:rsid w:val="00FB5E81"/>
    <w:rsid w:val="00FB7460"/>
    <w:rsid w:val="00FB7532"/>
    <w:rsid w:val="00FC0AB1"/>
    <w:rsid w:val="00FC2DF4"/>
    <w:rsid w:val="00FC34CF"/>
    <w:rsid w:val="00FC46DC"/>
    <w:rsid w:val="00FC69EB"/>
    <w:rsid w:val="00FC6CEE"/>
    <w:rsid w:val="00FC7368"/>
    <w:rsid w:val="00FD0BF7"/>
    <w:rsid w:val="00FD1D57"/>
    <w:rsid w:val="00FD2D01"/>
    <w:rsid w:val="00FD3624"/>
    <w:rsid w:val="00FD643F"/>
    <w:rsid w:val="00FD72F1"/>
    <w:rsid w:val="00FE0270"/>
    <w:rsid w:val="00FE138D"/>
    <w:rsid w:val="00FE246F"/>
    <w:rsid w:val="00FE4050"/>
    <w:rsid w:val="00FE664D"/>
    <w:rsid w:val="00FE78CB"/>
    <w:rsid w:val="00FF0099"/>
    <w:rsid w:val="00FF1D45"/>
    <w:rsid w:val="00FF49E7"/>
    <w:rsid w:val="00FF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8DDE4"/>
  <w15:docId w15:val="{60B15387-00E5-4458-A1C8-15B42A55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31A"/>
    <w:rPr>
      <w:sz w:val="24"/>
      <w:szCs w:val="24"/>
    </w:rPr>
  </w:style>
  <w:style w:type="paragraph" w:styleId="Heading1">
    <w:name w:val="heading 1"/>
    <w:basedOn w:val="Normal"/>
    <w:next w:val="Normal"/>
    <w:link w:val="Heading1Char"/>
    <w:qFormat/>
    <w:rsid w:val="00C40649"/>
    <w:pPr>
      <w:keepNext/>
      <w:autoSpaceDE w:val="0"/>
      <w:autoSpaceDN w:val="0"/>
      <w:adjustRightInd w:val="0"/>
      <w:spacing w:after="240"/>
      <w:outlineLvl w:val="0"/>
    </w:pPr>
    <w:rPr>
      <w:b/>
      <w:bCs/>
    </w:rPr>
  </w:style>
  <w:style w:type="paragraph" w:styleId="Heading2">
    <w:name w:val="heading 2"/>
    <w:basedOn w:val="Normal"/>
    <w:next w:val="Normal"/>
    <w:link w:val="Heading2Char"/>
    <w:qFormat/>
    <w:rsid w:val="00344F30"/>
    <w:pPr>
      <w:keepNext/>
      <w:autoSpaceDE w:val="0"/>
      <w:autoSpaceDN w:val="0"/>
      <w:adjustRightInd w:val="0"/>
      <w:spacing w:after="240"/>
      <w:outlineLvl w:val="1"/>
    </w:pPr>
    <w:rPr>
      <w:b/>
      <w:bCs/>
    </w:rPr>
  </w:style>
  <w:style w:type="paragraph" w:styleId="Heading3">
    <w:name w:val="heading 3"/>
    <w:basedOn w:val="Normal"/>
    <w:next w:val="Normal"/>
    <w:link w:val="Heading3Char"/>
    <w:qFormat/>
    <w:rsid w:val="000145B9"/>
    <w:pPr>
      <w:keepNext/>
      <w:tabs>
        <w:tab w:val="left" w:pos="864"/>
      </w:tabs>
      <w:autoSpaceDE w:val="0"/>
      <w:autoSpaceDN w:val="0"/>
      <w:adjustRightInd w:val="0"/>
      <w:spacing w:after="240"/>
      <w:outlineLvl w:val="2"/>
    </w:pPr>
    <w:rPr>
      <w:b/>
      <w:bCs/>
    </w:rPr>
  </w:style>
  <w:style w:type="paragraph" w:styleId="Heading4">
    <w:name w:val="heading 4"/>
    <w:basedOn w:val="Normal"/>
    <w:next w:val="Normal"/>
    <w:link w:val="Heading4Char"/>
    <w:unhideWhenUsed/>
    <w:qFormat/>
    <w:rsid w:val="00983901"/>
    <w:pPr>
      <w:keepNext/>
      <w:keepLines/>
      <w:spacing w:after="240"/>
      <w:outlineLvl w:val="3"/>
    </w:pPr>
    <w:rPr>
      <w:rFonts w:eastAsiaTheme="majorEastAsia" w:cstheme="majorBidi"/>
      <w:b/>
      <w:iCs/>
    </w:rPr>
  </w:style>
  <w:style w:type="paragraph" w:styleId="Heading5">
    <w:name w:val="heading 5"/>
    <w:basedOn w:val="Normal"/>
    <w:next w:val="Normal"/>
    <w:link w:val="Heading5Char"/>
    <w:unhideWhenUsed/>
    <w:qFormat/>
    <w:rsid w:val="00983901"/>
    <w:pPr>
      <w:keepNext/>
      <w:keepLines/>
      <w:ind w:left="7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Footnote Text Char Char1,ALTS FOOTNOTE,fn,Char,Char4,Footnote Text - Preamble,Char2,Footnote Text - Preamble1,Char3,f"/>
    <w:basedOn w:val="Normal"/>
    <w:link w:val="FootnoteTextChar"/>
    <w:qFormat/>
    <w:rsid w:val="00FE664D"/>
    <w:rPr>
      <w:sz w:val="20"/>
      <w:szCs w:val="20"/>
    </w:rPr>
  </w:style>
  <w:style w:type="character" w:styleId="FootnoteReference">
    <w:name w:val="footnote reference"/>
    <w:basedOn w:val="DefaultParagraphFont"/>
    <w:qFormat/>
    <w:rsid w:val="00A84311"/>
    <w:rPr>
      <w:vertAlign w:val="superscript"/>
    </w:rPr>
  </w:style>
  <w:style w:type="paragraph" w:styleId="BodyText">
    <w:name w:val="Body Text"/>
    <w:basedOn w:val="Normal"/>
    <w:link w:val="BodyTextChar"/>
    <w:rsid w:val="00282040"/>
    <w:pPr>
      <w:spacing w:after="240"/>
      <w:ind w:firstLine="720"/>
    </w:pPr>
    <w:rPr>
      <w:iCs/>
      <w:color w:val="FF6600"/>
    </w:rPr>
  </w:style>
  <w:style w:type="paragraph" w:styleId="Footer">
    <w:name w:val="footer"/>
    <w:basedOn w:val="Normal"/>
    <w:link w:val="FooterChar"/>
    <w:uiPriority w:val="99"/>
    <w:rsid w:val="006000B4"/>
    <w:pPr>
      <w:tabs>
        <w:tab w:val="center" w:pos="4320"/>
        <w:tab w:val="right" w:pos="8640"/>
      </w:tabs>
    </w:pPr>
    <w:rPr>
      <w:iCs/>
    </w:rPr>
  </w:style>
  <w:style w:type="paragraph" w:customStyle="1" w:styleId="NormalIndent">
    <w:name w:val="Normal + Indent"/>
    <w:basedOn w:val="Normal"/>
    <w:rsid w:val="00021325"/>
    <w:pPr>
      <w:spacing w:after="240"/>
      <w:ind w:firstLine="720"/>
    </w:pPr>
    <w:rPr>
      <w:szCs w:val="20"/>
    </w:rPr>
  </w:style>
  <w:style w:type="paragraph" w:customStyle="1" w:styleId="Bullets">
    <w:name w:val="Bullets"/>
    <w:basedOn w:val="Normal"/>
    <w:qFormat/>
    <w:rsid w:val="00EC602C"/>
    <w:pPr>
      <w:numPr>
        <w:numId w:val="37"/>
      </w:numPr>
      <w:tabs>
        <w:tab w:val="left" w:pos="-1080"/>
        <w:tab w:val="left" w:pos="-720"/>
        <w:tab w:val="left" w:pos="0"/>
        <w:tab w:val="left" w:pos="720"/>
        <w:tab w:val="left" w:pos="1080"/>
      </w:tabs>
      <w:spacing w:after="240"/>
      <w:contextualSpacing/>
    </w:pPr>
  </w:style>
  <w:style w:type="character" w:customStyle="1" w:styleId="Heading4Char">
    <w:name w:val="Heading 4 Char"/>
    <w:basedOn w:val="DefaultParagraphFont"/>
    <w:link w:val="Heading4"/>
    <w:rsid w:val="00983901"/>
    <w:rPr>
      <w:rFonts w:eastAsiaTheme="majorEastAsia" w:cstheme="majorBidi"/>
      <w:b/>
      <w:iCs/>
      <w:sz w:val="24"/>
      <w:szCs w:val="24"/>
    </w:rPr>
  </w:style>
  <w:style w:type="table" w:styleId="TableGrid">
    <w:name w:val="Table Grid"/>
    <w:basedOn w:val="TableNormal"/>
    <w:uiPriority w:val="59"/>
    <w:rsid w:val="004C3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A1AF8"/>
    <w:rPr>
      <w:sz w:val="16"/>
      <w:szCs w:val="16"/>
    </w:rPr>
  </w:style>
  <w:style w:type="paragraph" w:styleId="CommentText">
    <w:name w:val="annotation text"/>
    <w:basedOn w:val="Normal"/>
    <w:link w:val="CommentTextChar"/>
    <w:semiHidden/>
    <w:rsid w:val="00AA1AF8"/>
    <w:rPr>
      <w:sz w:val="20"/>
      <w:szCs w:val="20"/>
    </w:rPr>
  </w:style>
  <w:style w:type="character" w:styleId="Hyperlink">
    <w:name w:val="Hyperlink"/>
    <w:basedOn w:val="DefaultParagraphFont"/>
    <w:rsid w:val="00AA1AF8"/>
    <w:rPr>
      <w:color w:val="0000FF"/>
      <w:u w:val="single"/>
    </w:rPr>
  </w:style>
  <w:style w:type="paragraph" w:styleId="BalloonText">
    <w:name w:val="Balloon Text"/>
    <w:basedOn w:val="Normal"/>
    <w:link w:val="BalloonTextChar"/>
    <w:semiHidden/>
    <w:rsid w:val="00AA1AF8"/>
    <w:rPr>
      <w:rFonts w:ascii="Tahoma" w:hAnsi="Tahoma" w:cs="Tahoma"/>
      <w:sz w:val="16"/>
      <w:szCs w:val="16"/>
    </w:rPr>
  </w:style>
  <w:style w:type="character" w:styleId="PageNumber">
    <w:name w:val="page number"/>
    <w:basedOn w:val="DefaultParagraphFont"/>
    <w:rsid w:val="00602AE7"/>
  </w:style>
  <w:style w:type="character" w:customStyle="1" w:styleId="Heading5Char">
    <w:name w:val="Heading 5 Char"/>
    <w:basedOn w:val="DefaultParagraphFont"/>
    <w:link w:val="Heading5"/>
    <w:rsid w:val="00983901"/>
    <w:rPr>
      <w:rFonts w:eastAsiaTheme="majorEastAsia" w:cstheme="majorBidi"/>
      <w:i/>
      <w:sz w:val="24"/>
      <w:szCs w:val="24"/>
    </w:rPr>
  </w:style>
  <w:style w:type="paragraph" w:styleId="Header">
    <w:name w:val="header"/>
    <w:basedOn w:val="Normal"/>
    <w:link w:val="HeaderChar"/>
    <w:rsid w:val="0036317C"/>
    <w:pPr>
      <w:tabs>
        <w:tab w:val="center" w:pos="4320"/>
        <w:tab w:val="right" w:pos="8640"/>
      </w:tabs>
    </w:pPr>
  </w:style>
  <w:style w:type="paragraph" w:customStyle="1" w:styleId="TableNote">
    <w:name w:val="Table Note"/>
    <w:basedOn w:val="Normal"/>
    <w:qFormat/>
    <w:rsid w:val="004A1618"/>
    <w:pPr>
      <w:tabs>
        <w:tab w:val="left" w:pos="-1080"/>
        <w:tab w:val="left" w:pos="-720"/>
        <w:tab w:val="left" w:pos="0"/>
        <w:tab w:val="left" w:pos="720"/>
        <w:tab w:val="left" w:pos="1080"/>
      </w:tabs>
      <w:spacing w:after="240"/>
    </w:pPr>
    <w:rPr>
      <w:sz w:val="20"/>
      <w:szCs w:val="20"/>
    </w:rPr>
  </w:style>
  <w:style w:type="paragraph" w:customStyle="1" w:styleId="Table">
    <w:name w:val="Table"/>
    <w:basedOn w:val="Normal"/>
    <w:qFormat/>
    <w:rsid w:val="00344F30"/>
    <w:pPr>
      <w:keepNext/>
      <w:keepLines/>
    </w:pPr>
    <w:rPr>
      <w:rFonts w:ascii="Arial" w:hAnsi="Arial" w:cs="Arial"/>
      <w:sz w:val="20"/>
      <w:szCs w:val="20"/>
    </w:rPr>
  </w:style>
  <w:style w:type="character" w:customStyle="1" w:styleId="BodyTextChar">
    <w:name w:val="Body Text Char"/>
    <w:basedOn w:val="DefaultParagraphFont"/>
    <w:link w:val="BodyText"/>
    <w:rsid w:val="00282040"/>
    <w:rPr>
      <w:iCs/>
      <w:color w:val="FF6600"/>
      <w:sz w:val="24"/>
      <w:szCs w:val="24"/>
    </w:rPr>
  </w:style>
  <w:style w:type="paragraph" w:styleId="TOC1">
    <w:name w:val="toc 1"/>
    <w:basedOn w:val="Normal"/>
    <w:next w:val="Normal"/>
    <w:autoRedefine/>
    <w:semiHidden/>
    <w:rsid w:val="0043628D"/>
  </w:style>
  <w:style w:type="paragraph" w:styleId="TOC2">
    <w:name w:val="toc 2"/>
    <w:basedOn w:val="Normal"/>
    <w:next w:val="Normal"/>
    <w:autoRedefine/>
    <w:semiHidden/>
    <w:rsid w:val="0043628D"/>
    <w:pPr>
      <w:ind w:left="240"/>
    </w:pPr>
  </w:style>
  <w:style w:type="paragraph" w:styleId="TOC3">
    <w:name w:val="toc 3"/>
    <w:basedOn w:val="Normal"/>
    <w:next w:val="Normal"/>
    <w:autoRedefine/>
    <w:semiHidden/>
    <w:rsid w:val="0043628D"/>
    <w:pPr>
      <w:ind w:left="480"/>
    </w:pPr>
  </w:style>
  <w:style w:type="paragraph" w:styleId="CommentSubject">
    <w:name w:val="annotation subject"/>
    <w:basedOn w:val="CommentText"/>
    <w:next w:val="CommentText"/>
    <w:link w:val="CommentSubjectChar"/>
    <w:semiHidden/>
    <w:rsid w:val="00573F58"/>
    <w:rPr>
      <w:b/>
      <w:bCs/>
    </w:rPr>
  </w:style>
  <w:style w:type="paragraph" w:styleId="Caption">
    <w:name w:val="caption"/>
    <w:basedOn w:val="Normal"/>
    <w:next w:val="Normal"/>
    <w:unhideWhenUsed/>
    <w:qFormat/>
    <w:rsid w:val="00792F80"/>
    <w:pPr>
      <w:keepNext/>
      <w:spacing w:after="200"/>
      <w:jc w:val="center"/>
    </w:pPr>
    <w:rPr>
      <w:b/>
      <w:bCs/>
    </w:rPr>
  </w:style>
  <w:style w:type="character" w:styleId="FollowedHyperlink">
    <w:name w:val="FollowedHyperlink"/>
    <w:basedOn w:val="DefaultParagraphFont"/>
    <w:uiPriority w:val="99"/>
    <w:semiHidden/>
    <w:unhideWhenUsed/>
    <w:rsid w:val="00F81A9D"/>
    <w:rPr>
      <w:color w:val="800080" w:themeColor="followedHyperlink"/>
      <w:u w:val="single"/>
    </w:rPr>
  </w:style>
  <w:style w:type="paragraph" w:styleId="Revision">
    <w:name w:val="Revision"/>
    <w:hidden/>
    <w:uiPriority w:val="99"/>
    <w:semiHidden/>
    <w:rsid w:val="008514F4"/>
    <w:rPr>
      <w:sz w:val="24"/>
      <w:szCs w:val="24"/>
    </w:rPr>
  </w:style>
  <w:style w:type="paragraph" w:styleId="Title">
    <w:name w:val="Title"/>
    <w:basedOn w:val="Normal"/>
    <w:next w:val="Normal"/>
    <w:link w:val="TitleChar"/>
    <w:qFormat/>
    <w:rsid w:val="006770D4"/>
    <w:pPr>
      <w:autoSpaceDE w:val="0"/>
      <w:autoSpaceDN w:val="0"/>
      <w:adjustRightInd w:val="0"/>
      <w:jc w:val="center"/>
    </w:pPr>
    <w:rPr>
      <w:b/>
      <w:bCs/>
    </w:rPr>
  </w:style>
  <w:style w:type="character" w:customStyle="1" w:styleId="TitleChar">
    <w:name w:val="Title Char"/>
    <w:basedOn w:val="DefaultParagraphFont"/>
    <w:link w:val="Title"/>
    <w:rsid w:val="00AD7E6F"/>
    <w:rPr>
      <w:b/>
      <w:bCs/>
      <w:sz w:val="24"/>
      <w:szCs w:val="24"/>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FE664D"/>
  </w:style>
  <w:style w:type="character" w:customStyle="1" w:styleId="Heading1Char">
    <w:name w:val="Heading 1 Char"/>
    <w:basedOn w:val="DefaultParagraphFont"/>
    <w:link w:val="Heading1"/>
    <w:rsid w:val="00C40649"/>
    <w:rPr>
      <w:b/>
      <w:bCs/>
      <w:sz w:val="24"/>
      <w:szCs w:val="24"/>
    </w:rPr>
  </w:style>
  <w:style w:type="character" w:customStyle="1" w:styleId="Heading2Char">
    <w:name w:val="Heading 2 Char"/>
    <w:basedOn w:val="DefaultParagraphFont"/>
    <w:link w:val="Heading2"/>
    <w:rsid w:val="00344F30"/>
    <w:rPr>
      <w:b/>
      <w:bCs/>
      <w:sz w:val="24"/>
      <w:szCs w:val="24"/>
    </w:rPr>
  </w:style>
  <w:style w:type="character" w:customStyle="1" w:styleId="Heading3Char">
    <w:name w:val="Heading 3 Char"/>
    <w:basedOn w:val="DefaultParagraphFont"/>
    <w:link w:val="Heading3"/>
    <w:rsid w:val="000145B9"/>
    <w:rPr>
      <w:b/>
      <w:bCs/>
      <w:sz w:val="24"/>
      <w:szCs w:val="24"/>
    </w:rPr>
  </w:style>
  <w:style w:type="character" w:customStyle="1" w:styleId="FooterChar">
    <w:name w:val="Footer Char"/>
    <w:basedOn w:val="DefaultParagraphFont"/>
    <w:link w:val="Footer"/>
    <w:uiPriority w:val="99"/>
    <w:rsid w:val="00E672CA"/>
    <w:rPr>
      <w:iCs/>
      <w:sz w:val="24"/>
      <w:szCs w:val="24"/>
    </w:rPr>
  </w:style>
  <w:style w:type="character" w:customStyle="1" w:styleId="CommentTextChar">
    <w:name w:val="Comment Text Char"/>
    <w:basedOn w:val="DefaultParagraphFont"/>
    <w:link w:val="CommentText"/>
    <w:semiHidden/>
    <w:rsid w:val="00E672CA"/>
  </w:style>
  <w:style w:type="character" w:customStyle="1" w:styleId="BalloonTextChar">
    <w:name w:val="Balloon Text Char"/>
    <w:basedOn w:val="DefaultParagraphFont"/>
    <w:link w:val="BalloonText"/>
    <w:semiHidden/>
    <w:rsid w:val="00E672CA"/>
    <w:rPr>
      <w:rFonts w:ascii="Tahoma" w:hAnsi="Tahoma" w:cs="Tahoma"/>
      <w:sz w:val="16"/>
      <w:szCs w:val="16"/>
    </w:rPr>
  </w:style>
  <w:style w:type="character" w:customStyle="1" w:styleId="HeaderChar">
    <w:name w:val="Header Char"/>
    <w:basedOn w:val="DefaultParagraphFont"/>
    <w:link w:val="Header"/>
    <w:rsid w:val="00E672CA"/>
    <w:rPr>
      <w:sz w:val="24"/>
      <w:szCs w:val="24"/>
    </w:rPr>
  </w:style>
  <w:style w:type="character" w:customStyle="1" w:styleId="CommentSubjectChar">
    <w:name w:val="Comment Subject Char"/>
    <w:basedOn w:val="CommentTextChar"/>
    <w:link w:val="CommentSubject"/>
    <w:semiHidden/>
    <w:rsid w:val="00E672CA"/>
    <w:rPr>
      <w:b/>
      <w:bCs/>
    </w:rPr>
  </w:style>
  <w:style w:type="paragraph" w:styleId="ListParagraph">
    <w:name w:val="List Paragraph"/>
    <w:basedOn w:val="Normal"/>
    <w:link w:val="ListParagraphChar"/>
    <w:uiPriority w:val="34"/>
    <w:qFormat/>
    <w:rsid w:val="00BE05D2"/>
    <w:pPr>
      <w:spacing w:after="160" w:line="259" w:lineRule="auto"/>
      <w:ind w:left="720" w:hanging="36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BE05D2"/>
    <w:rPr>
      <w:rFonts w:asciiTheme="minorHAnsi" w:eastAsiaTheme="minorHAnsi" w:hAnsiTheme="minorHAnsi" w:cstheme="minorBidi"/>
      <w:sz w:val="22"/>
      <w:szCs w:val="22"/>
    </w:rPr>
  </w:style>
  <w:style w:type="paragraph" w:customStyle="1" w:styleId="Tabletext">
    <w:name w:val="Table text"/>
    <w:basedOn w:val="Normal"/>
    <w:link w:val="TabletextChar"/>
    <w:qFormat/>
    <w:rsid w:val="00BE05D2"/>
    <w:pPr>
      <w:widowControl w:val="0"/>
      <w:spacing w:after="160" w:line="259" w:lineRule="auto"/>
    </w:pPr>
    <w:rPr>
      <w:rFonts w:ascii="Calibri" w:eastAsiaTheme="minorHAnsi" w:hAnsi="Calibri" w:cstheme="minorBidi"/>
      <w:sz w:val="20"/>
      <w:szCs w:val="22"/>
    </w:rPr>
  </w:style>
  <w:style w:type="character" w:customStyle="1" w:styleId="TabletextChar">
    <w:name w:val="Table text Char"/>
    <w:basedOn w:val="DefaultParagraphFont"/>
    <w:link w:val="Tabletext"/>
    <w:rsid w:val="00BE05D2"/>
    <w:rPr>
      <w:rFonts w:ascii="Calibri" w:eastAsiaTheme="minorHAnsi" w:hAnsi="Calibri" w:cstheme="minorBidi"/>
      <w:szCs w:val="22"/>
    </w:rPr>
  </w:style>
  <w:style w:type="paragraph" w:customStyle="1" w:styleId="TableHeader">
    <w:name w:val="Table Header"/>
    <w:basedOn w:val="Tabletext"/>
    <w:link w:val="TableHeaderChar"/>
    <w:qFormat/>
    <w:rsid w:val="00BE05D2"/>
    <w:pPr>
      <w:keepNext/>
      <w:keepLines/>
      <w:widowControl/>
      <w:spacing w:after="0"/>
    </w:pPr>
    <w:rPr>
      <w:b/>
    </w:rPr>
  </w:style>
  <w:style w:type="character" w:customStyle="1" w:styleId="TableHeaderChar">
    <w:name w:val="Table Header Char"/>
    <w:basedOn w:val="TabletextChar"/>
    <w:link w:val="TableHeader"/>
    <w:rsid w:val="00BE05D2"/>
    <w:rPr>
      <w:rFonts w:ascii="Calibri" w:eastAsiaTheme="minorHAnsi" w:hAnsi="Calibri" w:cstheme="minorBidi"/>
      <w:b/>
      <w:szCs w:val="22"/>
    </w:rPr>
  </w:style>
  <w:style w:type="paragraph" w:customStyle="1" w:styleId="TableFooter">
    <w:name w:val="TableFooter"/>
    <w:basedOn w:val="Normal"/>
    <w:link w:val="TableFooterChar"/>
    <w:qFormat/>
    <w:rsid w:val="00BE05D2"/>
    <w:pPr>
      <w:spacing w:after="240" w:line="259" w:lineRule="auto"/>
      <w:ind w:left="86"/>
      <w:contextualSpacing/>
    </w:pPr>
    <w:rPr>
      <w:rFonts w:asciiTheme="minorHAnsi" w:eastAsiaTheme="minorHAnsi" w:hAnsiTheme="minorHAnsi" w:cstheme="minorHAnsi"/>
      <w:sz w:val="20"/>
      <w:szCs w:val="20"/>
    </w:rPr>
  </w:style>
  <w:style w:type="character" w:customStyle="1" w:styleId="TableFooterChar">
    <w:name w:val="TableFooter Char"/>
    <w:basedOn w:val="DefaultParagraphFont"/>
    <w:link w:val="TableFooter"/>
    <w:rsid w:val="00BE05D2"/>
    <w:rPr>
      <w:rFonts w:asciiTheme="minorHAnsi" w:eastAsiaTheme="minorHAnsi" w:hAnsiTheme="minorHAnsi" w:cstheme="minorHAnsi"/>
    </w:rPr>
  </w:style>
  <w:style w:type="character" w:customStyle="1" w:styleId="UnresolvedMention1">
    <w:name w:val="Unresolved Mention1"/>
    <w:basedOn w:val="DefaultParagraphFont"/>
    <w:uiPriority w:val="99"/>
    <w:semiHidden/>
    <w:unhideWhenUsed/>
    <w:rsid w:val="00AA3E4E"/>
    <w:rPr>
      <w:color w:val="605E5C"/>
      <w:shd w:val="clear" w:color="auto" w:fill="E1DFDD"/>
    </w:rPr>
  </w:style>
  <w:style w:type="character" w:customStyle="1" w:styleId="UnresolvedMention2">
    <w:name w:val="Unresolved Mention2"/>
    <w:basedOn w:val="DefaultParagraphFont"/>
    <w:uiPriority w:val="99"/>
    <w:semiHidden/>
    <w:unhideWhenUsed/>
    <w:rsid w:val="007C7F0E"/>
    <w:rPr>
      <w:color w:val="605E5C"/>
      <w:shd w:val="clear" w:color="auto" w:fill="E1DFDD"/>
    </w:rPr>
  </w:style>
  <w:style w:type="paragraph" w:customStyle="1" w:styleId="Belowexhibitnotes">
    <w:name w:val="Below exhibit notes"/>
    <w:basedOn w:val="ListParagraph"/>
    <w:link w:val="BelowexhibitnotesChar"/>
    <w:qFormat/>
    <w:rsid w:val="00D25962"/>
    <w:pPr>
      <w:spacing w:after="0" w:line="240" w:lineRule="auto"/>
      <w:ind w:left="0" w:firstLine="0"/>
    </w:pPr>
    <w:rPr>
      <w:rFonts w:ascii="Calibri" w:eastAsia="Times New Roman" w:hAnsi="Calibri" w:cs="Calibri"/>
      <w:color w:val="000000"/>
      <w:sz w:val="20"/>
      <w:szCs w:val="20"/>
    </w:rPr>
  </w:style>
  <w:style w:type="character" w:customStyle="1" w:styleId="BelowexhibitnotesChar">
    <w:name w:val="Below exhibit notes Char"/>
    <w:basedOn w:val="DefaultParagraphFont"/>
    <w:link w:val="Belowexhibitnotes"/>
    <w:rsid w:val="00D25962"/>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690">
      <w:bodyDiv w:val="1"/>
      <w:marLeft w:val="0"/>
      <w:marRight w:val="0"/>
      <w:marTop w:val="0"/>
      <w:marBottom w:val="0"/>
      <w:divBdr>
        <w:top w:val="none" w:sz="0" w:space="0" w:color="auto"/>
        <w:left w:val="none" w:sz="0" w:space="0" w:color="auto"/>
        <w:bottom w:val="none" w:sz="0" w:space="0" w:color="auto"/>
        <w:right w:val="none" w:sz="0" w:space="0" w:color="auto"/>
      </w:divBdr>
    </w:div>
    <w:div w:id="29768588">
      <w:bodyDiv w:val="1"/>
      <w:marLeft w:val="0"/>
      <w:marRight w:val="0"/>
      <w:marTop w:val="0"/>
      <w:marBottom w:val="0"/>
      <w:divBdr>
        <w:top w:val="none" w:sz="0" w:space="0" w:color="auto"/>
        <w:left w:val="none" w:sz="0" w:space="0" w:color="auto"/>
        <w:bottom w:val="none" w:sz="0" w:space="0" w:color="auto"/>
        <w:right w:val="none" w:sz="0" w:space="0" w:color="auto"/>
      </w:divBdr>
    </w:div>
    <w:div w:id="42796715">
      <w:bodyDiv w:val="1"/>
      <w:marLeft w:val="0"/>
      <w:marRight w:val="0"/>
      <w:marTop w:val="0"/>
      <w:marBottom w:val="0"/>
      <w:divBdr>
        <w:top w:val="none" w:sz="0" w:space="0" w:color="auto"/>
        <w:left w:val="none" w:sz="0" w:space="0" w:color="auto"/>
        <w:bottom w:val="none" w:sz="0" w:space="0" w:color="auto"/>
        <w:right w:val="none" w:sz="0" w:space="0" w:color="auto"/>
      </w:divBdr>
    </w:div>
    <w:div w:id="51855087">
      <w:bodyDiv w:val="1"/>
      <w:marLeft w:val="0"/>
      <w:marRight w:val="0"/>
      <w:marTop w:val="0"/>
      <w:marBottom w:val="0"/>
      <w:divBdr>
        <w:top w:val="none" w:sz="0" w:space="0" w:color="auto"/>
        <w:left w:val="none" w:sz="0" w:space="0" w:color="auto"/>
        <w:bottom w:val="none" w:sz="0" w:space="0" w:color="auto"/>
        <w:right w:val="none" w:sz="0" w:space="0" w:color="auto"/>
      </w:divBdr>
    </w:div>
    <w:div w:id="54014397">
      <w:bodyDiv w:val="1"/>
      <w:marLeft w:val="0"/>
      <w:marRight w:val="0"/>
      <w:marTop w:val="0"/>
      <w:marBottom w:val="0"/>
      <w:divBdr>
        <w:top w:val="none" w:sz="0" w:space="0" w:color="auto"/>
        <w:left w:val="none" w:sz="0" w:space="0" w:color="auto"/>
        <w:bottom w:val="none" w:sz="0" w:space="0" w:color="auto"/>
        <w:right w:val="none" w:sz="0" w:space="0" w:color="auto"/>
      </w:divBdr>
    </w:div>
    <w:div w:id="60100982">
      <w:bodyDiv w:val="1"/>
      <w:marLeft w:val="0"/>
      <w:marRight w:val="0"/>
      <w:marTop w:val="0"/>
      <w:marBottom w:val="0"/>
      <w:divBdr>
        <w:top w:val="none" w:sz="0" w:space="0" w:color="auto"/>
        <w:left w:val="none" w:sz="0" w:space="0" w:color="auto"/>
        <w:bottom w:val="none" w:sz="0" w:space="0" w:color="auto"/>
        <w:right w:val="none" w:sz="0" w:space="0" w:color="auto"/>
      </w:divBdr>
    </w:div>
    <w:div w:id="65886814">
      <w:bodyDiv w:val="1"/>
      <w:marLeft w:val="0"/>
      <w:marRight w:val="0"/>
      <w:marTop w:val="0"/>
      <w:marBottom w:val="0"/>
      <w:divBdr>
        <w:top w:val="none" w:sz="0" w:space="0" w:color="auto"/>
        <w:left w:val="none" w:sz="0" w:space="0" w:color="auto"/>
        <w:bottom w:val="none" w:sz="0" w:space="0" w:color="auto"/>
        <w:right w:val="none" w:sz="0" w:space="0" w:color="auto"/>
      </w:divBdr>
      <w:divsChild>
        <w:div w:id="1260526656">
          <w:marLeft w:val="0"/>
          <w:marRight w:val="0"/>
          <w:marTop w:val="0"/>
          <w:marBottom w:val="0"/>
          <w:divBdr>
            <w:top w:val="none" w:sz="0" w:space="0" w:color="auto"/>
            <w:left w:val="none" w:sz="0" w:space="0" w:color="auto"/>
            <w:bottom w:val="none" w:sz="0" w:space="0" w:color="auto"/>
            <w:right w:val="none" w:sz="0" w:space="0" w:color="auto"/>
          </w:divBdr>
        </w:div>
        <w:div w:id="2023194308">
          <w:marLeft w:val="0"/>
          <w:marRight w:val="0"/>
          <w:marTop w:val="0"/>
          <w:marBottom w:val="0"/>
          <w:divBdr>
            <w:top w:val="none" w:sz="0" w:space="0" w:color="auto"/>
            <w:left w:val="none" w:sz="0" w:space="0" w:color="auto"/>
            <w:bottom w:val="none" w:sz="0" w:space="0" w:color="auto"/>
            <w:right w:val="none" w:sz="0" w:space="0" w:color="auto"/>
          </w:divBdr>
        </w:div>
        <w:div w:id="1255868910">
          <w:marLeft w:val="0"/>
          <w:marRight w:val="0"/>
          <w:marTop w:val="0"/>
          <w:marBottom w:val="0"/>
          <w:divBdr>
            <w:top w:val="none" w:sz="0" w:space="0" w:color="auto"/>
            <w:left w:val="none" w:sz="0" w:space="0" w:color="auto"/>
            <w:bottom w:val="none" w:sz="0" w:space="0" w:color="auto"/>
            <w:right w:val="none" w:sz="0" w:space="0" w:color="auto"/>
          </w:divBdr>
        </w:div>
      </w:divsChild>
    </w:div>
    <w:div w:id="67581529">
      <w:bodyDiv w:val="1"/>
      <w:marLeft w:val="0"/>
      <w:marRight w:val="0"/>
      <w:marTop w:val="0"/>
      <w:marBottom w:val="0"/>
      <w:divBdr>
        <w:top w:val="none" w:sz="0" w:space="0" w:color="auto"/>
        <w:left w:val="none" w:sz="0" w:space="0" w:color="auto"/>
        <w:bottom w:val="none" w:sz="0" w:space="0" w:color="auto"/>
        <w:right w:val="none" w:sz="0" w:space="0" w:color="auto"/>
      </w:divBdr>
    </w:div>
    <w:div w:id="84157927">
      <w:bodyDiv w:val="1"/>
      <w:marLeft w:val="0"/>
      <w:marRight w:val="0"/>
      <w:marTop w:val="0"/>
      <w:marBottom w:val="0"/>
      <w:divBdr>
        <w:top w:val="none" w:sz="0" w:space="0" w:color="auto"/>
        <w:left w:val="none" w:sz="0" w:space="0" w:color="auto"/>
        <w:bottom w:val="none" w:sz="0" w:space="0" w:color="auto"/>
        <w:right w:val="none" w:sz="0" w:space="0" w:color="auto"/>
      </w:divBdr>
    </w:div>
    <w:div w:id="85463782">
      <w:bodyDiv w:val="1"/>
      <w:marLeft w:val="0"/>
      <w:marRight w:val="0"/>
      <w:marTop w:val="0"/>
      <w:marBottom w:val="0"/>
      <w:divBdr>
        <w:top w:val="none" w:sz="0" w:space="0" w:color="auto"/>
        <w:left w:val="none" w:sz="0" w:space="0" w:color="auto"/>
        <w:bottom w:val="none" w:sz="0" w:space="0" w:color="auto"/>
        <w:right w:val="none" w:sz="0" w:space="0" w:color="auto"/>
      </w:divBdr>
    </w:div>
    <w:div w:id="87773039">
      <w:bodyDiv w:val="1"/>
      <w:marLeft w:val="0"/>
      <w:marRight w:val="0"/>
      <w:marTop w:val="0"/>
      <w:marBottom w:val="0"/>
      <w:divBdr>
        <w:top w:val="none" w:sz="0" w:space="0" w:color="auto"/>
        <w:left w:val="none" w:sz="0" w:space="0" w:color="auto"/>
        <w:bottom w:val="none" w:sz="0" w:space="0" w:color="auto"/>
        <w:right w:val="none" w:sz="0" w:space="0" w:color="auto"/>
      </w:divBdr>
    </w:div>
    <w:div w:id="91627386">
      <w:bodyDiv w:val="1"/>
      <w:marLeft w:val="0"/>
      <w:marRight w:val="0"/>
      <w:marTop w:val="0"/>
      <w:marBottom w:val="0"/>
      <w:divBdr>
        <w:top w:val="none" w:sz="0" w:space="0" w:color="auto"/>
        <w:left w:val="none" w:sz="0" w:space="0" w:color="auto"/>
        <w:bottom w:val="none" w:sz="0" w:space="0" w:color="auto"/>
        <w:right w:val="none" w:sz="0" w:space="0" w:color="auto"/>
      </w:divBdr>
    </w:div>
    <w:div w:id="93601019">
      <w:bodyDiv w:val="1"/>
      <w:marLeft w:val="0"/>
      <w:marRight w:val="0"/>
      <w:marTop w:val="0"/>
      <w:marBottom w:val="0"/>
      <w:divBdr>
        <w:top w:val="none" w:sz="0" w:space="0" w:color="auto"/>
        <w:left w:val="none" w:sz="0" w:space="0" w:color="auto"/>
        <w:bottom w:val="none" w:sz="0" w:space="0" w:color="auto"/>
        <w:right w:val="none" w:sz="0" w:space="0" w:color="auto"/>
      </w:divBdr>
    </w:div>
    <w:div w:id="111291540">
      <w:bodyDiv w:val="1"/>
      <w:marLeft w:val="0"/>
      <w:marRight w:val="0"/>
      <w:marTop w:val="0"/>
      <w:marBottom w:val="0"/>
      <w:divBdr>
        <w:top w:val="none" w:sz="0" w:space="0" w:color="auto"/>
        <w:left w:val="none" w:sz="0" w:space="0" w:color="auto"/>
        <w:bottom w:val="none" w:sz="0" w:space="0" w:color="auto"/>
        <w:right w:val="none" w:sz="0" w:space="0" w:color="auto"/>
      </w:divBdr>
    </w:div>
    <w:div w:id="125970938">
      <w:bodyDiv w:val="1"/>
      <w:marLeft w:val="0"/>
      <w:marRight w:val="0"/>
      <w:marTop w:val="0"/>
      <w:marBottom w:val="0"/>
      <w:divBdr>
        <w:top w:val="none" w:sz="0" w:space="0" w:color="auto"/>
        <w:left w:val="none" w:sz="0" w:space="0" w:color="auto"/>
        <w:bottom w:val="none" w:sz="0" w:space="0" w:color="auto"/>
        <w:right w:val="none" w:sz="0" w:space="0" w:color="auto"/>
      </w:divBdr>
    </w:div>
    <w:div w:id="126356667">
      <w:bodyDiv w:val="1"/>
      <w:marLeft w:val="0"/>
      <w:marRight w:val="0"/>
      <w:marTop w:val="0"/>
      <w:marBottom w:val="0"/>
      <w:divBdr>
        <w:top w:val="none" w:sz="0" w:space="0" w:color="auto"/>
        <w:left w:val="none" w:sz="0" w:space="0" w:color="auto"/>
        <w:bottom w:val="none" w:sz="0" w:space="0" w:color="auto"/>
        <w:right w:val="none" w:sz="0" w:space="0" w:color="auto"/>
      </w:divBdr>
    </w:div>
    <w:div w:id="128712792">
      <w:bodyDiv w:val="1"/>
      <w:marLeft w:val="0"/>
      <w:marRight w:val="0"/>
      <w:marTop w:val="0"/>
      <w:marBottom w:val="0"/>
      <w:divBdr>
        <w:top w:val="none" w:sz="0" w:space="0" w:color="auto"/>
        <w:left w:val="none" w:sz="0" w:space="0" w:color="auto"/>
        <w:bottom w:val="none" w:sz="0" w:space="0" w:color="auto"/>
        <w:right w:val="none" w:sz="0" w:space="0" w:color="auto"/>
      </w:divBdr>
    </w:div>
    <w:div w:id="131755131">
      <w:bodyDiv w:val="1"/>
      <w:marLeft w:val="0"/>
      <w:marRight w:val="0"/>
      <w:marTop w:val="0"/>
      <w:marBottom w:val="0"/>
      <w:divBdr>
        <w:top w:val="none" w:sz="0" w:space="0" w:color="auto"/>
        <w:left w:val="none" w:sz="0" w:space="0" w:color="auto"/>
        <w:bottom w:val="none" w:sz="0" w:space="0" w:color="auto"/>
        <w:right w:val="none" w:sz="0" w:space="0" w:color="auto"/>
      </w:divBdr>
    </w:div>
    <w:div w:id="134223324">
      <w:bodyDiv w:val="1"/>
      <w:marLeft w:val="0"/>
      <w:marRight w:val="0"/>
      <w:marTop w:val="0"/>
      <w:marBottom w:val="0"/>
      <w:divBdr>
        <w:top w:val="none" w:sz="0" w:space="0" w:color="auto"/>
        <w:left w:val="none" w:sz="0" w:space="0" w:color="auto"/>
        <w:bottom w:val="none" w:sz="0" w:space="0" w:color="auto"/>
        <w:right w:val="none" w:sz="0" w:space="0" w:color="auto"/>
      </w:divBdr>
    </w:div>
    <w:div w:id="140853104">
      <w:bodyDiv w:val="1"/>
      <w:marLeft w:val="0"/>
      <w:marRight w:val="0"/>
      <w:marTop w:val="0"/>
      <w:marBottom w:val="0"/>
      <w:divBdr>
        <w:top w:val="none" w:sz="0" w:space="0" w:color="auto"/>
        <w:left w:val="none" w:sz="0" w:space="0" w:color="auto"/>
        <w:bottom w:val="none" w:sz="0" w:space="0" w:color="auto"/>
        <w:right w:val="none" w:sz="0" w:space="0" w:color="auto"/>
      </w:divBdr>
    </w:div>
    <w:div w:id="171190148">
      <w:bodyDiv w:val="1"/>
      <w:marLeft w:val="0"/>
      <w:marRight w:val="0"/>
      <w:marTop w:val="0"/>
      <w:marBottom w:val="0"/>
      <w:divBdr>
        <w:top w:val="none" w:sz="0" w:space="0" w:color="auto"/>
        <w:left w:val="none" w:sz="0" w:space="0" w:color="auto"/>
        <w:bottom w:val="none" w:sz="0" w:space="0" w:color="auto"/>
        <w:right w:val="none" w:sz="0" w:space="0" w:color="auto"/>
      </w:divBdr>
    </w:div>
    <w:div w:id="190145140">
      <w:bodyDiv w:val="1"/>
      <w:marLeft w:val="0"/>
      <w:marRight w:val="0"/>
      <w:marTop w:val="0"/>
      <w:marBottom w:val="0"/>
      <w:divBdr>
        <w:top w:val="none" w:sz="0" w:space="0" w:color="auto"/>
        <w:left w:val="none" w:sz="0" w:space="0" w:color="auto"/>
        <w:bottom w:val="none" w:sz="0" w:space="0" w:color="auto"/>
        <w:right w:val="none" w:sz="0" w:space="0" w:color="auto"/>
      </w:divBdr>
    </w:div>
    <w:div w:id="196891558">
      <w:bodyDiv w:val="1"/>
      <w:marLeft w:val="0"/>
      <w:marRight w:val="0"/>
      <w:marTop w:val="0"/>
      <w:marBottom w:val="0"/>
      <w:divBdr>
        <w:top w:val="none" w:sz="0" w:space="0" w:color="auto"/>
        <w:left w:val="none" w:sz="0" w:space="0" w:color="auto"/>
        <w:bottom w:val="none" w:sz="0" w:space="0" w:color="auto"/>
        <w:right w:val="none" w:sz="0" w:space="0" w:color="auto"/>
      </w:divBdr>
    </w:div>
    <w:div w:id="205410126">
      <w:bodyDiv w:val="1"/>
      <w:marLeft w:val="0"/>
      <w:marRight w:val="0"/>
      <w:marTop w:val="0"/>
      <w:marBottom w:val="0"/>
      <w:divBdr>
        <w:top w:val="none" w:sz="0" w:space="0" w:color="auto"/>
        <w:left w:val="none" w:sz="0" w:space="0" w:color="auto"/>
        <w:bottom w:val="none" w:sz="0" w:space="0" w:color="auto"/>
        <w:right w:val="none" w:sz="0" w:space="0" w:color="auto"/>
      </w:divBdr>
    </w:div>
    <w:div w:id="208612019">
      <w:bodyDiv w:val="1"/>
      <w:marLeft w:val="0"/>
      <w:marRight w:val="0"/>
      <w:marTop w:val="0"/>
      <w:marBottom w:val="0"/>
      <w:divBdr>
        <w:top w:val="none" w:sz="0" w:space="0" w:color="auto"/>
        <w:left w:val="none" w:sz="0" w:space="0" w:color="auto"/>
        <w:bottom w:val="none" w:sz="0" w:space="0" w:color="auto"/>
        <w:right w:val="none" w:sz="0" w:space="0" w:color="auto"/>
      </w:divBdr>
    </w:div>
    <w:div w:id="223026496">
      <w:bodyDiv w:val="1"/>
      <w:marLeft w:val="0"/>
      <w:marRight w:val="0"/>
      <w:marTop w:val="0"/>
      <w:marBottom w:val="0"/>
      <w:divBdr>
        <w:top w:val="none" w:sz="0" w:space="0" w:color="auto"/>
        <w:left w:val="none" w:sz="0" w:space="0" w:color="auto"/>
        <w:bottom w:val="none" w:sz="0" w:space="0" w:color="auto"/>
        <w:right w:val="none" w:sz="0" w:space="0" w:color="auto"/>
      </w:divBdr>
    </w:div>
    <w:div w:id="242836361">
      <w:bodyDiv w:val="1"/>
      <w:marLeft w:val="0"/>
      <w:marRight w:val="0"/>
      <w:marTop w:val="0"/>
      <w:marBottom w:val="0"/>
      <w:divBdr>
        <w:top w:val="none" w:sz="0" w:space="0" w:color="auto"/>
        <w:left w:val="none" w:sz="0" w:space="0" w:color="auto"/>
        <w:bottom w:val="none" w:sz="0" w:space="0" w:color="auto"/>
        <w:right w:val="none" w:sz="0" w:space="0" w:color="auto"/>
      </w:divBdr>
    </w:div>
    <w:div w:id="247231593">
      <w:bodyDiv w:val="1"/>
      <w:marLeft w:val="0"/>
      <w:marRight w:val="0"/>
      <w:marTop w:val="0"/>
      <w:marBottom w:val="0"/>
      <w:divBdr>
        <w:top w:val="none" w:sz="0" w:space="0" w:color="auto"/>
        <w:left w:val="none" w:sz="0" w:space="0" w:color="auto"/>
        <w:bottom w:val="none" w:sz="0" w:space="0" w:color="auto"/>
        <w:right w:val="none" w:sz="0" w:space="0" w:color="auto"/>
      </w:divBdr>
    </w:div>
    <w:div w:id="254483235">
      <w:bodyDiv w:val="1"/>
      <w:marLeft w:val="0"/>
      <w:marRight w:val="0"/>
      <w:marTop w:val="0"/>
      <w:marBottom w:val="0"/>
      <w:divBdr>
        <w:top w:val="none" w:sz="0" w:space="0" w:color="auto"/>
        <w:left w:val="none" w:sz="0" w:space="0" w:color="auto"/>
        <w:bottom w:val="none" w:sz="0" w:space="0" w:color="auto"/>
        <w:right w:val="none" w:sz="0" w:space="0" w:color="auto"/>
      </w:divBdr>
      <w:divsChild>
        <w:div w:id="2125034771">
          <w:marLeft w:val="0"/>
          <w:marRight w:val="0"/>
          <w:marTop w:val="0"/>
          <w:marBottom w:val="0"/>
          <w:divBdr>
            <w:top w:val="none" w:sz="0" w:space="0" w:color="auto"/>
            <w:left w:val="none" w:sz="0" w:space="0" w:color="auto"/>
            <w:bottom w:val="none" w:sz="0" w:space="0" w:color="auto"/>
            <w:right w:val="none" w:sz="0" w:space="0" w:color="auto"/>
          </w:divBdr>
        </w:div>
      </w:divsChild>
    </w:div>
    <w:div w:id="275017693">
      <w:bodyDiv w:val="1"/>
      <w:marLeft w:val="0"/>
      <w:marRight w:val="0"/>
      <w:marTop w:val="0"/>
      <w:marBottom w:val="0"/>
      <w:divBdr>
        <w:top w:val="none" w:sz="0" w:space="0" w:color="auto"/>
        <w:left w:val="none" w:sz="0" w:space="0" w:color="auto"/>
        <w:bottom w:val="none" w:sz="0" w:space="0" w:color="auto"/>
        <w:right w:val="none" w:sz="0" w:space="0" w:color="auto"/>
      </w:divBdr>
    </w:div>
    <w:div w:id="278879343">
      <w:bodyDiv w:val="1"/>
      <w:marLeft w:val="0"/>
      <w:marRight w:val="0"/>
      <w:marTop w:val="0"/>
      <w:marBottom w:val="0"/>
      <w:divBdr>
        <w:top w:val="none" w:sz="0" w:space="0" w:color="auto"/>
        <w:left w:val="none" w:sz="0" w:space="0" w:color="auto"/>
        <w:bottom w:val="none" w:sz="0" w:space="0" w:color="auto"/>
        <w:right w:val="none" w:sz="0" w:space="0" w:color="auto"/>
      </w:divBdr>
    </w:div>
    <w:div w:id="279722702">
      <w:bodyDiv w:val="1"/>
      <w:marLeft w:val="0"/>
      <w:marRight w:val="0"/>
      <w:marTop w:val="0"/>
      <w:marBottom w:val="0"/>
      <w:divBdr>
        <w:top w:val="none" w:sz="0" w:space="0" w:color="auto"/>
        <w:left w:val="none" w:sz="0" w:space="0" w:color="auto"/>
        <w:bottom w:val="none" w:sz="0" w:space="0" w:color="auto"/>
        <w:right w:val="none" w:sz="0" w:space="0" w:color="auto"/>
      </w:divBdr>
    </w:div>
    <w:div w:id="291445223">
      <w:bodyDiv w:val="1"/>
      <w:marLeft w:val="0"/>
      <w:marRight w:val="0"/>
      <w:marTop w:val="0"/>
      <w:marBottom w:val="0"/>
      <w:divBdr>
        <w:top w:val="none" w:sz="0" w:space="0" w:color="auto"/>
        <w:left w:val="none" w:sz="0" w:space="0" w:color="auto"/>
        <w:bottom w:val="none" w:sz="0" w:space="0" w:color="auto"/>
        <w:right w:val="none" w:sz="0" w:space="0" w:color="auto"/>
      </w:divBdr>
    </w:div>
    <w:div w:id="294987098">
      <w:bodyDiv w:val="1"/>
      <w:marLeft w:val="0"/>
      <w:marRight w:val="0"/>
      <w:marTop w:val="0"/>
      <w:marBottom w:val="0"/>
      <w:divBdr>
        <w:top w:val="none" w:sz="0" w:space="0" w:color="auto"/>
        <w:left w:val="none" w:sz="0" w:space="0" w:color="auto"/>
        <w:bottom w:val="none" w:sz="0" w:space="0" w:color="auto"/>
        <w:right w:val="none" w:sz="0" w:space="0" w:color="auto"/>
      </w:divBdr>
    </w:div>
    <w:div w:id="305936537">
      <w:bodyDiv w:val="1"/>
      <w:marLeft w:val="0"/>
      <w:marRight w:val="0"/>
      <w:marTop w:val="0"/>
      <w:marBottom w:val="0"/>
      <w:divBdr>
        <w:top w:val="none" w:sz="0" w:space="0" w:color="auto"/>
        <w:left w:val="none" w:sz="0" w:space="0" w:color="auto"/>
        <w:bottom w:val="none" w:sz="0" w:space="0" w:color="auto"/>
        <w:right w:val="none" w:sz="0" w:space="0" w:color="auto"/>
      </w:divBdr>
    </w:div>
    <w:div w:id="314578233">
      <w:bodyDiv w:val="1"/>
      <w:marLeft w:val="0"/>
      <w:marRight w:val="0"/>
      <w:marTop w:val="0"/>
      <w:marBottom w:val="0"/>
      <w:divBdr>
        <w:top w:val="none" w:sz="0" w:space="0" w:color="auto"/>
        <w:left w:val="none" w:sz="0" w:space="0" w:color="auto"/>
        <w:bottom w:val="none" w:sz="0" w:space="0" w:color="auto"/>
        <w:right w:val="none" w:sz="0" w:space="0" w:color="auto"/>
      </w:divBdr>
    </w:div>
    <w:div w:id="317854783">
      <w:bodyDiv w:val="1"/>
      <w:marLeft w:val="0"/>
      <w:marRight w:val="0"/>
      <w:marTop w:val="0"/>
      <w:marBottom w:val="0"/>
      <w:divBdr>
        <w:top w:val="none" w:sz="0" w:space="0" w:color="auto"/>
        <w:left w:val="none" w:sz="0" w:space="0" w:color="auto"/>
        <w:bottom w:val="none" w:sz="0" w:space="0" w:color="auto"/>
        <w:right w:val="none" w:sz="0" w:space="0" w:color="auto"/>
      </w:divBdr>
    </w:div>
    <w:div w:id="318463564">
      <w:bodyDiv w:val="1"/>
      <w:marLeft w:val="0"/>
      <w:marRight w:val="0"/>
      <w:marTop w:val="0"/>
      <w:marBottom w:val="0"/>
      <w:divBdr>
        <w:top w:val="none" w:sz="0" w:space="0" w:color="auto"/>
        <w:left w:val="none" w:sz="0" w:space="0" w:color="auto"/>
        <w:bottom w:val="none" w:sz="0" w:space="0" w:color="auto"/>
        <w:right w:val="none" w:sz="0" w:space="0" w:color="auto"/>
      </w:divBdr>
    </w:div>
    <w:div w:id="352616133">
      <w:bodyDiv w:val="1"/>
      <w:marLeft w:val="0"/>
      <w:marRight w:val="0"/>
      <w:marTop w:val="0"/>
      <w:marBottom w:val="0"/>
      <w:divBdr>
        <w:top w:val="none" w:sz="0" w:space="0" w:color="auto"/>
        <w:left w:val="none" w:sz="0" w:space="0" w:color="auto"/>
        <w:bottom w:val="none" w:sz="0" w:space="0" w:color="auto"/>
        <w:right w:val="none" w:sz="0" w:space="0" w:color="auto"/>
      </w:divBdr>
    </w:div>
    <w:div w:id="359673230">
      <w:bodyDiv w:val="1"/>
      <w:marLeft w:val="0"/>
      <w:marRight w:val="0"/>
      <w:marTop w:val="0"/>
      <w:marBottom w:val="0"/>
      <w:divBdr>
        <w:top w:val="none" w:sz="0" w:space="0" w:color="auto"/>
        <w:left w:val="none" w:sz="0" w:space="0" w:color="auto"/>
        <w:bottom w:val="none" w:sz="0" w:space="0" w:color="auto"/>
        <w:right w:val="none" w:sz="0" w:space="0" w:color="auto"/>
      </w:divBdr>
    </w:div>
    <w:div w:id="376779513">
      <w:bodyDiv w:val="1"/>
      <w:marLeft w:val="0"/>
      <w:marRight w:val="0"/>
      <w:marTop w:val="0"/>
      <w:marBottom w:val="0"/>
      <w:divBdr>
        <w:top w:val="none" w:sz="0" w:space="0" w:color="auto"/>
        <w:left w:val="none" w:sz="0" w:space="0" w:color="auto"/>
        <w:bottom w:val="none" w:sz="0" w:space="0" w:color="auto"/>
        <w:right w:val="none" w:sz="0" w:space="0" w:color="auto"/>
      </w:divBdr>
    </w:div>
    <w:div w:id="379481116">
      <w:bodyDiv w:val="1"/>
      <w:marLeft w:val="0"/>
      <w:marRight w:val="0"/>
      <w:marTop w:val="0"/>
      <w:marBottom w:val="0"/>
      <w:divBdr>
        <w:top w:val="none" w:sz="0" w:space="0" w:color="auto"/>
        <w:left w:val="none" w:sz="0" w:space="0" w:color="auto"/>
        <w:bottom w:val="none" w:sz="0" w:space="0" w:color="auto"/>
        <w:right w:val="none" w:sz="0" w:space="0" w:color="auto"/>
      </w:divBdr>
    </w:div>
    <w:div w:id="390230230">
      <w:bodyDiv w:val="1"/>
      <w:marLeft w:val="0"/>
      <w:marRight w:val="0"/>
      <w:marTop w:val="0"/>
      <w:marBottom w:val="0"/>
      <w:divBdr>
        <w:top w:val="none" w:sz="0" w:space="0" w:color="auto"/>
        <w:left w:val="none" w:sz="0" w:space="0" w:color="auto"/>
        <w:bottom w:val="none" w:sz="0" w:space="0" w:color="auto"/>
        <w:right w:val="none" w:sz="0" w:space="0" w:color="auto"/>
      </w:divBdr>
    </w:div>
    <w:div w:id="410078708">
      <w:bodyDiv w:val="1"/>
      <w:marLeft w:val="0"/>
      <w:marRight w:val="0"/>
      <w:marTop w:val="0"/>
      <w:marBottom w:val="0"/>
      <w:divBdr>
        <w:top w:val="none" w:sz="0" w:space="0" w:color="auto"/>
        <w:left w:val="none" w:sz="0" w:space="0" w:color="auto"/>
        <w:bottom w:val="none" w:sz="0" w:space="0" w:color="auto"/>
        <w:right w:val="none" w:sz="0" w:space="0" w:color="auto"/>
      </w:divBdr>
    </w:div>
    <w:div w:id="433092921">
      <w:bodyDiv w:val="1"/>
      <w:marLeft w:val="0"/>
      <w:marRight w:val="0"/>
      <w:marTop w:val="0"/>
      <w:marBottom w:val="0"/>
      <w:divBdr>
        <w:top w:val="none" w:sz="0" w:space="0" w:color="auto"/>
        <w:left w:val="none" w:sz="0" w:space="0" w:color="auto"/>
        <w:bottom w:val="none" w:sz="0" w:space="0" w:color="auto"/>
        <w:right w:val="none" w:sz="0" w:space="0" w:color="auto"/>
      </w:divBdr>
    </w:div>
    <w:div w:id="434519970">
      <w:bodyDiv w:val="1"/>
      <w:marLeft w:val="0"/>
      <w:marRight w:val="0"/>
      <w:marTop w:val="0"/>
      <w:marBottom w:val="0"/>
      <w:divBdr>
        <w:top w:val="none" w:sz="0" w:space="0" w:color="auto"/>
        <w:left w:val="none" w:sz="0" w:space="0" w:color="auto"/>
        <w:bottom w:val="none" w:sz="0" w:space="0" w:color="auto"/>
        <w:right w:val="none" w:sz="0" w:space="0" w:color="auto"/>
      </w:divBdr>
    </w:div>
    <w:div w:id="438911691">
      <w:bodyDiv w:val="1"/>
      <w:marLeft w:val="0"/>
      <w:marRight w:val="0"/>
      <w:marTop w:val="0"/>
      <w:marBottom w:val="0"/>
      <w:divBdr>
        <w:top w:val="none" w:sz="0" w:space="0" w:color="auto"/>
        <w:left w:val="none" w:sz="0" w:space="0" w:color="auto"/>
        <w:bottom w:val="none" w:sz="0" w:space="0" w:color="auto"/>
        <w:right w:val="none" w:sz="0" w:space="0" w:color="auto"/>
      </w:divBdr>
    </w:div>
    <w:div w:id="462846847">
      <w:bodyDiv w:val="1"/>
      <w:marLeft w:val="0"/>
      <w:marRight w:val="0"/>
      <w:marTop w:val="0"/>
      <w:marBottom w:val="0"/>
      <w:divBdr>
        <w:top w:val="none" w:sz="0" w:space="0" w:color="auto"/>
        <w:left w:val="none" w:sz="0" w:space="0" w:color="auto"/>
        <w:bottom w:val="none" w:sz="0" w:space="0" w:color="auto"/>
        <w:right w:val="none" w:sz="0" w:space="0" w:color="auto"/>
      </w:divBdr>
    </w:div>
    <w:div w:id="481699492">
      <w:bodyDiv w:val="1"/>
      <w:marLeft w:val="0"/>
      <w:marRight w:val="0"/>
      <w:marTop w:val="0"/>
      <w:marBottom w:val="0"/>
      <w:divBdr>
        <w:top w:val="none" w:sz="0" w:space="0" w:color="auto"/>
        <w:left w:val="none" w:sz="0" w:space="0" w:color="auto"/>
        <w:bottom w:val="none" w:sz="0" w:space="0" w:color="auto"/>
        <w:right w:val="none" w:sz="0" w:space="0" w:color="auto"/>
      </w:divBdr>
    </w:div>
    <w:div w:id="491532246">
      <w:bodyDiv w:val="1"/>
      <w:marLeft w:val="0"/>
      <w:marRight w:val="0"/>
      <w:marTop w:val="0"/>
      <w:marBottom w:val="0"/>
      <w:divBdr>
        <w:top w:val="none" w:sz="0" w:space="0" w:color="auto"/>
        <w:left w:val="none" w:sz="0" w:space="0" w:color="auto"/>
        <w:bottom w:val="none" w:sz="0" w:space="0" w:color="auto"/>
        <w:right w:val="none" w:sz="0" w:space="0" w:color="auto"/>
      </w:divBdr>
    </w:div>
    <w:div w:id="498499423">
      <w:bodyDiv w:val="1"/>
      <w:marLeft w:val="0"/>
      <w:marRight w:val="0"/>
      <w:marTop w:val="0"/>
      <w:marBottom w:val="0"/>
      <w:divBdr>
        <w:top w:val="none" w:sz="0" w:space="0" w:color="auto"/>
        <w:left w:val="none" w:sz="0" w:space="0" w:color="auto"/>
        <w:bottom w:val="none" w:sz="0" w:space="0" w:color="auto"/>
        <w:right w:val="none" w:sz="0" w:space="0" w:color="auto"/>
      </w:divBdr>
    </w:div>
    <w:div w:id="513766989">
      <w:bodyDiv w:val="1"/>
      <w:marLeft w:val="0"/>
      <w:marRight w:val="0"/>
      <w:marTop w:val="0"/>
      <w:marBottom w:val="0"/>
      <w:divBdr>
        <w:top w:val="none" w:sz="0" w:space="0" w:color="auto"/>
        <w:left w:val="none" w:sz="0" w:space="0" w:color="auto"/>
        <w:bottom w:val="none" w:sz="0" w:space="0" w:color="auto"/>
        <w:right w:val="none" w:sz="0" w:space="0" w:color="auto"/>
      </w:divBdr>
    </w:div>
    <w:div w:id="514224272">
      <w:bodyDiv w:val="1"/>
      <w:marLeft w:val="0"/>
      <w:marRight w:val="0"/>
      <w:marTop w:val="0"/>
      <w:marBottom w:val="0"/>
      <w:divBdr>
        <w:top w:val="none" w:sz="0" w:space="0" w:color="auto"/>
        <w:left w:val="none" w:sz="0" w:space="0" w:color="auto"/>
        <w:bottom w:val="none" w:sz="0" w:space="0" w:color="auto"/>
        <w:right w:val="none" w:sz="0" w:space="0" w:color="auto"/>
      </w:divBdr>
    </w:div>
    <w:div w:id="541327536">
      <w:bodyDiv w:val="1"/>
      <w:marLeft w:val="0"/>
      <w:marRight w:val="0"/>
      <w:marTop w:val="0"/>
      <w:marBottom w:val="0"/>
      <w:divBdr>
        <w:top w:val="none" w:sz="0" w:space="0" w:color="auto"/>
        <w:left w:val="none" w:sz="0" w:space="0" w:color="auto"/>
        <w:bottom w:val="none" w:sz="0" w:space="0" w:color="auto"/>
        <w:right w:val="none" w:sz="0" w:space="0" w:color="auto"/>
      </w:divBdr>
    </w:div>
    <w:div w:id="544175636">
      <w:bodyDiv w:val="1"/>
      <w:marLeft w:val="0"/>
      <w:marRight w:val="0"/>
      <w:marTop w:val="0"/>
      <w:marBottom w:val="0"/>
      <w:divBdr>
        <w:top w:val="none" w:sz="0" w:space="0" w:color="auto"/>
        <w:left w:val="none" w:sz="0" w:space="0" w:color="auto"/>
        <w:bottom w:val="none" w:sz="0" w:space="0" w:color="auto"/>
        <w:right w:val="none" w:sz="0" w:space="0" w:color="auto"/>
      </w:divBdr>
    </w:div>
    <w:div w:id="555045136">
      <w:bodyDiv w:val="1"/>
      <w:marLeft w:val="0"/>
      <w:marRight w:val="0"/>
      <w:marTop w:val="0"/>
      <w:marBottom w:val="0"/>
      <w:divBdr>
        <w:top w:val="none" w:sz="0" w:space="0" w:color="auto"/>
        <w:left w:val="none" w:sz="0" w:space="0" w:color="auto"/>
        <w:bottom w:val="none" w:sz="0" w:space="0" w:color="auto"/>
        <w:right w:val="none" w:sz="0" w:space="0" w:color="auto"/>
      </w:divBdr>
    </w:div>
    <w:div w:id="575020004">
      <w:bodyDiv w:val="1"/>
      <w:marLeft w:val="0"/>
      <w:marRight w:val="0"/>
      <w:marTop w:val="0"/>
      <w:marBottom w:val="0"/>
      <w:divBdr>
        <w:top w:val="none" w:sz="0" w:space="0" w:color="auto"/>
        <w:left w:val="none" w:sz="0" w:space="0" w:color="auto"/>
        <w:bottom w:val="none" w:sz="0" w:space="0" w:color="auto"/>
        <w:right w:val="none" w:sz="0" w:space="0" w:color="auto"/>
      </w:divBdr>
    </w:div>
    <w:div w:id="575825019">
      <w:bodyDiv w:val="1"/>
      <w:marLeft w:val="0"/>
      <w:marRight w:val="0"/>
      <w:marTop w:val="0"/>
      <w:marBottom w:val="0"/>
      <w:divBdr>
        <w:top w:val="none" w:sz="0" w:space="0" w:color="auto"/>
        <w:left w:val="none" w:sz="0" w:space="0" w:color="auto"/>
        <w:bottom w:val="none" w:sz="0" w:space="0" w:color="auto"/>
        <w:right w:val="none" w:sz="0" w:space="0" w:color="auto"/>
      </w:divBdr>
    </w:div>
    <w:div w:id="614559772">
      <w:bodyDiv w:val="1"/>
      <w:marLeft w:val="0"/>
      <w:marRight w:val="0"/>
      <w:marTop w:val="0"/>
      <w:marBottom w:val="0"/>
      <w:divBdr>
        <w:top w:val="none" w:sz="0" w:space="0" w:color="auto"/>
        <w:left w:val="none" w:sz="0" w:space="0" w:color="auto"/>
        <w:bottom w:val="none" w:sz="0" w:space="0" w:color="auto"/>
        <w:right w:val="none" w:sz="0" w:space="0" w:color="auto"/>
      </w:divBdr>
    </w:div>
    <w:div w:id="615865324">
      <w:bodyDiv w:val="1"/>
      <w:marLeft w:val="0"/>
      <w:marRight w:val="0"/>
      <w:marTop w:val="0"/>
      <w:marBottom w:val="0"/>
      <w:divBdr>
        <w:top w:val="none" w:sz="0" w:space="0" w:color="auto"/>
        <w:left w:val="none" w:sz="0" w:space="0" w:color="auto"/>
        <w:bottom w:val="none" w:sz="0" w:space="0" w:color="auto"/>
        <w:right w:val="none" w:sz="0" w:space="0" w:color="auto"/>
      </w:divBdr>
    </w:div>
    <w:div w:id="616109451">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9366131">
      <w:bodyDiv w:val="1"/>
      <w:marLeft w:val="0"/>
      <w:marRight w:val="0"/>
      <w:marTop w:val="0"/>
      <w:marBottom w:val="0"/>
      <w:divBdr>
        <w:top w:val="none" w:sz="0" w:space="0" w:color="auto"/>
        <w:left w:val="none" w:sz="0" w:space="0" w:color="auto"/>
        <w:bottom w:val="none" w:sz="0" w:space="0" w:color="auto"/>
        <w:right w:val="none" w:sz="0" w:space="0" w:color="auto"/>
      </w:divBdr>
    </w:div>
    <w:div w:id="652218945">
      <w:bodyDiv w:val="1"/>
      <w:marLeft w:val="0"/>
      <w:marRight w:val="0"/>
      <w:marTop w:val="0"/>
      <w:marBottom w:val="0"/>
      <w:divBdr>
        <w:top w:val="none" w:sz="0" w:space="0" w:color="auto"/>
        <w:left w:val="none" w:sz="0" w:space="0" w:color="auto"/>
        <w:bottom w:val="none" w:sz="0" w:space="0" w:color="auto"/>
        <w:right w:val="none" w:sz="0" w:space="0" w:color="auto"/>
      </w:divBdr>
    </w:div>
    <w:div w:id="659161604">
      <w:bodyDiv w:val="1"/>
      <w:marLeft w:val="0"/>
      <w:marRight w:val="0"/>
      <w:marTop w:val="0"/>
      <w:marBottom w:val="0"/>
      <w:divBdr>
        <w:top w:val="none" w:sz="0" w:space="0" w:color="auto"/>
        <w:left w:val="none" w:sz="0" w:space="0" w:color="auto"/>
        <w:bottom w:val="none" w:sz="0" w:space="0" w:color="auto"/>
        <w:right w:val="none" w:sz="0" w:space="0" w:color="auto"/>
      </w:divBdr>
    </w:div>
    <w:div w:id="666058444">
      <w:bodyDiv w:val="1"/>
      <w:marLeft w:val="0"/>
      <w:marRight w:val="0"/>
      <w:marTop w:val="0"/>
      <w:marBottom w:val="0"/>
      <w:divBdr>
        <w:top w:val="none" w:sz="0" w:space="0" w:color="auto"/>
        <w:left w:val="none" w:sz="0" w:space="0" w:color="auto"/>
        <w:bottom w:val="none" w:sz="0" w:space="0" w:color="auto"/>
        <w:right w:val="none" w:sz="0" w:space="0" w:color="auto"/>
      </w:divBdr>
    </w:div>
    <w:div w:id="668219551">
      <w:bodyDiv w:val="1"/>
      <w:marLeft w:val="0"/>
      <w:marRight w:val="0"/>
      <w:marTop w:val="0"/>
      <w:marBottom w:val="0"/>
      <w:divBdr>
        <w:top w:val="none" w:sz="0" w:space="0" w:color="auto"/>
        <w:left w:val="none" w:sz="0" w:space="0" w:color="auto"/>
        <w:bottom w:val="none" w:sz="0" w:space="0" w:color="auto"/>
        <w:right w:val="none" w:sz="0" w:space="0" w:color="auto"/>
      </w:divBdr>
    </w:div>
    <w:div w:id="675158845">
      <w:bodyDiv w:val="1"/>
      <w:marLeft w:val="0"/>
      <w:marRight w:val="0"/>
      <w:marTop w:val="0"/>
      <w:marBottom w:val="0"/>
      <w:divBdr>
        <w:top w:val="none" w:sz="0" w:space="0" w:color="auto"/>
        <w:left w:val="none" w:sz="0" w:space="0" w:color="auto"/>
        <w:bottom w:val="none" w:sz="0" w:space="0" w:color="auto"/>
        <w:right w:val="none" w:sz="0" w:space="0" w:color="auto"/>
      </w:divBdr>
    </w:div>
    <w:div w:id="675351427">
      <w:bodyDiv w:val="1"/>
      <w:marLeft w:val="0"/>
      <w:marRight w:val="0"/>
      <w:marTop w:val="0"/>
      <w:marBottom w:val="0"/>
      <w:divBdr>
        <w:top w:val="none" w:sz="0" w:space="0" w:color="auto"/>
        <w:left w:val="none" w:sz="0" w:space="0" w:color="auto"/>
        <w:bottom w:val="none" w:sz="0" w:space="0" w:color="auto"/>
        <w:right w:val="none" w:sz="0" w:space="0" w:color="auto"/>
      </w:divBdr>
    </w:div>
    <w:div w:id="684986580">
      <w:bodyDiv w:val="1"/>
      <w:marLeft w:val="0"/>
      <w:marRight w:val="0"/>
      <w:marTop w:val="0"/>
      <w:marBottom w:val="0"/>
      <w:divBdr>
        <w:top w:val="none" w:sz="0" w:space="0" w:color="auto"/>
        <w:left w:val="none" w:sz="0" w:space="0" w:color="auto"/>
        <w:bottom w:val="none" w:sz="0" w:space="0" w:color="auto"/>
        <w:right w:val="none" w:sz="0" w:space="0" w:color="auto"/>
      </w:divBdr>
    </w:div>
    <w:div w:id="686101335">
      <w:bodyDiv w:val="1"/>
      <w:marLeft w:val="0"/>
      <w:marRight w:val="0"/>
      <w:marTop w:val="0"/>
      <w:marBottom w:val="0"/>
      <w:divBdr>
        <w:top w:val="none" w:sz="0" w:space="0" w:color="auto"/>
        <w:left w:val="none" w:sz="0" w:space="0" w:color="auto"/>
        <w:bottom w:val="none" w:sz="0" w:space="0" w:color="auto"/>
        <w:right w:val="none" w:sz="0" w:space="0" w:color="auto"/>
      </w:divBdr>
    </w:div>
    <w:div w:id="688331536">
      <w:bodyDiv w:val="1"/>
      <w:marLeft w:val="0"/>
      <w:marRight w:val="0"/>
      <w:marTop w:val="0"/>
      <w:marBottom w:val="0"/>
      <w:divBdr>
        <w:top w:val="none" w:sz="0" w:space="0" w:color="auto"/>
        <w:left w:val="none" w:sz="0" w:space="0" w:color="auto"/>
        <w:bottom w:val="none" w:sz="0" w:space="0" w:color="auto"/>
        <w:right w:val="none" w:sz="0" w:space="0" w:color="auto"/>
      </w:divBdr>
    </w:div>
    <w:div w:id="696662144">
      <w:bodyDiv w:val="1"/>
      <w:marLeft w:val="0"/>
      <w:marRight w:val="0"/>
      <w:marTop w:val="0"/>
      <w:marBottom w:val="0"/>
      <w:divBdr>
        <w:top w:val="none" w:sz="0" w:space="0" w:color="auto"/>
        <w:left w:val="none" w:sz="0" w:space="0" w:color="auto"/>
        <w:bottom w:val="none" w:sz="0" w:space="0" w:color="auto"/>
        <w:right w:val="none" w:sz="0" w:space="0" w:color="auto"/>
      </w:divBdr>
    </w:div>
    <w:div w:id="719862795">
      <w:bodyDiv w:val="1"/>
      <w:marLeft w:val="0"/>
      <w:marRight w:val="0"/>
      <w:marTop w:val="0"/>
      <w:marBottom w:val="0"/>
      <w:divBdr>
        <w:top w:val="none" w:sz="0" w:space="0" w:color="auto"/>
        <w:left w:val="none" w:sz="0" w:space="0" w:color="auto"/>
        <w:bottom w:val="none" w:sz="0" w:space="0" w:color="auto"/>
        <w:right w:val="none" w:sz="0" w:space="0" w:color="auto"/>
      </w:divBdr>
    </w:div>
    <w:div w:id="737947628">
      <w:bodyDiv w:val="1"/>
      <w:marLeft w:val="0"/>
      <w:marRight w:val="0"/>
      <w:marTop w:val="0"/>
      <w:marBottom w:val="0"/>
      <w:divBdr>
        <w:top w:val="none" w:sz="0" w:space="0" w:color="auto"/>
        <w:left w:val="none" w:sz="0" w:space="0" w:color="auto"/>
        <w:bottom w:val="none" w:sz="0" w:space="0" w:color="auto"/>
        <w:right w:val="none" w:sz="0" w:space="0" w:color="auto"/>
      </w:divBdr>
    </w:div>
    <w:div w:id="739792948">
      <w:bodyDiv w:val="1"/>
      <w:marLeft w:val="0"/>
      <w:marRight w:val="0"/>
      <w:marTop w:val="0"/>
      <w:marBottom w:val="0"/>
      <w:divBdr>
        <w:top w:val="none" w:sz="0" w:space="0" w:color="auto"/>
        <w:left w:val="none" w:sz="0" w:space="0" w:color="auto"/>
        <w:bottom w:val="none" w:sz="0" w:space="0" w:color="auto"/>
        <w:right w:val="none" w:sz="0" w:space="0" w:color="auto"/>
      </w:divBdr>
    </w:div>
    <w:div w:id="781195211">
      <w:bodyDiv w:val="1"/>
      <w:marLeft w:val="0"/>
      <w:marRight w:val="0"/>
      <w:marTop w:val="0"/>
      <w:marBottom w:val="0"/>
      <w:divBdr>
        <w:top w:val="none" w:sz="0" w:space="0" w:color="auto"/>
        <w:left w:val="none" w:sz="0" w:space="0" w:color="auto"/>
        <w:bottom w:val="none" w:sz="0" w:space="0" w:color="auto"/>
        <w:right w:val="none" w:sz="0" w:space="0" w:color="auto"/>
      </w:divBdr>
    </w:div>
    <w:div w:id="782577245">
      <w:bodyDiv w:val="1"/>
      <w:marLeft w:val="0"/>
      <w:marRight w:val="0"/>
      <w:marTop w:val="0"/>
      <w:marBottom w:val="0"/>
      <w:divBdr>
        <w:top w:val="none" w:sz="0" w:space="0" w:color="auto"/>
        <w:left w:val="none" w:sz="0" w:space="0" w:color="auto"/>
        <w:bottom w:val="none" w:sz="0" w:space="0" w:color="auto"/>
        <w:right w:val="none" w:sz="0" w:space="0" w:color="auto"/>
      </w:divBdr>
    </w:div>
    <w:div w:id="783621988">
      <w:bodyDiv w:val="1"/>
      <w:marLeft w:val="0"/>
      <w:marRight w:val="0"/>
      <w:marTop w:val="0"/>
      <w:marBottom w:val="0"/>
      <w:divBdr>
        <w:top w:val="none" w:sz="0" w:space="0" w:color="auto"/>
        <w:left w:val="none" w:sz="0" w:space="0" w:color="auto"/>
        <w:bottom w:val="none" w:sz="0" w:space="0" w:color="auto"/>
        <w:right w:val="none" w:sz="0" w:space="0" w:color="auto"/>
      </w:divBdr>
    </w:div>
    <w:div w:id="786659980">
      <w:bodyDiv w:val="1"/>
      <w:marLeft w:val="0"/>
      <w:marRight w:val="0"/>
      <w:marTop w:val="0"/>
      <w:marBottom w:val="0"/>
      <w:divBdr>
        <w:top w:val="none" w:sz="0" w:space="0" w:color="auto"/>
        <w:left w:val="none" w:sz="0" w:space="0" w:color="auto"/>
        <w:bottom w:val="none" w:sz="0" w:space="0" w:color="auto"/>
        <w:right w:val="none" w:sz="0" w:space="0" w:color="auto"/>
      </w:divBdr>
    </w:div>
    <w:div w:id="788010719">
      <w:bodyDiv w:val="1"/>
      <w:marLeft w:val="0"/>
      <w:marRight w:val="0"/>
      <w:marTop w:val="0"/>
      <w:marBottom w:val="0"/>
      <w:divBdr>
        <w:top w:val="none" w:sz="0" w:space="0" w:color="auto"/>
        <w:left w:val="none" w:sz="0" w:space="0" w:color="auto"/>
        <w:bottom w:val="none" w:sz="0" w:space="0" w:color="auto"/>
        <w:right w:val="none" w:sz="0" w:space="0" w:color="auto"/>
      </w:divBdr>
    </w:div>
    <w:div w:id="804809410">
      <w:bodyDiv w:val="1"/>
      <w:marLeft w:val="0"/>
      <w:marRight w:val="0"/>
      <w:marTop w:val="0"/>
      <w:marBottom w:val="0"/>
      <w:divBdr>
        <w:top w:val="none" w:sz="0" w:space="0" w:color="auto"/>
        <w:left w:val="none" w:sz="0" w:space="0" w:color="auto"/>
        <w:bottom w:val="none" w:sz="0" w:space="0" w:color="auto"/>
        <w:right w:val="none" w:sz="0" w:space="0" w:color="auto"/>
      </w:divBdr>
    </w:div>
    <w:div w:id="876746509">
      <w:bodyDiv w:val="1"/>
      <w:marLeft w:val="0"/>
      <w:marRight w:val="0"/>
      <w:marTop w:val="0"/>
      <w:marBottom w:val="0"/>
      <w:divBdr>
        <w:top w:val="none" w:sz="0" w:space="0" w:color="auto"/>
        <w:left w:val="none" w:sz="0" w:space="0" w:color="auto"/>
        <w:bottom w:val="none" w:sz="0" w:space="0" w:color="auto"/>
        <w:right w:val="none" w:sz="0" w:space="0" w:color="auto"/>
      </w:divBdr>
    </w:div>
    <w:div w:id="877010042">
      <w:bodyDiv w:val="1"/>
      <w:marLeft w:val="0"/>
      <w:marRight w:val="0"/>
      <w:marTop w:val="0"/>
      <w:marBottom w:val="0"/>
      <w:divBdr>
        <w:top w:val="none" w:sz="0" w:space="0" w:color="auto"/>
        <w:left w:val="none" w:sz="0" w:space="0" w:color="auto"/>
        <w:bottom w:val="none" w:sz="0" w:space="0" w:color="auto"/>
        <w:right w:val="none" w:sz="0" w:space="0" w:color="auto"/>
      </w:divBdr>
    </w:div>
    <w:div w:id="888952935">
      <w:bodyDiv w:val="1"/>
      <w:marLeft w:val="0"/>
      <w:marRight w:val="0"/>
      <w:marTop w:val="0"/>
      <w:marBottom w:val="0"/>
      <w:divBdr>
        <w:top w:val="none" w:sz="0" w:space="0" w:color="auto"/>
        <w:left w:val="none" w:sz="0" w:space="0" w:color="auto"/>
        <w:bottom w:val="none" w:sz="0" w:space="0" w:color="auto"/>
        <w:right w:val="none" w:sz="0" w:space="0" w:color="auto"/>
      </w:divBdr>
    </w:div>
    <w:div w:id="944969216">
      <w:bodyDiv w:val="1"/>
      <w:marLeft w:val="0"/>
      <w:marRight w:val="0"/>
      <w:marTop w:val="0"/>
      <w:marBottom w:val="0"/>
      <w:divBdr>
        <w:top w:val="none" w:sz="0" w:space="0" w:color="auto"/>
        <w:left w:val="none" w:sz="0" w:space="0" w:color="auto"/>
        <w:bottom w:val="none" w:sz="0" w:space="0" w:color="auto"/>
        <w:right w:val="none" w:sz="0" w:space="0" w:color="auto"/>
      </w:divBdr>
    </w:div>
    <w:div w:id="958223702">
      <w:bodyDiv w:val="1"/>
      <w:marLeft w:val="0"/>
      <w:marRight w:val="0"/>
      <w:marTop w:val="0"/>
      <w:marBottom w:val="0"/>
      <w:divBdr>
        <w:top w:val="none" w:sz="0" w:space="0" w:color="auto"/>
        <w:left w:val="none" w:sz="0" w:space="0" w:color="auto"/>
        <w:bottom w:val="none" w:sz="0" w:space="0" w:color="auto"/>
        <w:right w:val="none" w:sz="0" w:space="0" w:color="auto"/>
      </w:divBdr>
    </w:div>
    <w:div w:id="962156029">
      <w:bodyDiv w:val="1"/>
      <w:marLeft w:val="0"/>
      <w:marRight w:val="0"/>
      <w:marTop w:val="0"/>
      <w:marBottom w:val="0"/>
      <w:divBdr>
        <w:top w:val="none" w:sz="0" w:space="0" w:color="auto"/>
        <w:left w:val="none" w:sz="0" w:space="0" w:color="auto"/>
        <w:bottom w:val="none" w:sz="0" w:space="0" w:color="auto"/>
        <w:right w:val="none" w:sz="0" w:space="0" w:color="auto"/>
      </w:divBdr>
    </w:div>
    <w:div w:id="966355066">
      <w:bodyDiv w:val="1"/>
      <w:marLeft w:val="0"/>
      <w:marRight w:val="0"/>
      <w:marTop w:val="0"/>
      <w:marBottom w:val="0"/>
      <w:divBdr>
        <w:top w:val="none" w:sz="0" w:space="0" w:color="auto"/>
        <w:left w:val="none" w:sz="0" w:space="0" w:color="auto"/>
        <w:bottom w:val="none" w:sz="0" w:space="0" w:color="auto"/>
        <w:right w:val="none" w:sz="0" w:space="0" w:color="auto"/>
      </w:divBdr>
    </w:div>
    <w:div w:id="986476636">
      <w:bodyDiv w:val="1"/>
      <w:marLeft w:val="0"/>
      <w:marRight w:val="0"/>
      <w:marTop w:val="0"/>
      <w:marBottom w:val="0"/>
      <w:divBdr>
        <w:top w:val="none" w:sz="0" w:space="0" w:color="auto"/>
        <w:left w:val="none" w:sz="0" w:space="0" w:color="auto"/>
        <w:bottom w:val="none" w:sz="0" w:space="0" w:color="auto"/>
        <w:right w:val="none" w:sz="0" w:space="0" w:color="auto"/>
      </w:divBdr>
    </w:div>
    <w:div w:id="1065953575">
      <w:bodyDiv w:val="1"/>
      <w:marLeft w:val="0"/>
      <w:marRight w:val="0"/>
      <w:marTop w:val="0"/>
      <w:marBottom w:val="0"/>
      <w:divBdr>
        <w:top w:val="none" w:sz="0" w:space="0" w:color="auto"/>
        <w:left w:val="none" w:sz="0" w:space="0" w:color="auto"/>
        <w:bottom w:val="none" w:sz="0" w:space="0" w:color="auto"/>
        <w:right w:val="none" w:sz="0" w:space="0" w:color="auto"/>
      </w:divBdr>
    </w:div>
    <w:div w:id="1095126035">
      <w:bodyDiv w:val="1"/>
      <w:marLeft w:val="0"/>
      <w:marRight w:val="0"/>
      <w:marTop w:val="0"/>
      <w:marBottom w:val="0"/>
      <w:divBdr>
        <w:top w:val="none" w:sz="0" w:space="0" w:color="auto"/>
        <w:left w:val="none" w:sz="0" w:space="0" w:color="auto"/>
        <w:bottom w:val="none" w:sz="0" w:space="0" w:color="auto"/>
        <w:right w:val="none" w:sz="0" w:space="0" w:color="auto"/>
      </w:divBdr>
    </w:div>
    <w:div w:id="1103652766">
      <w:bodyDiv w:val="1"/>
      <w:marLeft w:val="0"/>
      <w:marRight w:val="0"/>
      <w:marTop w:val="0"/>
      <w:marBottom w:val="0"/>
      <w:divBdr>
        <w:top w:val="none" w:sz="0" w:space="0" w:color="auto"/>
        <w:left w:val="none" w:sz="0" w:space="0" w:color="auto"/>
        <w:bottom w:val="none" w:sz="0" w:space="0" w:color="auto"/>
        <w:right w:val="none" w:sz="0" w:space="0" w:color="auto"/>
      </w:divBdr>
    </w:div>
    <w:div w:id="1113551771">
      <w:bodyDiv w:val="1"/>
      <w:marLeft w:val="0"/>
      <w:marRight w:val="0"/>
      <w:marTop w:val="0"/>
      <w:marBottom w:val="0"/>
      <w:divBdr>
        <w:top w:val="none" w:sz="0" w:space="0" w:color="auto"/>
        <w:left w:val="none" w:sz="0" w:space="0" w:color="auto"/>
        <w:bottom w:val="none" w:sz="0" w:space="0" w:color="auto"/>
        <w:right w:val="none" w:sz="0" w:space="0" w:color="auto"/>
      </w:divBdr>
    </w:div>
    <w:div w:id="1148591319">
      <w:bodyDiv w:val="1"/>
      <w:marLeft w:val="0"/>
      <w:marRight w:val="0"/>
      <w:marTop w:val="0"/>
      <w:marBottom w:val="0"/>
      <w:divBdr>
        <w:top w:val="none" w:sz="0" w:space="0" w:color="auto"/>
        <w:left w:val="none" w:sz="0" w:space="0" w:color="auto"/>
        <w:bottom w:val="none" w:sz="0" w:space="0" w:color="auto"/>
        <w:right w:val="none" w:sz="0" w:space="0" w:color="auto"/>
      </w:divBdr>
    </w:div>
    <w:div w:id="1150630718">
      <w:bodyDiv w:val="1"/>
      <w:marLeft w:val="0"/>
      <w:marRight w:val="0"/>
      <w:marTop w:val="0"/>
      <w:marBottom w:val="0"/>
      <w:divBdr>
        <w:top w:val="none" w:sz="0" w:space="0" w:color="auto"/>
        <w:left w:val="none" w:sz="0" w:space="0" w:color="auto"/>
        <w:bottom w:val="none" w:sz="0" w:space="0" w:color="auto"/>
        <w:right w:val="none" w:sz="0" w:space="0" w:color="auto"/>
      </w:divBdr>
    </w:div>
    <w:div w:id="1169978977">
      <w:bodyDiv w:val="1"/>
      <w:marLeft w:val="0"/>
      <w:marRight w:val="0"/>
      <w:marTop w:val="0"/>
      <w:marBottom w:val="0"/>
      <w:divBdr>
        <w:top w:val="none" w:sz="0" w:space="0" w:color="auto"/>
        <w:left w:val="none" w:sz="0" w:space="0" w:color="auto"/>
        <w:bottom w:val="none" w:sz="0" w:space="0" w:color="auto"/>
        <w:right w:val="none" w:sz="0" w:space="0" w:color="auto"/>
      </w:divBdr>
    </w:div>
    <w:div w:id="1191455690">
      <w:bodyDiv w:val="1"/>
      <w:marLeft w:val="0"/>
      <w:marRight w:val="0"/>
      <w:marTop w:val="0"/>
      <w:marBottom w:val="0"/>
      <w:divBdr>
        <w:top w:val="none" w:sz="0" w:space="0" w:color="auto"/>
        <w:left w:val="none" w:sz="0" w:space="0" w:color="auto"/>
        <w:bottom w:val="none" w:sz="0" w:space="0" w:color="auto"/>
        <w:right w:val="none" w:sz="0" w:space="0" w:color="auto"/>
      </w:divBdr>
    </w:div>
    <w:div w:id="1203716037">
      <w:bodyDiv w:val="1"/>
      <w:marLeft w:val="0"/>
      <w:marRight w:val="0"/>
      <w:marTop w:val="0"/>
      <w:marBottom w:val="0"/>
      <w:divBdr>
        <w:top w:val="none" w:sz="0" w:space="0" w:color="auto"/>
        <w:left w:val="none" w:sz="0" w:space="0" w:color="auto"/>
        <w:bottom w:val="none" w:sz="0" w:space="0" w:color="auto"/>
        <w:right w:val="none" w:sz="0" w:space="0" w:color="auto"/>
      </w:divBdr>
    </w:div>
    <w:div w:id="1205563098">
      <w:bodyDiv w:val="1"/>
      <w:marLeft w:val="0"/>
      <w:marRight w:val="0"/>
      <w:marTop w:val="0"/>
      <w:marBottom w:val="0"/>
      <w:divBdr>
        <w:top w:val="none" w:sz="0" w:space="0" w:color="auto"/>
        <w:left w:val="none" w:sz="0" w:space="0" w:color="auto"/>
        <w:bottom w:val="none" w:sz="0" w:space="0" w:color="auto"/>
        <w:right w:val="none" w:sz="0" w:space="0" w:color="auto"/>
      </w:divBdr>
    </w:div>
    <w:div w:id="1218319276">
      <w:bodyDiv w:val="1"/>
      <w:marLeft w:val="0"/>
      <w:marRight w:val="0"/>
      <w:marTop w:val="0"/>
      <w:marBottom w:val="0"/>
      <w:divBdr>
        <w:top w:val="none" w:sz="0" w:space="0" w:color="auto"/>
        <w:left w:val="none" w:sz="0" w:space="0" w:color="auto"/>
        <w:bottom w:val="none" w:sz="0" w:space="0" w:color="auto"/>
        <w:right w:val="none" w:sz="0" w:space="0" w:color="auto"/>
      </w:divBdr>
    </w:div>
    <w:div w:id="1224637998">
      <w:bodyDiv w:val="1"/>
      <w:marLeft w:val="0"/>
      <w:marRight w:val="0"/>
      <w:marTop w:val="0"/>
      <w:marBottom w:val="0"/>
      <w:divBdr>
        <w:top w:val="none" w:sz="0" w:space="0" w:color="auto"/>
        <w:left w:val="none" w:sz="0" w:space="0" w:color="auto"/>
        <w:bottom w:val="none" w:sz="0" w:space="0" w:color="auto"/>
        <w:right w:val="none" w:sz="0" w:space="0" w:color="auto"/>
      </w:divBdr>
    </w:div>
    <w:div w:id="1291984290">
      <w:bodyDiv w:val="1"/>
      <w:marLeft w:val="0"/>
      <w:marRight w:val="0"/>
      <w:marTop w:val="0"/>
      <w:marBottom w:val="0"/>
      <w:divBdr>
        <w:top w:val="none" w:sz="0" w:space="0" w:color="auto"/>
        <w:left w:val="none" w:sz="0" w:space="0" w:color="auto"/>
        <w:bottom w:val="none" w:sz="0" w:space="0" w:color="auto"/>
        <w:right w:val="none" w:sz="0" w:space="0" w:color="auto"/>
      </w:divBdr>
    </w:div>
    <w:div w:id="1296058487">
      <w:bodyDiv w:val="1"/>
      <w:marLeft w:val="0"/>
      <w:marRight w:val="0"/>
      <w:marTop w:val="0"/>
      <w:marBottom w:val="0"/>
      <w:divBdr>
        <w:top w:val="none" w:sz="0" w:space="0" w:color="auto"/>
        <w:left w:val="none" w:sz="0" w:space="0" w:color="auto"/>
        <w:bottom w:val="none" w:sz="0" w:space="0" w:color="auto"/>
        <w:right w:val="none" w:sz="0" w:space="0" w:color="auto"/>
      </w:divBdr>
    </w:div>
    <w:div w:id="1321736144">
      <w:bodyDiv w:val="1"/>
      <w:marLeft w:val="0"/>
      <w:marRight w:val="0"/>
      <w:marTop w:val="0"/>
      <w:marBottom w:val="0"/>
      <w:divBdr>
        <w:top w:val="none" w:sz="0" w:space="0" w:color="auto"/>
        <w:left w:val="none" w:sz="0" w:space="0" w:color="auto"/>
        <w:bottom w:val="none" w:sz="0" w:space="0" w:color="auto"/>
        <w:right w:val="none" w:sz="0" w:space="0" w:color="auto"/>
      </w:divBdr>
    </w:div>
    <w:div w:id="1325738832">
      <w:bodyDiv w:val="1"/>
      <w:marLeft w:val="0"/>
      <w:marRight w:val="0"/>
      <w:marTop w:val="0"/>
      <w:marBottom w:val="0"/>
      <w:divBdr>
        <w:top w:val="none" w:sz="0" w:space="0" w:color="auto"/>
        <w:left w:val="none" w:sz="0" w:space="0" w:color="auto"/>
        <w:bottom w:val="none" w:sz="0" w:space="0" w:color="auto"/>
        <w:right w:val="none" w:sz="0" w:space="0" w:color="auto"/>
      </w:divBdr>
    </w:div>
    <w:div w:id="1362321979">
      <w:bodyDiv w:val="1"/>
      <w:marLeft w:val="0"/>
      <w:marRight w:val="0"/>
      <w:marTop w:val="0"/>
      <w:marBottom w:val="0"/>
      <w:divBdr>
        <w:top w:val="none" w:sz="0" w:space="0" w:color="auto"/>
        <w:left w:val="none" w:sz="0" w:space="0" w:color="auto"/>
        <w:bottom w:val="none" w:sz="0" w:space="0" w:color="auto"/>
        <w:right w:val="none" w:sz="0" w:space="0" w:color="auto"/>
      </w:divBdr>
    </w:div>
    <w:div w:id="1399209196">
      <w:bodyDiv w:val="1"/>
      <w:marLeft w:val="0"/>
      <w:marRight w:val="0"/>
      <w:marTop w:val="0"/>
      <w:marBottom w:val="0"/>
      <w:divBdr>
        <w:top w:val="none" w:sz="0" w:space="0" w:color="auto"/>
        <w:left w:val="none" w:sz="0" w:space="0" w:color="auto"/>
        <w:bottom w:val="none" w:sz="0" w:space="0" w:color="auto"/>
        <w:right w:val="none" w:sz="0" w:space="0" w:color="auto"/>
      </w:divBdr>
    </w:div>
    <w:div w:id="1428620632">
      <w:bodyDiv w:val="1"/>
      <w:marLeft w:val="0"/>
      <w:marRight w:val="0"/>
      <w:marTop w:val="0"/>
      <w:marBottom w:val="0"/>
      <w:divBdr>
        <w:top w:val="none" w:sz="0" w:space="0" w:color="auto"/>
        <w:left w:val="none" w:sz="0" w:space="0" w:color="auto"/>
        <w:bottom w:val="none" w:sz="0" w:space="0" w:color="auto"/>
        <w:right w:val="none" w:sz="0" w:space="0" w:color="auto"/>
      </w:divBdr>
    </w:div>
    <w:div w:id="1441561148">
      <w:bodyDiv w:val="1"/>
      <w:marLeft w:val="0"/>
      <w:marRight w:val="0"/>
      <w:marTop w:val="0"/>
      <w:marBottom w:val="0"/>
      <w:divBdr>
        <w:top w:val="none" w:sz="0" w:space="0" w:color="auto"/>
        <w:left w:val="none" w:sz="0" w:space="0" w:color="auto"/>
        <w:bottom w:val="none" w:sz="0" w:space="0" w:color="auto"/>
        <w:right w:val="none" w:sz="0" w:space="0" w:color="auto"/>
      </w:divBdr>
    </w:div>
    <w:div w:id="1447890909">
      <w:bodyDiv w:val="1"/>
      <w:marLeft w:val="0"/>
      <w:marRight w:val="0"/>
      <w:marTop w:val="0"/>
      <w:marBottom w:val="0"/>
      <w:divBdr>
        <w:top w:val="none" w:sz="0" w:space="0" w:color="auto"/>
        <w:left w:val="none" w:sz="0" w:space="0" w:color="auto"/>
        <w:bottom w:val="none" w:sz="0" w:space="0" w:color="auto"/>
        <w:right w:val="none" w:sz="0" w:space="0" w:color="auto"/>
      </w:divBdr>
    </w:div>
    <w:div w:id="1459370917">
      <w:bodyDiv w:val="1"/>
      <w:marLeft w:val="0"/>
      <w:marRight w:val="0"/>
      <w:marTop w:val="0"/>
      <w:marBottom w:val="0"/>
      <w:divBdr>
        <w:top w:val="none" w:sz="0" w:space="0" w:color="auto"/>
        <w:left w:val="none" w:sz="0" w:space="0" w:color="auto"/>
        <w:bottom w:val="none" w:sz="0" w:space="0" w:color="auto"/>
        <w:right w:val="none" w:sz="0" w:space="0" w:color="auto"/>
      </w:divBdr>
    </w:div>
    <w:div w:id="1473716227">
      <w:bodyDiv w:val="1"/>
      <w:marLeft w:val="0"/>
      <w:marRight w:val="0"/>
      <w:marTop w:val="0"/>
      <w:marBottom w:val="0"/>
      <w:divBdr>
        <w:top w:val="none" w:sz="0" w:space="0" w:color="auto"/>
        <w:left w:val="none" w:sz="0" w:space="0" w:color="auto"/>
        <w:bottom w:val="none" w:sz="0" w:space="0" w:color="auto"/>
        <w:right w:val="none" w:sz="0" w:space="0" w:color="auto"/>
      </w:divBdr>
    </w:div>
    <w:div w:id="1500467008">
      <w:bodyDiv w:val="1"/>
      <w:marLeft w:val="0"/>
      <w:marRight w:val="0"/>
      <w:marTop w:val="0"/>
      <w:marBottom w:val="0"/>
      <w:divBdr>
        <w:top w:val="none" w:sz="0" w:space="0" w:color="auto"/>
        <w:left w:val="none" w:sz="0" w:space="0" w:color="auto"/>
        <w:bottom w:val="none" w:sz="0" w:space="0" w:color="auto"/>
        <w:right w:val="none" w:sz="0" w:space="0" w:color="auto"/>
      </w:divBdr>
    </w:div>
    <w:div w:id="1528913172">
      <w:bodyDiv w:val="1"/>
      <w:marLeft w:val="0"/>
      <w:marRight w:val="0"/>
      <w:marTop w:val="0"/>
      <w:marBottom w:val="0"/>
      <w:divBdr>
        <w:top w:val="none" w:sz="0" w:space="0" w:color="auto"/>
        <w:left w:val="none" w:sz="0" w:space="0" w:color="auto"/>
        <w:bottom w:val="none" w:sz="0" w:space="0" w:color="auto"/>
        <w:right w:val="none" w:sz="0" w:space="0" w:color="auto"/>
      </w:divBdr>
    </w:div>
    <w:div w:id="1534347568">
      <w:bodyDiv w:val="1"/>
      <w:marLeft w:val="0"/>
      <w:marRight w:val="0"/>
      <w:marTop w:val="0"/>
      <w:marBottom w:val="0"/>
      <w:divBdr>
        <w:top w:val="none" w:sz="0" w:space="0" w:color="auto"/>
        <w:left w:val="none" w:sz="0" w:space="0" w:color="auto"/>
        <w:bottom w:val="none" w:sz="0" w:space="0" w:color="auto"/>
        <w:right w:val="none" w:sz="0" w:space="0" w:color="auto"/>
      </w:divBdr>
    </w:div>
    <w:div w:id="1549217350">
      <w:bodyDiv w:val="1"/>
      <w:marLeft w:val="0"/>
      <w:marRight w:val="0"/>
      <w:marTop w:val="0"/>
      <w:marBottom w:val="0"/>
      <w:divBdr>
        <w:top w:val="none" w:sz="0" w:space="0" w:color="auto"/>
        <w:left w:val="none" w:sz="0" w:space="0" w:color="auto"/>
        <w:bottom w:val="none" w:sz="0" w:space="0" w:color="auto"/>
        <w:right w:val="none" w:sz="0" w:space="0" w:color="auto"/>
      </w:divBdr>
    </w:div>
    <w:div w:id="1577129642">
      <w:bodyDiv w:val="1"/>
      <w:marLeft w:val="0"/>
      <w:marRight w:val="0"/>
      <w:marTop w:val="0"/>
      <w:marBottom w:val="0"/>
      <w:divBdr>
        <w:top w:val="none" w:sz="0" w:space="0" w:color="auto"/>
        <w:left w:val="none" w:sz="0" w:space="0" w:color="auto"/>
        <w:bottom w:val="none" w:sz="0" w:space="0" w:color="auto"/>
        <w:right w:val="none" w:sz="0" w:space="0" w:color="auto"/>
      </w:divBdr>
    </w:div>
    <w:div w:id="1581141282">
      <w:bodyDiv w:val="1"/>
      <w:marLeft w:val="0"/>
      <w:marRight w:val="0"/>
      <w:marTop w:val="0"/>
      <w:marBottom w:val="0"/>
      <w:divBdr>
        <w:top w:val="none" w:sz="0" w:space="0" w:color="auto"/>
        <w:left w:val="none" w:sz="0" w:space="0" w:color="auto"/>
        <w:bottom w:val="none" w:sz="0" w:space="0" w:color="auto"/>
        <w:right w:val="none" w:sz="0" w:space="0" w:color="auto"/>
      </w:divBdr>
    </w:div>
    <w:div w:id="1594820012">
      <w:bodyDiv w:val="1"/>
      <w:marLeft w:val="0"/>
      <w:marRight w:val="0"/>
      <w:marTop w:val="0"/>
      <w:marBottom w:val="0"/>
      <w:divBdr>
        <w:top w:val="none" w:sz="0" w:space="0" w:color="auto"/>
        <w:left w:val="none" w:sz="0" w:space="0" w:color="auto"/>
        <w:bottom w:val="none" w:sz="0" w:space="0" w:color="auto"/>
        <w:right w:val="none" w:sz="0" w:space="0" w:color="auto"/>
      </w:divBdr>
    </w:div>
    <w:div w:id="1600989592">
      <w:bodyDiv w:val="1"/>
      <w:marLeft w:val="0"/>
      <w:marRight w:val="0"/>
      <w:marTop w:val="0"/>
      <w:marBottom w:val="0"/>
      <w:divBdr>
        <w:top w:val="none" w:sz="0" w:space="0" w:color="auto"/>
        <w:left w:val="none" w:sz="0" w:space="0" w:color="auto"/>
        <w:bottom w:val="none" w:sz="0" w:space="0" w:color="auto"/>
        <w:right w:val="none" w:sz="0" w:space="0" w:color="auto"/>
      </w:divBdr>
    </w:div>
    <w:div w:id="1613248245">
      <w:bodyDiv w:val="1"/>
      <w:marLeft w:val="0"/>
      <w:marRight w:val="0"/>
      <w:marTop w:val="0"/>
      <w:marBottom w:val="0"/>
      <w:divBdr>
        <w:top w:val="none" w:sz="0" w:space="0" w:color="auto"/>
        <w:left w:val="none" w:sz="0" w:space="0" w:color="auto"/>
        <w:bottom w:val="none" w:sz="0" w:space="0" w:color="auto"/>
        <w:right w:val="none" w:sz="0" w:space="0" w:color="auto"/>
      </w:divBdr>
    </w:div>
    <w:div w:id="1623725907">
      <w:bodyDiv w:val="1"/>
      <w:marLeft w:val="0"/>
      <w:marRight w:val="0"/>
      <w:marTop w:val="0"/>
      <w:marBottom w:val="0"/>
      <w:divBdr>
        <w:top w:val="none" w:sz="0" w:space="0" w:color="auto"/>
        <w:left w:val="none" w:sz="0" w:space="0" w:color="auto"/>
        <w:bottom w:val="none" w:sz="0" w:space="0" w:color="auto"/>
        <w:right w:val="none" w:sz="0" w:space="0" w:color="auto"/>
      </w:divBdr>
    </w:div>
    <w:div w:id="1627078529">
      <w:bodyDiv w:val="1"/>
      <w:marLeft w:val="0"/>
      <w:marRight w:val="0"/>
      <w:marTop w:val="0"/>
      <w:marBottom w:val="0"/>
      <w:divBdr>
        <w:top w:val="none" w:sz="0" w:space="0" w:color="auto"/>
        <w:left w:val="none" w:sz="0" w:space="0" w:color="auto"/>
        <w:bottom w:val="none" w:sz="0" w:space="0" w:color="auto"/>
        <w:right w:val="none" w:sz="0" w:space="0" w:color="auto"/>
      </w:divBdr>
    </w:div>
    <w:div w:id="1651590851">
      <w:bodyDiv w:val="1"/>
      <w:marLeft w:val="0"/>
      <w:marRight w:val="0"/>
      <w:marTop w:val="0"/>
      <w:marBottom w:val="0"/>
      <w:divBdr>
        <w:top w:val="none" w:sz="0" w:space="0" w:color="auto"/>
        <w:left w:val="none" w:sz="0" w:space="0" w:color="auto"/>
        <w:bottom w:val="none" w:sz="0" w:space="0" w:color="auto"/>
        <w:right w:val="none" w:sz="0" w:space="0" w:color="auto"/>
      </w:divBdr>
    </w:div>
    <w:div w:id="1659071803">
      <w:bodyDiv w:val="1"/>
      <w:marLeft w:val="0"/>
      <w:marRight w:val="0"/>
      <w:marTop w:val="0"/>
      <w:marBottom w:val="0"/>
      <w:divBdr>
        <w:top w:val="none" w:sz="0" w:space="0" w:color="auto"/>
        <w:left w:val="none" w:sz="0" w:space="0" w:color="auto"/>
        <w:bottom w:val="none" w:sz="0" w:space="0" w:color="auto"/>
        <w:right w:val="none" w:sz="0" w:space="0" w:color="auto"/>
      </w:divBdr>
    </w:div>
    <w:div w:id="1665862955">
      <w:bodyDiv w:val="1"/>
      <w:marLeft w:val="0"/>
      <w:marRight w:val="0"/>
      <w:marTop w:val="0"/>
      <w:marBottom w:val="0"/>
      <w:divBdr>
        <w:top w:val="none" w:sz="0" w:space="0" w:color="auto"/>
        <w:left w:val="none" w:sz="0" w:space="0" w:color="auto"/>
        <w:bottom w:val="none" w:sz="0" w:space="0" w:color="auto"/>
        <w:right w:val="none" w:sz="0" w:space="0" w:color="auto"/>
      </w:divBdr>
    </w:div>
    <w:div w:id="1679114045">
      <w:bodyDiv w:val="1"/>
      <w:marLeft w:val="0"/>
      <w:marRight w:val="0"/>
      <w:marTop w:val="0"/>
      <w:marBottom w:val="0"/>
      <w:divBdr>
        <w:top w:val="none" w:sz="0" w:space="0" w:color="auto"/>
        <w:left w:val="none" w:sz="0" w:space="0" w:color="auto"/>
        <w:bottom w:val="none" w:sz="0" w:space="0" w:color="auto"/>
        <w:right w:val="none" w:sz="0" w:space="0" w:color="auto"/>
      </w:divBdr>
    </w:div>
    <w:div w:id="1690525236">
      <w:bodyDiv w:val="1"/>
      <w:marLeft w:val="0"/>
      <w:marRight w:val="0"/>
      <w:marTop w:val="0"/>
      <w:marBottom w:val="0"/>
      <w:divBdr>
        <w:top w:val="none" w:sz="0" w:space="0" w:color="auto"/>
        <w:left w:val="none" w:sz="0" w:space="0" w:color="auto"/>
        <w:bottom w:val="none" w:sz="0" w:space="0" w:color="auto"/>
        <w:right w:val="none" w:sz="0" w:space="0" w:color="auto"/>
      </w:divBdr>
    </w:div>
    <w:div w:id="1692948611">
      <w:bodyDiv w:val="1"/>
      <w:marLeft w:val="0"/>
      <w:marRight w:val="0"/>
      <w:marTop w:val="0"/>
      <w:marBottom w:val="0"/>
      <w:divBdr>
        <w:top w:val="none" w:sz="0" w:space="0" w:color="auto"/>
        <w:left w:val="none" w:sz="0" w:space="0" w:color="auto"/>
        <w:bottom w:val="none" w:sz="0" w:space="0" w:color="auto"/>
        <w:right w:val="none" w:sz="0" w:space="0" w:color="auto"/>
      </w:divBdr>
    </w:div>
    <w:div w:id="1703364185">
      <w:bodyDiv w:val="1"/>
      <w:marLeft w:val="0"/>
      <w:marRight w:val="0"/>
      <w:marTop w:val="0"/>
      <w:marBottom w:val="0"/>
      <w:divBdr>
        <w:top w:val="none" w:sz="0" w:space="0" w:color="auto"/>
        <w:left w:val="none" w:sz="0" w:space="0" w:color="auto"/>
        <w:bottom w:val="none" w:sz="0" w:space="0" w:color="auto"/>
        <w:right w:val="none" w:sz="0" w:space="0" w:color="auto"/>
      </w:divBdr>
    </w:div>
    <w:div w:id="1742605326">
      <w:bodyDiv w:val="1"/>
      <w:marLeft w:val="0"/>
      <w:marRight w:val="0"/>
      <w:marTop w:val="0"/>
      <w:marBottom w:val="0"/>
      <w:divBdr>
        <w:top w:val="none" w:sz="0" w:space="0" w:color="auto"/>
        <w:left w:val="none" w:sz="0" w:space="0" w:color="auto"/>
        <w:bottom w:val="none" w:sz="0" w:space="0" w:color="auto"/>
        <w:right w:val="none" w:sz="0" w:space="0" w:color="auto"/>
      </w:divBdr>
    </w:div>
    <w:div w:id="1749958768">
      <w:bodyDiv w:val="1"/>
      <w:marLeft w:val="0"/>
      <w:marRight w:val="0"/>
      <w:marTop w:val="0"/>
      <w:marBottom w:val="0"/>
      <w:divBdr>
        <w:top w:val="none" w:sz="0" w:space="0" w:color="auto"/>
        <w:left w:val="none" w:sz="0" w:space="0" w:color="auto"/>
        <w:bottom w:val="none" w:sz="0" w:space="0" w:color="auto"/>
        <w:right w:val="none" w:sz="0" w:space="0" w:color="auto"/>
      </w:divBdr>
    </w:div>
    <w:div w:id="1752308197">
      <w:bodyDiv w:val="1"/>
      <w:marLeft w:val="0"/>
      <w:marRight w:val="0"/>
      <w:marTop w:val="0"/>
      <w:marBottom w:val="0"/>
      <w:divBdr>
        <w:top w:val="none" w:sz="0" w:space="0" w:color="auto"/>
        <w:left w:val="none" w:sz="0" w:space="0" w:color="auto"/>
        <w:bottom w:val="none" w:sz="0" w:space="0" w:color="auto"/>
        <w:right w:val="none" w:sz="0" w:space="0" w:color="auto"/>
      </w:divBdr>
    </w:div>
    <w:div w:id="1757629412">
      <w:bodyDiv w:val="1"/>
      <w:marLeft w:val="0"/>
      <w:marRight w:val="0"/>
      <w:marTop w:val="0"/>
      <w:marBottom w:val="0"/>
      <w:divBdr>
        <w:top w:val="none" w:sz="0" w:space="0" w:color="auto"/>
        <w:left w:val="none" w:sz="0" w:space="0" w:color="auto"/>
        <w:bottom w:val="none" w:sz="0" w:space="0" w:color="auto"/>
        <w:right w:val="none" w:sz="0" w:space="0" w:color="auto"/>
      </w:divBdr>
    </w:div>
    <w:div w:id="1757825271">
      <w:bodyDiv w:val="1"/>
      <w:marLeft w:val="0"/>
      <w:marRight w:val="0"/>
      <w:marTop w:val="0"/>
      <w:marBottom w:val="0"/>
      <w:divBdr>
        <w:top w:val="none" w:sz="0" w:space="0" w:color="auto"/>
        <w:left w:val="none" w:sz="0" w:space="0" w:color="auto"/>
        <w:bottom w:val="none" w:sz="0" w:space="0" w:color="auto"/>
        <w:right w:val="none" w:sz="0" w:space="0" w:color="auto"/>
      </w:divBdr>
    </w:div>
    <w:div w:id="1768844700">
      <w:bodyDiv w:val="1"/>
      <w:marLeft w:val="0"/>
      <w:marRight w:val="0"/>
      <w:marTop w:val="0"/>
      <w:marBottom w:val="0"/>
      <w:divBdr>
        <w:top w:val="none" w:sz="0" w:space="0" w:color="auto"/>
        <w:left w:val="none" w:sz="0" w:space="0" w:color="auto"/>
        <w:bottom w:val="none" w:sz="0" w:space="0" w:color="auto"/>
        <w:right w:val="none" w:sz="0" w:space="0" w:color="auto"/>
      </w:divBdr>
    </w:div>
    <w:div w:id="1770928263">
      <w:bodyDiv w:val="1"/>
      <w:marLeft w:val="0"/>
      <w:marRight w:val="0"/>
      <w:marTop w:val="0"/>
      <w:marBottom w:val="0"/>
      <w:divBdr>
        <w:top w:val="none" w:sz="0" w:space="0" w:color="auto"/>
        <w:left w:val="none" w:sz="0" w:space="0" w:color="auto"/>
        <w:bottom w:val="none" w:sz="0" w:space="0" w:color="auto"/>
        <w:right w:val="none" w:sz="0" w:space="0" w:color="auto"/>
      </w:divBdr>
    </w:div>
    <w:div w:id="1772972109">
      <w:bodyDiv w:val="1"/>
      <w:marLeft w:val="0"/>
      <w:marRight w:val="0"/>
      <w:marTop w:val="0"/>
      <w:marBottom w:val="0"/>
      <w:divBdr>
        <w:top w:val="none" w:sz="0" w:space="0" w:color="auto"/>
        <w:left w:val="none" w:sz="0" w:space="0" w:color="auto"/>
        <w:bottom w:val="none" w:sz="0" w:space="0" w:color="auto"/>
        <w:right w:val="none" w:sz="0" w:space="0" w:color="auto"/>
      </w:divBdr>
    </w:div>
    <w:div w:id="1776972215">
      <w:bodyDiv w:val="1"/>
      <w:marLeft w:val="0"/>
      <w:marRight w:val="0"/>
      <w:marTop w:val="0"/>
      <w:marBottom w:val="0"/>
      <w:divBdr>
        <w:top w:val="none" w:sz="0" w:space="0" w:color="auto"/>
        <w:left w:val="none" w:sz="0" w:space="0" w:color="auto"/>
        <w:bottom w:val="none" w:sz="0" w:space="0" w:color="auto"/>
        <w:right w:val="none" w:sz="0" w:space="0" w:color="auto"/>
      </w:divBdr>
    </w:div>
    <w:div w:id="1793862087">
      <w:bodyDiv w:val="1"/>
      <w:marLeft w:val="0"/>
      <w:marRight w:val="0"/>
      <w:marTop w:val="0"/>
      <w:marBottom w:val="0"/>
      <w:divBdr>
        <w:top w:val="none" w:sz="0" w:space="0" w:color="auto"/>
        <w:left w:val="none" w:sz="0" w:space="0" w:color="auto"/>
        <w:bottom w:val="none" w:sz="0" w:space="0" w:color="auto"/>
        <w:right w:val="none" w:sz="0" w:space="0" w:color="auto"/>
      </w:divBdr>
    </w:div>
    <w:div w:id="1795828601">
      <w:bodyDiv w:val="1"/>
      <w:marLeft w:val="0"/>
      <w:marRight w:val="0"/>
      <w:marTop w:val="0"/>
      <w:marBottom w:val="0"/>
      <w:divBdr>
        <w:top w:val="none" w:sz="0" w:space="0" w:color="auto"/>
        <w:left w:val="none" w:sz="0" w:space="0" w:color="auto"/>
        <w:bottom w:val="none" w:sz="0" w:space="0" w:color="auto"/>
        <w:right w:val="none" w:sz="0" w:space="0" w:color="auto"/>
      </w:divBdr>
    </w:div>
    <w:div w:id="1844857683">
      <w:bodyDiv w:val="1"/>
      <w:marLeft w:val="0"/>
      <w:marRight w:val="0"/>
      <w:marTop w:val="0"/>
      <w:marBottom w:val="0"/>
      <w:divBdr>
        <w:top w:val="none" w:sz="0" w:space="0" w:color="auto"/>
        <w:left w:val="none" w:sz="0" w:space="0" w:color="auto"/>
        <w:bottom w:val="none" w:sz="0" w:space="0" w:color="auto"/>
        <w:right w:val="none" w:sz="0" w:space="0" w:color="auto"/>
      </w:divBdr>
    </w:div>
    <w:div w:id="1848711308">
      <w:bodyDiv w:val="1"/>
      <w:marLeft w:val="0"/>
      <w:marRight w:val="0"/>
      <w:marTop w:val="0"/>
      <w:marBottom w:val="0"/>
      <w:divBdr>
        <w:top w:val="none" w:sz="0" w:space="0" w:color="auto"/>
        <w:left w:val="none" w:sz="0" w:space="0" w:color="auto"/>
        <w:bottom w:val="none" w:sz="0" w:space="0" w:color="auto"/>
        <w:right w:val="none" w:sz="0" w:space="0" w:color="auto"/>
      </w:divBdr>
    </w:div>
    <w:div w:id="1855611255">
      <w:bodyDiv w:val="1"/>
      <w:marLeft w:val="0"/>
      <w:marRight w:val="0"/>
      <w:marTop w:val="0"/>
      <w:marBottom w:val="0"/>
      <w:divBdr>
        <w:top w:val="none" w:sz="0" w:space="0" w:color="auto"/>
        <w:left w:val="none" w:sz="0" w:space="0" w:color="auto"/>
        <w:bottom w:val="none" w:sz="0" w:space="0" w:color="auto"/>
        <w:right w:val="none" w:sz="0" w:space="0" w:color="auto"/>
      </w:divBdr>
    </w:div>
    <w:div w:id="1858301824">
      <w:bodyDiv w:val="1"/>
      <w:marLeft w:val="0"/>
      <w:marRight w:val="0"/>
      <w:marTop w:val="0"/>
      <w:marBottom w:val="0"/>
      <w:divBdr>
        <w:top w:val="none" w:sz="0" w:space="0" w:color="auto"/>
        <w:left w:val="none" w:sz="0" w:space="0" w:color="auto"/>
        <w:bottom w:val="none" w:sz="0" w:space="0" w:color="auto"/>
        <w:right w:val="none" w:sz="0" w:space="0" w:color="auto"/>
      </w:divBdr>
    </w:div>
    <w:div w:id="1866403886">
      <w:bodyDiv w:val="1"/>
      <w:marLeft w:val="0"/>
      <w:marRight w:val="0"/>
      <w:marTop w:val="0"/>
      <w:marBottom w:val="0"/>
      <w:divBdr>
        <w:top w:val="none" w:sz="0" w:space="0" w:color="auto"/>
        <w:left w:val="none" w:sz="0" w:space="0" w:color="auto"/>
        <w:bottom w:val="none" w:sz="0" w:space="0" w:color="auto"/>
        <w:right w:val="none" w:sz="0" w:space="0" w:color="auto"/>
      </w:divBdr>
    </w:div>
    <w:div w:id="1867016346">
      <w:bodyDiv w:val="1"/>
      <w:marLeft w:val="0"/>
      <w:marRight w:val="0"/>
      <w:marTop w:val="0"/>
      <w:marBottom w:val="0"/>
      <w:divBdr>
        <w:top w:val="none" w:sz="0" w:space="0" w:color="auto"/>
        <w:left w:val="none" w:sz="0" w:space="0" w:color="auto"/>
        <w:bottom w:val="none" w:sz="0" w:space="0" w:color="auto"/>
        <w:right w:val="none" w:sz="0" w:space="0" w:color="auto"/>
      </w:divBdr>
    </w:div>
    <w:div w:id="1885410310">
      <w:bodyDiv w:val="1"/>
      <w:marLeft w:val="0"/>
      <w:marRight w:val="0"/>
      <w:marTop w:val="0"/>
      <w:marBottom w:val="0"/>
      <w:divBdr>
        <w:top w:val="none" w:sz="0" w:space="0" w:color="auto"/>
        <w:left w:val="none" w:sz="0" w:space="0" w:color="auto"/>
        <w:bottom w:val="none" w:sz="0" w:space="0" w:color="auto"/>
        <w:right w:val="none" w:sz="0" w:space="0" w:color="auto"/>
      </w:divBdr>
    </w:div>
    <w:div w:id="1898584172">
      <w:bodyDiv w:val="1"/>
      <w:marLeft w:val="0"/>
      <w:marRight w:val="0"/>
      <w:marTop w:val="0"/>
      <w:marBottom w:val="0"/>
      <w:divBdr>
        <w:top w:val="none" w:sz="0" w:space="0" w:color="auto"/>
        <w:left w:val="none" w:sz="0" w:space="0" w:color="auto"/>
        <w:bottom w:val="none" w:sz="0" w:space="0" w:color="auto"/>
        <w:right w:val="none" w:sz="0" w:space="0" w:color="auto"/>
      </w:divBdr>
    </w:div>
    <w:div w:id="1916207680">
      <w:bodyDiv w:val="1"/>
      <w:marLeft w:val="0"/>
      <w:marRight w:val="0"/>
      <w:marTop w:val="0"/>
      <w:marBottom w:val="0"/>
      <w:divBdr>
        <w:top w:val="none" w:sz="0" w:space="0" w:color="auto"/>
        <w:left w:val="none" w:sz="0" w:space="0" w:color="auto"/>
        <w:bottom w:val="none" w:sz="0" w:space="0" w:color="auto"/>
        <w:right w:val="none" w:sz="0" w:space="0" w:color="auto"/>
      </w:divBdr>
    </w:div>
    <w:div w:id="1919702817">
      <w:bodyDiv w:val="1"/>
      <w:marLeft w:val="0"/>
      <w:marRight w:val="0"/>
      <w:marTop w:val="0"/>
      <w:marBottom w:val="0"/>
      <w:divBdr>
        <w:top w:val="none" w:sz="0" w:space="0" w:color="auto"/>
        <w:left w:val="none" w:sz="0" w:space="0" w:color="auto"/>
        <w:bottom w:val="none" w:sz="0" w:space="0" w:color="auto"/>
        <w:right w:val="none" w:sz="0" w:space="0" w:color="auto"/>
      </w:divBdr>
    </w:div>
    <w:div w:id="1936395655">
      <w:bodyDiv w:val="1"/>
      <w:marLeft w:val="0"/>
      <w:marRight w:val="0"/>
      <w:marTop w:val="0"/>
      <w:marBottom w:val="0"/>
      <w:divBdr>
        <w:top w:val="none" w:sz="0" w:space="0" w:color="auto"/>
        <w:left w:val="none" w:sz="0" w:space="0" w:color="auto"/>
        <w:bottom w:val="none" w:sz="0" w:space="0" w:color="auto"/>
        <w:right w:val="none" w:sz="0" w:space="0" w:color="auto"/>
      </w:divBdr>
    </w:div>
    <w:div w:id="1971591014">
      <w:bodyDiv w:val="1"/>
      <w:marLeft w:val="0"/>
      <w:marRight w:val="0"/>
      <w:marTop w:val="0"/>
      <w:marBottom w:val="0"/>
      <w:divBdr>
        <w:top w:val="none" w:sz="0" w:space="0" w:color="auto"/>
        <w:left w:val="none" w:sz="0" w:space="0" w:color="auto"/>
        <w:bottom w:val="none" w:sz="0" w:space="0" w:color="auto"/>
        <w:right w:val="none" w:sz="0" w:space="0" w:color="auto"/>
      </w:divBdr>
    </w:div>
    <w:div w:id="1973749099">
      <w:bodyDiv w:val="1"/>
      <w:marLeft w:val="0"/>
      <w:marRight w:val="0"/>
      <w:marTop w:val="0"/>
      <w:marBottom w:val="0"/>
      <w:divBdr>
        <w:top w:val="none" w:sz="0" w:space="0" w:color="auto"/>
        <w:left w:val="none" w:sz="0" w:space="0" w:color="auto"/>
        <w:bottom w:val="none" w:sz="0" w:space="0" w:color="auto"/>
        <w:right w:val="none" w:sz="0" w:space="0" w:color="auto"/>
      </w:divBdr>
    </w:div>
    <w:div w:id="1993825108">
      <w:bodyDiv w:val="1"/>
      <w:marLeft w:val="0"/>
      <w:marRight w:val="0"/>
      <w:marTop w:val="0"/>
      <w:marBottom w:val="0"/>
      <w:divBdr>
        <w:top w:val="none" w:sz="0" w:space="0" w:color="auto"/>
        <w:left w:val="none" w:sz="0" w:space="0" w:color="auto"/>
        <w:bottom w:val="none" w:sz="0" w:space="0" w:color="auto"/>
        <w:right w:val="none" w:sz="0" w:space="0" w:color="auto"/>
      </w:divBdr>
    </w:div>
    <w:div w:id="2007587810">
      <w:bodyDiv w:val="1"/>
      <w:marLeft w:val="0"/>
      <w:marRight w:val="0"/>
      <w:marTop w:val="0"/>
      <w:marBottom w:val="0"/>
      <w:divBdr>
        <w:top w:val="none" w:sz="0" w:space="0" w:color="auto"/>
        <w:left w:val="none" w:sz="0" w:space="0" w:color="auto"/>
        <w:bottom w:val="none" w:sz="0" w:space="0" w:color="auto"/>
        <w:right w:val="none" w:sz="0" w:space="0" w:color="auto"/>
      </w:divBdr>
    </w:div>
    <w:div w:id="2016956355">
      <w:bodyDiv w:val="1"/>
      <w:marLeft w:val="0"/>
      <w:marRight w:val="0"/>
      <w:marTop w:val="0"/>
      <w:marBottom w:val="0"/>
      <w:divBdr>
        <w:top w:val="none" w:sz="0" w:space="0" w:color="auto"/>
        <w:left w:val="none" w:sz="0" w:space="0" w:color="auto"/>
        <w:bottom w:val="none" w:sz="0" w:space="0" w:color="auto"/>
        <w:right w:val="none" w:sz="0" w:space="0" w:color="auto"/>
      </w:divBdr>
    </w:div>
    <w:div w:id="2019577573">
      <w:bodyDiv w:val="1"/>
      <w:marLeft w:val="0"/>
      <w:marRight w:val="0"/>
      <w:marTop w:val="0"/>
      <w:marBottom w:val="0"/>
      <w:divBdr>
        <w:top w:val="none" w:sz="0" w:space="0" w:color="auto"/>
        <w:left w:val="none" w:sz="0" w:space="0" w:color="auto"/>
        <w:bottom w:val="none" w:sz="0" w:space="0" w:color="auto"/>
        <w:right w:val="none" w:sz="0" w:space="0" w:color="auto"/>
      </w:divBdr>
    </w:div>
    <w:div w:id="2031636751">
      <w:bodyDiv w:val="1"/>
      <w:marLeft w:val="0"/>
      <w:marRight w:val="0"/>
      <w:marTop w:val="0"/>
      <w:marBottom w:val="0"/>
      <w:divBdr>
        <w:top w:val="none" w:sz="0" w:space="0" w:color="auto"/>
        <w:left w:val="none" w:sz="0" w:space="0" w:color="auto"/>
        <w:bottom w:val="none" w:sz="0" w:space="0" w:color="auto"/>
        <w:right w:val="none" w:sz="0" w:space="0" w:color="auto"/>
      </w:divBdr>
    </w:div>
    <w:div w:id="2035770360">
      <w:bodyDiv w:val="1"/>
      <w:marLeft w:val="0"/>
      <w:marRight w:val="0"/>
      <w:marTop w:val="0"/>
      <w:marBottom w:val="0"/>
      <w:divBdr>
        <w:top w:val="none" w:sz="0" w:space="0" w:color="auto"/>
        <w:left w:val="none" w:sz="0" w:space="0" w:color="auto"/>
        <w:bottom w:val="none" w:sz="0" w:space="0" w:color="auto"/>
        <w:right w:val="none" w:sz="0" w:space="0" w:color="auto"/>
      </w:divBdr>
    </w:div>
    <w:div w:id="2038845098">
      <w:bodyDiv w:val="1"/>
      <w:marLeft w:val="0"/>
      <w:marRight w:val="0"/>
      <w:marTop w:val="0"/>
      <w:marBottom w:val="0"/>
      <w:divBdr>
        <w:top w:val="none" w:sz="0" w:space="0" w:color="auto"/>
        <w:left w:val="none" w:sz="0" w:space="0" w:color="auto"/>
        <w:bottom w:val="none" w:sz="0" w:space="0" w:color="auto"/>
        <w:right w:val="none" w:sz="0" w:space="0" w:color="auto"/>
      </w:divBdr>
    </w:div>
    <w:div w:id="2059744433">
      <w:bodyDiv w:val="1"/>
      <w:marLeft w:val="0"/>
      <w:marRight w:val="0"/>
      <w:marTop w:val="0"/>
      <w:marBottom w:val="0"/>
      <w:divBdr>
        <w:top w:val="none" w:sz="0" w:space="0" w:color="auto"/>
        <w:left w:val="none" w:sz="0" w:space="0" w:color="auto"/>
        <w:bottom w:val="none" w:sz="0" w:space="0" w:color="auto"/>
        <w:right w:val="none" w:sz="0" w:space="0" w:color="auto"/>
      </w:divBdr>
    </w:div>
    <w:div w:id="21409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ulation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epa.gov/enviro/facts/sdwis/search.html" TargetMode="External"/><Relationship Id="rId17" Type="http://schemas.openxmlformats.org/officeDocument/2006/relationships/hyperlink" Target="file:///\\betfilesrv02\redirected$\peppingt\Desktop\Task%203%20ICR\www.regulations.gov" TargetMode="External"/><Relationship Id="rId2" Type="http://schemas.openxmlformats.org/officeDocument/2006/relationships/customXml" Target="../customXml/item2.xml"/><Relationship Id="rId16" Type="http://schemas.openxmlformats.org/officeDocument/2006/relationships/hyperlink" Target="https://www.regulation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ulation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a.gov/tribal/consultation/index.htm" TargetMode="External"/><Relationship Id="rId2" Type="http://schemas.openxmlformats.org/officeDocument/2006/relationships/hyperlink" Target="https://www.epa.gov/dwstandardsregulations/ndwac-recommendations-administrator-long-term-revisions-lead-and-copper-rule" TargetMode="External"/><Relationship Id="rId1" Type="http://schemas.openxmlformats.org/officeDocument/2006/relationships/hyperlink" Target="https://www.epa.gov/dwstandardsregulations/lcr-federalism-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2020-07-20T16:17:44+00:00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9ff7ff4e-aef6-4ce7-8612-694feda45ae4" xsi:nil="true"/>
    <Records_x0020_Status xmlns="9ff7ff4e-aef6-4ce7-8612-694feda45ae4">Pending</Records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F417-B9D6-454C-93C9-49F85A5A6FD2}">
  <ds:schemaRefs>
    <ds:schemaRef ds:uri="Microsoft.SharePoint.Taxonomy.ContentTypeSync"/>
  </ds:schemaRefs>
</ds:datastoreItem>
</file>

<file path=customXml/itemProps2.xml><?xml version="1.0" encoding="utf-8"?>
<ds:datastoreItem xmlns:ds="http://schemas.openxmlformats.org/officeDocument/2006/customXml" ds:itemID="{5AB5763A-EDD7-4BD0-9B87-1551AC1B916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ff7ff4e-aef6-4ce7-8612-694feda45ae4"/>
  </ds:schemaRefs>
</ds:datastoreItem>
</file>

<file path=customXml/itemProps3.xml><?xml version="1.0" encoding="utf-8"?>
<ds:datastoreItem xmlns:ds="http://schemas.openxmlformats.org/officeDocument/2006/customXml" ds:itemID="{6D3D6741-06F8-4F2A-90E5-19B410F0CBA1}">
  <ds:schemaRefs>
    <ds:schemaRef ds:uri="http://schemas.microsoft.com/sharepoint/v3/contenttype/forms"/>
  </ds:schemaRefs>
</ds:datastoreItem>
</file>

<file path=customXml/itemProps4.xml><?xml version="1.0" encoding="utf-8"?>
<ds:datastoreItem xmlns:ds="http://schemas.openxmlformats.org/officeDocument/2006/customXml" ds:itemID="{274088FC-F743-4EF2-9CD2-6A128712D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F0C0C3-998D-47A9-8D15-37C76B66B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14598</Words>
  <Characters>83209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Environomics</Company>
  <LinksUpToDate>false</LinksUpToDate>
  <CharactersWithSpaces>97612</CharactersWithSpaces>
  <SharedDoc>false</SharedDoc>
  <HLinks>
    <vt:vector size="228" baseType="variant">
      <vt:variant>
        <vt:i4>3342352</vt:i4>
      </vt:variant>
      <vt:variant>
        <vt:i4>224</vt:i4>
      </vt:variant>
      <vt:variant>
        <vt:i4>0</vt:i4>
      </vt:variant>
      <vt:variant>
        <vt:i4>5</vt:i4>
      </vt:variant>
      <vt:variant>
        <vt:lpwstr>http://www.epa.gov/safewater/lcrmr/pdfs/summary_lcmr_review_lead_line_replacement_workshop_10-26-04.pdf</vt:lpwstr>
      </vt:variant>
      <vt:variant>
        <vt:lpwstr/>
      </vt:variant>
      <vt:variant>
        <vt:i4>2490472</vt:i4>
      </vt:variant>
      <vt:variant>
        <vt:i4>221</vt:i4>
      </vt:variant>
      <vt:variant>
        <vt:i4>0</vt:i4>
      </vt:variant>
      <vt:variant>
        <vt:i4>5</vt:i4>
      </vt:variant>
      <vt:variant>
        <vt:lpwstr>http://www.epa.gov/safewater/data/pivottables.html</vt:lpwstr>
      </vt:variant>
      <vt:variant>
        <vt:lpwstr/>
      </vt:variant>
      <vt:variant>
        <vt:i4>1245238</vt:i4>
      </vt:variant>
      <vt:variant>
        <vt:i4>212</vt:i4>
      </vt:variant>
      <vt:variant>
        <vt:i4>0</vt:i4>
      </vt:variant>
      <vt:variant>
        <vt:i4>5</vt:i4>
      </vt:variant>
      <vt:variant>
        <vt:lpwstr/>
      </vt:variant>
      <vt:variant>
        <vt:lpwstr>_Toc160872081</vt:lpwstr>
      </vt:variant>
      <vt:variant>
        <vt:i4>1245238</vt:i4>
      </vt:variant>
      <vt:variant>
        <vt:i4>206</vt:i4>
      </vt:variant>
      <vt:variant>
        <vt:i4>0</vt:i4>
      </vt:variant>
      <vt:variant>
        <vt:i4>5</vt:i4>
      </vt:variant>
      <vt:variant>
        <vt:lpwstr/>
      </vt:variant>
      <vt:variant>
        <vt:lpwstr>_Toc160872080</vt:lpwstr>
      </vt:variant>
      <vt:variant>
        <vt:i4>1835062</vt:i4>
      </vt:variant>
      <vt:variant>
        <vt:i4>200</vt:i4>
      </vt:variant>
      <vt:variant>
        <vt:i4>0</vt:i4>
      </vt:variant>
      <vt:variant>
        <vt:i4>5</vt:i4>
      </vt:variant>
      <vt:variant>
        <vt:lpwstr/>
      </vt:variant>
      <vt:variant>
        <vt:lpwstr>_Toc160872079</vt:lpwstr>
      </vt:variant>
      <vt:variant>
        <vt:i4>1835062</vt:i4>
      </vt:variant>
      <vt:variant>
        <vt:i4>194</vt:i4>
      </vt:variant>
      <vt:variant>
        <vt:i4>0</vt:i4>
      </vt:variant>
      <vt:variant>
        <vt:i4>5</vt:i4>
      </vt:variant>
      <vt:variant>
        <vt:lpwstr/>
      </vt:variant>
      <vt:variant>
        <vt:lpwstr>_Toc160872078</vt:lpwstr>
      </vt:variant>
      <vt:variant>
        <vt:i4>1835062</vt:i4>
      </vt:variant>
      <vt:variant>
        <vt:i4>188</vt:i4>
      </vt:variant>
      <vt:variant>
        <vt:i4>0</vt:i4>
      </vt:variant>
      <vt:variant>
        <vt:i4>5</vt:i4>
      </vt:variant>
      <vt:variant>
        <vt:lpwstr/>
      </vt:variant>
      <vt:variant>
        <vt:lpwstr>_Toc160872077</vt:lpwstr>
      </vt:variant>
      <vt:variant>
        <vt:i4>1835062</vt:i4>
      </vt:variant>
      <vt:variant>
        <vt:i4>182</vt:i4>
      </vt:variant>
      <vt:variant>
        <vt:i4>0</vt:i4>
      </vt:variant>
      <vt:variant>
        <vt:i4>5</vt:i4>
      </vt:variant>
      <vt:variant>
        <vt:lpwstr/>
      </vt:variant>
      <vt:variant>
        <vt:lpwstr>_Toc160872076</vt:lpwstr>
      </vt:variant>
      <vt:variant>
        <vt:i4>1835062</vt:i4>
      </vt:variant>
      <vt:variant>
        <vt:i4>176</vt:i4>
      </vt:variant>
      <vt:variant>
        <vt:i4>0</vt:i4>
      </vt:variant>
      <vt:variant>
        <vt:i4>5</vt:i4>
      </vt:variant>
      <vt:variant>
        <vt:lpwstr/>
      </vt:variant>
      <vt:variant>
        <vt:lpwstr>_Toc160872075</vt:lpwstr>
      </vt:variant>
      <vt:variant>
        <vt:i4>1835062</vt:i4>
      </vt:variant>
      <vt:variant>
        <vt:i4>170</vt:i4>
      </vt:variant>
      <vt:variant>
        <vt:i4>0</vt:i4>
      </vt:variant>
      <vt:variant>
        <vt:i4>5</vt:i4>
      </vt:variant>
      <vt:variant>
        <vt:lpwstr/>
      </vt:variant>
      <vt:variant>
        <vt:lpwstr>_Toc160872074</vt:lpwstr>
      </vt:variant>
      <vt:variant>
        <vt:i4>1835062</vt:i4>
      </vt:variant>
      <vt:variant>
        <vt:i4>164</vt:i4>
      </vt:variant>
      <vt:variant>
        <vt:i4>0</vt:i4>
      </vt:variant>
      <vt:variant>
        <vt:i4>5</vt:i4>
      </vt:variant>
      <vt:variant>
        <vt:lpwstr/>
      </vt:variant>
      <vt:variant>
        <vt:lpwstr>_Toc160872073</vt:lpwstr>
      </vt:variant>
      <vt:variant>
        <vt:i4>1835062</vt:i4>
      </vt:variant>
      <vt:variant>
        <vt:i4>158</vt:i4>
      </vt:variant>
      <vt:variant>
        <vt:i4>0</vt:i4>
      </vt:variant>
      <vt:variant>
        <vt:i4>5</vt:i4>
      </vt:variant>
      <vt:variant>
        <vt:lpwstr/>
      </vt:variant>
      <vt:variant>
        <vt:lpwstr>_Toc160872072</vt:lpwstr>
      </vt:variant>
      <vt:variant>
        <vt:i4>1835062</vt:i4>
      </vt:variant>
      <vt:variant>
        <vt:i4>152</vt:i4>
      </vt:variant>
      <vt:variant>
        <vt:i4>0</vt:i4>
      </vt:variant>
      <vt:variant>
        <vt:i4>5</vt:i4>
      </vt:variant>
      <vt:variant>
        <vt:lpwstr/>
      </vt:variant>
      <vt:variant>
        <vt:lpwstr>_Toc160872071</vt:lpwstr>
      </vt:variant>
      <vt:variant>
        <vt:i4>1835062</vt:i4>
      </vt:variant>
      <vt:variant>
        <vt:i4>146</vt:i4>
      </vt:variant>
      <vt:variant>
        <vt:i4>0</vt:i4>
      </vt:variant>
      <vt:variant>
        <vt:i4>5</vt:i4>
      </vt:variant>
      <vt:variant>
        <vt:lpwstr/>
      </vt:variant>
      <vt:variant>
        <vt:lpwstr>_Toc160872070</vt:lpwstr>
      </vt:variant>
      <vt:variant>
        <vt:i4>1900598</vt:i4>
      </vt:variant>
      <vt:variant>
        <vt:i4>140</vt:i4>
      </vt:variant>
      <vt:variant>
        <vt:i4>0</vt:i4>
      </vt:variant>
      <vt:variant>
        <vt:i4>5</vt:i4>
      </vt:variant>
      <vt:variant>
        <vt:lpwstr/>
      </vt:variant>
      <vt:variant>
        <vt:lpwstr>_Toc160872069</vt:lpwstr>
      </vt:variant>
      <vt:variant>
        <vt:i4>1900598</vt:i4>
      </vt:variant>
      <vt:variant>
        <vt:i4>134</vt:i4>
      </vt:variant>
      <vt:variant>
        <vt:i4>0</vt:i4>
      </vt:variant>
      <vt:variant>
        <vt:i4>5</vt:i4>
      </vt:variant>
      <vt:variant>
        <vt:lpwstr/>
      </vt:variant>
      <vt:variant>
        <vt:lpwstr>_Toc160872068</vt:lpwstr>
      </vt:variant>
      <vt:variant>
        <vt:i4>1900598</vt:i4>
      </vt:variant>
      <vt:variant>
        <vt:i4>128</vt:i4>
      </vt:variant>
      <vt:variant>
        <vt:i4>0</vt:i4>
      </vt:variant>
      <vt:variant>
        <vt:i4>5</vt:i4>
      </vt:variant>
      <vt:variant>
        <vt:lpwstr/>
      </vt:variant>
      <vt:variant>
        <vt:lpwstr>_Toc160872067</vt:lpwstr>
      </vt:variant>
      <vt:variant>
        <vt:i4>1900598</vt:i4>
      </vt:variant>
      <vt:variant>
        <vt:i4>122</vt:i4>
      </vt:variant>
      <vt:variant>
        <vt:i4>0</vt:i4>
      </vt:variant>
      <vt:variant>
        <vt:i4>5</vt:i4>
      </vt:variant>
      <vt:variant>
        <vt:lpwstr/>
      </vt:variant>
      <vt:variant>
        <vt:lpwstr>_Toc160872066</vt:lpwstr>
      </vt:variant>
      <vt:variant>
        <vt:i4>1900598</vt:i4>
      </vt:variant>
      <vt:variant>
        <vt:i4>116</vt:i4>
      </vt:variant>
      <vt:variant>
        <vt:i4>0</vt:i4>
      </vt:variant>
      <vt:variant>
        <vt:i4>5</vt:i4>
      </vt:variant>
      <vt:variant>
        <vt:lpwstr/>
      </vt:variant>
      <vt:variant>
        <vt:lpwstr>_Toc160872065</vt:lpwstr>
      </vt:variant>
      <vt:variant>
        <vt:i4>1900598</vt:i4>
      </vt:variant>
      <vt:variant>
        <vt:i4>110</vt:i4>
      </vt:variant>
      <vt:variant>
        <vt:i4>0</vt:i4>
      </vt:variant>
      <vt:variant>
        <vt:i4>5</vt:i4>
      </vt:variant>
      <vt:variant>
        <vt:lpwstr/>
      </vt:variant>
      <vt:variant>
        <vt:lpwstr>_Toc160872064</vt:lpwstr>
      </vt:variant>
      <vt:variant>
        <vt:i4>1900598</vt:i4>
      </vt:variant>
      <vt:variant>
        <vt:i4>104</vt:i4>
      </vt:variant>
      <vt:variant>
        <vt:i4>0</vt:i4>
      </vt:variant>
      <vt:variant>
        <vt:i4>5</vt:i4>
      </vt:variant>
      <vt:variant>
        <vt:lpwstr/>
      </vt:variant>
      <vt:variant>
        <vt:lpwstr>_Toc160872063</vt:lpwstr>
      </vt:variant>
      <vt:variant>
        <vt:i4>1900598</vt:i4>
      </vt:variant>
      <vt:variant>
        <vt:i4>98</vt:i4>
      </vt:variant>
      <vt:variant>
        <vt:i4>0</vt:i4>
      </vt:variant>
      <vt:variant>
        <vt:i4>5</vt:i4>
      </vt:variant>
      <vt:variant>
        <vt:lpwstr/>
      </vt:variant>
      <vt:variant>
        <vt:lpwstr>_Toc160872062</vt:lpwstr>
      </vt:variant>
      <vt:variant>
        <vt:i4>1900598</vt:i4>
      </vt:variant>
      <vt:variant>
        <vt:i4>92</vt:i4>
      </vt:variant>
      <vt:variant>
        <vt:i4>0</vt:i4>
      </vt:variant>
      <vt:variant>
        <vt:i4>5</vt:i4>
      </vt:variant>
      <vt:variant>
        <vt:lpwstr/>
      </vt:variant>
      <vt:variant>
        <vt:lpwstr>_Toc160872061</vt:lpwstr>
      </vt:variant>
      <vt:variant>
        <vt:i4>1900598</vt:i4>
      </vt:variant>
      <vt:variant>
        <vt:i4>86</vt:i4>
      </vt:variant>
      <vt:variant>
        <vt:i4>0</vt:i4>
      </vt:variant>
      <vt:variant>
        <vt:i4>5</vt:i4>
      </vt:variant>
      <vt:variant>
        <vt:lpwstr/>
      </vt:variant>
      <vt:variant>
        <vt:lpwstr>_Toc160872060</vt:lpwstr>
      </vt:variant>
      <vt:variant>
        <vt:i4>1966134</vt:i4>
      </vt:variant>
      <vt:variant>
        <vt:i4>80</vt:i4>
      </vt:variant>
      <vt:variant>
        <vt:i4>0</vt:i4>
      </vt:variant>
      <vt:variant>
        <vt:i4>5</vt:i4>
      </vt:variant>
      <vt:variant>
        <vt:lpwstr/>
      </vt:variant>
      <vt:variant>
        <vt:lpwstr>_Toc160872059</vt:lpwstr>
      </vt:variant>
      <vt:variant>
        <vt:i4>1966134</vt:i4>
      </vt:variant>
      <vt:variant>
        <vt:i4>74</vt:i4>
      </vt:variant>
      <vt:variant>
        <vt:i4>0</vt:i4>
      </vt:variant>
      <vt:variant>
        <vt:i4>5</vt:i4>
      </vt:variant>
      <vt:variant>
        <vt:lpwstr/>
      </vt:variant>
      <vt:variant>
        <vt:lpwstr>_Toc160872058</vt:lpwstr>
      </vt:variant>
      <vt:variant>
        <vt:i4>1966134</vt:i4>
      </vt:variant>
      <vt:variant>
        <vt:i4>68</vt:i4>
      </vt:variant>
      <vt:variant>
        <vt:i4>0</vt:i4>
      </vt:variant>
      <vt:variant>
        <vt:i4>5</vt:i4>
      </vt:variant>
      <vt:variant>
        <vt:lpwstr/>
      </vt:variant>
      <vt:variant>
        <vt:lpwstr>_Toc160872057</vt:lpwstr>
      </vt:variant>
      <vt:variant>
        <vt:i4>1966134</vt:i4>
      </vt:variant>
      <vt:variant>
        <vt:i4>62</vt:i4>
      </vt:variant>
      <vt:variant>
        <vt:i4>0</vt:i4>
      </vt:variant>
      <vt:variant>
        <vt:i4>5</vt:i4>
      </vt:variant>
      <vt:variant>
        <vt:lpwstr/>
      </vt:variant>
      <vt:variant>
        <vt:lpwstr>_Toc160872056</vt:lpwstr>
      </vt:variant>
      <vt:variant>
        <vt:i4>1966134</vt:i4>
      </vt:variant>
      <vt:variant>
        <vt:i4>56</vt:i4>
      </vt:variant>
      <vt:variant>
        <vt:i4>0</vt:i4>
      </vt:variant>
      <vt:variant>
        <vt:i4>5</vt:i4>
      </vt:variant>
      <vt:variant>
        <vt:lpwstr/>
      </vt:variant>
      <vt:variant>
        <vt:lpwstr>_Toc160872055</vt:lpwstr>
      </vt:variant>
      <vt:variant>
        <vt:i4>1966134</vt:i4>
      </vt:variant>
      <vt:variant>
        <vt:i4>50</vt:i4>
      </vt:variant>
      <vt:variant>
        <vt:i4>0</vt:i4>
      </vt:variant>
      <vt:variant>
        <vt:i4>5</vt:i4>
      </vt:variant>
      <vt:variant>
        <vt:lpwstr/>
      </vt:variant>
      <vt:variant>
        <vt:lpwstr>_Toc160872054</vt:lpwstr>
      </vt:variant>
      <vt:variant>
        <vt:i4>1966134</vt:i4>
      </vt:variant>
      <vt:variant>
        <vt:i4>44</vt:i4>
      </vt:variant>
      <vt:variant>
        <vt:i4>0</vt:i4>
      </vt:variant>
      <vt:variant>
        <vt:i4>5</vt:i4>
      </vt:variant>
      <vt:variant>
        <vt:lpwstr/>
      </vt:variant>
      <vt:variant>
        <vt:lpwstr>_Toc160872053</vt:lpwstr>
      </vt:variant>
      <vt:variant>
        <vt:i4>1966134</vt:i4>
      </vt:variant>
      <vt:variant>
        <vt:i4>38</vt:i4>
      </vt:variant>
      <vt:variant>
        <vt:i4>0</vt:i4>
      </vt:variant>
      <vt:variant>
        <vt:i4>5</vt:i4>
      </vt:variant>
      <vt:variant>
        <vt:lpwstr/>
      </vt:variant>
      <vt:variant>
        <vt:lpwstr>_Toc160872052</vt:lpwstr>
      </vt:variant>
      <vt:variant>
        <vt:i4>1966134</vt:i4>
      </vt:variant>
      <vt:variant>
        <vt:i4>32</vt:i4>
      </vt:variant>
      <vt:variant>
        <vt:i4>0</vt:i4>
      </vt:variant>
      <vt:variant>
        <vt:i4>5</vt:i4>
      </vt:variant>
      <vt:variant>
        <vt:lpwstr/>
      </vt:variant>
      <vt:variant>
        <vt:lpwstr>_Toc160872051</vt:lpwstr>
      </vt:variant>
      <vt:variant>
        <vt:i4>1966134</vt:i4>
      </vt:variant>
      <vt:variant>
        <vt:i4>26</vt:i4>
      </vt:variant>
      <vt:variant>
        <vt:i4>0</vt:i4>
      </vt:variant>
      <vt:variant>
        <vt:i4>5</vt:i4>
      </vt:variant>
      <vt:variant>
        <vt:lpwstr/>
      </vt:variant>
      <vt:variant>
        <vt:lpwstr>_Toc160872050</vt:lpwstr>
      </vt:variant>
      <vt:variant>
        <vt:i4>2031670</vt:i4>
      </vt:variant>
      <vt:variant>
        <vt:i4>20</vt:i4>
      </vt:variant>
      <vt:variant>
        <vt:i4>0</vt:i4>
      </vt:variant>
      <vt:variant>
        <vt:i4>5</vt:i4>
      </vt:variant>
      <vt:variant>
        <vt:lpwstr/>
      </vt:variant>
      <vt:variant>
        <vt:lpwstr>_Toc160872049</vt:lpwstr>
      </vt:variant>
      <vt:variant>
        <vt:i4>2031670</vt:i4>
      </vt:variant>
      <vt:variant>
        <vt:i4>14</vt:i4>
      </vt:variant>
      <vt:variant>
        <vt:i4>0</vt:i4>
      </vt:variant>
      <vt:variant>
        <vt:i4>5</vt:i4>
      </vt:variant>
      <vt:variant>
        <vt:lpwstr/>
      </vt:variant>
      <vt:variant>
        <vt:lpwstr>_Toc160872048</vt:lpwstr>
      </vt:variant>
      <vt:variant>
        <vt:i4>2031670</vt:i4>
      </vt:variant>
      <vt:variant>
        <vt:i4>8</vt:i4>
      </vt:variant>
      <vt:variant>
        <vt:i4>0</vt:i4>
      </vt:variant>
      <vt:variant>
        <vt:i4>5</vt:i4>
      </vt:variant>
      <vt:variant>
        <vt:lpwstr/>
      </vt:variant>
      <vt:variant>
        <vt:lpwstr>_Toc160872047</vt:lpwstr>
      </vt:variant>
      <vt:variant>
        <vt:i4>2031670</vt:i4>
      </vt:variant>
      <vt:variant>
        <vt:i4>2</vt:i4>
      </vt:variant>
      <vt:variant>
        <vt:i4>0</vt:i4>
      </vt:variant>
      <vt:variant>
        <vt:i4>5</vt:i4>
      </vt:variant>
      <vt:variant>
        <vt:lpwstr/>
      </vt:variant>
      <vt:variant>
        <vt:lpwstr>_Toc160872046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Glidden-Lyon</dc:creator>
  <cp:lastModifiedBy>McGrath, Daniel</cp:lastModifiedBy>
  <cp:revision>3</cp:revision>
  <cp:lastPrinted>2019-06-24T16:12:00Z</cp:lastPrinted>
  <dcterms:created xsi:type="dcterms:W3CDTF">2020-12-21T17:45:00Z</dcterms:created>
  <dcterms:modified xsi:type="dcterms:W3CDTF">2020-12-23T20:02:00Z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