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6CCCCD9E" w14:textId="77777777">
          <w:pPr>
            <w:rPr>
              <w:noProof/>
            </w:rPr>
          </w:pPr>
          <w:r>
            <w:rPr>
              <w:noProof/>
            </w:rPr>
            <mc:AlternateContent>
              <mc:Choice Requires="wps">
                <w:drawing>
                  <wp:anchor distT="0" distB="0" distL="114300" distR="114300" simplePos="0" relativeHeight="251658242" behindDoc="1" locked="0" layoutInCell="1" allowOverlap="1" wp14:editId="519C5C58" wp14:anchorId="56713F75">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10E0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editId="7BD1F366" wp14:anchorId="768F8AEF">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editId="2AB199E6" wp14:anchorId="40738492">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oned="t" filled="f" o:spt="32" path="m,l21600,21600e" w14:anchorId="6156B85D">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07F905F0" w14:textId="77777777">
          <w:pPr>
            <w:ind w:left="1080"/>
          </w:pPr>
          <w:r>
            <w:rPr>
              <w:noProof/>
            </w:rPr>
            <w:softHyphen/>
          </w:r>
          <w:r>
            <w:rPr>
              <w:noProof/>
            </w:rPr>
            <w:softHyphen/>
          </w:r>
          <w:r>
            <w:rPr>
              <w:noProof/>
            </w:rPr>
            <w:softHyphen/>
          </w:r>
        </w:p>
      </w:sdtContent>
    </w:sdt>
    <w:p w:rsidR="00D928FD" w:rsidP="00D928FD" w:rsidRDefault="00D928FD" w14:paraId="77656C13" w14:textId="77777777"/>
    <w:bookmarkStart w:name="_Toc492634199" w:displacedByCustomXml="next" w:id="0"/>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6A7E28" w:rsidP="006A7E28" w:rsidRDefault="00823BCB" w14:paraId="08F01555" w14:textId="29373B51">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w:t>
          </w:r>
        </w:p>
      </w:sdtContent>
    </w:sdt>
    <w:p w:rsidRPr="00EE2CAF" w:rsidR="0059212D" w:rsidP="006A7E28" w:rsidRDefault="00EE2CAF" w14:paraId="7D6F1E3D" w14:textId="77777777">
      <w:pPr>
        <w:pStyle w:val="Heading1"/>
      </w:pPr>
      <w:r w:rsidRPr="00EE2CAF">
        <w:t>Part A: Justification</w:t>
      </w:r>
      <w:bookmarkEnd w:id="0"/>
    </w:p>
    <w:p w:rsidRPr="00711414" w:rsidR="00711414" w:rsidP="00D928FD" w:rsidRDefault="0059212D" w14:paraId="2AE80B7D" w14:textId="77777777">
      <w:pPr>
        <w:rPr>
          <w:b/>
          <w:sz w:val="36"/>
          <w:szCs w:val="36"/>
        </w:rPr>
      </w:pPr>
      <w:r>
        <w:rPr>
          <w:noProof/>
        </w:rPr>
        <mc:AlternateContent>
          <mc:Choice Requires="wps">
            <w:drawing>
              <wp:anchor distT="0" distB="0" distL="114300" distR="114300" simplePos="0" relativeHeight="251658249" behindDoc="0" locked="0" layoutInCell="1" allowOverlap="1" wp14:editId="4B4E2726" wp14:anchorId="7A69E39E">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1B2ED7" w:rsidP="006A7E28" w:rsidRDefault="001B2ED7" w14:paraId="5BD284BA" w14:textId="64A1BFA8">
                            <w:pPr>
                              <w:rPr>
                                <w:i/>
                                <w:sz w:val="28"/>
                                <w:szCs w:val="28"/>
                              </w:rPr>
                            </w:pPr>
                            <w:r w:rsidRPr="00B57CEF">
                              <w:rPr>
                                <w:sz w:val="28"/>
                                <w:szCs w:val="28"/>
                              </w:rPr>
                              <w:t>Form OE-417</w:t>
                            </w:r>
                            <w:r w:rsidRPr="0059212D">
                              <w:rPr>
                                <w:i/>
                                <w:sz w:val="28"/>
                                <w:szCs w:val="28"/>
                              </w:rPr>
                              <w:t xml:space="preserve"> </w:t>
                            </w:r>
                            <w:r w:rsidRPr="00E373EC">
                              <w:rPr>
                                <w:i/>
                                <w:sz w:val="28"/>
                                <w:szCs w:val="28"/>
                              </w:rPr>
                              <w:t>Electric Emergency Incident and Disturbance Report</w:t>
                            </w:r>
                          </w:p>
                          <w:p w:rsidRPr="0059212D" w:rsidR="001B2ED7" w:rsidP="00FB6BF3" w:rsidRDefault="001B2ED7" w14:paraId="363AAB50"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7A69E39E">
                <v:stroke joinstyle="miter"/>
                <v:path gradientshapeok="t" o:connecttype="rect"/>
              </v:shapetype>
              <v:shape id="Text Box 10" style="position:absolute;margin-left:0;margin-top:231.75pt;width:474pt;height:26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59212D" w:rsidR="001B2ED7" w:rsidP="006A7E28" w:rsidRDefault="001B2ED7" w14:paraId="5BD284BA" w14:textId="64A1BFA8">
                      <w:pPr>
                        <w:rPr>
                          <w:i/>
                          <w:sz w:val="28"/>
                          <w:szCs w:val="28"/>
                        </w:rPr>
                      </w:pPr>
                      <w:r w:rsidRPr="00B57CEF">
                        <w:rPr>
                          <w:sz w:val="28"/>
                          <w:szCs w:val="28"/>
                        </w:rPr>
                        <w:t>Form OE-417</w:t>
                      </w:r>
                      <w:r w:rsidRPr="0059212D">
                        <w:rPr>
                          <w:i/>
                          <w:sz w:val="28"/>
                          <w:szCs w:val="28"/>
                        </w:rPr>
                        <w:t xml:space="preserve"> </w:t>
                      </w:r>
                      <w:r w:rsidRPr="00E373EC">
                        <w:rPr>
                          <w:i/>
                          <w:sz w:val="28"/>
                          <w:szCs w:val="28"/>
                        </w:rPr>
                        <w:t>Electric Emergency Incident and Disturbance Report</w:t>
                      </w:r>
                    </w:p>
                    <w:p w:rsidRPr="0059212D" w:rsidR="001B2ED7" w:rsidP="00FB6BF3" w:rsidRDefault="001B2ED7" w14:paraId="363AAB50" w14:textId="77777777">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 190</w:t>
      </w:r>
      <w:r w:rsidR="006A7E28">
        <w:rPr>
          <w:rFonts w:ascii="Times New Roman" w:hAnsi="Times New Roman" w:cs="Times New Roman"/>
          <w:b/>
          <w:sz w:val="36"/>
          <w:szCs w:val="36"/>
        </w:rPr>
        <w:t>1-0288</w:t>
      </w:r>
    </w:p>
    <w:p w:rsidRPr="00711414" w:rsidR="001F3A8F" w:rsidP="00711414" w:rsidRDefault="00EE2CAF" w14:paraId="230D81AB" w14:textId="77777777">
      <w:pPr>
        <w:rPr>
          <w:i/>
          <w:sz w:val="28"/>
          <w:szCs w:val="28"/>
        </w:rPr>
      </w:pPr>
      <w:r>
        <w:rPr>
          <w:noProof/>
        </w:rPr>
        <mc:AlternateContent>
          <mc:Choice Requires="wps">
            <w:drawing>
              <wp:anchor distT="0" distB="0" distL="114300" distR="114300" simplePos="0" relativeHeight="251658245" behindDoc="0" locked="0" layoutInCell="1" allowOverlap="1" wp14:editId="1D77EBF2" wp14:anchorId="1040B54C">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B2ED7" w:rsidRDefault="006E3D95" w14:paraId="1A90A461" w14:textId="660EEA80">
                            <w:pPr>
                              <w:rPr>
                                <w:color w:val="A6A6A6" w:themeColor="background1" w:themeShade="A6"/>
                                <w:sz w:val="36"/>
                              </w:rPr>
                            </w:pPr>
                            <w:r>
                              <w:rPr>
                                <w:color w:val="A6A6A6" w:themeColor="background1" w:themeShade="A6"/>
                                <w:sz w:val="36"/>
                              </w:rPr>
                              <w:t>December</w:t>
                            </w:r>
                            <w:r w:rsidR="001B2ED7">
                              <w:rPr>
                                <w:color w:val="A6A6A6" w:themeColor="background1" w:themeShade="A6"/>
                                <w:sz w:val="36"/>
                              </w:rPr>
                              <w:t xml:space="preserve">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40B54C">
                <v:stroke joinstyle="miter"/>
                <v:path gradientshapeok="t" o:connecttype="rect"/>
              </v:shapetype>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v:textbox style="mso-fit-shape-to-text:t" inset="0">
                  <w:txbxContent>
                    <w:p w:rsidRPr="009818F9" w:rsidR="001B2ED7" w:rsidRDefault="006E3D95" w14:paraId="1A90A461" w14:textId="660EEA80">
                      <w:pPr>
                        <w:rPr>
                          <w:color w:val="A6A6A6" w:themeColor="background1" w:themeShade="A6"/>
                          <w:sz w:val="36"/>
                        </w:rPr>
                      </w:pPr>
                      <w:r>
                        <w:rPr>
                          <w:color w:val="A6A6A6" w:themeColor="background1" w:themeShade="A6"/>
                          <w:sz w:val="36"/>
                        </w:rPr>
                        <w:t>December</w:t>
                      </w:r>
                      <w:r w:rsidR="001B2ED7">
                        <w:rPr>
                          <w:color w:val="A6A6A6" w:themeColor="background1" w:themeShade="A6"/>
                          <w:sz w:val="36"/>
                        </w:rPr>
                        <w:t xml:space="preserve"> 2020</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1" locked="0" layoutInCell="1" allowOverlap="1" wp14:editId="40C3112C" wp14:anchorId="1CA35365">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4"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1B35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editId="615B8371" wp14:anchorId="1676A9C4">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B2ED7" w:rsidP="00D001E4" w:rsidRDefault="001B2ED7" w14:paraId="02099218"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1676A9C4">
                <v:textbox inset="0">
                  <w:txbxContent>
                    <w:p w:rsidRPr="00AA3D91" w:rsidR="001B2ED7" w:rsidP="00D001E4" w:rsidRDefault="001B2ED7" w14:paraId="02099218"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editId="2001EB54" wp14:anchorId="0ECE6B95">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58247" behindDoc="0" locked="0" layoutInCell="1" allowOverlap="1" wp14:editId="168C1AB0" wp14:anchorId="04ADB1D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B2ED7" w:rsidP="00D300F4" w:rsidRDefault="001B2ED7" w14:paraId="71BB432D"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B2ED7" w:rsidP="002556F3" w:rsidRDefault="001B2ED7" w14:paraId="380CFB2D"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04ADB1D6">
                <v:textbox inset="0,,0">
                  <w:txbxContent>
                    <w:p w:rsidRPr="008F4CBD" w:rsidR="001B2ED7" w:rsidP="00D300F4" w:rsidRDefault="001B2ED7" w14:paraId="71BB432D"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B2ED7" w:rsidP="002556F3" w:rsidRDefault="001B2ED7" w14:paraId="380CFB2D"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editId="501EF07D" wp14:anchorId="17E89168">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B2ED7" w:rsidP="002556F3" w:rsidRDefault="001B2ED7" w14:paraId="3567D7F0"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B2ED7" w:rsidP="002556F3" w:rsidRDefault="001B2ED7" w14:paraId="6BD3F1DE"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17E89168">
                <v:textbox inset="0">
                  <w:txbxContent>
                    <w:p w:rsidRPr="008F4CBD" w:rsidR="001B2ED7" w:rsidP="002556F3" w:rsidRDefault="001B2ED7" w14:paraId="3567D7F0"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B2ED7" w:rsidP="002556F3" w:rsidRDefault="001B2ED7" w14:paraId="6BD3F1DE"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58344CFE" w14:textId="77777777">
      <w:pPr>
        <w:sectPr w:rsidR="00755C3D" w:rsidSect="001F3A8F">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697A9E3D" w14:textId="77777777">
          <w:pPr>
            <w:pStyle w:val="TOCHeading"/>
          </w:pPr>
          <w:r>
            <w:t>Table of Contents</w:t>
          </w:r>
        </w:p>
        <w:p w:rsidR="00933D5D" w:rsidRDefault="0059212D" w14:paraId="20156E91" w14:textId="77777777">
          <w:pPr>
            <w:pStyle w:val="TOC1"/>
            <w:rPr>
              <w:rFonts w:eastAsiaTheme="minorEastAsia"/>
              <w:noProof/>
              <w:color w:val="auto"/>
            </w:rPr>
          </w:pPr>
          <w:r>
            <w:fldChar w:fldCharType="begin"/>
          </w:r>
          <w:r>
            <w:instrText xml:space="preserve"> TOC \o "1-3" \h \z \u </w:instrText>
          </w:r>
          <w:r>
            <w:fldChar w:fldCharType="separate"/>
          </w:r>
          <w:hyperlink w:history="1" w:anchor="_Toc492634199">
            <w:r w:rsidRPr="00593C41" w:rsidR="00933D5D">
              <w:rPr>
                <w:rStyle w:val="Hyperlink"/>
                <w:noProof/>
              </w:rPr>
              <w:t>Part A: Justification</w:t>
            </w:r>
            <w:r w:rsidR="00933D5D">
              <w:rPr>
                <w:noProof/>
                <w:webHidden/>
              </w:rPr>
              <w:tab/>
            </w:r>
            <w:r w:rsidR="00933D5D">
              <w:rPr>
                <w:noProof/>
                <w:webHidden/>
              </w:rPr>
              <w:fldChar w:fldCharType="begin"/>
            </w:r>
            <w:r w:rsidR="00933D5D">
              <w:rPr>
                <w:noProof/>
                <w:webHidden/>
              </w:rPr>
              <w:instrText xml:space="preserve"> PAGEREF _Toc492634199 \h </w:instrText>
            </w:r>
            <w:r w:rsidR="00933D5D">
              <w:rPr>
                <w:noProof/>
                <w:webHidden/>
              </w:rPr>
            </w:r>
            <w:r w:rsidR="00933D5D">
              <w:rPr>
                <w:noProof/>
                <w:webHidden/>
              </w:rPr>
              <w:fldChar w:fldCharType="separate"/>
            </w:r>
            <w:r w:rsidR="00933D5D">
              <w:rPr>
                <w:noProof/>
                <w:webHidden/>
              </w:rPr>
              <w:t>i</w:t>
            </w:r>
            <w:r w:rsidR="00933D5D">
              <w:rPr>
                <w:noProof/>
                <w:webHidden/>
              </w:rPr>
              <w:fldChar w:fldCharType="end"/>
            </w:r>
          </w:hyperlink>
        </w:p>
        <w:p w:rsidR="00933D5D" w:rsidRDefault="006E3D95" w14:paraId="713F736F" w14:textId="77777777">
          <w:pPr>
            <w:pStyle w:val="TOC2"/>
            <w:rPr>
              <w:rFonts w:eastAsiaTheme="minorEastAsia"/>
              <w:noProof/>
              <w:color w:val="auto"/>
            </w:rPr>
          </w:pPr>
          <w:hyperlink w:history="1" w:anchor="_Toc492634200">
            <w:r w:rsidRPr="00593C41" w:rsidR="00933D5D">
              <w:rPr>
                <w:rStyle w:val="Hyperlink"/>
                <w:noProof/>
              </w:rPr>
              <w:t>Introduction</w:t>
            </w:r>
            <w:r w:rsidR="00933D5D">
              <w:rPr>
                <w:noProof/>
                <w:webHidden/>
              </w:rPr>
              <w:tab/>
            </w:r>
            <w:r w:rsidR="00933D5D">
              <w:rPr>
                <w:noProof/>
                <w:webHidden/>
              </w:rPr>
              <w:fldChar w:fldCharType="begin"/>
            </w:r>
            <w:r w:rsidR="00933D5D">
              <w:rPr>
                <w:noProof/>
                <w:webHidden/>
              </w:rPr>
              <w:instrText xml:space="preserve"> PAGEREF _Toc492634200 \h </w:instrText>
            </w:r>
            <w:r w:rsidR="00933D5D">
              <w:rPr>
                <w:noProof/>
                <w:webHidden/>
              </w:rPr>
            </w:r>
            <w:r w:rsidR="00933D5D">
              <w:rPr>
                <w:noProof/>
                <w:webHidden/>
              </w:rPr>
              <w:fldChar w:fldCharType="separate"/>
            </w:r>
            <w:r w:rsidR="00933D5D">
              <w:rPr>
                <w:noProof/>
                <w:webHidden/>
              </w:rPr>
              <w:t>1</w:t>
            </w:r>
            <w:r w:rsidR="00933D5D">
              <w:rPr>
                <w:noProof/>
                <w:webHidden/>
              </w:rPr>
              <w:fldChar w:fldCharType="end"/>
            </w:r>
          </w:hyperlink>
        </w:p>
        <w:p w:rsidR="00933D5D" w:rsidRDefault="006E3D95" w14:paraId="2A3C6376" w14:textId="77777777">
          <w:pPr>
            <w:pStyle w:val="TOC2"/>
            <w:rPr>
              <w:rFonts w:eastAsiaTheme="minorEastAsia"/>
              <w:noProof/>
              <w:color w:val="auto"/>
            </w:rPr>
          </w:pPr>
          <w:hyperlink w:history="1" w:anchor="_Toc492634201">
            <w:r w:rsidRPr="00593C41" w:rsidR="00933D5D">
              <w:rPr>
                <w:rStyle w:val="Hyperlink"/>
                <w:noProof/>
              </w:rPr>
              <w:t>A.1. Legal Justification</w:t>
            </w:r>
            <w:r w:rsidR="00933D5D">
              <w:rPr>
                <w:noProof/>
                <w:webHidden/>
              </w:rPr>
              <w:tab/>
            </w:r>
            <w:r w:rsidR="00933D5D">
              <w:rPr>
                <w:noProof/>
                <w:webHidden/>
              </w:rPr>
              <w:fldChar w:fldCharType="begin"/>
            </w:r>
            <w:r w:rsidR="00933D5D">
              <w:rPr>
                <w:noProof/>
                <w:webHidden/>
              </w:rPr>
              <w:instrText xml:space="preserve"> PAGEREF _Toc492634201 \h </w:instrText>
            </w:r>
            <w:r w:rsidR="00933D5D">
              <w:rPr>
                <w:noProof/>
                <w:webHidden/>
              </w:rPr>
            </w:r>
            <w:r w:rsidR="00933D5D">
              <w:rPr>
                <w:noProof/>
                <w:webHidden/>
              </w:rPr>
              <w:fldChar w:fldCharType="separate"/>
            </w:r>
            <w:r w:rsidR="00933D5D">
              <w:rPr>
                <w:noProof/>
                <w:webHidden/>
              </w:rPr>
              <w:t>1</w:t>
            </w:r>
            <w:r w:rsidR="00933D5D">
              <w:rPr>
                <w:noProof/>
                <w:webHidden/>
              </w:rPr>
              <w:fldChar w:fldCharType="end"/>
            </w:r>
          </w:hyperlink>
        </w:p>
        <w:p w:rsidR="00933D5D" w:rsidRDefault="006E3D95" w14:paraId="69C05C56" w14:textId="77777777">
          <w:pPr>
            <w:pStyle w:val="TOC2"/>
            <w:rPr>
              <w:rFonts w:eastAsiaTheme="minorEastAsia"/>
              <w:noProof/>
              <w:color w:val="auto"/>
            </w:rPr>
          </w:pPr>
          <w:hyperlink w:history="1" w:anchor="_Toc492634202">
            <w:r w:rsidRPr="00593C41" w:rsidR="00933D5D">
              <w:rPr>
                <w:rStyle w:val="Hyperlink"/>
                <w:noProof/>
              </w:rPr>
              <w:t>A.2. Needs and Uses of Data</w:t>
            </w:r>
            <w:r w:rsidR="00933D5D">
              <w:rPr>
                <w:noProof/>
                <w:webHidden/>
              </w:rPr>
              <w:tab/>
            </w:r>
            <w:r w:rsidR="00933D5D">
              <w:rPr>
                <w:noProof/>
                <w:webHidden/>
              </w:rPr>
              <w:fldChar w:fldCharType="begin"/>
            </w:r>
            <w:r w:rsidR="00933D5D">
              <w:rPr>
                <w:noProof/>
                <w:webHidden/>
              </w:rPr>
              <w:instrText xml:space="preserve"> PAGEREF _Toc492634202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6E3D95" w14:paraId="13A35178" w14:textId="77777777">
          <w:pPr>
            <w:pStyle w:val="TOC2"/>
            <w:rPr>
              <w:rFonts w:eastAsiaTheme="minorEastAsia"/>
              <w:noProof/>
              <w:color w:val="auto"/>
            </w:rPr>
          </w:pPr>
          <w:hyperlink w:history="1" w:anchor="_Toc492634203">
            <w:r w:rsidRPr="00593C41" w:rsidR="00933D5D">
              <w:rPr>
                <w:rStyle w:val="Hyperlink"/>
                <w:noProof/>
              </w:rPr>
              <w:t>A.3. Use of Technology</w:t>
            </w:r>
            <w:r w:rsidR="00933D5D">
              <w:rPr>
                <w:noProof/>
                <w:webHidden/>
              </w:rPr>
              <w:tab/>
            </w:r>
            <w:r w:rsidR="00933D5D">
              <w:rPr>
                <w:noProof/>
                <w:webHidden/>
              </w:rPr>
              <w:fldChar w:fldCharType="begin"/>
            </w:r>
            <w:r w:rsidR="00933D5D">
              <w:rPr>
                <w:noProof/>
                <w:webHidden/>
              </w:rPr>
              <w:instrText xml:space="preserve"> PAGEREF _Toc492634203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6E3D95" w14:paraId="7B793697" w14:textId="77777777">
          <w:pPr>
            <w:pStyle w:val="TOC2"/>
            <w:rPr>
              <w:rFonts w:eastAsiaTheme="minorEastAsia"/>
              <w:noProof/>
              <w:color w:val="auto"/>
            </w:rPr>
          </w:pPr>
          <w:hyperlink w:history="1" w:anchor="_Toc492634204">
            <w:r w:rsidRPr="00593C41" w:rsidR="00933D5D">
              <w:rPr>
                <w:rStyle w:val="Hyperlink"/>
                <w:noProof/>
              </w:rPr>
              <w:t>A.4. Efforts to Identify Duplication</w:t>
            </w:r>
            <w:r w:rsidR="00933D5D">
              <w:rPr>
                <w:noProof/>
                <w:webHidden/>
              </w:rPr>
              <w:tab/>
            </w:r>
            <w:r w:rsidR="00933D5D">
              <w:rPr>
                <w:noProof/>
                <w:webHidden/>
              </w:rPr>
              <w:fldChar w:fldCharType="begin"/>
            </w:r>
            <w:r w:rsidR="00933D5D">
              <w:rPr>
                <w:noProof/>
                <w:webHidden/>
              </w:rPr>
              <w:instrText xml:space="preserve"> PAGEREF _Toc492634204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6E3D95" w14:paraId="7430426D" w14:textId="77777777">
          <w:pPr>
            <w:pStyle w:val="TOC2"/>
            <w:rPr>
              <w:rFonts w:eastAsiaTheme="minorEastAsia"/>
              <w:noProof/>
              <w:color w:val="auto"/>
            </w:rPr>
          </w:pPr>
          <w:hyperlink w:history="1" w:anchor="_Toc492634205">
            <w:r w:rsidRPr="00593C41" w:rsidR="00933D5D">
              <w:rPr>
                <w:rStyle w:val="Hyperlink"/>
                <w:noProof/>
              </w:rPr>
              <w:t>A.5. Provisions for Reducing Burden on Small Businesses</w:t>
            </w:r>
            <w:r w:rsidR="00933D5D">
              <w:rPr>
                <w:noProof/>
                <w:webHidden/>
              </w:rPr>
              <w:tab/>
            </w:r>
            <w:r w:rsidR="00933D5D">
              <w:rPr>
                <w:noProof/>
                <w:webHidden/>
              </w:rPr>
              <w:fldChar w:fldCharType="begin"/>
            </w:r>
            <w:r w:rsidR="00933D5D">
              <w:rPr>
                <w:noProof/>
                <w:webHidden/>
              </w:rPr>
              <w:instrText xml:space="preserve"> PAGEREF _Toc492634205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6E3D95" w14:paraId="7A714E4C" w14:textId="77777777">
          <w:pPr>
            <w:pStyle w:val="TOC2"/>
            <w:rPr>
              <w:rFonts w:eastAsiaTheme="minorEastAsia"/>
              <w:noProof/>
              <w:color w:val="auto"/>
            </w:rPr>
          </w:pPr>
          <w:hyperlink w:history="1" w:anchor="_Toc492634206">
            <w:r w:rsidRPr="00593C41" w:rsidR="00933D5D">
              <w:rPr>
                <w:rStyle w:val="Hyperlink"/>
                <w:noProof/>
              </w:rPr>
              <w:t>A.6. Consequences of Less-Frequent Reporting</w:t>
            </w:r>
            <w:r w:rsidR="00933D5D">
              <w:rPr>
                <w:noProof/>
                <w:webHidden/>
              </w:rPr>
              <w:tab/>
            </w:r>
            <w:r w:rsidR="00933D5D">
              <w:rPr>
                <w:noProof/>
                <w:webHidden/>
              </w:rPr>
              <w:fldChar w:fldCharType="begin"/>
            </w:r>
            <w:r w:rsidR="00933D5D">
              <w:rPr>
                <w:noProof/>
                <w:webHidden/>
              </w:rPr>
              <w:instrText xml:space="preserve"> PAGEREF _Toc492634206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6E3D95" w14:paraId="67D5BFCE" w14:textId="77777777">
          <w:pPr>
            <w:pStyle w:val="TOC2"/>
            <w:rPr>
              <w:rFonts w:eastAsiaTheme="minorEastAsia"/>
              <w:noProof/>
              <w:color w:val="auto"/>
            </w:rPr>
          </w:pPr>
          <w:hyperlink w:history="1" w:anchor="_Toc492634207">
            <w:r w:rsidRPr="00593C41" w:rsidR="00933D5D">
              <w:rPr>
                <w:rStyle w:val="Hyperlink"/>
                <w:noProof/>
              </w:rPr>
              <w:t>A.7. Compliance with 5 CFR 1320.5</w:t>
            </w:r>
            <w:r w:rsidR="00933D5D">
              <w:rPr>
                <w:noProof/>
                <w:webHidden/>
              </w:rPr>
              <w:tab/>
            </w:r>
            <w:r w:rsidR="00933D5D">
              <w:rPr>
                <w:noProof/>
                <w:webHidden/>
              </w:rPr>
              <w:fldChar w:fldCharType="begin"/>
            </w:r>
            <w:r w:rsidR="00933D5D">
              <w:rPr>
                <w:noProof/>
                <w:webHidden/>
              </w:rPr>
              <w:instrText xml:space="preserve"> PAGEREF _Toc492634207 \h </w:instrText>
            </w:r>
            <w:r w:rsidR="00933D5D">
              <w:rPr>
                <w:noProof/>
                <w:webHidden/>
              </w:rPr>
            </w:r>
            <w:r w:rsidR="00933D5D">
              <w:rPr>
                <w:noProof/>
                <w:webHidden/>
              </w:rPr>
              <w:fldChar w:fldCharType="separate"/>
            </w:r>
            <w:r w:rsidR="00933D5D">
              <w:rPr>
                <w:noProof/>
                <w:webHidden/>
              </w:rPr>
              <w:t>3</w:t>
            </w:r>
            <w:r w:rsidR="00933D5D">
              <w:rPr>
                <w:noProof/>
                <w:webHidden/>
              </w:rPr>
              <w:fldChar w:fldCharType="end"/>
            </w:r>
          </w:hyperlink>
        </w:p>
        <w:p w:rsidR="00933D5D" w:rsidRDefault="006E3D95" w14:paraId="0E2C27F7" w14:textId="77777777">
          <w:pPr>
            <w:pStyle w:val="TOC2"/>
            <w:rPr>
              <w:rFonts w:eastAsiaTheme="minorEastAsia"/>
              <w:noProof/>
              <w:color w:val="auto"/>
            </w:rPr>
          </w:pPr>
          <w:hyperlink w:history="1" w:anchor="_Toc492634208">
            <w:r w:rsidRPr="00593C41" w:rsidR="00933D5D">
              <w:rPr>
                <w:rStyle w:val="Hyperlink"/>
                <w:noProof/>
              </w:rPr>
              <w:t>A.8. Summary of Consultations Outside of the Agency</w:t>
            </w:r>
            <w:r w:rsidR="00933D5D">
              <w:rPr>
                <w:noProof/>
                <w:webHidden/>
              </w:rPr>
              <w:tab/>
            </w:r>
            <w:r w:rsidR="00933D5D">
              <w:rPr>
                <w:noProof/>
                <w:webHidden/>
              </w:rPr>
              <w:fldChar w:fldCharType="begin"/>
            </w:r>
            <w:r w:rsidR="00933D5D">
              <w:rPr>
                <w:noProof/>
                <w:webHidden/>
              </w:rPr>
              <w:instrText xml:space="preserve"> PAGEREF _Toc492634208 \h </w:instrText>
            </w:r>
            <w:r w:rsidR="00933D5D">
              <w:rPr>
                <w:noProof/>
                <w:webHidden/>
              </w:rPr>
            </w:r>
            <w:r w:rsidR="00933D5D">
              <w:rPr>
                <w:noProof/>
                <w:webHidden/>
              </w:rPr>
              <w:fldChar w:fldCharType="separate"/>
            </w:r>
            <w:r w:rsidR="00933D5D">
              <w:rPr>
                <w:noProof/>
                <w:webHidden/>
              </w:rPr>
              <w:t>3</w:t>
            </w:r>
            <w:r w:rsidR="00933D5D">
              <w:rPr>
                <w:noProof/>
                <w:webHidden/>
              </w:rPr>
              <w:fldChar w:fldCharType="end"/>
            </w:r>
          </w:hyperlink>
        </w:p>
        <w:p w:rsidR="00933D5D" w:rsidRDefault="006E3D95" w14:paraId="4F05F84F" w14:textId="77777777">
          <w:pPr>
            <w:pStyle w:val="TOC2"/>
            <w:rPr>
              <w:rFonts w:eastAsiaTheme="minorEastAsia"/>
              <w:noProof/>
              <w:color w:val="auto"/>
            </w:rPr>
          </w:pPr>
          <w:hyperlink w:history="1" w:anchor="_Toc492634209">
            <w:r w:rsidRPr="00593C41" w:rsidR="00933D5D">
              <w:rPr>
                <w:rStyle w:val="Hyperlink"/>
                <w:noProof/>
              </w:rPr>
              <w:t>A.9. Payments or Gifts to Respondents</w:t>
            </w:r>
            <w:r w:rsidR="00933D5D">
              <w:rPr>
                <w:noProof/>
                <w:webHidden/>
              </w:rPr>
              <w:tab/>
            </w:r>
            <w:r w:rsidR="00933D5D">
              <w:rPr>
                <w:noProof/>
                <w:webHidden/>
              </w:rPr>
              <w:fldChar w:fldCharType="begin"/>
            </w:r>
            <w:r w:rsidR="00933D5D">
              <w:rPr>
                <w:noProof/>
                <w:webHidden/>
              </w:rPr>
              <w:instrText xml:space="preserve"> PAGEREF _Toc492634209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6E3D95" w14:paraId="3313D6C7" w14:textId="77777777">
          <w:pPr>
            <w:pStyle w:val="TOC2"/>
            <w:rPr>
              <w:rFonts w:eastAsiaTheme="minorEastAsia"/>
              <w:noProof/>
              <w:color w:val="auto"/>
            </w:rPr>
          </w:pPr>
          <w:hyperlink w:history="1" w:anchor="_Toc492634210">
            <w:r w:rsidRPr="00593C41" w:rsidR="00933D5D">
              <w:rPr>
                <w:rStyle w:val="Hyperlink"/>
                <w:noProof/>
              </w:rPr>
              <w:t>A.10. Provisions for Protection of Information</w:t>
            </w:r>
            <w:r w:rsidR="00933D5D">
              <w:rPr>
                <w:noProof/>
                <w:webHidden/>
              </w:rPr>
              <w:tab/>
            </w:r>
            <w:r w:rsidR="00933D5D">
              <w:rPr>
                <w:noProof/>
                <w:webHidden/>
              </w:rPr>
              <w:fldChar w:fldCharType="begin"/>
            </w:r>
            <w:r w:rsidR="00933D5D">
              <w:rPr>
                <w:noProof/>
                <w:webHidden/>
              </w:rPr>
              <w:instrText xml:space="preserve"> PAGEREF _Toc492634210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6E3D95" w14:paraId="1B234F3C" w14:textId="77777777">
          <w:pPr>
            <w:pStyle w:val="TOC2"/>
            <w:rPr>
              <w:rFonts w:eastAsiaTheme="minorEastAsia"/>
              <w:noProof/>
              <w:color w:val="auto"/>
            </w:rPr>
          </w:pPr>
          <w:hyperlink w:history="1" w:anchor="_Toc492634211">
            <w:r w:rsidRPr="00593C41" w:rsidR="00933D5D">
              <w:rPr>
                <w:rStyle w:val="Hyperlink"/>
                <w:noProof/>
              </w:rPr>
              <w:t>A.11. Justification for Sensitive Questions</w:t>
            </w:r>
            <w:r w:rsidR="00933D5D">
              <w:rPr>
                <w:noProof/>
                <w:webHidden/>
              </w:rPr>
              <w:tab/>
            </w:r>
            <w:r w:rsidR="00933D5D">
              <w:rPr>
                <w:noProof/>
                <w:webHidden/>
              </w:rPr>
              <w:fldChar w:fldCharType="begin"/>
            </w:r>
            <w:r w:rsidR="00933D5D">
              <w:rPr>
                <w:noProof/>
                <w:webHidden/>
              </w:rPr>
              <w:instrText xml:space="preserve"> PAGEREF _Toc492634211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6E3D95" w14:paraId="34A37A74" w14:textId="77777777">
          <w:pPr>
            <w:pStyle w:val="TOC2"/>
            <w:rPr>
              <w:rFonts w:eastAsiaTheme="minorEastAsia"/>
              <w:noProof/>
              <w:color w:val="auto"/>
            </w:rPr>
          </w:pPr>
          <w:hyperlink w:history="1" w:anchor="_Toc492634212">
            <w:r w:rsidRPr="00593C41" w:rsidR="00933D5D">
              <w:rPr>
                <w:rStyle w:val="Hyperlink"/>
                <w:noProof/>
              </w:rPr>
              <w:t>A.12. Estimate of Respondent Burden Hours and Cost</w:t>
            </w:r>
            <w:r w:rsidR="00933D5D">
              <w:rPr>
                <w:noProof/>
                <w:webHidden/>
              </w:rPr>
              <w:tab/>
            </w:r>
            <w:r w:rsidR="00933D5D">
              <w:rPr>
                <w:noProof/>
                <w:webHidden/>
              </w:rPr>
              <w:fldChar w:fldCharType="begin"/>
            </w:r>
            <w:r w:rsidR="00933D5D">
              <w:rPr>
                <w:noProof/>
                <w:webHidden/>
              </w:rPr>
              <w:instrText xml:space="preserve"> PAGEREF _Toc492634212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6E3D95" w14:paraId="7E9D7CD1" w14:textId="77777777">
          <w:pPr>
            <w:pStyle w:val="TOC2"/>
            <w:rPr>
              <w:rFonts w:eastAsiaTheme="minorEastAsia"/>
              <w:noProof/>
              <w:color w:val="auto"/>
            </w:rPr>
          </w:pPr>
          <w:hyperlink w:history="1" w:anchor="_Toc492634213">
            <w:r w:rsidRPr="00593C41" w:rsidR="00933D5D">
              <w:rPr>
                <w:rStyle w:val="Hyperlink"/>
                <w:noProof/>
              </w:rPr>
              <w:t>A.13. Annual Cost to the Federal Government</w:t>
            </w:r>
            <w:r w:rsidR="00933D5D">
              <w:rPr>
                <w:noProof/>
                <w:webHidden/>
              </w:rPr>
              <w:tab/>
            </w:r>
            <w:r w:rsidR="00933D5D">
              <w:rPr>
                <w:noProof/>
                <w:webHidden/>
              </w:rPr>
              <w:fldChar w:fldCharType="begin"/>
            </w:r>
            <w:r w:rsidR="00933D5D">
              <w:rPr>
                <w:noProof/>
                <w:webHidden/>
              </w:rPr>
              <w:instrText xml:space="preserve"> PAGEREF _Toc492634213 \h </w:instrText>
            </w:r>
            <w:r w:rsidR="00933D5D">
              <w:rPr>
                <w:noProof/>
                <w:webHidden/>
              </w:rPr>
            </w:r>
            <w:r w:rsidR="00933D5D">
              <w:rPr>
                <w:noProof/>
                <w:webHidden/>
              </w:rPr>
              <w:fldChar w:fldCharType="separate"/>
            </w:r>
            <w:r w:rsidR="00933D5D">
              <w:rPr>
                <w:noProof/>
                <w:webHidden/>
              </w:rPr>
              <w:t>5</w:t>
            </w:r>
            <w:r w:rsidR="00933D5D">
              <w:rPr>
                <w:noProof/>
                <w:webHidden/>
              </w:rPr>
              <w:fldChar w:fldCharType="end"/>
            </w:r>
          </w:hyperlink>
        </w:p>
        <w:p w:rsidR="00933D5D" w:rsidRDefault="006E3D95" w14:paraId="7ACA6578" w14:textId="77777777">
          <w:pPr>
            <w:pStyle w:val="TOC2"/>
            <w:rPr>
              <w:rFonts w:eastAsiaTheme="minorEastAsia"/>
              <w:noProof/>
              <w:color w:val="auto"/>
            </w:rPr>
          </w:pPr>
          <w:hyperlink w:history="1" w:anchor="_Toc492634214">
            <w:r w:rsidRPr="00593C41" w:rsidR="00933D5D">
              <w:rPr>
                <w:rStyle w:val="Hyperlink"/>
                <w:noProof/>
              </w:rPr>
              <w:t>A.14. Changes in Burden</w:t>
            </w:r>
            <w:r w:rsidR="00933D5D">
              <w:rPr>
                <w:noProof/>
                <w:webHidden/>
              </w:rPr>
              <w:tab/>
            </w:r>
            <w:r w:rsidR="00933D5D">
              <w:rPr>
                <w:noProof/>
                <w:webHidden/>
              </w:rPr>
              <w:fldChar w:fldCharType="begin"/>
            </w:r>
            <w:r w:rsidR="00933D5D">
              <w:rPr>
                <w:noProof/>
                <w:webHidden/>
              </w:rPr>
              <w:instrText xml:space="preserve"> PAGEREF _Toc492634214 \h </w:instrText>
            </w:r>
            <w:r w:rsidR="00933D5D">
              <w:rPr>
                <w:noProof/>
                <w:webHidden/>
              </w:rPr>
            </w:r>
            <w:r w:rsidR="00933D5D">
              <w:rPr>
                <w:noProof/>
                <w:webHidden/>
              </w:rPr>
              <w:fldChar w:fldCharType="separate"/>
            </w:r>
            <w:r w:rsidR="00933D5D">
              <w:rPr>
                <w:noProof/>
                <w:webHidden/>
              </w:rPr>
              <w:t>6</w:t>
            </w:r>
            <w:r w:rsidR="00933D5D">
              <w:rPr>
                <w:noProof/>
                <w:webHidden/>
              </w:rPr>
              <w:fldChar w:fldCharType="end"/>
            </w:r>
          </w:hyperlink>
        </w:p>
        <w:p w:rsidR="00933D5D" w:rsidRDefault="006E3D95" w14:paraId="41A39D10" w14:textId="77777777">
          <w:pPr>
            <w:pStyle w:val="TOC2"/>
            <w:rPr>
              <w:rFonts w:eastAsiaTheme="minorEastAsia"/>
              <w:noProof/>
              <w:color w:val="auto"/>
            </w:rPr>
          </w:pPr>
          <w:hyperlink w:history="1" w:anchor="_Toc492634215">
            <w:r w:rsidRPr="00593C41" w:rsidR="00933D5D">
              <w:rPr>
                <w:rStyle w:val="Hyperlink"/>
                <w:noProof/>
              </w:rPr>
              <w:t>A.15. Reasons for Changes in Burden</w:t>
            </w:r>
            <w:r w:rsidR="00933D5D">
              <w:rPr>
                <w:noProof/>
                <w:webHidden/>
              </w:rPr>
              <w:tab/>
            </w:r>
            <w:r w:rsidR="00933D5D">
              <w:rPr>
                <w:noProof/>
                <w:webHidden/>
              </w:rPr>
              <w:fldChar w:fldCharType="begin"/>
            </w:r>
            <w:r w:rsidR="00933D5D">
              <w:rPr>
                <w:noProof/>
                <w:webHidden/>
              </w:rPr>
              <w:instrText xml:space="preserve"> PAGEREF _Toc492634215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933D5D" w:rsidRDefault="006E3D95" w14:paraId="3CCD3B04" w14:textId="77777777">
          <w:pPr>
            <w:pStyle w:val="TOC2"/>
            <w:rPr>
              <w:rFonts w:eastAsiaTheme="minorEastAsia"/>
              <w:noProof/>
              <w:color w:val="auto"/>
            </w:rPr>
          </w:pPr>
          <w:hyperlink w:history="1" w:anchor="_Toc492634216">
            <w:r w:rsidRPr="00593C41" w:rsidR="00933D5D">
              <w:rPr>
                <w:rStyle w:val="Hyperlink"/>
                <w:noProof/>
              </w:rPr>
              <w:t>A.16. Collection, Tabulation, and Publication Plans</w:t>
            </w:r>
            <w:r w:rsidR="00933D5D">
              <w:rPr>
                <w:noProof/>
                <w:webHidden/>
              </w:rPr>
              <w:tab/>
            </w:r>
            <w:r w:rsidR="00933D5D">
              <w:rPr>
                <w:noProof/>
                <w:webHidden/>
              </w:rPr>
              <w:fldChar w:fldCharType="begin"/>
            </w:r>
            <w:r w:rsidR="00933D5D">
              <w:rPr>
                <w:noProof/>
                <w:webHidden/>
              </w:rPr>
              <w:instrText xml:space="preserve"> PAGEREF _Toc492634216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933D5D" w:rsidRDefault="006E3D95" w14:paraId="285DD7E1" w14:textId="77777777">
          <w:pPr>
            <w:pStyle w:val="TOC2"/>
            <w:rPr>
              <w:rFonts w:eastAsiaTheme="minorEastAsia"/>
              <w:noProof/>
              <w:color w:val="auto"/>
            </w:rPr>
          </w:pPr>
          <w:hyperlink w:history="1" w:anchor="_Toc492634217">
            <w:r w:rsidRPr="00593C41" w:rsidR="00933D5D">
              <w:rPr>
                <w:rStyle w:val="Hyperlink"/>
                <w:noProof/>
              </w:rPr>
              <w:t>A.17. OMB Number and Expiration Date</w:t>
            </w:r>
            <w:r w:rsidR="00933D5D">
              <w:rPr>
                <w:noProof/>
                <w:webHidden/>
              </w:rPr>
              <w:tab/>
            </w:r>
            <w:r w:rsidR="00933D5D">
              <w:rPr>
                <w:noProof/>
                <w:webHidden/>
              </w:rPr>
              <w:fldChar w:fldCharType="begin"/>
            </w:r>
            <w:r w:rsidR="00933D5D">
              <w:rPr>
                <w:noProof/>
                <w:webHidden/>
              </w:rPr>
              <w:instrText xml:space="preserve"> PAGEREF _Toc492634217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933D5D" w:rsidRDefault="006E3D95" w14:paraId="332F9AE5" w14:textId="77777777">
          <w:pPr>
            <w:pStyle w:val="TOC2"/>
            <w:rPr>
              <w:rFonts w:eastAsiaTheme="minorEastAsia"/>
              <w:noProof/>
              <w:color w:val="auto"/>
            </w:rPr>
          </w:pPr>
          <w:hyperlink w:history="1" w:anchor="_Toc492634218">
            <w:r w:rsidRPr="00593C41" w:rsidR="00933D5D">
              <w:rPr>
                <w:rStyle w:val="Hyperlink"/>
                <w:noProof/>
              </w:rPr>
              <w:t>A.18. Certification Statement</w:t>
            </w:r>
            <w:r w:rsidR="00933D5D">
              <w:rPr>
                <w:noProof/>
                <w:webHidden/>
              </w:rPr>
              <w:tab/>
            </w:r>
            <w:r w:rsidR="00933D5D">
              <w:rPr>
                <w:noProof/>
                <w:webHidden/>
              </w:rPr>
              <w:fldChar w:fldCharType="begin"/>
            </w:r>
            <w:r w:rsidR="00933D5D">
              <w:rPr>
                <w:noProof/>
                <w:webHidden/>
              </w:rPr>
              <w:instrText xml:space="preserve"> PAGEREF _Toc492634218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59212D" w:rsidRDefault="0059212D" w14:paraId="445619F5" w14:textId="77777777">
          <w:r>
            <w:rPr>
              <w:b/>
              <w:bCs/>
              <w:noProof/>
            </w:rPr>
            <w:fldChar w:fldCharType="end"/>
          </w:r>
        </w:p>
      </w:sdtContent>
    </w:sdt>
    <w:p w:rsidR="001F3A8F" w:rsidP="00D928FD" w:rsidRDefault="001F3A8F" w14:paraId="362EB2E2" w14:textId="77777777"/>
    <w:p w:rsidR="00D928FD" w:rsidP="00D928FD" w:rsidRDefault="00D928FD" w14:paraId="38914AA3" w14:textId="77777777">
      <w:pPr>
        <w:sectPr w:rsidR="00D928FD" w:rsidSect="00725453">
          <w:footerReference w:type="first" r:id="rId20"/>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38E93472" w14:textId="77777777">
      <w:pPr>
        <w:spacing w:line="240" w:lineRule="auto"/>
      </w:pPr>
    </w:p>
    <w:p w:rsidR="00933D5D" w:rsidP="00933D5D" w:rsidRDefault="00933D5D" w14:paraId="658DBC19" w14:textId="77777777">
      <w:pPr>
        <w:tabs>
          <w:tab w:val="left" w:pos="7365"/>
        </w:tabs>
      </w:pPr>
      <w:r>
        <w:tab/>
      </w:r>
    </w:p>
    <w:p w:rsidRPr="00933D5D" w:rsidR="00041909" w:rsidP="00933D5D" w:rsidRDefault="00933D5D" w14:paraId="0975FE40" w14:textId="77777777">
      <w:pPr>
        <w:tabs>
          <w:tab w:val="left" w:pos="7365"/>
        </w:tabs>
        <w:sectPr w:rsidRPr="00933D5D" w:rsidR="00041909" w:rsidSect="00725453">
          <w:footerReference w:type="first" r:id="rId21"/>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5B75A6" w:rsidRDefault="008C734C" w14:paraId="0EA797B3" w14:textId="77777777">
      <w:pPr>
        <w:pStyle w:val="Heading2"/>
      </w:pPr>
      <w:bookmarkStart w:name="_Toc492634200" w:id="1"/>
      <w:r>
        <w:lastRenderedPageBreak/>
        <w:t>Introdu</w:t>
      </w:r>
      <w:r w:rsidR="00844524">
        <w:t>ction</w:t>
      </w:r>
      <w:bookmarkEnd w:id="1"/>
    </w:p>
    <w:p w:rsidR="006A7E28" w:rsidP="006A7E28" w:rsidRDefault="006A7E28" w14:paraId="4E735537" w14:textId="77777777">
      <w:pPr>
        <w:widowControl w:val="0"/>
        <w:autoSpaceDE w:val="0"/>
        <w:autoSpaceDN w:val="0"/>
        <w:adjustRightInd w:val="0"/>
        <w:spacing w:before="240"/>
        <w:ind w:right="-20"/>
      </w:pPr>
      <w:r w:rsidRPr="00D217C5">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p>
    <w:p w:rsidR="006A7E28" w:rsidP="006A7E28" w:rsidRDefault="006A7E28" w14:paraId="3998F8BF" w14:textId="77777777">
      <w:pPr>
        <w:widowControl w:val="0"/>
        <w:autoSpaceDE w:val="0"/>
        <w:autoSpaceDN w:val="0"/>
        <w:adjustRightInd w:val="0"/>
        <w:ind w:right="-20"/>
        <w:rPr>
          <w:szCs w:val="24"/>
        </w:rPr>
      </w:pPr>
      <w:r>
        <w:t>EIA</w:t>
      </w:r>
      <w:r w:rsidRPr="00F27019">
        <w:t xml:space="preserve"> is request</w:t>
      </w:r>
      <w:r w:rsidRPr="00D217C5">
        <w:t>i</w:t>
      </w:r>
      <w:r w:rsidRPr="00F27019">
        <w:t xml:space="preserve">ng a three-year </w:t>
      </w:r>
      <w:r>
        <w:t>extension with changes</w:t>
      </w:r>
      <w:r w:rsidRPr="00F27019">
        <w:t xml:space="preserve"> for</w:t>
      </w:r>
      <w:r>
        <w:t xml:space="preserve"> OMB No. 1901-0288,</w:t>
      </w:r>
      <w:r w:rsidRPr="00F27019">
        <w:t xml:space="preserve"> Form OE-417</w:t>
      </w:r>
      <w:r w:rsidR="00D540CA">
        <w:t xml:space="preserve">, </w:t>
      </w:r>
      <w:r w:rsidRPr="00A6120C">
        <w:rPr>
          <w:i/>
        </w:rPr>
        <w:t>Electric Emergency Incident and Disturbance Report</w:t>
      </w:r>
      <w:r w:rsidR="00B90BA9">
        <w:t>.</w:t>
      </w:r>
      <w:r w:rsidRPr="00F27019" w:rsidR="00B90BA9">
        <w:t xml:space="preserve"> </w:t>
      </w:r>
      <w:r w:rsidRPr="00F27019">
        <w:t>The survey</w:t>
      </w:r>
      <w:r>
        <w:rPr>
          <w:szCs w:val="24"/>
        </w:rPr>
        <w:t xml:space="preserve"> collects information on electric power e</w:t>
      </w:r>
      <w:r>
        <w:rPr>
          <w:spacing w:val="-2"/>
          <w:szCs w:val="24"/>
        </w:rPr>
        <w:t>m</w:t>
      </w:r>
      <w:r>
        <w:rPr>
          <w:szCs w:val="24"/>
        </w:rPr>
        <w:t>ergencies, inc</w:t>
      </w:r>
      <w:r>
        <w:rPr>
          <w:spacing w:val="1"/>
          <w:szCs w:val="24"/>
        </w:rPr>
        <w:t>i</w:t>
      </w:r>
      <w:r>
        <w:rPr>
          <w:szCs w:val="24"/>
        </w:rPr>
        <w:t>dents, and disturbances.</w:t>
      </w:r>
      <w:r>
        <w:rPr>
          <w:sz w:val="26"/>
          <w:szCs w:val="26"/>
        </w:rPr>
        <w:t xml:space="preserve"> </w:t>
      </w:r>
      <w:r>
        <w:rPr>
          <w:szCs w:val="24"/>
        </w:rPr>
        <w:t xml:space="preserve">Response to this survey is </w:t>
      </w:r>
      <w:r>
        <w:rPr>
          <w:spacing w:val="-2"/>
          <w:szCs w:val="24"/>
        </w:rPr>
        <w:t>m</w:t>
      </w:r>
      <w:r>
        <w:rPr>
          <w:szCs w:val="24"/>
        </w:rPr>
        <w:t>andatory pursuant to the criteria set forth in Form OE-417</w:t>
      </w:r>
      <w:r w:rsidR="00531183">
        <w:rPr>
          <w:szCs w:val="24"/>
        </w:rPr>
        <w:t>.</w:t>
      </w:r>
      <w:r w:rsidR="00286B26">
        <w:rPr>
          <w:szCs w:val="24"/>
        </w:rPr>
        <w:t xml:space="preserve"> </w:t>
      </w:r>
      <w:r w:rsidR="00531183">
        <w:rPr>
          <w:szCs w:val="24"/>
        </w:rPr>
        <w:t>T</w:t>
      </w:r>
      <w:r>
        <w:rPr>
          <w:szCs w:val="24"/>
        </w:rPr>
        <w:t xml:space="preserve">he survey is sponsored by the DOE Office of Cybersecurity, Energy Security, and Emergency Response. </w:t>
      </w:r>
    </w:p>
    <w:p w:rsidR="006A7E28" w:rsidP="006A7E28" w:rsidRDefault="006A7E28" w14:paraId="3C8B8217" w14:textId="77777777">
      <w:r>
        <w:t xml:space="preserve">Entities within the jurisdiction of North American Electric Reliability Corporation (NERC) </w:t>
      </w:r>
      <w:r w:rsidR="00166F40">
        <w:t>may also be required</w:t>
      </w:r>
      <w:r>
        <w:t xml:space="preserve"> to report emergencies or qualifying events</w:t>
      </w:r>
      <w:r w:rsidR="00166F40">
        <w:t xml:space="preserve"> per the EOP-004-3</w:t>
      </w:r>
      <w:r>
        <w:t xml:space="preserve"> Reliability Standard.</w:t>
      </w:r>
      <w:r w:rsidR="00166F40">
        <w:t xml:space="preserve"> During the prior update and recertification of Form OE-417, there was an effort to align the EOP-004-3 Reliability Standard reporting requirements with the requirements in Form OE-417.</w:t>
      </w:r>
      <w:r>
        <w:t xml:space="preserve"> Currently reporting entities in the U.S. may submit a Form OE-417 </w:t>
      </w:r>
      <w:r w:rsidR="00166F40">
        <w:t>in place of reporting under</w:t>
      </w:r>
      <w:r>
        <w:t xml:space="preserve"> NERC </w:t>
      </w:r>
      <w:r w:rsidR="00166F40">
        <w:t xml:space="preserve">EOP-004-3. The current update to Form OE-417 will align to </w:t>
      </w:r>
      <w:r w:rsidR="009A22E7">
        <w:t xml:space="preserve">reporting requirements that </w:t>
      </w:r>
      <w:r w:rsidR="001719F2">
        <w:t xml:space="preserve">in </w:t>
      </w:r>
      <w:r w:rsidR="009A22E7">
        <w:t>the recently approved</w:t>
      </w:r>
      <w:r w:rsidR="00166F40">
        <w:t xml:space="preserve"> NERC </w:t>
      </w:r>
      <w:r w:rsidR="009A22E7">
        <w:t>CIP-008-6 Reliability Standard</w:t>
      </w:r>
      <w:r w:rsidR="00405DBD">
        <w:t xml:space="preserve">, which established </w:t>
      </w:r>
      <w:r w:rsidR="00AB5533">
        <w:t xml:space="preserve"> </w:t>
      </w:r>
      <w:r w:rsidR="00405DBD">
        <w:t xml:space="preserve">new </w:t>
      </w:r>
      <w:r w:rsidR="00AB5533">
        <w:t xml:space="preserve">definitions for </w:t>
      </w:r>
      <w:r w:rsidR="002B6C3E">
        <w:t>a Cyber Security Incident</w:t>
      </w:r>
      <w:r w:rsidR="00AB5533">
        <w:t xml:space="preserve"> and R</w:t>
      </w:r>
      <w:r w:rsidR="00405DBD">
        <w:t xml:space="preserve">eportable </w:t>
      </w:r>
      <w:r w:rsidR="00AB5533">
        <w:t>C</w:t>
      </w:r>
      <w:r w:rsidR="00405DBD">
        <w:t xml:space="preserve">yber </w:t>
      </w:r>
      <w:r w:rsidR="00AB5533">
        <w:t>S</w:t>
      </w:r>
      <w:r w:rsidR="00405DBD">
        <w:t xml:space="preserve">ecurity </w:t>
      </w:r>
      <w:r w:rsidR="00AB5533">
        <w:t>I</w:t>
      </w:r>
      <w:r w:rsidR="00405DBD">
        <w:t xml:space="preserve">ncident </w:t>
      </w:r>
      <w:r w:rsidR="00AB5533">
        <w:t xml:space="preserve"> and expanded the reporting requirements, including expanding the applicable systems </w:t>
      </w:r>
      <w:r w:rsidR="001719F2">
        <w:t xml:space="preserve">to report on </w:t>
      </w:r>
      <w:r w:rsidR="00AB5533">
        <w:t>and adding</w:t>
      </w:r>
      <w:r w:rsidR="002B6C3E">
        <w:t xml:space="preserve"> new</w:t>
      </w:r>
      <w:r w:rsidR="00AB5533">
        <w:t xml:space="preserve"> </w:t>
      </w:r>
      <w:r w:rsidR="001719F2">
        <w:t>reporting requirements for</w:t>
      </w:r>
      <w:r w:rsidR="00AB5533">
        <w:t xml:space="preserve"> </w:t>
      </w:r>
      <w:r w:rsidR="001719F2">
        <w:t>attempted compromises of</w:t>
      </w:r>
      <w:r w:rsidR="00AB5533">
        <w:t xml:space="preserve"> </w:t>
      </w:r>
      <w:r w:rsidR="00B9080B">
        <w:t>high and medium impact</w:t>
      </w:r>
      <w:r w:rsidR="00B57CEF">
        <w:t xml:space="preserve"> Bulk Electric System</w:t>
      </w:r>
      <w:r w:rsidR="00B9080B">
        <w:t xml:space="preserve"> </w:t>
      </w:r>
      <w:r w:rsidR="00B57CEF">
        <w:t>(</w:t>
      </w:r>
      <w:r w:rsidR="00B9080B">
        <w:t>BES</w:t>
      </w:r>
      <w:r w:rsidR="00B57CEF">
        <w:t>)</w:t>
      </w:r>
      <w:r w:rsidR="00B9080B">
        <w:t xml:space="preserve"> cyber systems and their associated electronic access control or monitoring systems. </w:t>
      </w:r>
      <w:r w:rsidR="009A22E7">
        <w:t xml:space="preserve">The continued alignment between Form OE-417 and NERC reporting requirements will help to minimize confusion amongst industry stakeholders about </w:t>
      </w:r>
      <w:r>
        <w:t xml:space="preserve">which </w:t>
      </w:r>
      <w:r w:rsidR="00B57CEF">
        <w:t>reporting requirements and forms are required to be complete</w:t>
      </w:r>
      <w:r>
        <w:t xml:space="preserve"> </w:t>
      </w:r>
      <w:r w:rsidR="009A22E7">
        <w:t xml:space="preserve">and </w:t>
      </w:r>
      <w:r w:rsidR="003E4727">
        <w:t xml:space="preserve">enable </w:t>
      </w:r>
      <w:r w:rsidR="009A22E7">
        <w:t xml:space="preserve">industry stakeholders to train personnel to report using a single form. </w:t>
      </w:r>
    </w:p>
    <w:p w:rsidRPr="00D217C5" w:rsidR="00913170" w:rsidP="005B75A6" w:rsidRDefault="00913170" w14:paraId="4F0A89DE" w14:textId="77777777">
      <w:pPr>
        <w:pStyle w:val="Heading2"/>
      </w:pPr>
      <w:r w:rsidRPr="00172EB9">
        <w:t>Summary of Modifications to Survey</w:t>
      </w:r>
    </w:p>
    <w:p w:rsidR="00913170" w:rsidP="00913170" w:rsidRDefault="00DF5FFA" w14:paraId="6257D77F" w14:textId="77777777">
      <w:pPr>
        <w:widowControl w:val="0"/>
        <w:autoSpaceDE w:val="0"/>
        <w:autoSpaceDN w:val="0"/>
        <w:adjustRightInd w:val="0"/>
        <w:ind w:right="-20"/>
        <w:rPr>
          <w:szCs w:val="24"/>
        </w:rPr>
      </w:pPr>
      <w:r>
        <w:t>Change t</w:t>
      </w:r>
      <w:r w:rsidR="007963E0">
        <w:t xml:space="preserve">he </w:t>
      </w:r>
      <w:r w:rsidR="000A74C8">
        <w:t xml:space="preserve">title </w:t>
      </w:r>
      <w:r w:rsidR="007963E0">
        <w:t xml:space="preserve">of </w:t>
      </w:r>
      <w:r>
        <w:t xml:space="preserve">the survey instrument from </w:t>
      </w:r>
      <w:r w:rsidR="000A74C8">
        <w:t>“</w:t>
      </w:r>
      <w:r w:rsidR="00913170">
        <w:t>Form OE-417</w:t>
      </w:r>
      <w:r w:rsidR="000A74C8">
        <w:t>”</w:t>
      </w:r>
      <w:r w:rsidR="00913170">
        <w:t xml:space="preserve"> to </w:t>
      </w:r>
      <w:r w:rsidR="000A74C8">
        <w:t>“</w:t>
      </w:r>
      <w:r w:rsidR="00913170">
        <w:t>Form DOE-417</w:t>
      </w:r>
      <w:r w:rsidR="007963E0">
        <w:t>.</w:t>
      </w:r>
      <w:r w:rsidR="000A74C8">
        <w:t>”</w:t>
      </w:r>
      <w:r w:rsidR="00913170">
        <w:t xml:space="preserve"> </w:t>
      </w:r>
      <w:r w:rsidR="007963E0">
        <w:t xml:space="preserve">Additional changes are described as follows: </w:t>
      </w:r>
    </w:p>
    <w:p w:rsidR="00913170" w:rsidP="00913170" w:rsidRDefault="00913170" w14:paraId="5EF318C6" w14:textId="77777777">
      <w:pPr>
        <w:widowControl w:val="0"/>
        <w:numPr>
          <w:ilvl w:val="0"/>
          <w:numId w:val="12"/>
        </w:numPr>
        <w:autoSpaceDE w:val="0"/>
        <w:autoSpaceDN w:val="0"/>
        <w:adjustRightInd w:val="0"/>
        <w:spacing w:after="0" w:line="276" w:lineRule="auto"/>
        <w:ind w:right="-20"/>
        <w:rPr>
          <w:szCs w:val="24"/>
        </w:rPr>
      </w:pPr>
      <w:r>
        <w:rPr>
          <w:szCs w:val="24"/>
        </w:rPr>
        <w:t xml:space="preserve">Add the reporting requirements from the North American Electric Reliability Corporation (NERC) CIP-008-6 Standard to reduce the combined burden on respondents reporting to NERC and </w:t>
      </w:r>
      <w:r w:rsidR="00681D51">
        <w:rPr>
          <w:szCs w:val="24"/>
        </w:rPr>
        <w:t>DOE</w:t>
      </w:r>
      <w:r>
        <w:rPr>
          <w:szCs w:val="24"/>
        </w:rPr>
        <w:t xml:space="preserve"> and streamline responses. </w:t>
      </w:r>
      <w:r w:rsidR="00681D51">
        <w:rPr>
          <w:szCs w:val="24"/>
        </w:rPr>
        <w:t>It is expected that for</w:t>
      </w:r>
      <w:r w:rsidRPr="00AD1D66" w:rsidR="00681D51">
        <w:rPr>
          <w:szCs w:val="24"/>
        </w:rPr>
        <w:t xml:space="preserve"> NERC reporting entities registered in the United States; NERC </w:t>
      </w:r>
      <w:r w:rsidR="00681D51">
        <w:rPr>
          <w:szCs w:val="24"/>
        </w:rPr>
        <w:t>will accept</w:t>
      </w:r>
      <w:r w:rsidR="00DF5FFA">
        <w:rPr>
          <w:szCs w:val="24"/>
        </w:rPr>
        <w:t xml:space="preserve"> information reported on</w:t>
      </w:r>
      <w:r w:rsidR="00681D51">
        <w:rPr>
          <w:szCs w:val="24"/>
        </w:rPr>
        <w:t xml:space="preserve"> Form O</w:t>
      </w:r>
      <w:r w:rsidRPr="00AD1D66" w:rsidR="00681D51">
        <w:rPr>
          <w:szCs w:val="24"/>
        </w:rPr>
        <w:t xml:space="preserve">E-417 </w:t>
      </w:r>
      <w:r w:rsidR="00681D51">
        <w:rPr>
          <w:szCs w:val="24"/>
        </w:rPr>
        <w:t xml:space="preserve">to </w:t>
      </w:r>
      <w:r w:rsidRPr="00AD1D66" w:rsidR="00681D51">
        <w:rPr>
          <w:szCs w:val="24"/>
        </w:rPr>
        <w:t>meet the</w:t>
      </w:r>
      <w:r w:rsidR="00681D51">
        <w:rPr>
          <w:szCs w:val="24"/>
        </w:rPr>
        <w:t xml:space="preserve"> submittal requirements that will be established by CIP-008-6 to the Department of Homeland Security and the Electricity Information Sharing and Analysis Center</w:t>
      </w:r>
    </w:p>
    <w:p w:rsidR="00913170" w:rsidP="00913170" w:rsidRDefault="00913170" w14:paraId="2F0A4483" w14:textId="77777777">
      <w:pPr>
        <w:widowControl w:val="0"/>
        <w:numPr>
          <w:ilvl w:val="0"/>
          <w:numId w:val="12"/>
        </w:numPr>
        <w:autoSpaceDE w:val="0"/>
        <w:autoSpaceDN w:val="0"/>
        <w:adjustRightInd w:val="0"/>
        <w:spacing w:after="0" w:line="276" w:lineRule="auto"/>
        <w:ind w:right="-20"/>
        <w:rPr>
          <w:szCs w:val="24"/>
        </w:rPr>
      </w:pPr>
      <w:r>
        <w:rPr>
          <w:szCs w:val="24"/>
        </w:rPr>
        <w:t xml:space="preserve">Updated the “Response Due” criteria with new line numbers and to include the following: </w:t>
      </w:r>
    </w:p>
    <w:p w:rsidR="00913170" w:rsidP="00913170" w:rsidRDefault="000838B9" w14:paraId="37F3349A" w14:textId="77777777">
      <w:pPr>
        <w:widowControl w:val="0"/>
        <w:numPr>
          <w:ilvl w:val="1"/>
          <w:numId w:val="12"/>
        </w:numPr>
        <w:autoSpaceDE w:val="0"/>
        <w:autoSpaceDN w:val="0"/>
        <w:adjustRightInd w:val="0"/>
        <w:spacing w:after="0" w:line="276" w:lineRule="auto"/>
        <w:ind w:right="-20"/>
        <w:rPr>
          <w:szCs w:val="24"/>
        </w:rPr>
      </w:pPr>
      <w:r w:rsidRPr="00C76B0A">
        <w:t>“For criterion 2, submit within 1-hour of determination of that a Reportable Cyber Security Incident has occurred.</w:t>
      </w:r>
      <w:r>
        <w:t xml:space="preserve"> </w:t>
      </w:r>
      <w:r w:rsidRPr="00FE198D" w:rsidR="00913170">
        <w:rPr>
          <w:szCs w:val="24"/>
        </w:rPr>
        <w:t>If criterion 2 is met, also submit the Cyber Attributes on line T in Schedule 2.</w:t>
      </w:r>
      <w:r w:rsidR="00913170">
        <w:rPr>
          <w:szCs w:val="24"/>
        </w:rPr>
        <w:t>”</w:t>
      </w:r>
    </w:p>
    <w:p w:rsidR="00913170" w:rsidP="00681D51" w:rsidRDefault="00913170" w14:paraId="0835B7B7" w14:textId="77777777">
      <w:pPr>
        <w:widowControl w:val="0"/>
        <w:numPr>
          <w:ilvl w:val="1"/>
          <w:numId w:val="12"/>
        </w:numPr>
        <w:autoSpaceDE w:val="0"/>
        <w:autoSpaceDN w:val="0"/>
        <w:adjustRightInd w:val="0"/>
        <w:spacing w:after="0" w:line="276" w:lineRule="auto"/>
        <w:ind w:left="1195" w:right="-14"/>
        <w:rPr>
          <w:szCs w:val="24"/>
        </w:rPr>
      </w:pPr>
      <w:r>
        <w:rPr>
          <w:szCs w:val="24"/>
        </w:rPr>
        <w:t>“</w:t>
      </w:r>
      <w:r w:rsidRPr="00FE198D">
        <w:rPr>
          <w:szCs w:val="24"/>
        </w:rPr>
        <w:t>By the end of the next calendar day after a determination, submit Schedule 1 and lines N – S and the Cyber Attributes on line T in Schedule 2 as an Attempted Cyber Comp</w:t>
      </w:r>
      <w:r>
        <w:rPr>
          <w:szCs w:val="24"/>
        </w:rPr>
        <w:t xml:space="preserve">romise if </w:t>
      </w:r>
      <w:r>
        <w:rPr>
          <w:szCs w:val="24"/>
        </w:rPr>
        <w:lastRenderedPageBreak/>
        <w:t>criterion 14 is met.”</w:t>
      </w:r>
    </w:p>
    <w:p w:rsidRPr="00C76B0A" w:rsidR="000838B9" w:rsidP="000838B9" w:rsidRDefault="000838B9" w14:paraId="0FD58AB3" w14:textId="77777777">
      <w:pPr>
        <w:widowControl w:val="0"/>
        <w:numPr>
          <w:ilvl w:val="1"/>
          <w:numId w:val="12"/>
        </w:numPr>
        <w:autoSpaceDE w:val="0"/>
        <w:autoSpaceDN w:val="0"/>
        <w:adjustRightInd w:val="0"/>
        <w:spacing w:after="0" w:line="360" w:lineRule="auto"/>
        <w:ind w:right="-14"/>
      </w:pPr>
      <w:r w:rsidRPr="00C76B0A">
        <w:t>“If multiple criterion are met by an incident, Schedule 1 and any additionally required information (as noted above), must be submitted within timeframe established by the criteria with the shortest reporting timeline.”</w:t>
      </w:r>
    </w:p>
    <w:p w:rsidR="00913170" w:rsidP="00681D51" w:rsidRDefault="00DF5FFA" w14:paraId="0E36B6BE" w14:textId="77777777">
      <w:pPr>
        <w:pStyle w:val="ListParagraph"/>
      </w:pPr>
      <w:r>
        <w:t xml:space="preserve">The </w:t>
      </w:r>
      <w:r w:rsidR="00913170">
        <w:t>reporting criteria</w:t>
      </w:r>
      <w:r>
        <w:t xml:space="preserve"> are renumbered to show </w:t>
      </w:r>
      <w:r w:rsidR="00681D51">
        <w:t>the new reporting requirements.</w:t>
      </w:r>
    </w:p>
    <w:p w:rsidR="00913170" w:rsidP="00681D51" w:rsidRDefault="00DF5FFA" w14:paraId="640D55F6" w14:textId="77777777">
      <w:pPr>
        <w:pStyle w:val="ListParagraph"/>
      </w:pPr>
      <w:r>
        <w:t xml:space="preserve">Other changes to Form OE-417 related to satisfying the </w:t>
      </w:r>
      <w:r w:rsidR="00681D51">
        <w:t>reporting requirements</w:t>
      </w:r>
      <w:r w:rsidR="00913170">
        <w:t xml:space="preserve"> established by the NERC CIP-008-06 standard</w:t>
      </w:r>
      <w:r>
        <w:t xml:space="preserve"> include</w:t>
      </w:r>
      <w:r w:rsidR="00681D51">
        <w:t>:</w:t>
      </w:r>
    </w:p>
    <w:p w:rsidR="00913170" w:rsidP="00681D51" w:rsidRDefault="00913170" w14:paraId="6EA7AE62" w14:textId="77777777">
      <w:pPr>
        <w:pStyle w:val="ListParagraph"/>
        <w:numPr>
          <w:ilvl w:val="1"/>
          <w:numId w:val="13"/>
        </w:numPr>
      </w:pPr>
      <w:r>
        <w:t>Reworded Criteria 2 to “</w:t>
      </w:r>
      <w:r w:rsidRPr="00FE198D">
        <w:t>Reportable Cyber Security Incident</w:t>
      </w:r>
      <w:r>
        <w:t>”</w:t>
      </w:r>
    </w:p>
    <w:p w:rsidR="00913170" w:rsidP="00681D51" w:rsidRDefault="00913170" w14:paraId="31D9D4A6" w14:textId="77777777">
      <w:pPr>
        <w:pStyle w:val="ListParagraph"/>
        <w:numPr>
          <w:ilvl w:val="1"/>
          <w:numId w:val="13"/>
        </w:numPr>
      </w:pPr>
      <w:r>
        <w:t>Added new Criteria 3 “Cyber event that is not a Reportable Cyber Security Incident that causes interruptions of electrical system operations.”</w:t>
      </w:r>
    </w:p>
    <w:p w:rsidR="00913170" w:rsidP="00681D51" w:rsidRDefault="00913170" w14:paraId="0CBF9F47" w14:textId="77777777">
      <w:pPr>
        <w:pStyle w:val="ListParagraph"/>
      </w:pPr>
      <w:r>
        <w:t>To align with reporting requirements established by the NERC CIP-008-06 standard</w:t>
      </w:r>
    </w:p>
    <w:p w:rsidR="00913170" w:rsidP="00681D51" w:rsidRDefault="00913170" w14:paraId="2E4E1866" w14:textId="77777777">
      <w:pPr>
        <w:pStyle w:val="ListParagraph"/>
        <w:numPr>
          <w:ilvl w:val="1"/>
          <w:numId w:val="13"/>
        </w:numPr>
      </w:pPr>
      <w:r>
        <w:t>Added “Attempted Cyber Compromise” Alert Type to be filed within 1-Day</w:t>
      </w:r>
    </w:p>
    <w:p w:rsidR="00913170" w:rsidP="00681D51" w:rsidRDefault="00913170" w14:paraId="050ABDFA" w14:textId="77777777">
      <w:pPr>
        <w:pStyle w:val="ListParagraph"/>
        <w:numPr>
          <w:ilvl w:val="1"/>
          <w:numId w:val="13"/>
        </w:numPr>
      </w:pPr>
      <w:r>
        <w:t>Added corresponding criteria “Cyber Security Incident that was an attempt to compromise a High or Medium Impact Bulk Electric System Cyber System and their associated Electronic Access Control or Monitoring Systems”</w:t>
      </w:r>
    </w:p>
    <w:p w:rsidR="00913170" w:rsidP="00681D51" w:rsidRDefault="00913170" w14:paraId="0826C6C9" w14:textId="77777777">
      <w:pPr>
        <w:pStyle w:val="ListParagraph"/>
      </w:pPr>
      <w:r>
        <w:t>Updated Line Numbers throughout Schedule 1 and Schedule 2</w:t>
      </w:r>
    </w:p>
    <w:p w:rsidR="00681D51" w:rsidP="00681D51" w:rsidRDefault="00681D51" w14:paraId="52A4D1E1" w14:textId="77777777">
      <w:pPr>
        <w:pStyle w:val="ListParagraph"/>
      </w:pPr>
      <w:r>
        <w:t>Added self-identified FOIA Exemption criteria for respondents to identify whether the respondent considers the information in Schedule 1 Lines C &amp; D may be exempt FOIA due to the following:</w:t>
      </w:r>
    </w:p>
    <w:p w:rsidR="00913170" w:rsidP="00681D51" w:rsidRDefault="00681D51" w14:paraId="18147BCF" w14:textId="77777777">
      <w:pPr>
        <w:pStyle w:val="ListParagraph"/>
        <w:numPr>
          <w:ilvl w:val="1"/>
          <w:numId w:val="13"/>
        </w:numPr>
      </w:pPr>
      <w:r>
        <w:t xml:space="preserve"> </w:t>
      </w:r>
      <w:r w:rsidR="00913170">
        <w:t>“Privileged or confidential information, e.g.</w:t>
      </w:r>
      <w:r w:rsidRPr="003E44F7" w:rsidR="00913170">
        <w:t>,</w:t>
      </w:r>
      <w:r w:rsidR="00913170">
        <w:t xml:space="preserve"> trade secrets, commercial, or financial information”</w:t>
      </w:r>
    </w:p>
    <w:p w:rsidR="00913170" w:rsidP="00681D51" w:rsidRDefault="00913170" w14:paraId="64DE6A38" w14:textId="77777777">
      <w:pPr>
        <w:pStyle w:val="ListParagraph"/>
        <w:numPr>
          <w:ilvl w:val="1"/>
          <w:numId w:val="13"/>
        </w:numPr>
      </w:pPr>
      <w:r>
        <w:t xml:space="preserve">“Critical Electric Infrastructure Information” </w:t>
      </w:r>
    </w:p>
    <w:p w:rsidR="00913170" w:rsidP="00681D51" w:rsidRDefault="00913170" w14:paraId="439DE51F" w14:textId="77777777">
      <w:pPr>
        <w:pStyle w:val="ListParagraph"/>
        <w:numPr>
          <w:ilvl w:val="1"/>
          <w:numId w:val="13"/>
        </w:numPr>
      </w:pPr>
      <w:r>
        <w:t>“Other information exempt from FOIA”</w:t>
      </w:r>
    </w:p>
    <w:p w:rsidR="00913170" w:rsidP="00681D51" w:rsidRDefault="00913170" w14:paraId="1B6BBCFE" w14:textId="77777777">
      <w:pPr>
        <w:pStyle w:val="ListParagraph"/>
      </w:pPr>
      <w:r>
        <w:t>Added self-identified FOIA Exemption criteria for respondents to identify whether Information in Schedule 2 may be exempt FOIA due to the following:</w:t>
      </w:r>
    </w:p>
    <w:p w:rsidR="00913170" w:rsidP="00681D51" w:rsidRDefault="00913170" w14:paraId="0F3E10E0" w14:textId="77777777">
      <w:pPr>
        <w:pStyle w:val="ListParagraph"/>
        <w:numPr>
          <w:ilvl w:val="1"/>
          <w:numId w:val="13"/>
        </w:numPr>
      </w:pPr>
      <w:r>
        <w:t>“Privileged or confidential information, e.g., trade secrets, commercial, or financial information”</w:t>
      </w:r>
    </w:p>
    <w:p w:rsidR="00913170" w:rsidP="00681D51" w:rsidRDefault="00913170" w14:paraId="5B1A287B" w14:textId="77777777">
      <w:pPr>
        <w:pStyle w:val="ListParagraph"/>
        <w:numPr>
          <w:ilvl w:val="1"/>
          <w:numId w:val="13"/>
        </w:numPr>
      </w:pPr>
      <w:r>
        <w:t xml:space="preserve">“Critical Electric Infrastructure Information” </w:t>
      </w:r>
    </w:p>
    <w:p w:rsidR="00913170" w:rsidP="00681D51" w:rsidRDefault="00913170" w14:paraId="158FDEFD" w14:textId="77777777">
      <w:pPr>
        <w:pStyle w:val="ListParagraph"/>
        <w:numPr>
          <w:ilvl w:val="1"/>
          <w:numId w:val="13"/>
        </w:numPr>
      </w:pPr>
      <w:r>
        <w:t>“Other information exempt from FOIA”</w:t>
      </w:r>
    </w:p>
    <w:p w:rsidR="00913170" w:rsidP="00681D51" w:rsidRDefault="00913170" w14:paraId="4B6A3D64" w14:textId="77777777">
      <w:pPr>
        <w:pStyle w:val="ListParagraph"/>
      </w:pPr>
      <w:r>
        <w:t>Added the following to the direction to the Narrative Section “</w:t>
      </w:r>
      <w:r w:rsidRPr="00710137">
        <w:t>Cyber Attributes: For cyber events, including attempted cyber compromises, provide the following attributes (at a minimum): (1) the functional impact, (2) the attack vector used, and (3) the level of intrusion that was achieved or attempted.</w:t>
      </w:r>
      <w:r>
        <w:t>”</w:t>
      </w:r>
    </w:p>
    <w:p w:rsidR="00913170" w:rsidP="00681D51" w:rsidRDefault="00913170" w14:paraId="45C208FC" w14:textId="635D64AB">
      <w:pPr>
        <w:pStyle w:val="ListParagraph"/>
      </w:pPr>
      <w:r>
        <w:t xml:space="preserve">Added the </w:t>
      </w:r>
      <w:r w:rsidRPr="0015658F">
        <w:t xml:space="preserve">DHS CISA </w:t>
      </w:r>
      <w:r w:rsidR="000838B9">
        <w:t xml:space="preserve">Central </w:t>
      </w:r>
      <w:r w:rsidRPr="0015658F">
        <w:t>or their successor(s)</w:t>
      </w:r>
      <w:r>
        <w:t xml:space="preserve"> to Line W.</w:t>
      </w:r>
    </w:p>
    <w:p w:rsidR="008C734C" w:rsidP="005B75A6" w:rsidRDefault="008C734C" w14:paraId="3FDF755A" w14:textId="77777777">
      <w:pPr>
        <w:pStyle w:val="Heading2"/>
      </w:pPr>
      <w:bookmarkStart w:name="_Toc492634201" w:id="2"/>
      <w:r>
        <w:t>A.1. Legal Justification</w:t>
      </w:r>
      <w:bookmarkEnd w:id="2"/>
    </w:p>
    <w:p w:rsidRPr="00CA53EA" w:rsidR="009A22E7" w:rsidP="009A22E7" w:rsidRDefault="009A22E7" w14:paraId="7AA5D44F" w14:textId="77777777">
      <w:r w:rsidRPr="00CA53EA">
        <w:t>The authority for these data collections is provided by the following provisions:</w:t>
      </w:r>
    </w:p>
    <w:p w:rsidRPr="00003535" w:rsidR="007C73A1" w:rsidP="00681D51" w:rsidRDefault="009A22E7" w14:paraId="46CEDA01" w14:textId="77777777">
      <w:pPr>
        <w:pStyle w:val="ListParagraph"/>
      </w:pPr>
      <w:r w:rsidRPr="00003535">
        <w:t>15 U.S.C.</w:t>
      </w:r>
      <w:r>
        <w:t xml:space="preserve"> §</w:t>
      </w:r>
      <w:r w:rsidRPr="00003535">
        <w:t>772</w:t>
      </w:r>
      <w:r>
        <w:t xml:space="preserve">(b) </w:t>
      </w:r>
      <w:r w:rsidRPr="00003535">
        <w:t>states:</w:t>
      </w:r>
    </w:p>
    <w:p w:rsidRPr="00003535" w:rsidR="009A22E7" w:rsidP="00681D51" w:rsidRDefault="009A22E7" w14:paraId="088E2338" w14:textId="77777777">
      <w:pPr>
        <w:pStyle w:val="ListParagraph"/>
        <w:numPr>
          <w:ilvl w:val="2"/>
          <w:numId w:val="14"/>
        </w:numPr>
      </w:pPr>
      <w:r w:rsidRPr="00003535">
        <w:t xml:space="preserve">“All persons owning or operating facilities or business premises who are engaged in any phase of energy supply or major energy consumption shall make available to the [Secretary] such information and periodic reports, records, documents, and other data </w:t>
      </w:r>
      <w:r w:rsidRPr="00003535">
        <w:lastRenderedPageBreak/>
        <w:t>relating to the purposes of this Act, including full identification of all data and projections as to source, time, and methodology of development, as the [Secretary] may prescribe by regulation or order as necessary or appropriate for the exercise of functions under the Act.”</w:t>
      </w:r>
    </w:p>
    <w:p w:rsidR="003730CF" w:rsidP="00681D51" w:rsidRDefault="009A22E7" w14:paraId="4FE9E06D" w14:textId="77777777">
      <w:pPr>
        <w:pStyle w:val="ListParagraph"/>
      </w:pPr>
      <w:r w:rsidRPr="00E11E07">
        <w:t>15 U.S.C. 764(b)</w:t>
      </w:r>
      <w:r w:rsidRPr="004D4B61">
        <w:t xml:space="preserve"> </w:t>
      </w:r>
      <w:r>
        <w:t xml:space="preserve">states that to the extent authorized by 15 U.S.C. §764(a), the Administrator shall; </w:t>
      </w:r>
    </w:p>
    <w:p w:rsidR="007B237D" w:rsidP="00681D51" w:rsidRDefault="009A22E7" w14:paraId="5A53A191" w14:textId="77777777">
      <w:pPr>
        <w:pStyle w:val="ListParagraph"/>
        <w:numPr>
          <w:ilvl w:val="2"/>
          <w:numId w:val="14"/>
        </w:numPr>
      </w:pPr>
      <w:r w:rsidRPr="004207A5">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w:t>
      </w:r>
      <w:r>
        <w:t>g to energy resource management;</w:t>
      </w:r>
    </w:p>
    <w:p w:rsidR="007B237D" w:rsidP="00681D51" w:rsidRDefault="009A22E7" w14:paraId="556A2E10" w14:textId="77777777">
      <w:pPr>
        <w:pStyle w:val="ListParagraph"/>
        <w:numPr>
          <w:ilvl w:val="2"/>
          <w:numId w:val="14"/>
        </w:numPr>
      </w:pPr>
      <w:r>
        <w:t>a</w:t>
      </w:r>
      <w:r w:rsidRPr="004D4B61">
        <w:t>ssess the adequacy of energy resources to meet demands in the immediate and longer range future for all sectors of the economy</w:t>
      </w:r>
      <w:r>
        <w:t xml:space="preserve"> and for the general public;</w:t>
      </w:r>
    </w:p>
    <w:p w:rsidRPr="004D4B61" w:rsidR="007B237D" w:rsidP="00681D51" w:rsidRDefault="009A22E7" w14:paraId="6575F55A" w14:textId="77777777">
      <w:pPr>
        <w:pStyle w:val="ListParagraph"/>
        <w:numPr>
          <w:ilvl w:val="2"/>
          <w:numId w:val="14"/>
        </w:numPr>
      </w:pPr>
      <w:r>
        <w:t xml:space="preserve"> </w:t>
      </w:r>
      <w:r w:rsidRPr="004207A5">
        <w:t>develop effective arrangements for the participation of State and local governments in the resolution of energy problems;</w:t>
      </w:r>
    </w:p>
    <w:p w:rsidRPr="004D4B61" w:rsidR="00E45AD7" w:rsidP="00681D51" w:rsidRDefault="009A22E7" w14:paraId="795259DB" w14:textId="77777777">
      <w:pPr>
        <w:pStyle w:val="ListParagraph"/>
        <w:numPr>
          <w:ilvl w:val="2"/>
          <w:numId w:val="14"/>
        </w:numPr>
      </w:pPr>
      <w:r w:rsidRPr="004D4B61">
        <w:t>develop plans and programs for dealing with energy production shortages; …</w:t>
      </w:r>
    </w:p>
    <w:p w:rsidRPr="004D4B61" w:rsidR="00E45AD7" w:rsidP="00681D51" w:rsidRDefault="009A22E7" w14:paraId="674E106E" w14:textId="77777777">
      <w:pPr>
        <w:pStyle w:val="ListParagraph"/>
        <w:numPr>
          <w:ilvl w:val="2"/>
          <w:numId w:val="14"/>
        </w:numPr>
      </w:pPr>
      <w:r w:rsidRPr="004D4B61">
        <w:t>promote stability in energy prices to the consumer, promote free and open competition in all aspects of the energy field, prevent unreasonable profits within the various segments of the energy industry, and promote free enterprise;</w:t>
      </w:r>
    </w:p>
    <w:p w:rsidR="008F44D1" w:rsidP="00681D51" w:rsidRDefault="009A22E7" w14:paraId="38D93F20" w14:textId="77777777">
      <w:pPr>
        <w:pStyle w:val="ListParagraph"/>
        <w:numPr>
          <w:ilvl w:val="2"/>
          <w:numId w:val="14"/>
        </w:numPr>
      </w:pPr>
      <w:r w:rsidRPr="004D4B61">
        <w:t>assure that energy programs are designed and implemented in a fair and efficient manner so as to minimize hardship and inequity while assuring that the priority needs of the Nation are met;</w:t>
      </w:r>
    </w:p>
    <w:p w:rsidRPr="004D4B61" w:rsidR="008058B3" w:rsidP="00681D51" w:rsidRDefault="009A22E7" w14:paraId="01578F70" w14:textId="77777777">
      <w:pPr>
        <w:pStyle w:val="ListParagraph"/>
        <w:numPr>
          <w:ilvl w:val="0"/>
          <w:numId w:val="17"/>
        </w:numPr>
      </w:pPr>
      <w:r w:rsidRPr="004D4B61">
        <w:t>collect, evaluate, assemble, and analyze energy information on reserves, production, demand, and related economic data;</w:t>
      </w:r>
      <w:r>
        <w:t xml:space="preserve"> </w:t>
      </w:r>
    </w:p>
    <w:p w:rsidR="009A22E7" w:rsidP="00681D51" w:rsidRDefault="009A22E7" w14:paraId="172662E1" w14:textId="77777777">
      <w:pPr>
        <w:pStyle w:val="ListParagraph"/>
        <w:numPr>
          <w:ilvl w:val="0"/>
          <w:numId w:val="18"/>
        </w:numPr>
      </w:pPr>
      <w:r w:rsidRPr="004D4B61">
        <w:t>perform such other functions as may be prescribed by law."</w:t>
      </w:r>
    </w:p>
    <w:p w:rsidR="009C4B95" w:rsidP="00681D51" w:rsidRDefault="009A22E7" w14:paraId="36AC0524" w14:textId="77777777">
      <w:pPr>
        <w:pStyle w:val="ListParagraph"/>
      </w:pPr>
      <w:r w:rsidRPr="00003535">
        <w:t xml:space="preserve">As the authority for invoking </w:t>
      </w:r>
      <w:r>
        <w:t>15 U.S.C. §764</w:t>
      </w:r>
      <w:r w:rsidRPr="00003535">
        <w:t>(b), above,</w:t>
      </w:r>
      <w:r>
        <w:t xml:space="preserve"> </w:t>
      </w:r>
      <w:r w:rsidRPr="00003535">
        <w:t>15 U.S.C.</w:t>
      </w:r>
      <w:r>
        <w:t xml:space="preserve"> §</w:t>
      </w:r>
      <w:r w:rsidRPr="00003535">
        <w:t>764</w:t>
      </w:r>
      <w:r>
        <w:t>(a)</w:t>
      </w:r>
      <w:r w:rsidRPr="00003535">
        <w:t xml:space="preserve"> states:</w:t>
      </w:r>
    </w:p>
    <w:p w:rsidRPr="004D4B61" w:rsidR="009C4B95" w:rsidP="00681D51" w:rsidRDefault="009A22E7" w14:paraId="004E0C4A" w14:textId="77777777">
      <w:pPr>
        <w:pStyle w:val="ListParagraph"/>
        <w:numPr>
          <w:ilvl w:val="2"/>
          <w:numId w:val="14"/>
        </w:numPr>
      </w:pPr>
      <w:r>
        <w:t>“</w:t>
      </w: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t>-</w:t>
      </w:r>
    </w:p>
    <w:p w:rsidRPr="004D4B61" w:rsidR="009C4B95" w:rsidP="00681D51" w:rsidRDefault="009A22E7" w14:paraId="4D3A125A" w14:textId="77777777">
      <w:pPr>
        <w:pStyle w:val="ListParagraph"/>
        <w:numPr>
          <w:ilvl w:val="3"/>
          <w:numId w:val="14"/>
        </w:numPr>
      </w:pPr>
      <w:r w:rsidRPr="004D4B61">
        <w:t xml:space="preserve">specifically transferred to or vested in him by or pursuant to this </w:t>
      </w:r>
      <w:r>
        <w:t>chapter;</w:t>
      </w:r>
    </w:p>
    <w:p w:rsidRPr="004D4B61" w:rsidR="009A22E7" w:rsidP="00681D51" w:rsidRDefault="009A22E7" w14:paraId="47DEEBA0" w14:textId="77777777">
      <w:pPr>
        <w:pStyle w:val="ListParagraph"/>
        <w:numPr>
          <w:ilvl w:val="3"/>
          <w:numId w:val="19"/>
        </w:numPr>
      </w:pPr>
      <w:r w:rsidRPr="004D4B61">
        <w:t xml:space="preserve">otherwise specifically vested in the </w:t>
      </w:r>
      <w:r>
        <w:t>Administrator</w:t>
      </w:r>
      <w:r w:rsidRPr="004D4B61">
        <w:t xml:space="preserve"> by the Congress."</w:t>
      </w:r>
    </w:p>
    <w:p w:rsidRPr="004D4B61" w:rsidR="005D447C" w:rsidP="00681D51" w:rsidRDefault="009A22E7" w14:paraId="4E0234B0" w14:textId="77777777">
      <w:pPr>
        <w:pStyle w:val="ListParagraph"/>
        <w:numPr>
          <w:ilvl w:val="0"/>
          <w:numId w:val="19"/>
        </w:numPr>
      </w:pPr>
      <w:r w:rsidRPr="00003535">
        <w:t xml:space="preserve">Additional authority for this information collection is provided by 15 U.S.C. </w:t>
      </w:r>
      <w:r>
        <w:t>§</w:t>
      </w:r>
      <w:r w:rsidRPr="00003535">
        <w:t>790</w:t>
      </w:r>
      <w:r>
        <w:t>(a)</w:t>
      </w:r>
      <w:r w:rsidRPr="00003535">
        <w:t xml:space="preserve"> which states</w:t>
      </w:r>
      <w:r>
        <w:t>;</w:t>
      </w:r>
    </w:p>
    <w:p w:rsidR="00102A9B" w:rsidP="00681D51" w:rsidRDefault="009A22E7" w14:paraId="45AC1C6E" w14:textId="77777777">
      <w:pPr>
        <w:pStyle w:val="ListParagraph"/>
        <w:numPr>
          <w:ilvl w:val="2"/>
          <w:numId w:val="19"/>
        </w:numPr>
      </w:pPr>
      <w:r w:rsidRPr="004D4B61">
        <w:t>“</w:t>
      </w:r>
      <w:r>
        <w:t xml:space="preserve">It shall be the duty of the Director to </w:t>
      </w:r>
      <w:r w:rsidRPr="004D4B61">
        <w:t>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p>
    <w:p w:rsidR="00102A9B" w:rsidP="00681D51" w:rsidRDefault="009A22E7" w14:paraId="76CB6F4A" w14:textId="77777777">
      <w:pPr>
        <w:pStyle w:val="ListParagraph"/>
        <w:numPr>
          <w:ilvl w:val="0"/>
          <w:numId w:val="20"/>
        </w:numPr>
      </w:pPr>
      <w:r>
        <w:t>(1) the Department of Energy in carrying out its lawful functions;</w:t>
      </w:r>
    </w:p>
    <w:p w:rsidR="00102A9B" w:rsidP="00681D51" w:rsidRDefault="009A22E7" w14:paraId="75796716" w14:textId="77777777">
      <w:pPr>
        <w:pStyle w:val="ListParagraph"/>
        <w:numPr>
          <w:ilvl w:val="0"/>
          <w:numId w:val="20"/>
        </w:numPr>
      </w:pPr>
      <w:r>
        <w:t>(2) the Congress;</w:t>
      </w:r>
    </w:p>
    <w:p w:rsidR="00102A9B" w:rsidP="00681D51" w:rsidRDefault="009A22E7" w14:paraId="4D74A4E9" w14:textId="77777777">
      <w:pPr>
        <w:pStyle w:val="ListParagraph"/>
        <w:numPr>
          <w:ilvl w:val="0"/>
          <w:numId w:val="20"/>
        </w:numPr>
      </w:pPr>
      <w:r>
        <w:lastRenderedPageBreak/>
        <w:t>(3) other officers and employees of the United States in whom have been vested, or to whom have been delegated energy-related policy decision-making responsibilities;</w:t>
      </w:r>
    </w:p>
    <w:p w:rsidR="00B2299B" w:rsidP="00681D51" w:rsidRDefault="009A22E7" w14:paraId="0EE76A78" w14:textId="77777777">
      <w:pPr>
        <w:pStyle w:val="ListParagraph"/>
        <w:numPr>
          <w:ilvl w:val="0"/>
          <w:numId w:val="20"/>
        </w:numPr>
      </w:pPr>
      <w:r>
        <w:t>(4) the States to the extent required by the Natural Gas Act [15 U.S.C. 717 et seq.] and the Federal Power Act [16 U.S.C. 791a et seq.].</w:t>
      </w:r>
    </w:p>
    <w:p w:rsidRPr="004D4B61" w:rsidR="00EB15B9" w:rsidP="00681D51" w:rsidRDefault="009A22E7" w14:paraId="5EEC3FAE" w14:textId="77777777">
      <w:pPr>
        <w:pStyle w:val="ListParagraph"/>
        <w:numPr>
          <w:ilvl w:val="2"/>
          <w:numId w:val="19"/>
        </w:numPr>
      </w:pPr>
      <w:r w:rsidRPr="004D4B61">
        <w:t>"</w:t>
      </w:r>
      <w:r>
        <w:t xml:space="preserve">At a minimum, </w:t>
      </w: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p>
    <w:p w:rsidRPr="004D4B61" w:rsidR="00EB15B9" w:rsidP="00681D51" w:rsidRDefault="009A22E7" w14:paraId="2853D7FE" w14:textId="77777777">
      <w:pPr>
        <w:pStyle w:val="ListParagraph"/>
        <w:numPr>
          <w:ilvl w:val="3"/>
          <w:numId w:val="19"/>
        </w:numPr>
      </w:pPr>
      <w:r w:rsidRPr="004D4B61">
        <w:t>the institutional structure of the energy supply system including patterns of ownership and control of mineral fuel and non-mineral energy resources and the production, distribution, and marketing of mineral fuels and electricity;</w:t>
      </w:r>
    </w:p>
    <w:p w:rsidRPr="004D4B61" w:rsidR="00A71A09" w:rsidP="00681D51" w:rsidRDefault="009A22E7" w14:paraId="339206B0" w14:textId="77777777">
      <w:pPr>
        <w:pStyle w:val="ListParagraph"/>
        <w:numPr>
          <w:ilvl w:val="3"/>
          <w:numId w:val="19"/>
        </w:numPr>
      </w:pPr>
      <w:r>
        <w:t xml:space="preserve">the </w:t>
      </w:r>
      <w:r w:rsidRPr="004D4B61">
        <w:t xml:space="preserve">consumption of mineral fuels, non-mineral energy resources, and electricity by such classes, sectors, and regions as may be appropriate for the purposes of this </w:t>
      </w:r>
      <w:r>
        <w:t>chapter</w:t>
      </w:r>
      <w:r w:rsidRPr="004D4B61">
        <w:t>;</w:t>
      </w:r>
    </w:p>
    <w:p w:rsidR="00A71A09" w:rsidP="00681D51" w:rsidRDefault="009A22E7" w14:paraId="0417587F" w14:textId="77777777">
      <w:pPr>
        <w:pStyle w:val="ListParagraph"/>
        <w:numPr>
          <w:ilvl w:val="0"/>
          <w:numId w:val="23"/>
        </w:numPr>
      </w:pPr>
      <w:r>
        <w:t>i</w:t>
      </w:r>
      <w:r w:rsidRPr="004D4B61">
        <w:t>ndustrial, labor, and regional impacts of changes in patterns of</w:t>
      </w:r>
      <w:r>
        <w:t xml:space="preserve"> energy supply and consumption;</w:t>
      </w:r>
    </w:p>
    <w:p w:rsidR="00A71A09" w:rsidP="00681D51" w:rsidRDefault="009A22E7" w14:paraId="0EAAA95A" w14:textId="77777777">
      <w:pPr>
        <w:pStyle w:val="ListParagraph"/>
        <w:numPr>
          <w:ilvl w:val="0"/>
          <w:numId w:val="23"/>
        </w:numPr>
      </w:pPr>
      <w:r>
        <w:t>international aspects, economic and otherwise, of the evolving energy situation; and</w:t>
      </w:r>
    </w:p>
    <w:p w:rsidR="00597217" w:rsidP="00681D51" w:rsidRDefault="009A22E7" w14:paraId="442F916D" w14:textId="77777777">
      <w:pPr>
        <w:pStyle w:val="ListParagraph"/>
        <w:numPr>
          <w:ilvl w:val="0"/>
          <w:numId w:val="23"/>
        </w:numPr>
      </w:pPr>
      <w:r>
        <w:t>long-term relationships between energy supply and consumption in the United States and world communities.”</w:t>
      </w:r>
    </w:p>
    <w:p w:rsidR="00132DB9" w:rsidP="00681D51" w:rsidRDefault="009A22E7" w14:paraId="6FEAD11F" w14:textId="77777777">
      <w:pPr>
        <w:pStyle w:val="ListParagraph"/>
        <w:numPr>
          <w:ilvl w:val="0"/>
          <w:numId w:val="26"/>
        </w:numPr>
      </w:pPr>
      <w:r>
        <w:t>Additio</w:t>
      </w:r>
      <w:r w:rsidRPr="00711D5C">
        <w:rPr>
          <w:spacing w:val="-1"/>
        </w:rPr>
        <w:t>n</w:t>
      </w:r>
      <w:r>
        <w:t>al auth</w:t>
      </w:r>
      <w:r w:rsidRPr="00711D5C">
        <w:rPr>
          <w:spacing w:val="-1"/>
        </w:rPr>
        <w:t>o</w:t>
      </w:r>
      <w:r>
        <w:t>rity for invoking</w:t>
      </w:r>
      <w:r w:rsidRPr="00711D5C">
        <w:rPr>
          <w:spacing w:val="-1"/>
        </w:rPr>
        <w:t xml:space="preserve"> </w:t>
      </w:r>
      <w:r>
        <w:t>15 U.S.C §79</w:t>
      </w:r>
      <w:r w:rsidRPr="00711D5C">
        <w:rPr>
          <w:spacing w:val="-1"/>
        </w:rPr>
        <w:t>0</w:t>
      </w:r>
      <w:r>
        <w:t>(a) is provided by</w:t>
      </w:r>
      <w:r w:rsidRPr="00711D5C">
        <w:rPr>
          <w:spacing w:val="-2"/>
        </w:rPr>
        <w:t xml:space="preserve"> </w:t>
      </w:r>
      <w:r>
        <w:t xml:space="preserve">the </w:t>
      </w:r>
      <w:r w:rsidRPr="00D30EC2">
        <w:t xml:space="preserve">16 U.S.C. </w:t>
      </w:r>
      <w:r w:rsidRPr="00150E51">
        <w:t>§</w:t>
      </w:r>
      <w:r w:rsidRPr="00D30EC2">
        <w:t>2601</w:t>
      </w:r>
      <w:r>
        <w:t xml:space="preserve"> which states:</w:t>
      </w:r>
    </w:p>
    <w:p w:rsidR="00132DB9" w:rsidP="00681D51" w:rsidRDefault="009A22E7" w14:paraId="1E6579E4" w14:textId="77777777">
      <w:pPr>
        <w:pStyle w:val="ListParagraph"/>
        <w:numPr>
          <w:ilvl w:val="5"/>
          <w:numId w:val="26"/>
        </w:numPr>
      </w:pPr>
      <w:r>
        <w:t>The Congress finds that the protection of t</w:t>
      </w:r>
      <w:r w:rsidRPr="00711D5C">
        <w:rPr>
          <w:spacing w:val="-1"/>
        </w:rPr>
        <w:t>h</w:t>
      </w:r>
      <w:r>
        <w:t>e public health, sa</w:t>
      </w:r>
      <w:r w:rsidRPr="00711D5C">
        <w:rPr>
          <w:spacing w:val="-2"/>
        </w:rPr>
        <w:t>f</w:t>
      </w:r>
      <w:r>
        <w:t>ety, and welfare, the preservation of national security, and the prop</w:t>
      </w:r>
      <w:r w:rsidRPr="00711D5C">
        <w:rPr>
          <w:spacing w:val="-1"/>
        </w:rPr>
        <w:t>e</w:t>
      </w:r>
      <w:r>
        <w:t>r exercise of congressional</w:t>
      </w:r>
      <w:r w:rsidRPr="00711D5C">
        <w:rPr>
          <w:spacing w:val="-1"/>
        </w:rPr>
        <w:t xml:space="preserve"> </w:t>
      </w:r>
      <w:r>
        <w:t>authority</w:t>
      </w:r>
      <w:r w:rsidRPr="00711D5C">
        <w:rPr>
          <w:spacing w:val="-1"/>
        </w:rPr>
        <w:t xml:space="preserve"> </w:t>
      </w:r>
      <w:r>
        <w:t>under the Constit</w:t>
      </w:r>
      <w:r w:rsidRPr="00711D5C">
        <w:rPr>
          <w:spacing w:val="-1"/>
        </w:rPr>
        <w:t>u</w:t>
      </w:r>
      <w:r>
        <w:t>tion to regulate i</w:t>
      </w:r>
      <w:r w:rsidRPr="00711D5C">
        <w:rPr>
          <w:spacing w:val="-1"/>
        </w:rPr>
        <w:t>n</w:t>
      </w:r>
      <w:r>
        <w:t>te</w:t>
      </w:r>
      <w:r w:rsidRPr="00711D5C">
        <w:rPr>
          <w:spacing w:val="-1"/>
        </w:rPr>
        <w:t>rs</w:t>
      </w:r>
      <w:r>
        <w:t>tate commerce require - . . .</w:t>
      </w:r>
    </w:p>
    <w:p w:rsidRPr="00711D5C" w:rsidR="009A22E7" w:rsidP="00681D51" w:rsidRDefault="009A22E7" w14:paraId="3601DB66" w14:textId="77777777">
      <w:pPr>
        <w:pStyle w:val="ListParagraph"/>
        <w:numPr>
          <w:ilvl w:val="0"/>
          <w:numId w:val="27"/>
        </w:numPr>
      </w:pPr>
      <w:r w:rsidRPr="008F4C8C">
        <w:t>a program</w:t>
      </w:r>
      <w:r w:rsidRPr="0077128D">
        <w:rPr>
          <w:spacing w:val="-2"/>
        </w:rPr>
        <w:t xml:space="preserve"> </w:t>
      </w:r>
      <w:r w:rsidRPr="004B6A3A">
        <w:t xml:space="preserve">to </w:t>
      </w:r>
      <w:r w:rsidRPr="007A7548">
        <w:rPr>
          <w:spacing w:val="2"/>
        </w:rPr>
        <w:t>i</w:t>
      </w:r>
      <w:r w:rsidRPr="00161972">
        <w:rPr>
          <w:spacing w:val="-2"/>
        </w:rPr>
        <w:t>m</w:t>
      </w:r>
      <w:r w:rsidRPr="00161972">
        <w:t>prove the wholesale distribution of electric energy, the reliability of</w:t>
      </w:r>
      <w:r w:rsidRPr="00771BE2">
        <w:rPr>
          <w:spacing w:val="-2"/>
        </w:rPr>
        <w:t xml:space="preserve"> </w:t>
      </w:r>
      <w:r w:rsidRPr="00771BE2">
        <w:t>ele</w:t>
      </w:r>
      <w:r w:rsidRPr="000C3D08">
        <w:rPr>
          <w:spacing w:val="-1"/>
        </w:rPr>
        <w:t>c</w:t>
      </w:r>
      <w:r w:rsidRPr="000C3D08">
        <w:t>tric ser</w:t>
      </w:r>
      <w:r w:rsidRPr="003D0C76">
        <w:rPr>
          <w:spacing w:val="-1"/>
        </w:rPr>
        <w:t>v</w:t>
      </w:r>
      <w:r w:rsidRPr="003D0C76">
        <w:t>ice, t</w:t>
      </w:r>
      <w:r w:rsidRPr="003D0C76">
        <w:rPr>
          <w:spacing w:val="-1"/>
        </w:rPr>
        <w:t>h</w:t>
      </w:r>
      <w:r w:rsidRPr="00647066">
        <w:t>e pro</w:t>
      </w:r>
      <w:r w:rsidRPr="00647066">
        <w:rPr>
          <w:spacing w:val="-1"/>
        </w:rPr>
        <w:t>c</w:t>
      </w:r>
      <w:r w:rsidRPr="00647066">
        <w:t>edures co</w:t>
      </w:r>
      <w:r w:rsidRPr="00647066">
        <w:rPr>
          <w:spacing w:val="-1"/>
        </w:rPr>
        <w:t>nc</w:t>
      </w:r>
      <w:r w:rsidRPr="00245BF9">
        <w:t>erning con</w:t>
      </w:r>
      <w:r w:rsidRPr="00CA204C">
        <w:rPr>
          <w:spacing w:val="-1"/>
        </w:rPr>
        <w:t>s</w:t>
      </w:r>
      <w:r w:rsidRPr="00CA204C">
        <w:t>ideration of wholesale rate appli</w:t>
      </w:r>
      <w:r w:rsidRPr="00CA204C">
        <w:rPr>
          <w:spacing w:val="-1"/>
        </w:rPr>
        <w:t>ca</w:t>
      </w:r>
      <w:r w:rsidRPr="00CA204C">
        <w:t>ti</w:t>
      </w:r>
      <w:r w:rsidRPr="00CA204C">
        <w:rPr>
          <w:spacing w:val="-1"/>
        </w:rPr>
        <w:t>o</w:t>
      </w:r>
      <w:r w:rsidRPr="00AC1221">
        <w:t>ns … the p</w:t>
      </w:r>
      <w:r w:rsidRPr="00711D5C">
        <w:rPr>
          <w:spacing w:val="-1"/>
        </w:rPr>
        <w:t>a</w:t>
      </w:r>
      <w:r w:rsidRPr="00AC1221">
        <w:t>rticip</w:t>
      </w:r>
      <w:r w:rsidRPr="00711D5C">
        <w:rPr>
          <w:spacing w:val="-1"/>
        </w:rPr>
        <w:t>a</w:t>
      </w:r>
      <w:r w:rsidRPr="00AC1221">
        <w:t xml:space="preserve">tion </w:t>
      </w:r>
      <w:r w:rsidRPr="00711D5C">
        <w:rPr>
          <w:spacing w:val="-1"/>
        </w:rPr>
        <w:t>o</w:t>
      </w:r>
      <w:r w:rsidRPr="00AC1221">
        <w:t>f</w:t>
      </w:r>
      <w:r w:rsidRPr="00711D5C">
        <w:rPr>
          <w:spacing w:val="-1"/>
        </w:rPr>
        <w:t xml:space="preserve"> </w:t>
      </w:r>
      <w:r w:rsidRPr="00AC1221">
        <w:t xml:space="preserve">the public in </w:t>
      </w:r>
      <w:r w:rsidRPr="00711D5C">
        <w:rPr>
          <w:spacing w:val="-2"/>
        </w:rPr>
        <w:t>m</w:t>
      </w:r>
      <w:r w:rsidRPr="00AC1221">
        <w:t>atters …</w:t>
      </w:r>
      <w:r w:rsidRPr="00711D5C">
        <w:rPr>
          <w:spacing w:val="-1"/>
        </w:rPr>
        <w:t xml:space="preserve"> </w:t>
      </w:r>
      <w:r w:rsidRPr="00AC1221">
        <w:t xml:space="preserve">and to provide other </w:t>
      </w:r>
      <w:r w:rsidRPr="00711D5C">
        <w:rPr>
          <w:spacing w:val="-2"/>
        </w:rPr>
        <w:t>m</w:t>
      </w:r>
      <w:r w:rsidRPr="00AC1221">
        <w:t xml:space="preserve">easures with respect to the regulation of the </w:t>
      </w:r>
      <w:r w:rsidRPr="00711D5C">
        <w:rPr>
          <w:spacing w:val="-2"/>
        </w:rPr>
        <w:t>w</w:t>
      </w:r>
      <w:r w:rsidRPr="00AC1221">
        <w:t>holesale sale of electric energy</w:t>
      </w:r>
      <w:r w:rsidRPr="00711D5C">
        <w:t>;</w:t>
      </w:r>
    </w:p>
    <w:p w:rsidR="008C734C" w:rsidP="005B75A6" w:rsidRDefault="008C734C" w14:paraId="004A9B0B" w14:textId="77777777">
      <w:pPr>
        <w:pStyle w:val="Heading2"/>
      </w:pPr>
      <w:bookmarkStart w:name="_Toc492634202" w:id="3"/>
      <w:r>
        <w:t>A.2. Needs and Uses of Data</w:t>
      </w:r>
      <w:bookmarkEnd w:id="3"/>
    </w:p>
    <w:p w:rsidR="009A22E7" w:rsidP="009A22E7" w:rsidRDefault="009A22E7" w14:paraId="492AB74F" w14:textId="77777777">
      <w:pPr>
        <w:spacing w:before="240"/>
      </w:pPr>
      <w:bookmarkStart w:name="_Toc492634203" w:id="4"/>
      <w:r>
        <w:t xml:space="preserve">The electric power industry in the United States consists of traditionally regulated entities (also known as electric utilities), as well as non-traditional participants that include unregulated entities and electric power marketers. As of late </w:t>
      </w:r>
      <w:r w:rsidR="00493E0E">
        <w:t>201</w:t>
      </w:r>
      <w:r w:rsidR="00C3200D">
        <w:t>9</w:t>
      </w:r>
      <w:r>
        <w:t xml:space="preserve">, there were </w:t>
      </w:r>
      <w:r w:rsidR="00C3200D">
        <w:t>2,299</w:t>
      </w:r>
      <w:r>
        <w:t xml:space="preserve"> traditionally regulated and unregulated </w:t>
      </w:r>
      <w:r w:rsidR="00C3200D">
        <w:t>utilities</w:t>
      </w:r>
      <w:r>
        <w:t xml:space="preserve"> and power marketers</w:t>
      </w:r>
      <w:r w:rsidR="00C3200D">
        <w:t xml:space="preserve"> across the Unites States and U.S. Territories</w:t>
      </w:r>
      <w:r>
        <w:t>.</w:t>
      </w:r>
      <w:r w:rsidR="00046DF8">
        <w:t xml:space="preserve"> However, the</w:t>
      </w:r>
      <w:r>
        <w:t xml:space="preserve"> operation of the </w:t>
      </w:r>
      <w:r w:rsidR="00C3200D">
        <w:t xml:space="preserve">bulk </w:t>
      </w:r>
      <w:r>
        <w:t xml:space="preserve">electrical system is </w:t>
      </w:r>
      <w:r w:rsidR="00046DF8">
        <w:t>managed</w:t>
      </w:r>
      <w:r>
        <w:t xml:space="preserve"> by 20</w:t>
      </w:r>
      <w:r w:rsidR="00F52688">
        <w:t>4</w:t>
      </w:r>
      <w:r>
        <w:t xml:space="preserve"> </w:t>
      </w:r>
      <w:r w:rsidR="00C3200D">
        <w:t>Balancing Authorities (BA)</w:t>
      </w:r>
      <w:r>
        <w:t xml:space="preserve">. </w:t>
      </w:r>
    </w:p>
    <w:p w:rsidR="009A22E7" w:rsidP="009A22E7" w:rsidRDefault="009A22E7" w14:paraId="06C72207" w14:textId="77777777">
      <w:r>
        <w:t xml:space="preserve">Form OE-417 enables DOE to monitor electric emergency incidents and disturbances in the United States (including all 50 States, the District of Columbia, Puerto Rico, U.S. Virgin Islands, and the U.S. Territories). </w:t>
      </w:r>
      <w:r w:rsidR="00493E0E">
        <w:t>The integration of the</w:t>
      </w:r>
      <w:r>
        <w:t xml:space="preserve"> North American Energy Reliability Corporation (NERC) </w:t>
      </w:r>
      <w:r w:rsidR="00493E0E">
        <w:t xml:space="preserve">EOP-004-3 Reliability Standard reporting requirements </w:t>
      </w:r>
      <w:r>
        <w:t>into Form OE-417</w:t>
      </w:r>
      <w:r w:rsidR="00493E0E">
        <w:t xml:space="preserve"> allows NERC</w:t>
      </w:r>
      <w:r>
        <w:t xml:space="preserve"> to utilize Form OE-417 to improve the reliability of the Bulk Electric System by monitoring events of reporting entities. </w:t>
      </w:r>
      <w:r w:rsidR="00445749">
        <w:t>The CIP-</w:t>
      </w:r>
      <w:r w:rsidR="00445749">
        <w:lastRenderedPageBreak/>
        <w:t xml:space="preserve">008-6 Reliability Standard </w:t>
      </w:r>
      <w:r w:rsidR="00106391">
        <w:t>established</w:t>
      </w:r>
      <w:r w:rsidR="00002073">
        <w:t xml:space="preserve"> new definitions for </w:t>
      </w:r>
      <w:r w:rsidR="002B6C3E">
        <w:t>a Cyber Security Incident</w:t>
      </w:r>
      <w:r w:rsidR="00002073">
        <w:t xml:space="preserve"> and </w:t>
      </w:r>
      <w:r w:rsidR="002B6C3E">
        <w:t xml:space="preserve">a </w:t>
      </w:r>
      <w:r w:rsidR="00002073">
        <w:t>Reportable Cyber Security Inci</w:t>
      </w:r>
      <w:r w:rsidR="002B6C3E">
        <w:t>dent</w:t>
      </w:r>
      <w:r w:rsidR="00002073">
        <w:t xml:space="preserve"> and expanded the reporting requirements, including expanding the applicable systems to report on and adding</w:t>
      </w:r>
      <w:r w:rsidR="002B6C3E">
        <w:t xml:space="preserve"> new</w:t>
      </w:r>
      <w:r w:rsidR="00002073">
        <w:t xml:space="preserve"> reporting requirements for attempted compromises of high and medium impact BES cyber systems and their associated electronic access control or monitoring systems. </w:t>
      </w:r>
      <w:r w:rsidR="00493E0E">
        <w:t xml:space="preserve">The addition of the reporting requirements </w:t>
      </w:r>
      <w:r w:rsidR="00445749">
        <w:t xml:space="preserve">from </w:t>
      </w:r>
      <w:r w:rsidR="00493E0E">
        <w:t xml:space="preserve">NERC CIP-008-6 Critical Infrastructure Protection Standard </w:t>
      </w:r>
      <w:r w:rsidR="00445749">
        <w:t xml:space="preserve">into the OE-417 </w:t>
      </w:r>
      <w:r w:rsidR="00493E0E">
        <w:t xml:space="preserve">will provide further value by ensuring that DOE </w:t>
      </w:r>
      <w:r w:rsidR="009211E6">
        <w:t xml:space="preserve">has </w:t>
      </w:r>
      <w:r w:rsidR="00493E0E">
        <w:t>critical information about cyber incide</w:t>
      </w:r>
      <w:r w:rsidR="00E87C1E">
        <w:t xml:space="preserve">nts affecting the energy sector. </w:t>
      </w:r>
      <w:r>
        <w:t xml:space="preserve">The information will assist the government by helping to prevent the physical or </w:t>
      </w:r>
      <w:r w:rsidR="00E87C1E">
        <w:t xml:space="preserve">cyber </w:t>
      </w:r>
      <w:r>
        <w:t>disruption of the operation of the critical electrical energy infrastructure.</w:t>
      </w:r>
    </w:p>
    <w:p w:rsidR="00C032E0" w:rsidP="00913170" w:rsidRDefault="009A22E7" w14:paraId="20711D9E" w14:textId="77777777">
      <w:r>
        <w:t xml:space="preserve">DOE is the </w:t>
      </w:r>
      <w:r w:rsidR="00237936">
        <w:t xml:space="preserve">coordinating </w:t>
      </w:r>
      <w:r>
        <w:t>agency for Emergency Support Function (ESF) #12 – Energy, under the National Response Framework, and the Sector Specific Agency (SSA) for Energy under Presidential Policy Directive (PPD) 21 PPD 41</w:t>
      </w:r>
      <w:r w:rsidR="00237936">
        <w:t>, and the FAST ACT</w:t>
      </w:r>
      <w:r>
        <w:t xml:space="preserve">. DOE’s Office </w:t>
      </w:r>
      <w:r w:rsidR="00E87C1E">
        <w:t>of Cybersecurity, Energy Security, and Emergency Response</w:t>
      </w:r>
      <w:r>
        <w:t xml:space="preserve"> uses Form</w:t>
      </w:r>
      <w:r w:rsidR="00C032E0">
        <w:t xml:space="preserve"> </w:t>
      </w:r>
      <w:r>
        <w:t>OE-417, “</w:t>
      </w:r>
      <w:r w:rsidRPr="00AD2A07">
        <w:rPr>
          <w:i/>
        </w:rPr>
        <w:t>Emergency Incident and Disturbance Report</w:t>
      </w:r>
      <w:r>
        <w:rPr>
          <w:i/>
        </w:rPr>
        <w:t>”</w:t>
      </w:r>
      <w:r>
        <w:t xml:space="preserve"> to monitor major incidents or potential incidents on electric power systems, and to conduct after-action investigations on significant interruptions of electric power or threats to the electric system reliability, which helps DOE meet its ESF #12, SSA, and national security responsibilities. </w:t>
      </w:r>
    </w:p>
    <w:p w:rsidR="00C032E0" w:rsidP="005B75A6" w:rsidRDefault="00C032E0" w14:paraId="2E89FD48" w14:textId="77777777">
      <w:pPr>
        <w:pStyle w:val="Heading2"/>
      </w:pPr>
      <w:bookmarkStart w:name="_Toc487186502" w:id="5"/>
      <w:bookmarkStart w:name="_Toc488240609" w:id="6"/>
      <w:r>
        <w:t xml:space="preserve">A.2.1 </w:t>
      </w:r>
      <w:r w:rsidRPr="0085414B">
        <w:t>Overview of Data Uses</w:t>
      </w:r>
      <w:bookmarkEnd w:id="5"/>
      <w:bookmarkEnd w:id="6"/>
    </w:p>
    <w:p w:rsidR="00A36A3D" w:rsidP="00A36A3D" w:rsidRDefault="00C032E0" w14:paraId="7EC6868C" w14:textId="77777777">
      <w:r w:rsidRPr="00C032E0">
        <w:t>Form OE-417 enables DOE to monitor electric emergency incidents and disturbances so the U.S. Government may take steps to help prevent the physical or virtual disruption of the operation of critical electric power infrastructure. Form OE-417 is an alert mechanism</w:t>
      </w:r>
      <w:r w:rsidR="00A10A62">
        <w:t xml:space="preserve"> that </w:t>
      </w:r>
      <w:r w:rsidRPr="00C032E0">
        <w:t>enables DOE to quickly respond to energy emergencies</w:t>
      </w:r>
      <w:r w:rsidR="003E44F7">
        <w:t>,</w:t>
      </w:r>
      <w:r w:rsidRPr="00C032E0">
        <w:t xml:space="preserve"> </w:t>
      </w:r>
      <w:r w:rsidR="00A10A62">
        <w:t>which</w:t>
      </w:r>
      <w:r w:rsidRPr="00C032E0" w:rsidR="00A10A62">
        <w:t xml:space="preserve"> </w:t>
      </w:r>
      <w:r w:rsidRPr="00C032E0">
        <w:t>may impact the nation’s energy infrastructure. The analysis of the incident/disturbance data allows for the development of strategies to mitigate or prevent future electric power disruptions. As such, the timely initial filing of Schedule 1 of this form within 1 hour of the emergency incident is extremely important.</w:t>
      </w:r>
      <w:r w:rsidR="00A36A3D">
        <w:t xml:space="preserve"> </w:t>
      </w:r>
    </w:p>
    <w:p w:rsidR="00A36A3D" w:rsidP="00A36A3D" w:rsidRDefault="00A36A3D" w14:paraId="2124AF6F" w14:textId="77777777">
      <w:r>
        <w:t>The information is also used in developing legislative recommendations and reports to Congress; as well as inform Federal efforts developing policies to respond to electrical disturbances and protect critical national infrastructure. The information submitted is also used by the DOE’s Office of Electricity, the Energy Information Administration, and other DOE offices with a need-to-know designation to analyze significant interruptions or potential interruptions of electric power.</w:t>
      </w:r>
    </w:p>
    <w:p w:rsidRPr="00C032E0" w:rsidR="00C032E0" w:rsidP="00C032E0" w:rsidRDefault="00C032E0" w14:paraId="176AF17F" w14:textId="77777777">
      <w:pPr>
        <w:spacing w:before="240"/>
      </w:pPr>
    </w:p>
    <w:p w:rsidRPr="00C032E0" w:rsidR="00C032E0" w:rsidP="00C032E0" w:rsidRDefault="00C032E0" w14:paraId="7CBF4324" w14:textId="77777777">
      <w:r w:rsidRPr="00C032E0">
        <w:t xml:space="preserve">Emergency electric incidents and disturbances that lead to interruptions of power, could lead to disruptions of critical infrastructure. Critical Infrastructure that can be affected by electric incidents and disturbances include natural gas or petroleum product pipelines, petroleum refineries, water supplies, and telecommunications systems. The national security, economic prosperity, and the well-being of the U.S. depends on the continuing reliability of the </w:t>
      </w:r>
      <w:r w:rsidR="00136DA9">
        <w:t>N</w:t>
      </w:r>
      <w:r w:rsidRPr="00C032E0">
        <w:t>ation’s increasingly complex electric power</w:t>
      </w:r>
      <w:r w:rsidRPr="00C032E0" w:rsidDel="003A4250">
        <w:t xml:space="preserve"> </w:t>
      </w:r>
      <w:r w:rsidRPr="00C032E0">
        <w:t xml:space="preserve">infrastructure. Along with examining issues associated with insufficient capacity reserves, tracking disturbances that impact integrated generation and transmission facilities is an important task. Form OE-417 is a critical alert mechanism for informing DOE so that physical and virtual disruption of any critical infrastructure can be prevented or mitigated. Form OE-417 data </w:t>
      </w:r>
      <w:r w:rsidR="00136DA9">
        <w:t xml:space="preserve">has alerted DOE to recent cyber incidents that could have affected customers, allowing DOE to engage with the affected utility and to </w:t>
      </w:r>
      <w:r w:rsidR="00136DA9">
        <w:lastRenderedPageBreak/>
        <w:t>provide additional support from the Department of Homeland Security and Federal Bureau of Investigation</w:t>
      </w:r>
      <w:r w:rsidRPr="00C032E0">
        <w:t>.</w:t>
      </w:r>
      <w:r w:rsidR="00136DA9">
        <w:t xml:space="preserve"> Additionally, the form is regularly used</w:t>
      </w:r>
      <w:r w:rsidRPr="00C032E0">
        <w:t xml:space="preserve"> </w:t>
      </w:r>
      <w:r w:rsidR="00136DA9">
        <w:t xml:space="preserve">during severe weather events and allows </w:t>
      </w:r>
      <w:r w:rsidRPr="00C032E0">
        <w:t>DOE to assess the specific cause of outages, how many customers were affected and the demand loss, as well as estimated time to restoration.</w:t>
      </w:r>
    </w:p>
    <w:p w:rsidRPr="00C032E0" w:rsidR="00C032E0" w:rsidP="00C032E0" w:rsidRDefault="00C032E0" w14:paraId="507FAA26" w14:textId="77777777">
      <w:r w:rsidRPr="00C032E0">
        <w:t>Form OE-417 is designed to identify and track emergency incidents from:</w:t>
      </w:r>
    </w:p>
    <w:p w:rsidRPr="00C032E0" w:rsidR="00652BE9" w:rsidP="00681D51" w:rsidRDefault="00C032E0" w14:paraId="4CAF4733" w14:textId="77777777">
      <w:pPr>
        <w:pStyle w:val="ListParagraph"/>
        <w:numPr>
          <w:ilvl w:val="0"/>
          <w:numId w:val="14"/>
        </w:numPr>
      </w:pPr>
      <w:r w:rsidRPr="00C032E0">
        <w:t>Entities that have Balancing Authorities (BA) and/or regional Reliability Coordinator (RC) functions. They are responsible for the physical operations and reliability coordination.</w:t>
      </w:r>
    </w:p>
    <w:p w:rsidRPr="00C032E0" w:rsidR="00C032E0" w:rsidP="00681D51" w:rsidRDefault="00C032E0" w14:paraId="7B4B4FBB" w14:textId="77777777">
      <w:pPr>
        <w:pStyle w:val="ListParagraph"/>
        <w:numPr>
          <w:ilvl w:val="0"/>
          <w:numId w:val="14"/>
        </w:numPr>
      </w:pPr>
      <w:r w:rsidRPr="00C032E0">
        <w:t>All electric utilities’ physical and electronic (cyber) security, suspected, malicious, or intentional threats.</w:t>
      </w:r>
    </w:p>
    <w:p w:rsidR="00C032E0" w:rsidP="005B75A6" w:rsidRDefault="00C032E0" w14:paraId="133EC1D5" w14:textId="77777777">
      <w:pPr>
        <w:pStyle w:val="Heading2"/>
      </w:pPr>
      <w:bookmarkStart w:name="_Toc487186503" w:id="7"/>
      <w:bookmarkStart w:name="_Toc488240610" w:id="8"/>
      <w:r>
        <w:t>A.</w:t>
      </w:r>
      <w:r w:rsidRPr="00E373EC">
        <w:t>2.2</w:t>
      </w:r>
      <w:r>
        <w:t>.1</w:t>
      </w:r>
      <w:r w:rsidRPr="00E373EC">
        <w:t xml:space="preserve"> Overview of Data Collection</w:t>
      </w:r>
      <w:bookmarkEnd w:id="7"/>
      <w:bookmarkEnd w:id="8"/>
    </w:p>
    <w:p w:rsidR="00C032E0" w:rsidP="00C032E0" w:rsidRDefault="00C032E0" w14:paraId="699EB675" w14:textId="77777777">
      <w:pPr>
        <w:spacing w:before="240"/>
      </w:pPr>
      <w:r>
        <w:t xml:space="preserve">Form OE-417 does not follow a reporting schedule because the requirement to report is event driven. </w:t>
      </w:r>
    </w:p>
    <w:p w:rsidR="00C032E0" w:rsidP="00C032E0" w:rsidRDefault="00C032E0" w14:paraId="08CA9B8C" w14:textId="77777777">
      <w:pPr>
        <w:rPr>
          <w:color w:val="000000"/>
          <w:szCs w:val="24"/>
        </w:rPr>
      </w:pPr>
      <w:r>
        <w:t>Reporting coverage for Form OE-417 includ</w:t>
      </w:r>
      <w:r>
        <w:rPr>
          <w:spacing w:val="-3"/>
        </w:rPr>
        <w:t>e</w:t>
      </w:r>
      <w:r>
        <w:t>s all 50 States, the District of Columbia, Puerto Rico, the U.S. Virgin Islands, and the U.S. Territo</w:t>
      </w:r>
      <w:r>
        <w:rPr>
          <w:spacing w:val="-1"/>
        </w:rPr>
        <w:t>r</w:t>
      </w:r>
      <w:r>
        <w:rPr>
          <w:spacing w:val="1"/>
        </w:rPr>
        <w:t>i</w:t>
      </w:r>
      <w:r>
        <w:t xml:space="preserve">es. DOE is </w:t>
      </w:r>
      <w:r>
        <w:rPr>
          <w:spacing w:val="-2"/>
        </w:rPr>
        <w:t>m</w:t>
      </w:r>
      <w:r>
        <w:t>aintai</w:t>
      </w:r>
      <w:r>
        <w:rPr>
          <w:spacing w:val="-1"/>
        </w:rPr>
        <w:t>n</w:t>
      </w:r>
      <w:r>
        <w:t>ing the reporting functions for electric utilities, BA, and RCs. Incident events reporting, such as suspected or actual threats, vandalism, and/or</w:t>
      </w:r>
      <w:r>
        <w:rPr>
          <w:spacing w:val="-1"/>
        </w:rPr>
        <w:t xml:space="preserve"> </w:t>
      </w:r>
      <w:r>
        <w:t>cyber-attacks or total loss of power, is required for all respondents. However, it is the expectation that few, if any, reports would be filed in any given year by</w:t>
      </w:r>
      <w:r>
        <w:rPr>
          <w:spacing w:val="-2"/>
        </w:rPr>
        <w:t xml:space="preserve"> </w:t>
      </w:r>
      <w:r>
        <w:t>mo</w:t>
      </w:r>
      <w:r>
        <w:rPr>
          <w:spacing w:val="1"/>
        </w:rPr>
        <w:t>s</w:t>
      </w:r>
      <w:r>
        <w:t xml:space="preserve">t respondents. There are </w:t>
      </w:r>
      <w:r w:rsidR="00C3200D">
        <w:t>215</w:t>
      </w:r>
      <w:r w:rsidR="00654417">
        <w:t xml:space="preserve"> </w:t>
      </w:r>
      <w:r>
        <w:t>NERC- established BA</w:t>
      </w:r>
      <w:r>
        <w:rPr>
          <w:rStyle w:val="FootnoteReference"/>
          <w:color w:val="000000"/>
          <w:szCs w:val="24"/>
        </w:rPr>
        <w:footnoteReference w:id="2"/>
      </w:r>
      <w:r>
        <w:t xml:space="preserve"> </w:t>
      </w:r>
      <w:r>
        <w:rPr>
          <w:color w:val="000000"/>
          <w:szCs w:val="24"/>
        </w:rPr>
        <w:t>and R</w:t>
      </w:r>
      <w:r>
        <w:rPr>
          <w:color w:val="000000"/>
          <w:spacing w:val="1"/>
          <w:szCs w:val="24"/>
        </w:rPr>
        <w:t>C</w:t>
      </w:r>
      <w:r>
        <w:rPr>
          <w:rStyle w:val="FootnoteReference"/>
          <w:color w:val="000000"/>
          <w:spacing w:val="1"/>
          <w:szCs w:val="24"/>
        </w:rPr>
        <w:footnoteReference w:id="3"/>
      </w:r>
      <w:r>
        <w:rPr>
          <w:color w:val="000000"/>
          <w:spacing w:val="1"/>
          <w:szCs w:val="24"/>
        </w:rPr>
        <w:t xml:space="preserve"> </w:t>
      </w:r>
      <w:r>
        <w:t xml:space="preserve">entities </w:t>
      </w:r>
      <w:r>
        <w:rPr>
          <w:color w:val="000000"/>
          <w:szCs w:val="24"/>
        </w:rPr>
        <w:t>that are responsible for the physical operations and reliability coordination of busin</w:t>
      </w:r>
      <w:r>
        <w:rPr>
          <w:color w:val="000000"/>
          <w:spacing w:val="-1"/>
          <w:szCs w:val="24"/>
        </w:rPr>
        <w:t>e</w:t>
      </w:r>
      <w:r>
        <w:rPr>
          <w:color w:val="000000"/>
          <w:szCs w:val="24"/>
        </w:rPr>
        <w:t>ss e</w:t>
      </w:r>
      <w:r>
        <w:rPr>
          <w:color w:val="000000"/>
          <w:spacing w:val="-1"/>
          <w:szCs w:val="24"/>
        </w:rPr>
        <w:t>n</w:t>
      </w:r>
      <w:r>
        <w:rPr>
          <w:color w:val="000000"/>
          <w:szCs w:val="24"/>
        </w:rPr>
        <w:t>tities th</w:t>
      </w:r>
      <w:r>
        <w:rPr>
          <w:color w:val="000000"/>
          <w:spacing w:val="-1"/>
          <w:szCs w:val="24"/>
        </w:rPr>
        <w:t>a</w:t>
      </w:r>
      <w:r>
        <w:rPr>
          <w:color w:val="000000"/>
          <w:szCs w:val="24"/>
        </w:rPr>
        <w:t xml:space="preserve">t </w:t>
      </w:r>
      <w:r>
        <w:rPr>
          <w:color w:val="000000"/>
          <w:spacing w:val="-1"/>
          <w:szCs w:val="24"/>
        </w:rPr>
        <w:t>f</w:t>
      </w:r>
      <w:r>
        <w:rPr>
          <w:color w:val="000000"/>
          <w:szCs w:val="24"/>
        </w:rPr>
        <w:t>ile t</w:t>
      </w:r>
      <w:r>
        <w:rPr>
          <w:color w:val="000000"/>
          <w:spacing w:val="-1"/>
          <w:szCs w:val="24"/>
        </w:rPr>
        <w:t>h</w:t>
      </w:r>
      <w:r>
        <w:rPr>
          <w:color w:val="000000"/>
          <w:szCs w:val="24"/>
        </w:rPr>
        <w:t xml:space="preserve">e </w:t>
      </w:r>
      <w:r>
        <w:rPr>
          <w:color w:val="000000"/>
          <w:spacing w:val="-1"/>
          <w:szCs w:val="24"/>
        </w:rPr>
        <w:t>f</w:t>
      </w:r>
      <w:r>
        <w:rPr>
          <w:color w:val="000000"/>
          <w:szCs w:val="24"/>
        </w:rPr>
        <w:t>orm. All of</w:t>
      </w:r>
      <w:r>
        <w:rPr>
          <w:color w:val="000000"/>
          <w:spacing w:val="-1"/>
          <w:szCs w:val="24"/>
        </w:rPr>
        <w:t xml:space="preserve"> </w:t>
      </w:r>
      <w:r>
        <w:rPr>
          <w:color w:val="000000"/>
          <w:szCs w:val="24"/>
        </w:rPr>
        <w:t xml:space="preserve">these </w:t>
      </w:r>
      <w:r>
        <w:rPr>
          <w:color w:val="000000"/>
          <w:spacing w:val="-1"/>
          <w:szCs w:val="24"/>
        </w:rPr>
        <w:t>f</w:t>
      </w:r>
      <w:r>
        <w:rPr>
          <w:color w:val="000000"/>
          <w:szCs w:val="24"/>
        </w:rPr>
        <w:t>unctions a</w:t>
      </w:r>
      <w:r>
        <w:rPr>
          <w:color w:val="000000"/>
          <w:spacing w:val="-1"/>
          <w:szCs w:val="24"/>
        </w:rPr>
        <w:t>r</w:t>
      </w:r>
      <w:r>
        <w:rPr>
          <w:color w:val="000000"/>
          <w:szCs w:val="24"/>
        </w:rPr>
        <w:t>e loc</w:t>
      </w:r>
      <w:r>
        <w:rPr>
          <w:color w:val="000000"/>
          <w:spacing w:val="-1"/>
          <w:szCs w:val="24"/>
        </w:rPr>
        <w:t>a</w:t>
      </w:r>
      <w:r>
        <w:rPr>
          <w:color w:val="000000"/>
          <w:szCs w:val="24"/>
        </w:rPr>
        <w:t>ted within exi</w:t>
      </w:r>
      <w:r>
        <w:rPr>
          <w:color w:val="000000"/>
          <w:spacing w:val="-2"/>
          <w:szCs w:val="24"/>
        </w:rPr>
        <w:t>s</w:t>
      </w:r>
      <w:r>
        <w:rPr>
          <w:color w:val="000000"/>
          <w:szCs w:val="24"/>
        </w:rPr>
        <w:t>ting electric utilities or in those business entities that were established by the Federal Energy Regulatory Com</w:t>
      </w:r>
      <w:r>
        <w:rPr>
          <w:color w:val="000000"/>
          <w:spacing w:val="-2"/>
          <w:szCs w:val="24"/>
        </w:rPr>
        <w:t>m</w:t>
      </w:r>
      <w:r>
        <w:rPr>
          <w:color w:val="000000"/>
          <w:szCs w:val="24"/>
        </w:rPr>
        <w:t>ission (FERC).</w:t>
      </w:r>
    </w:p>
    <w:p w:rsidRPr="00310B74" w:rsidR="00C032E0" w:rsidP="00C032E0" w:rsidRDefault="00C032E0" w14:paraId="5FBDF2B2" w14:textId="77777777">
      <w:pPr>
        <w:rPr>
          <w:color w:val="000000"/>
          <w:szCs w:val="24"/>
        </w:rPr>
      </w:pPr>
      <w:r>
        <w:rPr>
          <w:color w:val="000000"/>
          <w:szCs w:val="24"/>
        </w:rPr>
        <w:t>The entities that have BA responsibilities are</w:t>
      </w:r>
      <w:r>
        <w:rPr>
          <w:color w:val="000000"/>
          <w:spacing w:val="-1"/>
          <w:szCs w:val="24"/>
        </w:rPr>
        <w:t xml:space="preserve"> </w:t>
      </w:r>
      <w:r>
        <w:rPr>
          <w:color w:val="000000"/>
          <w:szCs w:val="24"/>
        </w:rPr>
        <w:t>considered the pri</w:t>
      </w:r>
      <w:r>
        <w:rPr>
          <w:color w:val="000000"/>
          <w:spacing w:val="-2"/>
          <w:szCs w:val="24"/>
        </w:rPr>
        <w:t>m</w:t>
      </w:r>
      <w:r>
        <w:rPr>
          <w:color w:val="000000"/>
          <w:szCs w:val="24"/>
        </w:rPr>
        <w:t>ary filer of Form OE-417. They report info</w:t>
      </w:r>
      <w:r>
        <w:rPr>
          <w:color w:val="000000"/>
          <w:spacing w:val="2"/>
          <w:szCs w:val="24"/>
        </w:rPr>
        <w:t>r</w:t>
      </w:r>
      <w:r>
        <w:rPr>
          <w:color w:val="000000"/>
          <w:spacing w:val="-2"/>
          <w:szCs w:val="24"/>
        </w:rPr>
        <w:t>m</w:t>
      </w:r>
      <w:r>
        <w:rPr>
          <w:color w:val="000000"/>
          <w:szCs w:val="24"/>
        </w:rPr>
        <w:t>ation on individ</w:t>
      </w:r>
      <w:r>
        <w:rPr>
          <w:color w:val="000000"/>
          <w:spacing w:val="-1"/>
          <w:szCs w:val="24"/>
        </w:rPr>
        <w:t>u</w:t>
      </w:r>
      <w:r>
        <w:rPr>
          <w:color w:val="000000"/>
          <w:szCs w:val="24"/>
        </w:rPr>
        <w:t>al load and counts of custo</w:t>
      </w:r>
      <w:r>
        <w:rPr>
          <w:color w:val="000000"/>
          <w:spacing w:val="-2"/>
          <w:szCs w:val="24"/>
        </w:rPr>
        <w:t>m</w:t>
      </w:r>
      <w:r>
        <w:rPr>
          <w:color w:val="000000"/>
          <w:szCs w:val="24"/>
        </w:rPr>
        <w:t>ers lost that co</w:t>
      </w:r>
      <w:r>
        <w:rPr>
          <w:color w:val="000000"/>
          <w:spacing w:val="-2"/>
          <w:szCs w:val="24"/>
        </w:rPr>
        <w:t>m</w:t>
      </w:r>
      <w:r>
        <w:rPr>
          <w:color w:val="000000"/>
          <w:szCs w:val="24"/>
        </w:rPr>
        <w:t>e</w:t>
      </w:r>
      <w:r>
        <w:rPr>
          <w:color w:val="000000"/>
          <w:spacing w:val="1"/>
          <w:szCs w:val="24"/>
        </w:rPr>
        <w:t xml:space="preserve"> </w:t>
      </w:r>
      <w:r>
        <w:rPr>
          <w:color w:val="000000"/>
          <w:szCs w:val="24"/>
        </w:rPr>
        <w:t>from</w:t>
      </w:r>
      <w:r>
        <w:rPr>
          <w:color w:val="000000"/>
          <w:spacing w:val="-1"/>
          <w:szCs w:val="24"/>
        </w:rPr>
        <w:t xml:space="preserve"> </w:t>
      </w:r>
      <w:r>
        <w:rPr>
          <w:color w:val="000000"/>
          <w:szCs w:val="24"/>
        </w:rPr>
        <w:t>the</w:t>
      </w:r>
      <w:r>
        <w:rPr>
          <w:color w:val="000000"/>
          <w:spacing w:val="1"/>
          <w:szCs w:val="24"/>
        </w:rPr>
        <w:t xml:space="preserve"> </w:t>
      </w:r>
      <w:r>
        <w:rPr>
          <w:color w:val="000000"/>
          <w:szCs w:val="24"/>
        </w:rPr>
        <w:t>electric</w:t>
      </w:r>
      <w:r>
        <w:rPr>
          <w:color w:val="000000"/>
          <w:spacing w:val="-2"/>
          <w:szCs w:val="24"/>
        </w:rPr>
        <w:t xml:space="preserve"> </w:t>
      </w:r>
      <w:r>
        <w:rPr>
          <w:color w:val="000000"/>
          <w:szCs w:val="24"/>
        </w:rPr>
        <w:t>utilities found within their area. Many of t</w:t>
      </w:r>
      <w:r>
        <w:rPr>
          <w:color w:val="000000"/>
          <w:spacing w:val="2"/>
          <w:szCs w:val="24"/>
        </w:rPr>
        <w:t>h</w:t>
      </w:r>
      <w:r>
        <w:rPr>
          <w:color w:val="000000"/>
          <w:szCs w:val="24"/>
        </w:rPr>
        <w:t xml:space="preserve">ese electric utilities are </w:t>
      </w:r>
      <w:r>
        <w:rPr>
          <w:color w:val="000000"/>
          <w:spacing w:val="-1"/>
          <w:szCs w:val="24"/>
        </w:rPr>
        <w:t>f</w:t>
      </w:r>
      <w:r>
        <w:rPr>
          <w:color w:val="000000"/>
          <w:szCs w:val="24"/>
        </w:rPr>
        <w:t>ull req</w:t>
      </w:r>
      <w:r>
        <w:rPr>
          <w:color w:val="000000"/>
          <w:spacing w:val="-1"/>
          <w:szCs w:val="24"/>
        </w:rPr>
        <w:t>u</w:t>
      </w:r>
      <w:r>
        <w:rPr>
          <w:color w:val="000000"/>
          <w:szCs w:val="24"/>
        </w:rPr>
        <w:t>ire</w:t>
      </w:r>
      <w:r>
        <w:rPr>
          <w:color w:val="000000"/>
          <w:spacing w:val="-2"/>
          <w:szCs w:val="24"/>
        </w:rPr>
        <w:t>m</w:t>
      </w:r>
      <w:r>
        <w:rPr>
          <w:color w:val="000000"/>
          <w:szCs w:val="24"/>
        </w:rPr>
        <w:t xml:space="preserve">ent or </w:t>
      </w:r>
      <w:r>
        <w:rPr>
          <w:color w:val="000000"/>
          <w:spacing w:val="-1"/>
          <w:szCs w:val="24"/>
        </w:rPr>
        <w:t>p</w:t>
      </w:r>
      <w:r>
        <w:rPr>
          <w:color w:val="000000"/>
          <w:szCs w:val="24"/>
        </w:rPr>
        <w:t>artial requi</w:t>
      </w:r>
      <w:r>
        <w:rPr>
          <w:color w:val="000000"/>
          <w:spacing w:val="-1"/>
          <w:szCs w:val="24"/>
        </w:rPr>
        <w:t>r</w:t>
      </w:r>
      <w:r>
        <w:rPr>
          <w:color w:val="000000"/>
          <w:szCs w:val="24"/>
        </w:rPr>
        <w:t>e</w:t>
      </w:r>
      <w:r>
        <w:rPr>
          <w:color w:val="000000"/>
          <w:spacing w:val="-2"/>
          <w:szCs w:val="24"/>
        </w:rPr>
        <w:t>m</w:t>
      </w:r>
      <w:r>
        <w:rPr>
          <w:color w:val="000000"/>
          <w:szCs w:val="24"/>
        </w:rPr>
        <w:t>ent cus</w:t>
      </w:r>
      <w:r>
        <w:rPr>
          <w:color w:val="000000"/>
          <w:spacing w:val="-1"/>
          <w:szCs w:val="24"/>
        </w:rPr>
        <w:t>t</w:t>
      </w:r>
      <w:r>
        <w:rPr>
          <w:color w:val="000000"/>
          <w:szCs w:val="24"/>
        </w:rPr>
        <w:t>o</w:t>
      </w:r>
      <w:r>
        <w:rPr>
          <w:color w:val="000000"/>
          <w:spacing w:val="-2"/>
          <w:szCs w:val="24"/>
        </w:rPr>
        <w:t>m</w:t>
      </w:r>
      <w:r>
        <w:rPr>
          <w:color w:val="000000"/>
          <w:szCs w:val="24"/>
        </w:rPr>
        <w:t>ers of oth</w:t>
      </w:r>
      <w:r>
        <w:rPr>
          <w:color w:val="000000"/>
          <w:spacing w:val="1"/>
          <w:szCs w:val="24"/>
        </w:rPr>
        <w:t>e</w:t>
      </w:r>
      <w:r>
        <w:rPr>
          <w:color w:val="000000"/>
          <w:szCs w:val="24"/>
        </w:rPr>
        <w:t>r electric</w:t>
      </w:r>
      <w:r>
        <w:rPr>
          <w:color w:val="000000"/>
          <w:spacing w:val="-1"/>
          <w:szCs w:val="24"/>
        </w:rPr>
        <w:t xml:space="preserve"> </w:t>
      </w:r>
      <w:r>
        <w:rPr>
          <w:color w:val="000000"/>
          <w:szCs w:val="24"/>
        </w:rPr>
        <w:t xml:space="preserve">utilities - </w:t>
      </w:r>
      <w:r>
        <w:t>they do not generate, but rec</w:t>
      </w:r>
      <w:r>
        <w:rPr>
          <w:spacing w:val="1"/>
        </w:rPr>
        <w:t>e</w:t>
      </w:r>
      <w:r>
        <w:t xml:space="preserve">ive their power under one or </w:t>
      </w:r>
      <w:r>
        <w:rPr>
          <w:spacing w:val="-2"/>
        </w:rPr>
        <w:t>m</w:t>
      </w:r>
      <w:r>
        <w:t>ore contracts; which are usually long-term</w:t>
      </w:r>
      <w:r>
        <w:rPr>
          <w:spacing w:val="-2"/>
        </w:rPr>
        <w:t xml:space="preserve"> </w:t>
      </w:r>
      <w:r>
        <w:t>agree</w:t>
      </w:r>
      <w:r>
        <w:rPr>
          <w:spacing w:val="-2"/>
        </w:rPr>
        <w:t>m</w:t>
      </w:r>
      <w:r>
        <w:t xml:space="preserve">ents. DOE accepts joint </w:t>
      </w:r>
      <w:r>
        <w:rPr>
          <w:spacing w:val="-1"/>
        </w:rPr>
        <w:t>f</w:t>
      </w:r>
      <w:r>
        <w:rPr>
          <w:spacing w:val="1"/>
        </w:rPr>
        <w:t>i</w:t>
      </w:r>
      <w:r>
        <w:t>ling activity wh</w:t>
      </w:r>
      <w:r>
        <w:rPr>
          <w:spacing w:val="-1"/>
        </w:rPr>
        <w:t>e</w:t>
      </w:r>
      <w:r>
        <w:t>re the BA and these ele</w:t>
      </w:r>
      <w:r>
        <w:rPr>
          <w:spacing w:val="-1"/>
        </w:rPr>
        <w:t>c</w:t>
      </w:r>
      <w:r>
        <w:t>t</w:t>
      </w:r>
      <w:r>
        <w:rPr>
          <w:spacing w:val="-1"/>
        </w:rPr>
        <w:t>r</w:t>
      </w:r>
      <w:r>
        <w:t xml:space="preserve">ic utilities </w:t>
      </w:r>
      <w:r>
        <w:rPr>
          <w:spacing w:val="-1"/>
        </w:rPr>
        <w:t>f</w:t>
      </w:r>
      <w:r>
        <w:rPr>
          <w:spacing w:val="1"/>
        </w:rPr>
        <w:t>i</w:t>
      </w:r>
      <w:r>
        <w:t xml:space="preserve">le a </w:t>
      </w:r>
      <w:r>
        <w:rPr>
          <w:spacing w:val="-1"/>
        </w:rPr>
        <w:t>c</w:t>
      </w:r>
      <w:r>
        <w:rPr>
          <w:spacing w:val="1"/>
        </w:rPr>
        <w:t>o</w:t>
      </w:r>
      <w:r>
        <w:rPr>
          <w:spacing w:val="-2"/>
        </w:rPr>
        <w:t>m</w:t>
      </w:r>
      <w:r>
        <w:t>bined</w:t>
      </w:r>
      <w:r>
        <w:rPr>
          <w:spacing w:val="-2"/>
        </w:rPr>
        <w:t xml:space="preserve"> </w:t>
      </w:r>
      <w:r>
        <w:t>re</w:t>
      </w:r>
      <w:r>
        <w:rPr>
          <w:spacing w:val="-1"/>
        </w:rPr>
        <w:t>p</w:t>
      </w:r>
      <w:r>
        <w:t xml:space="preserve">ort or </w:t>
      </w:r>
      <w:r>
        <w:rPr>
          <w:spacing w:val="-1"/>
        </w:rPr>
        <w:t>a</w:t>
      </w:r>
      <w:r>
        <w:t>ll infor</w:t>
      </w:r>
      <w:r>
        <w:rPr>
          <w:spacing w:val="-2"/>
        </w:rPr>
        <w:t>m</w:t>
      </w:r>
      <w:r>
        <w:t>ation passed to the BA who then files a single report. An exa</w:t>
      </w:r>
      <w:r>
        <w:rPr>
          <w:spacing w:val="-2"/>
        </w:rPr>
        <w:t>m</w:t>
      </w:r>
      <w:r>
        <w:t>ple</w:t>
      </w:r>
      <w:r>
        <w:rPr>
          <w:spacing w:val="-1"/>
        </w:rPr>
        <w:t xml:space="preserve"> </w:t>
      </w:r>
      <w:r>
        <w:t>of this activity would be cooperative power suppliers (generating and trans</w:t>
      </w:r>
      <w:r>
        <w:rPr>
          <w:spacing w:val="-2"/>
        </w:rPr>
        <w:t>m</w:t>
      </w:r>
      <w:r>
        <w:t xml:space="preserve">ission) filing for their </w:t>
      </w:r>
      <w:r>
        <w:rPr>
          <w:spacing w:val="-2"/>
        </w:rPr>
        <w:t>m</w:t>
      </w:r>
      <w:r>
        <w:rPr>
          <w:spacing w:val="1"/>
        </w:rPr>
        <w:t>e</w:t>
      </w:r>
      <w:r>
        <w:t>m</w:t>
      </w:r>
      <w:r>
        <w:rPr>
          <w:spacing w:val="-1"/>
        </w:rPr>
        <w:t>b</w:t>
      </w:r>
      <w:r>
        <w:t xml:space="preserve">er distribution cooperatives. Another example would be joint filings by </w:t>
      </w:r>
      <w:r>
        <w:rPr>
          <w:spacing w:val="-2"/>
        </w:rPr>
        <w:t>B</w:t>
      </w:r>
      <w:r>
        <w:t>A</w:t>
      </w:r>
      <w:r>
        <w:rPr>
          <w:spacing w:val="-1"/>
        </w:rPr>
        <w:t xml:space="preserve"> </w:t>
      </w:r>
      <w:r>
        <w:t>and t</w:t>
      </w:r>
      <w:r>
        <w:rPr>
          <w:spacing w:val="-1"/>
        </w:rPr>
        <w:t>h</w:t>
      </w:r>
      <w:r>
        <w:t xml:space="preserve">e controlling RC. DOE requests notification from those entities that plan to </w:t>
      </w:r>
      <w:r>
        <w:rPr>
          <w:spacing w:val="-1"/>
        </w:rPr>
        <w:t>f</w:t>
      </w:r>
      <w:r>
        <w:t>ile j</w:t>
      </w:r>
      <w:r>
        <w:rPr>
          <w:spacing w:val="-1"/>
        </w:rPr>
        <w:t>o</w:t>
      </w:r>
      <w:r>
        <w:t>i</w:t>
      </w:r>
      <w:r>
        <w:rPr>
          <w:spacing w:val="-1"/>
        </w:rPr>
        <w:t>n</w:t>
      </w:r>
      <w:r>
        <w:t>tly and t</w:t>
      </w:r>
      <w:r>
        <w:rPr>
          <w:spacing w:val="-1"/>
        </w:rPr>
        <w:t>h</w:t>
      </w:r>
      <w:r>
        <w:t>ose el</w:t>
      </w:r>
      <w:r>
        <w:rPr>
          <w:spacing w:val="-1"/>
        </w:rPr>
        <w:t>e</w:t>
      </w:r>
      <w:r>
        <w:t>ct</w:t>
      </w:r>
      <w:r>
        <w:rPr>
          <w:spacing w:val="-1"/>
        </w:rPr>
        <w:t>r</w:t>
      </w:r>
      <w:r>
        <w:t>ic utilities t</w:t>
      </w:r>
      <w:r>
        <w:rPr>
          <w:spacing w:val="-1"/>
        </w:rPr>
        <w:t>h</w:t>
      </w:r>
      <w:r>
        <w:t xml:space="preserve">at want to </w:t>
      </w:r>
      <w:r>
        <w:rPr>
          <w:spacing w:val="-1"/>
        </w:rPr>
        <w:t>f</w:t>
      </w:r>
      <w:r>
        <w:t>ile separately.</w:t>
      </w:r>
      <w:r>
        <w:rPr>
          <w:spacing w:val="-1"/>
        </w:rPr>
        <w:t xml:space="preserve"> </w:t>
      </w:r>
      <w:r>
        <w:t>Notification</w:t>
      </w:r>
      <w:r>
        <w:rPr>
          <w:spacing w:val="-1"/>
        </w:rPr>
        <w:t xml:space="preserve"> </w:t>
      </w:r>
      <w:r>
        <w:t>can</w:t>
      </w:r>
      <w:r>
        <w:rPr>
          <w:spacing w:val="-1"/>
        </w:rPr>
        <w:t xml:space="preserve"> </w:t>
      </w:r>
      <w:r>
        <w:t>be done at the ti</w:t>
      </w:r>
      <w:r>
        <w:rPr>
          <w:spacing w:val="-2"/>
        </w:rPr>
        <w:t>m</w:t>
      </w:r>
      <w:r>
        <w:t>e of the filing.</w:t>
      </w:r>
    </w:p>
    <w:p w:rsidR="00C032E0" w:rsidP="00C032E0" w:rsidRDefault="00C032E0" w14:paraId="15147048" w14:textId="77777777">
      <w:pPr>
        <w:rPr>
          <w:color w:val="000000"/>
          <w:spacing w:val="-1"/>
          <w:szCs w:val="24"/>
        </w:rPr>
      </w:pPr>
      <w:r>
        <w:rPr>
          <w:color w:val="000000"/>
          <w:szCs w:val="24"/>
        </w:rPr>
        <w:lastRenderedPageBreak/>
        <w:t>DOE continues to have the opti</w:t>
      </w:r>
      <w:r>
        <w:rPr>
          <w:color w:val="000000"/>
          <w:spacing w:val="-1"/>
          <w:szCs w:val="24"/>
        </w:rPr>
        <w:t>o</w:t>
      </w:r>
      <w:r>
        <w:rPr>
          <w:color w:val="000000"/>
          <w:szCs w:val="24"/>
        </w:rPr>
        <w:t xml:space="preserve">n to </w:t>
      </w:r>
      <w:r>
        <w:rPr>
          <w:color w:val="000000"/>
          <w:spacing w:val="-1"/>
          <w:szCs w:val="24"/>
        </w:rPr>
        <w:t>c</w:t>
      </w:r>
      <w:r>
        <w:rPr>
          <w:color w:val="000000"/>
          <w:szCs w:val="24"/>
        </w:rPr>
        <w:t>onduct special investigations of</w:t>
      </w:r>
      <w:r>
        <w:rPr>
          <w:color w:val="000000"/>
          <w:spacing w:val="-2"/>
          <w:szCs w:val="24"/>
        </w:rPr>
        <w:t xml:space="preserve"> </w:t>
      </w:r>
      <w:r>
        <w:rPr>
          <w:color w:val="000000"/>
          <w:szCs w:val="24"/>
        </w:rPr>
        <w:t>incide</w:t>
      </w:r>
      <w:r>
        <w:rPr>
          <w:color w:val="000000"/>
          <w:spacing w:val="-1"/>
          <w:szCs w:val="24"/>
        </w:rPr>
        <w:t>n</w:t>
      </w:r>
      <w:r>
        <w:rPr>
          <w:color w:val="000000"/>
          <w:spacing w:val="1"/>
          <w:szCs w:val="24"/>
        </w:rPr>
        <w:t>t</w:t>
      </w:r>
      <w:r>
        <w:rPr>
          <w:color w:val="000000"/>
          <w:szCs w:val="24"/>
        </w:rPr>
        <w:t xml:space="preserve">s affecting the electric power industry. Such investigations could involve one or </w:t>
      </w:r>
      <w:r>
        <w:rPr>
          <w:color w:val="000000"/>
          <w:spacing w:val="-2"/>
          <w:szCs w:val="24"/>
        </w:rPr>
        <w:t>m</w:t>
      </w:r>
      <w:r>
        <w:rPr>
          <w:color w:val="000000"/>
          <w:szCs w:val="24"/>
        </w:rPr>
        <w:t>ore electric utilities, BAs, or other entities partici</w:t>
      </w:r>
      <w:r>
        <w:rPr>
          <w:color w:val="000000"/>
          <w:spacing w:val="-3"/>
          <w:szCs w:val="24"/>
        </w:rPr>
        <w:t>p</w:t>
      </w:r>
      <w:r>
        <w:rPr>
          <w:color w:val="000000"/>
          <w:szCs w:val="24"/>
        </w:rPr>
        <w:t>ating in the electric power industry. Any utility or business entity that</w:t>
      </w:r>
      <w:r>
        <w:rPr>
          <w:color w:val="000000"/>
          <w:spacing w:val="-1"/>
          <w:szCs w:val="24"/>
        </w:rPr>
        <w:t xml:space="preserve"> </w:t>
      </w:r>
      <w:r>
        <w:rPr>
          <w:color w:val="000000"/>
          <w:szCs w:val="24"/>
        </w:rPr>
        <w:t>participates in the electric power industry could be notified by DOE that they would need to provide t</w:t>
      </w:r>
      <w:r>
        <w:rPr>
          <w:color w:val="000000"/>
          <w:spacing w:val="-2"/>
          <w:szCs w:val="24"/>
        </w:rPr>
        <w:t>e</w:t>
      </w:r>
      <w:r>
        <w:rPr>
          <w:color w:val="000000"/>
          <w:szCs w:val="24"/>
        </w:rPr>
        <w:t>chnical infor</w:t>
      </w:r>
      <w:r>
        <w:rPr>
          <w:color w:val="000000"/>
          <w:spacing w:val="-2"/>
          <w:szCs w:val="24"/>
        </w:rPr>
        <w:t>m</w:t>
      </w:r>
      <w:r>
        <w:rPr>
          <w:color w:val="000000"/>
          <w:szCs w:val="24"/>
        </w:rPr>
        <w:t>ation concerning a particular incident.</w:t>
      </w:r>
      <w:r>
        <w:rPr>
          <w:rStyle w:val="FootnoteReference"/>
          <w:color w:val="000000"/>
          <w:szCs w:val="24"/>
        </w:rPr>
        <w:footnoteReference w:id="4"/>
      </w:r>
      <w:r>
        <w:rPr>
          <w:color w:val="000000"/>
          <w:szCs w:val="24"/>
        </w:rPr>
        <w:t xml:space="preserve"> These spe</w:t>
      </w:r>
      <w:r>
        <w:rPr>
          <w:color w:val="000000"/>
          <w:spacing w:val="-1"/>
          <w:szCs w:val="24"/>
        </w:rPr>
        <w:t>c</w:t>
      </w:r>
      <w:r>
        <w:rPr>
          <w:color w:val="000000"/>
          <w:szCs w:val="24"/>
        </w:rPr>
        <w:t>ial investi</w:t>
      </w:r>
      <w:r>
        <w:rPr>
          <w:color w:val="000000"/>
          <w:spacing w:val="-1"/>
          <w:szCs w:val="24"/>
        </w:rPr>
        <w:t>g</w:t>
      </w:r>
      <w:r>
        <w:rPr>
          <w:color w:val="000000"/>
          <w:szCs w:val="24"/>
        </w:rPr>
        <w:t>atio</w:t>
      </w:r>
      <w:r>
        <w:rPr>
          <w:color w:val="000000"/>
          <w:spacing w:val="-1"/>
          <w:szCs w:val="24"/>
        </w:rPr>
        <w:t>n</w:t>
      </w:r>
      <w:r>
        <w:rPr>
          <w:color w:val="000000"/>
          <w:szCs w:val="24"/>
        </w:rPr>
        <w:t>s are in</w:t>
      </w:r>
      <w:r>
        <w:rPr>
          <w:color w:val="000000"/>
          <w:spacing w:val="-1"/>
          <w:szCs w:val="24"/>
        </w:rPr>
        <w:t>fr</w:t>
      </w:r>
      <w:r>
        <w:rPr>
          <w:color w:val="000000"/>
          <w:szCs w:val="24"/>
        </w:rPr>
        <w:t>eq</w:t>
      </w:r>
      <w:r>
        <w:rPr>
          <w:color w:val="000000"/>
          <w:spacing w:val="-1"/>
          <w:szCs w:val="24"/>
        </w:rPr>
        <w:t>u</w:t>
      </w:r>
      <w:r>
        <w:rPr>
          <w:color w:val="000000"/>
          <w:szCs w:val="24"/>
        </w:rPr>
        <w:t xml:space="preserve">ent and the report of the investigations </w:t>
      </w:r>
      <w:r>
        <w:rPr>
          <w:color w:val="000000"/>
          <w:spacing w:val="-1"/>
          <w:szCs w:val="24"/>
        </w:rPr>
        <w:t>a</w:t>
      </w:r>
      <w:r>
        <w:rPr>
          <w:color w:val="000000"/>
          <w:szCs w:val="24"/>
        </w:rPr>
        <w:t xml:space="preserve">re </w:t>
      </w:r>
      <w:r>
        <w:rPr>
          <w:color w:val="000000"/>
          <w:spacing w:val="-1"/>
          <w:szCs w:val="24"/>
        </w:rPr>
        <w:t>r</w:t>
      </w:r>
      <w:r>
        <w:rPr>
          <w:color w:val="000000"/>
          <w:szCs w:val="24"/>
        </w:rPr>
        <w:t>ele</w:t>
      </w:r>
      <w:r>
        <w:rPr>
          <w:color w:val="000000"/>
          <w:spacing w:val="-1"/>
          <w:szCs w:val="24"/>
        </w:rPr>
        <w:t>as</w:t>
      </w:r>
      <w:r>
        <w:rPr>
          <w:color w:val="000000"/>
          <w:szCs w:val="24"/>
        </w:rPr>
        <w:t>ed to the public</w:t>
      </w:r>
      <w:r>
        <w:rPr>
          <w:color w:val="000000"/>
          <w:spacing w:val="-1"/>
          <w:szCs w:val="24"/>
        </w:rPr>
        <w:t>.</w:t>
      </w:r>
      <w:r>
        <w:rPr>
          <w:rStyle w:val="FootnoteReference"/>
          <w:color w:val="000000"/>
          <w:spacing w:val="-1"/>
          <w:szCs w:val="24"/>
        </w:rPr>
        <w:footnoteReference w:id="5"/>
      </w:r>
    </w:p>
    <w:p w:rsidR="00C032E0" w:rsidP="00C032E0" w:rsidRDefault="00C032E0" w14:paraId="4C2436EC" w14:textId="77777777">
      <w:r>
        <w:t>The following infor</w:t>
      </w:r>
      <w:r>
        <w:rPr>
          <w:spacing w:val="-2"/>
        </w:rPr>
        <w:t>m</w:t>
      </w:r>
      <w:r>
        <w:t>ation to be collected</w:t>
      </w:r>
      <w:r>
        <w:rPr>
          <w:spacing w:val="-1"/>
        </w:rPr>
        <w:t xml:space="preserve"> </w:t>
      </w:r>
      <w:r>
        <w:t>on e</w:t>
      </w:r>
      <w:r>
        <w:rPr>
          <w:spacing w:val="-2"/>
        </w:rPr>
        <w:t>m</w:t>
      </w:r>
      <w:r>
        <w:t>ergency events includes i</w:t>
      </w:r>
      <w:r>
        <w:rPr>
          <w:spacing w:val="-2"/>
        </w:rPr>
        <w:t>m</w:t>
      </w:r>
      <w:r>
        <w:t xml:space="preserve">portant details covering each </w:t>
      </w:r>
      <w:r>
        <w:rPr>
          <w:spacing w:val="-2"/>
        </w:rPr>
        <w:t>m</w:t>
      </w:r>
      <w:r>
        <w:t xml:space="preserve">ajor part </w:t>
      </w:r>
      <w:r>
        <w:rPr>
          <w:spacing w:val="-1"/>
        </w:rPr>
        <w:t>o</w:t>
      </w:r>
      <w:r>
        <w:t>f</w:t>
      </w:r>
      <w:r>
        <w:rPr>
          <w:spacing w:val="-1"/>
        </w:rPr>
        <w:t xml:space="preserve"> </w:t>
      </w:r>
      <w:r>
        <w:t>an electric power disturbance incident:</w:t>
      </w:r>
    </w:p>
    <w:p w:rsidRPr="00235964" w:rsidR="00C032E0" w:rsidP="00681D51" w:rsidRDefault="00C032E0" w14:paraId="245BE17D" w14:textId="77777777">
      <w:pPr>
        <w:pStyle w:val="ListParagraph"/>
        <w:numPr>
          <w:ilvl w:val="0"/>
          <w:numId w:val="11"/>
        </w:numPr>
      </w:pPr>
      <w:r w:rsidRPr="00235964">
        <w:t xml:space="preserve">Cause(s) of an incident </w:t>
      </w:r>
    </w:p>
    <w:p w:rsidRPr="00235964" w:rsidR="00C032E0" w:rsidP="00681D51" w:rsidRDefault="00C032E0" w14:paraId="73E64582" w14:textId="77777777">
      <w:pPr>
        <w:pStyle w:val="ListParagraph"/>
        <w:numPr>
          <w:ilvl w:val="0"/>
          <w:numId w:val="11"/>
        </w:numPr>
      </w:pPr>
      <w:r w:rsidRPr="00235964">
        <w:t>Impact(s) of incident</w:t>
      </w:r>
    </w:p>
    <w:p w:rsidRPr="00235964" w:rsidR="00C032E0" w:rsidP="00681D51" w:rsidRDefault="00C032E0" w14:paraId="640588E8" w14:textId="77777777">
      <w:pPr>
        <w:pStyle w:val="ListParagraph"/>
        <w:numPr>
          <w:ilvl w:val="0"/>
          <w:numId w:val="11"/>
        </w:numPr>
        <w:rPr>
          <w:color w:val="000000"/>
          <w:sz w:val="26"/>
          <w:szCs w:val="26"/>
        </w:rPr>
      </w:pPr>
      <w:r w:rsidRPr="00235964">
        <w:t>Action</w:t>
      </w:r>
      <w:r>
        <w:t>(</w:t>
      </w:r>
      <w:r w:rsidRPr="00235964">
        <w:t>s</w:t>
      </w:r>
      <w:r>
        <w:t>)</w:t>
      </w:r>
      <w:r w:rsidRPr="00235964">
        <w:t xml:space="preserve"> taken </w:t>
      </w:r>
    </w:p>
    <w:p w:rsidR="00C032E0" w:rsidP="00C032E0" w:rsidRDefault="00C032E0" w14:paraId="43620FB6" w14:textId="77777777">
      <w:pPr>
        <w:rPr>
          <w:color w:val="000000"/>
          <w:sz w:val="26"/>
          <w:szCs w:val="26"/>
        </w:rPr>
      </w:pPr>
      <w:r w:rsidRPr="00E94F10">
        <w:rPr>
          <w:b/>
        </w:rPr>
        <w:t>Uses of Data:</w:t>
      </w:r>
    </w:p>
    <w:p w:rsidR="00C032E0" w:rsidP="00C032E0" w:rsidRDefault="00C032E0" w14:paraId="24019462" w14:textId="77777777">
      <w:pPr>
        <w:widowControl w:val="0"/>
        <w:autoSpaceDE w:val="0"/>
        <w:autoSpaceDN w:val="0"/>
        <w:adjustRightInd w:val="0"/>
        <w:rPr>
          <w:color w:val="000000"/>
          <w:szCs w:val="24"/>
        </w:rPr>
      </w:pPr>
      <w:r>
        <w:rPr>
          <w:color w:val="000000"/>
          <w:szCs w:val="24"/>
        </w:rPr>
        <w:t>The infor</w:t>
      </w:r>
      <w:r>
        <w:rPr>
          <w:color w:val="000000"/>
          <w:spacing w:val="-2"/>
          <w:szCs w:val="24"/>
        </w:rPr>
        <w:t>m</w:t>
      </w:r>
      <w:r>
        <w:rPr>
          <w:color w:val="000000"/>
          <w:spacing w:val="1"/>
          <w:szCs w:val="24"/>
        </w:rPr>
        <w:t>a</w:t>
      </w:r>
      <w:r>
        <w:rPr>
          <w:color w:val="000000"/>
          <w:szCs w:val="24"/>
        </w:rPr>
        <w:t>tion is used by the Depart</w:t>
      </w:r>
      <w:r>
        <w:rPr>
          <w:color w:val="000000"/>
          <w:spacing w:val="-2"/>
          <w:szCs w:val="24"/>
        </w:rPr>
        <w:t>m</w:t>
      </w:r>
      <w:r>
        <w:rPr>
          <w:color w:val="000000"/>
          <w:szCs w:val="24"/>
        </w:rPr>
        <w:t>ent of Energy:</w:t>
      </w:r>
    </w:p>
    <w:p w:rsidRPr="00EC6062" w:rsidR="00C032E0" w:rsidP="00681D51" w:rsidRDefault="00C032E0" w14:paraId="6BA63037" w14:textId="77777777">
      <w:pPr>
        <w:pStyle w:val="ListParagraph"/>
      </w:pPr>
      <w:r w:rsidRPr="00EC6062">
        <w:t>To track</w:t>
      </w:r>
      <w:r>
        <w:t xml:space="preserve"> </w:t>
      </w:r>
      <w:r w:rsidRPr="00EC6062">
        <w:t>electrical</w:t>
      </w:r>
      <w:r w:rsidRPr="00EC6062">
        <w:rPr>
          <w:spacing w:val="-1"/>
        </w:rPr>
        <w:t xml:space="preserve"> </w:t>
      </w:r>
      <w:r w:rsidRPr="00EC6062">
        <w:t>e</w:t>
      </w:r>
      <w:r w:rsidRPr="00EC6062">
        <w:rPr>
          <w:spacing w:val="-2"/>
        </w:rPr>
        <w:t>m</w:t>
      </w:r>
      <w:r w:rsidRPr="00EC6062">
        <w:t>ergency incidents and disturbances</w:t>
      </w:r>
      <w:r>
        <w:t xml:space="preserve"> on a timely basis</w:t>
      </w:r>
      <w:r w:rsidRPr="00EC6062">
        <w:t>;</w:t>
      </w:r>
    </w:p>
    <w:p w:rsidRPr="00EC6062" w:rsidR="00C032E0" w:rsidP="00681D51" w:rsidRDefault="00C032E0" w14:paraId="6194AC28" w14:textId="77777777">
      <w:pPr>
        <w:pStyle w:val="ListParagraph"/>
        <w:rPr>
          <w:color w:val="000000"/>
        </w:rPr>
      </w:pPr>
      <w:r w:rsidRPr="00EC6062">
        <w:rPr>
          <w:color w:val="000000"/>
        </w:rPr>
        <w:t>To answer queries from</w:t>
      </w:r>
      <w:r w:rsidRPr="00EC6062">
        <w:rPr>
          <w:color w:val="000000"/>
          <w:spacing w:val="-2"/>
        </w:rPr>
        <w:t xml:space="preserve"> </w:t>
      </w:r>
      <w:r w:rsidRPr="00EC6062">
        <w:rPr>
          <w:color w:val="000000"/>
        </w:rPr>
        <w:t xml:space="preserve">the </w:t>
      </w:r>
      <w:r w:rsidRPr="00EC6062">
        <w:t>Congress</w:t>
      </w:r>
      <w:r>
        <w:t>, the White House, the Department of Homeland Security, the Federal Bureau of Investigation</w:t>
      </w:r>
      <w:r w:rsidRPr="00EC6062">
        <w:t>,</w:t>
      </w:r>
      <w:r>
        <w:t xml:space="preserve"> the Federal Emergency Management Agency, State Energy Offices,</w:t>
      </w:r>
      <w:r w:rsidRPr="00EC6062">
        <w:t xml:space="preserve"> </w:t>
      </w:r>
      <w:r>
        <w:t xml:space="preserve">State Offices of Emergency Management, </w:t>
      </w:r>
      <w:r w:rsidRPr="00EC6062">
        <w:t>the electric power industry, and the general public</w:t>
      </w:r>
      <w:r>
        <w:t>;</w:t>
      </w:r>
    </w:p>
    <w:p w:rsidRPr="00EC6062" w:rsidR="00C032E0" w:rsidP="00681D51" w:rsidRDefault="00C032E0" w14:paraId="1F9D763D" w14:textId="77777777">
      <w:pPr>
        <w:pStyle w:val="ListParagraph"/>
        <w:rPr>
          <w:color w:val="000000"/>
        </w:rPr>
      </w:pPr>
      <w:r w:rsidRPr="00EC6062">
        <w:rPr>
          <w:color w:val="000000"/>
        </w:rPr>
        <w:t xml:space="preserve">To </w:t>
      </w:r>
      <w:r w:rsidRPr="00EC6062">
        <w:rPr>
          <w:color w:val="000000"/>
          <w:spacing w:val="-2"/>
        </w:rPr>
        <w:t>m</w:t>
      </w:r>
      <w:r w:rsidRPr="00EC6062">
        <w:rPr>
          <w:color w:val="000000"/>
        </w:rPr>
        <w:t>onitor the electric power industry</w:t>
      </w:r>
      <w:r>
        <w:rPr>
          <w:color w:val="000000"/>
        </w:rPr>
        <w:t xml:space="preserve"> </w:t>
      </w:r>
      <w:r>
        <w:t>by providing situational awareness of electricity disruptions that could cause additional impacts</w:t>
      </w:r>
      <w:r w:rsidRPr="00EC6062">
        <w:rPr>
          <w:color w:val="000000"/>
        </w:rPr>
        <w:t>;</w:t>
      </w:r>
    </w:p>
    <w:p w:rsidRPr="00EC6062" w:rsidR="00C032E0" w:rsidP="00681D51" w:rsidRDefault="00C032E0" w14:paraId="76CDD7BA" w14:textId="77777777">
      <w:pPr>
        <w:pStyle w:val="ListParagraph"/>
      </w:pPr>
      <w:r w:rsidRPr="00EC6062">
        <w:t xml:space="preserve">As input to Office of </w:t>
      </w:r>
      <w:r w:rsidR="00136DA9">
        <w:t>Cybersecurity, Energy Security, and Emergency Responses’</w:t>
      </w:r>
      <w:r w:rsidRPr="00310B74">
        <w:t xml:space="preserve"> Disturbance Events (OE-417) Annual Summaries</w:t>
      </w:r>
      <w:r>
        <w:rPr>
          <w:rStyle w:val="FootnoteReference"/>
        </w:rPr>
        <w:footnoteReference w:id="6"/>
      </w:r>
      <w:r w:rsidRPr="00310B74">
        <w:t>;</w:t>
      </w:r>
    </w:p>
    <w:p w:rsidRPr="00EC6062" w:rsidR="00C032E0" w:rsidP="00681D51" w:rsidRDefault="00C032E0" w14:paraId="51D9E50B" w14:textId="77777777">
      <w:pPr>
        <w:pStyle w:val="ListParagraph"/>
      </w:pPr>
      <w:r w:rsidRPr="00EC6062">
        <w:t>As input to the Energy Info</w:t>
      </w:r>
      <w:r w:rsidRPr="00EC6062">
        <w:rPr>
          <w:spacing w:val="2"/>
        </w:rPr>
        <w:t>r</w:t>
      </w:r>
      <w:r w:rsidRPr="00EC6062">
        <w:rPr>
          <w:spacing w:val="-2"/>
        </w:rPr>
        <w:t>m</w:t>
      </w:r>
      <w:r w:rsidRPr="00EC6062">
        <w:t>ation Ad</w:t>
      </w:r>
      <w:r w:rsidRPr="00EC6062">
        <w:rPr>
          <w:spacing w:val="-2"/>
        </w:rPr>
        <w:t>m</w:t>
      </w:r>
      <w:r w:rsidRPr="00EC6062">
        <w:rPr>
          <w:spacing w:val="1"/>
        </w:rPr>
        <w:t>i</w:t>
      </w:r>
      <w:r w:rsidRPr="00EC6062">
        <w:t xml:space="preserve">nistration’s Electric Power Monthly’s Appendix B </w:t>
      </w:r>
      <w:r w:rsidRPr="00D367CC">
        <w:t>Major Disturbances and Unusual Occurrences</w:t>
      </w:r>
      <w:r>
        <w:rPr>
          <w:rStyle w:val="FootnoteReference"/>
        </w:rPr>
        <w:footnoteReference w:id="7"/>
      </w:r>
      <w:r w:rsidRPr="00EC6062">
        <w:t>; and</w:t>
      </w:r>
    </w:p>
    <w:p w:rsidRPr="00EC6062" w:rsidR="00C032E0" w:rsidP="00681D51" w:rsidRDefault="00C032E0" w14:paraId="2F34B52F" w14:textId="77777777">
      <w:pPr>
        <w:pStyle w:val="ListParagraph"/>
      </w:pPr>
      <w:r w:rsidRPr="00EC6062">
        <w:t xml:space="preserve">To identify incidents that </w:t>
      </w:r>
      <w:r w:rsidRPr="00EC6062">
        <w:rPr>
          <w:spacing w:val="-2"/>
        </w:rPr>
        <w:t>m</w:t>
      </w:r>
      <w:r w:rsidRPr="00EC6062">
        <w:t>ay require</w:t>
      </w:r>
      <w:r w:rsidRPr="00EC6062">
        <w:rPr>
          <w:spacing w:val="-2"/>
        </w:rPr>
        <w:t xml:space="preserve"> </w:t>
      </w:r>
      <w:r w:rsidRPr="00EC6062">
        <w:t>a technical exa</w:t>
      </w:r>
      <w:r w:rsidRPr="00EC6062">
        <w:rPr>
          <w:spacing w:val="-2"/>
        </w:rPr>
        <w:t>m</w:t>
      </w:r>
      <w:r w:rsidRPr="00EC6062">
        <w:t>ination of the underlying proble</w:t>
      </w:r>
      <w:r w:rsidRPr="00EC6062">
        <w:rPr>
          <w:spacing w:val="-2"/>
        </w:rPr>
        <w:t>m</w:t>
      </w:r>
      <w:r w:rsidRPr="00EC6062">
        <w:t>s that lead to t</w:t>
      </w:r>
      <w:r w:rsidRPr="00EC6062">
        <w:rPr>
          <w:spacing w:val="-1"/>
        </w:rPr>
        <w:t>h</w:t>
      </w:r>
      <w:r w:rsidRPr="00EC6062">
        <w:t>e event.</w:t>
      </w:r>
    </w:p>
    <w:p w:rsidR="00C032E0" w:rsidP="00C032E0" w:rsidRDefault="00C032E0" w14:paraId="14178BEB" w14:textId="77777777">
      <w:pPr>
        <w:rPr>
          <w:szCs w:val="24"/>
        </w:rPr>
      </w:pPr>
      <w:r>
        <w:rPr>
          <w:szCs w:val="24"/>
        </w:rPr>
        <w:t>The public summaries of Form OE-417 data users include</w:t>
      </w:r>
      <w:r>
        <w:rPr>
          <w:spacing w:val="-1"/>
          <w:szCs w:val="24"/>
        </w:rPr>
        <w:t xml:space="preserve"> </w:t>
      </w:r>
      <w:r>
        <w:rPr>
          <w:szCs w:val="24"/>
        </w:rPr>
        <w:t>electricit</w:t>
      </w:r>
      <w:r>
        <w:rPr>
          <w:spacing w:val="-1"/>
          <w:szCs w:val="24"/>
        </w:rPr>
        <w:t>y</w:t>
      </w:r>
      <w:r>
        <w:rPr>
          <w:szCs w:val="24"/>
        </w:rPr>
        <w:t>-related trade ass</w:t>
      </w:r>
      <w:r>
        <w:rPr>
          <w:spacing w:val="-2"/>
          <w:szCs w:val="24"/>
        </w:rPr>
        <w:t>o</w:t>
      </w:r>
      <w:r>
        <w:rPr>
          <w:szCs w:val="24"/>
        </w:rPr>
        <w:t>ciations; independent system operat</w:t>
      </w:r>
      <w:r>
        <w:rPr>
          <w:spacing w:val="-1"/>
          <w:szCs w:val="24"/>
        </w:rPr>
        <w:t>o</w:t>
      </w:r>
      <w:r>
        <w:rPr>
          <w:szCs w:val="24"/>
        </w:rPr>
        <w:t>rs; electric utility co</w:t>
      </w:r>
      <w:r>
        <w:rPr>
          <w:spacing w:val="-2"/>
          <w:szCs w:val="24"/>
        </w:rPr>
        <w:t>m</w:t>
      </w:r>
      <w:r>
        <w:rPr>
          <w:szCs w:val="24"/>
        </w:rPr>
        <w:t>panies; unr</w:t>
      </w:r>
      <w:r>
        <w:rPr>
          <w:spacing w:val="-1"/>
          <w:szCs w:val="24"/>
        </w:rPr>
        <w:t>e</w:t>
      </w:r>
      <w:r>
        <w:rPr>
          <w:szCs w:val="24"/>
        </w:rPr>
        <w:t>gulated power co</w:t>
      </w:r>
      <w:r>
        <w:rPr>
          <w:spacing w:val="-2"/>
          <w:szCs w:val="24"/>
        </w:rPr>
        <w:t>m</w:t>
      </w:r>
      <w:r>
        <w:rPr>
          <w:spacing w:val="1"/>
          <w:szCs w:val="24"/>
        </w:rPr>
        <w:t>p</w:t>
      </w:r>
      <w:r>
        <w:rPr>
          <w:szCs w:val="24"/>
        </w:rPr>
        <w:t>anie</w:t>
      </w:r>
      <w:r>
        <w:rPr>
          <w:spacing w:val="-1"/>
          <w:szCs w:val="24"/>
        </w:rPr>
        <w:t>s</w:t>
      </w:r>
      <w:r>
        <w:rPr>
          <w:szCs w:val="24"/>
        </w:rPr>
        <w:t>; ener</w:t>
      </w:r>
      <w:r>
        <w:rPr>
          <w:spacing w:val="-1"/>
          <w:szCs w:val="24"/>
        </w:rPr>
        <w:t>g</w:t>
      </w:r>
      <w:r>
        <w:rPr>
          <w:szCs w:val="24"/>
        </w:rPr>
        <w:t xml:space="preserve">y service providers; </w:t>
      </w:r>
      <w:r>
        <w:rPr>
          <w:spacing w:val="-2"/>
          <w:szCs w:val="24"/>
        </w:rPr>
        <w:t>w</w:t>
      </w:r>
      <w:r>
        <w:rPr>
          <w:szCs w:val="24"/>
        </w:rPr>
        <w:t>holesale electricity traders; ele</w:t>
      </w:r>
      <w:r>
        <w:rPr>
          <w:spacing w:val="-3"/>
          <w:szCs w:val="24"/>
        </w:rPr>
        <w:t>c</w:t>
      </w:r>
      <w:r>
        <w:rPr>
          <w:szCs w:val="24"/>
        </w:rPr>
        <w:t>trical equip</w:t>
      </w:r>
      <w:r>
        <w:rPr>
          <w:spacing w:val="-2"/>
          <w:szCs w:val="24"/>
        </w:rPr>
        <w:t>m</w:t>
      </w:r>
      <w:r>
        <w:rPr>
          <w:szCs w:val="24"/>
        </w:rPr>
        <w:t>ent co</w:t>
      </w:r>
      <w:r>
        <w:rPr>
          <w:spacing w:val="-2"/>
          <w:szCs w:val="24"/>
        </w:rPr>
        <w:t>m</w:t>
      </w:r>
      <w:r>
        <w:rPr>
          <w:szCs w:val="24"/>
        </w:rPr>
        <w:t>panies; nu</w:t>
      </w:r>
      <w:r>
        <w:rPr>
          <w:spacing w:val="-2"/>
          <w:szCs w:val="24"/>
        </w:rPr>
        <w:t>m</w:t>
      </w:r>
      <w:r>
        <w:rPr>
          <w:szCs w:val="24"/>
        </w:rPr>
        <w:t xml:space="preserve">erous local, State, and </w:t>
      </w:r>
      <w:r>
        <w:rPr>
          <w:spacing w:val="-1"/>
          <w:szCs w:val="24"/>
        </w:rPr>
        <w:t>F</w:t>
      </w:r>
      <w:r>
        <w:rPr>
          <w:szCs w:val="24"/>
        </w:rPr>
        <w:t>ederal govern</w:t>
      </w:r>
      <w:r>
        <w:rPr>
          <w:spacing w:val="-2"/>
          <w:szCs w:val="24"/>
        </w:rPr>
        <w:t>m</w:t>
      </w:r>
      <w:r>
        <w:rPr>
          <w:szCs w:val="24"/>
        </w:rPr>
        <w:t xml:space="preserve">ent agencies; </w:t>
      </w:r>
      <w:r>
        <w:rPr>
          <w:spacing w:val="-1"/>
          <w:szCs w:val="24"/>
        </w:rPr>
        <w:t>e</w:t>
      </w:r>
      <w:r>
        <w:rPr>
          <w:szCs w:val="24"/>
        </w:rPr>
        <w:t>nviron</w:t>
      </w:r>
      <w:r>
        <w:rPr>
          <w:spacing w:val="-2"/>
          <w:szCs w:val="24"/>
        </w:rPr>
        <w:t>m</w:t>
      </w:r>
      <w:r>
        <w:rPr>
          <w:szCs w:val="24"/>
        </w:rPr>
        <w:t>ental associations; consu</w:t>
      </w:r>
      <w:r>
        <w:rPr>
          <w:spacing w:val="-2"/>
          <w:szCs w:val="24"/>
        </w:rPr>
        <w:t>m</w:t>
      </w:r>
      <w:r>
        <w:rPr>
          <w:szCs w:val="24"/>
        </w:rPr>
        <w:t xml:space="preserve">er groups; financial analysts; and the </w:t>
      </w:r>
      <w:r>
        <w:rPr>
          <w:szCs w:val="24"/>
        </w:rPr>
        <w:lastRenderedPageBreak/>
        <w:t xml:space="preserve">news </w:t>
      </w:r>
      <w:r>
        <w:rPr>
          <w:spacing w:val="-2"/>
          <w:szCs w:val="24"/>
        </w:rPr>
        <w:t>m</w:t>
      </w:r>
      <w:r>
        <w:rPr>
          <w:spacing w:val="1"/>
          <w:szCs w:val="24"/>
        </w:rPr>
        <w:t>e</w:t>
      </w:r>
      <w:r>
        <w:rPr>
          <w:szCs w:val="24"/>
        </w:rPr>
        <w:t>dia.</w:t>
      </w:r>
      <w:r w:rsidRPr="002519F9">
        <w:rPr>
          <w:szCs w:val="24"/>
        </w:rPr>
        <w:t xml:space="preserve"> </w:t>
      </w:r>
      <w:r>
        <w:rPr>
          <w:szCs w:val="24"/>
        </w:rPr>
        <w:t>These organizations use this data for a variety of purposes including trend analysis, research on electricity disturbances, and as facts for public interest news stories.</w:t>
      </w:r>
    </w:p>
    <w:p w:rsidR="00C032E0" w:rsidP="00681D51" w:rsidRDefault="00C032E0" w14:paraId="665F608E" w14:textId="77777777">
      <w:pPr>
        <w:pStyle w:val="Heading2"/>
      </w:pPr>
    </w:p>
    <w:p w:rsidR="008C734C" w:rsidP="005B75A6" w:rsidRDefault="008C734C" w14:paraId="74080B8A" w14:textId="77777777">
      <w:pPr>
        <w:pStyle w:val="Heading2"/>
      </w:pPr>
      <w:r>
        <w:t>A.</w:t>
      </w:r>
      <w:r w:rsidRPr="00A41763" w:rsidR="00A41763">
        <w:t xml:space="preserve">3. </w:t>
      </w:r>
      <w:r>
        <w:t>Use of Technology</w:t>
      </w:r>
      <w:bookmarkEnd w:id="4"/>
    </w:p>
    <w:p w:rsidR="00E87C1E" w:rsidP="00E87C1E" w:rsidRDefault="00E87C1E" w14:paraId="73AF92CF" w14:textId="77777777">
      <w:pPr>
        <w:spacing w:before="240"/>
        <w:rPr>
          <w:szCs w:val="24"/>
        </w:rPr>
      </w:pPr>
      <w:r>
        <w:rPr>
          <w:szCs w:val="24"/>
        </w:rPr>
        <w:t xml:space="preserve">DOE introduced an online version of Form OE-417 in January 2011 to give respondents an electronic reporting option. Since 2011, the online data system has been consistently updated and now features the ability for respondents to completely manage and tailor their Form OE-417 submission process to meet their unique needs. </w:t>
      </w:r>
    </w:p>
    <w:p w:rsidR="00E87C1E" w:rsidP="00E87C1E" w:rsidRDefault="00E87C1E" w14:paraId="319FFBC6" w14:textId="6958E98B">
      <w:pPr>
        <w:rPr>
          <w:szCs w:val="24"/>
        </w:rPr>
      </w:pPr>
      <w:r>
        <w:rPr>
          <w:szCs w:val="24"/>
        </w:rPr>
        <w:t>The electronic reporting system features the ability to submit forms directly to the North American Electric Reliability Corporation (NERC) and the Electricity Sector Information Sharing and Analysis Center (E-ISAC) to meet NERC Reliability Standard requirements and all users receive a copy of his or her submitted form by email. If Form OE-417 is recertified as requested, reporting entities will also have the ability to submit forms to the DHS Cyber</w:t>
      </w:r>
      <w:r w:rsidR="009E35C0">
        <w:rPr>
          <w:szCs w:val="24"/>
        </w:rPr>
        <w:t>security</w:t>
      </w:r>
      <w:r>
        <w:rPr>
          <w:szCs w:val="24"/>
        </w:rPr>
        <w:t xml:space="preserve"> and Infrastructure </w:t>
      </w:r>
      <w:r w:rsidR="009E35C0">
        <w:rPr>
          <w:szCs w:val="24"/>
        </w:rPr>
        <w:t>Security</w:t>
      </w:r>
      <w:r>
        <w:rPr>
          <w:szCs w:val="24"/>
        </w:rPr>
        <w:t xml:space="preserve"> Agency, pursuant to the NERC CIP-008-6 requirements.</w:t>
      </w:r>
    </w:p>
    <w:p w:rsidR="00E87C1E" w:rsidP="00E87C1E" w:rsidRDefault="00E87C1E" w14:paraId="618A960C" w14:textId="77777777">
      <w:r>
        <w:t xml:space="preserve">The online system has been upgraded in the past several years to support the ability of companies to manage all respondents from a single organization, in that, one company can have a user account for each individual responsible for filling out Form OE-417, with each user account under the organization’s account. The organization then has total visibility of all forms previously submitted and in-process of being drafted. The system can automatically populate data fields for updated submissions related to extended electric power disturbance events. </w:t>
      </w:r>
      <w:r w:rsidRPr="00E11E07">
        <w:t>In addition, the reporting system also automatically fills-in the name and contact information for registered users.</w:t>
      </w:r>
      <w:r>
        <w:rPr>
          <w:color w:val="7030A0"/>
        </w:rPr>
        <w:t xml:space="preserve"> </w:t>
      </w:r>
      <w:r>
        <w:t>This reduces reporting burden so that a respondent only needs to report the data values that changed from the last submission.</w:t>
      </w:r>
    </w:p>
    <w:p w:rsidR="00E87C1E" w:rsidP="00E87C1E" w:rsidRDefault="00E87C1E" w14:paraId="1CAB3044" w14:textId="4CDE770E">
      <w:pPr>
        <w:rPr>
          <w:szCs w:val="24"/>
        </w:rPr>
      </w:pPr>
      <w:r>
        <w:rPr>
          <w:szCs w:val="24"/>
        </w:rPr>
        <w:t>DOE posted the form and instructions on</w:t>
      </w:r>
      <w:r>
        <w:rPr>
          <w:spacing w:val="-1"/>
          <w:szCs w:val="24"/>
        </w:rPr>
        <w:t xml:space="preserve"> </w:t>
      </w:r>
      <w:r>
        <w:rPr>
          <w:szCs w:val="24"/>
        </w:rPr>
        <w:t>the</w:t>
      </w:r>
      <w:r>
        <w:rPr>
          <w:spacing w:val="-1"/>
          <w:szCs w:val="24"/>
        </w:rPr>
        <w:t xml:space="preserve"> </w:t>
      </w:r>
      <w:r>
        <w:rPr>
          <w:szCs w:val="24"/>
        </w:rPr>
        <w:t>websites of</w:t>
      </w:r>
      <w:r>
        <w:rPr>
          <w:spacing w:val="-2"/>
          <w:szCs w:val="24"/>
        </w:rPr>
        <w:t xml:space="preserve"> </w:t>
      </w:r>
      <w:r>
        <w:rPr>
          <w:szCs w:val="24"/>
        </w:rPr>
        <w:t>the O</w:t>
      </w:r>
      <w:r>
        <w:rPr>
          <w:spacing w:val="-1"/>
          <w:szCs w:val="24"/>
        </w:rPr>
        <w:t>ff</w:t>
      </w:r>
      <w:r>
        <w:rPr>
          <w:spacing w:val="1"/>
          <w:szCs w:val="24"/>
        </w:rPr>
        <w:t>i</w:t>
      </w:r>
      <w:r>
        <w:rPr>
          <w:szCs w:val="24"/>
        </w:rPr>
        <w:t>ce</w:t>
      </w:r>
      <w:r w:rsidR="009E35C0">
        <w:rPr>
          <w:szCs w:val="24"/>
        </w:rPr>
        <w:t xml:space="preserve"> of</w:t>
      </w:r>
      <w:r>
        <w:rPr>
          <w:szCs w:val="24"/>
        </w:rPr>
        <w:t xml:space="preserve"> </w:t>
      </w:r>
      <w:r w:rsidR="00C8231E">
        <w:rPr>
          <w:szCs w:val="24"/>
        </w:rPr>
        <w:t>Cybersecurity, Energy Security, and Emergency Response</w:t>
      </w:r>
      <w:r w:rsidR="009E35C0">
        <w:rPr>
          <w:szCs w:val="24"/>
        </w:rPr>
        <w:t xml:space="preserve"> (CESER)</w:t>
      </w:r>
      <w:r>
        <w:rPr>
          <w:szCs w:val="24"/>
        </w:rPr>
        <w:t xml:space="preserve"> and the Energy Information Ad</w:t>
      </w:r>
      <w:r>
        <w:rPr>
          <w:spacing w:val="-2"/>
          <w:szCs w:val="24"/>
        </w:rPr>
        <w:t>m</w:t>
      </w:r>
      <w:r>
        <w:rPr>
          <w:spacing w:val="1"/>
          <w:szCs w:val="24"/>
        </w:rPr>
        <w:t>i</w:t>
      </w:r>
      <w:r>
        <w:rPr>
          <w:szCs w:val="24"/>
        </w:rPr>
        <w:t xml:space="preserve">nistration (EIA). </w:t>
      </w:r>
      <w:r w:rsidR="00C8231E">
        <w:rPr>
          <w:szCs w:val="24"/>
        </w:rPr>
        <w:t xml:space="preserve">The website </w:t>
      </w:r>
      <w:r w:rsidR="00AE52F7">
        <w:rPr>
          <w:szCs w:val="24"/>
        </w:rPr>
        <w:t xml:space="preserve">utilized </w:t>
      </w:r>
      <w:r w:rsidR="00C8231E">
        <w:rPr>
          <w:szCs w:val="24"/>
        </w:rPr>
        <w:t xml:space="preserve">to submit </w:t>
      </w:r>
      <w:r w:rsidR="00941000">
        <w:rPr>
          <w:szCs w:val="24"/>
        </w:rPr>
        <w:t xml:space="preserve">Form </w:t>
      </w:r>
      <w:r w:rsidR="00C8231E">
        <w:rPr>
          <w:szCs w:val="24"/>
        </w:rPr>
        <w:t xml:space="preserve">OE-417 includes instructions for the online system and Frequently Asked Questions about the system. The website is also in compliance with Section 508 </w:t>
      </w:r>
      <w:r w:rsidR="00AE52F7">
        <w:rPr>
          <w:szCs w:val="24"/>
        </w:rPr>
        <w:t>of</w:t>
      </w:r>
      <w:r w:rsidR="00792ABC">
        <w:rPr>
          <w:szCs w:val="24"/>
        </w:rPr>
        <w:t xml:space="preserve"> </w:t>
      </w:r>
      <w:r w:rsidR="00C8231E">
        <w:rPr>
          <w:szCs w:val="24"/>
        </w:rPr>
        <w:t xml:space="preserve">the Workforce Rehabilitation Act of 1973. </w:t>
      </w:r>
      <w:r>
        <w:rPr>
          <w:szCs w:val="24"/>
        </w:rPr>
        <w:t>In addition to submitting the form online</w:t>
      </w:r>
      <w:r w:rsidR="004B55E9">
        <w:rPr>
          <w:szCs w:val="24"/>
        </w:rPr>
        <w:t>,</w:t>
      </w:r>
      <w:r>
        <w:rPr>
          <w:szCs w:val="24"/>
        </w:rPr>
        <w:t xml:space="preserve"> respondents have the ability to submit by</w:t>
      </w:r>
      <w:r w:rsidR="00AE52F7">
        <w:rPr>
          <w:szCs w:val="24"/>
        </w:rPr>
        <w:t xml:space="preserve"> phone,</w:t>
      </w:r>
      <w:r>
        <w:rPr>
          <w:szCs w:val="24"/>
        </w:rPr>
        <w:t xml:space="preserve"> email</w:t>
      </w:r>
      <w:r w:rsidR="00AE52F7">
        <w:rPr>
          <w:szCs w:val="24"/>
        </w:rPr>
        <w:t>,</w:t>
      </w:r>
      <w:r>
        <w:rPr>
          <w:szCs w:val="24"/>
        </w:rPr>
        <w:t xml:space="preserve"> or fax.</w:t>
      </w:r>
    </w:p>
    <w:p w:rsidR="008C734C" w:rsidP="005B75A6" w:rsidRDefault="008C734C" w14:paraId="6E675560" w14:textId="77777777">
      <w:pPr>
        <w:pStyle w:val="Heading2"/>
      </w:pPr>
      <w:bookmarkStart w:name="_Toc492634204" w:id="9"/>
      <w:r>
        <w:t>A.</w:t>
      </w:r>
      <w:r w:rsidRPr="00A41763" w:rsidR="00A41763">
        <w:t xml:space="preserve">4. </w:t>
      </w:r>
      <w:r>
        <w:t>Efforts to Identify Duplication</w:t>
      </w:r>
      <w:bookmarkEnd w:id="9"/>
    </w:p>
    <w:p w:rsidR="00C8231E" w:rsidP="00C8231E" w:rsidRDefault="00C8231E" w14:paraId="0D433851" w14:textId="77777777">
      <w:pPr>
        <w:spacing w:before="240"/>
      </w:pPr>
      <w:r>
        <w:t xml:space="preserve">DOE has determined that other sources cannot replace or approximate the timeliness or information coverage of the current Form </w:t>
      </w:r>
      <w:r w:rsidR="00BE34E9">
        <w:t>O</w:t>
      </w:r>
      <w:r>
        <w:t xml:space="preserve">E-417. </w:t>
      </w:r>
    </w:p>
    <w:p w:rsidR="00C8231E" w:rsidP="00C8231E" w:rsidRDefault="00C8231E" w14:paraId="66D43964" w14:textId="77777777">
      <w:r>
        <w:t>The Federal Energy Regulatory Commission (FERC) has certified the North American Electric Reliability Corporation (NERC) to operate as the Electricity Reliability Organization under the Federal Power Act. FERC has approved NERC Reliability Standard EOP-004-3, event reporting that requires entities under its jurisdiction to submit either a</w:t>
      </w:r>
      <w:r w:rsidR="00205E44">
        <w:t xml:space="preserve"> Form </w:t>
      </w:r>
      <w:r>
        <w:t xml:space="preserve">OE-417 or an EOP-004-3 event report on the occurrence of an event. It is expected that FERC will continue to certify that, for U.S. NERC reporting entities, that the updated </w:t>
      </w:r>
      <w:r>
        <w:lastRenderedPageBreak/>
        <w:t>Form</w:t>
      </w:r>
      <w:r w:rsidR="00205E44">
        <w:t xml:space="preserve"> </w:t>
      </w:r>
      <w:r>
        <w:t xml:space="preserve">OE-417 will also meet NERC’s CIP-008-6 submittal requirements. DOE is working with the NERC to ensure alignment </w:t>
      </w:r>
      <w:r w:rsidR="00BE34E9">
        <w:t>with</w:t>
      </w:r>
      <w:r>
        <w:t xml:space="preserve"> the standards. </w:t>
      </w:r>
    </w:p>
    <w:p w:rsidR="00C8231E" w:rsidP="00C8231E" w:rsidRDefault="00C8231E" w14:paraId="76AA937B" w14:textId="77777777">
      <w:r>
        <w:t xml:space="preserve">The information collected </w:t>
      </w:r>
      <w:r w:rsidR="00BE34E9">
        <w:t>for</w:t>
      </w:r>
      <w:r>
        <w:t xml:space="preserve"> EOP-004-3</w:t>
      </w:r>
      <w:r w:rsidR="00BE34E9">
        <w:t xml:space="preserve"> and CIP-008-6</w:t>
      </w:r>
      <w:r>
        <w:t xml:space="preserve"> is considered the minimum subset information necessary for NERC to complete its Reliability Oversight mission. </w:t>
      </w:r>
      <w:r w:rsidR="00BE34E9">
        <w:t>These standards do</w:t>
      </w:r>
      <w:r>
        <w:t xml:space="preserve"> not collect </w:t>
      </w:r>
      <w:r w:rsidR="00BE34E9">
        <w:t xml:space="preserve">all of </w:t>
      </w:r>
      <w:r>
        <w:t xml:space="preserve">the specific information collected on events through Form OE-417. DOE collects data to support both the notification of the Secretary of Energy to emergency energy events, as well to support emergency response and restoration activities under the Federal Emergency Management Agency (FEMA) Emergency Support Function 12 – Energy. FERC collects data to support regulatory and compliance activities under its jurisdiction. </w:t>
      </w:r>
      <w:r w:rsidR="00BA03A4">
        <w:t xml:space="preserve">Additionally, while a reporting template has been developed by NERC for the reporting requirements under CIP-008-6 as of February 2020, neither the EOP-004-3 nor the CIP-008-6 standard require information to be reported to DOE </w:t>
      </w:r>
      <w:r>
        <w:t>thus creating a situational awareness gap for Federal Entities if Form OE-417 was not recertified. Finally, NERC has not publicly released system disturbanc</w:t>
      </w:r>
      <w:r w:rsidR="00BA03A4">
        <w:t>e data collected under EOP-004 since 2009.</w:t>
      </w:r>
      <w:r>
        <w:t xml:space="preserve"> NERC stopped publicly reporting the system disturbance event reports that they received in 2009. The event history can be found at the bottom of this page under System Disturbance Reports: </w:t>
      </w:r>
      <w:hyperlink w:history="1" r:id="rId22">
        <w:r w:rsidRPr="00D76CB6">
          <w:rPr>
            <w:rStyle w:val="Hyperlink"/>
          </w:rPr>
          <w:t>http://www.nerc.com/pa/rrm/ea/Pages/EA-Program.aspx</w:t>
        </w:r>
      </w:hyperlink>
      <w:r>
        <w:t xml:space="preserve">. </w:t>
      </w:r>
    </w:p>
    <w:p w:rsidR="00C8231E" w:rsidP="00C8231E" w:rsidRDefault="00C8231E" w14:paraId="08E8D3F1" w14:textId="77777777">
      <w:r>
        <w:t>Form OE-417 is the critical alert mechanism for informing DOE about electrical emergency incidents or disturbances so the physical and virtual disruption of the operation of any critical infrastructure can be prevented. DOE officials address the information reported on a real-time basis. They inform policymakers and others about the significance, as appropriate. Form EIA-930 collects data on the operations of balancing authorities across the US. The posted data are used to monitor the current status and trends of the electric power industry, and to support enhancement of electric system operations. The data collected on Form OE-417 are on discrete system events, such as physical attacks, electrical islanding, and losses of electricity customers are not captured on Form EIA-930 hourly submissions.</w:t>
      </w:r>
    </w:p>
    <w:p w:rsidR="008C734C" w:rsidP="005B75A6" w:rsidRDefault="008C734C" w14:paraId="67177A92" w14:textId="77777777">
      <w:pPr>
        <w:pStyle w:val="Heading2"/>
      </w:pPr>
      <w:bookmarkStart w:name="_Toc492634205" w:id="10"/>
      <w:r>
        <w:t>A.</w:t>
      </w:r>
      <w:r w:rsidRPr="00A41763" w:rsidR="00A41763">
        <w:t xml:space="preserve">5. </w:t>
      </w:r>
      <w:r w:rsidRPr="008C734C">
        <w:t>Provisions for Reducing Burden on Small Businesses</w:t>
      </w:r>
      <w:bookmarkEnd w:id="10"/>
      <w:r w:rsidRPr="008C734C">
        <w:t xml:space="preserve"> </w:t>
      </w:r>
    </w:p>
    <w:p w:rsidR="00BA03A4" w:rsidP="00BA03A4" w:rsidRDefault="00BA03A4" w14:paraId="0AC631D2" w14:textId="77777777">
      <w:pPr>
        <w:spacing w:before="240"/>
      </w:pPr>
      <w:r>
        <w:t xml:space="preserve">The DOE is </w:t>
      </w:r>
      <w:r>
        <w:rPr>
          <w:spacing w:val="-2"/>
        </w:rPr>
        <w:t>m</w:t>
      </w:r>
      <w:r>
        <w:rPr>
          <w:spacing w:val="1"/>
        </w:rPr>
        <w:t>i</w:t>
      </w:r>
      <w:r>
        <w:t xml:space="preserve">ndful of the need to </w:t>
      </w:r>
      <w:r>
        <w:rPr>
          <w:spacing w:val="-2"/>
        </w:rPr>
        <w:t>m</w:t>
      </w:r>
      <w:r>
        <w:rPr>
          <w:spacing w:val="1"/>
        </w:rPr>
        <w:t>i</w:t>
      </w:r>
      <w:r>
        <w:t>n</w:t>
      </w:r>
      <w:r>
        <w:rPr>
          <w:spacing w:val="2"/>
        </w:rPr>
        <w:t>i</w:t>
      </w:r>
      <w:r>
        <w:rPr>
          <w:spacing w:val="-2"/>
        </w:rPr>
        <w:t>m</w:t>
      </w:r>
      <w:r>
        <w:t>ize burden on s</w:t>
      </w:r>
      <w:r>
        <w:rPr>
          <w:spacing w:val="-2"/>
        </w:rPr>
        <w:t>m</w:t>
      </w:r>
      <w:r>
        <w:rPr>
          <w:spacing w:val="1"/>
        </w:rPr>
        <w:t>a</w:t>
      </w:r>
      <w:r>
        <w:t>ll business, and designs its info</w:t>
      </w:r>
      <w:r>
        <w:rPr>
          <w:spacing w:val="2"/>
        </w:rPr>
        <w:t>r</w:t>
      </w:r>
      <w:r>
        <w:rPr>
          <w:spacing w:val="-2"/>
        </w:rPr>
        <w:t>m</w:t>
      </w:r>
      <w:r>
        <w:t>ation collections so that s</w:t>
      </w:r>
      <w:r>
        <w:rPr>
          <w:spacing w:val="-3"/>
        </w:rPr>
        <w:t>m</w:t>
      </w:r>
      <w:r>
        <w:t xml:space="preserve">all operations are not unduly affected. DOE has worked closely with NERC to reduce overall burden to potential respondents and Form OE-417 is not expected to impact small business. </w:t>
      </w:r>
    </w:p>
    <w:p w:rsidR="008C734C" w:rsidP="005B75A6" w:rsidRDefault="008C734C" w14:paraId="707205A6" w14:textId="77777777">
      <w:pPr>
        <w:pStyle w:val="Heading2"/>
      </w:pPr>
      <w:bookmarkStart w:name="_Toc492634206" w:id="11"/>
      <w:r>
        <w:t>A.</w:t>
      </w:r>
      <w:r w:rsidRPr="00A41763" w:rsidR="00A41763">
        <w:t xml:space="preserve">6. </w:t>
      </w:r>
      <w:r w:rsidRPr="008C734C">
        <w:t>Consequences of Less-Frequent Reporting</w:t>
      </w:r>
      <w:bookmarkEnd w:id="11"/>
    </w:p>
    <w:p w:rsidR="00BA03A4" w:rsidP="00BA03A4" w:rsidRDefault="00BA03A4" w14:paraId="614FB2A1" w14:textId="77777777">
      <w:pPr>
        <w:spacing w:before="240"/>
      </w:pPr>
      <w:r>
        <w:t>DOE needs to be infor</w:t>
      </w:r>
      <w:r>
        <w:rPr>
          <w:spacing w:val="-2"/>
        </w:rPr>
        <w:t>m</w:t>
      </w:r>
      <w:r>
        <w:rPr>
          <w:spacing w:val="1"/>
        </w:rPr>
        <w:t>e</w:t>
      </w:r>
      <w:r>
        <w:t>d of all electric</w:t>
      </w:r>
      <w:r>
        <w:rPr>
          <w:spacing w:val="-1"/>
        </w:rPr>
        <w:t xml:space="preserve"> </w:t>
      </w:r>
      <w:r>
        <w:t xml:space="preserve">power disturbances and incidents </w:t>
      </w:r>
      <w:r>
        <w:rPr>
          <w:spacing w:val="-2"/>
        </w:rPr>
        <w:t>m</w:t>
      </w:r>
      <w:r>
        <w:t>eeting the thresh</w:t>
      </w:r>
      <w:r>
        <w:rPr>
          <w:spacing w:val="-1"/>
        </w:rPr>
        <w:t>o</w:t>
      </w:r>
      <w:r>
        <w:rPr>
          <w:spacing w:val="1"/>
        </w:rPr>
        <w:t>l</w:t>
      </w:r>
      <w:r>
        <w:t>d l</w:t>
      </w:r>
      <w:r>
        <w:rPr>
          <w:spacing w:val="-1"/>
        </w:rPr>
        <w:t>e</w:t>
      </w:r>
      <w:r>
        <w:t>vels i</w:t>
      </w:r>
      <w:r>
        <w:rPr>
          <w:spacing w:val="-1"/>
        </w:rPr>
        <w:t>d</w:t>
      </w:r>
      <w:r>
        <w:t>enti</w:t>
      </w:r>
      <w:r>
        <w:rPr>
          <w:spacing w:val="-1"/>
        </w:rPr>
        <w:t>f</w:t>
      </w:r>
      <w:r>
        <w:t>ied ea</w:t>
      </w:r>
      <w:r>
        <w:rPr>
          <w:spacing w:val="-1"/>
        </w:rPr>
        <w:t>r</w:t>
      </w:r>
      <w:r>
        <w:t>li</w:t>
      </w:r>
      <w:r>
        <w:rPr>
          <w:spacing w:val="-1"/>
        </w:rPr>
        <w:t>e</w:t>
      </w:r>
      <w:r>
        <w:t>r so</w:t>
      </w:r>
      <w:r>
        <w:rPr>
          <w:spacing w:val="-1"/>
        </w:rPr>
        <w:t xml:space="preserve"> </w:t>
      </w:r>
      <w:r>
        <w:t>that it</w:t>
      </w:r>
      <w:r>
        <w:rPr>
          <w:spacing w:val="-1"/>
        </w:rPr>
        <w:t xml:space="preserve"> </w:t>
      </w:r>
      <w:r>
        <w:t xml:space="preserve">can take appropriate actions. Less frequent reporting will not </w:t>
      </w:r>
      <w:r>
        <w:rPr>
          <w:spacing w:val="-1"/>
        </w:rPr>
        <w:t>p</w:t>
      </w:r>
      <w:r>
        <w:t>rovi</w:t>
      </w:r>
      <w:r>
        <w:rPr>
          <w:spacing w:val="-1"/>
        </w:rPr>
        <w:t>d</w:t>
      </w:r>
      <w:r>
        <w:t>e the Federal govern</w:t>
      </w:r>
      <w:r>
        <w:rPr>
          <w:spacing w:val="-2"/>
        </w:rPr>
        <w:t>m</w:t>
      </w:r>
      <w:r>
        <w:t>ent</w:t>
      </w:r>
      <w:r>
        <w:rPr>
          <w:spacing w:val="-1"/>
        </w:rPr>
        <w:t xml:space="preserve"> </w:t>
      </w:r>
      <w:r>
        <w:t>with t</w:t>
      </w:r>
      <w:r>
        <w:rPr>
          <w:spacing w:val="-1"/>
        </w:rPr>
        <w:t>h</w:t>
      </w:r>
      <w:r>
        <w:t>e i</w:t>
      </w:r>
      <w:r>
        <w:rPr>
          <w:spacing w:val="-1"/>
        </w:rPr>
        <w:t>n</w:t>
      </w:r>
      <w:r>
        <w:t>fo</w:t>
      </w:r>
      <w:r>
        <w:rPr>
          <w:spacing w:val="2"/>
        </w:rPr>
        <w:t>r</w:t>
      </w:r>
      <w:r>
        <w:rPr>
          <w:spacing w:val="-2"/>
        </w:rPr>
        <w:t>m</w:t>
      </w:r>
      <w:r>
        <w:t xml:space="preserve">ation it needs to fulfill its </w:t>
      </w:r>
      <w:r>
        <w:rPr>
          <w:spacing w:val="-2"/>
        </w:rPr>
        <w:t>m</w:t>
      </w:r>
      <w:r>
        <w:t>andate</w:t>
      </w:r>
      <w:r>
        <w:rPr>
          <w:spacing w:val="-1"/>
        </w:rPr>
        <w:t>s</w:t>
      </w:r>
      <w:r>
        <w:t>.</w:t>
      </w:r>
    </w:p>
    <w:p w:rsidR="00BA03A4" w:rsidP="00BA03A4" w:rsidRDefault="00BA03A4" w14:paraId="4984B81C" w14:textId="77777777">
      <w:r>
        <w:lastRenderedPageBreak/>
        <w:t>The rapid evolution of info</w:t>
      </w:r>
      <w:r>
        <w:rPr>
          <w:spacing w:val="2"/>
        </w:rPr>
        <w:t>r</w:t>
      </w:r>
      <w:r>
        <w:rPr>
          <w:spacing w:val="-2"/>
        </w:rPr>
        <w:t>m</w:t>
      </w:r>
      <w:r>
        <w:t>ation technology</w:t>
      </w:r>
      <w:r>
        <w:rPr>
          <w:spacing w:val="-1"/>
        </w:rPr>
        <w:t xml:space="preserve"> </w:t>
      </w:r>
      <w:r>
        <w:t>in</w:t>
      </w:r>
      <w:r>
        <w:rPr>
          <w:spacing w:val="-1"/>
        </w:rPr>
        <w:t xml:space="preserve"> </w:t>
      </w:r>
      <w:r>
        <w:t>the</w:t>
      </w:r>
      <w:r>
        <w:rPr>
          <w:spacing w:val="-1"/>
        </w:rPr>
        <w:t xml:space="preserve"> </w:t>
      </w:r>
      <w:r>
        <w:t>electric</w:t>
      </w:r>
      <w:r>
        <w:rPr>
          <w:spacing w:val="-1"/>
        </w:rPr>
        <w:t xml:space="preserve"> </w:t>
      </w:r>
      <w:r>
        <w:t>power</w:t>
      </w:r>
      <w:r>
        <w:rPr>
          <w:spacing w:val="1"/>
        </w:rPr>
        <w:t xml:space="preserve"> </w:t>
      </w:r>
      <w:r>
        <w:t>industry has national security i</w:t>
      </w:r>
      <w:r>
        <w:rPr>
          <w:spacing w:val="-2"/>
        </w:rPr>
        <w:t>m</w:t>
      </w:r>
      <w:r>
        <w:t>plications due to</w:t>
      </w:r>
      <w:r>
        <w:rPr>
          <w:spacing w:val="-1"/>
        </w:rPr>
        <w:t xml:space="preserve"> </w:t>
      </w:r>
      <w:r>
        <w:t>the interdependent networks of physical and info</w:t>
      </w:r>
      <w:r>
        <w:rPr>
          <w:spacing w:val="2"/>
        </w:rPr>
        <w:t>r</w:t>
      </w:r>
      <w:r>
        <w:rPr>
          <w:spacing w:val="-2"/>
        </w:rPr>
        <w:t>m</w:t>
      </w:r>
      <w:r>
        <w:t>ation in</w:t>
      </w:r>
      <w:r>
        <w:rPr>
          <w:spacing w:val="-1"/>
        </w:rPr>
        <w:t>f</w:t>
      </w:r>
      <w:r>
        <w:t>rastr</w:t>
      </w:r>
      <w:r>
        <w:rPr>
          <w:spacing w:val="-1"/>
        </w:rPr>
        <w:t>u</w:t>
      </w:r>
      <w:r>
        <w:t>ct</w:t>
      </w:r>
      <w:r>
        <w:rPr>
          <w:spacing w:val="-1"/>
        </w:rPr>
        <w:t>ur</w:t>
      </w:r>
      <w:r>
        <w:t>es.</w:t>
      </w:r>
      <w:r>
        <w:rPr>
          <w:rStyle w:val="FootnoteReference"/>
          <w:color w:val="000000"/>
          <w:szCs w:val="24"/>
        </w:rPr>
        <w:footnoteReference w:id="8"/>
      </w:r>
      <w:r>
        <w:t xml:space="preserve"> Infor</w:t>
      </w:r>
      <w:r>
        <w:rPr>
          <w:spacing w:val="-2"/>
        </w:rPr>
        <w:t>m</w:t>
      </w:r>
      <w:r>
        <w:t>ation technology has changed the way the Nation’s business is transacted, the way govern</w:t>
      </w:r>
      <w:r>
        <w:rPr>
          <w:spacing w:val="-2"/>
        </w:rPr>
        <w:t>m</w:t>
      </w:r>
      <w:r>
        <w:t xml:space="preserve">ent operates </w:t>
      </w:r>
      <w:r>
        <w:rPr>
          <w:spacing w:val="-1"/>
        </w:rPr>
        <w:t>a</w:t>
      </w:r>
      <w:r>
        <w:t>nd the way govern</w:t>
      </w:r>
      <w:r>
        <w:rPr>
          <w:spacing w:val="-2"/>
        </w:rPr>
        <w:t>m</w:t>
      </w:r>
      <w:r>
        <w:t xml:space="preserve">ent addresses national security. </w:t>
      </w:r>
    </w:p>
    <w:p w:rsidR="00BA03A4" w:rsidP="00BA03A4" w:rsidRDefault="00BA03A4" w14:paraId="0397DA0D" w14:textId="77777777">
      <w:r>
        <w:t>Form OE-417 is</w:t>
      </w:r>
      <w:r>
        <w:rPr>
          <w:spacing w:val="-2"/>
        </w:rPr>
        <w:t xml:space="preserve"> </w:t>
      </w:r>
      <w:r>
        <w:t>the critical alert mechanism</w:t>
      </w:r>
      <w:r>
        <w:rPr>
          <w:spacing w:val="-2"/>
        </w:rPr>
        <w:t xml:space="preserve"> </w:t>
      </w:r>
      <w:r>
        <w:t>for infor</w:t>
      </w:r>
      <w:r>
        <w:rPr>
          <w:spacing w:val="-2"/>
        </w:rPr>
        <w:t>m</w:t>
      </w:r>
      <w:r>
        <w:t>ing DOE about electrical e</w:t>
      </w:r>
      <w:r>
        <w:rPr>
          <w:spacing w:val="-2"/>
        </w:rPr>
        <w:t>m</w:t>
      </w:r>
      <w:r>
        <w:t>ergency incidents</w:t>
      </w:r>
      <w:r>
        <w:rPr>
          <w:spacing w:val="1"/>
        </w:rPr>
        <w:t xml:space="preserve"> </w:t>
      </w:r>
      <w:r>
        <w:t>or disturbances so the physi</w:t>
      </w:r>
      <w:r>
        <w:rPr>
          <w:spacing w:val="-1"/>
        </w:rPr>
        <w:t>c</w:t>
      </w:r>
      <w:r>
        <w:t>al and virtual disruption of the ope</w:t>
      </w:r>
      <w:r>
        <w:rPr>
          <w:spacing w:val="-1"/>
        </w:rPr>
        <w:t>r</w:t>
      </w:r>
      <w:r>
        <w:t>ati</w:t>
      </w:r>
      <w:r>
        <w:rPr>
          <w:spacing w:val="-1"/>
        </w:rPr>
        <w:t>o</w:t>
      </w:r>
      <w:r>
        <w:t>n of</w:t>
      </w:r>
      <w:r>
        <w:rPr>
          <w:spacing w:val="-1"/>
        </w:rPr>
        <w:t xml:space="preserve"> </w:t>
      </w:r>
      <w:r>
        <w:t>any critical in</w:t>
      </w:r>
      <w:r>
        <w:rPr>
          <w:spacing w:val="-1"/>
        </w:rPr>
        <w:t>f</w:t>
      </w:r>
      <w:r>
        <w:t>rastr</w:t>
      </w:r>
      <w:r>
        <w:rPr>
          <w:spacing w:val="-1"/>
        </w:rPr>
        <w:t>u</w:t>
      </w:r>
      <w:r>
        <w:t>cture</w:t>
      </w:r>
      <w:r>
        <w:rPr>
          <w:spacing w:val="-2"/>
        </w:rPr>
        <w:t xml:space="preserve"> </w:t>
      </w:r>
      <w:r>
        <w:t>can</w:t>
      </w:r>
      <w:r>
        <w:rPr>
          <w:spacing w:val="-1"/>
        </w:rPr>
        <w:t xml:space="preserve"> </w:t>
      </w:r>
      <w:r>
        <w:t>be</w:t>
      </w:r>
      <w:r>
        <w:rPr>
          <w:spacing w:val="-1"/>
        </w:rPr>
        <w:t xml:space="preserve"> </w:t>
      </w:r>
      <w:r>
        <w:t>prevented.</w:t>
      </w:r>
      <w:r>
        <w:rPr>
          <w:spacing w:val="-1"/>
        </w:rPr>
        <w:t xml:space="preserve"> </w:t>
      </w:r>
      <w:r>
        <w:t>DOE</w:t>
      </w:r>
      <w:r>
        <w:rPr>
          <w:spacing w:val="1"/>
        </w:rPr>
        <w:t xml:space="preserve"> </w:t>
      </w:r>
      <w:r>
        <w:t>officials address t</w:t>
      </w:r>
      <w:r>
        <w:rPr>
          <w:spacing w:val="-1"/>
        </w:rPr>
        <w:t>h</w:t>
      </w:r>
      <w:r>
        <w:t>e infor</w:t>
      </w:r>
      <w:r>
        <w:rPr>
          <w:spacing w:val="-2"/>
        </w:rPr>
        <w:t>m</w:t>
      </w:r>
      <w:r>
        <w:t>ation reported on a real-ti</w:t>
      </w:r>
      <w:r>
        <w:rPr>
          <w:spacing w:val="-2"/>
        </w:rPr>
        <w:t>m</w:t>
      </w:r>
      <w:r>
        <w:t>e basis and</w:t>
      </w:r>
      <w:r>
        <w:rPr>
          <w:spacing w:val="-1"/>
        </w:rPr>
        <w:t xml:space="preserve"> </w:t>
      </w:r>
      <w:r>
        <w:t>info</w:t>
      </w:r>
      <w:r>
        <w:rPr>
          <w:spacing w:val="2"/>
        </w:rPr>
        <w:t>r</w:t>
      </w:r>
      <w:r>
        <w:t>m</w:t>
      </w:r>
      <w:r>
        <w:rPr>
          <w:spacing w:val="-2"/>
        </w:rPr>
        <w:t xml:space="preserve"> </w:t>
      </w:r>
      <w:r>
        <w:t>relevant interagency partners, as appropriate including the Department of Homeland Security, the Federal Emergency Management Agency, and the Federal Bureau of Investigations, as well as the White House and others to provide information about the significance of an electricity disturbance.</w:t>
      </w:r>
    </w:p>
    <w:p w:rsidRPr="00D217C5" w:rsidR="00BA03A4" w:rsidP="006643C6" w:rsidRDefault="00BA03A4" w14:paraId="7394C9F6" w14:textId="77777777">
      <w:pPr>
        <w:pStyle w:val="CommentText"/>
        <w:spacing w:line="300" w:lineRule="atLeast"/>
        <w:rPr>
          <w:sz w:val="22"/>
          <w:szCs w:val="22"/>
        </w:rPr>
      </w:pPr>
      <w:r w:rsidRPr="00D217C5">
        <w:rPr>
          <w:sz w:val="22"/>
          <w:szCs w:val="22"/>
        </w:rPr>
        <w:t xml:space="preserve">Form OE-417 provides important real-time alert information to DOE, trend information, and is used in historical publications. Schedule 2 of Form OE-417 collects detailed information on system events, including specific locations of events (such as specific transmission circuits or substations impacted) or the sequence of events (for a physical attack event). This specific data would not be collected within </w:t>
      </w:r>
      <w:r>
        <w:rPr>
          <w:sz w:val="22"/>
          <w:szCs w:val="22"/>
        </w:rPr>
        <w:t>F</w:t>
      </w:r>
      <w:r w:rsidRPr="00D217C5">
        <w:rPr>
          <w:sz w:val="22"/>
          <w:szCs w:val="22"/>
        </w:rPr>
        <w:t xml:space="preserve">orm EIA-930 data collection, which focuses on automated data collection of system operating data on a wide-area basis. </w:t>
      </w:r>
    </w:p>
    <w:p w:rsidR="008C734C" w:rsidP="005B75A6" w:rsidRDefault="008C734C" w14:paraId="2E14C6C6" w14:textId="77777777">
      <w:pPr>
        <w:pStyle w:val="Heading2"/>
      </w:pPr>
      <w:bookmarkStart w:name="_Toc492634207" w:id="12"/>
      <w:r>
        <w:t>A.</w:t>
      </w:r>
      <w:r w:rsidRPr="00A41763" w:rsidR="00A41763">
        <w:t xml:space="preserve">7. </w:t>
      </w:r>
      <w:r w:rsidRPr="008C734C">
        <w:t>Compliance with 5 CFR 1320.5</w:t>
      </w:r>
      <w:bookmarkEnd w:id="12"/>
    </w:p>
    <w:p w:rsidR="006643C6" w:rsidP="006643C6" w:rsidRDefault="006643C6" w14:paraId="6E1A5CB0" w14:textId="77777777">
      <w:pPr>
        <w:spacing w:before="240"/>
      </w:pPr>
      <w:r>
        <w:t>The data being collected are consistent with the guidelines in 5 CFR 1320.5, except for requiring respondents to initially report infor</w:t>
      </w:r>
      <w:r>
        <w:rPr>
          <w:spacing w:val="-2"/>
        </w:rPr>
        <w:t>m</w:t>
      </w:r>
      <w:r>
        <w:t>ation soon after an incident or disturbance. See ite</w:t>
      </w:r>
      <w:r>
        <w:rPr>
          <w:spacing w:val="-2"/>
        </w:rPr>
        <w:t>m</w:t>
      </w:r>
      <w:r>
        <w:t xml:space="preserve">s A.2 and A.6 </w:t>
      </w:r>
      <w:r>
        <w:rPr>
          <w:spacing w:val="-1"/>
        </w:rPr>
        <w:t>f</w:t>
      </w:r>
      <w:r>
        <w:rPr>
          <w:spacing w:val="1"/>
        </w:rPr>
        <w:t>o</w:t>
      </w:r>
      <w:r>
        <w:t>r justi</w:t>
      </w:r>
      <w:r>
        <w:rPr>
          <w:spacing w:val="-1"/>
        </w:rPr>
        <w:t>f</w:t>
      </w:r>
      <w:r>
        <w:t>ic</w:t>
      </w:r>
      <w:r>
        <w:rPr>
          <w:spacing w:val="-1"/>
        </w:rPr>
        <w:t>a</w:t>
      </w:r>
      <w:r>
        <w:t>ti</w:t>
      </w:r>
      <w:r>
        <w:rPr>
          <w:spacing w:val="-1"/>
        </w:rPr>
        <w:t>o</w:t>
      </w:r>
      <w:r>
        <w:t xml:space="preserve">n </w:t>
      </w:r>
      <w:r>
        <w:rPr>
          <w:spacing w:val="-1"/>
        </w:rPr>
        <w:t>f</w:t>
      </w:r>
      <w:r>
        <w:t>or ti</w:t>
      </w:r>
      <w:r>
        <w:rPr>
          <w:spacing w:val="-2"/>
        </w:rPr>
        <w:t>m</w:t>
      </w:r>
      <w:r>
        <w:t>ing</w:t>
      </w:r>
      <w:r>
        <w:rPr>
          <w:spacing w:val="-1"/>
        </w:rPr>
        <w:t xml:space="preserve"> </w:t>
      </w:r>
      <w:r>
        <w:t xml:space="preserve">of reporting. A final report is due to DOE 72 hours after an initial report. </w:t>
      </w:r>
    </w:p>
    <w:p w:rsidR="008C734C" w:rsidP="005B75A6" w:rsidRDefault="008C734C" w14:paraId="0462C613" w14:textId="77777777">
      <w:pPr>
        <w:pStyle w:val="Heading2"/>
      </w:pPr>
      <w:bookmarkStart w:name="_Toc492634208" w:id="13"/>
      <w:r>
        <w:t>A.</w:t>
      </w:r>
      <w:r w:rsidRPr="00A41763" w:rsidR="00A41763">
        <w:t xml:space="preserve">8. </w:t>
      </w:r>
      <w:r w:rsidRPr="008C734C">
        <w:t>Summary of Consultations Outside of the Agency</w:t>
      </w:r>
      <w:bookmarkEnd w:id="13"/>
    </w:p>
    <w:p w:rsidR="001B2ED7" w:rsidP="001B2ED7" w:rsidRDefault="006643C6" w14:paraId="6A140091" w14:textId="4930F32E">
      <w:pPr>
        <w:spacing w:after="240"/>
      </w:pPr>
      <w:r w:rsidRPr="00003535">
        <w:t xml:space="preserve">A request for comments from interested persons was solicited in a </w:t>
      </w:r>
      <w:r>
        <w:t>Federal Register N</w:t>
      </w:r>
      <w:r w:rsidRPr="00003535">
        <w:t>otice</w:t>
      </w:r>
      <w:r>
        <w:t xml:space="preserve"> (FRN)</w:t>
      </w:r>
      <w:r w:rsidRPr="00003535">
        <w:t xml:space="preserve"> describing the proposed extension and proposed modifications to each </w:t>
      </w:r>
      <w:r w:rsidRPr="00B7664C">
        <w:t xml:space="preserve">form. </w:t>
      </w:r>
      <w:r w:rsidRPr="00B72816">
        <w:t>The notice was published</w:t>
      </w:r>
      <w:r>
        <w:t xml:space="preserve"> in the Federal Register</w:t>
      </w:r>
      <w:r w:rsidRPr="00463350">
        <w:t xml:space="preserve">, </w:t>
      </w:r>
      <w:r w:rsidRPr="00463350" w:rsidR="00AE52F7">
        <w:t>85</w:t>
      </w:r>
      <w:r w:rsidRPr="00463350">
        <w:t xml:space="preserve"> Fed. Reg. </w:t>
      </w:r>
      <w:r w:rsidRPr="00463350" w:rsidR="00AE52F7">
        <w:t>35925</w:t>
      </w:r>
      <w:r w:rsidRPr="00463350">
        <w:t xml:space="preserve"> (</w:t>
      </w:r>
      <w:r w:rsidRPr="00463350" w:rsidR="008F76B9">
        <w:t>June</w:t>
      </w:r>
      <w:r w:rsidRPr="00463350">
        <w:t xml:space="preserve"> </w:t>
      </w:r>
      <w:r w:rsidRPr="00463350" w:rsidR="008F76B9">
        <w:t>12</w:t>
      </w:r>
      <w:r w:rsidRPr="00463350">
        <w:t xml:space="preserve">, 2020). The notice and proposed versions of the survey forms were posted on EIA’s website. </w:t>
      </w:r>
      <w:r w:rsidRPr="00463350" w:rsidR="00056A65">
        <w:t xml:space="preserve">Five </w:t>
      </w:r>
      <w:r w:rsidRPr="00463350" w:rsidR="00DF3738">
        <w:t>comment</w:t>
      </w:r>
      <w:r w:rsidRPr="00463350" w:rsidR="00056A65">
        <w:t>s</w:t>
      </w:r>
      <w:r w:rsidRPr="00463350" w:rsidR="00DF3738">
        <w:t xml:space="preserve"> </w:t>
      </w:r>
      <w:r w:rsidRPr="00463350" w:rsidR="00056A65">
        <w:t xml:space="preserve">were </w:t>
      </w:r>
      <w:r w:rsidRPr="00463350">
        <w:t xml:space="preserve">received in response to the </w:t>
      </w:r>
      <w:r w:rsidRPr="00463350" w:rsidR="00DF3738">
        <w:t>June</w:t>
      </w:r>
      <w:r w:rsidRPr="00463350">
        <w:t xml:space="preserve"> </w:t>
      </w:r>
      <w:r w:rsidRPr="00463350" w:rsidR="00DF3738">
        <w:t>12</w:t>
      </w:r>
      <w:r w:rsidRPr="00463350">
        <w:t>, 2020</w:t>
      </w:r>
      <w:r w:rsidR="00DF3738">
        <w:t xml:space="preserve"> FRN. </w:t>
      </w:r>
      <w:r w:rsidR="00047F30">
        <w:t xml:space="preserve">Two of the comments that were received via regulation.gov, did not provide any feedback relevant to the FRN. The other three comments were from the electricity industry, including the Midcontinent Independent System Operator, the Independent System Operator of New England, and the Edison Electric Institute which represents investor owned utilities. The feedback from </w:t>
      </w:r>
      <w:r w:rsidR="00FB5998">
        <w:t>the five</w:t>
      </w:r>
      <w:r w:rsidR="00047F30">
        <w:t xml:space="preserve"> comments has been careful considered by DOE and three additional changes were incorporated to the form accordingly. </w:t>
      </w:r>
      <w:r w:rsidR="00DF3738">
        <w:t>The comment</w:t>
      </w:r>
      <w:r w:rsidR="001B2ED7">
        <w:t>s</w:t>
      </w:r>
      <w:r w:rsidR="00DF3738">
        <w:t xml:space="preserve"> and </w:t>
      </w:r>
      <w:r w:rsidR="001B2ED7">
        <w:t>DOE</w:t>
      </w:r>
      <w:r w:rsidR="00DF3738">
        <w:t xml:space="preserve"> response</w:t>
      </w:r>
      <w:r>
        <w:t xml:space="preserve"> are</w:t>
      </w:r>
      <w:r w:rsidR="001B2ED7">
        <w:t xml:space="preserve"> available at: </w:t>
      </w:r>
      <w:hyperlink w:history="1" r:id="rId23">
        <w:r w:rsidRPr="0079316B" w:rsidR="001B2ED7">
          <w:rPr>
            <w:rStyle w:val="Hyperlink"/>
          </w:rPr>
          <w:t>https://www.oe.netl.doe.gov/oe417.aspx</w:t>
        </w:r>
      </w:hyperlink>
      <w:r>
        <w:t>.</w:t>
      </w:r>
      <w:r w:rsidR="001B2ED7">
        <w:t xml:space="preserve"> The comments have also been posted to Regulation.gov at: </w:t>
      </w:r>
      <w:hyperlink w:history="1" r:id="rId24">
        <w:r w:rsidRPr="0079316B" w:rsidR="001B2ED7">
          <w:rPr>
            <w:rStyle w:val="Hyperlink"/>
          </w:rPr>
          <w:t>https://beta.regulations.gov/document/DOE-HQ-2020-0038-0001/comment</w:t>
        </w:r>
      </w:hyperlink>
      <w:r w:rsidR="001B2ED7">
        <w:t xml:space="preserve"> </w:t>
      </w:r>
    </w:p>
    <w:p w:rsidRPr="006643C6" w:rsidR="008C734C" w:rsidP="001B2ED7" w:rsidRDefault="008F76B9" w14:paraId="56B7A7BC" w14:textId="31E9972A">
      <w:pPr>
        <w:spacing w:after="240"/>
      </w:pPr>
      <w:r>
        <w:lastRenderedPageBreak/>
        <w:t xml:space="preserve">During this proposed revision to Form OE-417, DOE has coordinated with the E-ISAC and NERC to discuss and agree on the structure of proposed additions to Form OE-417 to align with the NERC CIP-008-6 reporting requirements to ensure that there is a single mechanism for industry to provide input. DOE also advised the secretariat of the Electricity Subsector Coordinating Council of the publication of the FRN for comments from industry. </w:t>
      </w:r>
      <w:r w:rsidR="006643C6">
        <w:t xml:space="preserve">During the previous revision of Form OE-417, DOE worked closely with the NERC Standards Drafting Committee to integrate and align questions between </w:t>
      </w:r>
      <w:r w:rsidRPr="00F2753B" w:rsidR="006643C6">
        <w:t>Form</w:t>
      </w:r>
      <w:r w:rsidDel="006A431F" w:rsidR="006643C6">
        <w:t xml:space="preserve"> </w:t>
      </w:r>
      <w:r w:rsidR="006643C6">
        <w:t xml:space="preserve">EOP-004 and </w:t>
      </w:r>
      <w:r w:rsidR="006643C6">
        <w:rPr>
          <w:szCs w:val="24"/>
        </w:rPr>
        <w:t>Form</w:t>
      </w:r>
      <w:r w:rsidR="006643C6">
        <w:t xml:space="preserve"> OE-417. </w:t>
      </w:r>
    </w:p>
    <w:p w:rsidR="008C734C" w:rsidP="005B75A6" w:rsidRDefault="008C734C" w14:paraId="5EAACBA9" w14:textId="77777777">
      <w:pPr>
        <w:pStyle w:val="Heading2"/>
      </w:pPr>
      <w:bookmarkStart w:name="_Toc492634209" w:id="14"/>
      <w:r>
        <w:t>A.</w:t>
      </w:r>
      <w:r w:rsidRPr="00A41763" w:rsidR="00A41763">
        <w:t xml:space="preserve">9. </w:t>
      </w:r>
      <w:r w:rsidRPr="008C734C">
        <w:t>Payments or Gifts to Respondents</w:t>
      </w:r>
      <w:bookmarkEnd w:id="14"/>
      <w:r w:rsidRPr="008C734C">
        <w:t xml:space="preserve"> </w:t>
      </w:r>
    </w:p>
    <w:p w:rsidR="006643C6" w:rsidP="006643C6" w:rsidRDefault="006643C6" w14:paraId="5953EF9B" w14:textId="77777777">
      <w:pPr>
        <w:rPr>
          <w:szCs w:val="24"/>
        </w:rPr>
      </w:pPr>
      <w:r>
        <w:rPr>
          <w:szCs w:val="24"/>
        </w:rPr>
        <w:t>No pay</w:t>
      </w:r>
      <w:r>
        <w:rPr>
          <w:spacing w:val="-2"/>
          <w:szCs w:val="24"/>
        </w:rPr>
        <w:t>m</w:t>
      </w:r>
      <w:r>
        <w:rPr>
          <w:szCs w:val="24"/>
        </w:rPr>
        <w:t xml:space="preserve">ents or gifts are </w:t>
      </w:r>
      <w:r>
        <w:rPr>
          <w:spacing w:val="-2"/>
          <w:szCs w:val="24"/>
        </w:rPr>
        <w:t>m</w:t>
      </w:r>
      <w:r>
        <w:rPr>
          <w:szCs w:val="24"/>
        </w:rPr>
        <w:t>ade to the respondents.</w:t>
      </w:r>
    </w:p>
    <w:p w:rsidR="008C734C" w:rsidP="005B75A6" w:rsidRDefault="008C734C" w14:paraId="041BE5A7" w14:textId="77777777">
      <w:pPr>
        <w:pStyle w:val="Heading2"/>
      </w:pPr>
      <w:bookmarkStart w:name="_Toc492634210" w:id="15"/>
      <w:r>
        <w:t>A.</w:t>
      </w:r>
      <w:r w:rsidRPr="00A41763" w:rsidR="00A41763">
        <w:t xml:space="preserve">10. </w:t>
      </w:r>
      <w:r w:rsidRPr="008C734C">
        <w:t>Provisions for Protection of Information</w:t>
      </w:r>
      <w:bookmarkEnd w:id="15"/>
      <w:r w:rsidRPr="008C734C">
        <w:t xml:space="preserve"> </w:t>
      </w:r>
    </w:p>
    <w:p w:rsidR="006643C6" w:rsidP="006643C6" w:rsidRDefault="006643C6" w14:paraId="3D45F110" w14:textId="77777777">
      <w:r>
        <w:rPr>
          <w:color w:val="000000"/>
        </w:rPr>
        <w:t>Form OE-417 i</w:t>
      </w:r>
      <w:r w:rsidRPr="004E1172">
        <w:rPr>
          <w:color w:val="000000"/>
        </w:rPr>
        <w:t>nstructions will include the following</w:t>
      </w:r>
      <w:r>
        <w:rPr>
          <w:color w:val="000000"/>
        </w:rPr>
        <w:t xml:space="preserve"> statement regarding data confidentiality.</w:t>
      </w:r>
    </w:p>
    <w:p w:rsidRPr="00D26CF0" w:rsidR="00D26CF0" w:rsidP="00D26CF0" w:rsidRDefault="00D26CF0" w14:paraId="3F3DD1E6" w14:textId="77777777">
      <w:r w:rsidRPr="00D26CF0">
        <w:t xml:space="preserve">The information reported on Schedule 1, except for lines C and D if boxes in line B are checked and to the extent that it satisfies the criteria for exemption under FOIA, will be considered “public information” and may be publicly released in company or individually identifiable form. </w:t>
      </w:r>
      <w:r w:rsidR="00927B65">
        <w:t xml:space="preserve"> </w:t>
      </w:r>
    </w:p>
    <w:p w:rsidRPr="00D26CF0" w:rsidR="00D26CF0" w:rsidP="00D26CF0" w:rsidRDefault="00D26CF0" w14:paraId="41AA2B4A" w14:textId="77777777">
      <w:r w:rsidRPr="00D26CF0">
        <w:t xml:space="preserve">Information on Schedule 2 of the form and lines C and D of Schedule 1 will not be disclosed to the public to the extent that it satisfies the criteria for exemption under FOIA, 5 U.S.C. § 552, the DOE regulations, 10 C.F.R. § 1004.11, implementing the FOIA, the Trade Secrets Act, 18 U.S.C. § 1905, and Critical Energy Infrastructure Information regulations as defined by the Federal Energy Regulatory Commission pursuant to section 215A(d) of the Federal Power Act, as amended. DOE will protect the information in accordance with its confidentiality and security policies and procedures. Potential releases in response to FOIA requests may occur following a case-by-case determination of the appropriate level of data protection. </w:t>
      </w:r>
    </w:p>
    <w:p w:rsidRPr="00D26CF0" w:rsidR="00D26CF0" w:rsidP="00D26CF0" w:rsidRDefault="00D26CF0" w14:paraId="384B7B58" w14:textId="77777777">
      <w:r w:rsidRPr="00D26CF0">
        <w:t>In accordance with the FOIA, the DOE provides company-specific protected data to other Federal agencies when requested for official use. The information reported on this form may also be made available, upon request, to another component of DOE; to any Committee of Congress, the U.S. General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Pr="00D26CF0" w:rsidR="00D26CF0" w:rsidP="00D26CF0" w:rsidRDefault="00D26CF0" w14:paraId="42C7A10E" w14:textId="77777777">
      <w:r w:rsidRPr="00D26CF0">
        <w:t>The data collected on Form OE-417, Electric Emergency Incident and disturbance Report, will be used by DOE to meet its overall national security and National Response Framework responsibilities.</w:t>
      </w:r>
    </w:p>
    <w:p w:rsidR="00F056C3" w:rsidP="005B75A6" w:rsidRDefault="00F056C3" w14:paraId="7F7A77DD" w14:textId="77777777">
      <w:pPr>
        <w:pStyle w:val="Heading2"/>
      </w:pPr>
      <w:bookmarkStart w:name="_Toc492634211" w:id="16"/>
      <w:r>
        <w:t>A.</w:t>
      </w:r>
      <w:r w:rsidRPr="00A41763" w:rsidR="00A41763">
        <w:t xml:space="preserve">11. </w:t>
      </w:r>
      <w:r w:rsidRPr="00F056C3">
        <w:t>Justification for Sensitive Questions</w:t>
      </w:r>
      <w:bookmarkEnd w:id="16"/>
      <w:r w:rsidRPr="00F056C3">
        <w:t xml:space="preserve"> </w:t>
      </w:r>
    </w:p>
    <w:p w:rsidRPr="002138BC" w:rsidR="00D26CF0" w:rsidP="00D26CF0" w:rsidRDefault="00D26CF0" w14:paraId="18555B10" w14:textId="77777777">
      <w:pPr>
        <w:rPr>
          <w:szCs w:val="24"/>
        </w:rPr>
      </w:pPr>
      <w:r w:rsidRPr="002138BC">
        <w:rPr>
          <w:szCs w:val="24"/>
        </w:rPr>
        <w:t>There are no questions of</w:t>
      </w:r>
      <w:r w:rsidRPr="002138BC">
        <w:rPr>
          <w:spacing w:val="-2"/>
          <w:szCs w:val="24"/>
        </w:rPr>
        <w:t xml:space="preserve"> </w:t>
      </w:r>
      <w:r w:rsidRPr="002138BC">
        <w:rPr>
          <w:szCs w:val="24"/>
        </w:rPr>
        <w:t>a sensitive nature.</w:t>
      </w:r>
    </w:p>
    <w:p w:rsidR="00F056C3" w:rsidP="005B75A6" w:rsidRDefault="00F056C3" w14:paraId="1D933F5E" w14:textId="77777777">
      <w:pPr>
        <w:pStyle w:val="Heading2"/>
      </w:pPr>
      <w:bookmarkStart w:name="_Toc492634212" w:id="17"/>
      <w:r>
        <w:t>A.</w:t>
      </w:r>
      <w:r w:rsidRPr="00A41763" w:rsidR="00A41763">
        <w:t xml:space="preserve">12. </w:t>
      </w:r>
      <w:r w:rsidRPr="00F056C3">
        <w:t>Estimate of Respondent Burden Hours and Cost</w:t>
      </w:r>
      <w:bookmarkEnd w:id="17"/>
      <w:r w:rsidRPr="00F056C3">
        <w:t xml:space="preserve"> </w:t>
      </w:r>
    </w:p>
    <w:p w:rsidRPr="002138BC" w:rsidR="00D26CF0" w:rsidP="00D26CF0" w:rsidRDefault="00D26CF0" w14:paraId="34F2C8B9" w14:textId="77777777">
      <w:pPr>
        <w:rPr>
          <w:b/>
          <w:i/>
        </w:rPr>
      </w:pPr>
      <w:r w:rsidRPr="002138BC">
        <w:rPr>
          <w:b/>
          <w:i/>
        </w:rPr>
        <w:t>Training Assu</w:t>
      </w:r>
      <w:r w:rsidRPr="002138BC">
        <w:rPr>
          <w:b/>
          <w:i/>
          <w:spacing w:val="-2"/>
        </w:rPr>
        <w:t>m</w:t>
      </w:r>
      <w:r w:rsidRPr="002138BC">
        <w:rPr>
          <w:b/>
          <w:i/>
        </w:rPr>
        <w:t>ptions:</w:t>
      </w:r>
    </w:p>
    <w:p w:rsidRPr="00241CD0" w:rsidR="00D26CF0" w:rsidP="00681D51" w:rsidRDefault="00D26CF0" w14:paraId="610B374C" w14:textId="77777777">
      <w:pPr>
        <w:pStyle w:val="ListParagraph"/>
        <w:numPr>
          <w:ilvl w:val="0"/>
          <w:numId w:val="9"/>
        </w:numPr>
      </w:pPr>
      <w:r w:rsidRPr="00241CD0">
        <w:lastRenderedPageBreak/>
        <w:t>2,</w:t>
      </w:r>
      <w:r>
        <w:t>51</w:t>
      </w:r>
      <w:r w:rsidR="00C3200D">
        <w:t>4</w:t>
      </w:r>
      <w:r w:rsidRPr="00241CD0">
        <w:t xml:space="preserve"> Respondents – </w:t>
      </w:r>
      <w:r>
        <w:t>11</w:t>
      </w:r>
      <w:r w:rsidRPr="00241CD0">
        <w:t xml:space="preserve"> U.S. reliability coordinators, </w:t>
      </w:r>
      <w:r>
        <w:t>20</w:t>
      </w:r>
      <w:r w:rsidR="00046DF8">
        <w:t>4</w:t>
      </w:r>
      <w:r w:rsidRPr="00241CD0">
        <w:t xml:space="preserve"> balancing authorities, and </w:t>
      </w:r>
      <w:r w:rsidR="00C3200D">
        <w:t>2,299</w:t>
      </w:r>
      <w:r w:rsidRPr="00241CD0">
        <w:t xml:space="preserve"> regulated utilities.</w:t>
      </w:r>
    </w:p>
    <w:p w:rsidRPr="002138BC" w:rsidR="00D26CF0" w:rsidP="00681D51" w:rsidRDefault="00D26CF0" w14:paraId="06555380" w14:textId="464B7FDC">
      <w:pPr>
        <w:pStyle w:val="ListParagraph"/>
        <w:numPr>
          <w:ilvl w:val="0"/>
          <w:numId w:val="9"/>
        </w:numPr>
      </w:pPr>
      <w:r w:rsidRPr="00241CD0">
        <w:t>During year 1 to 3 – a 2.0 hour refresher trainin</w:t>
      </w:r>
      <w:r w:rsidRPr="002138BC">
        <w:t xml:space="preserve">g (to include training on the on-line form) per BA/RC and utility respondent; </w:t>
      </w:r>
      <w:r>
        <w:t>5,0</w:t>
      </w:r>
      <w:r w:rsidR="00971F32">
        <w:t>28</w:t>
      </w:r>
      <w:r w:rsidRPr="002138BC">
        <w:t xml:space="preserve"> hours.</w:t>
      </w:r>
    </w:p>
    <w:p w:rsidRPr="002138BC" w:rsidR="00D26CF0" w:rsidP="00681D51" w:rsidRDefault="00D26CF0" w14:paraId="127116C4" w14:textId="1AA9EFD2">
      <w:pPr>
        <w:pStyle w:val="ListParagraph"/>
        <w:numPr>
          <w:ilvl w:val="0"/>
          <w:numId w:val="9"/>
        </w:numPr>
      </w:pPr>
      <w:r w:rsidRPr="002138BC">
        <w:t xml:space="preserve">Total training time per year – </w:t>
      </w:r>
      <w:r>
        <w:t>5,0</w:t>
      </w:r>
      <w:r w:rsidR="00971F32">
        <w:t>28</w:t>
      </w:r>
      <w:r w:rsidRPr="002138BC">
        <w:t xml:space="preserve"> hours</w:t>
      </w:r>
    </w:p>
    <w:p w:rsidR="00D26CF0" w:rsidP="00D26CF0" w:rsidRDefault="00D26CF0" w14:paraId="178318B3" w14:textId="77777777">
      <w:pPr>
        <w:pStyle w:val="Caption"/>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Training Hours Assumptions</w:t>
      </w:r>
    </w:p>
    <w:tbl>
      <w:tblPr>
        <w:tblStyle w:val="TableGrid"/>
        <w:tblW w:w="4887" w:type="pct"/>
        <w:tblInd w:w="108" w:type="dxa"/>
        <w:tblLook w:val="04A0" w:firstRow="1" w:lastRow="0" w:firstColumn="1" w:lastColumn="0" w:noHBand="0" w:noVBand="1"/>
      </w:tblPr>
      <w:tblGrid>
        <w:gridCol w:w="3410"/>
        <w:gridCol w:w="2922"/>
        <w:gridCol w:w="2816"/>
      </w:tblGrid>
      <w:tr w:rsidRPr="00241CD0" w:rsidR="00D26CF0" w:rsidTr="00D26CF0" w14:paraId="1004F35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64" w:type="pct"/>
            <w:shd w:val="clear" w:color="auto" w:fill="D9D9D9" w:themeFill="background1" w:themeFillShade="D9"/>
          </w:tcPr>
          <w:p w:rsidRPr="00241CD0" w:rsidR="00D26CF0" w:rsidP="00D26CF0" w:rsidRDefault="00D26CF0" w14:paraId="1B57470C" w14:textId="77777777">
            <w:pPr>
              <w:jc w:val="center"/>
              <w:rPr>
                <w:b w:val="0"/>
                <w:szCs w:val="24"/>
              </w:rPr>
            </w:pPr>
            <w:r w:rsidRPr="00241CD0">
              <w:rPr>
                <w:b w:val="0"/>
                <w:szCs w:val="24"/>
              </w:rPr>
              <w:t>Total Number of Respondents</w:t>
            </w:r>
          </w:p>
        </w:tc>
        <w:tc>
          <w:tcPr>
            <w:tcW w:w="1597" w:type="pct"/>
            <w:shd w:val="clear" w:color="auto" w:fill="D9D9D9" w:themeFill="background1" w:themeFillShade="D9"/>
          </w:tcPr>
          <w:p w:rsidRPr="00241CD0" w:rsidR="00D26CF0" w:rsidP="00D26CF0" w:rsidRDefault="00D26CF0" w14:paraId="7E4D5DCA" w14:textId="77777777">
            <w:pPr>
              <w:jc w:val="center"/>
              <w:cnfStyle w:val="100000000000" w:firstRow="1" w:lastRow="0" w:firstColumn="0" w:lastColumn="0" w:oddVBand="0" w:evenVBand="0" w:oddHBand="0" w:evenHBand="0" w:firstRowFirstColumn="0" w:firstRowLastColumn="0" w:lastRowFirstColumn="0" w:lastRowLastColumn="0"/>
              <w:rPr>
                <w:b w:val="0"/>
                <w:szCs w:val="24"/>
              </w:rPr>
            </w:pPr>
            <w:r w:rsidRPr="00241CD0">
              <w:rPr>
                <w:b w:val="0"/>
                <w:szCs w:val="24"/>
              </w:rPr>
              <w:t>Training Hours Per Respondent</w:t>
            </w:r>
          </w:p>
        </w:tc>
        <w:tc>
          <w:tcPr>
            <w:tcW w:w="1539" w:type="pct"/>
            <w:shd w:val="clear" w:color="auto" w:fill="D9D9D9" w:themeFill="background1" w:themeFillShade="D9"/>
          </w:tcPr>
          <w:p w:rsidRPr="00241CD0" w:rsidR="00D26CF0" w:rsidP="00D26CF0" w:rsidRDefault="00D26CF0" w14:paraId="791404B1" w14:textId="77777777">
            <w:pPr>
              <w:jc w:val="center"/>
              <w:cnfStyle w:val="100000000000" w:firstRow="1" w:lastRow="0" w:firstColumn="0" w:lastColumn="0" w:oddVBand="0" w:evenVBand="0" w:oddHBand="0" w:evenHBand="0" w:firstRowFirstColumn="0" w:firstRowLastColumn="0" w:lastRowFirstColumn="0" w:lastRowLastColumn="0"/>
              <w:rPr>
                <w:b w:val="0"/>
                <w:szCs w:val="24"/>
              </w:rPr>
            </w:pPr>
            <w:r w:rsidRPr="00241CD0">
              <w:rPr>
                <w:b w:val="0"/>
                <w:szCs w:val="24"/>
              </w:rPr>
              <w:t>Total Training Hours</w:t>
            </w:r>
          </w:p>
        </w:tc>
      </w:tr>
      <w:tr w:rsidRPr="00241CD0" w:rsidR="00D26CF0" w:rsidTr="00D26CF0" w14:paraId="64CA45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pct"/>
          </w:tcPr>
          <w:p w:rsidRPr="00241CD0" w:rsidR="00D26CF0" w:rsidP="00D26CF0" w:rsidRDefault="00D26CF0" w14:paraId="28F70507" w14:textId="77777777">
            <w:pPr>
              <w:jc w:val="center"/>
              <w:rPr>
                <w:szCs w:val="24"/>
              </w:rPr>
            </w:pPr>
            <w:r>
              <w:rPr>
                <w:szCs w:val="24"/>
              </w:rPr>
              <w:t>2,51</w:t>
            </w:r>
            <w:r w:rsidR="00C3200D">
              <w:rPr>
                <w:szCs w:val="24"/>
              </w:rPr>
              <w:t>4</w:t>
            </w:r>
          </w:p>
        </w:tc>
        <w:tc>
          <w:tcPr>
            <w:tcW w:w="1597" w:type="pct"/>
          </w:tcPr>
          <w:p w:rsidRPr="00241CD0" w:rsidR="00D26CF0" w:rsidP="00D26CF0" w:rsidRDefault="00D26CF0" w14:paraId="2788A387" w14:textId="77777777">
            <w:pPr>
              <w:jc w:val="center"/>
              <w:cnfStyle w:val="000000100000" w:firstRow="0" w:lastRow="0" w:firstColumn="0" w:lastColumn="0" w:oddVBand="0" w:evenVBand="0" w:oddHBand="1" w:evenHBand="0" w:firstRowFirstColumn="0" w:firstRowLastColumn="0" w:lastRowFirstColumn="0" w:lastRowLastColumn="0"/>
              <w:rPr>
                <w:szCs w:val="24"/>
              </w:rPr>
            </w:pPr>
            <w:r w:rsidRPr="00241CD0">
              <w:rPr>
                <w:szCs w:val="24"/>
              </w:rPr>
              <w:t>2.0</w:t>
            </w:r>
          </w:p>
        </w:tc>
        <w:tc>
          <w:tcPr>
            <w:tcW w:w="1539" w:type="pct"/>
          </w:tcPr>
          <w:p w:rsidRPr="00241CD0" w:rsidR="00D26CF0" w:rsidP="00D26CF0" w:rsidRDefault="00C3200D" w14:paraId="3FF63E8C" w14:textId="7777777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5,028</w:t>
            </w:r>
          </w:p>
        </w:tc>
      </w:tr>
    </w:tbl>
    <w:p w:rsidRPr="00241CD0" w:rsidR="00D26CF0" w:rsidP="00D26CF0" w:rsidRDefault="00D26CF0" w14:paraId="3EE45AC8" w14:textId="77777777">
      <w:pPr>
        <w:rPr>
          <w:szCs w:val="24"/>
        </w:rPr>
      </w:pPr>
      <w:r w:rsidRPr="00241CD0">
        <w:rPr>
          <w:b/>
          <w:i/>
          <w:szCs w:val="24"/>
        </w:rPr>
        <w:t xml:space="preserve">Reporting </w:t>
      </w:r>
      <w:r w:rsidRPr="00241CD0">
        <w:rPr>
          <w:b/>
          <w:i/>
          <w:spacing w:val="-2"/>
          <w:szCs w:val="24"/>
        </w:rPr>
        <w:t>A</w:t>
      </w:r>
      <w:r w:rsidRPr="00241CD0">
        <w:rPr>
          <w:b/>
          <w:i/>
          <w:szCs w:val="24"/>
        </w:rPr>
        <w:t>ssu</w:t>
      </w:r>
      <w:r w:rsidRPr="00241CD0">
        <w:rPr>
          <w:b/>
          <w:i/>
          <w:spacing w:val="-2"/>
          <w:szCs w:val="24"/>
        </w:rPr>
        <w:t>m</w:t>
      </w:r>
      <w:r w:rsidRPr="00241CD0">
        <w:rPr>
          <w:b/>
          <w:i/>
          <w:szCs w:val="24"/>
        </w:rPr>
        <w:t>ptions</w:t>
      </w:r>
      <w:r w:rsidRPr="00241CD0">
        <w:rPr>
          <w:szCs w:val="24"/>
        </w:rPr>
        <w:t>:</w:t>
      </w:r>
    </w:p>
    <w:p w:rsidR="000B48EF" w:rsidP="00681D51" w:rsidRDefault="002251EB" w14:paraId="597B82EC" w14:textId="77777777">
      <w:pPr>
        <w:pStyle w:val="ListParagraph"/>
      </w:pPr>
      <w:r>
        <w:t>250</w:t>
      </w:r>
      <w:r w:rsidRPr="00241CD0" w:rsidR="00D26CF0">
        <w:t xml:space="preserve"> Reports per year –The burden a</w:t>
      </w:r>
      <w:r w:rsidRPr="00241CD0" w:rsidR="00D26CF0">
        <w:rPr>
          <w:spacing w:val="1"/>
        </w:rPr>
        <w:t>s</w:t>
      </w:r>
      <w:r w:rsidRPr="00241CD0" w:rsidR="00D26CF0">
        <w:t>su</w:t>
      </w:r>
      <w:r w:rsidRPr="00241CD0" w:rsidR="00D26CF0">
        <w:rPr>
          <w:spacing w:val="-2"/>
        </w:rPr>
        <w:t>m</w:t>
      </w:r>
      <w:r w:rsidRPr="00241CD0" w:rsidR="00D26CF0">
        <w:t xml:space="preserve">ed in </w:t>
      </w:r>
      <w:r w:rsidR="009252DA">
        <w:t>2017</w:t>
      </w:r>
      <w:r w:rsidRPr="00241CD0" w:rsidR="00D26CF0">
        <w:t xml:space="preserve"> OMB sub</w:t>
      </w:r>
      <w:r w:rsidRPr="00241CD0" w:rsidR="00D26CF0">
        <w:rPr>
          <w:spacing w:val="-2"/>
        </w:rPr>
        <w:t>m</w:t>
      </w:r>
      <w:r w:rsidRPr="00241CD0" w:rsidR="00D26CF0">
        <w:t xml:space="preserve">ission was </w:t>
      </w:r>
      <w:r>
        <w:t>200</w:t>
      </w:r>
      <w:r w:rsidRPr="00241CD0" w:rsidR="00D26CF0">
        <w:t xml:space="preserve"> reports annually. Based on the level of</w:t>
      </w:r>
      <w:r w:rsidRPr="00241CD0" w:rsidR="00D26CF0">
        <w:rPr>
          <w:spacing w:val="-2"/>
        </w:rPr>
        <w:t xml:space="preserve"> </w:t>
      </w:r>
      <w:r w:rsidRPr="00241CD0" w:rsidR="00D26CF0">
        <w:t>actual reporting (</w:t>
      </w:r>
      <w:r>
        <w:t>150</w:t>
      </w:r>
      <w:r w:rsidRPr="00241CD0" w:rsidR="00D26CF0">
        <w:t xml:space="preserve"> events in </w:t>
      </w:r>
      <w:r>
        <w:t>2017</w:t>
      </w:r>
      <w:r w:rsidRPr="00241CD0" w:rsidR="00D26CF0">
        <w:t xml:space="preserve">, </w:t>
      </w:r>
      <w:r>
        <w:t>220</w:t>
      </w:r>
      <w:r w:rsidRPr="00241CD0" w:rsidR="00D26CF0">
        <w:t xml:space="preserve"> events</w:t>
      </w:r>
      <w:r>
        <w:t xml:space="preserve"> in 2018, and 278 events in 2019</w:t>
      </w:r>
      <w:r w:rsidRPr="00241CD0" w:rsidR="00D26CF0">
        <w:t>) the burden esti</w:t>
      </w:r>
      <w:r w:rsidRPr="00241CD0" w:rsidR="00D26CF0">
        <w:rPr>
          <w:spacing w:val="-2"/>
        </w:rPr>
        <w:t>m</w:t>
      </w:r>
      <w:r w:rsidRPr="00241CD0" w:rsidR="00D26CF0">
        <w:t>ate has been calculated</w:t>
      </w:r>
      <w:r w:rsidRPr="00241CD0" w:rsidR="00D26CF0">
        <w:rPr>
          <w:spacing w:val="-1"/>
        </w:rPr>
        <w:t xml:space="preserve"> </w:t>
      </w:r>
      <w:r w:rsidRPr="00241CD0" w:rsidR="00D26CF0">
        <w:t>at</w:t>
      </w:r>
      <w:r w:rsidRPr="00241CD0" w:rsidR="00D26CF0">
        <w:rPr>
          <w:spacing w:val="-1"/>
        </w:rPr>
        <w:t xml:space="preserve"> </w:t>
      </w:r>
      <w:r>
        <w:t>250</w:t>
      </w:r>
      <w:r w:rsidRPr="00241CD0" w:rsidR="00D26CF0">
        <w:rPr>
          <w:spacing w:val="-1"/>
        </w:rPr>
        <w:t xml:space="preserve"> </w:t>
      </w:r>
      <w:r w:rsidRPr="00241CD0" w:rsidR="00D26CF0">
        <w:t>reports</w:t>
      </w:r>
      <w:r w:rsidRPr="00241CD0" w:rsidR="00D26CF0">
        <w:rPr>
          <w:spacing w:val="-1"/>
        </w:rPr>
        <w:t xml:space="preserve"> </w:t>
      </w:r>
      <w:r w:rsidRPr="00241CD0" w:rsidR="00D26CF0">
        <w:t>annually to accommodate normal, possible updates, and final filings for events.</w:t>
      </w:r>
      <w:r w:rsidR="00404A17">
        <w:t xml:space="preserve"> The single most common reason Form </w:t>
      </w:r>
    </w:p>
    <w:p w:rsidRPr="00A6120C" w:rsidR="00D26CF0" w:rsidP="000B48EF" w:rsidRDefault="00404A17" w14:paraId="725A7086" w14:textId="77777777">
      <w:pPr>
        <w:pStyle w:val="ListParagraph"/>
        <w:numPr>
          <w:ilvl w:val="0"/>
          <w:numId w:val="0"/>
        </w:numPr>
        <w:ind w:left="720"/>
      </w:pPr>
      <w:r>
        <w:t xml:space="preserve">OE-417 is filed by a utility is for </w:t>
      </w:r>
      <w:r w:rsidR="00A6120C">
        <w:t>weather</w:t>
      </w:r>
      <w:r>
        <w:t>/natural disaster</w:t>
      </w:r>
      <w:r w:rsidR="00A6120C">
        <w:t xml:space="preserve"> related incidents,</w:t>
      </w:r>
      <w:r>
        <w:t xml:space="preserve"> including 53% of reports filed in 2017, </w:t>
      </w:r>
      <w:r w:rsidR="00D66564">
        <w:t>46% of the incidents in 2018, and 33% of reports in 2019</w:t>
      </w:r>
      <w:r w:rsidR="00A6120C">
        <w:t>, thus</w:t>
      </w:r>
      <w:r w:rsidR="00D66564">
        <w:t xml:space="preserve"> weather/natural disasters is</w:t>
      </w:r>
      <w:r w:rsidR="00A6120C">
        <w:t xml:space="preserve"> the largest variable in annual reporting. </w:t>
      </w:r>
    </w:p>
    <w:p w:rsidRPr="00241CD0" w:rsidR="00D26CF0" w:rsidP="00681D51" w:rsidRDefault="00D26CF0" w14:paraId="129BA7E3" w14:textId="77777777">
      <w:pPr>
        <w:pStyle w:val="ListParagraph"/>
      </w:pPr>
      <w:r w:rsidRPr="00241CD0">
        <w:t xml:space="preserve">Schedule 1 - </w:t>
      </w:r>
      <w:r w:rsidR="002251EB">
        <w:t>250</w:t>
      </w:r>
      <w:r w:rsidRPr="00241CD0">
        <w:t xml:space="preserve"> reports x 10 </w:t>
      </w:r>
      <w:r w:rsidRPr="00241CD0">
        <w:rPr>
          <w:spacing w:val="-2"/>
        </w:rPr>
        <w:t>m</w:t>
      </w:r>
      <w:r w:rsidRPr="00241CD0">
        <w:rPr>
          <w:spacing w:val="2"/>
        </w:rPr>
        <w:t>i</w:t>
      </w:r>
      <w:r w:rsidRPr="00241CD0">
        <w:t xml:space="preserve">nutes = </w:t>
      </w:r>
      <w:r>
        <w:t>2</w:t>
      </w:r>
      <w:r w:rsidR="002251EB">
        <w:t>,5</w:t>
      </w:r>
      <w:r w:rsidRPr="00241CD0">
        <w:t xml:space="preserve">00 </w:t>
      </w:r>
      <w:r w:rsidRPr="00241CD0">
        <w:rPr>
          <w:spacing w:val="-2"/>
        </w:rPr>
        <w:t>m</w:t>
      </w:r>
      <w:r w:rsidRPr="00241CD0">
        <w:rPr>
          <w:spacing w:val="2"/>
        </w:rPr>
        <w:t>i</w:t>
      </w:r>
      <w:r w:rsidRPr="00241CD0">
        <w:t xml:space="preserve">nutes or </w:t>
      </w:r>
      <w:r w:rsidR="002251EB">
        <w:t>42</w:t>
      </w:r>
      <w:r w:rsidRPr="00241CD0">
        <w:t xml:space="preserve"> hours</w:t>
      </w:r>
    </w:p>
    <w:p w:rsidRPr="00241CD0" w:rsidR="00D26CF0" w:rsidP="00681D51" w:rsidRDefault="00D26CF0" w14:paraId="788475D2" w14:textId="77777777">
      <w:pPr>
        <w:pStyle w:val="ListParagraph"/>
      </w:pPr>
      <w:r w:rsidRPr="00241CD0">
        <w:t xml:space="preserve">Schedule 2 </w:t>
      </w:r>
      <w:r>
        <w:t>–</w:t>
      </w:r>
      <w:r w:rsidRPr="00241CD0">
        <w:t xml:space="preserve"> </w:t>
      </w:r>
      <w:r w:rsidR="002251EB">
        <w:t>250</w:t>
      </w:r>
      <w:r>
        <w:t xml:space="preserve"> </w:t>
      </w:r>
      <w:r w:rsidRPr="00241CD0">
        <w:t xml:space="preserve">reports x 1.5 hours = </w:t>
      </w:r>
      <w:r w:rsidR="002251EB">
        <w:t>375</w:t>
      </w:r>
      <w:r w:rsidRPr="00241CD0">
        <w:t xml:space="preserve"> hours</w:t>
      </w:r>
    </w:p>
    <w:p w:rsidRPr="005116B1" w:rsidR="00D26CF0" w:rsidP="00681D51" w:rsidRDefault="00D26CF0" w14:paraId="0CA8E8A3" w14:textId="77777777">
      <w:pPr>
        <w:pStyle w:val="ListParagraph"/>
      </w:pPr>
      <w:r w:rsidRPr="00241CD0">
        <w:t>Schedule 2 Follow-up (addition</w:t>
      </w:r>
      <w:r w:rsidRPr="005116B1">
        <w:t>al foll</w:t>
      </w:r>
      <w:r w:rsidRPr="005116B1">
        <w:rPr>
          <w:spacing w:val="-1"/>
        </w:rPr>
        <w:t>o</w:t>
      </w:r>
      <w:r w:rsidRPr="005116B1">
        <w:t>w-up for significant reports) – 2</w:t>
      </w:r>
      <w:r>
        <w:t>0</w:t>
      </w:r>
      <w:r w:rsidRPr="005116B1">
        <w:t xml:space="preserve"> respondents; 2</w:t>
      </w:r>
      <w:r>
        <w:t>0</w:t>
      </w:r>
      <w:r w:rsidRPr="005116B1">
        <w:t xml:space="preserve"> reports x </w:t>
      </w:r>
      <w:r>
        <w:t>.5</w:t>
      </w:r>
      <w:r w:rsidRPr="005116B1">
        <w:t xml:space="preserve"> hour = </w:t>
      </w:r>
      <w:r>
        <w:t>10</w:t>
      </w:r>
      <w:r w:rsidRPr="005116B1">
        <w:t xml:space="preserve"> hours</w:t>
      </w:r>
    </w:p>
    <w:p w:rsidRPr="005116B1" w:rsidR="00D26CF0" w:rsidP="00681D51" w:rsidRDefault="00D26CF0" w14:paraId="46F165B1" w14:textId="77777777">
      <w:pPr>
        <w:pStyle w:val="ListParagraph"/>
      </w:pPr>
      <w:r w:rsidRPr="00EC6062">
        <w:t>Annual total for respon</w:t>
      </w:r>
      <w:r w:rsidRPr="00EC6062">
        <w:rPr>
          <w:spacing w:val="-1"/>
        </w:rPr>
        <w:t>s</w:t>
      </w:r>
      <w:r w:rsidRPr="00EC6062">
        <w:t xml:space="preserve">es = </w:t>
      </w:r>
      <w:r w:rsidR="002251EB">
        <w:t>427</w:t>
      </w:r>
      <w:r w:rsidRPr="00EC6062">
        <w:t xml:space="preserve"> hours per year</w:t>
      </w:r>
    </w:p>
    <w:p w:rsidRPr="002138BC" w:rsidR="00D26CF0" w:rsidP="00681D51" w:rsidRDefault="00D26CF0" w14:paraId="35D72526" w14:textId="77777777">
      <w:pPr>
        <w:pStyle w:val="ListParagraph"/>
      </w:pPr>
      <w:r w:rsidRPr="002138BC">
        <w:t>Notifications to DOE about suspected or</w:t>
      </w:r>
      <w:r w:rsidRPr="002138BC">
        <w:rPr>
          <w:spacing w:val="-1"/>
        </w:rPr>
        <w:t xml:space="preserve"> </w:t>
      </w:r>
      <w:r w:rsidRPr="002138BC">
        <w:t>actual cri</w:t>
      </w:r>
      <w:r w:rsidRPr="002138BC">
        <w:rPr>
          <w:spacing w:val="-2"/>
        </w:rPr>
        <w:t>m</w:t>
      </w:r>
      <w:r w:rsidRPr="002138BC">
        <w:t>inal actions (cyber-attacks, threats, vandalis</w:t>
      </w:r>
      <w:r w:rsidRPr="002138BC">
        <w:rPr>
          <w:spacing w:val="-2"/>
        </w:rPr>
        <w:t>m</w:t>
      </w:r>
      <w:r w:rsidRPr="002138BC">
        <w:t>) are not considered accountable burden events.</w:t>
      </w:r>
      <w:r>
        <w:t xml:space="preserve"> </w:t>
      </w:r>
      <w:r w:rsidRPr="002138BC">
        <w:t>DOE has general and specific obligations for national sec</w:t>
      </w:r>
      <w:r w:rsidRPr="002138BC">
        <w:rPr>
          <w:spacing w:val="-1"/>
        </w:rPr>
        <w:t>u</w:t>
      </w:r>
      <w:r w:rsidRPr="002138BC">
        <w:t>rity and law enforce</w:t>
      </w:r>
      <w:r w:rsidRPr="002138BC">
        <w:rPr>
          <w:spacing w:val="-2"/>
        </w:rPr>
        <w:t>m</w:t>
      </w:r>
      <w:r w:rsidRPr="002138BC">
        <w:t>ent actions/support under various Presi</w:t>
      </w:r>
      <w:r w:rsidRPr="002138BC">
        <w:rPr>
          <w:spacing w:val="-3"/>
        </w:rPr>
        <w:t>d</w:t>
      </w:r>
      <w:r w:rsidRPr="002138BC">
        <w:t xml:space="preserve">ential Directives, </w:t>
      </w:r>
      <w:r w:rsidRPr="002138BC">
        <w:rPr>
          <w:spacing w:val="-2"/>
        </w:rPr>
        <w:t>m</w:t>
      </w:r>
      <w:r w:rsidRPr="002138BC">
        <w:rPr>
          <w:spacing w:val="1"/>
        </w:rPr>
        <w:t>e</w:t>
      </w:r>
      <w:r w:rsidRPr="002138BC">
        <w:rPr>
          <w:spacing w:val="-2"/>
        </w:rPr>
        <w:t>m</w:t>
      </w:r>
      <w:r w:rsidRPr="002138BC">
        <w:t>o</w:t>
      </w:r>
      <w:r w:rsidRPr="002138BC">
        <w:rPr>
          <w:spacing w:val="2"/>
        </w:rPr>
        <w:t>r</w:t>
      </w:r>
      <w:r w:rsidRPr="002138BC">
        <w:t>andum</w:t>
      </w:r>
      <w:r w:rsidRPr="002138BC">
        <w:rPr>
          <w:spacing w:val="-2"/>
        </w:rPr>
        <w:t xml:space="preserve"> </w:t>
      </w:r>
      <w:r w:rsidRPr="002138BC">
        <w:t>of agree</w:t>
      </w:r>
      <w:r w:rsidRPr="002138BC">
        <w:rPr>
          <w:spacing w:val="-2"/>
        </w:rPr>
        <w:t>m</w:t>
      </w:r>
      <w:r w:rsidRPr="002138BC">
        <w:t>ents and inter-agency understandings.</w:t>
      </w:r>
    </w:p>
    <w:p w:rsidR="00BE34E9" w:rsidRDefault="00BE34E9" w14:paraId="19B8E139" w14:textId="77777777">
      <w:pPr>
        <w:spacing w:line="240" w:lineRule="auto"/>
        <w:rPr>
          <w:b/>
          <w:bCs/>
          <w:color w:val="1396D8"/>
          <w:szCs w:val="18"/>
        </w:rPr>
      </w:pPr>
      <w:r>
        <w:br w:type="page"/>
      </w:r>
    </w:p>
    <w:p w:rsidR="00D26CF0" w:rsidP="00D26CF0" w:rsidRDefault="00D26CF0" w14:paraId="64A506F2" w14:textId="77777777">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Reporting Assumptions</w:t>
      </w:r>
    </w:p>
    <w:tbl>
      <w:tblPr>
        <w:tblStyle w:val="TableGrid"/>
        <w:tblW w:w="0" w:type="auto"/>
        <w:tblInd w:w="108" w:type="dxa"/>
        <w:tblLook w:val="04A0" w:firstRow="1" w:lastRow="0" w:firstColumn="1" w:lastColumn="0" w:noHBand="0" w:noVBand="1"/>
      </w:tblPr>
      <w:tblGrid>
        <w:gridCol w:w="1787"/>
        <w:gridCol w:w="1893"/>
        <w:gridCol w:w="1893"/>
        <w:gridCol w:w="1889"/>
        <w:gridCol w:w="1790"/>
      </w:tblGrid>
      <w:tr w:rsidRPr="009F5215" w:rsidR="00D26CF0" w:rsidTr="00D26CF0" w14:paraId="7B2A981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7" w:type="dxa"/>
            <w:shd w:val="clear" w:color="auto" w:fill="D9D9D9" w:themeFill="background1" w:themeFillShade="D9"/>
            <w:vAlign w:val="center"/>
          </w:tcPr>
          <w:p w:rsidRPr="009F5215" w:rsidR="00D26CF0" w:rsidP="00D26CF0" w:rsidRDefault="00D26CF0" w14:paraId="2A085772" w14:textId="77777777">
            <w:pPr>
              <w:jc w:val="center"/>
              <w:rPr>
                <w:b w:val="0"/>
              </w:rPr>
            </w:pPr>
            <w:r w:rsidRPr="009F5215">
              <w:rPr>
                <w:b w:val="0"/>
              </w:rPr>
              <w:t>Number of Reports</w:t>
            </w:r>
          </w:p>
        </w:tc>
        <w:tc>
          <w:tcPr>
            <w:tcW w:w="1915" w:type="dxa"/>
            <w:shd w:val="clear" w:color="auto" w:fill="D9D9D9" w:themeFill="background1" w:themeFillShade="D9"/>
            <w:vAlign w:val="center"/>
          </w:tcPr>
          <w:p w:rsidRPr="009F5215" w:rsidR="00D26CF0" w:rsidP="00D26CF0" w:rsidRDefault="00D26CF0" w14:paraId="1D0F689D" w14:textId="77777777">
            <w:pPr>
              <w:jc w:val="center"/>
              <w:cnfStyle w:val="100000000000" w:firstRow="1" w:lastRow="0" w:firstColumn="0" w:lastColumn="0" w:oddVBand="0" w:evenVBand="0" w:oddHBand="0" w:evenHBand="0" w:firstRowFirstColumn="0" w:firstRowLastColumn="0" w:lastRowFirstColumn="0" w:lastRowLastColumn="0"/>
              <w:rPr>
                <w:b w:val="0"/>
              </w:rPr>
            </w:pPr>
            <w:r>
              <w:rPr>
                <w:b w:val="0"/>
              </w:rPr>
              <w:t>H</w:t>
            </w:r>
            <w:r w:rsidRPr="009F5215">
              <w:rPr>
                <w:b w:val="0"/>
              </w:rPr>
              <w:t>ours for Schedule 1</w:t>
            </w:r>
          </w:p>
        </w:tc>
        <w:tc>
          <w:tcPr>
            <w:tcW w:w="1915" w:type="dxa"/>
            <w:shd w:val="clear" w:color="auto" w:fill="D9D9D9" w:themeFill="background1" w:themeFillShade="D9"/>
            <w:vAlign w:val="center"/>
          </w:tcPr>
          <w:p w:rsidRPr="009F5215" w:rsidR="00D26CF0" w:rsidP="00D26CF0" w:rsidRDefault="00D26CF0" w14:paraId="732D0B5A" w14:textId="77777777">
            <w:pPr>
              <w:jc w:val="center"/>
              <w:cnfStyle w:val="100000000000" w:firstRow="1" w:lastRow="0" w:firstColumn="0" w:lastColumn="0" w:oddVBand="0" w:evenVBand="0" w:oddHBand="0" w:evenHBand="0" w:firstRowFirstColumn="0" w:firstRowLastColumn="0" w:lastRowFirstColumn="0" w:lastRowLastColumn="0"/>
              <w:rPr>
                <w:b w:val="0"/>
              </w:rPr>
            </w:pPr>
            <w:r>
              <w:rPr>
                <w:b w:val="0"/>
              </w:rPr>
              <w:t>H</w:t>
            </w:r>
            <w:r w:rsidRPr="009F5215">
              <w:rPr>
                <w:b w:val="0"/>
              </w:rPr>
              <w:t>ours for Schedule 2</w:t>
            </w:r>
          </w:p>
        </w:tc>
        <w:tc>
          <w:tcPr>
            <w:tcW w:w="1915" w:type="dxa"/>
            <w:shd w:val="clear" w:color="auto" w:fill="D9D9D9" w:themeFill="background1" w:themeFillShade="D9"/>
            <w:vAlign w:val="center"/>
          </w:tcPr>
          <w:p w:rsidRPr="009F5215" w:rsidR="00D26CF0" w:rsidP="00D26CF0" w:rsidRDefault="00D26CF0" w14:paraId="22195E01"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9F5215">
              <w:rPr>
                <w:b w:val="0"/>
              </w:rPr>
              <w:t>Follow Up hours</w:t>
            </w:r>
          </w:p>
        </w:tc>
        <w:tc>
          <w:tcPr>
            <w:tcW w:w="1808" w:type="dxa"/>
            <w:shd w:val="clear" w:color="auto" w:fill="D9D9D9" w:themeFill="background1" w:themeFillShade="D9"/>
            <w:vAlign w:val="center"/>
          </w:tcPr>
          <w:p w:rsidRPr="009F5215" w:rsidR="00D26CF0" w:rsidP="00D26CF0" w:rsidRDefault="00D26CF0" w14:paraId="42380BD4"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9F5215">
              <w:rPr>
                <w:b w:val="0"/>
              </w:rPr>
              <w:t>Annual total hours for responses</w:t>
            </w:r>
          </w:p>
        </w:tc>
      </w:tr>
      <w:tr w:rsidR="00D26CF0" w:rsidTr="00D26CF0" w14:paraId="5B6B4E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rsidR="00D26CF0" w:rsidP="00D26CF0" w:rsidRDefault="002251EB" w14:paraId="2C195631" w14:textId="77777777">
            <w:pPr>
              <w:jc w:val="center"/>
            </w:pPr>
            <w:r>
              <w:t>250</w:t>
            </w:r>
          </w:p>
        </w:tc>
        <w:tc>
          <w:tcPr>
            <w:tcW w:w="1915" w:type="dxa"/>
          </w:tcPr>
          <w:p w:rsidR="00D26CF0" w:rsidP="00D26CF0" w:rsidRDefault="002251EB" w14:paraId="630C5351" w14:textId="77777777">
            <w:pPr>
              <w:jc w:val="center"/>
              <w:cnfStyle w:val="000000100000" w:firstRow="0" w:lastRow="0" w:firstColumn="0" w:lastColumn="0" w:oddVBand="0" w:evenVBand="0" w:oddHBand="1" w:evenHBand="0" w:firstRowFirstColumn="0" w:firstRowLastColumn="0" w:lastRowFirstColumn="0" w:lastRowLastColumn="0"/>
            </w:pPr>
            <w:r>
              <w:t>42</w:t>
            </w:r>
          </w:p>
        </w:tc>
        <w:tc>
          <w:tcPr>
            <w:tcW w:w="1915" w:type="dxa"/>
          </w:tcPr>
          <w:p w:rsidR="00D26CF0" w:rsidP="00D26CF0" w:rsidRDefault="002251EB" w14:paraId="6AE52922" w14:textId="77777777">
            <w:pPr>
              <w:jc w:val="center"/>
              <w:cnfStyle w:val="000000100000" w:firstRow="0" w:lastRow="0" w:firstColumn="0" w:lastColumn="0" w:oddVBand="0" w:evenVBand="0" w:oddHBand="1" w:evenHBand="0" w:firstRowFirstColumn="0" w:firstRowLastColumn="0" w:lastRowFirstColumn="0" w:lastRowLastColumn="0"/>
            </w:pPr>
            <w:r>
              <w:t>375</w:t>
            </w:r>
          </w:p>
        </w:tc>
        <w:tc>
          <w:tcPr>
            <w:tcW w:w="1915" w:type="dxa"/>
          </w:tcPr>
          <w:p w:rsidR="00D26CF0" w:rsidP="00D26CF0" w:rsidRDefault="00D26CF0" w14:paraId="7467EDF7" w14:textId="77777777">
            <w:pPr>
              <w:jc w:val="center"/>
              <w:cnfStyle w:val="000000100000" w:firstRow="0" w:lastRow="0" w:firstColumn="0" w:lastColumn="0" w:oddVBand="0" w:evenVBand="0" w:oddHBand="1" w:evenHBand="0" w:firstRowFirstColumn="0" w:firstRowLastColumn="0" w:lastRowFirstColumn="0" w:lastRowLastColumn="0"/>
            </w:pPr>
            <w:r>
              <w:t>10</w:t>
            </w:r>
          </w:p>
        </w:tc>
        <w:tc>
          <w:tcPr>
            <w:tcW w:w="1808" w:type="dxa"/>
          </w:tcPr>
          <w:p w:rsidR="00D26CF0" w:rsidP="00D26CF0" w:rsidRDefault="002251EB" w14:paraId="52211D3B" w14:textId="77777777">
            <w:pPr>
              <w:jc w:val="center"/>
              <w:cnfStyle w:val="000000100000" w:firstRow="0" w:lastRow="0" w:firstColumn="0" w:lastColumn="0" w:oddVBand="0" w:evenVBand="0" w:oddHBand="1" w:evenHBand="0" w:firstRowFirstColumn="0" w:firstRowLastColumn="0" w:lastRowFirstColumn="0" w:lastRowLastColumn="0"/>
            </w:pPr>
            <w:r>
              <w:t>427</w:t>
            </w:r>
          </w:p>
        </w:tc>
      </w:tr>
    </w:tbl>
    <w:p w:rsidR="00BE34E9" w:rsidP="00BE34E9" w:rsidRDefault="00BE34E9" w14:paraId="3E9E3EF6" w14:textId="77777777">
      <w:pPr>
        <w:spacing w:after="0"/>
      </w:pPr>
    </w:p>
    <w:p w:rsidR="00D26CF0" w:rsidP="00D26CF0" w:rsidRDefault="00D26CF0" w14:paraId="57E22EF8" w14:textId="02B92711">
      <w:r w:rsidRPr="002138BC">
        <w:t>Using the above esti</w:t>
      </w:r>
      <w:r w:rsidRPr="002138BC">
        <w:rPr>
          <w:spacing w:val="-2"/>
        </w:rPr>
        <w:t>m</w:t>
      </w:r>
      <w:r w:rsidRPr="002138BC">
        <w:t>ates, the average esti</w:t>
      </w:r>
      <w:r w:rsidRPr="002138BC">
        <w:rPr>
          <w:spacing w:val="-2"/>
        </w:rPr>
        <w:t>m</w:t>
      </w:r>
      <w:r w:rsidRPr="002138BC">
        <w:t>ated annual burden with training esti</w:t>
      </w:r>
      <w:r w:rsidRPr="002138BC">
        <w:rPr>
          <w:spacing w:val="-2"/>
        </w:rPr>
        <w:t>m</w:t>
      </w:r>
      <w:r w:rsidRPr="002138BC">
        <w:t xml:space="preserve">ates, per year, is </w:t>
      </w:r>
      <w:r>
        <w:t>5,</w:t>
      </w:r>
      <w:r w:rsidR="00463350">
        <w:t xml:space="preserve">455 </w:t>
      </w:r>
      <w:r>
        <w:t>hours (</w:t>
      </w:r>
      <w:r w:rsidR="002251EB">
        <w:t>5,</w:t>
      </w:r>
      <w:r w:rsidR="00463350">
        <w:t xml:space="preserve">028 </w:t>
      </w:r>
      <w:r w:rsidRPr="008C4477">
        <w:t xml:space="preserve">training hours </w:t>
      </w:r>
      <w:r w:rsidRPr="002138BC">
        <w:t xml:space="preserve">+ </w:t>
      </w:r>
      <w:r w:rsidR="00D26A02">
        <w:t>427</w:t>
      </w:r>
      <w:r w:rsidRPr="008C4477">
        <w:t xml:space="preserve"> </w:t>
      </w:r>
      <w:r>
        <w:t>response</w:t>
      </w:r>
      <w:r w:rsidRPr="008C4477">
        <w:t xml:space="preserve"> hours</w:t>
      </w:r>
      <w:r w:rsidRPr="002138BC">
        <w:t>).</w:t>
      </w:r>
    </w:p>
    <w:p w:rsidR="00D26CF0" w:rsidP="00D26CF0" w:rsidRDefault="00D26CF0" w14:paraId="1B30C480" w14:textId="77777777">
      <w:pPr>
        <w:pStyle w:val="Caption"/>
      </w:pPr>
      <w:r>
        <w:t>Table 3: Burden Summary Table</w:t>
      </w:r>
    </w:p>
    <w:tbl>
      <w:tblPr>
        <w:tblW w:w="9320" w:type="dxa"/>
        <w:tblLook w:val="04A0" w:firstRow="1" w:lastRow="0" w:firstColumn="1" w:lastColumn="0" w:noHBand="0" w:noVBand="1"/>
      </w:tblPr>
      <w:tblGrid>
        <w:gridCol w:w="3160"/>
        <w:gridCol w:w="1168"/>
        <w:gridCol w:w="1404"/>
        <w:gridCol w:w="1437"/>
        <w:gridCol w:w="1268"/>
        <w:gridCol w:w="883"/>
      </w:tblGrid>
      <w:tr w:rsidRPr="0005650A" w:rsidR="0005650A" w:rsidTr="0005650A" w14:paraId="34726D2B" w14:textId="77777777">
        <w:trPr>
          <w:trHeight w:val="900"/>
        </w:trPr>
        <w:tc>
          <w:tcPr>
            <w:tcW w:w="3160" w:type="dxa"/>
            <w:tcBorders>
              <w:top w:val="single" w:color="auto" w:sz="4" w:space="0"/>
              <w:left w:val="single" w:color="auto" w:sz="4" w:space="0"/>
              <w:bottom w:val="single" w:color="auto" w:sz="4" w:space="0"/>
              <w:right w:val="single" w:color="auto" w:sz="4" w:space="0"/>
            </w:tcBorders>
            <w:shd w:val="clear" w:color="000000" w:fill="44546A"/>
            <w:noWrap/>
            <w:vAlign w:val="center"/>
            <w:hideMark/>
          </w:tcPr>
          <w:p w:rsidRPr="0005650A" w:rsidR="0005650A" w:rsidP="0005650A" w:rsidRDefault="0005650A" w14:paraId="38EF2543" w14:textId="77777777">
            <w:pPr>
              <w:spacing w:after="0" w:line="240" w:lineRule="auto"/>
              <w:jc w:val="center"/>
              <w:rPr>
                <w:rFonts w:ascii="Calibri" w:hAnsi="Calibri" w:eastAsia="Times New Roman" w:cs="Times New Roman"/>
                <w:b/>
                <w:bCs/>
                <w:color w:val="FFFFFF"/>
              </w:rPr>
            </w:pPr>
            <w:r w:rsidRPr="0005650A">
              <w:rPr>
                <w:rFonts w:ascii="Calibri" w:hAnsi="Calibri" w:eastAsia="Times New Roman" w:cs="Times New Roman"/>
                <w:b/>
                <w:bCs/>
                <w:color w:val="FFFFFF"/>
              </w:rPr>
              <w:t>EIA Form Number/Title</w:t>
            </w:r>
          </w:p>
        </w:tc>
        <w:tc>
          <w:tcPr>
            <w:tcW w:w="1080" w:type="dxa"/>
            <w:tcBorders>
              <w:top w:val="single" w:color="auto" w:sz="4" w:space="0"/>
              <w:left w:val="nil"/>
              <w:bottom w:val="single" w:color="auto" w:sz="4" w:space="0"/>
              <w:right w:val="single" w:color="auto" w:sz="4" w:space="0"/>
            </w:tcBorders>
            <w:shd w:val="clear" w:color="000000" w:fill="44546A"/>
            <w:vAlign w:val="center"/>
            <w:hideMark/>
          </w:tcPr>
          <w:p w:rsidRPr="0005650A" w:rsidR="0005650A" w:rsidP="0005650A" w:rsidRDefault="0005650A" w14:paraId="49754F1C" w14:textId="77777777">
            <w:pPr>
              <w:spacing w:after="0" w:line="240" w:lineRule="auto"/>
              <w:jc w:val="center"/>
              <w:rPr>
                <w:rFonts w:ascii="Calibri" w:hAnsi="Calibri" w:eastAsia="Times New Roman" w:cs="Times New Roman"/>
                <w:b/>
                <w:bCs/>
                <w:color w:val="FFFFFF"/>
              </w:rPr>
            </w:pPr>
            <w:r w:rsidRPr="0005650A">
              <w:rPr>
                <w:rFonts w:ascii="Calibri" w:hAnsi="Calibri" w:eastAsia="Times New Roman" w:cs="Times New Roman"/>
                <w:b/>
                <w:bCs/>
                <w:color w:val="FFFFFF"/>
              </w:rPr>
              <w:t>Annual Reporting Frequency</w:t>
            </w:r>
          </w:p>
        </w:tc>
        <w:tc>
          <w:tcPr>
            <w:tcW w:w="1320" w:type="dxa"/>
            <w:tcBorders>
              <w:top w:val="single" w:color="auto" w:sz="4" w:space="0"/>
              <w:left w:val="nil"/>
              <w:bottom w:val="single" w:color="auto" w:sz="4" w:space="0"/>
              <w:right w:val="single" w:color="auto" w:sz="4" w:space="0"/>
            </w:tcBorders>
            <w:shd w:val="clear" w:color="000000" w:fill="44546A"/>
            <w:vAlign w:val="center"/>
            <w:hideMark/>
          </w:tcPr>
          <w:p w:rsidRPr="0005650A" w:rsidR="0005650A" w:rsidP="0005650A" w:rsidRDefault="0005650A" w14:paraId="3468C1DC" w14:textId="77777777">
            <w:pPr>
              <w:spacing w:after="0" w:line="240" w:lineRule="auto"/>
              <w:jc w:val="center"/>
              <w:rPr>
                <w:rFonts w:ascii="Calibri" w:hAnsi="Calibri" w:eastAsia="Times New Roman" w:cs="Times New Roman"/>
                <w:b/>
                <w:bCs/>
                <w:color w:val="FFFFFF"/>
              </w:rPr>
            </w:pPr>
            <w:r w:rsidRPr="0005650A">
              <w:rPr>
                <w:rFonts w:ascii="Calibri" w:hAnsi="Calibri" w:eastAsia="Times New Roman" w:cs="Times New Roman"/>
                <w:b/>
                <w:bCs/>
                <w:color w:val="FFFFFF"/>
              </w:rPr>
              <w:t>Number of Respondents</w:t>
            </w:r>
          </w:p>
        </w:tc>
        <w:tc>
          <w:tcPr>
            <w:tcW w:w="1600" w:type="dxa"/>
            <w:tcBorders>
              <w:top w:val="single" w:color="auto" w:sz="4" w:space="0"/>
              <w:left w:val="nil"/>
              <w:bottom w:val="single" w:color="auto" w:sz="4" w:space="0"/>
              <w:right w:val="single" w:color="auto" w:sz="4" w:space="0"/>
            </w:tcBorders>
            <w:shd w:val="clear" w:color="000000" w:fill="44546A"/>
            <w:vAlign w:val="center"/>
            <w:hideMark/>
          </w:tcPr>
          <w:p w:rsidRPr="0005650A" w:rsidR="0005650A" w:rsidP="0005650A" w:rsidRDefault="0005650A" w14:paraId="31E1E2D9" w14:textId="77777777">
            <w:pPr>
              <w:spacing w:after="0" w:line="240" w:lineRule="auto"/>
              <w:jc w:val="center"/>
              <w:rPr>
                <w:rFonts w:ascii="Calibri" w:hAnsi="Calibri" w:eastAsia="Times New Roman" w:cs="Times New Roman"/>
                <w:b/>
                <w:bCs/>
                <w:color w:val="FFFFFF"/>
              </w:rPr>
            </w:pPr>
            <w:r w:rsidRPr="0005650A">
              <w:rPr>
                <w:rFonts w:ascii="Calibri" w:hAnsi="Calibri" w:eastAsia="Times New Roman" w:cs="Times New Roman"/>
                <w:b/>
                <w:bCs/>
                <w:color w:val="FFFFFF"/>
              </w:rPr>
              <w:t>Annual Number of Responses</w:t>
            </w:r>
          </w:p>
        </w:tc>
        <w:tc>
          <w:tcPr>
            <w:tcW w:w="1380" w:type="dxa"/>
            <w:tcBorders>
              <w:top w:val="single" w:color="auto" w:sz="4" w:space="0"/>
              <w:left w:val="nil"/>
              <w:bottom w:val="single" w:color="auto" w:sz="4" w:space="0"/>
              <w:right w:val="single" w:color="auto" w:sz="4" w:space="0"/>
            </w:tcBorders>
            <w:shd w:val="clear" w:color="000000" w:fill="44546A"/>
            <w:vAlign w:val="center"/>
            <w:hideMark/>
          </w:tcPr>
          <w:p w:rsidRPr="0005650A" w:rsidR="0005650A" w:rsidP="0005650A" w:rsidRDefault="0005650A" w14:paraId="41C87513" w14:textId="77777777">
            <w:pPr>
              <w:spacing w:after="0" w:line="240" w:lineRule="auto"/>
              <w:jc w:val="center"/>
              <w:rPr>
                <w:rFonts w:ascii="Calibri" w:hAnsi="Calibri" w:eastAsia="Times New Roman" w:cs="Times New Roman"/>
                <w:b/>
                <w:bCs/>
                <w:color w:val="FFFFFF"/>
              </w:rPr>
            </w:pPr>
            <w:r w:rsidRPr="0005650A">
              <w:rPr>
                <w:rFonts w:ascii="Calibri" w:hAnsi="Calibri" w:eastAsia="Times New Roman" w:cs="Times New Roman"/>
                <w:b/>
                <w:bCs/>
                <w:color w:val="FFFFFF"/>
              </w:rPr>
              <w:t>Burden Hours Per Response</w:t>
            </w:r>
          </w:p>
        </w:tc>
        <w:tc>
          <w:tcPr>
            <w:tcW w:w="780" w:type="dxa"/>
            <w:tcBorders>
              <w:top w:val="single" w:color="auto" w:sz="4" w:space="0"/>
              <w:left w:val="nil"/>
              <w:bottom w:val="single" w:color="auto" w:sz="4" w:space="0"/>
              <w:right w:val="single" w:color="auto" w:sz="4" w:space="0"/>
            </w:tcBorders>
            <w:shd w:val="clear" w:color="000000" w:fill="44546A"/>
            <w:vAlign w:val="center"/>
            <w:hideMark/>
          </w:tcPr>
          <w:p w:rsidRPr="0005650A" w:rsidR="0005650A" w:rsidP="0005650A" w:rsidRDefault="0005650A" w14:paraId="4240365D" w14:textId="77777777">
            <w:pPr>
              <w:spacing w:after="0" w:line="240" w:lineRule="auto"/>
              <w:jc w:val="center"/>
              <w:rPr>
                <w:rFonts w:ascii="Calibri" w:hAnsi="Calibri" w:eastAsia="Times New Roman" w:cs="Times New Roman"/>
                <w:b/>
                <w:bCs/>
                <w:color w:val="FFFFFF"/>
              </w:rPr>
            </w:pPr>
            <w:r w:rsidRPr="0005650A">
              <w:rPr>
                <w:rFonts w:ascii="Calibri" w:hAnsi="Calibri" w:eastAsia="Times New Roman" w:cs="Times New Roman"/>
                <w:b/>
                <w:bCs/>
                <w:color w:val="FFFFFF"/>
              </w:rPr>
              <w:t>Annual Burden Hours</w:t>
            </w:r>
          </w:p>
        </w:tc>
      </w:tr>
      <w:tr w:rsidRPr="0005650A" w:rsidR="0005650A" w:rsidTr="0005650A" w14:paraId="17D509EB" w14:textId="77777777">
        <w:trPr>
          <w:trHeight w:val="30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05650A" w:rsidR="0005650A" w:rsidP="0005650A" w:rsidRDefault="008B2F10" w14:paraId="24D2ED3B" w14:textId="141C669C">
            <w:pPr>
              <w:spacing w:after="0" w:line="240" w:lineRule="auto"/>
              <w:rPr>
                <w:rFonts w:ascii="Calibri" w:hAnsi="Calibri" w:eastAsia="Times New Roman" w:cs="Times New Roman"/>
                <w:color w:val="000000"/>
              </w:rPr>
            </w:pPr>
            <w:r>
              <w:rPr>
                <w:rFonts w:ascii="Calibri" w:hAnsi="Calibri" w:eastAsia="Times New Roman" w:cs="Times New Roman"/>
                <w:color w:val="000000"/>
              </w:rPr>
              <w:t>OE</w:t>
            </w:r>
            <w:r w:rsidRPr="0005650A" w:rsidR="0005650A">
              <w:rPr>
                <w:rFonts w:ascii="Calibri" w:hAnsi="Calibri" w:eastAsia="Times New Roman" w:cs="Times New Roman"/>
                <w:color w:val="000000"/>
              </w:rPr>
              <w:t>-417 Schedule 1</w:t>
            </w:r>
          </w:p>
        </w:tc>
        <w:tc>
          <w:tcPr>
            <w:tcW w:w="10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4AE3A568"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1</w:t>
            </w:r>
          </w:p>
        </w:tc>
        <w:tc>
          <w:tcPr>
            <w:tcW w:w="132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1A4D70BC"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250</w:t>
            </w:r>
          </w:p>
        </w:tc>
        <w:tc>
          <w:tcPr>
            <w:tcW w:w="160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27EA89A1"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250</w:t>
            </w:r>
          </w:p>
        </w:tc>
        <w:tc>
          <w:tcPr>
            <w:tcW w:w="13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6BAEBB34"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0.17</w:t>
            </w:r>
          </w:p>
        </w:tc>
        <w:tc>
          <w:tcPr>
            <w:tcW w:w="7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2950B24D"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42</w:t>
            </w:r>
          </w:p>
        </w:tc>
      </w:tr>
      <w:tr w:rsidRPr="0005650A" w:rsidR="0005650A" w:rsidTr="0005650A" w14:paraId="067E5F79" w14:textId="77777777">
        <w:trPr>
          <w:trHeight w:val="30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05650A" w:rsidR="0005650A" w:rsidP="0005650A" w:rsidRDefault="0005650A" w14:paraId="62EA3CF5" w14:textId="20992154">
            <w:pPr>
              <w:spacing w:after="0" w:line="240" w:lineRule="auto"/>
              <w:rPr>
                <w:rFonts w:ascii="Calibri" w:hAnsi="Calibri" w:eastAsia="Times New Roman" w:cs="Times New Roman"/>
                <w:color w:val="000000"/>
              </w:rPr>
            </w:pPr>
            <w:r w:rsidRPr="0005650A">
              <w:rPr>
                <w:rFonts w:ascii="Calibri" w:hAnsi="Calibri" w:eastAsia="Times New Roman" w:cs="Times New Roman"/>
                <w:color w:val="000000"/>
              </w:rPr>
              <w:t>OE-417 Schedule 2</w:t>
            </w:r>
          </w:p>
        </w:tc>
        <w:tc>
          <w:tcPr>
            <w:tcW w:w="10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4F3172DF"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1</w:t>
            </w:r>
          </w:p>
        </w:tc>
        <w:tc>
          <w:tcPr>
            <w:tcW w:w="132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3710B61F"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250</w:t>
            </w:r>
          </w:p>
        </w:tc>
        <w:tc>
          <w:tcPr>
            <w:tcW w:w="160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17278653"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250</w:t>
            </w:r>
          </w:p>
        </w:tc>
        <w:tc>
          <w:tcPr>
            <w:tcW w:w="13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6258E76E"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1.50</w:t>
            </w:r>
          </w:p>
        </w:tc>
        <w:tc>
          <w:tcPr>
            <w:tcW w:w="7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07B35988"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375</w:t>
            </w:r>
          </w:p>
        </w:tc>
      </w:tr>
      <w:tr w:rsidRPr="0005650A" w:rsidR="0005650A" w:rsidTr="0005650A" w14:paraId="4678B6A2" w14:textId="77777777">
        <w:trPr>
          <w:trHeight w:val="30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05650A" w:rsidR="0005650A" w:rsidP="0005650A" w:rsidRDefault="0005650A" w14:paraId="392146C0" w14:textId="2DA055E7">
            <w:pPr>
              <w:spacing w:after="0" w:line="240" w:lineRule="auto"/>
              <w:rPr>
                <w:rFonts w:ascii="Calibri" w:hAnsi="Calibri" w:eastAsia="Times New Roman" w:cs="Times New Roman"/>
                <w:color w:val="000000"/>
              </w:rPr>
            </w:pPr>
            <w:r w:rsidRPr="0005650A">
              <w:rPr>
                <w:rFonts w:ascii="Calibri" w:hAnsi="Calibri" w:eastAsia="Times New Roman" w:cs="Times New Roman"/>
                <w:color w:val="000000"/>
              </w:rPr>
              <w:t>OE-417 Schedule 2 (Follow-Up)</w:t>
            </w:r>
          </w:p>
        </w:tc>
        <w:tc>
          <w:tcPr>
            <w:tcW w:w="10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4CA40A84"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1</w:t>
            </w:r>
          </w:p>
        </w:tc>
        <w:tc>
          <w:tcPr>
            <w:tcW w:w="132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4C3450D4"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20</w:t>
            </w:r>
          </w:p>
        </w:tc>
        <w:tc>
          <w:tcPr>
            <w:tcW w:w="160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0E0DBDEB"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20</w:t>
            </w:r>
          </w:p>
        </w:tc>
        <w:tc>
          <w:tcPr>
            <w:tcW w:w="13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403B9F3C"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0.50</w:t>
            </w:r>
          </w:p>
        </w:tc>
        <w:tc>
          <w:tcPr>
            <w:tcW w:w="7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4A58A9D9"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10</w:t>
            </w:r>
          </w:p>
        </w:tc>
      </w:tr>
      <w:tr w:rsidRPr="0005650A" w:rsidR="0005650A" w:rsidTr="0005650A" w14:paraId="4392C5E5" w14:textId="77777777">
        <w:trPr>
          <w:trHeight w:val="30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05650A" w:rsidR="0005650A" w:rsidP="0005650A" w:rsidRDefault="0005650A" w14:paraId="200345A9" w14:textId="77777777">
            <w:pPr>
              <w:spacing w:after="0" w:line="240" w:lineRule="auto"/>
              <w:rPr>
                <w:rFonts w:ascii="Calibri" w:hAnsi="Calibri" w:eastAsia="Times New Roman" w:cs="Times New Roman"/>
                <w:color w:val="000000"/>
              </w:rPr>
            </w:pPr>
            <w:r w:rsidRPr="0005650A">
              <w:rPr>
                <w:rFonts w:ascii="Calibri" w:hAnsi="Calibri" w:eastAsia="Times New Roman" w:cs="Times New Roman"/>
                <w:color w:val="000000"/>
              </w:rPr>
              <w:t xml:space="preserve">Training </w:t>
            </w:r>
          </w:p>
        </w:tc>
        <w:tc>
          <w:tcPr>
            <w:tcW w:w="10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389431F2"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1</w:t>
            </w:r>
          </w:p>
        </w:tc>
        <w:tc>
          <w:tcPr>
            <w:tcW w:w="132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284CEAAE"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2,51</w:t>
            </w:r>
            <w:r w:rsidR="00C3200D">
              <w:rPr>
                <w:rFonts w:ascii="Calibri" w:hAnsi="Calibri" w:eastAsia="Times New Roman" w:cs="Times New Roman"/>
                <w:color w:val="000000"/>
              </w:rPr>
              <w:t>4</w:t>
            </w:r>
          </w:p>
        </w:tc>
        <w:tc>
          <w:tcPr>
            <w:tcW w:w="160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29D3DFEB"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2,51</w:t>
            </w:r>
            <w:r w:rsidR="00C3200D">
              <w:rPr>
                <w:rFonts w:ascii="Calibri" w:hAnsi="Calibri" w:eastAsia="Times New Roman" w:cs="Times New Roman"/>
                <w:color w:val="000000"/>
              </w:rPr>
              <w:t>4</w:t>
            </w:r>
          </w:p>
        </w:tc>
        <w:tc>
          <w:tcPr>
            <w:tcW w:w="1380" w:type="dxa"/>
            <w:tcBorders>
              <w:top w:val="nil"/>
              <w:left w:val="nil"/>
              <w:bottom w:val="single" w:color="auto" w:sz="4" w:space="0"/>
              <w:right w:val="single" w:color="auto" w:sz="4" w:space="0"/>
            </w:tcBorders>
            <w:shd w:val="clear" w:color="auto" w:fill="auto"/>
            <w:vAlign w:val="bottom"/>
            <w:hideMark/>
          </w:tcPr>
          <w:p w:rsidRPr="0005650A" w:rsidR="0005650A" w:rsidP="0005650A" w:rsidRDefault="0005650A" w14:paraId="4041F185" w14:textId="77777777">
            <w:pPr>
              <w:spacing w:after="0" w:line="240" w:lineRule="auto"/>
              <w:jc w:val="right"/>
              <w:rPr>
                <w:rFonts w:ascii="Calibri" w:hAnsi="Calibri" w:eastAsia="Times New Roman" w:cs="Times New Roman"/>
                <w:color w:val="000000"/>
              </w:rPr>
            </w:pPr>
            <w:r w:rsidRPr="0005650A">
              <w:rPr>
                <w:rFonts w:ascii="Calibri" w:hAnsi="Calibri" w:eastAsia="Times New Roman" w:cs="Times New Roman"/>
                <w:color w:val="000000"/>
              </w:rPr>
              <w:t>2.00</w:t>
            </w:r>
          </w:p>
        </w:tc>
        <w:tc>
          <w:tcPr>
            <w:tcW w:w="780" w:type="dxa"/>
            <w:tcBorders>
              <w:top w:val="nil"/>
              <w:left w:val="nil"/>
              <w:bottom w:val="single" w:color="auto" w:sz="4" w:space="0"/>
              <w:right w:val="single" w:color="auto" w:sz="4" w:space="0"/>
            </w:tcBorders>
            <w:shd w:val="clear" w:color="auto" w:fill="auto"/>
            <w:vAlign w:val="bottom"/>
            <w:hideMark/>
          </w:tcPr>
          <w:p w:rsidRPr="0005650A" w:rsidR="0005650A" w:rsidP="00463350" w:rsidRDefault="00C3200D" w14:paraId="3CDB492B" w14:textId="7B0C5635">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5,</w:t>
            </w:r>
            <w:r w:rsidR="007746E6">
              <w:rPr>
                <w:rFonts w:ascii="Calibri" w:hAnsi="Calibri" w:eastAsia="Times New Roman" w:cs="Times New Roman"/>
                <w:color w:val="000000"/>
              </w:rPr>
              <w:t>0</w:t>
            </w:r>
            <w:r w:rsidR="00463350">
              <w:rPr>
                <w:rFonts w:ascii="Calibri" w:hAnsi="Calibri" w:eastAsia="Times New Roman" w:cs="Times New Roman"/>
                <w:color w:val="000000"/>
              </w:rPr>
              <w:t>28</w:t>
            </w:r>
          </w:p>
        </w:tc>
      </w:tr>
      <w:tr w:rsidRPr="0005650A" w:rsidR="0005650A" w:rsidTr="0005650A" w14:paraId="7CAD72ED" w14:textId="77777777">
        <w:trPr>
          <w:trHeight w:val="300"/>
        </w:trPr>
        <w:tc>
          <w:tcPr>
            <w:tcW w:w="3160" w:type="dxa"/>
            <w:tcBorders>
              <w:top w:val="nil"/>
              <w:left w:val="single" w:color="auto" w:sz="4" w:space="0"/>
              <w:bottom w:val="single" w:color="auto" w:sz="4" w:space="0"/>
              <w:right w:val="single" w:color="auto" w:sz="4" w:space="0"/>
            </w:tcBorders>
            <w:shd w:val="clear" w:color="000000" w:fill="E7E6E6"/>
            <w:noWrap/>
            <w:vAlign w:val="bottom"/>
            <w:hideMark/>
          </w:tcPr>
          <w:p w:rsidRPr="0005650A" w:rsidR="0005650A" w:rsidP="0005650A" w:rsidRDefault="0005650A" w14:paraId="70BEC2C5" w14:textId="77777777">
            <w:pPr>
              <w:spacing w:after="0" w:line="240" w:lineRule="auto"/>
              <w:rPr>
                <w:rFonts w:ascii="Calibri" w:hAnsi="Calibri" w:eastAsia="Times New Roman" w:cs="Times New Roman"/>
                <w:b/>
                <w:bCs/>
                <w:color w:val="000000"/>
              </w:rPr>
            </w:pPr>
            <w:r w:rsidRPr="0005650A">
              <w:rPr>
                <w:rFonts w:ascii="Calibri" w:hAnsi="Calibri" w:eastAsia="Times New Roman" w:cs="Times New Roman"/>
                <w:b/>
                <w:bCs/>
                <w:color w:val="000000"/>
              </w:rPr>
              <w:t>Total</w:t>
            </w:r>
          </w:p>
        </w:tc>
        <w:tc>
          <w:tcPr>
            <w:tcW w:w="1080" w:type="dxa"/>
            <w:tcBorders>
              <w:top w:val="nil"/>
              <w:left w:val="nil"/>
              <w:bottom w:val="single" w:color="auto" w:sz="4" w:space="0"/>
              <w:right w:val="single" w:color="auto" w:sz="4" w:space="0"/>
            </w:tcBorders>
            <w:shd w:val="clear" w:color="000000" w:fill="595959"/>
            <w:vAlign w:val="bottom"/>
            <w:hideMark/>
          </w:tcPr>
          <w:p w:rsidRPr="0005650A" w:rsidR="0005650A" w:rsidP="0005650A" w:rsidRDefault="0005650A" w14:paraId="614304F0" w14:textId="77777777">
            <w:pPr>
              <w:spacing w:after="0" w:line="240" w:lineRule="auto"/>
              <w:rPr>
                <w:rFonts w:ascii="Calibri" w:hAnsi="Calibri" w:eastAsia="Times New Roman" w:cs="Times New Roman"/>
                <w:b/>
                <w:bCs/>
                <w:color w:val="000000"/>
              </w:rPr>
            </w:pPr>
            <w:r w:rsidRPr="0005650A">
              <w:rPr>
                <w:rFonts w:ascii="Calibri" w:hAnsi="Calibri" w:eastAsia="Times New Roman" w:cs="Times New Roman"/>
                <w:b/>
                <w:bCs/>
                <w:color w:val="000000"/>
              </w:rPr>
              <w:t> </w:t>
            </w:r>
          </w:p>
        </w:tc>
        <w:tc>
          <w:tcPr>
            <w:tcW w:w="1320" w:type="dxa"/>
            <w:tcBorders>
              <w:top w:val="nil"/>
              <w:left w:val="nil"/>
              <w:bottom w:val="single" w:color="auto" w:sz="4" w:space="0"/>
              <w:right w:val="single" w:color="auto" w:sz="4" w:space="0"/>
            </w:tcBorders>
            <w:shd w:val="clear" w:color="000000" w:fill="E7E6E6"/>
            <w:vAlign w:val="bottom"/>
            <w:hideMark/>
          </w:tcPr>
          <w:p w:rsidRPr="0005650A" w:rsidR="0005650A" w:rsidP="0005650A" w:rsidRDefault="0005650A" w14:paraId="63215150" w14:textId="77777777">
            <w:pPr>
              <w:spacing w:after="0" w:line="240" w:lineRule="auto"/>
              <w:jc w:val="right"/>
              <w:rPr>
                <w:rFonts w:ascii="Calibri" w:hAnsi="Calibri" w:eastAsia="Times New Roman" w:cs="Times New Roman"/>
                <w:b/>
                <w:bCs/>
                <w:color w:val="000000"/>
              </w:rPr>
            </w:pPr>
            <w:r w:rsidRPr="0005650A">
              <w:rPr>
                <w:rFonts w:ascii="Calibri" w:hAnsi="Calibri" w:eastAsia="Times New Roman" w:cs="Times New Roman"/>
                <w:b/>
                <w:bCs/>
                <w:color w:val="000000"/>
              </w:rPr>
              <w:t>3,03</w:t>
            </w:r>
            <w:r w:rsidR="00C3200D">
              <w:rPr>
                <w:rFonts w:ascii="Calibri" w:hAnsi="Calibri" w:eastAsia="Times New Roman" w:cs="Times New Roman"/>
                <w:b/>
                <w:bCs/>
                <w:color w:val="000000"/>
              </w:rPr>
              <w:t>4</w:t>
            </w:r>
          </w:p>
        </w:tc>
        <w:tc>
          <w:tcPr>
            <w:tcW w:w="1600" w:type="dxa"/>
            <w:tcBorders>
              <w:top w:val="nil"/>
              <w:left w:val="nil"/>
              <w:bottom w:val="single" w:color="auto" w:sz="4" w:space="0"/>
              <w:right w:val="single" w:color="auto" w:sz="4" w:space="0"/>
            </w:tcBorders>
            <w:shd w:val="clear" w:color="000000" w:fill="E7E6E6"/>
            <w:vAlign w:val="bottom"/>
            <w:hideMark/>
          </w:tcPr>
          <w:p w:rsidRPr="0005650A" w:rsidR="0005650A" w:rsidP="0005650A" w:rsidRDefault="00C3200D" w14:paraId="10395A02" w14:textId="77777777">
            <w:pPr>
              <w:spacing w:after="0" w:line="240" w:lineRule="auto"/>
              <w:jc w:val="right"/>
              <w:rPr>
                <w:rFonts w:ascii="Calibri" w:hAnsi="Calibri" w:eastAsia="Times New Roman" w:cs="Times New Roman"/>
                <w:b/>
                <w:bCs/>
                <w:color w:val="000000"/>
              </w:rPr>
            </w:pPr>
            <w:r>
              <w:rPr>
                <w:rFonts w:ascii="Calibri" w:hAnsi="Calibri" w:eastAsia="Times New Roman" w:cs="Times New Roman"/>
                <w:b/>
                <w:bCs/>
                <w:color w:val="000000"/>
              </w:rPr>
              <w:t>3,034</w:t>
            </w:r>
          </w:p>
        </w:tc>
        <w:tc>
          <w:tcPr>
            <w:tcW w:w="1380" w:type="dxa"/>
            <w:tcBorders>
              <w:top w:val="nil"/>
              <w:left w:val="nil"/>
              <w:bottom w:val="single" w:color="auto" w:sz="4" w:space="0"/>
              <w:right w:val="single" w:color="auto" w:sz="4" w:space="0"/>
            </w:tcBorders>
            <w:shd w:val="clear" w:color="000000" w:fill="595959"/>
            <w:vAlign w:val="bottom"/>
            <w:hideMark/>
          </w:tcPr>
          <w:p w:rsidRPr="0005650A" w:rsidR="0005650A" w:rsidP="0005650A" w:rsidRDefault="0005650A" w14:paraId="033EC071" w14:textId="77777777">
            <w:pPr>
              <w:spacing w:after="0" w:line="240" w:lineRule="auto"/>
              <w:rPr>
                <w:rFonts w:ascii="Calibri" w:hAnsi="Calibri" w:eastAsia="Times New Roman" w:cs="Times New Roman"/>
                <w:b/>
                <w:bCs/>
                <w:color w:val="000000"/>
              </w:rPr>
            </w:pPr>
            <w:r w:rsidRPr="0005650A">
              <w:rPr>
                <w:rFonts w:ascii="Calibri" w:hAnsi="Calibri" w:eastAsia="Times New Roman" w:cs="Times New Roman"/>
                <w:b/>
                <w:bCs/>
                <w:color w:val="000000"/>
              </w:rPr>
              <w:t> </w:t>
            </w:r>
          </w:p>
        </w:tc>
        <w:tc>
          <w:tcPr>
            <w:tcW w:w="780" w:type="dxa"/>
            <w:tcBorders>
              <w:top w:val="nil"/>
              <w:left w:val="nil"/>
              <w:bottom w:val="single" w:color="auto" w:sz="4" w:space="0"/>
              <w:right w:val="single" w:color="auto" w:sz="4" w:space="0"/>
            </w:tcBorders>
            <w:shd w:val="clear" w:color="000000" w:fill="E7E6E6"/>
            <w:vAlign w:val="bottom"/>
            <w:hideMark/>
          </w:tcPr>
          <w:p w:rsidRPr="0005650A" w:rsidR="0005650A" w:rsidP="00463350" w:rsidRDefault="00C3200D" w14:paraId="19696DFE" w14:textId="2354208C">
            <w:pPr>
              <w:spacing w:after="0" w:line="240" w:lineRule="auto"/>
              <w:jc w:val="right"/>
              <w:rPr>
                <w:rFonts w:ascii="Calibri" w:hAnsi="Calibri" w:eastAsia="Times New Roman" w:cs="Times New Roman"/>
                <w:b/>
                <w:bCs/>
                <w:color w:val="000000"/>
              </w:rPr>
            </w:pPr>
            <w:r>
              <w:rPr>
                <w:rFonts w:ascii="Calibri" w:hAnsi="Calibri" w:eastAsia="Times New Roman" w:cs="Times New Roman"/>
                <w:b/>
                <w:bCs/>
                <w:color w:val="000000"/>
              </w:rPr>
              <w:t>5,</w:t>
            </w:r>
            <w:r w:rsidR="007746E6">
              <w:rPr>
                <w:rFonts w:ascii="Calibri" w:hAnsi="Calibri" w:eastAsia="Times New Roman" w:cs="Times New Roman"/>
                <w:b/>
                <w:bCs/>
                <w:color w:val="000000"/>
              </w:rPr>
              <w:t>45</w:t>
            </w:r>
            <w:r w:rsidR="00463350">
              <w:rPr>
                <w:rFonts w:ascii="Calibri" w:hAnsi="Calibri" w:eastAsia="Times New Roman" w:cs="Times New Roman"/>
                <w:b/>
                <w:bCs/>
                <w:color w:val="000000"/>
              </w:rPr>
              <w:t>5</w:t>
            </w:r>
          </w:p>
        </w:tc>
      </w:tr>
    </w:tbl>
    <w:p w:rsidR="00D26A02" w:rsidP="00D26CF0" w:rsidRDefault="00D26A02" w14:paraId="251EF425" w14:textId="77777777"/>
    <w:p w:rsidRPr="00AC7AAA" w:rsidR="00D26CF0" w:rsidP="00D26CF0" w:rsidRDefault="00D26CF0" w14:paraId="2F8907A2" w14:textId="51457587">
      <w:r w:rsidRPr="00AC7AAA">
        <w:t>The esti</w:t>
      </w:r>
      <w:r w:rsidRPr="00AC7AAA">
        <w:rPr>
          <w:spacing w:val="-2"/>
        </w:rPr>
        <w:t>m</w:t>
      </w:r>
      <w:r w:rsidRPr="00AC7AAA">
        <w:t>ated annual cost to all co</w:t>
      </w:r>
      <w:r w:rsidRPr="00AC7AAA">
        <w:rPr>
          <w:spacing w:val="-2"/>
        </w:rPr>
        <w:t>m</w:t>
      </w:r>
      <w:r w:rsidRPr="00AC7AAA">
        <w:t>bined</w:t>
      </w:r>
      <w:r w:rsidRPr="00AC7AAA">
        <w:rPr>
          <w:spacing w:val="-1"/>
        </w:rPr>
        <w:t xml:space="preserve"> </w:t>
      </w:r>
      <w:r w:rsidRPr="00AC7AAA">
        <w:t>respondents of the reporting burden is $</w:t>
      </w:r>
      <w:r w:rsidRPr="00690BA4" w:rsidR="00690BA4">
        <w:t>437,</w:t>
      </w:r>
      <w:r w:rsidR="00463350">
        <w:t>163.70</w:t>
      </w:r>
      <w:r w:rsidR="00690BA4">
        <w:t xml:space="preserve"> </w:t>
      </w:r>
      <w:r>
        <w:t>(5,</w:t>
      </w:r>
      <w:r w:rsidR="007746E6">
        <w:t>45</w:t>
      </w:r>
      <w:r w:rsidR="00463350">
        <w:t>5</w:t>
      </w:r>
      <w:r w:rsidR="007746E6">
        <w:t xml:space="preserve"> </w:t>
      </w:r>
      <w:r>
        <w:t>hours x $</w:t>
      </w:r>
      <w:r w:rsidR="0038402C">
        <w:t>80.14</w:t>
      </w:r>
      <w:r>
        <w:t xml:space="preserve">) </w:t>
      </w:r>
    </w:p>
    <w:p w:rsidR="00D26CF0" w:rsidP="00D26CF0" w:rsidRDefault="00D26CF0" w14:paraId="36F6A3AD" w14:textId="77777777">
      <w:r w:rsidRPr="002138BC">
        <w:t>There are no</w:t>
      </w:r>
      <w:r>
        <w:t xml:space="preserve"> capital or</w:t>
      </w:r>
      <w:r w:rsidRPr="002138BC">
        <w:t xml:space="preserve"> start-up cost</w:t>
      </w:r>
      <w:r>
        <w:t>s</w:t>
      </w:r>
      <w:r w:rsidRPr="002138BC">
        <w:t xml:space="preserve"> associated </w:t>
      </w:r>
      <w:r w:rsidRPr="002138BC">
        <w:rPr>
          <w:spacing w:val="-2"/>
        </w:rPr>
        <w:t>w</w:t>
      </w:r>
      <w:r w:rsidRPr="002138BC">
        <w:t>ith this data collection</w:t>
      </w:r>
      <w:r>
        <w:t xml:space="preserve"> for reporting and record keeping</w:t>
      </w:r>
      <w:r w:rsidRPr="002138BC">
        <w:t xml:space="preserve">. </w:t>
      </w:r>
      <w:r w:rsidRPr="002138BC">
        <w:rPr>
          <w:spacing w:val="-1"/>
        </w:rPr>
        <w:t>T</w:t>
      </w:r>
      <w:r w:rsidRPr="002138BC">
        <w:t>he inf</w:t>
      </w:r>
      <w:r w:rsidRPr="002138BC">
        <w:rPr>
          <w:spacing w:val="1"/>
        </w:rPr>
        <w:t>o</w:t>
      </w:r>
      <w:r w:rsidRPr="002138BC">
        <w:t>r</w:t>
      </w:r>
      <w:r w:rsidRPr="002138BC">
        <w:rPr>
          <w:spacing w:val="-2"/>
        </w:rPr>
        <w:t>m</w:t>
      </w:r>
      <w:r w:rsidRPr="002138BC">
        <w:t xml:space="preserve">ation </w:t>
      </w:r>
      <w:r>
        <w:t>collected on Form OE-417 i</w:t>
      </w:r>
      <w:r w:rsidRPr="002138BC">
        <w:t>s</w:t>
      </w:r>
      <w:r>
        <w:t xml:space="preserve"> information that is collected and</w:t>
      </w:r>
      <w:r w:rsidRPr="002138BC">
        <w:t xml:space="preserve"> </w:t>
      </w:r>
      <w:r w:rsidRPr="002138BC">
        <w:rPr>
          <w:spacing w:val="-2"/>
        </w:rPr>
        <w:t>m</w:t>
      </w:r>
      <w:r w:rsidRPr="002138BC">
        <w:t xml:space="preserve">aintained </w:t>
      </w:r>
      <w:r>
        <w:t xml:space="preserve">by electric power producers </w:t>
      </w:r>
      <w:r w:rsidRPr="002138BC">
        <w:t>in the</w:t>
      </w:r>
      <w:r>
        <w:t>ir</w:t>
      </w:r>
      <w:r w:rsidRPr="002138BC">
        <w:t xml:space="preserve"> nor</w:t>
      </w:r>
      <w:r w:rsidRPr="002138BC">
        <w:rPr>
          <w:spacing w:val="-2"/>
        </w:rPr>
        <w:t>m</w:t>
      </w:r>
      <w:r w:rsidRPr="002138BC">
        <w:t>al course of business</w:t>
      </w:r>
      <w:r>
        <w:t>.</w:t>
      </w:r>
      <w:r w:rsidRPr="002138BC">
        <w:t xml:space="preserve"> Therefore, </w:t>
      </w:r>
      <w:r w:rsidRPr="002138BC">
        <w:rPr>
          <w:spacing w:val="-1"/>
        </w:rPr>
        <w:t>o</w:t>
      </w:r>
      <w:r w:rsidRPr="002138BC">
        <w:rPr>
          <w:spacing w:val="1"/>
        </w:rPr>
        <w:t>t</w:t>
      </w:r>
      <w:r w:rsidRPr="002138BC">
        <w:t>her than bur</w:t>
      </w:r>
      <w:r w:rsidRPr="002138BC">
        <w:rPr>
          <w:spacing w:val="-1"/>
        </w:rPr>
        <w:t>d</w:t>
      </w:r>
      <w:r w:rsidRPr="002138BC">
        <w:t>en hours</w:t>
      </w:r>
      <w:r>
        <w:t xml:space="preserve"> </w:t>
      </w:r>
      <w:r w:rsidRPr="002138BC">
        <w:t>t</w:t>
      </w:r>
      <w:r w:rsidRPr="002138BC">
        <w:rPr>
          <w:spacing w:val="-1"/>
        </w:rPr>
        <w:t>h</w:t>
      </w:r>
      <w:r w:rsidRPr="002138BC">
        <w:t>ere are no additio</w:t>
      </w:r>
      <w:r w:rsidRPr="002138BC">
        <w:rPr>
          <w:spacing w:val="-1"/>
        </w:rPr>
        <w:t>n</w:t>
      </w:r>
      <w:r w:rsidRPr="002138BC">
        <w:t>al c</w:t>
      </w:r>
      <w:r w:rsidRPr="002138BC">
        <w:rPr>
          <w:spacing w:val="-1"/>
        </w:rPr>
        <w:t>o</w:t>
      </w:r>
      <w:r w:rsidRPr="002138BC">
        <w:t xml:space="preserve">sts for </w:t>
      </w:r>
      <w:r>
        <w:t>annual reporting and record keeping</w:t>
      </w:r>
      <w:r w:rsidRPr="002138BC">
        <w:t>.</w:t>
      </w:r>
      <w:r>
        <w:t xml:space="preserve"> </w:t>
      </w:r>
    </w:p>
    <w:p w:rsidR="00D26CF0" w:rsidP="00D26CF0" w:rsidRDefault="00D26CF0" w14:paraId="2EF1E4D0" w14:textId="77777777">
      <w:pPr>
        <w:rPr>
          <w:b/>
          <w:bCs/>
        </w:rPr>
      </w:pPr>
      <w:r w:rsidRPr="00AC7AAA">
        <w:t>An avera</w:t>
      </w:r>
      <w:r w:rsidRPr="00AC7AAA">
        <w:rPr>
          <w:spacing w:val="-1"/>
        </w:rPr>
        <w:t>g</w:t>
      </w:r>
      <w:r w:rsidRPr="00AC7AAA">
        <w:t>e cost per h</w:t>
      </w:r>
      <w:r w:rsidRPr="00AC7AAA">
        <w:rPr>
          <w:spacing w:val="-1"/>
        </w:rPr>
        <w:t>o</w:t>
      </w:r>
      <w:r w:rsidRPr="00AC7AAA">
        <w:t xml:space="preserve">ur of </w:t>
      </w:r>
      <w:r>
        <w:t>$</w:t>
      </w:r>
      <w:r w:rsidR="00711D5C">
        <w:t>80.14</w:t>
      </w:r>
      <w:r>
        <w:t xml:space="preserve"> </w:t>
      </w:r>
      <w:r w:rsidRPr="00AC7AAA">
        <w:t>is used because that is t</w:t>
      </w:r>
      <w:r w:rsidRPr="00AC7AAA">
        <w:rPr>
          <w:spacing w:val="-1"/>
        </w:rPr>
        <w:t>h</w:t>
      </w:r>
      <w:r w:rsidRPr="00AC7AAA">
        <w:t>e average loa</w:t>
      </w:r>
      <w:r w:rsidRPr="00AC7AAA">
        <w:rPr>
          <w:spacing w:val="-1"/>
        </w:rPr>
        <w:t>d</w:t>
      </w:r>
      <w:r w:rsidRPr="00AC7AAA">
        <w:t xml:space="preserve">ed (salary </w:t>
      </w:r>
      <w:r w:rsidRPr="00AC7AAA">
        <w:rPr>
          <w:spacing w:val="-1"/>
        </w:rPr>
        <w:t>pl</w:t>
      </w:r>
      <w:r w:rsidRPr="00AC7AAA">
        <w:t>us benefits) cost for a DOE e</w:t>
      </w:r>
      <w:r w:rsidRPr="00AC7AAA">
        <w:rPr>
          <w:spacing w:val="-2"/>
        </w:rPr>
        <w:t>m</w:t>
      </w:r>
      <w:r w:rsidRPr="00AC7AAA">
        <w:t>ployee. DOE as</w:t>
      </w:r>
      <w:r w:rsidRPr="002138BC">
        <w:t>su</w:t>
      </w:r>
      <w:r w:rsidRPr="002138BC">
        <w:rPr>
          <w:spacing w:val="-2"/>
        </w:rPr>
        <w:t>m</w:t>
      </w:r>
      <w:r w:rsidRPr="002138BC">
        <w:t>es that the survey respondent workforce co</w:t>
      </w:r>
      <w:r w:rsidRPr="002138BC">
        <w:rPr>
          <w:spacing w:val="-2"/>
        </w:rPr>
        <w:t>m</w:t>
      </w:r>
      <w:r w:rsidRPr="002138BC">
        <w:t xml:space="preserve">pleting </w:t>
      </w:r>
      <w:r>
        <w:t>Form O</w:t>
      </w:r>
      <w:r w:rsidRPr="002138BC">
        <w:t>E-417 is comparable with the DOE workforce.</w:t>
      </w:r>
    </w:p>
    <w:p w:rsidR="00F056C3" w:rsidP="005B75A6" w:rsidRDefault="00F056C3" w14:paraId="10E3C58C" w14:textId="77777777">
      <w:pPr>
        <w:pStyle w:val="Heading2"/>
      </w:pPr>
      <w:bookmarkStart w:name="_Toc492634213" w:id="18"/>
      <w:r>
        <w:t>A.</w:t>
      </w:r>
      <w:r w:rsidRPr="00A41763" w:rsidR="00A41763">
        <w:t xml:space="preserve">13. </w:t>
      </w:r>
      <w:r w:rsidRPr="00F056C3">
        <w:t>Annual Cost to the Federal Government</w:t>
      </w:r>
      <w:bookmarkEnd w:id="18"/>
    </w:p>
    <w:p w:rsidRPr="004B722B" w:rsidR="009252DA" w:rsidP="009252DA" w:rsidRDefault="009252DA" w14:paraId="0D1E585D" w14:textId="33711948">
      <w:bookmarkStart w:name="_Toc492634214" w:id="19"/>
      <w:r w:rsidRPr="002138BC">
        <w:t>The annual costs</w:t>
      </w:r>
      <w:r>
        <w:t xml:space="preserve"> based on contractor invoices</w:t>
      </w:r>
      <w:r w:rsidRPr="002138BC">
        <w:t>, includ</w:t>
      </w:r>
      <w:r w:rsidRPr="002138BC">
        <w:rPr>
          <w:spacing w:val="-1"/>
        </w:rPr>
        <w:t>i</w:t>
      </w:r>
      <w:r w:rsidRPr="002138BC">
        <w:t>ng personnel, develop</w:t>
      </w:r>
      <w:r w:rsidRPr="002138BC">
        <w:rPr>
          <w:spacing w:val="-2"/>
        </w:rPr>
        <w:t>m</w:t>
      </w:r>
      <w:r w:rsidRPr="002138BC">
        <w:t>e</w:t>
      </w:r>
      <w:r w:rsidRPr="002138BC">
        <w:rPr>
          <w:spacing w:val="-2"/>
        </w:rPr>
        <w:t>n</w:t>
      </w:r>
      <w:r w:rsidRPr="002138BC">
        <w:t>t/</w:t>
      </w:r>
      <w:r w:rsidRPr="002138BC">
        <w:rPr>
          <w:spacing w:val="-2"/>
        </w:rPr>
        <w:t>m</w:t>
      </w:r>
      <w:r w:rsidRPr="002138BC">
        <w:t>aintenance,</w:t>
      </w:r>
      <w:r w:rsidRPr="002138BC">
        <w:rPr>
          <w:spacing w:val="-1"/>
        </w:rPr>
        <w:t xml:space="preserve"> </w:t>
      </w:r>
      <w:r w:rsidRPr="002138BC">
        <w:t>collection, processing, analysis, and publication are esti</w:t>
      </w:r>
      <w:r w:rsidRPr="002138BC">
        <w:rPr>
          <w:spacing w:val="-2"/>
        </w:rPr>
        <w:t>m</w:t>
      </w:r>
      <w:r w:rsidRPr="002138BC">
        <w:t>ated to be approxi</w:t>
      </w:r>
      <w:r w:rsidRPr="002138BC">
        <w:rPr>
          <w:spacing w:val="-2"/>
        </w:rPr>
        <w:t>m</w:t>
      </w:r>
      <w:r w:rsidRPr="002138BC">
        <w:t>ately $</w:t>
      </w:r>
      <w:r w:rsidR="00C271DE">
        <w:t>310,000—a</w:t>
      </w:r>
      <w:r>
        <w:t xml:space="preserve"> </w:t>
      </w:r>
      <w:r w:rsidR="00C271DE">
        <w:t>decrease</w:t>
      </w:r>
      <w:r>
        <w:t xml:space="preserve"> of around $</w:t>
      </w:r>
      <w:r w:rsidR="00C271DE">
        <w:t>65,288</w:t>
      </w:r>
      <w:r>
        <w:t xml:space="preserve"> from </w:t>
      </w:r>
      <w:r w:rsidR="00C271DE">
        <w:t>2017</w:t>
      </w:r>
      <w:r w:rsidRPr="002138BC">
        <w:t>.</w:t>
      </w:r>
      <w:r>
        <w:t xml:space="preserve"> Table 4 provides a comparison of</w:t>
      </w:r>
      <w:r w:rsidR="00C271DE">
        <w:t xml:space="preserve"> estimated costs for</w:t>
      </w:r>
      <w:r>
        <w:t xml:space="preserve"> 2017 </w:t>
      </w:r>
      <w:r w:rsidR="00C271DE">
        <w:t>and estimated</w:t>
      </w:r>
      <w:r>
        <w:t xml:space="preserve"> costs </w:t>
      </w:r>
      <w:r w:rsidR="00C271DE">
        <w:t>for</w:t>
      </w:r>
      <w:r>
        <w:t xml:space="preserve"> </w:t>
      </w:r>
      <w:r w:rsidR="00C271DE">
        <w:t>2020</w:t>
      </w:r>
      <w:r>
        <w:t xml:space="preserve">, and an overview of estimated hours for various survey management functions, including System Development, Maintenance, and Support of Form OE-417 online system (which includes processing and helping users address system issues), Project Management of Online System projects, and Annual Form follow-up hours. </w:t>
      </w:r>
      <w:r w:rsidRPr="004B722B">
        <w:t xml:space="preserve">The </w:t>
      </w:r>
      <w:r w:rsidR="00C271DE">
        <w:t>decrease in</w:t>
      </w:r>
      <w:r w:rsidRPr="004B722B">
        <w:t xml:space="preserve"> cost from </w:t>
      </w:r>
      <w:r w:rsidR="00C271DE">
        <w:t>2017</w:t>
      </w:r>
      <w:r w:rsidRPr="004B722B">
        <w:t xml:space="preserve"> to </w:t>
      </w:r>
      <w:r w:rsidR="00C271DE">
        <w:t>2020</w:t>
      </w:r>
      <w:r w:rsidRPr="004B722B">
        <w:t xml:space="preserve"> is due to</w:t>
      </w:r>
      <w:r w:rsidR="00C271DE">
        <w:t xml:space="preserve"> less requirements for system development to implement updates to the OE-417 and a new support service contract with a different rate structure.</w:t>
      </w:r>
      <w:r w:rsidRPr="004B722B">
        <w:t xml:space="preserve"> DOE anticipates that the annual cost for Form OE-417 in </w:t>
      </w:r>
      <w:r w:rsidR="00C271DE">
        <w:t>2021</w:t>
      </w:r>
      <w:r w:rsidRPr="004B722B">
        <w:t>, and each successive year thereafter, is expected to be approximately $3</w:t>
      </w:r>
      <w:r w:rsidR="00C271DE">
        <w:t>10</w:t>
      </w:r>
      <w:r w:rsidRPr="004B722B">
        <w:t>,000 - $3</w:t>
      </w:r>
      <w:r w:rsidR="00C271DE">
        <w:t>50</w:t>
      </w:r>
      <w:r w:rsidRPr="004B722B">
        <w:t xml:space="preserve">,000 per year. Federal oversight of Form OE-417 is handled by the Program Manager for Situational </w:t>
      </w:r>
      <w:r w:rsidR="00C271DE">
        <w:t>Awareness</w:t>
      </w:r>
      <w:r w:rsidRPr="004B722B">
        <w:t xml:space="preserve"> as part </w:t>
      </w:r>
      <w:r w:rsidRPr="004B722B">
        <w:lastRenderedPageBreak/>
        <w:t>of regularly assigned duties in the c</w:t>
      </w:r>
      <w:r w:rsidR="00327A8B">
        <w:t>o</w:t>
      </w:r>
      <w:r w:rsidRPr="004B722B">
        <w:t>urse of normal business, thus there is no additional costs for Federal employees.</w:t>
      </w:r>
    </w:p>
    <w:p w:rsidR="009252DA" w:rsidP="009252DA" w:rsidRDefault="009252DA" w14:paraId="6030ACB8" w14:textId="77777777">
      <w:pPr>
        <w:pStyle w:val="Caption"/>
      </w:pPr>
      <w:r>
        <w:t xml:space="preserve">Table 4: Estimated Hours and Actual Costs for Survey Functions </w:t>
      </w:r>
    </w:p>
    <w:tbl>
      <w:tblPr>
        <w:tblStyle w:val="TableGrid"/>
        <w:tblW w:w="4942" w:type="pct"/>
        <w:tblInd w:w="108" w:type="dxa"/>
        <w:tblLook w:val="04A0" w:firstRow="1" w:lastRow="0" w:firstColumn="1" w:lastColumn="0" w:noHBand="0" w:noVBand="1"/>
      </w:tblPr>
      <w:tblGrid>
        <w:gridCol w:w="1851"/>
        <w:gridCol w:w="1850"/>
        <w:gridCol w:w="1850"/>
        <w:gridCol w:w="1850"/>
        <w:gridCol w:w="1850"/>
      </w:tblGrid>
      <w:tr w:rsidRPr="006960B0" w:rsidR="009252DA" w:rsidTr="00710137" w14:paraId="226A85C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0" w:type="pct"/>
            <w:shd w:val="clear" w:color="auto" w:fill="D9D9D9" w:themeFill="background1" w:themeFillShade="D9"/>
            <w:vAlign w:val="center"/>
          </w:tcPr>
          <w:p w:rsidRPr="006960B0" w:rsidR="009252DA" w:rsidP="00710137" w:rsidRDefault="009252DA" w14:paraId="465EECE1" w14:textId="77777777">
            <w:pPr>
              <w:spacing w:line="276" w:lineRule="auto"/>
              <w:jc w:val="center"/>
              <w:rPr>
                <w:b w:val="0"/>
              </w:rPr>
            </w:pPr>
          </w:p>
        </w:tc>
        <w:tc>
          <w:tcPr>
            <w:tcW w:w="1000" w:type="pct"/>
            <w:shd w:val="clear" w:color="auto" w:fill="D9D9D9" w:themeFill="background1" w:themeFillShade="D9"/>
            <w:vAlign w:val="center"/>
          </w:tcPr>
          <w:p w:rsidRPr="006960B0" w:rsidR="009252DA" w:rsidP="00710137" w:rsidRDefault="009252DA" w14:paraId="42B24C01"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OE-417 System Development Maintenance, and Support Hours</w:t>
            </w:r>
          </w:p>
        </w:tc>
        <w:tc>
          <w:tcPr>
            <w:tcW w:w="1000" w:type="pct"/>
            <w:shd w:val="clear" w:color="auto" w:fill="D9D9D9" w:themeFill="background1" w:themeFillShade="D9"/>
            <w:vAlign w:val="center"/>
          </w:tcPr>
          <w:p w:rsidRPr="006960B0" w:rsidR="009252DA" w:rsidP="00710137" w:rsidRDefault="009252DA" w14:paraId="4D1A9B27"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Project Management of Online System Projects Hours</w:t>
            </w:r>
            <w:r>
              <w:rPr>
                <w:rStyle w:val="FootnoteReference"/>
                <w:b w:val="0"/>
              </w:rPr>
              <w:footnoteReference w:id="9"/>
            </w:r>
          </w:p>
        </w:tc>
        <w:tc>
          <w:tcPr>
            <w:tcW w:w="1000" w:type="pct"/>
            <w:shd w:val="clear" w:color="auto" w:fill="D9D9D9" w:themeFill="background1" w:themeFillShade="D9"/>
            <w:vAlign w:val="center"/>
          </w:tcPr>
          <w:p w:rsidRPr="006960B0" w:rsidR="009252DA" w:rsidP="00710137" w:rsidRDefault="009252DA" w14:paraId="10BF0A60"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 xml:space="preserve">Annual Form </w:t>
            </w:r>
            <w:r w:rsidRPr="006960B0">
              <w:rPr>
                <w:b w:val="0"/>
              </w:rPr>
              <w:t>Follow-up Hours</w:t>
            </w:r>
            <w:r>
              <w:rPr>
                <w:rStyle w:val="FootnoteReference"/>
                <w:b w:val="0"/>
              </w:rPr>
              <w:footnoteReference w:id="10"/>
            </w:r>
          </w:p>
        </w:tc>
        <w:tc>
          <w:tcPr>
            <w:tcW w:w="1000" w:type="pct"/>
            <w:shd w:val="clear" w:color="auto" w:fill="D9D9D9" w:themeFill="background1" w:themeFillShade="D9"/>
          </w:tcPr>
          <w:p w:rsidR="009252DA" w:rsidP="00710137" w:rsidRDefault="009252DA" w14:paraId="0BFDCB3C" w14:textId="77777777">
            <w:pPr>
              <w:spacing w:line="276" w:lineRule="auto"/>
              <w:jc w:val="center"/>
              <w:cnfStyle w:val="100000000000" w:firstRow="1" w:lastRow="0" w:firstColumn="0" w:lastColumn="0" w:oddVBand="0" w:evenVBand="0" w:oddHBand="0" w:evenHBand="0" w:firstRowFirstColumn="0" w:firstRowLastColumn="0" w:lastRowFirstColumn="0" w:lastRowLastColumn="0"/>
            </w:pPr>
            <w:r w:rsidRPr="00AD70ED">
              <w:rPr>
                <w:b w:val="0"/>
              </w:rPr>
              <w:t>Annual Cost to the Federal Government</w:t>
            </w:r>
          </w:p>
        </w:tc>
      </w:tr>
      <w:tr w:rsidR="009252DA" w:rsidTr="00710137" w14:paraId="1C124B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9252DA" w:rsidP="009252DA" w:rsidRDefault="009252DA" w14:paraId="6B9AF9FC" w14:textId="77777777">
            <w:r>
              <w:t>2017 Estimate</w:t>
            </w:r>
          </w:p>
        </w:tc>
        <w:tc>
          <w:tcPr>
            <w:tcW w:w="1000" w:type="pct"/>
            <w:vAlign w:val="center"/>
          </w:tcPr>
          <w:p w:rsidR="009252DA" w:rsidP="009252DA" w:rsidRDefault="009252DA" w14:paraId="33751875" w14:textId="77777777">
            <w:pPr>
              <w:jc w:val="center"/>
              <w:cnfStyle w:val="000000100000" w:firstRow="0" w:lastRow="0" w:firstColumn="0" w:lastColumn="0" w:oddVBand="0" w:evenVBand="0" w:oddHBand="1" w:evenHBand="0" w:firstRowFirstColumn="0" w:firstRowLastColumn="0" w:lastRowFirstColumn="0" w:lastRowLastColumn="0"/>
            </w:pPr>
            <w:r>
              <w:t>3,018</w:t>
            </w:r>
          </w:p>
        </w:tc>
        <w:tc>
          <w:tcPr>
            <w:tcW w:w="1000" w:type="pct"/>
            <w:vAlign w:val="center"/>
          </w:tcPr>
          <w:p w:rsidR="009252DA" w:rsidP="009252DA" w:rsidRDefault="009252DA" w14:paraId="2E38072A" w14:textId="77777777">
            <w:pPr>
              <w:jc w:val="center"/>
              <w:cnfStyle w:val="000000100000" w:firstRow="0" w:lastRow="0" w:firstColumn="0" w:lastColumn="0" w:oddVBand="0" w:evenVBand="0" w:oddHBand="1" w:evenHBand="0" w:firstRowFirstColumn="0" w:firstRowLastColumn="0" w:lastRowFirstColumn="0" w:lastRowLastColumn="0"/>
            </w:pPr>
            <w:r>
              <w:t>100</w:t>
            </w:r>
          </w:p>
        </w:tc>
        <w:tc>
          <w:tcPr>
            <w:tcW w:w="1000" w:type="pct"/>
            <w:vAlign w:val="center"/>
          </w:tcPr>
          <w:p w:rsidR="009252DA" w:rsidP="009252DA" w:rsidRDefault="009252DA" w14:paraId="367794C0" w14:textId="77777777">
            <w:pPr>
              <w:jc w:val="center"/>
              <w:cnfStyle w:val="000000100000" w:firstRow="0" w:lastRow="0" w:firstColumn="0" w:lastColumn="0" w:oddVBand="0" w:evenVBand="0" w:oddHBand="1" w:evenHBand="0" w:firstRowFirstColumn="0" w:firstRowLastColumn="0" w:lastRowFirstColumn="0" w:lastRowLastColumn="0"/>
            </w:pPr>
            <w:r>
              <w:t>50</w:t>
            </w:r>
          </w:p>
        </w:tc>
        <w:tc>
          <w:tcPr>
            <w:tcW w:w="1000" w:type="pct"/>
          </w:tcPr>
          <w:p w:rsidR="009252DA" w:rsidP="009252DA" w:rsidRDefault="009252DA" w14:paraId="24924FF6" w14:textId="77777777">
            <w:pPr>
              <w:jc w:val="center"/>
              <w:cnfStyle w:val="000000100000" w:firstRow="0" w:lastRow="0" w:firstColumn="0" w:lastColumn="0" w:oddVBand="0" w:evenVBand="0" w:oddHBand="1" w:evenHBand="0" w:firstRowFirstColumn="0" w:firstRowLastColumn="0" w:lastRowFirstColumn="0" w:lastRowLastColumn="0"/>
            </w:pPr>
            <w:r>
              <w:t>$375,288</w:t>
            </w:r>
          </w:p>
        </w:tc>
      </w:tr>
      <w:tr w:rsidR="009252DA" w:rsidTr="00710137" w14:paraId="2F22F7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9252DA" w:rsidP="00710137" w:rsidRDefault="009252DA" w14:paraId="04E3DA15" w14:textId="77777777">
            <w:r>
              <w:t>2020 Estimate</w:t>
            </w:r>
          </w:p>
        </w:tc>
        <w:tc>
          <w:tcPr>
            <w:tcW w:w="1000" w:type="pct"/>
            <w:vAlign w:val="center"/>
          </w:tcPr>
          <w:p w:rsidR="009252DA" w:rsidP="00710137" w:rsidRDefault="001B2ED7" w14:paraId="3432106D" w14:textId="6AF88B81">
            <w:pPr>
              <w:jc w:val="center"/>
              <w:cnfStyle w:val="000000010000" w:firstRow="0" w:lastRow="0" w:firstColumn="0" w:lastColumn="0" w:oddVBand="0" w:evenVBand="0" w:oddHBand="0" w:evenHBand="1" w:firstRowFirstColumn="0" w:firstRowLastColumn="0" w:lastRowFirstColumn="0" w:lastRowLastColumn="0"/>
            </w:pPr>
            <w:r>
              <w:t>1903</w:t>
            </w:r>
          </w:p>
        </w:tc>
        <w:tc>
          <w:tcPr>
            <w:tcW w:w="1000" w:type="pct"/>
            <w:vAlign w:val="center"/>
          </w:tcPr>
          <w:p w:rsidR="009252DA" w:rsidP="00710137" w:rsidRDefault="009252DA" w14:paraId="7FACF34B" w14:textId="77777777">
            <w:pPr>
              <w:jc w:val="center"/>
              <w:cnfStyle w:val="000000010000" w:firstRow="0" w:lastRow="0" w:firstColumn="0" w:lastColumn="0" w:oddVBand="0" w:evenVBand="0" w:oddHBand="0" w:evenHBand="1" w:firstRowFirstColumn="0" w:firstRowLastColumn="0" w:lastRowFirstColumn="0" w:lastRowLastColumn="0"/>
            </w:pPr>
            <w:r>
              <w:t>100</w:t>
            </w:r>
          </w:p>
        </w:tc>
        <w:tc>
          <w:tcPr>
            <w:tcW w:w="1000" w:type="pct"/>
            <w:vAlign w:val="center"/>
          </w:tcPr>
          <w:p w:rsidR="009252DA" w:rsidP="00710137" w:rsidRDefault="009252DA" w14:paraId="28FE9250" w14:textId="77777777">
            <w:pPr>
              <w:jc w:val="center"/>
              <w:cnfStyle w:val="000000010000" w:firstRow="0" w:lastRow="0" w:firstColumn="0" w:lastColumn="0" w:oddVBand="0" w:evenVBand="0" w:oddHBand="0" w:evenHBand="1" w:firstRowFirstColumn="0" w:firstRowLastColumn="0" w:lastRowFirstColumn="0" w:lastRowLastColumn="0"/>
            </w:pPr>
            <w:r>
              <w:t>50</w:t>
            </w:r>
          </w:p>
        </w:tc>
        <w:tc>
          <w:tcPr>
            <w:tcW w:w="1000" w:type="pct"/>
          </w:tcPr>
          <w:p w:rsidR="009252DA" w:rsidP="009252DA" w:rsidRDefault="009252DA" w14:paraId="493FC986" w14:textId="77777777">
            <w:pPr>
              <w:jc w:val="center"/>
              <w:cnfStyle w:val="000000010000" w:firstRow="0" w:lastRow="0" w:firstColumn="0" w:lastColumn="0" w:oddVBand="0" w:evenVBand="0" w:oddHBand="0" w:evenHBand="1" w:firstRowFirstColumn="0" w:firstRowLastColumn="0" w:lastRowFirstColumn="0" w:lastRowLastColumn="0"/>
            </w:pPr>
            <w:r>
              <w:t>$310,000</w:t>
            </w:r>
          </w:p>
        </w:tc>
      </w:tr>
    </w:tbl>
    <w:p w:rsidR="009252DA" w:rsidP="009252DA" w:rsidRDefault="009252DA" w14:paraId="6B8E9F5B" w14:textId="77777777">
      <w:pPr>
        <w:pStyle w:val="Caption"/>
        <w:sectPr w:rsidR="009252DA" w:rsidSect="00710137">
          <w:headerReference w:type="even" r:id="rId25"/>
          <w:headerReference w:type="default" r:id="rId26"/>
          <w:footerReference w:type="even" r:id="rId27"/>
          <w:headerReference w:type="first" r:id="rId28"/>
          <w:footerReference w:type="first" r:id="rId29"/>
          <w:pgSz w:w="12240" w:h="15840"/>
          <w:pgMar w:top="1440" w:right="1440" w:bottom="1440" w:left="1440" w:header="720" w:footer="720" w:gutter="0"/>
          <w:cols w:space="720"/>
          <w:docGrid w:linePitch="360"/>
        </w:sectPr>
      </w:pPr>
    </w:p>
    <w:p w:rsidR="00F056C3" w:rsidP="005B75A6" w:rsidRDefault="00F056C3" w14:paraId="598458D9" w14:textId="77777777">
      <w:pPr>
        <w:pStyle w:val="Heading2"/>
      </w:pPr>
      <w:r>
        <w:lastRenderedPageBreak/>
        <w:t>A.</w:t>
      </w:r>
      <w:r w:rsidRPr="00A41763" w:rsidR="00A41763">
        <w:t xml:space="preserve">14. </w:t>
      </w:r>
      <w:r w:rsidRPr="00F056C3">
        <w:t>Changes in Burden</w:t>
      </w:r>
      <w:bookmarkEnd w:id="19"/>
      <w:r w:rsidRPr="00F056C3">
        <w:t xml:space="preserve"> </w:t>
      </w:r>
    </w:p>
    <w:p w:rsidR="00F056C3" w:rsidP="00047F30" w:rsidRDefault="00047F30" w14:paraId="45516129" w14:textId="77777777">
      <w:pPr>
        <w:ind w:left="-720" w:right="-720"/>
        <w:jc w:val="center"/>
        <w:rPr>
          <w:b/>
          <w:bCs/>
        </w:rPr>
      </w:pPr>
      <w:r w:rsidRPr="00047F30">
        <w:rPr>
          <w:noProof/>
        </w:rPr>
        <w:drawing>
          <wp:inline distT="0" distB="0" distL="0" distR="0" wp14:anchorId="4DFCBD9B" wp14:editId="7402C71C">
            <wp:extent cx="8583313" cy="1230594"/>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26893" cy="1236842"/>
                    </a:xfrm>
                    <a:prstGeom prst="rect">
                      <a:avLst/>
                    </a:prstGeom>
                    <a:noFill/>
                    <a:ln>
                      <a:noFill/>
                    </a:ln>
                  </pic:spPr>
                </pic:pic>
              </a:graphicData>
            </a:graphic>
          </wp:inline>
        </w:drawing>
      </w:r>
    </w:p>
    <w:p w:rsidR="00812C91" w:rsidP="00933D5D" w:rsidRDefault="00812C91" w14:paraId="5E09440D" w14:textId="77777777">
      <w:pPr>
        <w:ind w:left="-720" w:right="-720"/>
        <w:rPr>
          <w:b/>
          <w:bCs/>
        </w:rPr>
      </w:pPr>
    </w:p>
    <w:p w:rsidR="0091409C" w:rsidP="005B75A6" w:rsidRDefault="0091409C" w14:paraId="24847E9E" w14:textId="77777777">
      <w:pPr>
        <w:pStyle w:val="Heading2"/>
        <w:sectPr w:rsidR="0091409C" w:rsidSect="00933D5D">
          <w:footerReference w:type="default" r:id="rId31"/>
          <w:pgSz w:w="15840" w:h="12240" w:orient="landscape"/>
          <w:pgMar w:top="1440" w:right="1440" w:bottom="1440" w:left="1440" w:header="720" w:footer="720" w:gutter="0"/>
          <w:cols w:space="720"/>
          <w:docGrid w:linePitch="360"/>
        </w:sectPr>
      </w:pPr>
    </w:p>
    <w:p w:rsidR="006D42EC" w:rsidP="005B75A6" w:rsidRDefault="00F056C3" w14:paraId="09FA295A" w14:textId="77777777">
      <w:pPr>
        <w:pStyle w:val="Heading2"/>
      </w:pPr>
      <w:bookmarkStart w:name="_Toc492634215" w:id="21"/>
      <w:r>
        <w:lastRenderedPageBreak/>
        <w:t>A.</w:t>
      </w:r>
      <w:r w:rsidRPr="00A41763" w:rsidR="00A41763">
        <w:t xml:space="preserve">15. </w:t>
      </w:r>
      <w:r w:rsidR="006D42EC">
        <w:t>Reasons for Changes in Burden</w:t>
      </w:r>
      <w:bookmarkEnd w:id="21"/>
    </w:p>
    <w:p w:rsidR="0005650A" w:rsidP="00710137" w:rsidRDefault="0005650A" w14:paraId="5D110CC7" w14:textId="08ACF466">
      <w:pPr>
        <w:rPr>
          <w:szCs w:val="24"/>
        </w:rPr>
      </w:pPr>
      <w:r>
        <w:rPr>
          <w:szCs w:val="24"/>
        </w:rPr>
        <w:t>Table 5 shows that t</w:t>
      </w:r>
      <w:r w:rsidRPr="009735D7">
        <w:rPr>
          <w:szCs w:val="24"/>
        </w:rPr>
        <w:t xml:space="preserve">he total respondent burden </w:t>
      </w:r>
      <w:r>
        <w:rPr>
          <w:szCs w:val="24"/>
        </w:rPr>
        <w:t>increased</w:t>
      </w:r>
      <w:r w:rsidRPr="009735D7">
        <w:rPr>
          <w:szCs w:val="24"/>
        </w:rPr>
        <w:t xml:space="preserve"> by </w:t>
      </w:r>
      <w:r w:rsidR="000932D8">
        <w:rPr>
          <w:szCs w:val="24"/>
        </w:rPr>
        <w:t>322</w:t>
      </w:r>
      <w:r w:rsidRPr="009735D7" w:rsidR="006444C3">
        <w:rPr>
          <w:szCs w:val="24"/>
        </w:rPr>
        <w:t xml:space="preserve"> </w:t>
      </w:r>
      <w:r w:rsidRPr="009735D7">
        <w:rPr>
          <w:szCs w:val="24"/>
        </w:rPr>
        <w:t xml:space="preserve">hours from </w:t>
      </w:r>
      <w:r>
        <w:rPr>
          <w:szCs w:val="24"/>
        </w:rPr>
        <w:t>5,133</w:t>
      </w:r>
      <w:r w:rsidRPr="009735D7">
        <w:rPr>
          <w:szCs w:val="24"/>
        </w:rPr>
        <w:t xml:space="preserve"> hours to </w:t>
      </w:r>
      <w:r w:rsidR="000932D8">
        <w:t>5,</w:t>
      </w:r>
      <w:r w:rsidR="00463350">
        <w:t xml:space="preserve">455 </w:t>
      </w:r>
      <w:r w:rsidRPr="009735D7">
        <w:rPr>
          <w:szCs w:val="24"/>
        </w:rPr>
        <w:t>hours</w:t>
      </w:r>
      <w:r w:rsidRPr="009735D7">
        <w:rPr>
          <w:spacing w:val="-1"/>
          <w:szCs w:val="24"/>
        </w:rPr>
        <w:t xml:space="preserve"> </w:t>
      </w:r>
      <w:r w:rsidRPr="009735D7">
        <w:rPr>
          <w:szCs w:val="24"/>
        </w:rPr>
        <w:t xml:space="preserve">since the </w:t>
      </w:r>
      <w:r>
        <w:rPr>
          <w:szCs w:val="24"/>
        </w:rPr>
        <w:t>2017</w:t>
      </w:r>
      <w:r w:rsidRPr="009735D7">
        <w:rPr>
          <w:szCs w:val="24"/>
        </w:rPr>
        <w:t xml:space="preserve"> sub</w:t>
      </w:r>
      <w:r w:rsidRPr="009735D7">
        <w:rPr>
          <w:spacing w:val="-2"/>
          <w:szCs w:val="24"/>
        </w:rPr>
        <w:t>m</w:t>
      </w:r>
      <w:r w:rsidRPr="009735D7">
        <w:rPr>
          <w:szCs w:val="24"/>
        </w:rPr>
        <w:t>ission</w:t>
      </w:r>
      <w:r w:rsidR="00CA204C">
        <w:rPr>
          <w:szCs w:val="24"/>
        </w:rPr>
        <w:t>.  The increase in burden is</w:t>
      </w:r>
      <w:r w:rsidRPr="009735D7">
        <w:rPr>
          <w:szCs w:val="24"/>
        </w:rPr>
        <w:t xml:space="preserve"> due to an </w:t>
      </w:r>
      <w:r>
        <w:rPr>
          <w:szCs w:val="24"/>
        </w:rPr>
        <w:t>increase</w:t>
      </w:r>
      <w:r w:rsidRPr="009735D7">
        <w:rPr>
          <w:szCs w:val="24"/>
        </w:rPr>
        <w:t xml:space="preserve"> in survey respondents </w:t>
      </w:r>
      <w:r>
        <w:rPr>
          <w:szCs w:val="24"/>
        </w:rPr>
        <w:t xml:space="preserve">and number of Schedule 1 and Schedule 2 responses </w:t>
      </w:r>
      <w:r w:rsidR="00E700DA">
        <w:rPr>
          <w:szCs w:val="24"/>
        </w:rPr>
        <w:t>expected since</w:t>
      </w:r>
      <w:r w:rsidRPr="009735D7">
        <w:rPr>
          <w:szCs w:val="24"/>
        </w:rPr>
        <w:t xml:space="preserve"> the </w:t>
      </w:r>
      <w:r>
        <w:rPr>
          <w:szCs w:val="24"/>
        </w:rPr>
        <w:t>2017</w:t>
      </w:r>
      <w:r w:rsidRPr="009735D7">
        <w:rPr>
          <w:szCs w:val="24"/>
        </w:rPr>
        <w:t xml:space="preserve"> </w:t>
      </w:r>
      <w:r>
        <w:rPr>
          <w:szCs w:val="24"/>
        </w:rPr>
        <w:t>clearance. The increase in potential respondents is due to an increase in the number of utilities in the U.S.</w:t>
      </w:r>
      <w:r w:rsidR="00E700DA">
        <w:rPr>
          <w:szCs w:val="24"/>
        </w:rPr>
        <w:t xml:space="preserve"> The increase in the number of Schedule 1 and Schedule 2 response </w:t>
      </w:r>
      <w:r w:rsidR="00A72D52">
        <w:rPr>
          <w:szCs w:val="24"/>
        </w:rPr>
        <w:t xml:space="preserve">to 250 per year </w:t>
      </w:r>
      <w:r w:rsidR="00E700DA">
        <w:rPr>
          <w:szCs w:val="24"/>
        </w:rPr>
        <w:t>is based on an average of actual responses in 2017, 2018, and 2019</w:t>
      </w:r>
      <w:r w:rsidR="00A72D52">
        <w:rPr>
          <w:szCs w:val="24"/>
        </w:rPr>
        <w:t xml:space="preserve"> (average of 216) plus an estimate of additional response, based on the new criteria being added to the form. </w:t>
      </w:r>
    </w:p>
    <w:p w:rsidRPr="00E11E07" w:rsidR="0005650A" w:rsidP="00710137" w:rsidRDefault="0005650A" w14:paraId="72241923" w14:textId="77777777">
      <w:pPr>
        <w:rPr>
          <w:b/>
          <w:szCs w:val="24"/>
        </w:rPr>
      </w:pPr>
      <w:r w:rsidRPr="00E11E07">
        <w:rPr>
          <w:b/>
          <w:szCs w:val="24"/>
        </w:rPr>
        <w:t>Respondents</w:t>
      </w:r>
    </w:p>
    <w:p w:rsidR="0005650A" w:rsidP="00710137" w:rsidRDefault="0005650A" w14:paraId="6DE554AA" w14:textId="77777777">
      <w:pPr>
        <w:rPr>
          <w:szCs w:val="24"/>
        </w:rPr>
      </w:pPr>
      <w:r>
        <w:rPr>
          <w:szCs w:val="24"/>
        </w:rPr>
        <w:t xml:space="preserve">The number of respondents for training </w:t>
      </w:r>
      <w:r w:rsidR="00A72D52">
        <w:rPr>
          <w:szCs w:val="24"/>
        </w:rPr>
        <w:t>increased</w:t>
      </w:r>
      <w:r>
        <w:rPr>
          <w:szCs w:val="24"/>
        </w:rPr>
        <w:t xml:space="preserve"> from 2,395 </w:t>
      </w:r>
      <w:r w:rsidR="000932D8">
        <w:rPr>
          <w:szCs w:val="24"/>
        </w:rPr>
        <w:t>to 2,514</w:t>
      </w:r>
      <w:r w:rsidR="00A72D52">
        <w:rPr>
          <w:szCs w:val="24"/>
        </w:rPr>
        <w:t xml:space="preserve"> </w:t>
      </w:r>
      <w:r>
        <w:rPr>
          <w:szCs w:val="24"/>
        </w:rPr>
        <w:t xml:space="preserve">due to </w:t>
      </w:r>
      <w:r w:rsidR="00A72D52">
        <w:rPr>
          <w:szCs w:val="24"/>
        </w:rPr>
        <w:t xml:space="preserve">an increase </w:t>
      </w:r>
      <w:r>
        <w:rPr>
          <w:szCs w:val="24"/>
        </w:rPr>
        <w:t>in the number of utilities</w:t>
      </w:r>
      <w:r w:rsidR="000932D8">
        <w:rPr>
          <w:szCs w:val="24"/>
        </w:rPr>
        <w:t xml:space="preserve"> and Balancing Authorities</w:t>
      </w:r>
      <w:r>
        <w:rPr>
          <w:szCs w:val="24"/>
        </w:rPr>
        <w:t xml:space="preserve"> </w:t>
      </w:r>
      <w:r w:rsidR="00A72D52">
        <w:rPr>
          <w:szCs w:val="24"/>
        </w:rPr>
        <w:t xml:space="preserve">operating in the </w:t>
      </w:r>
      <w:r w:rsidR="000932D8">
        <w:rPr>
          <w:szCs w:val="24"/>
        </w:rPr>
        <w:t>United States. There is one less Reliability C</w:t>
      </w:r>
      <w:r w:rsidR="00A72D52">
        <w:rPr>
          <w:szCs w:val="24"/>
        </w:rPr>
        <w:t>oordinator from the 2017 submission.</w:t>
      </w:r>
      <w:r>
        <w:rPr>
          <w:szCs w:val="24"/>
        </w:rPr>
        <w:t xml:space="preserve"> </w:t>
      </w:r>
      <w:r w:rsidRPr="009735D7">
        <w:rPr>
          <w:szCs w:val="24"/>
        </w:rPr>
        <w:t>The esti</w:t>
      </w:r>
      <w:r w:rsidRPr="009735D7">
        <w:rPr>
          <w:spacing w:val="-2"/>
          <w:szCs w:val="24"/>
        </w:rPr>
        <w:t>m</w:t>
      </w:r>
      <w:r w:rsidRPr="009735D7">
        <w:rPr>
          <w:szCs w:val="24"/>
        </w:rPr>
        <w:t>ated nu</w:t>
      </w:r>
      <w:r w:rsidRPr="009735D7">
        <w:rPr>
          <w:spacing w:val="-2"/>
          <w:szCs w:val="24"/>
        </w:rPr>
        <w:t>m</w:t>
      </w:r>
      <w:r w:rsidRPr="009735D7">
        <w:rPr>
          <w:szCs w:val="24"/>
        </w:rPr>
        <w:t xml:space="preserve">ber of </w:t>
      </w:r>
      <w:r>
        <w:rPr>
          <w:szCs w:val="24"/>
        </w:rPr>
        <w:t xml:space="preserve">respondents </w:t>
      </w:r>
      <w:r w:rsidRPr="009735D7">
        <w:rPr>
          <w:szCs w:val="24"/>
        </w:rPr>
        <w:t>report</w:t>
      </w:r>
      <w:r>
        <w:rPr>
          <w:szCs w:val="24"/>
        </w:rPr>
        <w:t>ing (Schedule 1 and 2)</w:t>
      </w:r>
      <w:r w:rsidRPr="009735D7">
        <w:rPr>
          <w:szCs w:val="24"/>
        </w:rPr>
        <w:t xml:space="preserve"> </w:t>
      </w:r>
      <w:r w:rsidR="00A72D52">
        <w:rPr>
          <w:szCs w:val="24"/>
        </w:rPr>
        <w:t xml:space="preserve">has increased over the past </w:t>
      </w:r>
      <w:r w:rsidRPr="009735D7">
        <w:rPr>
          <w:szCs w:val="24"/>
        </w:rPr>
        <w:t>three years</w:t>
      </w:r>
      <w:r>
        <w:rPr>
          <w:szCs w:val="24"/>
        </w:rPr>
        <w:t>,</w:t>
      </w:r>
      <w:r w:rsidRPr="009735D7">
        <w:rPr>
          <w:szCs w:val="24"/>
        </w:rPr>
        <w:t xml:space="preserve"> </w:t>
      </w:r>
      <w:r w:rsidR="00A72D52">
        <w:rPr>
          <w:szCs w:val="24"/>
        </w:rPr>
        <w:t xml:space="preserve">from the 2017 submission, </w:t>
      </w:r>
      <w:r w:rsidRPr="009735D7">
        <w:rPr>
          <w:szCs w:val="24"/>
        </w:rPr>
        <w:t>so DOE revised its estimate.</w:t>
      </w:r>
      <w:r w:rsidRPr="002B48D6">
        <w:t xml:space="preserve"> </w:t>
      </w:r>
      <w:r w:rsidRPr="009735D7">
        <w:t>Based on the level of</w:t>
      </w:r>
      <w:r w:rsidRPr="009735D7">
        <w:rPr>
          <w:spacing w:val="-2"/>
        </w:rPr>
        <w:t xml:space="preserve"> </w:t>
      </w:r>
      <w:r w:rsidRPr="009735D7">
        <w:t>actual reporting (</w:t>
      </w:r>
      <w:r w:rsidR="00A72D52">
        <w:t>150</w:t>
      </w:r>
      <w:r w:rsidRPr="009735D7">
        <w:t xml:space="preserve"> events in </w:t>
      </w:r>
      <w:r w:rsidR="00A72D52">
        <w:t>2017</w:t>
      </w:r>
      <w:r w:rsidRPr="009735D7">
        <w:t xml:space="preserve">, </w:t>
      </w:r>
      <w:r w:rsidR="00A72D52">
        <w:t>220</w:t>
      </w:r>
      <w:r w:rsidRPr="009735D7">
        <w:t xml:space="preserve"> events in </w:t>
      </w:r>
      <w:r w:rsidR="00A72D52">
        <w:t>2018</w:t>
      </w:r>
      <w:r w:rsidRPr="009735D7">
        <w:t xml:space="preserve">, and </w:t>
      </w:r>
      <w:r w:rsidR="00A72D52">
        <w:t>278</w:t>
      </w:r>
      <w:r w:rsidRPr="009735D7">
        <w:t xml:space="preserve"> events in </w:t>
      </w:r>
      <w:r w:rsidR="00A72D52">
        <w:t>2019</w:t>
      </w:r>
      <w:r w:rsidRPr="009735D7">
        <w:t>)</w:t>
      </w:r>
      <w:r>
        <w:t>,</w:t>
      </w:r>
      <w:r w:rsidRPr="009735D7">
        <w:t xml:space="preserve"> the burden esti</w:t>
      </w:r>
      <w:r w:rsidRPr="009735D7">
        <w:rPr>
          <w:spacing w:val="-2"/>
        </w:rPr>
        <w:t>m</w:t>
      </w:r>
      <w:r w:rsidRPr="009735D7">
        <w:t xml:space="preserve">ate </w:t>
      </w:r>
      <w:r>
        <w:t xml:space="preserve">was </w:t>
      </w:r>
      <w:r w:rsidR="00A72D52">
        <w:t>increased</w:t>
      </w:r>
      <w:r w:rsidR="0004521E">
        <w:t xml:space="preserve"> to an average of 216 estimated respondents per year. Additionally, based on the number of respondents in 2019 and the additional criteria, an additional </w:t>
      </w:r>
      <w:r w:rsidRPr="00463350" w:rsidR="0004521E">
        <w:t>34</w:t>
      </w:r>
      <w:r w:rsidR="0004521E">
        <w:t xml:space="preserve"> responses was added to the burden calculation for Schedule 1 and Schedule 2 for a total of 250 respondents per year. The</w:t>
      </w:r>
      <w:r>
        <w:rPr>
          <w:szCs w:val="24"/>
        </w:rPr>
        <w:t xml:space="preserve"> burden hours for Schedule 2 </w:t>
      </w:r>
      <w:r w:rsidR="0004521E">
        <w:rPr>
          <w:szCs w:val="24"/>
        </w:rPr>
        <w:t>Follow-Up</w:t>
      </w:r>
      <w:r>
        <w:rPr>
          <w:szCs w:val="24"/>
        </w:rPr>
        <w:t xml:space="preserve"> reports </w:t>
      </w:r>
      <w:r w:rsidR="0004521E">
        <w:rPr>
          <w:szCs w:val="24"/>
        </w:rPr>
        <w:t xml:space="preserve">remains unchanged. </w:t>
      </w:r>
    </w:p>
    <w:p w:rsidRPr="00E11E07" w:rsidR="0005650A" w:rsidP="00710137" w:rsidRDefault="0005650A" w14:paraId="11EDEED4" w14:textId="77777777">
      <w:pPr>
        <w:rPr>
          <w:b/>
          <w:szCs w:val="24"/>
        </w:rPr>
      </w:pPr>
      <w:r>
        <w:rPr>
          <w:b/>
          <w:szCs w:val="24"/>
        </w:rPr>
        <w:t>Burden</w:t>
      </w:r>
    </w:p>
    <w:p w:rsidR="0005650A" w:rsidP="0005650A" w:rsidRDefault="0004521E" w14:paraId="6FEFF23C" w14:textId="77777777">
      <w:r>
        <w:rPr>
          <w:szCs w:val="24"/>
        </w:rPr>
        <w:t>The estimated hours for training and t</w:t>
      </w:r>
      <w:r w:rsidR="0077128D">
        <w:rPr>
          <w:szCs w:val="24"/>
        </w:rPr>
        <w:t>o</w:t>
      </w:r>
      <w:r>
        <w:rPr>
          <w:szCs w:val="24"/>
        </w:rPr>
        <w:t xml:space="preserve"> complete each section remain the same as the 2017 submission. </w:t>
      </w:r>
      <w:r w:rsidRPr="009735D7" w:rsidR="0005650A">
        <w:rPr>
          <w:szCs w:val="24"/>
        </w:rPr>
        <w:t>DOE estimate</w:t>
      </w:r>
      <w:r w:rsidR="00BE34E9">
        <w:rPr>
          <w:szCs w:val="24"/>
        </w:rPr>
        <w:t>s</w:t>
      </w:r>
      <w:r w:rsidRPr="009735D7" w:rsidR="0005650A">
        <w:rPr>
          <w:szCs w:val="24"/>
        </w:rPr>
        <w:t xml:space="preserve"> that it will take </w:t>
      </w:r>
      <w:r w:rsidR="0005650A">
        <w:rPr>
          <w:szCs w:val="24"/>
        </w:rPr>
        <w:t>2 hours for training and 0.17</w:t>
      </w:r>
      <w:r w:rsidRPr="009735D7" w:rsidR="0005650A">
        <w:rPr>
          <w:szCs w:val="24"/>
        </w:rPr>
        <w:t xml:space="preserve"> </w:t>
      </w:r>
      <w:r w:rsidR="0005650A">
        <w:rPr>
          <w:szCs w:val="24"/>
        </w:rPr>
        <w:t>hours</w:t>
      </w:r>
      <w:r w:rsidRPr="009735D7" w:rsidR="0005650A">
        <w:rPr>
          <w:szCs w:val="24"/>
        </w:rPr>
        <w:t xml:space="preserve"> for respondents</w:t>
      </w:r>
      <w:r w:rsidR="0005650A">
        <w:rPr>
          <w:szCs w:val="24"/>
        </w:rPr>
        <w:t xml:space="preserve"> to complete Schedule 1 </w:t>
      </w:r>
      <w:r w:rsidRPr="009735D7" w:rsidR="0005650A">
        <w:rPr>
          <w:szCs w:val="24"/>
        </w:rPr>
        <w:t xml:space="preserve">of the report. </w:t>
      </w:r>
      <w:r w:rsidR="0005650A">
        <w:rPr>
          <w:szCs w:val="24"/>
        </w:rPr>
        <w:t>Based on EIA cognitive research</w:t>
      </w:r>
      <w:r w:rsidR="0005650A">
        <w:rPr>
          <w:rStyle w:val="FootnoteReference"/>
          <w:szCs w:val="24"/>
        </w:rPr>
        <w:footnoteReference w:id="11"/>
      </w:r>
      <w:r w:rsidR="0005650A">
        <w:rPr>
          <w:szCs w:val="24"/>
        </w:rPr>
        <w:t xml:space="preserve"> from 2017, the</w:t>
      </w:r>
      <w:r w:rsidR="00CA204C">
        <w:rPr>
          <w:szCs w:val="24"/>
        </w:rPr>
        <w:t xml:space="preserve"> data showed that the</w:t>
      </w:r>
      <w:r w:rsidR="0005650A">
        <w:rPr>
          <w:szCs w:val="24"/>
        </w:rPr>
        <w:t xml:space="preserve"> average time it takes a respondent to complete Schedule 2 is 1.5 h</w:t>
      </w:r>
      <w:r>
        <w:rPr>
          <w:szCs w:val="24"/>
        </w:rPr>
        <w:t>ours.</w:t>
      </w:r>
      <w:r w:rsidR="0005650A">
        <w:rPr>
          <w:szCs w:val="24"/>
        </w:rPr>
        <w:t xml:space="preserve"> </w:t>
      </w:r>
      <w:r w:rsidR="00CA204C">
        <w:rPr>
          <w:szCs w:val="24"/>
        </w:rPr>
        <w:t>There is no change to t</w:t>
      </w:r>
      <w:r w:rsidR="0005650A">
        <w:rPr>
          <w:szCs w:val="24"/>
        </w:rPr>
        <w:t xml:space="preserve">he burden per response for filing Schedule 2 </w:t>
      </w:r>
      <w:r>
        <w:rPr>
          <w:szCs w:val="24"/>
        </w:rPr>
        <w:t>Follow-Up</w:t>
      </w:r>
      <w:r w:rsidR="0005650A">
        <w:rPr>
          <w:szCs w:val="24"/>
        </w:rPr>
        <w:t xml:space="preserve"> </w:t>
      </w:r>
      <w:r w:rsidR="00CA204C">
        <w:rPr>
          <w:szCs w:val="24"/>
        </w:rPr>
        <w:t>R</w:t>
      </w:r>
      <w:r w:rsidR="0005650A">
        <w:rPr>
          <w:szCs w:val="24"/>
        </w:rPr>
        <w:t xml:space="preserve">eport. Supplemental reports are simple updates to the original submission that state how many people are </w:t>
      </w:r>
      <w:r w:rsidR="004908CE">
        <w:rPr>
          <w:szCs w:val="24"/>
        </w:rPr>
        <w:t xml:space="preserve">still affected from the event. While the additional criteria being added to the form for the 2020 submission are expected to increase the annual number of responses, the new criteria </w:t>
      </w:r>
      <w:r w:rsidR="00CA204C">
        <w:rPr>
          <w:szCs w:val="24"/>
        </w:rPr>
        <w:t>will require</w:t>
      </w:r>
      <w:r w:rsidR="004908CE">
        <w:rPr>
          <w:szCs w:val="24"/>
        </w:rPr>
        <w:t xml:space="preserve"> additional time to complete.  </w:t>
      </w:r>
    </w:p>
    <w:tbl>
      <w:tblPr>
        <w:tblW w:w="9360" w:type="dxa"/>
        <w:jc w:val="center"/>
        <w:tblLayout w:type="fixed"/>
        <w:tblCellMar>
          <w:left w:w="115" w:type="dxa"/>
          <w:right w:w="115" w:type="dxa"/>
        </w:tblCellMar>
        <w:tblLook w:val="04A0" w:firstRow="1" w:lastRow="0" w:firstColumn="1" w:lastColumn="0" w:noHBand="0" w:noVBand="1"/>
      </w:tblPr>
      <w:tblGrid>
        <w:gridCol w:w="2160"/>
        <w:gridCol w:w="1584"/>
        <w:gridCol w:w="1872"/>
        <w:gridCol w:w="1872"/>
        <w:gridCol w:w="1872"/>
      </w:tblGrid>
      <w:tr w:rsidRPr="00812C91" w:rsidR="008A7E5F" w:rsidTr="00545C0F" w14:paraId="4C0C8256"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D26CF0" w:rsidRDefault="008A7E5F" w14:paraId="632CE2FA" w14:textId="77777777">
            <w:pPr>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A3. ICR Summary of Burden</w:t>
            </w:r>
          </w:p>
        </w:tc>
      </w:tr>
      <w:tr w:rsidRPr="00812C91" w:rsidR="00545C0F" w:rsidTr="004908CE" w14:paraId="331FD36E" w14:textId="77777777">
        <w:trPr>
          <w:trHeight w:val="510"/>
          <w:jc w:val="center"/>
        </w:trPr>
        <w:tc>
          <w:tcPr>
            <w:tcW w:w="21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4908CE" w:rsidRDefault="008A7E5F" w14:paraId="16F0FE34" w14:textId="77777777">
            <w:pPr>
              <w:spacing w:after="0" w:line="240" w:lineRule="auto"/>
              <w:jc w:val="center"/>
              <w:rPr>
                <w:rFonts w:ascii="Calibri" w:hAnsi="Calibri" w:eastAsia="Times New Roman" w:cs="Arial"/>
                <w:b/>
                <w:bCs/>
                <w:color w:val="FFFFFF"/>
                <w:sz w:val="20"/>
                <w:szCs w:val="20"/>
              </w:rPr>
            </w:pPr>
          </w:p>
        </w:tc>
        <w:tc>
          <w:tcPr>
            <w:tcW w:w="1584"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4908CE" w:rsidRDefault="008A7E5F" w14:paraId="3654C604"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4908CE" w:rsidRDefault="008A7E5F" w14:paraId="6D3D58F9"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4908CE" w:rsidRDefault="008A7E5F" w14:paraId="658B3A45"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4908CE" w:rsidRDefault="008A7E5F" w14:paraId="294765F9"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4908CE" w14:paraId="0F166274" w14:textId="77777777">
        <w:trPr>
          <w:trHeight w:val="525"/>
          <w:jc w:val="center"/>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4908CE" w:rsidRDefault="00A874E4" w14:paraId="66FEF1DC" w14:textId="77777777">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1584" w:type="dxa"/>
            <w:tcBorders>
              <w:top w:val="nil"/>
              <w:left w:val="nil"/>
              <w:bottom w:val="single" w:color="auto" w:sz="4" w:space="0"/>
              <w:right w:val="single" w:color="auto" w:sz="4" w:space="0"/>
            </w:tcBorders>
            <w:shd w:val="clear" w:color="auto" w:fill="auto"/>
            <w:vAlign w:val="center"/>
            <w:hideMark/>
          </w:tcPr>
          <w:p w:rsidRPr="00812C91" w:rsidR="008A7E5F" w:rsidP="004908CE" w:rsidRDefault="004908CE" w14:paraId="5D916906" w14:textId="77777777">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3,03</w:t>
            </w:r>
            <w:r w:rsidR="009E20BA">
              <w:rPr>
                <w:rFonts w:ascii="Calibri" w:hAnsi="Calibri" w:eastAsia="Times New Roman" w:cs="Arial"/>
                <w:color w:val="576170"/>
                <w:sz w:val="20"/>
                <w:szCs w:val="20"/>
              </w:rPr>
              <w:t>4</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4908CE" w:rsidRDefault="004908CE" w14:paraId="2E76FECC" w14:textId="77777777">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68</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4908CE" w:rsidRDefault="004908CE" w14:paraId="26199601" w14:textId="77777777">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15</w:t>
            </w:r>
            <w:r w:rsidR="009E20BA">
              <w:rPr>
                <w:rFonts w:ascii="Calibri" w:hAnsi="Calibri" w:eastAsia="Times New Roman" w:cs="Arial"/>
                <w:color w:val="576170"/>
                <w:sz w:val="20"/>
                <w:szCs w:val="20"/>
              </w:rPr>
              <w:t>1</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4908CE" w:rsidRDefault="004908CE" w14:paraId="3E9C5930" w14:textId="77777777">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2,815</w:t>
            </w:r>
          </w:p>
        </w:tc>
      </w:tr>
      <w:tr w:rsidRPr="00812C91" w:rsidR="008A7E5F" w:rsidTr="004908CE" w14:paraId="5D78E3A8" w14:textId="77777777">
        <w:trPr>
          <w:trHeight w:val="525"/>
          <w:jc w:val="center"/>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4908CE" w:rsidRDefault="00A874E4" w14:paraId="68CBB1B6" w14:textId="77777777">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(Hr)</w:t>
            </w:r>
          </w:p>
        </w:tc>
        <w:tc>
          <w:tcPr>
            <w:tcW w:w="1584" w:type="dxa"/>
            <w:tcBorders>
              <w:top w:val="nil"/>
              <w:left w:val="nil"/>
              <w:bottom w:val="single" w:color="auto" w:sz="4" w:space="0"/>
              <w:right w:val="single" w:color="auto" w:sz="4" w:space="0"/>
            </w:tcBorders>
            <w:shd w:val="clear" w:color="auto" w:fill="auto"/>
            <w:vAlign w:val="center"/>
            <w:hideMark/>
          </w:tcPr>
          <w:p w:rsidRPr="00812C91" w:rsidR="008A7E5F" w:rsidP="00463350" w:rsidRDefault="004908CE" w14:paraId="696D8E72" w14:textId="299A5C73">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5,45</w:t>
            </w:r>
            <w:r w:rsidR="000932D8">
              <w:rPr>
                <w:rFonts w:ascii="Calibri" w:hAnsi="Calibri" w:eastAsia="Times New Roman" w:cs="Arial"/>
                <w:color w:val="576170"/>
                <w:sz w:val="20"/>
                <w:szCs w:val="20"/>
              </w:rPr>
              <w:t>5</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4908CE" w:rsidRDefault="004908CE" w14:paraId="2AFEAADE" w14:textId="77777777">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27</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4908CE" w:rsidRDefault="004908CE" w14:paraId="06EDDF5E" w14:textId="77777777">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29</w:t>
            </w:r>
            <w:r w:rsidR="000932D8">
              <w:rPr>
                <w:rFonts w:ascii="Calibri" w:hAnsi="Calibri" w:eastAsia="Times New Roman" w:cs="Arial"/>
                <w:color w:val="576170"/>
                <w:sz w:val="20"/>
                <w:szCs w:val="20"/>
              </w:rPr>
              <w:t>5</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4908CE" w:rsidRDefault="004908CE" w14:paraId="6E9ECF05" w14:textId="77777777">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5,133</w:t>
            </w:r>
          </w:p>
        </w:tc>
      </w:tr>
    </w:tbl>
    <w:p w:rsidRPr="00A41763" w:rsidR="00D854D8" w:rsidP="00A41763" w:rsidRDefault="00D854D8" w14:paraId="01C29327" w14:textId="77777777"/>
    <w:p w:rsidR="00F056C3" w:rsidP="005B75A6" w:rsidRDefault="00F056C3" w14:paraId="209400F5" w14:textId="77777777">
      <w:pPr>
        <w:pStyle w:val="Heading2"/>
      </w:pPr>
      <w:bookmarkStart w:name="_Toc492634216" w:id="22"/>
      <w:r>
        <w:t>A.</w:t>
      </w:r>
      <w:r w:rsidRPr="00A41763" w:rsidR="00A41763">
        <w:t xml:space="preserve">16. </w:t>
      </w:r>
      <w:r w:rsidRPr="00F056C3">
        <w:t>Collection, Tabulation, and Publication Plans</w:t>
      </w:r>
      <w:bookmarkEnd w:id="22"/>
      <w:r w:rsidRPr="00F056C3">
        <w:t xml:space="preserve"> </w:t>
      </w:r>
    </w:p>
    <w:p w:rsidRPr="00A7737D" w:rsidR="00FF5801" w:rsidP="00FF5801" w:rsidRDefault="00FF5801" w14:paraId="68F57CEA" w14:textId="77777777">
      <w:pPr>
        <w:pStyle w:val="Caption"/>
      </w:pPr>
      <w:r w:rsidRPr="00A7737D">
        <w:t xml:space="preserve">Table </w:t>
      </w:r>
      <w:r>
        <w:t>7</w:t>
      </w:r>
      <w:r w:rsidRPr="00A7737D">
        <w:t>: Electric Po</w:t>
      </w:r>
      <w:r w:rsidRPr="00A7737D">
        <w:rPr>
          <w:spacing w:val="-2"/>
        </w:rPr>
        <w:t>w</w:t>
      </w:r>
      <w:r w:rsidRPr="00A7737D">
        <w:t>er Data Collection by Schedule</w:t>
      </w:r>
    </w:p>
    <w:tbl>
      <w:tblPr>
        <w:tblW w:w="5000" w:type="pct"/>
        <w:tblCellMar>
          <w:left w:w="0" w:type="dxa"/>
          <w:right w:w="0" w:type="dxa"/>
        </w:tblCellMar>
        <w:tblLook w:val="0000" w:firstRow="0" w:lastRow="0" w:firstColumn="0" w:lastColumn="0" w:noHBand="0" w:noVBand="0"/>
      </w:tblPr>
      <w:tblGrid>
        <w:gridCol w:w="1622"/>
        <w:gridCol w:w="1954"/>
        <w:gridCol w:w="2717"/>
        <w:gridCol w:w="3057"/>
      </w:tblGrid>
      <w:tr w:rsidRPr="009217C5" w:rsidR="00FF5801" w:rsidTr="00710137" w14:paraId="62826E24" w14:textId="77777777">
        <w:trPr>
          <w:trHeight w:val="242"/>
        </w:trPr>
        <w:tc>
          <w:tcPr>
            <w:tcW w:w="867" w:type="pct"/>
            <w:tcBorders>
              <w:top w:val="single" w:color="000000" w:sz="4" w:space="0"/>
              <w:left w:val="single" w:color="000000" w:sz="4" w:space="0"/>
              <w:bottom w:val="single" w:color="000000" w:sz="4" w:space="0"/>
              <w:right w:val="single" w:color="000000" w:sz="4" w:space="0"/>
            </w:tcBorders>
            <w:shd w:val="clear" w:color="auto" w:fill="CCCCCC"/>
            <w:vAlign w:val="center"/>
          </w:tcPr>
          <w:p w:rsidRPr="009217C5" w:rsidR="00FF5801" w:rsidP="00710137" w:rsidRDefault="00FF5801" w14:paraId="2CC5F98C" w14:textId="77777777">
            <w:pPr>
              <w:widowControl w:val="0"/>
              <w:autoSpaceDE w:val="0"/>
              <w:autoSpaceDN w:val="0"/>
              <w:adjustRightInd w:val="0"/>
              <w:ind w:right="-20"/>
              <w:jc w:val="center"/>
              <w:rPr>
                <w:szCs w:val="24"/>
              </w:rPr>
            </w:pPr>
            <w:r w:rsidRPr="009217C5">
              <w:rPr>
                <w:b/>
                <w:bCs/>
                <w:szCs w:val="20"/>
              </w:rPr>
              <w:t>Form</w:t>
            </w:r>
          </w:p>
        </w:tc>
        <w:tc>
          <w:tcPr>
            <w:tcW w:w="1045" w:type="pct"/>
            <w:tcBorders>
              <w:top w:val="single" w:color="000000" w:sz="4" w:space="0"/>
              <w:left w:val="single" w:color="000000" w:sz="4" w:space="0"/>
              <w:bottom w:val="single" w:color="000000" w:sz="4" w:space="0"/>
              <w:right w:val="single" w:color="000000" w:sz="4" w:space="0"/>
            </w:tcBorders>
            <w:shd w:val="clear" w:color="auto" w:fill="CCCCCC"/>
            <w:vAlign w:val="center"/>
          </w:tcPr>
          <w:p w:rsidRPr="009217C5" w:rsidR="00FF5801" w:rsidP="00710137" w:rsidRDefault="00FF5801" w14:paraId="42032FD9" w14:textId="77777777">
            <w:pPr>
              <w:widowControl w:val="0"/>
              <w:autoSpaceDE w:val="0"/>
              <w:autoSpaceDN w:val="0"/>
              <w:adjustRightInd w:val="0"/>
              <w:ind w:left="450" w:right="430"/>
              <w:jc w:val="center"/>
              <w:rPr>
                <w:szCs w:val="20"/>
              </w:rPr>
            </w:pPr>
            <w:r>
              <w:rPr>
                <w:b/>
                <w:bCs/>
                <w:szCs w:val="20"/>
              </w:rPr>
              <w:t>Frequency of Reporting</w:t>
            </w:r>
            <w:r w:rsidRPr="009217C5">
              <w:rPr>
                <w:szCs w:val="20"/>
              </w:rPr>
              <w:t xml:space="preserve"> </w:t>
            </w:r>
          </w:p>
        </w:tc>
        <w:tc>
          <w:tcPr>
            <w:tcW w:w="1453" w:type="pct"/>
            <w:tcBorders>
              <w:top w:val="single" w:color="000000" w:sz="4" w:space="0"/>
              <w:left w:val="single" w:color="000000" w:sz="4" w:space="0"/>
              <w:bottom w:val="single" w:color="000000" w:sz="4" w:space="0"/>
              <w:right w:val="single" w:color="000000" w:sz="4" w:space="0"/>
            </w:tcBorders>
            <w:shd w:val="clear" w:color="auto" w:fill="CCCCCC"/>
            <w:vAlign w:val="center"/>
          </w:tcPr>
          <w:p w:rsidRPr="009217C5" w:rsidR="00FF5801" w:rsidP="00710137" w:rsidRDefault="00FF5801" w14:paraId="0F4F7652" w14:textId="77777777">
            <w:pPr>
              <w:widowControl w:val="0"/>
              <w:autoSpaceDE w:val="0"/>
              <w:autoSpaceDN w:val="0"/>
              <w:adjustRightInd w:val="0"/>
              <w:ind w:right="-20"/>
              <w:jc w:val="center"/>
              <w:rPr>
                <w:szCs w:val="24"/>
              </w:rPr>
            </w:pPr>
            <w:r w:rsidRPr="009217C5">
              <w:rPr>
                <w:b/>
                <w:bCs/>
                <w:szCs w:val="20"/>
              </w:rPr>
              <w:t>Form</w:t>
            </w:r>
            <w:r w:rsidRPr="009217C5">
              <w:rPr>
                <w:b/>
                <w:bCs/>
                <w:spacing w:val="-1"/>
                <w:szCs w:val="20"/>
              </w:rPr>
              <w:t xml:space="preserve"> </w:t>
            </w:r>
            <w:r w:rsidRPr="009217C5">
              <w:rPr>
                <w:b/>
                <w:bCs/>
                <w:szCs w:val="20"/>
              </w:rPr>
              <w:t>Due</w:t>
            </w:r>
            <w:r w:rsidRPr="009217C5">
              <w:rPr>
                <w:b/>
                <w:bCs/>
                <w:spacing w:val="-1"/>
                <w:szCs w:val="20"/>
              </w:rPr>
              <w:t xml:space="preserve"> </w:t>
            </w:r>
            <w:r w:rsidRPr="009217C5">
              <w:rPr>
                <w:b/>
                <w:bCs/>
                <w:szCs w:val="20"/>
              </w:rPr>
              <w:t>Date</w:t>
            </w:r>
          </w:p>
        </w:tc>
        <w:tc>
          <w:tcPr>
            <w:tcW w:w="1635" w:type="pct"/>
            <w:tcBorders>
              <w:top w:val="single" w:color="000000" w:sz="4" w:space="0"/>
              <w:left w:val="single" w:color="000000" w:sz="4" w:space="0"/>
              <w:bottom w:val="single" w:color="000000" w:sz="4" w:space="0"/>
              <w:right w:val="single" w:color="000000" w:sz="4" w:space="0"/>
            </w:tcBorders>
            <w:shd w:val="clear" w:color="auto" w:fill="CCCCCC"/>
            <w:vAlign w:val="center"/>
          </w:tcPr>
          <w:p w:rsidRPr="009217C5" w:rsidR="00FF5801" w:rsidP="00710137" w:rsidRDefault="00FF5801" w14:paraId="767ADD23" w14:textId="77777777">
            <w:pPr>
              <w:widowControl w:val="0"/>
              <w:autoSpaceDE w:val="0"/>
              <w:autoSpaceDN w:val="0"/>
              <w:adjustRightInd w:val="0"/>
              <w:ind w:right="-20"/>
              <w:jc w:val="center"/>
              <w:rPr>
                <w:szCs w:val="24"/>
              </w:rPr>
            </w:pPr>
            <w:r w:rsidRPr="009217C5">
              <w:rPr>
                <w:b/>
                <w:bCs/>
                <w:szCs w:val="20"/>
              </w:rPr>
              <w:t>Elements</w:t>
            </w:r>
            <w:r w:rsidRPr="009217C5">
              <w:rPr>
                <w:b/>
                <w:bCs/>
                <w:spacing w:val="-1"/>
                <w:szCs w:val="20"/>
              </w:rPr>
              <w:t xml:space="preserve"> </w:t>
            </w:r>
            <w:r w:rsidRPr="009217C5">
              <w:rPr>
                <w:b/>
                <w:bCs/>
                <w:szCs w:val="20"/>
              </w:rPr>
              <w:t>Col</w:t>
            </w:r>
            <w:r w:rsidRPr="009217C5">
              <w:rPr>
                <w:b/>
                <w:bCs/>
                <w:spacing w:val="-2"/>
                <w:szCs w:val="20"/>
              </w:rPr>
              <w:t>l</w:t>
            </w:r>
            <w:r w:rsidRPr="009217C5">
              <w:rPr>
                <w:b/>
                <w:bCs/>
                <w:szCs w:val="20"/>
              </w:rPr>
              <w:t>ected</w:t>
            </w:r>
          </w:p>
        </w:tc>
      </w:tr>
      <w:tr w:rsidRPr="009217C5" w:rsidR="00FF5801" w:rsidTr="00710137" w14:paraId="35F54D1E" w14:textId="77777777">
        <w:trPr>
          <w:trHeight w:val="422"/>
        </w:trPr>
        <w:tc>
          <w:tcPr>
            <w:tcW w:w="867"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40C8409B" w14:textId="77777777">
            <w:pPr>
              <w:widowControl w:val="0"/>
              <w:autoSpaceDE w:val="0"/>
              <w:autoSpaceDN w:val="0"/>
              <w:adjustRightInd w:val="0"/>
              <w:ind w:left="102" w:right="192"/>
              <w:rPr>
                <w:szCs w:val="24"/>
              </w:rPr>
            </w:pPr>
            <w:r w:rsidRPr="009217C5">
              <w:rPr>
                <w:szCs w:val="20"/>
              </w:rPr>
              <w:t>OE</w:t>
            </w:r>
            <w:r w:rsidRPr="009217C5">
              <w:rPr>
                <w:spacing w:val="-1"/>
                <w:szCs w:val="20"/>
              </w:rPr>
              <w:t>-4</w:t>
            </w:r>
            <w:r w:rsidRPr="009217C5">
              <w:rPr>
                <w:szCs w:val="20"/>
              </w:rPr>
              <w:t>1</w:t>
            </w:r>
            <w:r w:rsidRPr="009217C5">
              <w:rPr>
                <w:spacing w:val="-1"/>
                <w:szCs w:val="20"/>
              </w:rPr>
              <w:t>7</w:t>
            </w:r>
            <w:r w:rsidRPr="009217C5">
              <w:rPr>
                <w:szCs w:val="20"/>
              </w:rPr>
              <w:t>, 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5D6358DE" w14:textId="77777777">
            <w:pPr>
              <w:widowControl w:val="0"/>
              <w:autoSpaceDE w:val="0"/>
              <w:autoSpaceDN w:val="0"/>
              <w:adjustRightInd w:val="0"/>
              <w:ind w:left="102" w:right="613"/>
              <w:rPr>
                <w:szCs w:val="24"/>
              </w:rPr>
            </w:pPr>
            <w:r w:rsidRPr="009217C5">
              <w:rPr>
                <w:szCs w:val="20"/>
              </w:rPr>
              <w:t>Per critical i</w:t>
            </w:r>
            <w:r w:rsidRPr="009217C5">
              <w:rPr>
                <w:spacing w:val="1"/>
                <w:szCs w:val="20"/>
              </w:rPr>
              <w:t>n</w:t>
            </w:r>
            <w:r w:rsidRPr="009217C5">
              <w:rPr>
                <w:szCs w:val="20"/>
              </w:rPr>
              <w:t>cident</w:t>
            </w:r>
          </w:p>
        </w:tc>
        <w:tc>
          <w:tcPr>
            <w:tcW w:w="1453"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47551F54" w14:textId="77777777">
            <w:pPr>
              <w:widowControl w:val="0"/>
              <w:autoSpaceDE w:val="0"/>
              <w:autoSpaceDN w:val="0"/>
              <w:adjustRightInd w:val="0"/>
              <w:jc w:val="center"/>
              <w:rPr>
                <w:szCs w:val="24"/>
              </w:rPr>
            </w:pPr>
            <w:r w:rsidRPr="009217C5">
              <w:rPr>
                <w:szCs w:val="20"/>
              </w:rPr>
              <w:t>1</w:t>
            </w:r>
            <w:r w:rsidRPr="009217C5">
              <w:rPr>
                <w:spacing w:val="-1"/>
                <w:szCs w:val="20"/>
              </w:rPr>
              <w:t xml:space="preserve"> </w:t>
            </w:r>
            <w:r w:rsidRPr="009217C5">
              <w:rPr>
                <w:szCs w:val="20"/>
              </w:rPr>
              <w:t>h</w:t>
            </w:r>
            <w:r w:rsidRPr="009217C5">
              <w:rPr>
                <w:spacing w:val="-1"/>
                <w:szCs w:val="20"/>
              </w:rPr>
              <w:t>ou</w:t>
            </w:r>
            <w:r w:rsidRPr="009217C5">
              <w:rPr>
                <w:szCs w:val="20"/>
              </w:rPr>
              <w:t>r</w:t>
            </w:r>
            <w:r w:rsidRPr="009217C5">
              <w:rPr>
                <w:spacing w:val="1"/>
                <w:szCs w:val="20"/>
              </w:rPr>
              <w:t xml:space="preserve"> </w:t>
            </w:r>
            <w:r w:rsidRPr="009217C5">
              <w:rPr>
                <w:szCs w:val="20"/>
              </w:rPr>
              <w:t>af</w:t>
            </w:r>
            <w:r w:rsidRPr="009217C5">
              <w:rPr>
                <w:spacing w:val="-1"/>
                <w:szCs w:val="20"/>
              </w:rPr>
              <w:t>te</w:t>
            </w:r>
            <w:r w:rsidRPr="009217C5">
              <w:rPr>
                <w:szCs w:val="20"/>
              </w:rPr>
              <w:t>r</w:t>
            </w:r>
            <w:r w:rsidRPr="009217C5">
              <w:rPr>
                <w:spacing w:val="1"/>
                <w:szCs w:val="20"/>
              </w:rPr>
              <w:t xml:space="preserve"> </w:t>
            </w:r>
            <w:r w:rsidRPr="009217C5">
              <w:rPr>
                <w:spacing w:val="-1"/>
                <w:szCs w:val="20"/>
              </w:rPr>
              <w:t>i</w:t>
            </w:r>
            <w:r w:rsidRPr="009217C5">
              <w:rPr>
                <w:spacing w:val="1"/>
                <w:szCs w:val="20"/>
              </w:rPr>
              <w:t>n</w:t>
            </w:r>
            <w:r w:rsidRPr="009217C5">
              <w:rPr>
                <w:spacing w:val="-1"/>
                <w:szCs w:val="20"/>
              </w:rPr>
              <w:t>ci</w:t>
            </w:r>
            <w:r w:rsidRPr="009217C5">
              <w:rPr>
                <w:szCs w:val="20"/>
              </w:rPr>
              <w:t>dent</w:t>
            </w:r>
          </w:p>
        </w:tc>
        <w:tc>
          <w:tcPr>
            <w:tcW w:w="163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279FBBD3" w14:textId="77777777">
            <w:pPr>
              <w:widowControl w:val="0"/>
              <w:autoSpaceDE w:val="0"/>
              <w:autoSpaceDN w:val="0"/>
              <w:adjustRightInd w:val="0"/>
              <w:ind w:left="101" w:right="-20"/>
              <w:rPr>
                <w:szCs w:val="24"/>
              </w:rPr>
            </w:pPr>
            <w:r w:rsidRPr="009217C5">
              <w:rPr>
                <w:szCs w:val="20"/>
              </w:rPr>
              <w:t>E</w:t>
            </w:r>
            <w:r w:rsidRPr="009217C5">
              <w:rPr>
                <w:spacing w:val="-2"/>
                <w:szCs w:val="20"/>
              </w:rPr>
              <w:t>m</w:t>
            </w:r>
            <w:r w:rsidRPr="009217C5">
              <w:rPr>
                <w:szCs w:val="20"/>
              </w:rPr>
              <w:t>ergency a</w:t>
            </w:r>
            <w:r w:rsidRPr="009217C5">
              <w:rPr>
                <w:spacing w:val="-1"/>
                <w:szCs w:val="20"/>
              </w:rPr>
              <w:t>l</w:t>
            </w:r>
            <w:r w:rsidRPr="009217C5">
              <w:rPr>
                <w:szCs w:val="20"/>
              </w:rPr>
              <w:t>ert che</w:t>
            </w:r>
            <w:r w:rsidRPr="009217C5">
              <w:rPr>
                <w:spacing w:val="-1"/>
                <w:szCs w:val="20"/>
              </w:rPr>
              <w:t>c</w:t>
            </w:r>
            <w:r w:rsidRPr="009217C5">
              <w:rPr>
                <w:szCs w:val="20"/>
              </w:rPr>
              <w:t>k</w:t>
            </w:r>
            <w:r w:rsidRPr="009217C5">
              <w:rPr>
                <w:spacing w:val="-1"/>
                <w:szCs w:val="20"/>
              </w:rPr>
              <w:t>-o</w:t>
            </w:r>
            <w:r w:rsidRPr="009217C5">
              <w:rPr>
                <w:szCs w:val="20"/>
              </w:rPr>
              <w:t>ff</w:t>
            </w:r>
          </w:p>
        </w:tc>
      </w:tr>
      <w:tr w:rsidRPr="009217C5" w:rsidR="00FF5801" w:rsidTr="00710137" w14:paraId="52954D96" w14:textId="77777777">
        <w:trPr>
          <w:trHeight w:val="422"/>
        </w:trPr>
        <w:tc>
          <w:tcPr>
            <w:tcW w:w="867"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1E9C4BF8" w14:textId="77777777">
            <w:pPr>
              <w:widowControl w:val="0"/>
              <w:autoSpaceDE w:val="0"/>
              <w:autoSpaceDN w:val="0"/>
              <w:adjustRightInd w:val="0"/>
              <w:ind w:left="102" w:right="-20"/>
              <w:rPr>
                <w:szCs w:val="24"/>
              </w:rPr>
            </w:pPr>
            <w:r w:rsidRPr="009217C5">
              <w:rPr>
                <w:szCs w:val="20"/>
              </w:rPr>
              <w:t>OE</w:t>
            </w:r>
            <w:r w:rsidRPr="009217C5">
              <w:rPr>
                <w:spacing w:val="-1"/>
                <w:szCs w:val="20"/>
              </w:rPr>
              <w:t>-4</w:t>
            </w:r>
            <w:r w:rsidRPr="009217C5">
              <w:rPr>
                <w:szCs w:val="20"/>
              </w:rPr>
              <w:t>17</w:t>
            </w:r>
            <w:r>
              <w:rPr>
                <w:szCs w:val="20"/>
              </w:rPr>
              <w:t xml:space="preserve">, </w:t>
            </w:r>
            <w:r w:rsidRPr="009217C5">
              <w:rPr>
                <w:szCs w:val="20"/>
              </w:rPr>
              <w:t>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6D1B3B4A" w14:textId="77777777">
            <w:pPr>
              <w:widowControl w:val="0"/>
              <w:autoSpaceDE w:val="0"/>
              <w:autoSpaceDN w:val="0"/>
              <w:adjustRightInd w:val="0"/>
              <w:ind w:left="102" w:right="-20"/>
              <w:rPr>
                <w:szCs w:val="24"/>
              </w:rPr>
            </w:pPr>
            <w:r w:rsidRPr="009217C5">
              <w:rPr>
                <w:szCs w:val="20"/>
              </w:rPr>
              <w:t>Per oth</w:t>
            </w:r>
            <w:r w:rsidRPr="009217C5">
              <w:rPr>
                <w:spacing w:val="-1"/>
                <w:szCs w:val="20"/>
              </w:rPr>
              <w:t>e</w:t>
            </w:r>
            <w:r w:rsidRPr="009217C5">
              <w:rPr>
                <w:szCs w:val="20"/>
              </w:rPr>
              <w:t>r</w:t>
            </w:r>
            <w:r w:rsidRPr="009217C5">
              <w:rPr>
                <w:spacing w:val="1"/>
                <w:szCs w:val="20"/>
              </w:rPr>
              <w:t xml:space="preserve"> </w:t>
            </w:r>
            <w:r w:rsidRPr="009217C5">
              <w:rPr>
                <w:szCs w:val="20"/>
              </w:rPr>
              <w:t>t</w:t>
            </w:r>
            <w:r w:rsidRPr="009217C5">
              <w:rPr>
                <w:spacing w:val="-1"/>
                <w:szCs w:val="20"/>
              </w:rPr>
              <w:t>y</w:t>
            </w:r>
            <w:r w:rsidRPr="009217C5">
              <w:rPr>
                <w:szCs w:val="20"/>
              </w:rPr>
              <w:t>pes</w:t>
            </w:r>
            <w:r w:rsidRPr="009217C5">
              <w:rPr>
                <w:spacing w:val="-1"/>
                <w:szCs w:val="20"/>
              </w:rPr>
              <w:t xml:space="preserve"> o</w:t>
            </w:r>
            <w:r w:rsidRPr="009217C5">
              <w:rPr>
                <w:szCs w:val="20"/>
              </w:rPr>
              <w:t>f</w:t>
            </w:r>
            <w:r>
              <w:rPr>
                <w:szCs w:val="20"/>
              </w:rPr>
              <w:t xml:space="preserve"> i</w:t>
            </w:r>
            <w:r w:rsidRPr="009217C5">
              <w:rPr>
                <w:spacing w:val="1"/>
                <w:szCs w:val="20"/>
              </w:rPr>
              <w:t>n</w:t>
            </w:r>
            <w:r w:rsidRPr="009217C5">
              <w:rPr>
                <w:szCs w:val="20"/>
              </w:rPr>
              <w:t>cidents</w:t>
            </w:r>
          </w:p>
        </w:tc>
        <w:tc>
          <w:tcPr>
            <w:tcW w:w="1453"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48BE69B0" w14:textId="77777777">
            <w:pPr>
              <w:widowControl w:val="0"/>
              <w:autoSpaceDE w:val="0"/>
              <w:autoSpaceDN w:val="0"/>
              <w:adjustRightInd w:val="0"/>
              <w:jc w:val="center"/>
              <w:rPr>
                <w:szCs w:val="24"/>
              </w:rPr>
            </w:pPr>
            <w:r w:rsidRPr="009217C5">
              <w:rPr>
                <w:szCs w:val="20"/>
              </w:rPr>
              <w:t>6</w:t>
            </w:r>
            <w:r w:rsidRPr="009217C5">
              <w:rPr>
                <w:spacing w:val="-1"/>
                <w:szCs w:val="20"/>
              </w:rPr>
              <w:t xml:space="preserve"> </w:t>
            </w:r>
            <w:r w:rsidRPr="009217C5">
              <w:rPr>
                <w:szCs w:val="20"/>
              </w:rPr>
              <w:t>hour aft</w:t>
            </w:r>
            <w:r w:rsidRPr="009217C5">
              <w:rPr>
                <w:spacing w:val="-1"/>
                <w:szCs w:val="20"/>
              </w:rPr>
              <w:t>e</w:t>
            </w:r>
            <w:r w:rsidRPr="009217C5">
              <w:rPr>
                <w:szCs w:val="20"/>
              </w:rPr>
              <w:t>r in</w:t>
            </w:r>
            <w:r w:rsidRPr="009217C5">
              <w:rPr>
                <w:spacing w:val="-1"/>
                <w:szCs w:val="20"/>
              </w:rPr>
              <w:t>c</w:t>
            </w:r>
            <w:r w:rsidRPr="009217C5">
              <w:rPr>
                <w:szCs w:val="20"/>
              </w:rPr>
              <w:t>ident</w:t>
            </w:r>
          </w:p>
        </w:tc>
        <w:tc>
          <w:tcPr>
            <w:tcW w:w="163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4BE95CAE" w14:textId="77777777">
            <w:pPr>
              <w:widowControl w:val="0"/>
              <w:autoSpaceDE w:val="0"/>
              <w:autoSpaceDN w:val="0"/>
              <w:adjustRightInd w:val="0"/>
              <w:ind w:left="101" w:right="-20"/>
              <w:rPr>
                <w:szCs w:val="24"/>
              </w:rPr>
            </w:pPr>
            <w:r w:rsidRPr="009217C5">
              <w:rPr>
                <w:szCs w:val="20"/>
              </w:rPr>
              <w:t>Nor</w:t>
            </w:r>
            <w:r w:rsidRPr="009217C5">
              <w:rPr>
                <w:spacing w:val="-2"/>
                <w:szCs w:val="20"/>
              </w:rPr>
              <w:t>m</w:t>
            </w:r>
            <w:r w:rsidRPr="009217C5">
              <w:rPr>
                <w:szCs w:val="20"/>
              </w:rPr>
              <w:t xml:space="preserve">al </w:t>
            </w:r>
            <w:r>
              <w:rPr>
                <w:szCs w:val="20"/>
              </w:rPr>
              <w:t>Report</w:t>
            </w:r>
            <w:r w:rsidRPr="009217C5">
              <w:rPr>
                <w:szCs w:val="20"/>
              </w:rPr>
              <w:t xml:space="preserve"> check-off</w:t>
            </w:r>
          </w:p>
        </w:tc>
      </w:tr>
      <w:tr w:rsidRPr="009217C5" w:rsidR="00FF5801" w:rsidTr="00710137" w14:paraId="0DBCF55C" w14:textId="77777777">
        <w:trPr>
          <w:trHeight w:val="1043"/>
        </w:trPr>
        <w:tc>
          <w:tcPr>
            <w:tcW w:w="867"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44CE4D2E" w14:textId="77777777">
            <w:pPr>
              <w:widowControl w:val="0"/>
              <w:autoSpaceDE w:val="0"/>
              <w:autoSpaceDN w:val="0"/>
              <w:adjustRightInd w:val="0"/>
              <w:ind w:left="102" w:right="-20"/>
              <w:rPr>
                <w:szCs w:val="20"/>
              </w:rPr>
            </w:pPr>
            <w:r w:rsidRPr="009217C5">
              <w:rPr>
                <w:szCs w:val="20"/>
              </w:rPr>
              <w:t>OE</w:t>
            </w:r>
            <w:r w:rsidRPr="009217C5">
              <w:rPr>
                <w:spacing w:val="-1"/>
                <w:szCs w:val="20"/>
              </w:rPr>
              <w:t>-4</w:t>
            </w:r>
            <w:r w:rsidRPr="009217C5">
              <w:rPr>
                <w:szCs w:val="20"/>
              </w:rPr>
              <w:t>17</w:t>
            </w:r>
            <w:r>
              <w:rPr>
                <w:szCs w:val="20"/>
              </w:rPr>
              <w:t xml:space="preserve">, </w:t>
            </w:r>
            <w:r w:rsidRPr="009217C5">
              <w:rPr>
                <w:szCs w:val="20"/>
              </w:rPr>
              <w:t>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3973C7CF" w14:textId="77777777">
            <w:pPr>
              <w:widowControl w:val="0"/>
              <w:autoSpaceDE w:val="0"/>
              <w:autoSpaceDN w:val="0"/>
              <w:adjustRightInd w:val="0"/>
              <w:ind w:left="102" w:right="-20"/>
              <w:rPr>
                <w:szCs w:val="20"/>
              </w:rPr>
            </w:pPr>
            <w:r w:rsidRPr="009217C5">
              <w:rPr>
                <w:szCs w:val="20"/>
              </w:rPr>
              <w:t>Per oth</w:t>
            </w:r>
            <w:r w:rsidRPr="009217C5">
              <w:rPr>
                <w:spacing w:val="-1"/>
                <w:szCs w:val="20"/>
              </w:rPr>
              <w:t>e</w:t>
            </w:r>
            <w:r w:rsidRPr="009217C5">
              <w:rPr>
                <w:szCs w:val="20"/>
              </w:rPr>
              <w:t>r</w:t>
            </w:r>
            <w:r w:rsidRPr="009217C5">
              <w:rPr>
                <w:spacing w:val="1"/>
                <w:szCs w:val="20"/>
              </w:rPr>
              <w:t xml:space="preserve"> </w:t>
            </w:r>
            <w:r w:rsidRPr="009217C5">
              <w:rPr>
                <w:szCs w:val="20"/>
              </w:rPr>
              <w:t>t</w:t>
            </w:r>
            <w:r w:rsidRPr="009217C5">
              <w:rPr>
                <w:spacing w:val="-1"/>
                <w:szCs w:val="20"/>
              </w:rPr>
              <w:t>y</w:t>
            </w:r>
            <w:r w:rsidRPr="009217C5">
              <w:rPr>
                <w:szCs w:val="20"/>
              </w:rPr>
              <w:t>pes</w:t>
            </w:r>
            <w:r w:rsidRPr="009217C5">
              <w:rPr>
                <w:spacing w:val="-1"/>
                <w:szCs w:val="20"/>
              </w:rPr>
              <w:t xml:space="preserve"> o</w:t>
            </w:r>
            <w:r w:rsidRPr="009217C5">
              <w:rPr>
                <w:szCs w:val="20"/>
              </w:rPr>
              <w:t>f</w:t>
            </w:r>
            <w:r>
              <w:rPr>
                <w:szCs w:val="20"/>
              </w:rPr>
              <w:t xml:space="preserve"> i</w:t>
            </w:r>
            <w:r w:rsidRPr="009217C5">
              <w:rPr>
                <w:spacing w:val="1"/>
                <w:szCs w:val="20"/>
              </w:rPr>
              <w:t>n</w:t>
            </w:r>
            <w:r w:rsidRPr="009217C5">
              <w:rPr>
                <w:szCs w:val="20"/>
              </w:rPr>
              <w:t>cidents</w:t>
            </w:r>
          </w:p>
        </w:tc>
        <w:tc>
          <w:tcPr>
            <w:tcW w:w="1453"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29C531D5" w14:textId="77777777">
            <w:pPr>
              <w:widowControl w:val="0"/>
              <w:autoSpaceDE w:val="0"/>
              <w:autoSpaceDN w:val="0"/>
              <w:adjustRightInd w:val="0"/>
              <w:jc w:val="center"/>
              <w:rPr>
                <w:szCs w:val="20"/>
              </w:rPr>
            </w:pPr>
            <w:r w:rsidRPr="0031763E">
              <w:rPr>
                <w:szCs w:val="20"/>
              </w:rPr>
              <w:t>24 hours after the recognition of the incident OR by the end of the next business day</w:t>
            </w:r>
            <w:r>
              <w:rPr>
                <w:szCs w:val="20"/>
              </w:rPr>
              <w:t>, whichever is later</w:t>
            </w:r>
            <w:r w:rsidRPr="0031763E">
              <w:rPr>
                <w:szCs w:val="20"/>
              </w:rPr>
              <w:t xml:space="preserve"> </w:t>
            </w:r>
          </w:p>
        </w:tc>
        <w:tc>
          <w:tcPr>
            <w:tcW w:w="163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0D1585DC" w14:textId="77777777">
            <w:pPr>
              <w:widowControl w:val="0"/>
              <w:autoSpaceDE w:val="0"/>
              <w:autoSpaceDN w:val="0"/>
              <w:adjustRightInd w:val="0"/>
              <w:ind w:left="101" w:right="-20"/>
              <w:rPr>
                <w:szCs w:val="20"/>
              </w:rPr>
            </w:pPr>
            <w:r>
              <w:rPr>
                <w:szCs w:val="20"/>
              </w:rPr>
              <w:t>System</w:t>
            </w:r>
            <w:r w:rsidRPr="009217C5">
              <w:rPr>
                <w:szCs w:val="20"/>
              </w:rPr>
              <w:t xml:space="preserve"> </w:t>
            </w:r>
            <w:r>
              <w:rPr>
                <w:szCs w:val="20"/>
              </w:rPr>
              <w:t xml:space="preserve">Report </w:t>
            </w:r>
            <w:r w:rsidRPr="009217C5">
              <w:rPr>
                <w:szCs w:val="20"/>
              </w:rPr>
              <w:t>check-off</w:t>
            </w:r>
          </w:p>
        </w:tc>
      </w:tr>
      <w:tr w:rsidRPr="009217C5" w:rsidR="00FF5801" w:rsidTr="00710137" w14:paraId="3C79B5F9" w14:textId="77777777">
        <w:trPr>
          <w:trHeight w:val="1043"/>
        </w:trPr>
        <w:tc>
          <w:tcPr>
            <w:tcW w:w="867"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251D72E3" w14:textId="77777777">
            <w:pPr>
              <w:widowControl w:val="0"/>
              <w:autoSpaceDE w:val="0"/>
              <w:autoSpaceDN w:val="0"/>
              <w:adjustRightInd w:val="0"/>
              <w:ind w:left="102" w:right="-20"/>
              <w:rPr>
                <w:szCs w:val="20"/>
              </w:rPr>
            </w:pPr>
            <w:r w:rsidRPr="009217C5">
              <w:rPr>
                <w:szCs w:val="20"/>
              </w:rPr>
              <w:t>OE</w:t>
            </w:r>
            <w:r w:rsidRPr="009217C5">
              <w:rPr>
                <w:spacing w:val="-1"/>
                <w:szCs w:val="20"/>
              </w:rPr>
              <w:t>-4</w:t>
            </w:r>
            <w:r w:rsidRPr="009217C5">
              <w:rPr>
                <w:szCs w:val="20"/>
              </w:rPr>
              <w:t>17</w:t>
            </w:r>
            <w:r>
              <w:rPr>
                <w:szCs w:val="20"/>
              </w:rPr>
              <w:t xml:space="preserve">, </w:t>
            </w:r>
            <w:r w:rsidRPr="009217C5">
              <w:rPr>
                <w:szCs w:val="20"/>
              </w:rPr>
              <w:t>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75CD253C" w14:textId="77777777">
            <w:pPr>
              <w:widowControl w:val="0"/>
              <w:autoSpaceDE w:val="0"/>
              <w:autoSpaceDN w:val="0"/>
              <w:adjustRightInd w:val="0"/>
              <w:ind w:left="102" w:right="-20"/>
              <w:rPr>
                <w:szCs w:val="20"/>
              </w:rPr>
            </w:pPr>
            <w:r w:rsidRPr="009217C5">
              <w:rPr>
                <w:szCs w:val="20"/>
              </w:rPr>
              <w:t>Per oth</w:t>
            </w:r>
            <w:r w:rsidRPr="009217C5">
              <w:rPr>
                <w:spacing w:val="-1"/>
                <w:szCs w:val="20"/>
              </w:rPr>
              <w:t>e</w:t>
            </w:r>
            <w:r w:rsidRPr="009217C5">
              <w:rPr>
                <w:szCs w:val="20"/>
              </w:rPr>
              <w:t>r</w:t>
            </w:r>
            <w:r w:rsidRPr="009217C5">
              <w:rPr>
                <w:spacing w:val="1"/>
                <w:szCs w:val="20"/>
              </w:rPr>
              <w:t xml:space="preserve"> </w:t>
            </w:r>
            <w:r w:rsidRPr="009217C5">
              <w:rPr>
                <w:szCs w:val="20"/>
              </w:rPr>
              <w:t>t</w:t>
            </w:r>
            <w:r w:rsidRPr="009217C5">
              <w:rPr>
                <w:spacing w:val="-1"/>
                <w:szCs w:val="20"/>
              </w:rPr>
              <w:t>y</w:t>
            </w:r>
            <w:r w:rsidRPr="009217C5">
              <w:rPr>
                <w:szCs w:val="20"/>
              </w:rPr>
              <w:t>pes</w:t>
            </w:r>
            <w:r w:rsidRPr="009217C5">
              <w:rPr>
                <w:spacing w:val="-1"/>
                <w:szCs w:val="20"/>
              </w:rPr>
              <w:t xml:space="preserve"> o</w:t>
            </w:r>
            <w:r w:rsidRPr="009217C5">
              <w:rPr>
                <w:szCs w:val="20"/>
              </w:rPr>
              <w:t>f</w:t>
            </w:r>
            <w:r>
              <w:rPr>
                <w:szCs w:val="20"/>
              </w:rPr>
              <w:t xml:space="preserve"> i</w:t>
            </w:r>
            <w:r w:rsidRPr="009217C5">
              <w:rPr>
                <w:spacing w:val="1"/>
                <w:szCs w:val="20"/>
              </w:rPr>
              <w:t>n</w:t>
            </w:r>
            <w:r w:rsidRPr="009217C5">
              <w:rPr>
                <w:szCs w:val="20"/>
              </w:rPr>
              <w:t>cidents</w:t>
            </w:r>
          </w:p>
        </w:tc>
        <w:tc>
          <w:tcPr>
            <w:tcW w:w="1453" w:type="pct"/>
            <w:tcBorders>
              <w:top w:val="single" w:color="000000" w:sz="4" w:space="0"/>
              <w:left w:val="single" w:color="000000" w:sz="4" w:space="0"/>
              <w:bottom w:val="single" w:color="000000" w:sz="4" w:space="0"/>
              <w:right w:val="single" w:color="000000" w:sz="4" w:space="0"/>
            </w:tcBorders>
          </w:tcPr>
          <w:p w:rsidRPr="0031763E" w:rsidR="00FF5801" w:rsidP="00710137" w:rsidRDefault="00FF5801" w14:paraId="5A1A6688" w14:textId="77777777">
            <w:pPr>
              <w:widowControl w:val="0"/>
              <w:autoSpaceDE w:val="0"/>
              <w:autoSpaceDN w:val="0"/>
              <w:adjustRightInd w:val="0"/>
              <w:jc w:val="center"/>
              <w:rPr>
                <w:szCs w:val="20"/>
              </w:rPr>
            </w:pPr>
            <w:r w:rsidRPr="0031763E">
              <w:rPr>
                <w:szCs w:val="20"/>
              </w:rPr>
              <w:t>24 hours after the recognition of the incident</w:t>
            </w:r>
          </w:p>
        </w:tc>
        <w:tc>
          <w:tcPr>
            <w:tcW w:w="1635" w:type="pct"/>
            <w:tcBorders>
              <w:top w:val="single" w:color="000000" w:sz="4" w:space="0"/>
              <w:left w:val="single" w:color="000000" w:sz="4" w:space="0"/>
              <w:bottom w:val="single" w:color="000000" w:sz="4" w:space="0"/>
              <w:right w:val="single" w:color="000000" w:sz="4" w:space="0"/>
            </w:tcBorders>
          </w:tcPr>
          <w:p w:rsidR="00FF5801" w:rsidP="00710137" w:rsidRDefault="00FF5801" w14:paraId="41DC5370" w14:textId="77777777">
            <w:pPr>
              <w:widowControl w:val="0"/>
              <w:autoSpaceDE w:val="0"/>
              <w:autoSpaceDN w:val="0"/>
              <w:adjustRightInd w:val="0"/>
              <w:ind w:left="101" w:right="-20"/>
              <w:rPr>
                <w:szCs w:val="20"/>
              </w:rPr>
            </w:pPr>
            <w:r>
              <w:rPr>
                <w:szCs w:val="20"/>
              </w:rPr>
              <w:t>Attempted Cyber Compromise check-off</w:t>
            </w:r>
          </w:p>
        </w:tc>
      </w:tr>
      <w:tr w:rsidRPr="009217C5" w:rsidR="00FF5801" w:rsidTr="00710137" w14:paraId="3A9A7468" w14:textId="77777777">
        <w:trPr>
          <w:trHeight w:val="800"/>
        </w:trPr>
        <w:tc>
          <w:tcPr>
            <w:tcW w:w="867"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2446D379" w14:textId="77777777">
            <w:pPr>
              <w:widowControl w:val="0"/>
              <w:autoSpaceDE w:val="0"/>
              <w:autoSpaceDN w:val="0"/>
              <w:adjustRightInd w:val="0"/>
              <w:ind w:left="102" w:right="-20"/>
              <w:rPr>
                <w:szCs w:val="24"/>
              </w:rPr>
            </w:pPr>
            <w:r w:rsidRPr="009217C5">
              <w:rPr>
                <w:szCs w:val="20"/>
              </w:rPr>
              <w:t>OE</w:t>
            </w:r>
            <w:r w:rsidRPr="009217C5">
              <w:rPr>
                <w:spacing w:val="-1"/>
                <w:szCs w:val="20"/>
              </w:rPr>
              <w:t>-4</w:t>
            </w:r>
            <w:r w:rsidRPr="009217C5">
              <w:rPr>
                <w:szCs w:val="20"/>
              </w:rPr>
              <w:t>17</w:t>
            </w:r>
            <w:r>
              <w:rPr>
                <w:szCs w:val="20"/>
              </w:rPr>
              <w:t xml:space="preserve">, </w:t>
            </w:r>
            <w:r w:rsidRPr="009217C5">
              <w:rPr>
                <w:szCs w:val="20"/>
              </w:rPr>
              <w:t>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4C2B7D68" w14:textId="77777777">
            <w:pPr>
              <w:widowControl w:val="0"/>
              <w:autoSpaceDE w:val="0"/>
              <w:autoSpaceDN w:val="0"/>
              <w:adjustRightInd w:val="0"/>
              <w:ind w:left="102" w:right="-20"/>
              <w:rPr>
                <w:szCs w:val="24"/>
              </w:rPr>
            </w:pPr>
            <w:r w:rsidRPr="009217C5">
              <w:rPr>
                <w:szCs w:val="20"/>
              </w:rPr>
              <w:t xml:space="preserve">As </w:t>
            </w:r>
            <w:r w:rsidRPr="009217C5">
              <w:rPr>
                <w:spacing w:val="-1"/>
                <w:szCs w:val="20"/>
              </w:rPr>
              <w:t>c</w:t>
            </w:r>
            <w:r w:rsidRPr="009217C5">
              <w:rPr>
                <w:spacing w:val="1"/>
                <w:szCs w:val="20"/>
              </w:rPr>
              <w:t>h</w:t>
            </w:r>
            <w:r w:rsidRPr="009217C5">
              <w:rPr>
                <w:spacing w:val="-1"/>
                <w:szCs w:val="20"/>
              </w:rPr>
              <w:t>a</w:t>
            </w:r>
            <w:r w:rsidRPr="009217C5">
              <w:rPr>
                <w:spacing w:val="1"/>
                <w:szCs w:val="20"/>
              </w:rPr>
              <w:t>ng</w:t>
            </w:r>
            <w:r w:rsidRPr="009217C5">
              <w:rPr>
                <w:szCs w:val="20"/>
              </w:rPr>
              <w:t>es</w:t>
            </w:r>
            <w:r w:rsidRPr="009217C5">
              <w:rPr>
                <w:spacing w:val="-1"/>
                <w:szCs w:val="20"/>
              </w:rPr>
              <w:t xml:space="preserve"> to</w:t>
            </w:r>
            <w:r>
              <w:rPr>
                <w:szCs w:val="20"/>
              </w:rPr>
              <w:t xml:space="preserve"> key information, such as cause or number of impacted customers, </w:t>
            </w:r>
            <w:r w:rsidRPr="009217C5">
              <w:rPr>
                <w:szCs w:val="20"/>
              </w:rPr>
              <w:t>beco</w:t>
            </w:r>
            <w:r w:rsidRPr="009217C5">
              <w:rPr>
                <w:spacing w:val="-2"/>
                <w:szCs w:val="20"/>
              </w:rPr>
              <w:t>m</w:t>
            </w:r>
            <w:r w:rsidRPr="009217C5">
              <w:rPr>
                <w:szCs w:val="20"/>
              </w:rPr>
              <w:t>e</w:t>
            </w:r>
            <w:r>
              <w:rPr>
                <w:szCs w:val="20"/>
              </w:rPr>
              <w:t>s</w:t>
            </w:r>
            <w:r w:rsidRPr="009217C5">
              <w:rPr>
                <w:szCs w:val="20"/>
              </w:rPr>
              <w:t xml:space="preserve"> available</w:t>
            </w:r>
          </w:p>
        </w:tc>
        <w:tc>
          <w:tcPr>
            <w:tcW w:w="1453"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3B76DE51" w14:textId="77777777">
            <w:pPr>
              <w:widowControl w:val="0"/>
              <w:autoSpaceDE w:val="0"/>
              <w:autoSpaceDN w:val="0"/>
              <w:adjustRightInd w:val="0"/>
              <w:jc w:val="center"/>
              <w:rPr>
                <w:szCs w:val="20"/>
              </w:rPr>
            </w:pPr>
            <w:r w:rsidRPr="009217C5">
              <w:rPr>
                <w:szCs w:val="20"/>
              </w:rPr>
              <w:t>After i</w:t>
            </w:r>
            <w:r w:rsidRPr="009217C5">
              <w:rPr>
                <w:spacing w:val="1"/>
                <w:szCs w:val="20"/>
              </w:rPr>
              <w:t>n</w:t>
            </w:r>
            <w:r w:rsidRPr="009217C5">
              <w:rPr>
                <w:szCs w:val="20"/>
              </w:rPr>
              <w:t>itial sub</w:t>
            </w:r>
            <w:r w:rsidRPr="009217C5">
              <w:rPr>
                <w:spacing w:val="-2"/>
                <w:szCs w:val="20"/>
              </w:rPr>
              <w:t>m</w:t>
            </w:r>
            <w:r w:rsidRPr="009217C5">
              <w:rPr>
                <w:szCs w:val="20"/>
              </w:rPr>
              <w:t>ission of Sch</w:t>
            </w:r>
            <w:r w:rsidRPr="009217C5">
              <w:rPr>
                <w:spacing w:val="-1"/>
                <w:szCs w:val="20"/>
              </w:rPr>
              <w:t>e</w:t>
            </w:r>
            <w:r w:rsidRPr="009217C5">
              <w:rPr>
                <w:szCs w:val="20"/>
              </w:rPr>
              <w:t>dule 1</w:t>
            </w:r>
            <w:r w:rsidRPr="009217C5">
              <w:rPr>
                <w:spacing w:val="1"/>
                <w:szCs w:val="20"/>
              </w:rPr>
              <w:t xml:space="preserve"> </w:t>
            </w:r>
            <w:r w:rsidRPr="009217C5">
              <w:rPr>
                <w:spacing w:val="-1"/>
                <w:szCs w:val="20"/>
              </w:rPr>
              <w:t>a</w:t>
            </w:r>
            <w:r w:rsidRPr="009217C5">
              <w:rPr>
                <w:szCs w:val="20"/>
              </w:rPr>
              <w:t>s necess</w:t>
            </w:r>
            <w:r w:rsidRPr="009217C5">
              <w:rPr>
                <w:spacing w:val="-1"/>
                <w:szCs w:val="20"/>
              </w:rPr>
              <w:t>a</w:t>
            </w:r>
            <w:r w:rsidRPr="009217C5">
              <w:rPr>
                <w:szCs w:val="20"/>
              </w:rPr>
              <w:t>ry</w:t>
            </w:r>
          </w:p>
        </w:tc>
        <w:tc>
          <w:tcPr>
            <w:tcW w:w="163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5A3B939B" w14:textId="77777777">
            <w:pPr>
              <w:widowControl w:val="0"/>
              <w:autoSpaceDE w:val="0"/>
              <w:autoSpaceDN w:val="0"/>
              <w:adjustRightInd w:val="0"/>
              <w:ind w:left="102" w:right="-20"/>
              <w:rPr>
                <w:szCs w:val="24"/>
              </w:rPr>
            </w:pPr>
            <w:r w:rsidRPr="009217C5">
              <w:rPr>
                <w:szCs w:val="20"/>
              </w:rPr>
              <w:t>U</w:t>
            </w:r>
            <w:r w:rsidRPr="009217C5">
              <w:rPr>
                <w:spacing w:val="-1"/>
                <w:szCs w:val="20"/>
              </w:rPr>
              <w:t>p</w:t>
            </w:r>
            <w:r w:rsidRPr="009217C5">
              <w:rPr>
                <w:spacing w:val="1"/>
                <w:szCs w:val="20"/>
              </w:rPr>
              <w:t>d</w:t>
            </w:r>
            <w:r w:rsidRPr="009217C5">
              <w:rPr>
                <w:szCs w:val="20"/>
              </w:rPr>
              <w:t>a</w:t>
            </w:r>
            <w:r w:rsidRPr="009217C5">
              <w:rPr>
                <w:spacing w:val="-1"/>
                <w:szCs w:val="20"/>
              </w:rPr>
              <w:t>t</w:t>
            </w:r>
            <w:r w:rsidRPr="009217C5">
              <w:rPr>
                <w:szCs w:val="20"/>
              </w:rPr>
              <w:t xml:space="preserve">e </w:t>
            </w:r>
            <w:r w:rsidRPr="009217C5">
              <w:rPr>
                <w:spacing w:val="-1"/>
                <w:szCs w:val="20"/>
              </w:rPr>
              <w:t>c</w:t>
            </w:r>
            <w:r w:rsidRPr="009217C5">
              <w:rPr>
                <w:spacing w:val="1"/>
                <w:szCs w:val="20"/>
              </w:rPr>
              <w:t>h</w:t>
            </w:r>
            <w:r w:rsidRPr="009217C5">
              <w:rPr>
                <w:spacing w:val="-1"/>
                <w:szCs w:val="20"/>
              </w:rPr>
              <w:t>eck-</w:t>
            </w:r>
            <w:r w:rsidRPr="009217C5">
              <w:rPr>
                <w:spacing w:val="1"/>
                <w:szCs w:val="20"/>
              </w:rPr>
              <w:t>o</w:t>
            </w:r>
            <w:r w:rsidRPr="009217C5">
              <w:rPr>
                <w:spacing w:val="-1"/>
                <w:szCs w:val="20"/>
              </w:rPr>
              <w:t>ff</w:t>
            </w:r>
          </w:p>
        </w:tc>
      </w:tr>
      <w:tr w:rsidRPr="009217C5" w:rsidR="00FF5801" w:rsidTr="00710137" w14:paraId="76B0599A" w14:textId="77777777">
        <w:trPr>
          <w:trHeight w:val="1169"/>
        </w:trPr>
        <w:tc>
          <w:tcPr>
            <w:tcW w:w="867"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52707E1D" w14:textId="77777777">
            <w:pPr>
              <w:widowControl w:val="0"/>
              <w:autoSpaceDE w:val="0"/>
              <w:autoSpaceDN w:val="0"/>
              <w:adjustRightInd w:val="0"/>
              <w:ind w:left="102" w:right="-20"/>
              <w:rPr>
                <w:szCs w:val="24"/>
              </w:rPr>
            </w:pPr>
            <w:r w:rsidRPr="009217C5">
              <w:rPr>
                <w:szCs w:val="20"/>
              </w:rPr>
              <w:t>OE</w:t>
            </w:r>
            <w:r w:rsidRPr="009217C5">
              <w:rPr>
                <w:spacing w:val="-1"/>
                <w:szCs w:val="20"/>
              </w:rPr>
              <w:t>-4</w:t>
            </w:r>
            <w:r w:rsidRPr="009217C5">
              <w:rPr>
                <w:szCs w:val="20"/>
              </w:rPr>
              <w:t>1</w:t>
            </w:r>
            <w:r w:rsidRPr="009217C5">
              <w:rPr>
                <w:spacing w:val="-1"/>
                <w:szCs w:val="20"/>
              </w:rPr>
              <w:t>7</w:t>
            </w:r>
            <w:r w:rsidRPr="009217C5">
              <w:rPr>
                <w:szCs w:val="20"/>
              </w:rPr>
              <w:t>,</w:t>
            </w:r>
            <w:r>
              <w:rPr>
                <w:szCs w:val="20"/>
              </w:rPr>
              <w:t xml:space="preserve"> </w:t>
            </w:r>
            <w:r w:rsidRPr="009217C5">
              <w:rPr>
                <w:szCs w:val="20"/>
              </w:rPr>
              <w:t>Sch</w:t>
            </w:r>
            <w:r w:rsidRPr="009217C5">
              <w:rPr>
                <w:spacing w:val="-1"/>
                <w:szCs w:val="20"/>
              </w:rPr>
              <w:t>e</w:t>
            </w:r>
            <w:r w:rsidRPr="009217C5">
              <w:rPr>
                <w:szCs w:val="20"/>
              </w:rPr>
              <w:t>dule 1 a</w:t>
            </w:r>
            <w:r w:rsidRPr="009217C5">
              <w:rPr>
                <w:spacing w:val="1"/>
                <w:szCs w:val="20"/>
              </w:rPr>
              <w:t>n</w:t>
            </w:r>
            <w:r w:rsidRPr="009217C5">
              <w:rPr>
                <w:szCs w:val="20"/>
              </w:rPr>
              <w:t>d 2</w:t>
            </w:r>
          </w:p>
        </w:tc>
        <w:tc>
          <w:tcPr>
            <w:tcW w:w="1045"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40A3118D" w14:textId="77777777">
            <w:pPr>
              <w:widowControl w:val="0"/>
              <w:autoSpaceDE w:val="0"/>
              <w:autoSpaceDN w:val="0"/>
              <w:adjustRightInd w:val="0"/>
              <w:ind w:left="102" w:right="-20"/>
              <w:rPr>
                <w:szCs w:val="24"/>
              </w:rPr>
            </w:pPr>
            <w:r w:rsidRPr="009217C5">
              <w:rPr>
                <w:szCs w:val="20"/>
              </w:rPr>
              <w:t>Per</w:t>
            </w:r>
            <w:r w:rsidRPr="009217C5">
              <w:rPr>
                <w:spacing w:val="1"/>
                <w:szCs w:val="20"/>
              </w:rPr>
              <w:t xml:space="preserve"> </w:t>
            </w:r>
            <w:r>
              <w:rPr>
                <w:spacing w:val="1"/>
                <w:szCs w:val="20"/>
              </w:rPr>
              <w:t xml:space="preserve">any </w:t>
            </w:r>
            <w:r w:rsidRPr="009217C5">
              <w:rPr>
                <w:spacing w:val="-2"/>
                <w:szCs w:val="20"/>
              </w:rPr>
              <w:t>i</w:t>
            </w:r>
            <w:r w:rsidRPr="009217C5">
              <w:rPr>
                <w:spacing w:val="1"/>
                <w:szCs w:val="20"/>
              </w:rPr>
              <w:t>n</w:t>
            </w:r>
            <w:r w:rsidRPr="009217C5">
              <w:rPr>
                <w:szCs w:val="20"/>
              </w:rPr>
              <w:t>cid</w:t>
            </w:r>
            <w:r w:rsidRPr="009217C5">
              <w:rPr>
                <w:spacing w:val="-1"/>
                <w:szCs w:val="20"/>
              </w:rPr>
              <w:t>e</w:t>
            </w:r>
            <w:r w:rsidRPr="009217C5">
              <w:rPr>
                <w:szCs w:val="20"/>
              </w:rPr>
              <w:t>nt</w:t>
            </w:r>
          </w:p>
        </w:tc>
        <w:tc>
          <w:tcPr>
            <w:tcW w:w="1453" w:type="pct"/>
            <w:tcBorders>
              <w:top w:val="single" w:color="000000" w:sz="4" w:space="0"/>
              <w:left w:val="single" w:color="000000" w:sz="4" w:space="0"/>
              <w:bottom w:val="single" w:color="000000" w:sz="4" w:space="0"/>
              <w:right w:val="single" w:color="000000" w:sz="4" w:space="0"/>
            </w:tcBorders>
          </w:tcPr>
          <w:p w:rsidRPr="009217C5" w:rsidR="00FF5801" w:rsidP="00710137" w:rsidRDefault="00FF5801" w14:paraId="4AE52118" w14:textId="77777777">
            <w:pPr>
              <w:widowControl w:val="0"/>
              <w:autoSpaceDE w:val="0"/>
              <w:autoSpaceDN w:val="0"/>
              <w:adjustRightInd w:val="0"/>
              <w:jc w:val="center"/>
              <w:rPr>
                <w:szCs w:val="24"/>
              </w:rPr>
            </w:pPr>
            <w:r w:rsidRPr="009217C5">
              <w:rPr>
                <w:szCs w:val="20"/>
              </w:rPr>
              <w:t xml:space="preserve">72 </w:t>
            </w:r>
            <w:r w:rsidRPr="009217C5">
              <w:rPr>
                <w:spacing w:val="-1"/>
                <w:szCs w:val="20"/>
              </w:rPr>
              <w:t>ho</w:t>
            </w:r>
            <w:r w:rsidRPr="009217C5">
              <w:rPr>
                <w:spacing w:val="1"/>
                <w:szCs w:val="20"/>
              </w:rPr>
              <w:t>u</w:t>
            </w:r>
            <w:r w:rsidRPr="009217C5">
              <w:rPr>
                <w:szCs w:val="20"/>
              </w:rPr>
              <w:t>rs</w:t>
            </w:r>
            <w:r w:rsidRPr="009217C5">
              <w:rPr>
                <w:spacing w:val="-1"/>
                <w:szCs w:val="20"/>
              </w:rPr>
              <w:t xml:space="preserve"> </w:t>
            </w:r>
            <w:r w:rsidRPr="009217C5">
              <w:rPr>
                <w:szCs w:val="20"/>
              </w:rPr>
              <w:t>after</w:t>
            </w:r>
            <w:r>
              <w:rPr>
                <w:szCs w:val="20"/>
              </w:rPr>
              <w:t xml:space="preserve"> the </w:t>
            </w:r>
            <w:r w:rsidRPr="009217C5">
              <w:rPr>
                <w:szCs w:val="20"/>
              </w:rPr>
              <w:t>i</w:t>
            </w:r>
            <w:r w:rsidRPr="009217C5">
              <w:rPr>
                <w:spacing w:val="1"/>
                <w:szCs w:val="20"/>
              </w:rPr>
              <w:t>n</w:t>
            </w:r>
            <w:r w:rsidRPr="009217C5">
              <w:rPr>
                <w:szCs w:val="20"/>
              </w:rPr>
              <w:t>cident</w:t>
            </w:r>
          </w:p>
        </w:tc>
        <w:tc>
          <w:tcPr>
            <w:tcW w:w="1635" w:type="pct"/>
            <w:tcBorders>
              <w:top w:val="single" w:color="000000" w:sz="4" w:space="0"/>
              <w:left w:val="single" w:color="000000" w:sz="4" w:space="0"/>
              <w:bottom w:val="single" w:color="000000" w:sz="4" w:space="0"/>
              <w:right w:val="single" w:color="000000" w:sz="4" w:space="0"/>
            </w:tcBorders>
          </w:tcPr>
          <w:p w:rsidRPr="00715C22" w:rsidR="00FF5801" w:rsidP="00710137" w:rsidRDefault="00FF5801" w14:paraId="53336B83" w14:textId="77777777">
            <w:pPr>
              <w:widowControl w:val="0"/>
              <w:autoSpaceDE w:val="0"/>
              <w:autoSpaceDN w:val="0"/>
              <w:adjustRightInd w:val="0"/>
              <w:ind w:left="102" w:right="-20"/>
              <w:rPr>
                <w:szCs w:val="20"/>
              </w:rPr>
            </w:pPr>
            <w:r w:rsidRPr="009217C5">
              <w:rPr>
                <w:szCs w:val="20"/>
              </w:rPr>
              <w:t>Final</w:t>
            </w:r>
            <w:r w:rsidRPr="009217C5">
              <w:rPr>
                <w:spacing w:val="1"/>
                <w:szCs w:val="20"/>
              </w:rPr>
              <w:t xml:space="preserve"> </w:t>
            </w:r>
            <w:r w:rsidRPr="009217C5">
              <w:rPr>
                <w:szCs w:val="20"/>
              </w:rPr>
              <w:t>r</w:t>
            </w:r>
            <w:r w:rsidRPr="009217C5">
              <w:rPr>
                <w:spacing w:val="-1"/>
                <w:szCs w:val="20"/>
              </w:rPr>
              <w:t>ep</w:t>
            </w:r>
            <w:r w:rsidRPr="009217C5">
              <w:rPr>
                <w:spacing w:val="1"/>
                <w:szCs w:val="20"/>
              </w:rPr>
              <w:t>o</w:t>
            </w:r>
            <w:r w:rsidRPr="009217C5">
              <w:rPr>
                <w:szCs w:val="20"/>
              </w:rPr>
              <w:t>rt</w:t>
            </w:r>
            <w:r w:rsidRPr="009217C5">
              <w:rPr>
                <w:spacing w:val="1"/>
                <w:szCs w:val="20"/>
              </w:rPr>
              <w:t xml:space="preserve"> </w:t>
            </w:r>
            <w:r w:rsidRPr="009217C5">
              <w:rPr>
                <w:spacing w:val="-1"/>
                <w:szCs w:val="20"/>
              </w:rPr>
              <w:t>ch</w:t>
            </w:r>
            <w:r w:rsidRPr="009217C5">
              <w:rPr>
                <w:szCs w:val="20"/>
              </w:rPr>
              <w:t>eck</w:t>
            </w:r>
            <w:r w:rsidRPr="009217C5">
              <w:rPr>
                <w:spacing w:val="-1"/>
                <w:szCs w:val="20"/>
              </w:rPr>
              <w:t xml:space="preserve"> </w:t>
            </w:r>
            <w:r w:rsidRPr="009217C5">
              <w:rPr>
                <w:szCs w:val="20"/>
              </w:rPr>
              <w:t>o</w:t>
            </w:r>
            <w:r w:rsidRPr="009217C5">
              <w:rPr>
                <w:spacing w:val="-1"/>
                <w:szCs w:val="20"/>
              </w:rPr>
              <w:t>f</w:t>
            </w:r>
            <w:r w:rsidRPr="009217C5">
              <w:rPr>
                <w:szCs w:val="20"/>
              </w:rPr>
              <w:t>f</w:t>
            </w:r>
            <w:r>
              <w:rPr>
                <w:szCs w:val="20"/>
              </w:rPr>
              <w:t xml:space="preserve"> </w:t>
            </w:r>
            <w:r w:rsidRPr="009217C5">
              <w:rPr>
                <w:spacing w:val="-1"/>
                <w:szCs w:val="20"/>
              </w:rPr>
              <w:t>an</w:t>
            </w:r>
            <w:r w:rsidRPr="009217C5">
              <w:rPr>
                <w:szCs w:val="20"/>
              </w:rPr>
              <w:t>d</w:t>
            </w:r>
            <w:r>
              <w:rPr>
                <w:szCs w:val="20"/>
              </w:rPr>
              <w:t xml:space="preserve"> </w:t>
            </w:r>
            <w:r w:rsidRPr="009217C5">
              <w:rPr>
                <w:szCs w:val="20"/>
              </w:rPr>
              <w:t>Narrati</w:t>
            </w:r>
            <w:r w:rsidRPr="009217C5">
              <w:rPr>
                <w:spacing w:val="1"/>
                <w:szCs w:val="20"/>
              </w:rPr>
              <w:t>v</w:t>
            </w:r>
            <w:r w:rsidRPr="009217C5">
              <w:rPr>
                <w:szCs w:val="20"/>
              </w:rPr>
              <w:t>e</w:t>
            </w:r>
            <w:r w:rsidRPr="009217C5">
              <w:rPr>
                <w:spacing w:val="-1"/>
                <w:szCs w:val="20"/>
              </w:rPr>
              <w:t xml:space="preserve"> </w:t>
            </w:r>
            <w:r w:rsidRPr="009217C5">
              <w:rPr>
                <w:spacing w:val="1"/>
                <w:szCs w:val="20"/>
              </w:rPr>
              <w:t>d</w:t>
            </w:r>
            <w:r w:rsidRPr="009217C5">
              <w:rPr>
                <w:szCs w:val="20"/>
              </w:rPr>
              <w:t>etails</w:t>
            </w:r>
            <w:r>
              <w:rPr>
                <w:szCs w:val="20"/>
              </w:rPr>
              <w:t xml:space="preserve"> </w:t>
            </w:r>
            <w:r w:rsidRPr="009217C5">
              <w:rPr>
                <w:szCs w:val="20"/>
              </w:rPr>
              <w:t xml:space="preserve">- </w:t>
            </w:r>
            <w:r w:rsidRPr="009217C5">
              <w:rPr>
                <w:spacing w:val="-2"/>
                <w:szCs w:val="20"/>
              </w:rPr>
              <w:t>m</w:t>
            </w:r>
            <w:r w:rsidRPr="009217C5">
              <w:rPr>
                <w:spacing w:val="1"/>
                <w:szCs w:val="20"/>
              </w:rPr>
              <w:t>o</w:t>
            </w:r>
            <w:r w:rsidRPr="009217C5">
              <w:rPr>
                <w:szCs w:val="20"/>
              </w:rPr>
              <w:t xml:space="preserve">re </w:t>
            </w:r>
            <w:r w:rsidRPr="009217C5">
              <w:rPr>
                <w:spacing w:val="1"/>
                <w:szCs w:val="20"/>
              </w:rPr>
              <w:t>d</w:t>
            </w:r>
            <w:r w:rsidRPr="009217C5">
              <w:rPr>
                <w:szCs w:val="20"/>
              </w:rPr>
              <w:t>etailed</w:t>
            </w:r>
            <w:r w:rsidRPr="009217C5">
              <w:rPr>
                <w:spacing w:val="1"/>
                <w:szCs w:val="20"/>
              </w:rPr>
              <w:t xml:space="preserve"> </w:t>
            </w:r>
            <w:r w:rsidRPr="009217C5">
              <w:rPr>
                <w:szCs w:val="20"/>
              </w:rPr>
              <w:t>esti</w:t>
            </w:r>
            <w:r w:rsidRPr="009217C5">
              <w:rPr>
                <w:spacing w:val="-2"/>
                <w:szCs w:val="20"/>
              </w:rPr>
              <w:t>m</w:t>
            </w:r>
            <w:r w:rsidRPr="009217C5">
              <w:rPr>
                <w:spacing w:val="1"/>
                <w:szCs w:val="20"/>
              </w:rPr>
              <w:t>a</w:t>
            </w:r>
            <w:r w:rsidRPr="009217C5">
              <w:rPr>
                <w:szCs w:val="20"/>
              </w:rPr>
              <w:t xml:space="preserve">tes </w:t>
            </w:r>
            <w:r w:rsidRPr="009217C5">
              <w:rPr>
                <w:spacing w:val="1"/>
                <w:szCs w:val="20"/>
              </w:rPr>
              <w:t>o</w:t>
            </w:r>
            <w:r w:rsidRPr="009217C5">
              <w:rPr>
                <w:szCs w:val="20"/>
              </w:rPr>
              <w:t>f i</w:t>
            </w:r>
            <w:r w:rsidRPr="009217C5">
              <w:rPr>
                <w:spacing w:val="-2"/>
                <w:szCs w:val="20"/>
              </w:rPr>
              <w:t>m</w:t>
            </w:r>
            <w:r w:rsidRPr="009217C5">
              <w:rPr>
                <w:spacing w:val="1"/>
                <w:szCs w:val="20"/>
              </w:rPr>
              <w:t>p</w:t>
            </w:r>
            <w:r w:rsidRPr="009217C5">
              <w:rPr>
                <w:szCs w:val="20"/>
              </w:rPr>
              <w:t>act and any atta</w:t>
            </w:r>
            <w:r w:rsidRPr="009217C5">
              <w:rPr>
                <w:spacing w:val="-1"/>
                <w:szCs w:val="20"/>
              </w:rPr>
              <w:t>ch</w:t>
            </w:r>
            <w:r w:rsidRPr="009217C5">
              <w:rPr>
                <w:szCs w:val="20"/>
              </w:rPr>
              <w:t>ments</w:t>
            </w:r>
          </w:p>
        </w:tc>
      </w:tr>
    </w:tbl>
    <w:p w:rsidRPr="00A7737D" w:rsidR="00FF5801" w:rsidP="00FF5801" w:rsidRDefault="00FF5801" w14:paraId="666A610E" w14:textId="77777777"/>
    <w:p w:rsidR="00FF5801" w:rsidP="00FF5801" w:rsidRDefault="00FF5801" w14:paraId="1A1A3685" w14:textId="77777777">
      <w:pPr>
        <w:pStyle w:val="Caption"/>
      </w:pPr>
      <w:r w:rsidRPr="00A7737D">
        <w:lastRenderedPageBreak/>
        <w:t xml:space="preserve">Table </w:t>
      </w:r>
      <w:r>
        <w:t>8</w:t>
      </w:r>
      <w:r w:rsidRPr="00A7737D">
        <w:t xml:space="preserve">: </w:t>
      </w:r>
      <w:r>
        <w:t xml:space="preserve">Schedule 1 </w:t>
      </w:r>
      <w:r w:rsidRPr="00A7737D">
        <w:t>Publication Plan</w:t>
      </w:r>
    </w:p>
    <w:tbl>
      <w:tblPr>
        <w:tblW w:w="5000" w:type="pct"/>
        <w:tblCellMar>
          <w:left w:w="0" w:type="dxa"/>
          <w:right w:w="0" w:type="dxa"/>
        </w:tblCellMar>
        <w:tblLook w:val="0000" w:firstRow="0" w:lastRow="0" w:firstColumn="0" w:lastColumn="0" w:noHBand="0" w:noVBand="0"/>
      </w:tblPr>
      <w:tblGrid>
        <w:gridCol w:w="2336"/>
        <w:gridCol w:w="7014"/>
      </w:tblGrid>
      <w:tr w:rsidRPr="00715C22" w:rsidR="00FF5801" w:rsidTr="00FF5801" w14:paraId="0CB3E527" w14:textId="77777777">
        <w:trPr>
          <w:trHeight w:val="431"/>
        </w:trPr>
        <w:tc>
          <w:tcPr>
            <w:tcW w:w="1249" w:type="pct"/>
            <w:tcBorders>
              <w:top w:val="single" w:color="000000" w:sz="4" w:space="0"/>
              <w:left w:val="single" w:color="000000" w:sz="4" w:space="0"/>
              <w:bottom w:val="single" w:color="000000" w:sz="4" w:space="0"/>
              <w:right w:val="single" w:color="000000" w:sz="4" w:space="0"/>
            </w:tcBorders>
            <w:shd w:val="clear" w:color="auto" w:fill="CCCCCC"/>
            <w:vAlign w:val="center"/>
          </w:tcPr>
          <w:p w:rsidRPr="00715C22" w:rsidR="00FF5801" w:rsidP="00710137" w:rsidRDefault="00FF5801" w14:paraId="7AAA5D63" w14:textId="77777777">
            <w:pPr>
              <w:keepNext/>
              <w:widowControl w:val="0"/>
              <w:autoSpaceDE w:val="0"/>
              <w:autoSpaceDN w:val="0"/>
              <w:adjustRightInd w:val="0"/>
              <w:spacing w:before="28" w:line="229" w:lineRule="exact"/>
              <w:ind w:right="-20"/>
              <w:jc w:val="center"/>
              <w:rPr>
                <w:szCs w:val="24"/>
              </w:rPr>
            </w:pPr>
            <w:r>
              <w:rPr>
                <w:b/>
                <w:bCs/>
                <w:szCs w:val="20"/>
              </w:rPr>
              <w:t>Source</w:t>
            </w:r>
          </w:p>
        </w:tc>
        <w:tc>
          <w:tcPr>
            <w:tcW w:w="3751" w:type="pct"/>
            <w:tcBorders>
              <w:top w:val="single" w:color="000000" w:sz="4" w:space="0"/>
              <w:left w:val="single" w:color="000000" w:sz="4" w:space="0"/>
              <w:bottom w:val="single" w:color="000000" w:sz="4" w:space="0"/>
              <w:right w:val="single" w:color="000000" w:sz="4" w:space="0"/>
            </w:tcBorders>
            <w:shd w:val="clear" w:color="auto" w:fill="CCCCCC"/>
            <w:vAlign w:val="center"/>
          </w:tcPr>
          <w:p w:rsidRPr="00715C22" w:rsidR="00FF5801" w:rsidP="00710137" w:rsidRDefault="00FF5801" w14:paraId="74CD8D55" w14:textId="77777777">
            <w:pPr>
              <w:keepNext/>
              <w:widowControl w:val="0"/>
              <w:autoSpaceDE w:val="0"/>
              <w:autoSpaceDN w:val="0"/>
              <w:adjustRightInd w:val="0"/>
              <w:spacing w:before="28" w:line="229" w:lineRule="exact"/>
              <w:ind w:right="2202"/>
              <w:jc w:val="center"/>
              <w:rPr>
                <w:szCs w:val="24"/>
              </w:rPr>
            </w:pPr>
            <w:r w:rsidRPr="00715C22">
              <w:rPr>
                <w:b/>
                <w:bCs/>
                <w:szCs w:val="20"/>
              </w:rPr>
              <w:t xml:space="preserve">Elements </w:t>
            </w:r>
            <w:r w:rsidRPr="00715C22">
              <w:rPr>
                <w:b/>
                <w:bCs/>
                <w:spacing w:val="-1"/>
                <w:szCs w:val="20"/>
              </w:rPr>
              <w:t>P</w:t>
            </w:r>
            <w:r w:rsidRPr="00715C22">
              <w:rPr>
                <w:b/>
                <w:bCs/>
                <w:szCs w:val="20"/>
              </w:rPr>
              <w:t>ublished</w:t>
            </w:r>
          </w:p>
        </w:tc>
      </w:tr>
      <w:tr w:rsidRPr="00715C22" w:rsidR="00FF5801" w:rsidTr="00FF5801" w14:paraId="6ED5C655" w14:textId="77777777">
        <w:trPr>
          <w:trHeight w:val="1495"/>
        </w:trPr>
        <w:tc>
          <w:tcPr>
            <w:tcW w:w="1249" w:type="pct"/>
            <w:tcBorders>
              <w:top w:val="single" w:color="000000" w:sz="4" w:space="0"/>
              <w:left w:val="single" w:color="000000" w:sz="4" w:space="0"/>
              <w:bottom w:val="single" w:color="000000" w:sz="4" w:space="0"/>
              <w:right w:val="single" w:color="000000" w:sz="4" w:space="0"/>
            </w:tcBorders>
          </w:tcPr>
          <w:p w:rsidRPr="00715C22" w:rsidR="00FF5801" w:rsidP="00FF5801" w:rsidRDefault="006E3D95" w14:paraId="6C6AB29A" w14:textId="77777777">
            <w:pPr>
              <w:keepNext/>
              <w:widowControl w:val="0"/>
              <w:autoSpaceDE w:val="0"/>
              <w:autoSpaceDN w:val="0"/>
              <w:adjustRightInd w:val="0"/>
              <w:ind w:left="102" w:right="-20"/>
              <w:rPr>
                <w:szCs w:val="24"/>
              </w:rPr>
            </w:pPr>
            <w:hyperlink w:history="1" r:id="rId32">
              <w:r w:rsidRPr="006064AC" w:rsidR="00FF5801">
                <w:rPr>
                  <w:rStyle w:val="Hyperlink"/>
                  <w:szCs w:val="20"/>
                </w:rPr>
                <w:t>Office</w:t>
              </w:r>
              <w:r w:rsidRPr="006064AC" w:rsidR="00FF5801">
                <w:rPr>
                  <w:rStyle w:val="Hyperlink"/>
                  <w:spacing w:val="-1"/>
                  <w:szCs w:val="20"/>
                </w:rPr>
                <w:t xml:space="preserve"> </w:t>
              </w:r>
              <w:r w:rsidRPr="006064AC" w:rsidR="00FF5801">
                <w:rPr>
                  <w:rStyle w:val="Hyperlink"/>
                  <w:szCs w:val="20"/>
                </w:rPr>
                <w:t xml:space="preserve">of </w:t>
              </w:r>
              <w:r w:rsidR="00FF5801">
                <w:rPr>
                  <w:rStyle w:val="Hyperlink"/>
                  <w:szCs w:val="20"/>
                </w:rPr>
                <w:t>Cybersecurity, Energy Security, and Emergency Responses</w:t>
              </w:r>
              <w:r w:rsidRPr="006064AC" w:rsidR="00FF5801">
                <w:rPr>
                  <w:rStyle w:val="Hyperlink"/>
                  <w:szCs w:val="20"/>
                </w:rPr>
                <w:t>’ Electric Dist</w:t>
              </w:r>
              <w:r w:rsidRPr="006064AC" w:rsidR="00FF5801">
                <w:rPr>
                  <w:rStyle w:val="Hyperlink"/>
                  <w:spacing w:val="1"/>
                  <w:szCs w:val="20"/>
                </w:rPr>
                <w:t>u</w:t>
              </w:r>
              <w:r w:rsidRPr="006064AC" w:rsidR="00FF5801">
                <w:rPr>
                  <w:rStyle w:val="Hyperlink"/>
                  <w:spacing w:val="-1"/>
                  <w:szCs w:val="20"/>
                </w:rPr>
                <w:t>r</w:t>
              </w:r>
              <w:r w:rsidRPr="006064AC" w:rsidR="00FF5801">
                <w:rPr>
                  <w:rStyle w:val="Hyperlink"/>
                  <w:spacing w:val="1"/>
                  <w:szCs w:val="20"/>
                </w:rPr>
                <w:t>b</w:t>
              </w:r>
              <w:r w:rsidRPr="006064AC" w:rsidR="00FF5801">
                <w:rPr>
                  <w:rStyle w:val="Hyperlink"/>
                  <w:spacing w:val="-1"/>
                  <w:szCs w:val="20"/>
                </w:rPr>
                <w:t>a</w:t>
              </w:r>
              <w:r w:rsidRPr="006064AC" w:rsidR="00FF5801">
                <w:rPr>
                  <w:rStyle w:val="Hyperlink"/>
                  <w:spacing w:val="1"/>
                  <w:szCs w:val="20"/>
                </w:rPr>
                <w:t>n</w:t>
              </w:r>
              <w:r w:rsidRPr="006064AC" w:rsidR="00FF5801">
                <w:rPr>
                  <w:rStyle w:val="Hyperlink"/>
                  <w:szCs w:val="20"/>
                </w:rPr>
                <w:t>ce E</w:t>
              </w:r>
              <w:r w:rsidRPr="006064AC" w:rsidR="00FF5801">
                <w:rPr>
                  <w:rStyle w:val="Hyperlink"/>
                  <w:spacing w:val="1"/>
                  <w:szCs w:val="20"/>
                </w:rPr>
                <w:t>v</w:t>
              </w:r>
              <w:r w:rsidRPr="006064AC" w:rsidR="00FF5801">
                <w:rPr>
                  <w:rStyle w:val="Hyperlink"/>
                  <w:szCs w:val="20"/>
                </w:rPr>
                <w:t>e</w:t>
              </w:r>
              <w:r w:rsidRPr="006064AC" w:rsidR="00FF5801">
                <w:rPr>
                  <w:rStyle w:val="Hyperlink"/>
                  <w:spacing w:val="1"/>
                  <w:szCs w:val="20"/>
                </w:rPr>
                <w:t>n</w:t>
              </w:r>
              <w:r w:rsidRPr="006064AC" w:rsidR="00FF5801">
                <w:rPr>
                  <w:rStyle w:val="Hyperlink"/>
                  <w:szCs w:val="20"/>
                </w:rPr>
                <w:t>ts (OE-4</w:t>
              </w:r>
              <w:r w:rsidRPr="006064AC" w:rsidR="00FF5801">
                <w:rPr>
                  <w:rStyle w:val="Hyperlink"/>
                  <w:spacing w:val="1"/>
                  <w:szCs w:val="20"/>
                </w:rPr>
                <w:t>1</w:t>
              </w:r>
              <w:r w:rsidRPr="006064AC" w:rsidR="00FF5801">
                <w:rPr>
                  <w:rStyle w:val="Hyperlink"/>
                  <w:szCs w:val="20"/>
                </w:rPr>
                <w:t>7) An</w:t>
              </w:r>
              <w:r w:rsidRPr="006064AC" w:rsidR="00FF5801">
                <w:rPr>
                  <w:rStyle w:val="Hyperlink"/>
                  <w:spacing w:val="1"/>
                  <w:szCs w:val="20"/>
                </w:rPr>
                <w:t>n</w:t>
              </w:r>
              <w:r w:rsidRPr="006064AC" w:rsidR="00FF5801">
                <w:rPr>
                  <w:rStyle w:val="Hyperlink"/>
                  <w:spacing w:val="-1"/>
                  <w:szCs w:val="20"/>
                </w:rPr>
                <w:t>u</w:t>
              </w:r>
              <w:r w:rsidRPr="006064AC" w:rsidR="00FF5801">
                <w:rPr>
                  <w:rStyle w:val="Hyperlink"/>
                  <w:szCs w:val="20"/>
                </w:rPr>
                <w:t>al Su</w:t>
              </w:r>
              <w:r w:rsidRPr="006064AC" w:rsidR="00FF5801">
                <w:rPr>
                  <w:rStyle w:val="Hyperlink"/>
                  <w:spacing w:val="-1"/>
                  <w:szCs w:val="20"/>
                </w:rPr>
                <w:t>m</w:t>
              </w:r>
              <w:r w:rsidRPr="006064AC" w:rsidR="00FF5801">
                <w:rPr>
                  <w:rStyle w:val="Hyperlink"/>
                  <w:spacing w:val="-2"/>
                  <w:szCs w:val="20"/>
                </w:rPr>
                <w:t>m</w:t>
              </w:r>
              <w:r w:rsidRPr="006064AC" w:rsidR="00FF5801">
                <w:rPr>
                  <w:rStyle w:val="Hyperlink"/>
                  <w:szCs w:val="20"/>
                </w:rPr>
                <w:t>aries</w:t>
              </w:r>
              <w:r w:rsidRPr="006064AC" w:rsidR="00FF5801">
                <w:rPr>
                  <w:rStyle w:val="Hyperlink"/>
                  <w:spacing w:val="1"/>
                  <w:szCs w:val="20"/>
                </w:rPr>
                <w:t xml:space="preserve"> </w:t>
              </w:r>
              <w:r w:rsidRPr="006064AC" w:rsidR="00FF5801">
                <w:rPr>
                  <w:rStyle w:val="Hyperlink"/>
                  <w:szCs w:val="20"/>
                </w:rPr>
                <w:t>page</w:t>
              </w:r>
            </w:hyperlink>
          </w:p>
        </w:tc>
        <w:tc>
          <w:tcPr>
            <w:tcW w:w="3751" w:type="pct"/>
            <w:tcBorders>
              <w:top w:val="single" w:color="000000" w:sz="4" w:space="0"/>
              <w:left w:val="single" w:color="000000" w:sz="4" w:space="0"/>
              <w:bottom w:val="single" w:color="000000" w:sz="4" w:space="0"/>
              <w:right w:val="single" w:color="000000" w:sz="4" w:space="0"/>
            </w:tcBorders>
          </w:tcPr>
          <w:p w:rsidRPr="002D2F64" w:rsidR="00FF5801" w:rsidP="00681D51" w:rsidRDefault="00FF5801" w14:paraId="5452A8F1" w14:textId="77777777">
            <w:pPr>
              <w:pStyle w:val="ListParagraph"/>
              <w:rPr>
                <w:szCs w:val="24"/>
              </w:rPr>
            </w:pPr>
            <w:r w:rsidRPr="002D2F64">
              <w:t xml:space="preserve">Date </w:t>
            </w:r>
            <w:r>
              <w:t>Incident</w:t>
            </w:r>
            <w:r w:rsidRPr="002D2F64">
              <w:t xml:space="preserve"> Began</w:t>
            </w:r>
          </w:p>
          <w:p w:rsidRPr="002D2F64" w:rsidR="00FF5801" w:rsidP="00681D51" w:rsidRDefault="00FF5801" w14:paraId="02280E14" w14:textId="77777777">
            <w:pPr>
              <w:pStyle w:val="ListParagraph"/>
              <w:rPr>
                <w:szCs w:val="24"/>
              </w:rPr>
            </w:pPr>
            <w:r>
              <w:t>Time Incident Began</w:t>
            </w:r>
          </w:p>
          <w:p w:rsidRPr="002D2F64" w:rsidR="00FF5801" w:rsidP="00681D51" w:rsidRDefault="00FF5801" w14:paraId="55B0D7A7" w14:textId="77777777">
            <w:pPr>
              <w:pStyle w:val="ListParagraph"/>
              <w:rPr>
                <w:szCs w:val="24"/>
              </w:rPr>
            </w:pPr>
            <w:r>
              <w:t>Date Final Report Received / Incident</w:t>
            </w:r>
            <w:r w:rsidDel="00B76132">
              <w:t xml:space="preserve"> </w:t>
            </w:r>
            <w:r>
              <w:t>Ended</w:t>
            </w:r>
          </w:p>
          <w:p w:rsidRPr="002D2F64" w:rsidR="00FF5801" w:rsidP="00681D51" w:rsidRDefault="00FF5801" w14:paraId="7C4DF8F5" w14:textId="77777777">
            <w:pPr>
              <w:pStyle w:val="ListParagraph"/>
              <w:rPr>
                <w:szCs w:val="24"/>
              </w:rPr>
            </w:pPr>
            <w:r>
              <w:t>Time Final Report Received / Incident</w:t>
            </w:r>
            <w:r w:rsidDel="00B76132">
              <w:t xml:space="preserve"> </w:t>
            </w:r>
            <w:r>
              <w:t>Ended</w:t>
            </w:r>
          </w:p>
          <w:p w:rsidR="00FF5801" w:rsidP="00681D51" w:rsidRDefault="00FF5801" w14:paraId="5654D74C" w14:textId="77777777">
            <w:pPr>
              <w:pStyle w:val="ListParagraph"/>
            </w:pPr>
            <w:r>
              <w:t>North American Electric Reliability Corporation Region</w:t>
            </w:r>
          </w:p>
          <w:p w:rsidR="00FF5801" w:rsidP="00681D51" w:rsidRDefault="00FF5801" w14:paraId="0FD46809" w14:textId="77777777">
            <w:pPr>
              <w:pStyle w:val="ListParagraph"/>
            </w:pPr>
            <w:r>
              <w:t>Incident</w:t>
            </w:r>
            <w:r w:rsidDel="00B76132">
              <w:t xml:space="preserve"> </w:t>
            </w:r>
            <w:r>
              <w:t>Type</w:t>
            </w:r>
          </w:p>
          <w:p w:rsidR="00FF5801" w:rsidP="00681D51" w:rsidRDefault="00FF5801" w14:paraId="62A7EA8C" w14:textId="77777777">
            <w:pPr>
              <w:pStyle w:val="ListParagraph"/>
            </w:pPr>
            <w:r>
              <w:t>Incident</w:t>
            </w:r>
            <w:r w:rsidDel="00B76132">
              <w:t xml:space="preserve"> </w:t>
            </w:r>
            <w:r>
              <w:t xml:space="preserve">Sub-classification </w:t>
            </w:r>
          </w:p>
          <w:p w:rsidR="00FF5801" w:rsidP="00681D51" w:rsidRDefault="00FF5801" w14:paraId="5EDDEF6C" w14:textId="77777777">
            <w:pPr>
              <w:pStyle w:val="ListParagraph"/>
            </w:pPr>
            <w:r>
              <w:t>Demand Loss</w:t>
            </w:r>
          </w:p>
          <w:p w:rsidRPr="002D2F64" w:rsidR="00FF5801" w:rsidP="00681D51" w:rsidRDefault="00FF5801" w14:paraId="0336F807" w14:textId="77777777">
            <w:pPr>
              <w:pStyle w:val="ListParagraph"/>
            </w:pPr>
            <w:r>
              <w:t xml:space="preserve">Peak Customers Affected </w:t>
            </w:r>
          </w:p>
        </w:tc>
      </w:tr>
      <w:tr w:rsidRPr="00715C22" w:rsidR="00FF5801" w:rsidTr="00FF5801" w14:paraId="6DFE533C" w14:textId="77777777">
        <w:trPr>
          <w:trHeight w:val="2060"/>
        </w:trPr>
        <w:tc>
          <w:tcPr>
            <w:tcW w:w="1249" w:type="pct"/>
            <w:tcBorders>
              <w:top w:val="single" w:color="000000" w:sz="4" w:space="0"/>
              <w:left w:val="single" w:color="000000" w:sz="4" w:space="0"/>
              <w:bottom w:val="single" w:color="000000" w:sz="4" w:space="0"/>
              <w:right w:val="single" w:color="000000" w:sz="4" w:space="0"/>
            </w:tcBorders>
          </w:tcPr>
          <w:p w:rsidRPr="00715C22" w:rsidR="00FF5801" w:rsidP="00710137" w:rsidRDefault="00FF5801" w14:paraId="1A26A804" w14:textId="77777777">
            <w:pPr>
              <w:keepNext/>
              <w:widowControl w:val="0"/>
              <w:autoSpaceDE w:val="0"/>
              <w:autoSpaceDN w:val="0"/>
              <w:adjustRightInd w:val="0"/>
              <w:ind w:left="102" w:right="118"/>
              <w:rPr>
                <w:szCs w:val="24"/>
              </w:rPr>
            </w:pPr>
            <w:r>
              <w:rPr>
                <w:rStyle w:val="Hyperlink"/>
                <w:i/>
                <w:iCs/>
                <w:szCs w:val="20"/>
              </w:rPr>
              <w:t xml:space="preserve">EIA </w:t>
            </w:r>
            <w:hyperlink w:history="1" r:id="rId33">
              <w:r w:rsidRPr="006064AC">
                <w:rPr>
                  <w:rStyle w:val="Hyperlink"/>
                  <w:i/>
                  <w:iCs/>
                  <w:szCs w:val="20"/>
                </w:rPr>
                <w:t xml:space="preserve">Electric Power </w:t>
              </w:r>
              <w:r w:rsidRPr="006064AC">
                <w:rPr>
                  <w:rStyle w:val="Hyperlink"/>
                  <w:i/>
                  <w:iCs/>
                  <w:spacing w:val="-1"/>
                  <w:szCs w:val="20"/>
                </w:rPr>
                <w:t>Mo</w:t>
              </w:r>
              <w:r w:rsidRPr="006064AC">
                <w:rPr>
                  <w:rStyle w:val="Hyperlink"/>
                  <w:i/>
                  <w:iCs/>
                  <w:szCs w:val="20"/>
                </w:rPr>
                <w:t>nth</w:t>
              </w:r>
              <w:r w:rsidRPr="006064AC">
                <w:rPr>
                  <w:rStyle w:val="Hyperlink"/>
                  <w:i/>
                  <w:iCs/>
                  <w:spacing w:val="-2"/>
                  <w:szCs w:val="20"/>
                </w:rPr>
                <w:t>l</w:t>
              </w:r>
              <w:r w:rsidRPr="006064AC">
                <w:rPr>
                  <w:rStyle w:val="Hyperlink"/>
                  <w:i/>
                  <w:iCs/>
                  <w:szCs w:val="20"/>
                </w:rPr>
                <w:t>y</w:t>
              </w:r>
              <w:r w:rsidRPr="006064AC">
                <w:rPr>
                  <w:rStyle w:val="Hyperlink"/>
                  <w:i/>
                  <w:iCs/>
                  <w:spacing w:val="-1"/>
                  <w:szCs w:val="20"/>
                </w:rPr>
                <w:t>: Appendix B</w:t>
              </w:r>
            </w:hyperlink>
            <w:r>
              <w:rPr>
                <w:rStyle w:val="Hyperlink"/>
                <w:i/>
                <w:iCs/>
                <w:spacing w:val="-1"/>
                <w:szCs w:val="20"/>
              </w:rPr>
              <w:t>**</w:t>
            </w:r>
          </w:p>
        </w:tc>
        <w:tc>
          <w:tcPr>
            <w:tcW w:w="3751" w:type="pct"/>
            <w:tcBorders>
              <w:top w:val="single" w:color="000000" w:sz="4" w:space="0"/>
              <w:left w:val="single" w:color="000000" w:sz="4" w:space="0"/>
              <w:bottom w:val="single" w:color="000000" w:sz="4" w:space="0"/>
              <w:right w:val="single" w:color="000000" w:sz="4" w:space="0"/>
            </w:tcBorders>
          </w:tcPr>
          <w:p w:rsidRPr="00E11E07" w:rsidR="00FF5801" w:rsidP="00681D51" w:rsidRDefault="00FF5801" w14:paraId="580852AE" w14:textId="77777777">
            <w:pPr>
              <w:pStyle w:val="ListParagraph"/>
              <w:rPr>
                <w:szCs w:val="24"/>
              </w:rPr>
            </w:pPr>
            <w:r>
              <w:t>G</w:t>
            </w:r>
            <w:r w:rsidRPr="00B76132">
              <w:t>e</w:t>
            </w:r>
            <w:r w:rsidRPr="00B76132">
              <w:rPr>
                <w:spacing w:val="-1"/>
              </w:rPr>
              <w:t>og</w:t>
            </w:r>
            <w:r w:rsidRPr="00B76132">
              <w:t>ra</w:t>
            </w:r>
            <w:r w:rsidRPr="00B76132">
              <w:rPr>
                <w:spacing w:val="-1"/>
              </w:rPr>
              <w:t>p</w:t>
            </w:r>
            <w:r w:rsidRPr="00B76132">
              <w:t xml:space="preserve">hical </w:t>
            </w:r>
            <w:r>
              <w:t>L</w:t>
            </w:r>
            <w:r w:rsidRPr="00B76132">
              <w:rPr>
                <w:spacing w:val="1"/>
              </w:rPr>
              <w:t>o</w:t>
            </w:r>
            <w:r w:rsidRPr="00B76132">
              <w:t>cati</w:t>
            </w:r>
            <w:r w:rsidRPr="00B76132">
              <w:rPr>
                <w:spacing w:val="1"/>
              </w:rPr>
              <w:t>o</w:t>
            </w:r>
            <w:r w:rsidRPr="00B76132">
              <w:t>n by</w:t>
            </w:r>
            <w:r w:rsidRPr="00B76132">
              <w:rPr>
                <w:spacing w:val="-1"/>
              </w:rPr>
              <w:t xml:space="preserve"> </w:t>
            </w:r>
            <w:r w:rsidRPr="002E0C65">
              <w:t>State</w:t>
            </w:r>
            <w:r w:rsidRPr="002E0C65">
              <w:rPr>
                <w:spacing w:val="1"/>
              </w:rPr>
              <w:t xml:space="preserve"> </w:t>
            </w:r>
          </w:p>
          <w:p w:rsidRPr="00E11E07" w:rsidR="00FF5801" w:rsidP="00681D51" w:rsidRDefault="00FF5801" w14:paraId="5258C403" w14:textId="77777777">
            <w:pPr>
              <w:pStyle w:val="ListParagraph"/>
              <w:rPr>
                <w:szCs w:val="24"/>
              </w:rPr>
            </w:pPr>
            <w:r>
              <w:t>C</w:t>
            </w:r>
            <w:r w:rsidRPr="00B76132">
              <w:t>o</w:t>
            </w:r>
            <w:r w:rsidRPr="00B76132">
              <w:rPr>
                <w:spacing w:val="-2"/>
              </w:rPr>
              <w:t>m</w:t>
            </w:r>
            <w:r w:rsidRPr="00B76132">
              <w:rPr>
                <w:spacing w:val="1"/>
              </w:rPr>
              <w:t>p</w:t>
            </w:r>
            <w:r w:rsidRPr="00B76132">
              <w:t>any</w:t>
            </w:r>
            <w:r w:rsidRPr="00B76132">
              <w:rPr>
                <w:spacing w:val="-1"/>
              </w:rPr>
              <w:t xml:space="preserve"> </w:t>
            </w:r>
            <w:r>
              <w:t>N</w:t>
            </w:r>
            <w:r w:rsidRPr="00B76132">
              <w:rPr>
                <w:spacing w:val="-1"/>
              </w:rPr>
              <w:t>am</w:t>
            </w:r>
            <w:r w:rsidRPr="00B76132">
              <w:t>e</w:t>
            </w:r>
            <w:r w:rsidRPr="00B76132">
              <w:rPr>
                <w:spacing w:val="1"/>
              </w:rPr>
              <w:t xml:space="preserve"> </w:t>
            </w:r>
          </w:p>
          <w:p w:rsidRPr="00B76132" w:rsidR="00FF5801" w:rsidP="00681D51" w:rsidRDefault="00FF5801" w14:paraId="32648906" w14:textId="77777777">
            <w:pPr>
              <w:pStyle w:val="ListParagraph"/>
              <w:rPr>
                <w:szCs w:val="24"/>
              </w:rPr>
            </w:pPr>
            <w:r>
              <w:t>A</w:t>
            </w:r>
            <w:r w:rsidRPr="00B76132">
              <w:rPr>
                <w:spacing w:val="-2"/>
              </w:rPr>
              <w:t>m</w:t>
            </w:r>
            <w:r w:rsidRPr="00B76132">
              <w:t>ount</w:t>
            </w:r>
            <w:r w:rsidRPr="00B76132">
              <w:rPr>
                <w:spacing w:val="-1"/>
              </w:rPr>
              <w:t xml:space="preserve"> o</w:t>
            </w:r>
            <w:r w:rsidRPr="00B76132">
              <w:t xml:space="preserve">f </w:t>
            </w:r>
            <w:r>
              <w:t>D</w:t>
            </w:r>
            <w:r w:rsidRPr="00B76132">
              <w:t>e</w:t>
            </w:r>
            <w:r w:rsidRPr="00B76132">
              <w:rPr>
                <w:spacing w:val="-2"/>
              </w:rPr>
              <w:t>m</w:t>
            </w:r>
            <w:r w:rsidRPr="00B76132">
              <w:t>and</w:t>
            </w:r>
            <w:r w:rsidRPr="00B76132">
              <w:rPr>
                <w:spacing w:val="1"/>
              </w:rPr>
              <w:t xml:space="preserve"> </w:t>
            </w:r>
            <w:r w:rsidRPr="00B76132">
              <w:t>(</w:t>
            </w:r>
            <w:r>
              <w:rPr>
                <w:spacing w:val="-2"/>
              </w:rPr>
              <w:t>L</w:t>
            </w:r>
            <w:r w:rsidRPr="00B76132">
              <w:t>oa</w:t>
            </w:r>
            <w:r w:rsidRPr="00B76132">
              <w:rPr>
                <w:spacing w:val="-1"/>
              </w:rPr>
              <w:t>d</w:t>
            </w:r>
            <w:r w:rsidRPr="00B76132">
              <w:t xml:space="preserve">) </w:t>
            </w:r>
            <w:r>
              <w:t>L</w:t>
            </w:r>
            <w:r w:rsidRPr="00B76132">
              <w:rPr>
                <w:spacing w:val="1"/>
              </w:rPr>
              <w:t>o</w:t>
            </w:r>
            <w:r w:rsidRPr="00B76132">
              <w:t>st</w:t>
            </w:r>
          </w:p>
          <w:p w:rsidRPr="00B76132" w:rsidR="00FF5801" w:rsidP="00681D51" w:rsidRDefault="00FF5801" w14:paraId="55E96E2A" w14:textId="77777777">
            <w:pPr>
              <w:pStyle w:val="ListParagraph"/>
              <w:rPr>
                <w:szCs w:val="24"/>
              </w:rPr>
            </w:pPr>
            <w:r>
              <w:rPr>
                <w:spacing w:val="-1"/>
              </w:rPr>
              <w:t>C</w:t>
            </w:r>
            <w:r w:rsidRPr="00B76132">
              <w:rPr>
                <w:spacing w:val="1"/>
              </w:rPr>
              <w:t>o</w:t>
            </w:r>
            <w:r w:rsidRPr="00B76132">
              <w:rPr>
                <w:spacing w:val="-1"/>
              </w:rPr>
              <w:t>u</w:t>
            </w:r>
            <w:r w:rsidRPr="00B76132">
              <w:rPr>
                <w:spacing w:val="1"/>
              </w:rPr>
              <w:t>n</w:t>
            </w:r>
            <w:r w:rsidRPr="00B76132">
              <w:t>t</w:t>
            </w:r>
            <w:r w:rsidRPr="00B76132">
              <w:rPr>
                <w:spacing w:val="-1"/>
              </w:rPr>
              <w:t xml:space="preserve"> </w:t>
            </w:r>
            <w:r w:rsidRPr="00B76132">
              <w:t>of</w:t>
            </w:r>
            <w:r w:rsidRPr="002E0C65">
              <w:rPr>
                <w:spacing w:val="1"/>
              </w:rPr>
              <w:t xml:space="preserve"> </w:t>
            </w:r>
            <w:r>
              <w:rPr>
                <w:spacing w:val="-1"/>
              </w:rPr>
              <w:t>C</w:t>
            </w:r>
            <w:r w:rsidRPr="00B76132">
              <w:rPr>
                <w:spacing w:val="1"/>
              </w:rPr>
              <w:t>u</w:t>
            </w:r>
            <w:r w:rsidRPr="00B76132">
              <w:t>sto</w:t>
            </w:r>
            <w:r w:rsidRPr="00B76132">
              <w:rPr>
                <w:spacing w:val="-2"/>
              </w:rPr>
              <w:t>m</w:t>
            </w:r>
            <w:r w:rsidRPr="00B76132">
              <w:t>ers</w:t>
            </w:r>
            <w:r w:rsidRPr="00B76132">
              <w:rPr>
                <w:spacing w:val="1"/>
              </w:rPr>
              <w:t xml:space="preserve"> </w:t>
            </w:r>
            <w:r>
              <w:t>A</w:t>
            </w:r>
            <w:r w:rsidRPr="00B76132">
              <w:rPr>
                <w:spacing w:val="-1"/>
              </w:rPr>
              <w:t>f</w:t>
            </w:r>
            <w:r w:rsidRPr="00B76132">
              <w:t>fected</w:t>
            </w:r>
          </w:p>
          <w:p w:rsidRPr="00B76132" w:rsidR="00FF5801" w:rsidP="00681D51" w:rsidRDefault="00FF5801" w14:paraId="773429EE" w14:textId="77777777">
            <w:pPr>
              <w:pStyle w:val="ListParagraph"/>
              <w:rPr>
                <w:szCs w:val="24"/>
              </w:rPr>
            </w:pPr>
            <w:r>
              <w:t>T</w:t>
            </w:r>
            <w:r w:rsidRPr="00B76132">
              <w:t>i</w:t>
            </w:r>
            <w:r w:rsidRPr="00B76132">
              <w:rPr>
                <w:spacing w:val="-2"/>
              </w:rPr>
              <w:t>m</w:t>
            </w:r>
            <w:r w:rsidRPr="00B76132">
              <w:t>e</w:t>
            </w:r>
            <w:r w:rsidRPr="00B76132">
              <w:rPr>
                <w:spacing w:val="1"/>
              </w:rPr>
              <w:t xml:space="preserve"> </w:t>
            </w:r>
            <w:r w:rsidRPr="00B76132">
              <w:t>and</w:t>
            </w:r>
            <w:r w:rsidRPr="00B76132">
              <w:rPr>
                <w:spacing w:val="-1"/>
              </w:rPr>
              <w:t xml:space="preserve"> </w:t>
            </w:r>
            <w:r>
              <w:t>D</w:t>
            </w:r>
            <w:r w:rsidRPr="00B76132">
              <w:rPr>
                <w:spacing w:val="-1"/>
              </w:rPr>
              <w:t>a</w:t>
            </w:r>
            <w:r w:rsidRPr="00B76132">
              <w:t xml:space="preserve">te of </w:t>
            </w:r>
            <w:r>
              <w:t>Incident</w:t>
            </w:r>
          </w:p>
          <w:p w:rsidRPr="00B76132" w:rsidR="00FF5801" w:rsidP="00681D51" w:rsidRDefault="00FF5801" w14:paraId="27398626" w14:textId="77777777">
            <w:pPr>
              <w:pStyle w:val="ListParagraph"/>
              <w:rPr>
                <w:szCs w:val="24"/>
              </w:rPr>
            </w:pPr>
            <w:r>
              <w:rPr>
                <w:spacing w:val="-2"/>
              </w:rPr>
              <w:t>L</w:t>
            </w:r>
            <w:r w:rsidRPr="00B76132">
              <w:t>eng</w:t>
            </w:r>
            <w:r w:rsidRPr="00B76132">
              <w:rPr>
                <w:spacing w:val="-2"/>
              </w:rPr>
              <w:t>t</w:t>
            </w:r>
            <w:r w:rsidRPr="00B76132">
              <w:t>h</w:t>
            </w:r>
            <w:r w:rsidRPr="00B76132">
              <w:rPr>
                <w:spacing w:val="-1"/>
              </w:rPr>
              <w:t xml:space="preserve"> </w:t>
            </w:r>
            <w:r w:rsidRPr="00B76132">
              <w:t xml:space="preserve">of </w:t>
            </w:r>
            <w:r>
              <w:t>I</w:t>
            </w:r>
            <w:r w:rsidRPr="00B76132">
              <w:rPr>
                <w:spacing w:val="1"/>
              </w:rPr>
              <w:t>n</w:t>
            </w:r>
            <w:r w:rsidRPr="00B76132">
              <w:t>ci</w:t>
            </w:r>
            <w:r w:rsidRPr="00B76132">
              <w:rPr>
                <w:spacing w:val="1"/>
              </w:rPr>
              <w:t>d</w:t>
            </w:r>
            <w:r w:rsidRPr="00B76132">
              <w:t>e</w:t>
            </w:r>
            <w:r w:rsidRPr="00B76132">
              <w:rPr>
                <w:spacing w:val="1"/>
              </w:rPr>
              <w:t>n</w:t>
            </w:r>
            <w:r w:rsidRPr="00B76132">
              <w:t>t</w:t>
            </w:r>
            <w:r w:rsidRPr="002E0C65">
              <w:rPr>
                <w:spacing w:val="-1"/>
              </w:rPr>
              <w:t xml:space="preserve"> </w:t>
            </w:r>
            <w:r>
              <w:t>U</w:t>
            </w:r>
            <w:r w:rsidRPr="00B76132">
              <w:rPr>
                <w:spacing w:val="1"/>
              </w:rPr>
              <w:t>n</w:t>
            </w:r>
            <w:r w:rsidRPr="00B76132">
              <w:t xml:space="preserve">til </w:t>
            </w:r>
            <w:r>
              <w:t>R</w:t>
            </w:r>
            <w:r w:rsidRPr="00B76132">
              <w:t>est</w:t>
            </w:r>
            <w:r w:rsidRPr="00B76132">
              <w:rPr>
                <w:spacing w:val="1"/>
              </w:rPr>
              <w:t>o</w:t>
            </w:r>
            <w:r w:rsidRPr="00B76132">
              <w:t>ration (am</w:t>
            </w:r>
            <w:r w:rsidRPr="00B76132">
              <w:rPr>
                <w:spacing w:val="1"/>
              </w:rPr>
              <w:t>o</w:t>
            </w:r>
            <w:r w:rsidRPr="00B76132">
              <w:t>u</w:t>
            </w:r>
            <w:r w:rsidRPr="00B76132">
              <w:rPr>
                <w:spacing w:val="1"/>
              </w:rPr>
              <w:t>n</w:t>
            </w:r>
            <w:r w:rsidRPr="002E0C65">
              <w:t>t</w:t>
            </w:r>
            <w:r w:rsidRPr="002E0C65">
              <w:rPr>
                <w:spacing w:val="-1"/>
              </w:rPr>
              <w:t xml:space="preserve"> </w:t>
            </w:r>
            <w:r w:rsidRPr="002E0C65">
              <w:rPr>
                <w:spacing w:val="1"/>
              </w:rPr>
              <w:t>o</w:t>
            </w:r>
            <w:r w:rsidRPr="002E0C65">
              <w:t>f t</w:t>
            </w:r>
            <w:r w:rsidRPr="002E0C65">
              <w:rPr>
                <w:spacing w:val="1"/>
              </w:rPr>
              <w:t>i</w:t>
            </w:r>
            <w:r w:rsidRPr="002E0C65">
              <w:rPr>
                <w:spacing w:val="-2"/>
              </w:rPr>
              <w:t>m</w:t>
            </w:r>
            <w:r w:rsidRPr="002E0C65">
              <w:t>e</w:t>
            </w:r>
            <w:r>
              <w:t>)</w:t>
            </w:r>
            <w:r w:rsidRPr="00B76132">
              <w:t xml:space="preserve"> </w:t>
            </w:r>
          </w:p>
          <w:p w:rsidRPr="00B76132" w:rsidR="00FF5801" w:rsidP="00681D51" w:rsidRDefault="00FF5801" w14:paraId="64DC2EDA" w14:textId="77777777">
            <w:pPr>
              <w:pStyle w:val="ListParagraph"/>
              <w:rPr>
                <w:szCs w:val="24"/>
              </w:rPr>
            </w:pPr>
            <w:r>
              <w:t>T</w:t>
            </w:r>
            <w:r w:rsidRPr="00B76132">
              <w:t>y</w:t>
            </w:r>
            <w:r w:rsidRPr="00B76132">
              <w:rPr>
                <w:spacing w:val="1"/>
              </w:rPr>
              <w:t>p</w:t>
            </w:r>
            <w:r w:rsidRPr="00B76132">
              <w:t>e</w:t>
            </w:r>
            <w:r w:rsidRPr="00B76132">
              <w:rPr>
                <w:spacing w:val="-1"/>
              </w:rPr>
              <w:t xml:space="preserve"> </w:t>
            </w:r>
            <w:r w:rsidRPr="00B76132">
              <w:rPr>
                <w:spacing w:val="1"/>
              </w:rPr>
              <w:t>o</w:t>
            </w:r>
            <w:r w:rsidRPr="00B76132">
              <w:t xml:space="preserve">f </w:t>
            </w:r>
            <w:r>
              <w:t>Incident</w:t>
            </w:r>
          </w:p>
        </w:tc>
      </w:tr>
      <w:tr w:rsidRPr="00715C22" w:rsidR="00FF5801" w:rsidTr="00710137" w14:paraId="3F9526B3" w14:textId="77777777">
        <w:trPr>
          <w:trHeight w:val="170"/>
        </w:trPr>
        <w:tc>
          <w:tcPr>
            <w:tcW w:w="5000" w:type="pct"/>
            <w:gridSpan w:val="2"/>
            <w:tcBorders>
              <w:top w:val="single" w:color="000000" w:sz="4" w:space="0"/>
              <w:left w:val="single" w:color="000000" w:sz="4" w:space="0"/>
              <w:bottom w:val="single" w:color="000000" w:sz="4" w:space="0"/>
              <w:right w:val="single" w:color="000000" w:sz="4" w:space="0"/>
            </w:tcBorders>
            <w:vAlign w:val="center"/>
          </w:tcPr>
          <w:p w:rsidRPr="00BE34E9" w:rsidR="00FF5801" w:rsidDel="002E0C65" w:rsidP="00710137" w:rsidRDefault="00FF5801" w14:paraId="50CC102B" w14:textId="77777777">
            <w:pPr>
              <w:spacing w:after="0"/>
              <w:ind w:left="360" w:hanging="360"/>
              <w:jc w:val="center"/>
              <w:rPr>
                <w:i/>
                <w:sz w:val="20"/>
                <w:szCs w:val="20"/>
              </w:rPr>
            </w:pPr>
            <w:r w:rsidRPr="00BE34E9">
              <w:rPr>
                <w:i/>
                <w:sz w:val="20"/>
                <w:szCs w:val="20"/>
              </w:rPr>
              <w:t>Note: Information provided under Schedule 2 of Form OE-417 is not included in the published summaries</w:t>
            </w:r>
          </w:p>
        </w:tc>
      </w:tr>
    </w:tbl>
    <w:p w:rsidR="00FF5801" w:rsidP="00FF5801" w:rsidRDefault="00FF5801" w14:paraId="57FA7C24" w14:textId="77777777">
      <w:r w:rsidRPr="00212857">
        <w:t>*</w:t>
      </w:r>
      <w:r w:rsidRPr="00C532BC">
        <w:t>Information on Schedule 2 will not be disclosed to the public to the extent that it satisfies the criteria for exemption under the Freedom of Information Act, e.g., exemptions for confidential commercial information and trade secrets, certain information that could endanger the physical safety of an individual, or information designated as Critical Energy Infrastructure Information.</w:t>
      </w:r>
    </w:p>
    <w:p w:rsidR="00FF5801" w:rsidP="00FF5801" w:rsidRDefault="00FF5801" w14:paraId="3F79461F" w14:textId="77777777">
      <w:r>
        <w:t xml:space="preserve">** The EIA Electric Power Monthly: Appendix B </w:t>
      </w:r>
      <w:r w:rsidR="00932325">
        <w:t xml:space="preserve">only includes </w:t>
      </w:r>
      <w:r w:rsidRPr="00D367CC" w:rsidR="00932325">
        <w:t>Major Disturbances and Unusual Occurrence</w:t>
      </w:r>
    </w:p>
    <w:p w:rsidR="00F056C3" w:rsidP="005B75A6" w:rsidRDefault="00F056C3" w14:paraId="2A83F352" w14:textId="77777777">
      <w:pPr>
        <w:pStyle w:val="Heading2"/>
      </w:pPr>
      <w:bookmarkStart w:name="_Toc492634217" w:id="23"/>
      <w:r>
        <w:t>A.</w:t>
      </w:r>
      <w:r w:rsidRPr="00A41763" w:rsidR="00A41763">
        <w:t xml:space="preserve">17. </w:t>
      </w:r>
      <w:r w:rsidRPr="00F056C3">
        <w:t>OMB Number and Expiration Date</w:t>
      </w:r>
      <w:bookmarkEnd w:id="23"/>
      <w:r w:rsidRPr="00F056C3">
        <w:t xml:space="preserve"> </w:t>
      </w:r>
    </w:p>
    <w:p w:rsidRPr="00003535" w:rsidR="007A243E" w:rsidP="007A243E" w:rsidRDefault="007A243E" w14:paraId="231A6563" w14:textId="77777777">
      <w:pPr>
        <w:spacing w:before="120"/>
      </w:pPr>
      <w:r w:rsidRPr="00003535">
        <w:t xml:space="preserve">The OMB Number </w:t>
      </w:r>
      <w:r w:rsidRPr="00C66A79">
        <w:t>1901-0288</w:t>
      </w:r>
      <w:r>
        <w:t xml:space="preserve"> </w:t>
      </w:r>
      <w:r w:rsidRPr="00003535">
        <w:t>and expiration date will be displayed on all the data collection forms and instructions.</w:t>
      </w:r>
    </w:p>
    <w:p w:rsidR="00F056C3" w:rsidP="005B75A6" w:rsidRDefault="00F056C3" w14:paraId="46B03D36" w14:textId="77777777">
      <w:pPr>
        <w:pStyle w:val="Heading2"/>
      </w:pPr>
      <w:bookmarkStart w:name="_Toc492634218" w:id="24"/>
      <w:r>
        <w:t>A.</w:t>
      </w:r>
      <w:r w:rsidRPr="00A41763" w:rsidR="00A41763">
        <w:t xml:space="preserve">18. </w:t>
      </w:r>
      <w:r w:rsidRPr="00F056C3">
        <w:t>Certification Statement</w:t>
      </w:r>
      <w:bookmarkEnd w:id="24"/>
      <w:r w:rsidRPr="00F056C3">
        <w:t xml:space="preserve"> </w:t>
      </w:r>
    </w:p>
    <w:p w:rsidR="007A243E" w:rsidP="007A243E" w:rsidRDefault="007A243E" w14:paraId="72292DEF" w14:textId="77777777">
      <w:pPr>
        <w:rPr>
          <w:szCs w:val="24"/>
        </w:rPr>
      </w:pPr>
      <w:r>
        <w:rPr>
          <w:szCs w:val="24"/>
        </w:rPr>
        <w:t xml:space="preserve">Form OE-417 </w:t>
      </w:r>
      <w:r>
        <w:rPr>
          <w:spacing w:val="-2"/>
          <w:szCs w:val="24"/>
        </w:rPr>
        <w:t>m</w:t>
      </w:r>
      <w:r>
        <w:rPr>
          <w:szCs w:val="24"/>
        </w:rPr>
        <w:t>eets all certific</w:t>
      </w:r>
      <w:r>
        <w:rPr>
          <w:spacing w:val="-1"/>
          <w:szCs w:val="24"/>
        </w:rPr>
        <w:t>a</w:t>
      </w:r>
      <w:r>
        <w:rPr>
          <w:szCs w:val="24"/>
        </w:rPr>
        <w:t>tion require</w:t>
      </w:r>
      <w:r>
        <w:rPr>
          <w:spacing w:val="-2"/>
          <w:szCs w:val="24"/>
        </w:rPr>
        <w:t>m</w:t>
      </w:r>
      <w:r>
        <w:rPr>
          <w:szCs w:val="24"/>
        </w:rPr>
        <w:t>ents of the</w:t>
      </w:r>
      <w:r>
        <w:rPr>
          <w:spacing w:val="1"/>
          <w:szCs w:val="24"/>
        </w:rPr>
        <w:t xml:space="preserve"> </w:t>
      </w:r>
      <w:r>
        <w:rPr>
          <w:szCs w:val="24"/>
        </w:rPr>
        <w:t>"</w:t>
      </w:r>
      <w:r>
        <w:rPr>
          <w:spacing w:val="-1"/>
          <w:szCs w:val="24"/>
        </w:rPr>
        <w:t>C</w:t>
      </w:r>
      <w:r>
        <w:rPr>
          <w:szCs w:val="24"/>
        </w:rPr>
        <w:t xml:space="preserve">ertification for Paperwork Reduction </w:t>
      </w:r>
      <w:r>
        <w:rPr>
          <w:spacing w:val="-2"/>
          <w:szCs w:val="24"/>
        </w:rPr>
        <w:t>A</w:t>
      </w:r>
      <w:r>
        <w:rPr>
          <w:szCs w:val="24"/>
        </w:rPr>
        <w:t>ct Sub</w:t>
      </w:r>
      <w:r>
        <w:rPr>
          <w:spacing w:val="-2"/>
          <w:szCs w:val="24"/>
        </w:rPr>
        <w:t>m</w:t>
      </w:r>
      <w:r>
        <w:rPr>
          <w:szCs w:val="24"/>
        </w:rPr>
        <w:t>issions," of OMB Fo</w:t>
      </w:r>
      <w:r>
        <w:rPr>
          <w:spacing w:val="2"/>
          <w:szCs w:val="24"/>
        </w:rPr>
        <w:t>r</w:t>
      </w:r>
      <w:r>
        <w:rPr>
          <w:szCs w:val="24"/>
        </w:rPr>
        <w:t>m</w:t>
      </w:r>
      <w:r>
        <w:rPr>
          <w:spacing w:val="-2"/>
          <w:szCs w:val="24"/>
        </w:rPr>
        <w:t xml:space="preserve"> </w:t>
      </w:r>
      <w:r>
        <w:rPr>
          <w:szCs w:val="24"/>
        </w:rPr>
        <w:t>83-I.</w:t>
      </w:r>
    </w:p>
    <w:p w:rsidRPr="00A41763" w:rsidR="00A41763" w:rsidP="007A243E" w:rsidRDefault="00A41763" w14:paraId="30D42A8D" w14:textId="77777777"/>
    <w:sectPr w:rsidRPr="00A41763" w:rsidR="00A41763" w:rsidSect="00933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CD87F" w14:textId="77777777" w:rsidR="001B2ED7" w:rsidRDefault="001B2ED7" w:rsidP="00536CE1">
      <w:pPr>
        <w:spacing w:after="0" w:line="240" w:lineRule="auto"/>
      </w:pPr>
      <w:r>
        <w:separator/>
      </w:r>
    </w:p>
  </w:endnote>
  <w:endnote w:type="continuationSeparator" w:id="0">
    <w:p w14:paraId="314DA2DF" w14:textId="77777777" w:rsidR="001B2ED7" w:rsidRDefault="001B2ED7" w:rsidP="00536CE1">
      <w:pPr>
        <w:spacing w:after="0" w:line="240" w:lineRule="auto"/>
      </w:pPr>
      <w:r>
        <w:continuationSeparator/>
      </w:r>
    </w:p>
  </w:endnote>
  <w:endnote w:type="continuationNotice" w:id="1">
    <w:p w14:paraId="3E4BFB3D" w14:textId="77777777" w:rsidR="001B2ED7" w:rsidRDefault="001B2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F7E28" w14:textId="77777777" w:rsidR="006E3D95" w:rsidRDefault="006E3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40874" w14:textId="46EB545D" w:rsidR="001B2ED7" w:rsidRPr="001F3A8F" w:rsidRDefault="001B2ED7" w:rsidP="00616E46">
    <w:pPr>
      <w:pStyle w:val="Footer"/>
      <w:tabs>
        <w:tab w:val="clear" w:pos="9720"/>
        <w:tab w:val="left" w:pos="8655"/>
      </w:tabs>
    </w:pPr>
    <w:r w:rsidRPr="00CB180D">
      <w:t>U.S. Energy Information Administration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6E3D95">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D200" w14:textId="77777777" w:rsidR="006E3D95" w:rsidRDefault="006E3D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7A989" w14:textId="77777777" w:rsidR="001B2ED7" w:rsidRDefault="006E3D95" w:rsidP="00760677">
    <w:pPr>
      <w:pStyle w:val="Footer"/>
    </w:pPr>
    <w:sdt>
      <w:sdtPr>
        <w:id w:val="272451101"/>
        <w:docPartObj>
          <w:docPartGallery w:val="Page Numbers (Bottom of Page)"/>
          <w:docPartUnique/>
        </w:docPartObj>
      </w:sdtPr>
      <w:sdtEndPr/>
      <w:sdtContent>
        <w:r w:rsidR="001B2ED7"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B2ED7">
              <w:t>Improving the Quality and Scope of EIA Data</w:t>
            </w:r>
          </w:sdtContent>
        </w:sdt>
        <w:r w:rsidR="001B2ED7" w:rsidRPr="00CB180D">
          <w:tab/>
        </w:r>
      </w:sdtContent>
    </w:sdt>
    <w:r w:rsidR="001B2ED7" w:rsidRPr="00760677">
      <w:t xml:space="preserve"> </w:t>
    </w:r>
    <w:r w:rsidR="001B2ED7">
      <w:fldChar w:fldCharType="begin"/>
    </w:r>
    <w:r w:rsidR="001B2ED7">
      <w:instrText xml:space="preserve"> PAGE   \* MERGEFORMAT </w:instrText>
    </w:r>
    <w:r w:rsidR="001B2ED7">
      <w:fldChar w:fldCharType="separate"/>
    </w:r>
    <w:r w:rsidR="001B2ED7">
      <w:rPr>
        <w:noProof/>
      </w:rPr>
      <w:t>i</w:t>
    </w:r>
    <w:r w:rsidR="001B2ED7">
      <w:rPr>
        <w:noProof/>
      </w:rPr>
      <w:fldChar w:fldCharType="end"/>
    </w:r>
  </w:p>
  <w:p w14:paraId="2B1FB201" w14:textId="77777777" w:rsidR="001B2ED7" w:rsidRDefault="001B2E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8E96C" w14:textId="77777777" w:rsidR="001B2ED7" w:rsidRDefault="006E3D95" w:rsidP="00760677">
    <w:pPr>
      <w:pStyle w:val="Footer"/>
    </w:pPr>
    <w:sdt>
      <w:sdtPr>
        <w:id w:val="-22715443"/>
        <w:docPartObj>
          <w:docPartGallery w:val="Page Numbers (Bottom of Page)"/>
          <w:docPartUnique/>
        </w:docPartObj>
      </w:sdtPr>
      <w:sdtEndPr/>
      <w:sdtContent>
        <w:r w:rsidR="001B2ED7"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B2ED7">
              <w:t>Improving the Quality and Scope of EIA Data</w:t>
            </w:r>
          </w:sdtContent>
        </w:sdt>
        <w:r w:rsidR="001B2ED7" w:rsidRPr="00CB180D">
          <w:tab/>
        </w:r>
      </w:sdtContent>
    </w:sdt>
    <w:r w:rsidR="001B2ED7" w:rsidRPr="00760677">
      <w:t xml:space="preserve"> </w:t>
    </w:r>
    <w:r w:rsidR="001B2ED7">
      <w:fldChar w:fldCharType="begin"/>
    </w:r>
    <w:r w:rsidR="001B2ED7">
      <w:instrText xml:space="preserve"> PAGE   \* MERGEFORMAT </w:instrText>
    </w:r>
    <w:r w:rsidR="001B2ED7">
      <w:fldChar w:fldCharType="separate"/>
    </w:r>
    <w:r w:rsidR="001B2ED7">
      <w:rPr>
        <w:noProof/>
      </w:rPr>
      <w:t>ii</w:t>
    </w:r>
    <w:r w:rsidR="001B2ED7">
      <w:rPr>
        <w:noProof/>
      </w:rPr>
      <w:fldChar w:fldCharType="end"/>
    </w:r>
  </w:p>
  <w:p w14:paraId="788FD508" w14:textId="77777777" w:rsidR="001B2ED7" w:rsidRDefault="001B2ED7"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582294"/>
      <w:docPartObj>
        <w:docPartGallery w:val="Page Numbers (Bottom of Page)"/>
        <w:docPartUnique/>
      </w:docPartObj>
    </w:sdtPr>
    <w:sdtEndPr/>
    <w:sdtContent>
      <w:p w14:paraId="5289FEEE" w14:textId="77777777" w:rsidR="001B2ED7" w:rsidRDefault="001B2ED7" w:rsidP="0071013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w:t>
        </w:r>
        <w:r>
          <w:t xml:space="preserve">  </w:t>
        </w:r>
        <w:r w:rsidRPr="00CB180D">
          <w:t>Improving the Quality and Scope of EIA Data</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47B7" w14:textId="77777777" w:rsidR="001B2ED7" w:rsidRDefault="006E3D95" w:rsidP="00710137">
    <w:pPr>
      <w:pStyle w:val="Footer"/>
    </w:pPr>
    <w:sdt>
      <w:sdtPr>
        <w:id w:val="-1021231438"/>
        <w:docPartObj>
          <w:docPartGallery w:val="Page Numbers (Bottom of Page)"/>
          <w:docPartUnique/>
        </w:docPartObj>
      </w:sdtPr>
      <w:sdtEndPr/>
      <w:sdtContent>
        <w:r w:rsidR="001B2ED7" w:rsidRPr="00CB180D">
          <w:t>U.S. Energy Information Administration</w:t>
        </w:r>
        <w:r w:rsidR="001B2ED7">
          <w:t xml:space="preserve">  </w:t>
        </w:r>
        <w:r w:rsidR="001B2ED7" w:rsidRPr="00CB180D">
          <w:t>|</w:t>
        </w:r>
        <w:r w:rsidR="001B2ED7">
          <w:t xml:space="preserve">  </w:t>
        </w:r>
        <w:sdt>
          <w:sdtPr>
            <w:alias w:val="Subject"/>
            <w:id w:val="2111391304"/>
            <w:dataBinding w:prefixMappings="xmlns:ns0='http://purl.org/dc/elements/1.1/' xmlns:ns1='http://schemas.openxmlformats.org/package/2006/metadata/core-properties' " w:xpath="/ns1:coreProperties[1]/ns0:subject[1]" w:storeItemID="{6C3C8BC8-F283-45AE-878A-BAB7291924A1}"/>
            <w:text/>
          </w:sdtPr>
          <w:sdtEndPr/>
          <w:sdtContent>
            <w:r w:rsidR="001B2ED7">
              <w:t>Improving the Quality and Scope of EIA Data</w:t>
            </w:r>
          </w:sdtContent>
        </w:sdt>
        <w:r w:rsidR="001B2ED7" w:rsidRPr="00CB180D">
          <w:tab/>
        </w:r>
      </w:sdtContent>
    </w:sdt>
    <w:r w:rsidR="001B2ED7" w:rsidRPr="00760677">
      <w:t xml:space="preserve"> </w:t>
    </w:r>
    <w:r w:rsidR="001B2ED7">
      <w:fldChar w:fldCharType="begin"/>
    </w:r>
    <w:r w:rsidR="001B2ED7">
      <w:instrText xml:space="preserve"> PAGE   \* MERGEFORMAT </w:instrText>
    </w:r>
    <w:r w:rsidR="001B2ED7">
      <w:fldChar w:fldCharType="separate"/>
    </w:r>
    <w:r w:rsidR="001B2ED7">
      <w:rPr>
        <w:noProof/>
      </w:rPr>
      <w:t>1</w:t>
    </w:r>
    <w:r w:rsidR="001B2ED7">
      <w:rPr>
        <w:noProof/>
      </w:rPr>
      <w:fldChar w:fldCharType="end"/>
    </w:r>
  </w:p>
  <w:p w14:paraId="3875F8AB" w14:textId="77777777" w:rsidR="001B2ED7" w:rsidRDefault="001B2ED7" w:rsidP="0071013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9A3B" w14:textId="4D1047A1" w:rsidR="001B2ED7" w:rsidRPr="001F3A8F" w:rsidRDefault="001B2ED7" w:rsidP="00616E46">
    <w:pPr>
      <w:pStyle w:val="Footer"/>
      <w:tabs>
        <w:tab w:val="clear" w:pos="9720"/>
        <w:tab w:val="left" w:pos="8655"/>
      </w:tabs>
    </w:pPr>
    <w:r w:rsidRPr="00CB180D">
      <w:t>U.S. Energy Information Administration   |</w:t>
    </w:r>
    <w:r>
      <w:t xml:space="preserve">   </w:t>
    </w:r>
    <w:sdt>
      <w:sdtPr>
        <w:alias w:val="Title"/>
        <w:tag w:val=""/>
        <w:id w:val="-1972977874"/>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6E3D95">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E7C77" w14:textId="77777777" w:rsidR="001B2ED7" w:rsidRDefault="001B2ED7" w:rsidP="00536CE1">
      <w:pPr>
        <w:spacing w:after="0" w:line="240" w:lineRule="auto"/>
      </w:pPr>
      <w:r>
        <w:separator/>
      </w:r>
    </w:p>
  </w:footnote>
  <w:footnote w:type="continuationSeparator" w:id="0">
    <w:p w14:paraId="7F504381" w14:textId="77777777" w:rsidR="001B2ED7" w:rsidRDefault="001B2ED7" w:rsidP="00536CE1">
      <w:pPr>
        <w:spacing w:after="0" w:line="240" w:lineRule="auto"/>
      </w:pPr>
      <w:r>
        <w:continuationSeparator/>
      </w:r>
    </w:p>
  </w:footnote>
  <w:footnote w:type="continuationNotice" w:id="1">
    <w:p w14:paraId="742A797A" w14:textId="77777777" w:rsidR="001B2ED7" w:rsidRDefault="001B2ED7">
      <w:pPr>
        <w:spacing w:after="0" w:line="240" w:lineRule="auto"/>
      </w:pPr>
    </w:p>
  </w:footnote>
  <w:footnote w:id="2">
    <w:p w14:paraId="63B239B3" w14:textId="77777777" w:rsidR="001B2ED7" w:rsidRPr="003216C8" w:rsidRDefault="001B2ED7" w:rsidP="0046484C">
      <w:pPr>
        <w:pStyle w:val="FootnoteText"/>
      </w:pPr>
      <w:r w:rsidRPr="003216C8">
        <w:rPr>
          <w:rStyle w:val="FootnoteReference"/>
        </w:rPr>
        <w:footnoteRef/>
      </w:r>
      <w:r w:rsidRPr="003216C8">
        <w:t xml:space="preserve"> </w:t>
      </w:r>
      <w:r>
        <w:t>As of 2019, t</w:t>
      </w:r>
      <w:r w:rsidRPr="003216C8">
        <w:t xml:space="preserve">here are </w:t>
      </w:r>
      <w:r>
        <w:t>204</w:t>
      </w:r>
      <w:r w:rsidRPr="007E0384">
        <w:t xml:space="preserve"> Balancing Authorities (BA) in the contiguous United States</w:t>
      </w:r>
      <w:r w:rsidRPr="00A2224D">
        <w:t>.</w:t>
      </w:r>
      <w:r>
        <w:t xml:space="preserve"> </w:t>
      </w:r>
      <w:r w:rsidRPr="00A2224D">
        <w:t>Balancing Authorities are a defined NERC Functional Entity and is defined by NERC</w:t>
      </w:r>
      <w:r>
        <w:t xml:space="preserve"> as</w:t>
      </w:r>
      <w:r w:rsidRPr="00A2224D">
        <w:t xml:space="preserve"> </w:t>
      </w:r>
      <w:r>
        <w:t>t</w:t>
      </w:r>
      <w:r w:rsidRPr="003216C8">
        <w:t>he responsible entity that integrates resource plans ahead of time, maintains load-interchange-generation balance within a Balancing Authority Area, and supports Interconnection frequency in real time.</w:t>
      </w:r>
    </w:p>
  </w:footnote>
  <w:footnote w:id="3">
    <w:p w14:paraId="475C6670" w14:textId="77777777" w:rsidR="001B2ED7" w:rsidRPr="00235964" w:rsidRDefault="001B2ED7" w:rsidP="0046484C">
      <w:pPr>
        <w:pStyle w:val="FootnoteText"/>
        <w:rPr>
          <w:highlight w:val="yellow"/>
        </w:rPr>
      </w:pPr>
      <w:r w:rsidRPr="003216C8">
        <w:rPr>
          <w:rStyle w:val="FootnoteReference"/>
        </w:rPr>
        <w:footnoteRef/>
      </w:r>
      <w:r w:rsidRPr="003216C8">
        <w:t xml:space="preserve">There are </w:t>
      </w:r>
      <w:r>
        <w:t>11</w:t>
      </w:r>
      <w:r w:rsidRPr="003216C8">
        <w:t xml:space="preserve"> Relia</w:t>
      </w:r>
      <w:r w:rsidRPr="003216C8">
        <w:rPr>
          <w:spacing w:val="1"/>
        </w:rPr>
        <w:t>b</w:t>
      </w:r>
      <w:r w:rsidRPr="003216C8">
        <w:t>ility C</w:t>
      </w:r>
      <w:r w:rsidRPr="003216C8">
        <w:rPr>
          <w:spacing w:val="1"/>
        </w:rPr>
        <w:t>oo</w:t>
      </w:r>
      <w:r w:rsidRPr="003216C8">
        <w:rPr>
          <w:spacing w:val="-1"/>
        </w:rPr>
        <w:t>r</w:t>
      </w:r>
      <w:r w:rsidRPr="003216C8">
        <w:rPr>
          <w:spacing w:val="1"/>
        </w:rPr>
        <w:t>d</w:t>
      </w:r>
      <w:r w:rsidRPr="003216C8">
        <w:t>i</w:t>
      </w:r>
      <w:r w:rsidRPr="003216C8">
        <w:rPr>
          <w:spacing w:val="1"/>
        </w:rPr>
        <w:t>n</w:t>
      </w:r>
      <w:r w:rsidRPr="003216C8">
        <w:rPr>
          <w:spacing w:val="-1"/>
        </w:rPr>
        <w:t>a</w:t>
      </w:r>
      <w:r w:rsidRPr="003216C8">
        <w:t>t</w:t>
      </w:r>
      <w:r w:rsidRPr="003216C8">
        <w:rPr>
          <w:spacing w:val="1"/>
        </w:rPr>
        <w:t>o</w:t>
      </w:r>
      <w:r w:rsidRPr="003216C8">
        <w:t>rs within the contiguous</w:t>
      </w:r>
      <w:r w:rsidRPr="003216C8">
        <w:rPr>
          <w:spacing w:val="-1"/>
        </w:rPr>
        <w:t xml:space="preserve"> </w:t>
      </w:r>
      <w:r w:rsidRPr="003216C8">
        <w:t>U</w:t>
      </w:r>
      <w:r w:rsidRPr="003216C8">
        <w:rPr>
          <w:spacing w:val="1"/>
        </w:rPr>
        <w:t>n</w:t>
      </w:r>
      <w:r w:rsidRPr="003216C8">
        <w:t>ited</w:t>
      </w:r>
      <w:r w:rsidRPr="003216C8">
        <w:rPr>
          <w:spacing w:val="1"/>
        </w:rPr>
        <w:t xml:space="preserve"> </w:t>
      </w:r>
      <w:r w:rsidRPr="003216C8">
        <w:t>States. T</w:t>
      </w:r>
      <w:r w:rsidRPr="003216C8">
        <w:rPr>
          <w:spacing w:val="1"/>
        </w:rPr>
        <w:t>h</w:t>
      </w:r>
      <w:r w:rsidRPr="003216C8">
        <w:t>e Rel</w:t>
      </w:r>
      <w:r w:rsidRPr="003216C8">
        <w:rPr>
          <w:spacing w:val="-2"/>
        </w:rPr>
        <w:t>i</w:t>
      </w:r>
      <w:r w:rsidRPr="003216C8">
        <w:t>a</w:t>
      </w:r>
      <w:r w:rsidRPr="003216C8">
        <w:rPr>
          <w:spacing w:val="1"/>
        </w:rPr>
        <w:t>b</w:t>
      </w:r>
      <w:r w:rsidRPr="003216C8">
        <w:t>ility C</w:t>
      </w:r>
      <w:r w:rsidRPr="003216C8">
        <w:rPr>
          <w:spacing w:val="1"/>
        </w:rPr>
        <w:t>o</w:t>
      </w:r>
      <w:r w:rsidRPr="003216C8">
        <w:t>or</w:t>
      </w:r>
      <w:r w:rsidRPr="003216C8">
        <w:rPr>
          <w:spacing w:val="1"/>
        </w:rPr>
        <w:t>d</w:t>
      </w:r>
      <w:r w:rsidRPr="003216C8">
        <w:rPr>
          <w:spacing w:val="-2"/>
        </w:rPr>
        <w:t>i</w:t>
      </w:r>
      <w:r w:rsidRPr="003216C8">
        <w:rPr>
          <w:spacing w:val="1"/>
        </w:rPr>
        <w:t>n</w:t>
      </w:r>
      <w:r w:rsidRPr="003216C8">
        <w:t>ator is the entity with the highest level of authority and who is responsible for the reliable operation of the Bulk Electric System, has the Wide Area view of the Bulk Electric System, and has the operating tools, processes and procedures, including the authority to prevent or mitigate emergency operating situations in both next-day analysis and real-time operations. The Reliability Coordinator has the purview that is broad enough to enable the calculation of Interconnection Reliability Operating Limits, which may be based on the operating parameters of transmission systems beyond any Transmission Operator’s vision.</w:t>
      </w:r>
    </w:p>
  </w:footnote>
  <w:footnote w:id="4">
    <w:p w14:paraId="3ED2AB6F" w14:textId="77777777" w:rsidR="001B2ED7" w:rsidRPr="00A2224D" w:rsidRDefault="001B2ED7" w:rsidP="0046484C">
      <w:pPr>
        <w:pStyle w:val="FootnoteText"/>
      </w:pPr>
      <w:r w:rsidRPr="00A2224D">
        <w:rPr>
          <w:rStyle w:val="FootnoteReference"/>
        </w:rPr>
        <w:footnoteRef/>
      </w:r>
      <w:r w:rsidRPr="00A2224D">
        <w:t xml:space="preserve"> The Federal Energy Administration Act of 1974 (Pub. L. No. 93-275) and the DOE Organization</w:t>
      </w:r>
    </w:p>
    <w:p w14:paraId="33078583" w14:textId="77777777" w:rsidR="001B2ED7" w:rsidRPr="00A2224D" w:rsidRDefault="001B2ED7" w:rsidP="0046484C">
      <w:pPr>
        <w:pStyle w:val="FootnoteText"/>
      </w:pPr>
      <w:r w:rsidRPr="00A2224D">
        <w:t>Act (Pub. L. No. 95-91) provide other authorities.</w:t>
      </w:r>
    </w:p>
  </w:footnote>
  <w:footnote w:id="5">
    <w:p w14:paraId="4299B14E" w14:textId="77777777" w:rsidR="001B2ED7" w:rsidRPr="00A2224D" w:rsidRDefault="001B2ED7" w:rsidP="0046484C">
      <w:pPr>
        <w:pStyle w:val="FootnoteText"/>
      </w:pPr>
      <w:r w:rsidRPr="00A2224D">
        <w:rPr>
          <w:rStyle w:val="FootnoteReference"/>
        </w:rPr>
        <w:footnoteRef/>
      </w:r>
      <w:r w:rsidRPr="00A2224D">
        <w:t xml:space="preserve"> The Department of Energy has initiated four special studies about incidents that happened in the</w:t>
      </w:r>
    </w:p>
    <w:p w14:paraId="1D33D874" w14:textId="77777777" w:rsidR="001B2ED7" w:rsidRPr="00E94F10" w:rsidRDefault="001B2ED7" w:rsidP="0046484C">
      <w:pPr>
        <w:pStyle w:val="FootnoteText"/>
      </w:pPr>
      <w:r w:rsidRPr="00A2224D">
        <w:t xml:space="preserve">1990s. The </w:t>
      </w:r>
      <w:r>
        <w:t xml:space="preserve">four </w:t>
      </w:r>
      <w:r w:rsidRPr="00A2224D">
        <w:t>studies are: The Cold Weather Snap of 1992, The Electric Power Outages in the Western</w:t>
      </w:r>
    </w:p>
    <w:p w14:paraId="690388D2" w14:textId="77777777" w:rsidR="001B2ED7" w:rsidRPr="00E94F10" w:rsidRDefault="001B2ED7" w:rsidP="0046484C">
      <w:pPr>
        <w:pStyle w:val="FootnoteText"/>
      </w:pPr>
      <w:r w:rsidRPr="00E94F10">
        <w:t>United States, July 2-3, 1996</w:t>
      </w:r>
      <w:r>
        <w:t xml:space="preserve"> (DOE/PO-0050), and the </w:t>
      </w:r>
      <w:r w:rsidRPr="00E94F10">
        <w:t>Report of the U.S. Department of Energy’s Power</w:t>
      </w:r>
    </w:p>
    <w:p w14:paraId="47A4C059" w14:textId="77777777" w:rsidR="001B2ED7" w:rsidRPr="00E94F10" w:rsidRDefault="001B2ED7" w:rsidP="0046484C">
      <w:pPr>
        <w:pStyle w:val="FootnoteText"/>
      </w:pPr>
      <w:r w:rsidRPr="00E94F10">
        <w:t>Outage Study Team</w:t>
      </w:r>
      <w:r>
        <w:t xml:space="preserve"> (DOE/PO - March 2000 Final Report); and the </w:t>
      </w:r>
      <w:r w:rsidRPr="00E94F10">
        <w:t>Final Report on August 14, 2003</w:t>
      </w:r>
    </w:p>
    <w:p w14:paraId="1673EAEE" w14:textId="77777777" w:rsidR="001B2ED7" w:rsidRDefault="001B2ED7" w:rsidP="0046484C">
      <w:pPr>
        <w:pStyle w:val="FootnoteText"/>
      </w:pPr>
      <w:r w:rsidRPr="00E94F10">
        <w:t>Blackout in the United States and Canada: Causes and Recommendations</w:t>
      </w:r>
      <w:r>
        <w:t>, April 2004</w:t>
      </w:r>
    </w:p>
  </w:footnote>
  <w:footnote w:id="6">
    <w:p w14:paraId="780862B5" w14:textId="77777777" w:rsidR="001B2ED7" w:rsidRDefault="001B2ED7" w:rsidP="0046484C">
      <w:pPr>
        <w:pStyle w:val="FootnoteText"/>
      </w:pPr>
      <w:r>
        <w:rPr>
          <w:rStyle w:val="FootnoteReference"/>
        </w:rPr>
        <w:footnoteRef/>
      </w:r>
      <w:r>
        <w:t xml:space="preserve"> The Annual Summary of Form OE-417 events is available at: </w:t>
      </w:r>
      <w:hyperlink r:id="rId1" w:history="1">
        <w:r w:rsidRPr="00CA03B1">
          <w:rPr>
            <w:rStyle w:val="Hyperlink"/>
          </w:rPr>
          <w:t>https://www.oe.netl.doe.gov/OE417_annual_summary.aspx</w:t>
        </w:r>
      </w:hyperlink>
      <w:r>
        <w:t xml:space="preserve"> </w:t>
      </w:r>
    </w:p>
  </w:footnote>
  <w:footnote w:id="7">
    <w:p w14:paraId="74BFA712" w14:textId="77777777" w:rsidR="001B2ED7" w:rsidRDefault="001B2ED7" w:rsidP="0046484C">
      <w:pPr>
        <w:pStyle w:val="FootnoteText"/>
      </w:pPr>
      <w:r>
        <w:rPr>
          <w:rStyle w:val="FootnoteReference"/>
        </w:rPr>
        <w:footnoteRef/>
      </w:r>
      <w:r>
        <w:t xml:space="preserve"> Electric Power Monthly, </w:t>
      </w:r>
      <w:r w:rsidRPr="00BC3F0A">
        <w:t>Appendix B. Major Disturbances and Unusual Occurrences</w:t>
      </w:r>
      <w:r>
        <w:t xml:space="preserve">: </w:t>
      </w:r>
      <w:hyperlink r:id="rId2" w:history="1">
        <w:r w:rsidRPr="00CA03B1">
          <w:rPr>
            <w:rStyle w:val="Hyperlink"/>
          </w:rPr>
          <w:t>http://www.eia.gov/electricity/monthly/</w:t>
        </w:r>
      </w:hyperlink>
      <w:r>
        <w:t xml:space="preserve"> </w:t>
      </w:r>
    </w:p>
  </w:footnote>
  <w:footnote w:id="8">
    <w:p w14:paraId="77795E56" w14:textId="77777777" w:rsidR="001B2ED7" w:rsidRDefault="001B2ED7" w:rsidP="0046484C">
      <w:pPr>
        <w:pStyle w:val="FootnoteText"/>
      </w:pPr>
      <w:r>
        <w:rPr>
          <w:rStyle w:val="FootnoteReference"/>
        </w:rPr>
        <w:footnoteRef/>
      </w:r>
      <w:r>
        <w:t xml:space="preserve"> </w:t>
      </w:r>
      <w:r w:rsidRPr="009B2E6B">
        <w:t>Emergency electric incidents and disturbances leading to interruptions of power, such as rotating blackouts, could lead to disruptions of critical infrastructures such as natural gas or petroleum product pipelines, water supplies, and telecommunications systems.</w:t>
      </w:r>
      <w:r>
        <w:t xml:space="preserve"> </w:t>
      </w:r>
      <w:r w:rsidRPr="009B2E6B">
        <w:t>The national security, economic prosperity and social well-being of the nation depends on the continuing reliability of our increasingly complex and interdependent infrastructures, a key one of which is electric power.</w:t>
      </w:r>
    </w:p>
  </w:footnote>
  <w:footnote w:id="9">
    <w:p w14:paraId="062512BD" w14:textId="77777777" w:rsidR="001B2ED7" w:rsidRPr="00C271DE" w:rsidRDefault="001B2ED7" w:rsidP="0046484C">
      <w:pPr>
        <w:pStyle w:val="FootnoteText"/>
      </w:pPr>
      <w:r w:rsidRPr="00C271DE">
        <w:rPr>
          <w:rStyle w:val="FootnoteReference"/>
          <w:sz w:val="16"/>
          <w:szCs w:val="16"/>
        </w:rPr>
        <w:footnoteRef/>
      </w:r>
      <w:r w:rsidRPr="00C271DE">
        <w:t xml:space="preserve"> This activity is undertaken in the normal course of business within the Office of Cybersecurity, Energy Security, and Emergency Response</w:t>
      </w:r>
    </w:p>
  </w:footnote>
  <w:footnote w:id="10">
    <w:p w14:paraId="574C9C20" w14:textId="77777777" w:rsidR="001B2ED7" w:rsidRDefault="001B2ED7" w:rsidP="0046484C">
      <w:pPr>
        <w:pStyle w:val="FootnoteText"/>
      </w:pPr>
      <w:r w:rsidRPr="00C271DE">
        <w:rPr>
          <w:rStyle w:val="FootnoteReference"/>
          <w:sz w:val="16"/>
          <w:szCs w:val="16"/>
        </w:rPr>
        <w:footnoteRef/>
      </w:r>
      <w:r w:rsidRPr="00C271DE">
        <w:t xml:space="preserve"> This activity is undertaken in the normal course of business within the Office of Cybersecurity, Energy Security, and Emergency Response</w:t>
      </w:r>
    </w:p>
  </w:footnote>
  <w:footnote w:id="11">
    <w:p w14:paraId="310E4BB2" w14:textId="54807FBD" w:rsidR="001B2ED7" w:rsidRDefault="001B2ED7" w:rsidP="0046484C">
      <w:pPr>
        <w:pStyle w:val="FootnoteText"/>
      </w:pPr>
      <w:r>
        <w:rPr>
          <w:rStyle w:val="FootnoteReference"/>
        </w:rPr>
        <w:footnoteRef/>
      </w:r>
      <w:r>
        <w:t xml:space="preserve"> </w:t>
      </w:r>
      <w:r w:rsidRPr="0038492A">
        <w:t>EIA conducted 20 telephone interviews with Form OE-417 respondents between March 2017 and April 2017 to check the burden per response estimate. The research revealed that the average time it takes respondents to gather the information to complete Schedule 2 of Form OE-417 is 66 minutes (1.1 hours). The average time it takes respondents to record the information in Form OE-417 is 22 minutes (0.37 hours) s</w:t>
      </w:r>
      <w:r>
        <w:t>h</w:t>
      </w:r>
      <w:r w:rsidRPr="0038492A">
        <w:t xml:space="preserve">owing the burden for Schedule 2 is 1.5 hours (approximately 90 minutes total).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2C5EC" w14:textId="77777777" w:rsidR="006E3D95" w:rsidRDefault="006E3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2A1D1" w14:textId="77777777" w:rsidR="001B2ED7" w:rsidRDefault="001B2ED7" w:rsidP="0072545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8B165" w14:textId="77777777" w:rsidR="006E3D95" w:rsidRDefault="006E3D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F37E2" w14:textId="77777777" w:rsidR="001B2ED7" w:rsidRPr="00373208" w:rsidRDefault="001B2ED7" w:rsidP="00041909">
    <w:pPr>
      <w:pStyle w:val="Header"/>
    </w:pPr>
    <w:r>
      <w:t>September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3432E" w14:textId="79D9FDDC" w:rsidR="001B2ED7" w:rsidRDefault="006E3D95" w:rsidP="00041909">
    <w:pPr>
      <w:pStyle w:val="Header"/>
    </w:pPr>
    <w:r>
      <w:t>December</w:t>
    </w:r>
    <w:r w:rsidR="001B2ED7">
      <w:t xml:space="preserve"> 2020</w:t>
    </w:r>
  </w:p>
  <w:p w14:paraId="3BC51F97" w14:textId="77777777" w:rsidR="001B2ED7" w:rsidRPr="00F8298C" w:rsidRDefault="001B2ED7" w:rsidP="00312A2C">
    <w:pPr>
      <w:pStyle w:val="Header"/>
      <w:jc w:val="center"/>
    </w:pPr>
    <w:bookmarkStart w:id="20" w:name="_GoBack"/>
    <w:bookmarkEnd w:id="20"/>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75D41" w14:textId="77777777" w:rsidR="001B2ED7" w:rsidRDefault="001B2ED7"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530"/>
        </w:tabs>
        <w:ind w:left="153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992014"/>
    <w:multiLevelType w:val="hybridMultilevel"/>
    <w:tmpl w:val="B9FA55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15:restartNumberingAfterBreak="0">
    <w:nsid w:val="060D45F0"/>
    <w:multiLevelType w:val="hybridMultilevel"/>
    <w:tmpl w:val="93FA8382"/>
    <w:lvl w:ilvl="0" w:tplc="8D2AE4D4">
      <w:start w:val="5"/>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8" w15:restartNumberingAfterBreak="0">
    <w:nsid w:val="069F36C6"/>
    <w:multiLevelType w:val="multilevel"/>
    <w:tmpl w:val="0742B8B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360"/>
      </w:pPr>
      <w:rPr>
        <w:rFonts w:ascii="Symbol" w:hAnsi="Symbol" w:hint="default"/>
        <w:color w:val="auto"/>
      </w:rPr>
    </w:lvl>
  </w:abstractNum>
  <w:abstractNum w:abstractNumId="9" w15:restartNumberingAfterBreak="0">
    <w:nsid w:val="09E428B4"/>
    <w:multiLevelType w:val="hybridMultilevel"/>
    <w:tmpl w:val="615207FE"/>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95FA6"/>
    <w:multiLevelType w:val="hybridMultilevel"/>
    <w:tmpl w:val="3DF697F0"/>
    <w:lvl w:ilvl="0" w:tplc="54BADB0C">
      <w:start w:val="5"/>
      <w:numFmt w:val="lowerLetter"/>
      <w:lvlText w:val="%1)"/>
      <w:lvlJc w:val="left"/>
      <w:pPr>
        <w:ind w:left="180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1170" w:hanging="180"/>
      </w:pPr>
    </w:lvl>
    <w:lvl w:ilvl="6" w:tplc="0409000F">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10F11BE7"/>
    <w:multiLevelType w:val="hybridMultilevel"/>
    <w:tmpl w:val="0B201B3E"/>
    <w:lvl w:ilvl="0" w:tplc="5E3ECD6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C7A88"/>
    <w:multiLevelType w:val="hybridMultilevel"/>
    <w:tmpl w:val="F58A7B40"/>
    <w:lvl w:ilvl="0" w:tplc="D958A1DE">
      <w:start w:val="2"/>
      <w:numFmt w:val="decimal"/>
      <w:lvlText w:val="%1."/>
      <w:lvlJc w:val="left"/>
      <w:pPr>
        <w:ind w:left="189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3" w15:restartNumberingAfterBreak="0">
    <w:nsid w:val="1BBD4D45"/>
    <w:multiLevelType w:val="hybridMultilevel"/>
    <w:tmpl w:val="05E2E8C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E66778C"/>
    <w:multiLevelType w:val="hybridMultilevel"/>
    <w:tmpl w:val="68B0952A"/>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26857E42"/>
    <w:multiLevelType w:val="hybridMultilevel"/>
    <w:tmpl w:val="E89AF9BA"/>
    <w:lvl w:ilvl="0" w:tplc="0C4291F8">
      <w:start w:val="9"/>
      <w:numFmt w:val="lowerRoman"/>
      <w:lvlText w:val="%1."/>
      <w:lvlJc w:val="right"/>
      <w:pPr>
        <w:ind w:left="126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15:restartNumberingAfterBreak="0">
    <w:nsid w:val="2C602A1C"/>
    <w:multiLevelType w:val="hybridMultilevel"/>
    <w:tmpl w:val="41C6B21C"/>
    <w:lvl w:ilvl="0" w:tplc="8D2AE4D4">
      <w:start w:val="5"/>
      <w:numFmt w:val="decimal"/>
      <w:lvlText w:val="%1."/>
      <w:lvlJc w:val="left"/>
      <w:pPr>
        <w:ind w:left="189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7" w15:restartNumberingAfterBreak="0">
    <w:nsid w:val="38EE4394"/>
    <w:multiLevelType w:val="hybridMultilevel"/>
    <w:tmpl w:val="83AC0744"/>
    <w:lvl w:ilvl="0" w:tplc="BC2C8612">
      <w:start w:val="1"/>
      <w:numFmt w:val="decimal"/>
      <w:lvlText w:val="%1."/>
      <w:lvlJc w:val="left"/>
      <w:pPr>
        <w:ind w:left="189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8" w15:restartNumberingAfterBreak="0">
    <w:nsid w:val="43BD660D"/>
    <w:multiLevelType w:val="hybridMultilevel"/>
    <w:tmpl w:val="4F10882E"/>
    <w:lvl w:ilvl="0" w:tplc="B658CAE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E0BC4"/>
    <w:multiLevelType w:val="hybridMultilevel"/>
    <w:tmpl w:val="4A0C286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1260" w:hanging="180"/>
      </w:pPr>
    </w:lvl>
    <w:lvl w:ilvl="3" w:tplc="BC2C8612">
      <w:start w:val="1"/>
      <w:numFmt w:val="decimal"/>
      <w:lvlText w:val="%4."/>
      <w:lvlJc w:val="left"/>
      <w:pPr>
        <w:ind w:left="189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EB6128"/>
    <w:multiLevelType w:val="hybridMultilevel"/>
    <w:tmpl w:val="0DB63BBE"/>
    <w:lvl w:ilvl="0" w:tplc="04090017">
      <w:start w:val="1"/>
      <w:numFmt w:val="lowerLetter"/>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8F7A96"/>
    <w:multiLevelType w:val="hybridMultilevel"/>
    <w:tmpl w:val="9EB4FCA2"/>
    <w:lvl w:ilvl="0" w:tplc="9C9EF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634AE"/>
    <w:multiLevelType w:val="hybridMultilevel"/>
    <w:tmpl w:val="5762D682"/>
    <w:lvl w:ilvl="0" w:tplc="720EEF6C">
      <w:start w:val="12"/>
      <w:numFmt w:val="lowerRoman"/>
      <w:lvlText w:val="%1."/>
      <w:lvlJc w:val="right"/>
      <w:pPr>
        <w:ind w:left="126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 w15:restartNumberingAfterBreak="0">
    <w:nsid w:val="61B11A24"/>
    <w:multiLevelType w:val="hybridMultilevel"/>
    <w:tmpl w:val="3A7CF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83A58"/>
    <w:multiLevelType w:val="hybridMultilevel"/>
    <w:tmpl w:val="EDFED8B8"/>
    <w:lvl w:ilvl="0" w:tplc="A52AC4C0">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8"/>
  </w:num>
  <w:num w:numId="3">
    <w:abstractNumId w:val="6"/>
  </w:num>
  <w:num w:numId="4">
    <w:abstractNumId w:val="4"/>
  </w:num>
  <w:num w:numId="5">
    <w:abstractNumId w:val="2"/>
  </w:num>
  <w:num w:numId="6">
    <w:abstractNumId w:val="1"/>
  </w:num>
  <w:num w:numId="7">
    <w:abstractNumId w:val="0"/>
  </w:num>
  <w:num w:numId="8">
    <w:abstractNumId w:val="25"/>
  </w:num>
  <w:num w:numId="9">
    <w:abstractNumId w:val="21"/>
  </w:num>
  <w:num w:numId="10">
    <w:abstractNumId w:val="24"/>
  </w:num>
  <w:num w:numId="11">
    <w:abstractNumId w:val="11"/>
  </w:num>
  <w:num w:numId="12">
    <w:abstractNumId w:val="14"/>
  </w:num>
  <w:num w:numId="13">
    <w:abstractNumId w:val="18"/>
  </w:num>
  <w:num w:numId="14">
    <w:abstractNumId w:val="19"/>
  </w:num>
  <w:num w:numId="15">
    <w:abstractNumId w:val="23"/>
  </w:num>
  <w:num w:numId="16">
    <w:abstractNumId w:val="9"/>
  </w:num>
  <w:num w:numId="17">
    <w:abstractNumId w:val="15"/>
  </w:num>
  <w:num w:numId="18">
    <w:abstractNumId w:val="22"/>
  </w:num>
  <w:num w:numId="19">
    <w:abstractNumId w:val="19"/>
  </w:num>
  <w:num w:numId="20">
    <w:abstractNumId w:val="17"/>
  </w:num>
  <w:num w:numId="21">
    <w:abstractNumId w:val="13"/>
  </w:num>
  <w:num w:numId="22">
    <w:abstractNumId w:val="20"/>
  </w:num>
  <w:num w:numId="23">
    <w:abstractNumId w:val="16"/>
  </w:num>
  <w:num w:numId="24">
    <w:abstractNumId w:val="7"/>
  </w:num>
  <w:num w:numId="25">
    <w:abstractNumId w:val="5"/>
  </w:num>
  <w:num w:numId="26">
    <w:abstractNumId w:val="10"/>
  </w:num>
  <w:num w:numId="2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8433"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2073"/>
    <w:rsid w:val="0000364C"/>
    <w:rsid w:val="00004135"/>
    <w:rsid w:val="000041A1"/>
    <w:rsid w:val="000053BB"/>
    <w:rsid w:val="00011B3F"/>
    <w:rsid w:val="00013373"/>
    <w:rsid w:val="000142E5"/>
    <w:rsid w:val="00015DA7"/>
    <w:rsid w:val="000248CE"/>
    <w:rsid w:val="00024E1E"/>
    <w:rsid w:val="00034A4B"/>
    <w:rsid w:val="00040440"/>
    <w:rsid w:val="00041909"/>
    <w:rsid w:val="0004521E"/>
    <w:rsid w:val="00046593"/>
    <w:rsid w:val="00046DF8"/>
    <w:rsid w:val="00047C08"/>
    <w:rsid w:val="00047F30"/>
    <w:rsid w:val="0005401F"/>
    <w:rsid w:val="00055769"/>
    <w:rsid w:val="0005650A"/>
    <w:rsid w:val="00056A65"/>
    <w:rsid w:val="00056EC3"/>
    <w:rsid w:val="00062CFE"/>
    <w:rsid w:val="0007129A"/>
    <w:rsid w:val="0007514A"/>
    <w:rsid w:val="000831C4"/>
    <w:rsid w:val="000838B9"/>
    <w:rsid w:val="000844CA"/>
    <w:rsid w:val="000932D8"/>
    <w:rsid w:val="000A592E"/>
    <w:rsid w:val="000A74C8"/>
    <w:rsid w:val="000B1B71"/>
    <w:rsid w:val="000B3FBE"/>
    <w:rsid w:val="000B48EF"/>
    <w:rsid w:val="000C28E1"/>
    <w:rsid w:val="000C3D08"/>
    <w:rsid w:val="000C5311"/>
    <w:rsid w:val="000D68AD"/>
    <w:rsid w:val="000E183F"/>
    <w:rsid w:val="000F040A"/>
    <w:rsid w:val="00102A9B"/>
    <w:rsid w:val="001034E8"/>
    <w:rsid w:val="00106391"/>
    <w:rsid w:val="00112A69"/>
    <w:rsid w:val="00113EEB"/>
    <w:rsid w:val="0011541D"/>
    <w:rsid w:val="00116156"/>
    <w:rsid w:val="001244D0"/>
    <w:rsid w:val="00126364"/>
    <w:rsid w:val="00132DB9"/>
    <w:rsid w:val="00132F4A"/>
    <w:rsid w:val="0013429E"/>
    <w:rsid w:val="00136D95"/>
    <w:rsid w:val="00136DA9"/>
    <w:rsid w:val="00150A74"/>
    <w:rsid w:val="00154192"/>
    <w:rsid w:val="0015658F"/>
    <w:rsid w:val="00160BC8"/>
    <w:rsid w:val="00161972"/>
    <w:rsid w:val="0016507E"/>
    <w:rsid w:val="00166F40"/>
    <w:rsid w:val="00167425"/>
    <w:rsid w:val="001719F2"/>
    <w:rsid w:val="00174A3E"/>
    <w:rsid w:val="00175122"/>
    <w:rsid w:val="001807A3"/>
    <w:rsid w:val="00187BA5"/>
    <w:rsid w:val="001947D5"/>
    <w:rsid w:val="001A3E9E"/>
    <w:rsid w:val="001A6E1E"/>
    <w:rsid w:val="001B0E69"/>
    <w:rsid w:val="001B2ED7"/>
    <w:rsid w:val="001B6585"/>
    <w:rsid w:val="001D03A8"/>
    <w:rsid w:val="001D5204"/>
    <w:rsid w:val="001E78E8"/>
    <w:rsid w:val="001F3A8F"/>
    <w:rsid w:val="002008B4"/>
    <w:rsid w:val="00201F24"/>
    <w:rsid w:val="00205E44"/>
    <w:rsid w:val="0020616B"/>
    <w:rsid w:val="002125ED"/>
    <w:rsid w:val="002127CE"/>
    <w:rsid w:val="00215842"/>
    <w:rsid w:val="00217830"/>
    <w:rsid w:val="002207DF"/>
    <w:rsid w:val="00221AC2"/>
    <w:rsid w:val="002251EB"/>
    <w:rsid w:val="00227862"/>
    <w:rsid w:val="00227E4B"/>
    <w:rsid w:val="0023015A"/>
    <w:rsid w:val="0023708A"/>
    <w:rsid w:val="00237936"/>
    <w:rsid w:val="00245BF9"/>
    <w:rsid w:val="002464E7"/>
    <w:rsid w:val="0025022D"/>
    <w:rsid w:val="002530BB"/>
    <w:rsid w:val="002556F3"/>
    <w:rsid w:val="002576BD"/>
    <w:rsid w:val="00260EDF"/>
    <w:rsid w:val="00261DFE"/>
    <w:rsid w:val="00264148"/>
    <w:rsid w:val="002722D9"/>
    <w:rsid w:val="00274179"/>
    <w:rsid w:val="00283D7C"/>
    <w:rsid w:val="00286B26"/>
    <w:rsid w:val="0029542C"/>
    <w:rsid w:val="00295962"/>
    <w:rsid w:val="002B0FD2"/>
    <w:rsid w:val="002B6C3E"/>
    <w:rsid w:val="002C378C"/>
    <w:rsid w:val="002D584F"/>
    <w:rsid w:val="002E3FD5"/>
    <w:rsid w:val="002E7A38"/>
    <w:rsid w:val="00305711"/>
    <w:rsid w:val="00306516"/>
    <w:rsid w:val="00312A2C"/>
    <w:rsid w:val="00327A8B"/>
    <w:rsid w:val="003402FA"/>
    <w:rsid w:val="003469CB"/>
    <w:rsid w:val="00350C8B"/>
    <w:rsid w:val="00351313"/>
    <w:rsid w:val="00363331"/>
    <w:rsid w:val="00371E14"/>
    <w:rsid w:val="003730CF"/>
    <w:rsid w:val="00373208"/>
    <w:rsid w:val="00376AF8"/>
    <w:rsid w:val="0038080E"/>
    <w:rsid w:val="00383DB3"/>
    <w:rsid w:val="00383F74"/>
    <w:rsid w:val="0038402C"/>
    <w:rsid w:val="003854B2"/>
    <w:rsid w:val="00385AE6"/>
    <w:rsid w:val="00387C8D"/>
    <w:rsid w:val="00392DD0"/>
    <w:rsid w:val="00396BCB"/>
    <w:rsid w:val="00397825"/>
    <w:rsid w:val="00397E72"/>
    <w:rsid w:val="003A1073"/>
    <w:rsid w:val="003A10F3"/>
    <w:rsid w:val="003A3906"/>
    <w:rsid w:val="003A6333"/>
    <w:rsid w:val="003A7B1F"/>
    <w:rsid w:val="003B03A4"/>
    <w:rsid w:val="003C03EA"/>
    <w:rsid w:val="003C690C"/>
    <w:rsid w:val="003D0C76"/>
    <w:rsid w:val="003E40FA"/>
    <w:rsid w:val="003E44F7"/>
    <w:rsid w:val="003E4727"/>
    <w:rsid w:val="003F24ED"/>
    <w:rsid w:val="003F529E"/>
    <w:rsid w:val="00402DB4"/>
    <w:rsid w:val="0040374E"/>
    <w:rsid w:val="00404A17"/>
    <w:rsid w:val="00405DBD"/>
    <w:rsid w:val="00407CCE"/>
    <w:rsid w:val="004221B7"/>
    <w:rsid w:val="00426481"/>
    <w:rsid w:val="004316E9"/>
    <w:rsid w:val="00432966"/>
    <w:rsid w:val="004366F0"/>
    <w:rsid w:val="00445749"/>
    <w:rsid w:val="004522AE"/>
    <w:rsid w:val="0045608E"/>
    <w:rsid w:val="0045662F"/>
    <w:rsid w:val="00456726"/>
    <w:rsid w:val="00463350"/>
    <w:rsid w:val="00463D20"/>
    <w:rsid w:val="0046484C"/>
    <w:rsid w:val="00466450"/>
    <w:rsid w:val="00466648"/>
    <w:rsid w:val="00466959"/>
    <w:rsid w:val="00473B0E"/>
    <w:rsid w:val="0047784B"/>
    <w:rsid w:val="004908CE"/>
    <w:rsid w:val="00493E0E"/>
    <w:rsid w:val="004946F0"/>
    <w:rsid w:val="00497C2A"/>
    <w:rsid w:val="004B1075"/>
    <w:rsid w:val="004B55E9"/>
    <w:rsid w:val="004B6A3A"/>
    <w:rsid w:val="004C277B"/>
    <w:rsid w:val="004D05FB"/>
    <w:rsid w:val="004D29C7"/>
    <w:rsid w:val="004D2FF7"/>
    <w:rsid w:val="004D3ED2"/>
    <w:rsid w:val="00504119"/>
    <w:rsid w:val="005065CF"/>
    <w:rsid w:val="00506BB4"/>
    <w:rsid w:val="0050705F"/>
    <w:rsid w:val="005170D3"/>
    <w:rsid w:val="0052493A"/>
    <w:rsid w:val="0052574D"/>
    <w:rsid w:val="0052783E"/>
    <w:rsid w:val="00531183"/>
    <w:rsid w:val="00535CAF"/>
    <w:rsid w:val="00536054"/>
    <w:rsid w:val="0053654B"/>
    <w:rsid w:val="00536CE1"/>
    <w:rsid w:val="0054180D"/>
    <w:rsid w:val="00543D47"/>
    <w:rsid w:val="00545C0F"/>
    <w:rsid w:val="00547B53"/>
    <w:rsid w:val="00550833"/>
    <w:rsid w:val="005515CD"/>
    <w:rsid w:val="00571D8F"/>
    <w:rsid w:val="0057367D"/>
    <w:rsid w:val="00585BE3"/>
    <w:rsid w:val="0059212D"/>
    <w:rsid w:val="00593681"/>
    <w:rsid w:val="00597217"/>
    <w:rsid w:val="00597B3F"/>
    <w:rsid w:val="005A0EB0"/>
    <w:rsid w:val="005B2B58"/>
    <w:rsid w:val="005B75A6"/>
    <w:rsid w:val="005C00FA"/>
    <w:rsid w:val="005C2D89"/>
    <w:rsid w:val="005C485B"/>
    <w:rsid w:val="005D39D7"/>
    <w:rsid w:val="005D447C"/>
    <w:rsid w:val="005D5956"/>
    <w:rsid w:val="005D6F63"/>
    <w:rsid w:val="005F4848"/>
    <w:rsid w:val="00616E46"/>
    <w:rsid w:val="0062008C"/>
    <w:rsid w:val="00620797"/>
    <w:rsid w:val="0062207D"/>
    <w:rsid w:val="00626494"/>
    <w:rsid w:val="00627496"/>
    <w:rsid w:val="00641DE2"/>
    <w:rsid w:val="00643384"/>
    <w:rsid w:val="006444C3"/>
    <w:rsid w:val="00647066"/>
    <w:rsid w:val="00652BE9"/>
    <w:rsid w:val="0065406F"/>
    <w:rsid w:val="00654417"/>
    <w:rsid w:val="00655127"/>
    <w:rsid w:val="00663B93"/>
    <w:rsid w:val="00663EC4"/>
    <w:rsid w:val="006643C6"/>
    <w:rsid w:val="00672BCD"/>
    <w:rsid w:val="00677C5F"/>
    <w:rsid w:val="00681D51"/>
    <w:rsid w:val="00690BA4"/>
    <w:rsid w:val="00693A68"/>
    <w:rsid w:val="00694AF6"/>
    <w:rsid w:val="006A0BC7"/>
    <w:rsid w:val="006A6852"/>
    <w:rsid w:val="006A7E28"/>
    <w:rsid w:val="006B0655"/>
    <w:rsid w:val="006C0062"/>
    <w:rsid w:val="006C097E"/>
    <w:rsid w:val="006C2DC3"/>
    <w:rsid w:val="006D0439"/>
    <w:rsid w:val="006D27A2"/>
    <w:rsid w:val="006D42EC"/>
    <w:rsid w:val="006D4BA8"/>
    <w:rsid w:val="006E3D95"/>
    <w:rsid w:val="00704B7D"/>
    <w:rsid w:val="00710137"/>
    <w:rsid w:val="00711414"/>
    <w:rsid w:val="00711D5C"/>
    <w:rsid w:val="00725453"/>
    <w:rsid w:val="0072607B"/>
    <w:rsid w:val="00730DA0"/>
    <w:rsid w:val="00733C64"/>
    <w:rsid w:val="00737591"/>
    <w:rsid w:val="0074244E"/>
    <w:rsid w:val="007438F2"/>
    <w:rsid w:val="00754A68"/>
    <w:rsid w:val="00755C3D"/>
    <w:rsid w:val="007576EF"/>
    <w:rsid w:val="00760677"/>
    <w:rsid w:val="00761C12"/>
    <w:rsid w:val="007658BA"/>
    <w:rsid w:val="0077128D"/>
    <w:rsid w:val="00771BE2"/>
    <w:rsid w:val="007746E6"/>
    <w:rsid w:val="00774E95"/>
    <w:rsid w:val="00776CF4"/>
    <w:rsid w:val="00777E63"/>
    <w:rsid w:val="00784F89"/>
    <w:rsid w:val="00786336"/>
    <w:rsid w:val="00792ABC"/>
    <w:rsid w:val="007951D6"/>
    <w:rsid w:val="007963E0"/>
    <w:rsid w:val="007A0E7F"/>
    <w:rsid w:val="007A243E"/>
    <w:rsid w:val="007A4378"/>
    <w:rsid w:val="007A7129"/>
    <w:rsid w:val="007A7548"/>
    <w:rsid w:val="007B237D"/>
    <w:rsid w:val="007C5CE9"/>
    <w:rsid w:val="007C73A1"/>
    <w:rsid w:val="007D39CC"/>
    <w:rsid w:val="007D6AAF"/>
    <w:rsid w:val="007E29F8"/>
    <w:rsid w:val="007E5A11"/>
    <w:rsid w:val="007E73E6"/>
    <w:rsid w:val="007F1954"/>
    <w:rsid w:val="007F21D7"/>
    <w:rsid w:val="008057F8"/>
    <w:rsid w:val="008058B3"/>
    <w:rsid w:val="00811910"/>
    <w:rsid w:val="00812C91"/>
    <w:rsid w:val="008213F9"/>
    <w:rsid w:val="00823BCB"/>
    <w:rsid w:val="008307E1"/>
    <w:rsid w:val="00836D62"/>
    <w:rsid w:val="00844524"/>
    <w:rsid w:val="008455FB"/>
    <w:rsid w:val="00867160"/>
    <w:rsid w:val="0087205B"/>
    <w:rsid w:val="00873439"/>
    <w:rsid w:val="00874FB8"/>
    <w:rsid w:val="00895669"/>
    <w:rsid w:val="00897946"/>
    <w:rsid w:val="008A3276"/>
    <w:rsid w:val="008A3447"/>
    <w:rsid w:val="008A6D4E"/>
    <w:rsid w:val="008A7E5F"/>
    <w:rsid w:val="008B2F10"/>
    <w:rsid w:val="008C734C"/>
    <w:rsid w:val="008D1846"/>
    <w:rsid w:val="008E4BF2"/>
    <w:rsid w:val="008F44D1"/>
    <w:rsid w:val="008F4C8C"/>
    <w:rsid w:val="008F4CBD"/>
    <w:rsid w:val="008F76B9"/>
    <w:rsid w:val="009017AD"/>
    <w:rsid w:val="00901BED"/>
    <w:rsid w:val="00905735"/>
    <w:rsid w:val="0091240E"/>
    <w:rsid w:val="00913170"/>
    <w:rsid w:val="009131B9"/>
    <w:rsid w:val="0091409C"/>
    <w:rsid w:val="009211E6"/>
    <w:rsid w:val="009252DA"/>
    <w:rsid w:val="00927B65"/>
    <w:rsid w:val="00932325"/>
    <w:rsid w:val="00933D5D"/>
    <w:rsid w:val="00935805"/>
    <w:rsid w:val="009368F3"/>
    <w:rsid w:val="00941000"/>
    <w:rsid w:val="00947C42"/>
    <w:rsid w:val="00950489"/>
    <w:rsid w:val="009528B8"/>
    <w:rsid w:val="00955909"/>
    <w:rsid w:val="00957DE9"/>
    <w:rsid w:val="009616F7"/>
    <w:rsid w:val="00965A44"/>
    <w:rsid w:val="00967D7C"/>
    <w:rsid w:val="00971F32"/>
    <w:rsid w:val="0097548D"/>
    <w:rsid w:val="009757AD"/>
    <w:rsid w:val="00980B6A"/>
    <w:rsid w:val="009818F9"/>
    <w:rsid w:val="0098502A"/>
    <w:rsid w:val="0098618F"/>
    <w:rsid w:val="00987C32"/>
    <w:rsid w:val="00991646"/>
    <w:rsid w:val="0099448B"/>
    <w:rsid w:val="00997347"/>
    <w:rsid w:val="009A22E7"/>
    <w:rsid w:val="009A31C1"/>
    <w:rsid w:val="009A5698"/>
    <w:rsid w:val="009B19CE"/>
    <w:rsid w:val="009B4478"/>
    <w:rsid w:val="009C202F"/>
    <w:rsid w:val="009C4B95"/>
    <w:rsid w:val="009C77F7"/>
    <w:rsid w:val="009E20BA"/>
    <w:rsid w:val="009E35C0"/>
    <w:rsid w:val="009E48F1"/>
    <w:rsid w:val="009E5ABC"/>
    <w:rsid w:val="009E5B9C"/>
    <w:rsid w:val="009F4ED1"/>
    <w:rsid w:val="00A00D71"/>
    <w:rsid w:val="00A00EDF"/>
    <w:rsid w:val="00A07B79"/>
    <w:rsid w:val="00A10A62"/>
    <w:rsid w:val="00A12326"/>
    <w:rsid w:val="00A12919"/>
    <w:rsid w:val="00A26A17"/>
    <w:rsid w:val="00A30169"/>
    <w:rsid w:val="00A30233"/>
    <w:rsid w:val="00A312A3"/>
    <w:rsid w:val="00A33D9F"/>
    <w:rsid w:val="00A352B6"/>
    <w:rsid w:val="00A36A3D"/>
    <w:rsid w:val="00A37229"/>
    <w:rsid w:val="00A41763"/>
    <w:rsid w:val="00A418C9"/>
    <w:rsid w:val="00A6120C"/>
    <w:rsid w:val="00A6535F"/>
    <w:rsid w:val="00A71A09"/>
    <w:rsid w:val="00A72AA8"/>
    <w:rsid w:val="00A72D52"/>
    <w:rsid w:val="00A74C9B"/>
    <w:rsid w:val="00A874E4"/>
    <w:rsid w:val="00A93478"/>
    <w:rsid w:val="00A97FE7"/>
    <w:rsid w:val="00AA2C24"/>
    <w:rsid w:val="00AA3FD0"/>
    <w:rsid w:val="00AA46CA"/>
    <w:rsid w:val="00AA7EFA"/>
    <w:rsid w:val="00AB5533"/>
    <w:rsid w:val="00AB61B3"/>
    <w:rsid w:val="00AC0A97"/>
    <w:rsid w:val="00AC323A"/>
    <w:rsid w:val="00AD6357"/>
    <w:rsid w:val="00AD7F81"/>
    <w:rsid w:val="00AE4CA9"/>
    <w:rsid w:val="00AE52F7"/>
    <w:rsid w:val="00AF367D"/>
    <w:rsid w:val="00AF45FD"/>
    <w:rsid w:val="00B13A6E"/>
    <w:rsid w:val="00B153C1"/>
    <w:rsid w:val="00B20CF5"/>
    <w:rsid w:val="00B21F47"/>
    <w:rsid w:val="00B2299B"/>
    <w:rsid w:val="00B2386E"/>
    <w:rsid w:val="00B35E2A"/>
    <w:rsid w:val="00B4263D"/>
    <w:rsid w:val="00B51691"/>
    <w:rsid w:val="00B56F49"/>
    <w:rsid w:val="00B57CEF"/>
    <w:rsid w:val="00B60D42"/>
    <w:rsid w:val="00B6504B"/>
    <w:rsid w:val="00B7442A"/>
    <w:rsid w:val="00B81C45"/>
    <w:rsid w:val="00B842BC"/>
    <w:rsid w:val="00B843C3"/>
    <w:rsid w:val="00B9080B"/>
    <w:rsid w:val="00B90BA9"/>
    <w:rsid w:val="00B97002"/>
    <w:rsid w:val="00BA03A4"/>
    <w:rsid w:val="00BB2F70"/>
    <w:rsid w:val="00BB6CF4"/>
    <w:rsid w:val="00BC14C3"/>
    <w:rsid w:val="00BC1ABE"/>
    <w:rsid w:val="00BC62E2"/>
    <w:rsid w:val="00BD2F20"/>
    <w:rsid w:val="00BD4F62"/>
    <w:rsid w:val="00BE34E9"/>
    <w:rsid w:val="00BE4AFD"/>
    <w:rsid w:val="00BF4DBC"/>
    <w:rsid w:val="00C00590"/>
    <w:rsid w:val="00C032E0"/>
    <w:rsid w:val="00C04647"/>
    <w:rsid w:val="00C058CF"/>
    <w:rsid w:val="00C12551"/>
    <w:rsid w:val="00C211CD"/>
    <w:rsid w:val="00C25328"/>
    <w:rsid w:val="00C271DE"/>
    <w:rsid w:val="00C3200D"/>
    <w:rsid w:val="00C3744D"/>
    <w:rsid w:val="00C41DFC"/>
    <w:rsid w:val="00C43A84"/>
    <w:rsid w:val="00C64137"/>
    <w:rsid w:val="00C658E4"/>
    <w:rsid w:val="00C701BA"/>
    <w:rsid w:val="00C711A2"/>
    <w:rsid w:val="00C7266E"/>
    <w:rsid w:val="00C75631"/>
    <w:rsid w:val="00C76B0A"/>
    <w:rsid w:val="00C76C66"/>
    <w:rsid w:val="00C8231E"/>
    <w:rsid w:val="00C82DF9"/>
    <w:rsid w:val="00C87190"/>
    <w:rsid w:val="00CA1564"/>
    <w:rsid w:val="00CA204C"/>
    <w:rsid w:val="00CA7C8A"/>
    <w:rsid w:val="00CB44E8"/>
    <w:rsid w:val="00CB7978"/>
    <w:rsid w:val="00CC1D12"/>
    <w:rsid w:val="00CE42E9"/>
    <w:rsid w:val="00D001E4"/>
    <w:rsid w:val="00D00AA8"/>
    <w:rsid w:val="00D02778"/>
    <w:rsid w:val="00D13E84"/>
    <w:rsid w:val="00D17918"/>
    <w:rsid w:val="00D26A02"/>
    <w:rsid w:val="00D26CF0"/>
    <w:rsid w:val="00D300F4"/>
    <w:rsid w:val="00D3344B"/>
    <w:rsid w:val="00D40175"/>
    <w:rsid w:val="00D42930"/>
    <w:rsid w:val="00D53852"/>
    <w:rsid w:val="00D540CA"/>
    <w:rsid w:val="00D55243"/>
    <w:rsid w:val="00D62F90"/>
    <w:rsid w:val="00D63E74"/>
    <w:rsid w:val="00D66564"/>
    <w:rsid w:val="00D668AB"/>
    <w:rsid w:val="00D715C4"/>
    <w:rsid w:val="00D854D8"/>
    <w:rsid w:val="00D86133"/>
    <w:rsid w:val="00D928FD"/>
    <w:rsid w:val="00D966A9"/>
    <w:rsid w:val="00DA6D3B"/>
    <w:rsid w:val="00DB78BB"/>
    <w:rsid w:val="00DC79E3"/>
    <w:rsid w:val="00DD51E1"/>
    <w:rsid w:val="00DE2D54"/>
    <w:rsid w:val="00DF3738"/>
    <w:rsid w:val="00DF5FFA"/>
    <w:rsid w:val="00E02BB0"/>
    <w:rsid w:val="00E03CE6"/>
    <w:rsid w:val="00E05B4E"/>
    <w:rsid w:val="00E13716"/>
    <w:rsid w:val="00E266FF"/>
    <w:rsid w:val="00E27661"/>
    <w:rsid w:val="00E45AD7"/>
    <w:rsid w:val="00E47DB3"/>
    <w:rsid w:val="00E509A9"/>
    <w:rsid w:val="00E51F8B"/>
    <w:rsid w:val="00E5242A"/>
    <w:rsid w:val="00E53398"/>
    <w:rsid w:val="00E62665"/>
    <w:rsid w:val="00E6486C"/>
    <w:rsid w:val="00E66AE2"/>
    <w:rsid w:val="00E700DA"/>
    <w:rsid w:val="00E7382F"/>
    <w:rsid w:val="00E74DA4"/>
    <w:rsid w:val="00E81B89"/>
    <w:rsid w:val="00E8695E"/>
    <w:rsid w:val="00E87C1E"/>
    <w:rsid w:val="00E91432"/>
    <w:rsid w:val="00E91B5A"/>
    <w:rsid w:val="00EA02C8"/>
    <w:rsid w:val="00EB15B9"/>
    <w:rsid w:val="00ED6E45"/>
    <w:rsid w:val="00EE1791"/>
    <w:rsid w:val="00EE2CAF"/>
    <w:rsid w:val="00EE43E4"/>
    <w:rsid w:val="00F001EA"/>
    <w:rsid w:val="00F02F7A"/>
    <w:rsid w:val="00F056C3"/>
    <w:rsid w:val="00F103BC"/>
    <w:rsid w:val="00F16B90"/>
    <w:rsid w:val="00F2022F"/>
    <w:rsid w:val="00F2096E"/>
    <w:rsid w:val="00F34F19"/>
    <w:rsid w:val="00F37BA4"/>
    <w:rsid w:val="00F44A21"/>
    <w:rsid w:val="00F4755D"/>
    <w:rsid w:val="00F52688"/>
    <w:rsid w:val="00F572BD"/>
    <w:rsid w:val="00F575F0"/>
    <w:rsid w:val="00F6664C"/>
    <w:rsid w:val="00F74DA1"/>
    <w:rsid w:val="00F750E7"/>
    <w:rsid w:val="00F80AF1"/>
    <w:rsid w:val="00F8298C"/>
    <w:rsid w:val="00F90245"/>
    <w:rsid w:val="00F920D9"/>
    <w:rsid w:val="00F94781"/>
    <w:rsid w:val="00FA5388"/>
    <w:rsid w:val="00FB08E3"/>
    <w:rsid w:val="00FB485B"/>
    <w:rsid w:val="00FB5998"/>
    <w:rsid w:val="00FB67DA"/>
    <w:rsid w:val="00FB6BF3"/>
    <w:rsid w:val="00FD397B"/>
    <w:rsid w:val="00FD4B01"/>
    <w:rsid w:val="00FD52F2"/>
    <w:rsid w:val="00FD67D1"/>
    <w:rsid w:val="00FD7CDC"/>
    <w:rsid w:val="00FE198D"/>
    <w:rsid w:val="00FE26D8"/>
    <w:rsid w:val="00FE4123"/>
    <w:rsid w:val="00FE58E0"/>
    <w:rsid w:val="00FE74D0"/>
    <w:rsid w:val="00FE7AB1"/>
    <w:rsid w:val="00FF4AB3"/>
    <w:rsid w:val="00FF5801"/>
    <w:rsid w:val="0685A171"/>
    <w:rsid w:val="0EF84792"/>
    <w:rsid w:val="15C8EFF2"/>
    <w:rsid w:val="714E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f" fillcolor="white" stroke="f">
      <v:fill color="white" on="f"/>
      <v:stroke on="f"/>
    </o:shapedefaults>
    <o:shapelayout v:ext="edit">
      <o:idmap v:ext="edit" data="1"/>
    </o:shapelayout>
  </w:shapeDefaults>
  <w:decimalSymbol w:val="."/>
  <w:listSeparator w:val=","/>
  <w14:docId w14:val="14B4A790"/>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B75A6"/>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B75A6"/>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681D51"/>
    <w:pPr>
      <w:numPr>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46484C"/>
    <w:pPr>
      <w:spacing w:after="0" w:line="240" w:lineRule="atLeast"/>
      <w:contextualSpacing/>
    </w:pPr>
    <w:rPr>
      <w:sz w:val="18"/>
    </w:rPr>
  </w:style>
  <w:style w:type="character" w:customStyle="1" w:styleId="FootnoteTextChar">
    <w:name w:val="Footnote Text Char"/>
    <w:basedOn w:val="DefaultParagraphFont"/>
    <w:link w:val="FootnoteText"/>
    <w:uiPriority w:val="99"/>
    <w:rsid w:val="0046484C"/>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semiHidden/>
    <w:unhideWhenUsed/>
    <w:locked/>
    <w:rsid w:val="006A7E28"/>
    <w:rPr>
      <w:sz w:val="16"/>
      <w:szCs w:val="16"/>
    </w:rPr>
  </w:style>
  <w:style w:type="paragraph" w:styleId="CommentText">
    <w:name w:val="annotation text"/>
    <w:basedOn w:val="Normal"/>
    <w:link w:val="CommentTextChar"/>
    <w:unhideWhenUsed/>
    <w:locked/>
    <w:rsid w:val="006A7E28"/>
    <w:pPr>
      <w:spacing w:line="240" w:lineRule="auto"/>
    </w:pPr>
    <w:rPr>
      <w:sz w:val="20"/>
      <w:szCs w:val="20"/>
    </w:rPr>
  </w:style>
  <w:style w:type="character" w:customStyle="1" w:styleId="CommentTextChar">
    <w:name w:val="Comment Text Char"/>
    <w:basedOn w:val="DefaultParagraphFont"/>
    <w:link w:val="CommentText"/>
    <w:uiPriority w:val="99"/>
    <w:rsid w:val="006A7E28"/>
    <w:rPr>
      <w:sz w:val="20"/>
      <w:szCs w:val="20"/>
    </w:rPr>
  </w:style>
  <w:style w:type="paragraph" w:styleId="CommentSubject">
    <w:name w:val="annotation subject"/>
    <w:basedOn w:val="CommentText"/>
    <w:next w:val="CommentText"/>
    <w:link w:val="CommentSubjectChar"/>
    <w:uiPriority w:val="99"/>
    <w:semiHidden/>
    <w:unhideWhenUsed/>
    <w:locked/>
    <w:rsid w:val="006A7E28"/>
    <w:rPr>
      <w:b/>
      <w:bCs/>
    </w:rPr>
  </w:style>
  <w:style w:type="character" w:customStyle="1" w:styleId="CommentSubjectChar">
    <w:name w:val="Comment Subject Char"/>
    <w:basedOn w:val="CommentTextChar"/>
    <w:link w:val="CommentSubject"/>
    <w:uiPriority w:val="99"/>
    <w:semiHidden/>
    <w:rsid w:val="006A7E28"/>
    <w:rPr>
      <w:b/>
      <w:bCs/>
      <w:sz w:val="20"/>
      <w:szCs w:val="20"/>
    </w:rPr>
  </w:style>
  <w:style w:type="paragraph" w:styleId="Revision">
    <w:name w:val="Revision"/>
    <w:hidden/>
    <w:uiPriority w:val="99"/>
    <w:semiHidden/>
    <w:rsid w:val="00AA2C24"/>
    <w:pPr>
      <w:spacing w:after="0"/>
    </w:pPr>
  </w:style>
  <w:style w:type="character" w:customStyle="1" w:styleId="UnresolvedMention">
    <w:name w:val="Unresolved Mention"/>
    <w:basedOn w:val="DefaultParagraphFont"/>
    <w:uiPriority w:val="99"/>
    <w:semiHidden/>
    <w:unhideWhenUsed/>
    <w:rsid w:val="001B2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15294047">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94428747">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29004253">
      <w:bodyDiv w:val="1"/>
      <w:marLeft w:val="0"/>
      <w:marRight w:val="0"/>
      <w:marTop w:val="0"/>
      <w:marBottom w:val="0"/>
      <w:divBdr>
        <w:top w:val="none" w:sz="0" w:space="0" w:color="auto"/>
        <w:left w:val="none" w:sz="0" w:space="0" w:color="auto"/>
        <w:bottom w:val="none" w:sz="0" w:space="0" w:color="auto"/>
        <w:right w:val="none" w:sz="0" w:space="0" w:color="auto"/>
      </w:divBdr>
    </w:div>
    <w:div w:id="937762054">
      <w:bodyDiv w:val="1"/>
      <w:marLeft w:val="0"/>
      <w:marRight w:val="0"/>
      <w:marTop w:val="0"/>
      <w:marBottom w:val="0"/>
      <w:divBdr>
        <w:top w:val="none" w:sz="0" w:space="0" w:color="auto"/>
        <w:left w:val="none" w:sz="0" w:space="0" w:color="auto"/>
        <w:bottom w:val="none" w:sz="0" w:space="0" w:color="auto"/>
        <w:right w:val="none" w:sz="0" w:space="0" w:color="auto"/>
      </w:divBdr>
    </w:div>
    <w:div w:id="952204040">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02266322">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2105522">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22774046">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1422339">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yperlink" Target="https://www.eia.gov/electricity/monthl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eta.regulations.gov/document/DOE-HQ-2020-0038-0001/comment" TargetMode="External"/><Relationship Id="rId32" Type="http://schemas.openxmlformats.org/officeDocument/2006/relationships/hyperlink" Target="https://www.oe.netl.doe.gov/OE417_annual_summary.aspx"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e.netl.doe.gov/oe417.aspx" TargetMode="Externa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nerc.com/pa/rrm/ea/Pages/EA-Program.aspx" TargetMode="External"/><Relationship Id="rId27" Type="http://schemas.openxmlformats.org/officeDocument/2006/relationships/footer" Target="footer6.xml"/><Relationship Id="rId30" Type="http://schemas.openxmlformats.org/officeDocument/2006/relationships/image" Target="media/image3.emf"/><Relationship Id="rId35" Type="http://schemas.openxmlformats.org/officeDocument/2006/relationships/glossaryDocument" Target="glossary/document.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eia.gov/electricity/monthly/" TargetMode="External"/><Relationship Id="rId1" Type="http://schemas.openxmlformats.org/officeDocument/2006/relationships/hyperlink" Target="https://www.oe.netl.doe.gov/OE417_annual_summary.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132F18"/>
    <w:rsid w:val="001E0E15"/>
    <w:rsid w:val="002701FF"/>
    <w:rsid w:val="0027789D"/>
    <w:rsid w:val="002B113A"/>
    <w:rsid w:val="002C01DA"/>
    <w:rsid w:val="00490EE8"/>
    <w:rsid w:val="004F04D8"/>
    <w:rsid w:val="006866D2"/>
    <w:rsid w:val="0069023D"/>
    <w:rsid w:val="0075127E"/>
    <w:rsid w:val="008D7151"/>
    <w:rsid w:val="0097548D"/>
    <w:rsid w:val="0099215D"/>
    <w:rsid w:val="009E75B6"/>
    <w:rsid w:val="00AA16F8"/>
    <w:rsid w:val="00B77CCD"/>
    <w:rsid w:val="00CB6AE6"/>
    <w:rsid w:val="00CE18E3"/>
    <w:rsid w:val="00D17918"/>
    <w:rsid w:val="00EA2AC2"/>
    <w:rsid w:val="00EF5D9B"/>
    <w:rsid w:val="00F3173A"/>
    <w:rsid w:val="00F41FCA"/>
    <w:rsid w:val="00FC524E"/>
    <w:rsid w:val="00FF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78F900-1D3A-472B-B0D7-FE9B0AF1C5FC}">
  <ds:schemaRefs>
    <ds:schemaRef ds:uri="http://schemas.microsoft.com/sharepoint/v3/contenttype/forms"/>
  </ds:schemaRefs>
</ds:datastoreItem>
</file>

<file path=customXml/itemProps3.xml><?xml version="1.0" encoding="utf-8"?>
<ds:datastoreItem xmlns:ds="http://schemas.openxmlformats.org/officeDocument/2006/customXml" ds:itemID="{2FA3A51B-D9D8-4BAD-87F2-FA9CBE726974}">
  <ds:schemaRefs>
    <ds:schemaRef ds:uri="17daff2f-b1b7-4d5c-80b2-47dc67a8fb08"/>
    <ds:schemaRef ds:uri="http://purl.org/dc/term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c7c3e025-3c1a-4026-bb7d-31b0a2c27904"/>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422C622-98A0-45F2-B358-68719E58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79C5BE-EEA8-424B-97E0-92DF0672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6641</Words>
  <Characters>37857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44410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Stroud, Lawrence</dc:creator>
  <cp:keywords/>
  <dc:description/>
  <cp:lastModifiedBy>Aloulou, Faouzi</cp:lastModifiedBy>
  <cp:revision>4</cp:revision>
  <cp:lastPrinted>2011-12-12T20:42:00Z</cp:lastPrinted>
  <dcterms:created xsi:type="dcterms:W3CDTF">2020-11-23T06:44:00Z</dcterms:created>
  <dcterms:modified xsi:type="dcterms:W3CDTF">2020-12-01T22:28:00Z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