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31675" w:rsidR="00AA22B0" w:rsidP="00AA22B0" w:rsidRDefault="00AA22B0" w14:paraId="7D5BD159" w14:textId="77777777">
      <w:pPr>
        <w:pStyle w:val="Heading1"/>
        <w:rPr>
          <w:rFonts w:ascii="Times New Roman" w:hAnsi="Times New Roman"/>
          <w:szCs w:val="24"/>
        </w:rPr>
      </w:pPr>
      <w:r w:rsidRPr="00731675">
        <w:rPr>
          <w:rFonts w:ascii="Times New Roman" w:hAnsi="Times New Roman"/>
          <w:szCs w:val="24"/>
        </w:rPr>
        <w:t>NOTE TO REVIEWER</w:t>
      </w:r>
    </w:p>
    <w:p w:rsidRPr="00731675" w:rsidR="00AA22B0" w:rsidP="00AA22B0" w:rsidRDefault="00AA22B0" w14:paraId="467B3107" w14:textId="77777777">
      <w:pPr>
        <w:rPr>
          <w:sz w:val="24"/>
          <w:szCs w:val="24"/>
        </w:rPr>
      </w:pPr>
    </w:p>
    <w:p w:rsidRPr="00731675" w:rsidR="00AA22B0" w:rsidP="00AA22B0" w:rsidRDefault="00AA22B0" w14:paraId="7F14B062" w14:textId="77777777">
      <w:pPr>
        <w:rPr>
          <w:sz w:val="24"/>
          <w:szCs w:val="24"/>
        </w:rPr>
      </w:pPr>
    </w:p>
    <w:p w:rsidRPr="00731675" w:rsidR="00AA22B0" w:rsidP="00AA22B0" w:rsidRDefault="00364B14" w14:paraId="57BF8D72" w14:textId="77777777">
      <w:pPr>
        <w:rPr>
          <w:sz w:val="24"/>
          <w:szCs w:val="24"/>
        </w:rPr>
      </w:pPr>
      <w:r w:rsidRPr="00731675">
        <w:rPr>
          <w:sz w:val="24"/>
          <w:szCs w:val="24"/>
        </w:rPr>
        <w:t>FROM</w:t>
      </w:r>
      <w:r w:rsidRPr="00731675" w:rsidR="00AA22B0">
        <w:rPr>
          <w:sz w:val="24"/>
          <w:szCs w:val="24"/>
        </w:rPr>
        <w:t>:</w:t>
      </w:r>
      <w:r w:rsidRPr="00731675">
        <w:rPr>
          <w:sz w:val="24"/>
          <w:szCs w:val="24"/>
        </w:rPr>
        <w:tab/>
      </w:r>
      <w:r w:rsidRPr="00731675">
        <w:rPr>
          <w:sz w:val="24"/>
          <w:szCs w:val="24"/>
        </w:rPr>
        <w:tab/>
      </w:r>
      <w:r w:rsidRPr="00731675" w:rsidR="00AA22B0">
        <w:rPr>
          <w:sz w:val="24"/>
          <w:szCs w:val="24"/>
        </w:rPr>
        <w:t>David Talan, Chief</w:t>
      </w:r>
    </w:p>
    <w:p w:rsidR="00AA22B0" w:rsidP="00364B14" w:rsidRDefault="00AA22B0" w14:paraId="6AA23357" w14:textId="77777777">
      <w:pPr>
        <w:ind w:left="1440" w:firstLine="720"/>
        <w:rPr>
          <w:sz w:val="24"/>
          <w:szCs w:val="24"/>
        </w:rPr>
      </w:pPr>
      <w:r w:rsidRPr="00731675">
        <w:rPr>
          <w:sz w:val="24"/>
          <w:szCs w:val="24"/>
        </w:rPr>
        <w:t>Division of Administrative Statistics and Labor</w:t>
      </w:r>
      <w:r w:rsidRPr="00731675" w:rsidR="00364B14">
        <w:rPr>
          <w:sz w:val="24"/>
          <w:szCs w:val="24"/>
        </w:rPr>
        <w:t xml:space="preserve"> </w:t>
      </w:r>
      <w:r w:rsidRPr="00731675">
        <w:rPr>
          <w:sz w:val="24"/>
          <w:szCs w:val="24"/>
        </w:rPr>
        <w:t>Turnover</w:t>
      </w:r>
    </w:p>
    <w:p w:rsidRPr="00731675" w:rsidR="00326E7B" w:rsidP="00364B14" w:rsidRDefault="00326E7B" w14:paraId="6B988424" w14:textId="77777777">
      <w:pPr>
        <w:ind w:left="1440" w:firstLine="720"/>
        <w:rPr>
          <w:sz w:val="24"/>
          <w:szCs w:val="24"/>
        </w:rPr>
      </w:pPr>
      <w:r>
        <w:rPr>
          <w:sz w:val="24"/>
          <w:szCs w:val="24"/>
        </w:rPr>
        <w:t>U.S Bureau of Labor Statistics</w:t>
      </w:r>
    </w:p>
    <w:p w:rsidRPr="00731675" w:rsidR="00AA22B0" w:rsidP="00AA22B0" w:rsidRDefault="00AA22B0" w14:paraId="55125CBA" w14:textId="77777777">
      <w:pPr>
        <w:rPr>
          <w:sz w:val="24"/>
          <w:szCs w:val="24"/>
        </w:rPr>
      </w:pPr>
      <w:r w:rsidRPr="00731675">
        <w:rPr>
          <w:sz w:val="24"/>
          <w:szCs w:val="24"/>
        </w:rPr>
        <w:tab/>
      </w:r>
      <w:r w:rsidRPr="00731675">
        <w:rPr>
          <w:sz w:val="24"/>
          <w:szCs w:val="24"/>
        </w:rPr>
        <w:tab/>
      </w:r>
      <w:r w:rsidRPr="00731675">
        <w:rPr>
          <w:sz w:val="24"/>
          <w:szCs w:val="24"/>
        </w:rPr>
        <w:tab/>
      </w:r>
      <w:r w:rsidRPr="00731675">
        <w:rPr>
          <w:sz w:val="24"/>
          <w:szCs w:val="24"/>
        </w:rPr>
        <w:tab/>
      </w:r>
    </w:p>
    <w:p w:rsidRPr="00731675" w:rsidR="00AA22B0" w:rsidP="00AA22B0" w:rsidRDefault="00AA22B0" w14:paraId="3C7C2AF4" w14:textId="7F62443E">
      <w:pPr>
        <w:ind w:left="2160" w:hanging="2160"/>
        <w:rPr>
          <w:sz w:val="24"/>
          <w:szCs w:val="24"/>
        </w:rPr>
      </w:pPr>
      <w:r w:rsidRPr="00731675">
        <w:rPr>
          <w:sz w:val="24"/>
          <w:szCs w:val="24"/>
        </w:rPr>
        <w:t>SUBJECT:</w:t>
      </w:r>
      <w:r w:rsidRPr="00731675" w:rsidR="00364B14">
        <w:rPr>
          <w:sz w:val="24"/>
          <w:szCs w:val="24"/>
        </w:rPr>
        <w:tab/>
      </w:r>
      <w:r w:rsidR="00326E7B">
        <w:rPr>
          <w:sz w:val="24"/>
          <w:szCs w:val="24"/>
        </w:rPr>
        <w:t>Improvement in Imputation Procedures for the</w:t>
      </w:r>
      <w:r w:rsidRPr="00731675">
        <w:rPr>
          <w:sz w:val="24"/>
          <w:szCs w:val="24"/>
        </w:rPr>
        <w:t xml:space="preserve"> </w:t>
      </w:r>
      <w:r w:rsidRPr="00731675" w:rsidR="0002371E">
        <w:rPr>
          <w:sz w:val="24"/>
          <w:szCs w:val="24"/>
        </w:rPr>
        <w:t>Quarterly Census of Employment and Wages (QCEW)</w:t>
      </w:r>
    </w:p>
    <w:p w:rsidRPr="00731675" w:rsidR="00AA22B0" w:rsidP="00AA22B0" w:rsidRDefault="00AA22B0" w14:paraId="0288B540" w14:textId="77777777">
      <w:pPr>
        <w:rPr>
          <w:sz w:val="24"/>
          <w:szCs w:val="24"/>
        </w:rPr>
      </w:pPr>
    </w:p>
    <w:p w:rsidR="00363EB8" w:rsidP="00AA22B0" w:rsidRDefault="00AA22B0" w14:paraId="519E0D39" w14:textId="07A8170C">
      <w:pPr>
        <w:rPr>
          <w:sz w:val="24"/>
          <w:szCs w:val="24"/>
        </w:rPr>
      </w:pPr>
      <w:r w:rsidRPr="00731675">
        <w:rPr>
          <w:sz w:val="24"/>
          <w:szCs w:val="24"/>
        </w:rPr>
        <w:t xml:space="preserve">The </w:t>
      </w:r>
      <w:r w:rsidRPr="00731675" w:rsidR="00326E7B">
        <w:rPr>
          <w:sz w:val="24"/>
          <w:szCs w:val="24"/>
        </w:rPr>
        <w:t>Bureau of Labor Statistics (BLS)</w:t>
      </w:r>
      <w:r w:rsidR="00326E7B">
        <w:rPr>
          <w:sz w:val="24"/>
          <w:szCs w:val="24"/>
        </w:rPr>
        <w:t xml:space="preserve"> implement</w:t>
      </w:r>
      <w:r w:rsidR="00751BE0">
        <w:rPr>
          <w:sz w:val="24"/>
          <w:szCs w:val="24"/>
        </w:rPr>
        <w:t>ed</w:t>
      </w:r>
      <w:r w:rsidR="00326E7B">
        <w:rPr>
          <w:sz w:val="24"/>
          <w:szCs w:val="24"/>
        </w:rPr>
        <w:t xml:space="preserve"> improvements </w:t>
      </w:r>
      <w:r w:rsidRPr="00731675" w:rsidR="00326E7B">
        <w:rPr>
          <w:sz w:val="24"/>
          <w:szCs w:val="24"/>
        </w:rPr>
        <w:t xml:space="preserve">to the methods used to impute data for missing employer reports </w:t>
      </w:r>
      <w:r w:rsidR="00326E7B">
        <w:rPr>
          <w:sz w:val="24"/>
          <w:szCs w:val="24"/>
        </w:rPr>
        <w:t xml:space="preserve">in the </w:t>
      </w:r>
      <w:r w:rsidRPr="00731675">
        <w:rPr>
          <w:sz w:val="24"/>
          <w:szCs w:val="24"/>
        </w:rPr>
        <w:t xml:space="preserve">Quarterly Census of Employment and Wages </w:t>
      </w:r>
      <w:r w:rsidRPr="00731675" w:rsidR="00326E7B">
        <w:rPr>
          <w:sz w:val="24"/>
          <w:szCs w:val="24"/>
        </w:rPr>
        <w:t xml:space="preserve">(QCEW) </w:t>
      </w:r>
      <w:r w:rsidR="00326E7B">
        <w:rPr>
          <w:sz w:val="24"/>
          <w:szCs w:val="24"/>
        </w:rPr>
        <w:t>p</w:t>
      </w:r>
      <w:r w:rsidRPr="00731675">
        <w:rPr>
          <w:sz w:val="24"/>
          <w:szCs w:val="24"/>
        </w:rPr>
        <w:t>rogram</w:t>
      </w:r>
      <w:r w:rsidRPr="00731675" w:rsidR="0002371E">
        <w:rPr>
          <w:sz w:val="24"/>
          <w:szCs w:val="24"/>
        </w:rPr>
        <w:t xml:space="preserve">.  </w:t>
      </w:r>
      <w:r w:rsidRPr="00731675">
        <w:rPr>
          <w:sz w:val="24"/>
          <w:szCs w:val="24"/>
        </w:rPr>
        <w:t>The OMB control number for this survey is 1220-</w:t>
      </w:r>
      <w:r w:rsidR="00200880">
        <w:rPr>
          <w:sz w:val="24"/>
          <w:szCs w:val="24"/>
        </w:rPr>
        <w:t>0012</w:t>
      </w:r>
      <w:r w:rsidRPr="00731675" w:rsidR="00200880">
        <w:rPr>
          <w:sz w:val="24"/>
          <w:szCs w:val="24"/>
        </w:rPr>
        <w:t xml:space="preserve"> </w:t>
      </w:r>
      <w:r w:rsidRPr="00731675">
        <w:rPr>
          <w:sz w:val="24"/>
          <w:szCs w:val="24"/>
        </w:rPr>
        <w:t xml:space="preserve">and </w:t>
      </w:r>
      <w:r w:rsidR="00326E7B">
        <w:rPr>
          <w:sz w:val="24"/>
          <w:szCs w:val="24"/>
        </w:rPr>
        <w:t>clearance for the survey</w:t>
      </w:r>
      <w:r w:rsidRPr="00731675" w:rsidR="00326E7B">
        <w:rPr>
          <w:sz w:val="24"/>
          <w:szCs w:val="24"/>
        </w:rPr>
        <w:t xml:space="preserve"> </w:t>
      </w:r>
      <w:r w:rsidRPr="00731675">
        <w:rPr>
          <w:sz w:val="24"/>
          <w:szCs w:val="24"/>
        </w:rPr>
        <w:t xml:space="preserve">expires on </w:t>
      </w:r>
      <w:r w:rsidRPr="00731675" w:rsidR="0002371E">
        <w:rPr>
          <w:sz w:val="24"/>
          <w:szCs w:val="24"/>
        </w:rPr>
        <w:t>02/28/2021</w:t>
      </w:r>
      <w:r w:rsidRPr="00731675">
        <w:rPr>
          <w:sz w:val="24"/>
          <w:szCs w:val="24"/>
        </w:rPr>
        <w:t>.</w:t>
      </w:r>
      <w:r w:rsidR="00F15B8E">
        <w:rPr>
          <w:sz w:val="24"/>
          <w:szCs w:val="24"/>
        </w:rPr>
        <w:t xml:space="preserve">  </w:t>
      </w:r>
    </w:p>
    <w:p w:rsidR="00363EB8" w:rsidP="00AA22B0" w:rsidRDefault="00363EB8" w14:paraId="376E2DA9" w14:textId="069FCC58">
      <w:pPr>
        <w:rPr>
          <w:sz w:val="24"/>
          <w:szCs w:val="24"/>
        </w:rPr>
      </w:pPr>
    </w:p>
    <w:p w:rsidRPr="00731675" w:rsidR="00AA22B0" w:rsidP="00AA22B0" w:rsidRDefault="00F15B8E" w14:paraId="18DA70BB" w14:textId="309EEF59">
      <w:pPr>
        <w:rPr>
          <w:sz w:val="24"/>
          <w:szCs w:val="24"/>
        </w:rPr>
      </w:pPr>
      <w:r>
        <w:rPr>
          <w:sz w:val="24"/>
          <w:szCs w:val="24"/>
        </w:rPr>
        <w:t xml:space="preserve">BLS </w:t>
      </w:r>
      <w:r w:rsidR="00326E7B">
        <w:rPr>
          <w:sz w:val="24"/>
          <w:szCs w:val="24"/>
        </w:rPr>
        <w:t>inform</w:t>
      </w:r>
      <w:r w:rsidR="00751BE0">
        <w:rPr>
          <w:sz w:val="24"/>
          <w:szCs w:val="24"/>
        </w:rPr>
        <w:t>ed</w:t>
      </w:r>
      <w:r>
        <w:rPr>
          <w:sz w:val="24"/>
          <w:szCs w:val="24"/>
        </w:rPr>
        <w:t xml:space="preserve"> QCEW </w:t>
      </w:r>
      <w:r w:rsidR="00326E7B">
        <w:rPr>
          <w:sz w:val="24"/>
          <w:szCs w:val="24"/>
        </w:rPr>
        <w:t xml:space="preserve">data </w:t>
      </w:r>
      <w:r>
        <w:rPr>
          <w:sz w:val="24"/>
          <w:szCs w:val="24"/>
        </w:rPr>
        <w:t xml:space="preserve">users </w:t>
      </w:r>
      <w:r w:rsidR="00326E7B">
        <w:rPr>
          <w:sz w:val="24"/>
          <w:szCs w:val="24"/>
        </w:rPr>
        <w:t xml:space="preserve">in advance </w:t>
      </w:r>
      <w:r w:rsidR="00363EB8">
        <w:rPr>
          <w:sz w:val="24"/>
          <w:szCs w:val="24"/>
        </w:rPr>
        <w:t>regarding this improvement</w:t>
      </w:r>
      <w:r>
        <w:rPr>
          <w:sz w:val="24"/>
          <w:szCs w:val="24"/>
        </w:rPr>
        <w:t xml:space="preserve">. </w:t>
      </w:r>
      <w:r w:rsidR="003A35D4">
        <w:rPr>
          <w:sz w:val="24"/>
          <w:szCs w:val="24"/>
        </w:rPr>
        <w:t xml:space="preserve"> </w:t>
      </w:r>
      <w:r>
        <w:rPr>
          <w:sz w:val="24"/>
          <w:szCs w:val="24"/>
        </w:rPr>
        <w:t xml:space="preserve">In addition to the public, BLS </w:t>
      </w:r>
      <w:r w:rsidR="00326E7B">
        <w:rPr>
          <w:sz w:val="24"/>
          <w:szCs w:val="24"/>
        </w:rPr>
        <w:t>inform</w:t>
      </w:r>
      <w:r w:rsidR="00751BE0">
        <w:rPr>
          <w:sz w:val="24"/>
          <w:szCs w:val="24"/>
        </w:rPr>
        <w:t>ed</w:t>
      </w:r>
      <w:r>
        <w:rPr>
          <w:sz w:val="24"/>
          <w:szCs w:val="24"/>
        </w:rPr>
        <w:t xml:space="preserve"> </w:t>
      </w:r>
      <w:r w:rsidR="00326E7B">
        <w:rPr>
          <w:sz w:val="24"/>
          <w:szCs w:val="24"/>
        </w:rPr>
        <w:t xml:space="preserve">business register and benchmark customers within BLS, and also </w:t>
      </w:r>
      <w:r>
        <w:rPr>
          <w:sz w:val="24"/>
          <w:szCs w:val="24"/>
        </w:rPr>
        <w:t xml:space="preserve">QCEW customers at BEA.  An outreach plan is discussed below. </w:t>
      </w:r>
    </w:p>
    <w:p w:rsidR="00AA22B0" w:rsidP="00AA22B0" w:rsidRDefault="00AA22B0" w14:paraId="0F238297" w14:textId="77777777">
      <w:pPr>
        <w:rPr>
          <w:sz w:val="24"/>
          <w:szCs w:val="24"/>
        </w:rPr>
      </w:pPr>
    </w:p>
    <w:p w:rsidR="00363EB8" w:rsidP="00AA22B0" w:rsidRDefault="00363EB8" w14:paraId="6055875C" w14:textId="77777777">
      <w:pPr>
        <w:rPr>
          <w:sz w:val="24"/>
          <w:szCs w:val="24"/>
        </w:rPr>
      </w:pPr>
      <w:r>
        <w:rPr>
          <w:sz w:val="24"/>
          <w:szCs w:val="24"/>
        </w:rPr>
        <w:t>OVERVIEW</w:t>
      </w:r>
    </w:p>
    <w:p w:rsidR="00836BF8" w:rsidP="00AA22B0" w:rsidRDefault="00836BF8" w14:paraId="74A56E48" w14:textId="77777777">
      <w:pPr>
        <w:rPr>
          <w:sz w:val="24"/>
          <w:szCs w:val="24"/>
        </w:rPr>
      </w:pPr>
    </w:p>
    <w:p w:rsidRPr="009256E5" w:rsidR="009256E5" w:rsidP="009256E5" w:rsidRDefault="009256E5" w14:paraId="4C36D094" w14:textId="3044A977">
      <w:pPr>
        <w:rPr>
          <w:sz w:val="24"/>
          <w:szCs w:val="24"/>
        </w:rPr>
      </w:pPr>
      <w:r w:rsidRPr="009256E5">
        <w:rPr>
          <w:sz w:val="24"/>
          <w:szCs w:val="24"/>
        </w:rPr>
        <w:t xml:space="preserve">The </w:t>
      </w:r>
      <w:r w:rsidR="00751BE0">
        <w:rPr>
          <w:sz w:val="24"/>
          <w:szCs w:val="24"/>
        </w:rPr>
        <w:t xml:space="preserve">former </w:t>
      </w:r>
      <w:r w:rsidRPr="009256E5">
        <w:rPr>
          <w:sz w:val="24"/>
          <w:szCs w:val="24"/>
        </w:rPr>
        <w:t>method of imputation estimate</w:t>
      </w:r>
      <w:r w:rsidR="00751BE0">
        <w:rPr>
          <w:sz w:val="24"/>
          <w:szCs w:val="24"/>
        </w:rPr>
        <w:t>d</w:t>
      </w:r>
      <w:r w:rsidRPr="009256E5">
        <w:rPr>
          <w:sz w:val="24"/>
          <w:szCs w:val="24"/>
        </w:rPr>
        <w:t xml:space="preserve"> the current month's employment or current quarterly wages by applying the change from a year earlier to the previous month's reported employment and/or quarterly wages. </w:t>
      </w:r>
      <w:r w:rsidR="000D5ABD">
        <w:rPr>
          <w:sz w:val="24"/>
          <w:szCs w:val="24"/>
        </w:rPr>
        <w:t xml:space="preserve"> </w:t>
      </w:r>
      <w:r w:rsidRPr="009256E5">
        <w:rPr>
          <w:sz w:val="24"/>
          <w:szCs w:val="24"/>
        </w:rPr>
        <w:t xml:space="preserve">That is, the current month’s employment for a missing establishment </w:t>
      </w:r>
      <w:r w:rsidR="00751BE0">
        <w:rPr>
          <w:sz w:val="24"/>
          <w:szCs w:val="24"/>
        </w:rPr>
        <w:t>was</w:t>
      </w:r>
      <w:r w:rsidRPr="009256E5" w:rsidR="00751BE0">
        <w:rPr>
          <w:sz w:val="24"/>
          <w:szCs w:val="24"/>
        </w:rPr>
        <w:t xml:space="preserve"> </w:t>
      </w:r>
      <w:r w:rsidRPr="009256E5">
        <w:rPr>
          <w:sz w:val="24"/>
          <w:szCs w:val="24"/>
        </w:rPr>
        <w:t xml:space="preserve">equal to the previous month’s employment multiplied by the ratio of its over-the-month change from a year earlier; a similar procedure </w:t>
      </w:r>
      <w:r w:rsidR="00751BE0">
        <w:rPr>
          <w:sz w:val="24"/>
          <w:szCs w:val="24"/>
        </w:rPr>
        <w:t>was</w:t>
      </w:r>
      <w:r w:rsidRPr="009256E5">
        <w:rPr>
          <w:sz w:val="24"/>
          <w:szCs w:val="24"/>
        </w:rPr>
        <w:t xml:space="preserve"> applied to estimate total quarterly wages. </w:t>
      </w:r>
      <w:r w:rsidR="000D5ABD">
        <w:rPr>
          <w:sz w:val="24"/>
          <w:szCs w:val="24"/>
        </w:rPr>
        <w:t xml:space="preserve"> </w:t>
      </w:r>
      <w:r w:rsidRPr="009256E5">
        <w:rPr>
          <w:sz w:val="24"/>
          <w:szCs w:val="24"/>
        </w:rPr>
        <w:t xml:space="preserve">A drawback to this procedure </w:t>
      </w:r>
      <w:r w:rsidR="00751BE0">
        <w:rPr>
          <w:sz w:val="24"/>
          <w:szCs w:val="24"/>
        </w:rPr>
        <w:t>was</w:t>
      </w:r>
      <w:r w:rsidRPr="009256E5" w:rsidR="00751BE0">
        <w:rPr>
          <w:sz w:val="24"/>
          <w:szCs w:val="24"/>
        </w:rPr>
        <w:t xml:space="preserve"> </w:t>
      </w:r>
      <w:r w:rsidRPr="009256E5">
        <w:rPr>
          <w:sz w:val="24"/>
          <w:szCs w:val="24"/>
        </w:rPr>
        <w:t>that it use</w:t>
      </w:r>
      <w:r w:rsidR="00751BE0">
        <w:rPr>
          <w:sz w:val="24"/>
          <w:szCs w:val="24"/>
        </w:rPr>
        <w:t>d</w:t>
      </w:r>
      <w:r w:rsidRPr="009256E5">
        <w:rPr>
          <w:sz w:val="24"/>
          <w:szCs w:val="24"/>
        </w:rPr>
        <w:t xml:space="preserve"> the data from a year earlier, which may not reflect current economic conditions.</w:t>
      </w:r>
    </w:p>
    <w:p w:rsidRPr="009256E5" w:rsidR="009256E5" w:rsidP="009256E5" w:rsidRDefault="009256E5" w14:paraId="6DEC96C7" w14:textId="77777777">
      <w:pPr>
        <w:rPr>
          <w:sz w:val="24"/>
          <w:szCs w:val="24"/>
        </w:rPr>
      </w:pPr>
    </w:p>
    <w:p w:rsidR="009256E5" w:rsidP="009256E5" w:rsidRDefault="009256E5" w14:paraId="28614868" w14:textId="2E3C2679">
      <w:pPr>
        <w:rPr>
          <w:sz w:val="24"/>
          <w:szCs w:val="24"/>
        </w:rPr>
      </w:pPr>
      <w:r w:rsidRPr="009256E5">
        <w:rPr>
          <w:sz w:val="24"/>
          <w:szCs w:val="24"/>
        </w:rPr>
        <w:t xml:space="preserve">Records </w:t>
      </w:r>
      <w:r w:rsidR="00461A0E">
        <w:rPr>
          <w:sz w:val="24"/>
          <w:szCs w:val="24"/>
        </w:rPr>
        <w:t>were</w:t>
      </w:r>
      <w:r w:rsidRPr="009256E5" w:rsidR="00461A0E">
        <w:rPr>
          <w:sz w:val="24"/>
          <w:szCs w:val="24"/>
        </w:rPr>
        <w:t xml:space="preserve"> </w:t>
      </w:r>
      <w:r w:rsidRPr="009256E5">
        <w:rPr>
          <w:sz w:val="24"/>
          <w:szCs w:val="24"/>
        </w:rPr>
        <w:t xml:space="preserve">imputed for two quarters of nonresponse. </w:t>
      </w:r>
      <w:r w:rsidR="000D5ABD">
        <w:rPr>
          <w:sz w:val="24"/>
          <w:szCs w:val="24"/>
        </w:rPr>
        <w:t xml:space="preserve"> </w:t>
      </w:r>
      <w:r w:rsidRPr="009256E5">
        <w:rPr>
          <w:sz w:val="24"/>
          <w:szCs w:val="24"/>
        </w:rPr>
        <w:t>After two quarters of nonresponse, BLS drop</w:t>
      </w:r>
      <w:r w:rsidR="00461A0E">
        <w:rPr>
          <w:sz w:val="24"/>
          <w:szCs w:val="24"/>
        </w:rPr>
        <w:t>ped</w:t>
      </w:r>
      <w:r w:rsidRPr="009256E5">
        <w:rPr>
          <w:sz w:val="24"/>
          <w:szCs w:val="24"/>
        </w:rPr>
        <w:t xml:space="preserve"> the establishment from the universe. </w:t>
      </w:r>
      <w:r w:rsidR="000D5ABD">
        <w:rPr>
          <w:sz w:val="24"/>
          <w:szCs w:val="24"/>
        </w:rPr>
        <w:t xml:space="preserve"> </w:t>
      </w:r>
      <w:r w:rsidRPr="009256E5">
        <w:rPr>
          <w:sz w:val="24"/>
          <w:szCs w:val="24"/>
        </w:rPr>
        <w:t>QCEW state staff attempt to contact large missing employers in the first quarter of nonresponse.</w:t>
      </w:r>
    </w:p>
    <w:p w:rsidRPr="00731675" w:rsidR="009256E5" w:rsidP="00AA22B0" w:rsidRDefault="009256E5" w14:paraId="372377DA" w14:textId="77777777">
      <w:pPr>
        <w:rPr>
          <w:sz w:val="24"/>
          <w:szCs w:val="24"/>
        </w:rPr>
      </w:pPr>
    </w:p>
    <w:p w:rsidR="00EF2E60" w:rsidP="00AA22B0" w:rsidRDefault="00EF2E60" w14:paraId="66B9B744" w14:textId="22B9130D">
      <w:pPr>
        <w:rPr>
          <w:sz w:val="24"/>
          <w:szCs w:val="24"/>
        </w:rPr>
      </w:pPr>
      <w:r w:rsidRPr="00731675">
        <w:rPr>
          <w:sz w:val="24"/>
          <w:szCs w:val="24"/>
        </w:rPr>
        <w:t xml:space="preserve">Usually, non-respondents account for less than five percent of QCEW employment. </w:t>
      </w:r>
      <w:r w:rsidR="003A35D4">
        <w:rPr>
          <w:sz w:val="24"/>
          <w:szCs w:val="24"/>
        </w:rPr>
        <w:t xml:space="preserve"> </w:t>
      </w:r>
      <w:r w:rsidRPr="00731675">
        <w:rPr>
          <w:sz w:val="24"/>
          <w:szCs w:val="24"/>
        </w:rPr>
        <w:t xml:space="preserve">However, BLS </w:t>
      </w:r>
      <w:r w:rsidR="006E6F88">
        <w:rPr>
          <w:sz w:val="24"/>
          <w:szCs w:val="24"/>
        </w:rPr>
        <w:t>anticipate</w:t>
      </w:r>
      <w:r w:rsidR="003E2731">
        <w:rPr>
          <w:sz w:val="24"/>
          <w:szCs w:val="24"/>
        </w:rPr>
        <w:t>d</w:t>
      </w:r>
      <w:r w:rsidR="006E6F88">
        <w:rPr>
          <w:sz w:val="24"/>
          <w:szCs w:val="24"/>
        </w:rPr>
        <w:t xml:space="preserve"> that the number of non-responding employers </w:t>
      </w:r>
      <w:r w:rsidR="003E2731">
        <w:rPr>
          <w:sz w:val="24"/>
          <w:szCs w:val="24"/>
        </w:rPr>
        <w:t xml:space="preserve">would </w:t>
      </w:r>
      <w:r w:rsidR="006E6F88">
        <w:rPr>
          <w:sz w:val="24"/>
          <w:szCs w:val="24"/>
        </w:rPr>
        <w:t>be</w:t>
      </w:r>
      <w:r w:rsidRPr="00731675" w:rsidR="006E6F88">
        <w:rPr>
          <w:sz w:val="24"/>
          <w:szCs w:val="24"/>
        </w:rPr>
        <w:t xml:space="preserve"> </w:t>
      </w:r>
      <w:r w:rsidRPr="00731675">
        <w:rPr>
          <w:sz w:val="24"/>
          <w:szCs w:val="24"/>
        </w:rPr>
        <w:t xml:space="preserve">substantially higher than usual in </w:t>
      </w:r>
      <w:r w:rsidR="006E6F88">
        <w:rPr>
          <w:sz w:val="24"/>
          <w:szCs w:val="24"/>
        </w:rPr>
        <w:t xml:space="preserve">the </w:t>
      </w:r>
      <w:r w:rsidRPr="00731675">
        <w:rPr>
          <w:sz w:val="24"/>
          <w:szCs w:val="24"/>
        </w:rPr>
        <w:t xml:space="preserve">second quarter </w:t>
      </w:r>
      <w:r w:rsidR="006E6F88">
        <w:rPr>
          <w:sz w:val="24"/>
          <w:szCs w:val="24"/>
        </w:rPr>
        <w:t xml:space="preserve">of </w:t>
      </w:r>
      <w:r w:rsidRPr="00731675">
        <w:rPr>
          <w:sz w:val="24"/>
          <w:szCs w:val="24"/>
        </w:rPr>
        <w:t xml:space="preserve">2020 </w:t>
      </w:r>
      <w:r w:rsidR="00200880">
        <w:rPr>
          <w:sz w:val="24"/>
          <w:szCs w:val="24"/>
        </w:rPr>
        <w:t>as a result of the business response</w:t>
      </w:r>
      <w:r w:rsidRPr="00731675">
        <w:rPr>
          <w:sz w:val="24"/>
          <w:szCs w:val="24"/>
        </w:rPr>
        <w:t xml:space="preserve"> to the coronavirus (COVID-19) pandemic.</w:t>
      </w:r>
      <w:r w:rsidR="00731675">
        <w:rPr>
          <w:sz w:val="24"/>
          <w:szCs w:val="24"/>
        </w:rPr>
        <w:t xml:space="preserve">  The </w:t>
      </w:r>
      <w:r w:rsidR="00461A0E">
        <w:rPr>
          <w:sz w:val="24"/>
          <w:szCs w:val="24"/>
        </w:rPr>
        <w:t xml:space="preserve">former </w:t>
      </w:r>
      <w:r w:rsidR="00731675">
        <w:rPr>
          <w:sz w:val="24"/>
          <w:szCs w:val="24"/>
        </w:rPr>
        <w:t xml:space="preserve">imputation methods would </w:t>
      </w:r>
      <w:r w:rsidR="006E6F88">
        <w:rPr>
          <w:sz w:val="24"/>
          <w:szCs w:val="24"/>
        </w:rPr>
        <w:t xml:space="preserve">likely </w:t>
      </w:r>
      <w:r w:rsidR="00731675">
        <w:rPr>
          <w:sz w:val="24"/>
          <w:szCs w:val="24"/>
        </w:rPr>
        <w:t>understate the impact of the pandemic</w:t>
      </w:r>
      <w:r w:rsidR="00200880">
        <w:rPr>
          <w:sz w:val="24"/>
          <w:szCs w:val="24"/>
        </w:rPr>
        <w:t xml:space="preserve"> on the US economy</w:t>
      </w:r>
      <w:r w:rsidR="00731675">
        <w:rPr>
          <w:sz w:val="24"/>
          <w:szCs w:val="24"/>
        </w:rPr>
        <w:t>.</w:t>
      </w:r>
    </w:p>
    <w:p w:rsidRPr="00731675" w:rsidR="00363EB8" w:rsidP="00DE399E" w:rsidRDefault="00363EB8" w14:paraId="7DB89A12" w14:textId="77777777">
      <w:pPr>
        <w:spacing w:after="160" w:line="259" w:lineRule="auto"/>
        <w:rPr>
          <w:sz w:val="24"/>
          <w:szCs w:val="24"/>
        </w:rPr>
      </w:pPr>
    </w:p>
    <w:p w:rsidRPr="00731675" w:rsidR="00EF2E60" w:rsidP="00AA22B0" w:rsidRDefault="00326E7B" w14:paraId="2DFB93BC" w14:textId="6F2F778E">
      <w:pPr>
        <w:rPr>
          <w:sz w:val="24"/>
          <w:szCs w:val="24"/>
        </w:rPr>
      </w:pPr>
      <w:r>
        <w:rPr>
          <w:sz w:val="24"/>
          <w:szCs w:val="24"/>
        </w:rPr>
        <w:t xml:space="preserve">PLANNED </w:t>
      </w:r>
      <w:r w:rsidR="00363EB8">
        <w:rPr>
          <w:sz w:val="24"/>
          <w:szCs w:val="24"/>
        </w:rPr>
        <w:t>IMPROVEMENTS</w:t>
      </w:r>
    </w:p>
    <w:p w:rsidR="00836BF8" w:rsidP="00AA22B0" w:rsidRDefault="00836BF8" w14:paraId="517AF212" w14:textId="77777777">
      <w:pPr>
        <w:rPr>
          <w:sz w:val="24"/>
          <w:szCs w:val="24"/>
        </w:rPr>
      </w:pPr>
    </w:p>
    <w:p w:rsidR="00731675" w:rsidP="00AA22B0" w:rsidRDefault="00340373" w14:paraId="275F5C0E" w14:textId="311C9990">
      <w:pPr>
        <w:rPr>
          <w:sz w:val="24"/>
          <w:szCs w:val="24"/>
        </w:rPr>
      </w:pPr>
      <w:r>
        <w:rPr>
          <w:sz w:val="24"/>
          <w:szCs w:val="24"/>
        </w:rPr>
        <w:t>In response, BLS conduct</w:t>
      </w:r>
      <w:r w:rsidR="00257FCC">
        <w:rPr>
          <w:sz w:val="24"/>
          <w:szCs w:val="24"/>
        </w:rPr>
        <w:t>ed</w:t>
      </w:r>
      <w:r>
        <w:rPr>
          <w:sz w:val="24"/>
          <w:szCs w:val="24"/>
        </w:rPr>
        <w:t xml:space="preserve"> r</w:t>
      </w:r>
      <w:r w:rsidRPr="00731675" w:rsidR="00EF2E60">
        <w:rPr>
          <w:sz w:val="24"/>
          <w:szCs w:val="24"/>
        </w:rPr>
        <w:t xml:space="preserve">esearch </w:t>
      </w:r>
      <w:r w:rsidR="00496158">
        <w:rPr>
          <w:sz w:val="24"/>
          <w:szCs w:val="24"/>
        </w:rPr>
        <w:t>on</w:t>
      </w:r>
      <w:r w:rsidRPr="00731675" w:rsidR="00EF2E60">
        <w:rPr>
          <w:sz w:val="24"/>
          <w:szCs w:val="24"/>
        </w:rPr>
        <w:t xml:space="preserve"> three improvements to imputation methodology. </w:t>
      </w:r>
      <w:r w:rsidR="000D5ABD">
        <w:rPr>
          <w:sz w:val="24"/>
          <w:szCs w:val="24"/>
        </w:rPr>
        <w:t xml:space="preserve"> </w:t>
      </w:r>
      <w:r w:rsidR="00257FCC">
        <w:rPr>
          <w:sz w:val="24"/>
          <w:szCs w:val="24"/>
        </w:rPr>
        <w:t xml:space="preserve">This research was done using data for all quarters of 2019. </w:t>
      </w:r>
      <w:r w:rsidR="00F75358">
        <w:rPr>
          <w:sz w:val="24"/>
          <w:szCs w:val="24"/>
        </w:rPr>
        <w:t xml:space="preserve"> </w:t>
      </w:r>
      <w:r w:rsidR="00257FCC">
        <w:rPr>
          <w:sz w:val="24"/>
          <w:szCs w:val="24"/>
        </w:rPr>
        <w:t>The results were acceptable</w:t>
      </w:r>
      <w:r w:rsidR="00496158">
        <w:rPr>
          <w:sz w:val="24"/>
          <w:szCs w:val="24"/>
        </w:rPr>
        <w:t xml:space="preserve">. </w:t>
      </w:r>
      <w:r w:rsidR="0084026D">
        <w:rPr>
          <w:sz w:val="24"/>
          <w:szCs w:val="24"/>
        </w:rPr>
        <w:t xml:space="preserve"> </w:t>
      </w:r>
      <w:r w:rsidRPr="00662E2D" w:rsidR="00662E2D">
        <w:rPr>
          <w:sz w:val="24"/>
          <w:szCs w:val="24"/>
        </w:rPr>
        <w:t>More than 80% of the 2019 establishments inactivated by the new method did not have reported data for at least the two following quarters in 2019.</w:t>
      </w:r>
      <w:r w:rsidR="00662E2D">
        <w:rPr>
          <w:sz w:val="24"/>
          <w:szCs w:val="24"/>
        </w:rPr>
        <w:t xml:space="preserve"> </w:t>
      </w:r>
      <w:r w:rsidR="0084026D">
        <w:rPr>
          <w:sz w:val="24"/>
          <w:szCs w:val="24"/>
        </w:rPr>
        <w:t xml:space="preserve"> </w:t>
      </w:r>
      <w:r w:rsidR="00662E2D">
        <w:rPr>
          <w:sz w:val="24"/>
          <w:szCs w:val="24"/>
        </w:rPr>
        <w:t xml:space="preserve">Records that were inactivated </w:t>
      </w:r>
      <w:r w:rsidRPr="00662E2D" w:rsidR="00662E2D">
        <w:rPr>
          <w:sz w:val="24"/>
          <w:szCs w:val="24"/>
        </w:rPr>
        <w:t xml:space="preserve">in first quarter 2019 were tracked for three subsequent quarters.  Records that were inactivated in second quarter 2019 were </w:t>
      </w:r>
      <w:r w:rsidRPr="00662E2D" w:rsidR="00662E2D">
        <w:rPr>
          <w:sz w:val="24"/>
          <w:szCs w:val="24"/>
        </w:rPr>
        <w:lastRenderedPageBreak/>
        <w:t xml:space="preserve">tracked for two subsequent quarters. </w:t>
      </w:r>
      <w:r w:rsidR="00F75358">
        <w:rPr>
          <w:sz w:val="24"/>
          <w:szCs w:val="24"/>
        </w:rPr>
        <w:t xml:space="preserve"> </w:t>
      </w:r>
      <w:r w:rsidR="00257FCC">
        <w:rPr>
          <w:sz w:val="24"/>
          <w:szCs w:val="24"/>
        </w:rPr>
        <w:t>BLS implemented these improvements</w:t>
      </w:r>
      <w:r w:rsidR="008A2C6A">
        <w:rPr>
          <w:sz w:val="24"/>
          <w:szCs w:val="24"/>
        </w:rPr>
        <w:t xml:space="preserve"> during its processing</w:t>
      </w:r>
      <w:r w:rsidR="00257FCC">
        <w:rPr>
          <w:sz w:val="24"/>
          <w:szCs w:val="24"/>
        </w:rPr>
        <w:t xml:space="preserve"> in October 2020</w:t>
      </w:r>
      <w:r w:rsidR="002F1D10">
        <w:rPr>
          <w:sz w:val="24"/>
          <w:szCs w:val="24"/>
        </w:rPr>
        <w:t xml:space="preserve"> for data released </w:t>
      </w:r>
      <w:r w:rsidR="00662E2D">
        <w:rPr>
          <w:sz w:val="24"/>
          <w:szCs w:val="24"/>
        </w:rPr>
        <w:t>on November 18, 2020</w:t>
      </w:r>
      <w:r w:rsidR="00257FCC">
        <w:rPr>
          <w:sz w:val="24"/>
          <w:szCs w:val="24"/>
        </w:rPr>
        <w:t>.</w:t>
      </w:r>
      <w:r w:rsidR="00153FB5">
        <w:rPr>
          <w:sz w:val="24"/>
          <w:szCs w:val="24"/>
        </w:rPr>
        <w:t xml:space="preserve">  </w:t>
      </w:r>
    </w:p>
    <w:p w:rsidRPr="00731675" w:rsidR="00200880" w:rsidP="00AA22B0" w:rsidRDefault="00200880" w14:paraId="0CB6811B" w14:textId="77777777">
      <w:pPr>
        <w:rPr>
          <w:sz w:val="24"/>
          <w:szCs w:val="24"/>
        </w:rPr>
      </w:pPr>
    </w:p>
    <w:p w:rsidRPr="00731675" w:rsidR="00731675" w:rsidP="00731675" w:rsidRDefault="00EF2E60" w14:paraId="105B46E0" w14:textId="56750AE7">
      <w:pPr>
        <w:pStyle w:val="ListParagraph"/>
        <w:numPr>
          <w:ilvl w:val="0"/>
          <w:numId w:val="1"/>
        </w:numPr>
        <w:rPr>
          <w:sz w:val="24"/>
          <w:szCs w:val="24"/>
        </w:rPr>
      </w:pPr>
      <w:r w:rsidRPr="00731675">
        <w:rPr>
          <w:sz w:val="24"/>
          <w:szCs w:val="24"/>
        </w:rPr>
        <w:t xml:space="preserve">First, summary counts of claims for the regular state unemployment insurance benefits per employer </w:t>
      </w:r>
      <w:r w:rsidR="003E2731">
        <w:rPr>
          <w:sz w:val="24"/>
          <w:szCs w:val="24"/>
        </w:rPr>
        <w:t xml:space="preserve">were </w:t>
      </w:r>
      <w:r w:rsidR="009256E5">
        <w:rPr>
          <w:sz w:val="24"/>
          <w:szCs w:val="24"/>
        </w:rPr>
        <w:t xml:space="preserve">matched to missing employers.  This match </w:t>
      </w:r>
      <w:r w:rsidRPr="00731675">
        <w:rPr>
          <w:sz w:val="24"/>
          <w:szCs w:val="24"/>
        </w:rPr>
        <w:t>identif</w:t>
      </w:r>
      <w:r w:rsidR="00257FCC">
        <w:rPr>
          <w:sz w:val="24"/>
          <w:szCs w:val="24"/>
        </w:rPr>
        <w:t>ie</w:t>
      </w:r>
      <w:r w:rsidR="003E2731">
        <w:rPr>
          <w:sz w:val="24"/>
          <w:szCs w:val="24"/>
        </w:rPr>
        <w:t>d</w:t>
      </w:r>
      <w:r w:rsidRPr="00731675">
        <w:rPr>
          <w:sz w:val="24"/>
          <w:szCs w:val="24"/>
        </w:rPr>
        <w:t xml:space="preserve"> employers who </w:t>
      </w:r>
      <w:r w:rsidR="003E2731">
        <w:rPr>
          <w:sz w:val="24"/>
          <w:szCs w:val="24"/>
        </w:rPr>
        <w:t xml:space="preserve">were </w:t>
      </w:r>
      <w:r w:rsidR="00F12024">
        <w:rPr>
          <w:sz w:val="24"/>
          <w:szCs w:val="24"/>
        </w:rPr>
        <w:t xml:space="preserve">likely to </w:t>
      </w:r>
      <w:r w:rsidRPr="00731675">
        <w:rPr>
          <w:sz w:val="24"/>
          <w:szCs w:val="24"/>
        </w:rPr>
        <w:t>have ceased operations</w:t>
      </w:r>
      <w:r w:rsidR="009256E5">
        <w:rPr>
          <w:sz w:val="24"/>
          <w:szCs w:val="24"/>
        </w:rPr>
        <w:t xml:space="preserve">. </w:t>
      </w:r>
      <w:r w:rsidR="000D5ABD">
        <w:rPr>
          <w:sz w:val="24"/>
          <w:szCs w:val="24"/>
        </w:rPr>
        <w:t xml:space="preserve"> </w:t>
      </w:r>
      <w:r w:rsidR="009256E5">
        <w:rPr>
          <w:sz w:val="24"/>
          <w:szCs w:val="24"/>
        </w:rPr>
        <w:t>The</w:t>
      </w:r>
      <w:r w:rsidR="00AC4FC5">
        <w:rPr>
          <w:sz w:val="24"/>
          <w:szCs w:val="24"/>
        </w:rPr>
        <w:t>se non-responding employer records</w:t>
      </w:r>
      <w:r w:rsidR="009256E5">
        <w:rPr>
          <w:sz w:val="24"/>
          <w:szCs w:val="24"/>
        </w:rPr>
        <w:t xml:space="preserve"> </w:t>
      </w:r>
      <w:r w:rsidR="003E2731">
        <w:rPr>
          <w:sz w:val="24"/>
          <w:szCs w:val="24"/>
        </w:rPr>
        <w:t xml:space="preserve">were </w:t>
      </w:r>
      <w:r w:rsidR="009256E5">
        <w:rPr>
          <w:sz w:val="24"/>
          <w:szCs w:val="24"/>
        </w:rPr>
        <w:t>immediately dropped from the QCEW file</w:t>
      </w:r>
      <w:r w:rsidRPr="00731675" w:rsidR="00731675">
        <w:rPr>
          <w:sz w:val="24"/>
          <w:szCs w:val="24"/>
        </w:rPr>
        <w:t>.</w:t>
      </w:r>
      <w:r w:rsidR="00731675">
        <w:rPr>
          <w:sz w:val="24"/>
          <w:szCs w:val="24"/>
        </w:rPr>
        <w:t xml:space="preserve">  </w:t>
      </w:r>
      <w:r w:rsidR="00340373">
        <w:rPr>
          <w:sz w:val="24"/>
          <w:szCs w:val="24"/>
        </w:rPr>
        <w:t>Th</w:t>
      </w:r>
      <w:r w:rsidR="009256E5">
        <w:rPr>
          <w:sz w:val="24"/>
          <w:szCs w:val="24"/>
        </w:rPr>
        <w:t>ese employer</w:t>
      </w:r>
      <w:r w:rsidR="00AC4FC5">
        <w:rPr>
          <w:sz w:val="24"/>
          <w:szCs w:val="24"/>
        </w:rPr>
        <w:t xml:space="preserve"> record</w:t>
      </w:r>
      <w:r w:rsidR="009256E5">
        <w:rPr>
          <w:sz w:val="24"/>
          <w:szCs w:val="24"/>
        </w:rPr>
        <w:t>s otherwise would have been</w:t>
      </w:r>
      <w:r w:rsidR="00340373">
        <w:rPr>
          <w:sz w:val="24"/>
          <w:szCs w:val="24"/>
        </w:rPr>
        <w:t xml:space="preserve"> imput</w:t>
      </w:r>
      <w:r w:rsidR="009256E5">
        <w:rPr>
          <w:sz w:val="24"/>
          <w:szCs w:val="24"/>
        </w:rPr>
        <w:t xml:space="preserve">ed </w:t>
      </w:r>
      <w:r w:rsidR="00340373">
        <w:rPr>
          <w:sz w:val="24"/>
          <w:szCs w:val="24"/>
        </w:rPr>
        <w:t>for two quarters</w:t>
      </w:r>
      <w:r w:rsidR="009256E5">
        <w:rPr>
          <w:sz w:val="24"/>
          <w:szCs w:val="24"/>
        </w:rPr>
        <w:t xml:space="preserve"> before being dropped</w:t>
      </w:r>
      <w:r w:rsidR="00340373">
        <w:rPr>
          <w:sz w:val="24"/>
          <w:szCs w:val="24"/>
        </w:rPr>
        <w:t xml:space="preserve">. </w:t>
      </w:r>
      <w:r w:rsidR="00340373">
        <w:rPr>
          <w:sz w:val="24"/>
          <w:szCs w:val="24"/>
        </w:rPr>
        <w:br/>
      </w:r>
      <w:r w:rsidRPr="00731675" w:rsidR="00340373">
        <w:rPr>
          <w:sz w:val="24"/>
          <w:szCs w:val="24"/>
        </w:rPr>
        <w:br/>
      </w:r>
      <w:r w:rsidR="00731675">
        <w:rPr>
          <w:sz w:val="24"/>
          <w:szCs w:val="24"/>
        </w:rPr>
        <w:t>This is a new QCEW use of claims counts</w:t>
      </w:r>
      <w:r w:rsidR="009256E5">
        <w:rPr>
          <w:sz w:val="24"/>
          <w:szCs w:val="24"/>
        </w:rPr>
        <w:t>,</w:t>
      </w:r>
      <w:r w:rsidR="00731675">
        <w:rPr>
          <w:sz w:val="24"/>
          <w:szCs w:val="24"/>
        </w:rPr>
        <w:t xml:space="preserve"> which </w:t>
      </w:r>
      <w:r w:rsidR="00AC4FC5">
        <w:rPr>
          <w:sz w:val="24"/>
          <w:szCs w:val="24"/>
        </w:rPr>
        <w:t xml:space="preserve">are collected by the BLS Local Area Unemployment Statistics (LAUS) program.  </w:t>
      </w:r>
      <w:r w:rsidR="00286B4B">
        <w:rPr>
          <w:sz w:val="24"/>
          <w:szCs w:val="24"/>
        </w:rPr>
        <w:t>Most states supply these data to the LAUS program; California</w:t>
      </w:r>
      <w:r w:rsidR="00257FCC">
        <w:rPr>
          <w:sz w:val="24"/>
          <w:szCs w:val="24"/>
        </w:rPr>
        <w:t>,</w:t>
      </w:r>
      <w:r w:rsidR="00496158">
        <w:rPr>
          <w:sz w:val="24"/>
          <w:szCs w:val="24"/>
        </w:rPr>
        <w:t xml:space="preserve"> </w:t>
      </w:r>
      <w:r w:rsidR="00286B4B">
        <w:rPr>
          <w:sz w:val="24"/>
          <w:szCs w:val="24"/>
        </w:rPr>
        <w:t>Florida</w:t>
      </w:r>
      <w:r w:rsidR="00257FCC">
        <w:rPr>
          <w:sz w:val="24"/>
          <w:szCs w:val="24"/>
        </w:rPr>
        <w:t>, and Puerto Rico</w:t>
      </w:r>
      <w:r w:rsidR="00286B4B">
        <w:rPr>
          <w:sz w:val="24"/>
          <w:szCs w:val="24"/>
        </w:rPr>
        <w:t xml:space="preserve"> are exceptions</w:t>
      </w:r>
      <w:r w:rsidR="00257FCC">
        <w:rPr>
          <w:sz w:val="24"/>
          <w:szCs w:val="24"/>
        </w:rPr>
        <w:t xml:space="preserve"> for technical reasons.  Florida was able to provide a substitute file.  Massachusetts declined to share a file for BLS QCEW use.</w:t>
      </w:r>
      <w:r w:rsidR="00662E2D">
        <w:rPr>
          <w:sz w:val="24"/>
          <w:szCs w:val="24"/>
        </w:rPr>
        <w:t xml:space="preserve">  BLS is unable to identify and drop employers who are likely to have ceased operations in states that do not supply usable claims files.</w:t>
      </w:r>
      <w:r w:rsidR="00340373">
        <w:rPr>
          <w:sz w:val="24"/>
          <w:szCs w:val="24"/>
        </w:rPr>
        <w:br/>
      </w:r>
    </w:p>
    <w:p w:rsidRPr="0070133F" w:rsidR="00496158" w:rsidP="00496158" w:rsidRDefault="00EF2E60" w14:paraId="5E8BA734" w14:textId="443DD5B8">
      <w:pPr>
        <w:pStyle w:val="ListParagraph"/>
        <w:numPr>
          <w:ilvl w:val="0"/>
          <w:numId w:val="1"/>
        </w:numPr>
        <w:rPr>
          <w:rFonts w:asciiTheme="minorHAnsi" w:hAnsiTheme="minorHAnsi" w:cstheme="minorHAnsi"/>
          <w:sz w:val="24"/>
          <w:szCs w:val="24"/>
        </w:rPr>
      </w:pPr>
      <w:r w:rsidRPr="00F15B8E">
        <w:rPr>
          <w:sz w:val="24"/>
          <w:szCs w:val="24"/>
        </w:rPr>
        <w:t xml:space="preserve">Second, for employers that are expected to still be in operation, the imputation formula </w:t>
      </w:r>
      <w:r w:rsidR="00257FCC">
        <w:rPr>
          <w:sz w:val="24"/>
          <w:szCs w:val="24"/>
        </w:rPr>
        <w:t>was</w:t>
      </w:r>
      <w:r w:rsidRPr="00F15B8E">
        <w:rPr>
          <w:sz w:val="24"/>
          <w:szCs w:val="24"/>
        </w:rPr>
        <w:t xml:space="preserve"> modified</w:t>
      </w:r>
      <w:r w:rsidRPr="00F15B8E" w:rsidR="00F15B8E">
        <w:rPr>
          <w:sz w:val="24"/>
          <w:szCs w:val="24"/>
        </w:rPr>
        <w:t>.</w:t>
      </w:r>
      <w:r w:rsidRPr="00F15B8E">
        <w:rPr>
          <w:sz w:val="24"/>
          <w:szCs w:val="24"/>
        </w:rPr>
        <w:t xml:space="preserve"> </w:t>
      </w:r>
      <w:r w:rsidR="003A35D4">
        <w:rPr>
          <w:sz w:val="24"/>
          <w:szCs w:val="24"/>
        </w:rPr>
        <w:t xml:space="preserve"> </w:t>
      </w:r>
      <w:r w:rsidRPr="00F15B8E" w:rsidR="00F15B8E">
        <w:rPr>
          <w:sz w:val="24"/>
          <w:szCs w:val="24"/>
        </w:rPr>
        <w:t xml:space="preserve">BLS has conducted extensive research on alternative imputation methods for both employment and wages. </w:t>
      </w:r>
      <w:r w:rsidR="000D5ABD">
        <w:rPr>
          <w:sz w:val="24"/>
          <w:szCs w:val="24"/>
        </w:rPr>
        <w:t xml:space="preserve"> </w:t>
      </w:r>
      <w:r w:rsidRPr="00F15B8E" w:rsidR="00F15B8E">
        <w:rPr>
          <w:sz w:val="24"/>
          <w:szCs w:val="24"/>
        </w:rPr>
        <w:t xml:space="preserve">The findings of the research indicate that current trends reported by similar businesses should be applied to </w:t>
      </w:r>
      <w:proofErr w:type="spellStart"/>
      <w:r w:rsidRPr="00F15B8E" w:rsidR="00F15B8E">
        <w:rPr>
          <w:sz w:val="24"/>
          <w:szCs w:val="24"/>
        </w:rPr>
        <w:t>nonrespondents</w:t>
      </w:r>
      <w:proofErr w:type="spellEnd"/>
      <w:r w:rsidRPr="00F15B8E" w:rsidR="00F15B8E">
        <w:rPr>
          <w:sz w:val="24"/>
          <w:szCs w:val="24"/>
        </w:rPr>
        <w:t xml:space="preserve">. </w:t>
      </w:r>
      <w:r w:rsidR="000D5ABD">
        <w:rPr>
          <w:sz w:val="24"/>
          <w:szCs w:val="24"/>
        </w:rPr>
        <w:t xml:space="preserve"> </w:t>
      </w:r>
      <w:r w:rsidRPr="00F15B8E" w:rsidR="00F15B8E">
        <w:rPr>
          <w:sz w:val="24"/>
          <w:szCs w:val="24"/>
        </w:rPr>
        <w:t xml:space="preserve">BLS defines the procedure for doing so as the ratio method. </w:t>
      </w:r>
      <w:r w:rsidR="000D5ABD">
        <w:rPr>
          <w:sz w:val="24"/>
          <w:szCs w:val="24"/>
        </w:rPr>
        <w:t xml:space="preserve"> </w:t>
      </w:r>
      <w:r w:rsidRPr="00F15B8E" w:rsidR="00F15B8E">
        <w:rPr>
          <w:sz w:val="24"/>
          <w:szCs w:val="24"/>
        </w:rPr>
        <w:t xml:space="preserve">According to this method, the ratio for a particular estimation cell is computed as the sum of a current month’s reported employment (from similar businesses) divided by the sum of the previous month’s reported employment. </w:t>
      </w:r>
      <w:r w:rsidR="000D5ABD">
        <w:rPr>
          <w:sz w:val="24"/>
          <w:szCs w:val="24"/>
        </w:rPr>
        <w:t xml:space="preserve"> </w:t>
      </w:r>
      <w:r w:rsidRPr="00F15B8E" w:rsidR="00F15B8E">
        <w:rPr>
          <w:sz w:val="24"/>
          <w:szCs w:val="24"/>
        </w:rPr>
        <w:t xml:space="preserve">To impute the current month’s employment for a </w:t>
      </w:r>
      <w:proofErr w:type="spellStart"/>
      <w:r w:rsidRPr="00F15B8E" w:rsidR="00F15B8E">
        <w:rPr>
          <w:sz w:val="24"/>
          <w:szCs w:val="24"/>
        </w:rPr>
        <w:t>nonrespondent</w:t>
      </w:r>
      <w:proofErr w:type="spellEnd"/>
      <w:r w:rsidRPr="00F15B8E" w:rsidR="00F15B8E">
        <w:rPr>
          <w:sz w:val="24"/>
          <w:szCs w:val="24"/>
        </w:rPr>
        <w:t xml:space="preserve">, the ratio is then multiplied by the </w:t>
      </w:r>
      <w:proofErr w:type="spellStart"/>
      <w:r w:rsidRPr="00F15B8E" w:rsidR="00F15B8E">
        <w:rPr>
          <w:sz w:val="24"/>
          <w:szCs w:val="24"/>
        </w:rPr>
        <w:t>nonrespondent’s</w:t>
      </w:r>
      <w:proofErr w:type="spellEnd"/>
      <w:r w:rsidRPr="00F15B8E" w:rsidR="00F15B8E">
        <w:rPr>
          <w:sz w:val="24"/>
          <w:szCs w:val="24"/>
        </w:rPr>
        <w:t xml:space="preserve"> previous month’s employment. </w:t>
      </w:r>
      <w:r w:rsidR="000D5ABD">
        <w:rPr>
          <w:sz w:val="24"/>
          <w:szCs w:val="24"/>
        </w:rPr>
        <w:t xml:space="preserve"> </w:t>
      </w:r>
      <w:r w:rsidRPr="00F15B8E" w:rsidR="00F15B8E">
        <w:rPr>
          <w:sz w:val="24"/>
          <w:szCs w:val="24"/>
        </w:rPr>
        <w:t>A similar procedure is applied to impute total quarterly wages.</w:t>
      </w:r>
      <w:r w:rsidR="00F15B8E">
        <w:rPr>
          <w:sz w:val="24"/>
          <w:szCs w:val="24"/>
        </w:rPr>
        <w:t xml:space="preserve">  </w:t>
      </w:r>
      <w:r w:rsidR="00F15B8E">
        <w:rPr>
          <w:sz w:val="24"/>
          <w:szCs w:val="24"/>
        </w:rPr>
        <w:br/>
      </w:r>
      <w:r w:rsidR="00F15B8E">
        <w:rPr>
          <w:sz w:val="24"/>
          <w:szCs w:val="24"/>
        </w:rPr>
        <w:br/>
        <w:t xml:space="preserve">For a discussion of BLS research on this topic, see </w:t>
      </w:r>
      <w:hyperlink w:history="1" r:id="rId8">
        <w:r w:rsidRPr="00F15B8E" w:rsidR="00F15B8E">
          <w:rPr>
            <w:rStyle w:val="Hyperlink"/>
            <w:sz w:val="24"/>
            <w:szCs w:val="24"/>
          </w:rPr>
          <w:t>https://www.bls.gov/osmr/research-papers/2009/st090090.htm</w:t>
        </w:r>
      </w:hyperlink>
      <w:r w:rsidR="00257FCC">
        <w:rPr>
          <w:rStyle w:val="Hyperlink"/>
          <w:sz w:val="24"/>
          <w:szCs w:val="24"/>
        </w:rPr>
        <w:t xml:space="preserve">  </w:t>
      </w:r>
      <w:r w:rsidR="00496158">
        <w:rPr>
          <w:rFonts w:asciiTheme="minorHAnsi" w:hAnsiTheme="minorHAnsi" w:cstheme="minorHAnsi"/>
          <w:sz w:val="24"/>
          <w:szCs w:val="24"/>
        </w:rPr>
        <w:br/>
      </w:r>
    </w:p>
    <w:p w:rsidRPr="00340373" w:rsidR="00340373" w:rsidP="00340373" w:rsidRDefault="00EF2E60" w14:paraId="502F470D" w14:textId="77777777">
      <w:pPr>
        <w:pStyle w:val="ListParagraph"/>
        <w:numPr>
          <w:ilvl w:val="0"/>
          <w:numId w:val="1"/>
        </w:numPr>
        <w:rPr>
          <w:rFonts w:asciiTheme="minorHAnsi" w:hAnsiTheme="minorHAnsi" w:cstheme="minorHAnsi"/>
          <w:sz w:val="22"/>
          <w:szCs w:val="22"/>
        </w:rPr>
      </w:pPr>
      <w:r w:rsidRPr="00340373">
        <w:rPr>
          <w:sz w:val="24"/>
          <w:szCs w:val="24"/>
        </w:rPr>
        <w:t xml:space="preserve">Third, state QCEW staff may use unemployment insurance claims information as a supplement to their review of imputed and reported QCEW data. </w:t>
      </w:r>
      <w:r w:rsidRPr="00340373" w:rsidR="00340373">
        <w:rPr>
          <w:sz w:val="24"/>
          <w:szCs w:val="24"/>
        </w:rPr>
        <w:br/>
      </w:r>
    </w:p>
    <w:p w:rsidRPr="002D0A06" w:rsidR="002D0A06" w:rsidP="002D0A06" w:rsidRDefault="00AC4FC5" w14:paraId="2C25F9C4" w14:textId="4A725574">
      <w:pPr>
        <w:rPr>
          <w:color w:val="0563C1" w:themeColor="hyperlink"/>
          <w:sz w:val="24"/>
          <w:szCs w:val="24"/>
          <w:u w:val="single"/>
        </w:rPr>
      </w:pPr>
      <w:r>
        <w:rPr>
          <w:sz w:val="24"/>
          <w:szCs w:val="24"/>
        </w:rPr>
        <w:t xml:space="preserve">BLS </w:t>
      </w:r>
      <w:r w:rsidR="00257FCC">
        <w:rPr>
          <w:sz w:val="24"/>
          <w:szCs w:val="24"/>
        </w:rPr>
        <w:t xml:space="preserve">implemented </w:t>
      </w:r>
      <w:r>
        <w:rPr>
          <w:sz w:val="24"/>
          <w:szCs w:val="24"/>
        </w:rPr>
        <w:t xml:space="preserve">these procedures with the first release of data for the second quarter of 2020.  </w:t>
      </w:r>
      <w:r w:rsidR="00257FCC">
        <w:rPr>
          <w:sz w:val="24"/>
          <w:szCs w:val="24"/>
        </w:rPr>
        <w:t>T</w:t>
      </w:r>
      <w:r w:rsidRPr="00340373" w:rsidR="00EF2E60">
        <w:rPr>
          <w:sz w:val="24"/>
          <w:szCs w:val="24"/>
        </w:rPr>
        <w:t xml:space="preserve">hese changes may result in larger than usual revisions to QCEW estimates for first quarter 2020. </w:t>
      </w:r>
      <w:r w:rsidR="000D5ABD">
        <w:rPr>
          <w:sz w:val="24"/>
          <w:szCs w:val="24"/>
        </w:rPr>
        <w:t xml:space="preserve"> </w:t>
      </w:r>
      <w:r w:rsidR="00153FB5">
        <w:rPr>
          <w:sz w:val="24"/>
          <w:szCs w:val="24"/>
        </w:rPr>
        <w:t>BLS publish</w:t>
      </w:r>
      <w:r w:rsidR="00FB7620">
        <w:rPr>
          <w:sz w:val="24"/>
          <w:szCs w:val="24"/>
        </w:rPr>
        <w:t>ed</w:t>
      </w:r>
      <w:r w:rsidR="00153FB5">
        <w:rPr>
          <w:sz w:val="24"/>
          <w:szCs w:val="24"/>
        </w:rPr>
        <w:t xml:space="preserve"> summary tables showing the results of the ratio method and the BLS use of claims coincident with the release of second quarter data in November 2020.  The impact of the state use of claims will not be available. </w:t>
      </w:r>
      <w:r w:rsidR="002D0A06">
        <w:rPr>
          <w:sz w:val="24"/>
          <w:szCs w:val="24"/>
        </w:rPr>
        <w:br/>
      </w:r>
      <w:r w:rsidR="002D0A06">
        <w:rPr>
          <w:sz w:val="24"/>
          <w:szCs w:val="24"/>
        </w:rPr>
        <w:br/>
      </w:r>
      <w:r w:rsidRPr="003E2731" w:rsidR="00496158">
        <w:rPr>
          <w:sz w:val="24"/>
          <w:szCs w:val="24"/>
        </w:rPr>
        <w:t>BLS implemented a</w:t>
      </w:r>
      <w:r w:rsidRPr="003E2731" w:rsidR="00496158">
        <w:rPr>
          <w:rStyle w:val="Hyperlink"/>
          <w:color w:val="auto"/>
          <w:sz w:val="24"/>
          <w:szCs w:val="24"/>
          <w:u w:val="none"/>
        </w:rPr>
        <w:t xml:space="preserve"> </w:t>
      </w:r>
      <w:r w:rsidRPr="003E2731" w:rsidR="00662E2D">
        <w:rPr>
          <w:rStyle w:val="Hyperlink"/>
          <w:color w:val="auto"/>
          <w:sz w:val="24"/>
          <w:szCs w:val="24"/>
          <w:u w:val="none"/>
        </w:rPr>
        <w:t xml:space="preserve">streamlined </w:t>
      </w:r>
      <w:r w:rsidRPr="003E2731" w:rsidR="00496158">
        <w:rPr>
          <w:rStyle w:val="Hyperlink"/>
          <w:color w:val="auto"/>
          <w:sz w:val="24"/>
          <w:szCs w:val="24"/>
          <w:u w:val="none"/>
        </w:rPr>
        <w:t>version of the ratio method in October 2020</w:t>
      </w:r>
      <w:r w:rsidRPr="003E2731" w:rsidR="008A2C6A">
        <w:rPr>
          <w:rStyle w:val="Hyperlink"/>
          <w:color w:val="auto"/>
          <w:sz w:val="24"/>
          <w:szCs w:val="24"/>
          <w:u w:val="none"/>
        </w:rPr>
        <w:t xml:space="preserve"> during its processing</w:t>
      </w:r>
      <w:r w:rsidRPr="003E2731" w:rsidR="00EF046A">
        <w:rPr>
          <w:rStyle w:val="Hyperlink"/>
          <w:color w:val="auto"/>
          <w:sz w:val="24"/>
          <w:szCs w:val="24"/>
          <w:u w:val="none"/>
        </w:rPr>
        <w:t xml:space="preserve"> to support the data that </w:t>
      </w:r>
      <w:r w:rsidRPr="003E2731" w:rsidR="00FB7620">
        <w:rPr>
          <w:rStyle w:val="Hyperlink"/>
          <w:color w:val="auto"/>
          <w:sz w:val="24"/>
          <w:szCs w:val="24"/>
          <w:u w:val="none"/>
        </w:rPr>
        <w:t>was</w:t>
      </w:r>
      <w:r w:rsidRPr="003E2731" w:rsidR="00EF046A">
        <w:rPr>
          <w:rStyle w:val="Hyperlink"/>
          <w:color w:val="auto"/>
          <w:sz w:val="24"/>
          <w:szCs w:val="24"/>
          <w:u w:val="none"/>
        </w:rPr>
        <w:t xml:space="preserve"> released </w:t>
      </w:r>
      <w:r w:rsidRPr="003E2731" w:rsidR="00662E2D">
        <w:rPr>
          <w:rStyle w:val="Hyperlink"/>
          <w:color w:val="auto"/>
          <w:sz w:val="24"/>
          <w:szCs w:val="24"/>
          <w:u w:val="none"/>
        </w:rPr>
        <w:t>on November 18, 2020</w:t>
      </w:r>
      <w:r w:rsidRPr="003E2731" w:rsidR="003A35D4">
        <w:rPr>
          <w:rStyle w:val="Hyperlink"/>
          <w:color w:val="auto"/>
          <w:sz w:val="24"/>
          <w:szCs w:val="24"/>
          <w:u w:val="none"/>
        </w:rPr>
        <w:t>.</w:t>
      </w:r>
      <w:r w:rsidRPr="003E2731" w:rsidR="00496158">
        <w:rPr>
          <w:rStyle w:val="Hyperlink"/>
          <w:color w:val="auto"/>
          <w:sz w:val="24"/>
          <w:szCs w:val="24"/>
          <w:u w:val="none"/>
        </w:rPr>
        <w:t xml:space="preserve">  The complete version will be part of the QCEW state processing system, which will begin implementation in September 2021.</w:t>
      </w:r>
      <w:r w:rsidRPr="003E2731" w:rsidR="002D0A06">
        <w:rPr>
          <w:rStyle w:val="Hyperlink"/>
          <w:color w:val="auto"/>
          <w:sz w:val="24"/>
          <w:szCs w:val="24"/>
          <w:u w:val="none"/>
        </w:rPr>
        <w:t xml:space="preserve">  </w:t>
      </w:r>
      <w:r w:rsidRPr="003E2731" w:rsidR="002D0A06">
        <w:rPr>
          <w:sz w:val="24"/>
          <w:szCs w:val="24"/>
        </w:rPr>
        <w:t xml:space="preserve">The complete version accounts for imputation in all cases of reporting, including those in which wage data are reported but employment data are not.  It has to handle for the relationship between master and worksite records for multiple worksite reporters.  To deliver a product for use under a tight schedule, BLS focused on the highest value components of </w:t>
      </w:r>
      <w:r w:rsidRPr="003E2731" w:rsidR="002D0A06">
        <w:rPr>
          <w:sz w:val="24"/>
          <w:szCs w:val="24"/>
        </w:rPr>
        <w:lastRenderedPageBreak/>
        <w:t xml:space="preserve">the complete version.  BLS streamlined the immediate implementation of the ratio method to focus on records with no data reported for any data type. </w:t>
      </w:r>
      <w:r w:rsidRPr="003E2731" w:rsidR="003A35D4">
        <w:rPr>
          <w:sz w:val="24"/>
          <w:szCs w:val="24"/>
        </w:rPr>
        <w:t xml:space="preserve"> </w:t>
      </w:r>
      <w:r w:rsidRPr="003E2731" w:rsidR="002D0A06">
        <w:rPr>
          <w:sz w:val="24"/>
          <w:szCs w:val="24"/>
        </w:rPr>
        <w:t xml:space="preserve">Master units are not used in publication so they were a secondary concern.  BLS will create masters in the future by summing the imputed worksites.  </w:t>
      </w:r>
    </w:p>
    <w:p w:rsidR="00D463A0" w:rsidP="003E2731" w:rsidRDefault="00496158" w14:paraId="55109FEC" w14:textId="30376EF0">
      <w:pPr>
        <w:rPr>
          <w:sz w:val="24"/>
          <w:szCs w:val="24"/>
        </w:rPr>
      </w:pPr>
      <w:r w:rsidRPr="00F15B8E">
        <w:rPr>
          <w:sz w:val="24"/>
          <w:szCs w:val="24"/>
        </w:rPr>
        <w:br/>
      </w:r>
      <w:r w:rsidR="00F15B8E">
        <w:rPr>
          <w:sz w:val="24"/>
          <w:szCs w:val="24"/>
        </w:rPr>
        <w:br/>
      </w:r>
      <w:r w:rsidRPr="00D463A0" w:rsidR="00D463A0">
        <w:rPr>
          <w:sz w:val="24"/>
          <w:szCs w:val="24"/>
        </w:rPr>
        <w:t>IMPACT OF NEW IMPUTATION PROCEDURES</w:t>
      </w:r>
    </w:p>
    <w:p w:rsidRPr="00D463A0" w:rsidR="00D610CD" w:rsidP="00496158" w:rsidRDefault="00D610CD" w14:paraId="54A986CD" w14:textId="77777777">
      <w:pPr>
        <w:pStyle w:val="CommentText"/>
        <w:rPr>
          <w:sz w:val="24"/>
          <w:szCs w:val="24"/>
        </w:rPr>
      </w:pPr>
    </w:p>
    <w:p w:rsidRPr="00D463A0" w:rsidR="00D463A0" w:rsidP="00496158" w:rsidRDefault="00D463A0" w14:paraId="79D3F6D3" w14:textId="0490F87A">
      <w:pPr>
        <w:pStyle w:val="CommentText"/>
        <w:rPr>
          <w:sz w:val="24"/>
          <w:szCs w:val="24"/>
        </w:rPr>
      </w:pPr>
      <w:r w:rsidRPr="00D463A0">
        <w:rPr>
          <w:sz w:val="24"/>
          <w:szCs w:val="24"/>
        </w:rPr>
        <w:t>BLS expects that the new imputation procedures will impact downstream users in a positive way.  The new procedures will result in fewer imputations of positive employment to businesses that have ceased operations, and will result in imputed employment and wages to late respondents</w:t>
      </w:r>
      <w:r w:rsidR="00153FB5">
        <w:rPr>
          <w:sz w:val="24"/>
          <w:szCs w:val="24"/>
        </w:rPr>
        <w:t xml:space="preserve"> </w:t>
      </w:r>
      <w:r w:rsidRPr="00D463A0">
        <w:rPr>
          <w:sz w:val="24"/>
          <w:szCs w:val="24"/>
        </w:rPr>
        <w:t>that are more accurate and more sensitive to current economic conditions.  In addition to improving the accuracy of tabulations for QCEW publications and for Business Employment Dynamics, these procedures will improve the quality of QCEW data as an economic input to BEA data, and as a sampling frame and source of benchmark employment for BLS sample surveys.</w:t>
      </w:r>
    </w:p>
    <w:p w:rsidRPr="00D463A0" w:rsidR="00D463A0" w:rsidP="00DE399E" w:rsidRDefault="00D463A0" w14:paraId="49BC3A2D" w14:textId="77777777">
      <w:pPr>
        <w:spacing w:after="160" w:line="259" w:lineRule="auto"/>
        <w:rPr>
          <w:rFonts w:asciiTheme="minorHAnsi" w:hAnsiTheme="minorHAnsi" w:cstheme="minorHAnsi"/>
          <w:sz w:val="24"/>
          <w:szCs w:val="24"/>
        </w:rPr>
      </w:pPr>
    </w:p>
    <w:p w:rsidRPr="007F0B3D" w:rsidR="00EF2E60" w:rsidP="00AA22B0" w:rsidRDefault="00363EB8" w14:paraId="7A901BBC" w14:textId="77777777">
      <w:pPr>
        <w:rPr>
          <w:sz w:val="24"/>
          <w:szCs w:val="24"/>
        </w:rPr>
      </w:pPr>
      <w:r w:rsidRPr="007F0B3D">
        <w:rPr>
          <w:sz w:val="24"/>
          <w:szCs w:val="24"/>
        </w:rPr>
        <w:t>OUTREACH PLAN</w:t>
      </w:r>
    </w:p>
    <w:p w:rsidRPr="007F0B3D" w:rsidR="00363EB8" w:rsidP="00AA22B0" w:rsidRDefault="00363EB8" w14:paraId="0584FD74" w14:textId="77777777">
      <w:pPr>
        <w:rPr>
          <w:sz w:val="24"/>
          <w:szCs w:val="24"/>
        </w:rPr>
      </w:pPr>
    </w:p>
    <w:p w:rsidRPr="008D0E25" w:rsidR="007F0B3D" w:rsidP="00AA22B0" w:rsidRDefault="007F0B3D" w14:paraId="59FBEBE2" w14:textId="77777777">
      <w:pPr>
        <w:rPr>
          <w:b/>
          <w:sz w:val="24"/>
          <w:szCs w:val="24"/>
        </w:rPr>
      </w:pPr>
      <w:r w:rsidRPr="008D0E25">
        <w:rPr>
          <w:b/>
          <w:sz w:val="24"/>
          <w:szCs w:val="24"/>
        </w:rPr>
        <w:t>Public</w:t>
      </w:r>
    </w:p>
    <w:p w:rsidR="007F0B3D" w:rsidP="003E2731" w:rsidRDefault="007F0B3D" w14:paraId="30952567" w14:textId="1F452A05">
      <w:pPr>
        <w:ind w:right="-90"/>
        <w:rPr>
          <w:sz w:val="24"/>
          <w:szCs w:val="24"/>
        </w:rPr>
      </w:pPr>
      <w:r>
        <w:rPr>
          <w:sz w:val="24"/>
          <w:szCs w:val="24"/>
        </w:rPr>
        <w:t xml:space="preserve">On August 19, BLS issued the </w:t>
      </w:r>
      <w:r w:rsidR="00F12024">
        <w:rPr>
          <w:sz w:val="24"/>
          <w:szCs w:val="24"/>
        </w:rPr>
        <w:t xml:space="preserve">First Quarter 2020 </w:t>
      </w:r>
      <w:r>
        <w:rPr>
          <w:sz w:val="24"/>
          <w:szCs w:val="24"/>
        </w:rPr>
        <w:t>County Employment and Wages news release.</w:t>
      </w:r>
      <w:r w:rsidR="000D5ABD">
        <w:rPr>
          <w:sz w:val="24"/>
          <w:szCs w:val="24"/>
        </w:rPr>
        <w:t xml:space="preserve"> </w:t>
      </w:r>
      <w:r>
        <w:rPr>
          <w:sz w:val="24"/>
          <w:szCs w:val="24"/>
        </w:rPr>
        <w:t xml:space="preserve"> A box note was inserted in that release which announced this improvement project. </w:t>
      </w:r>
      <w:r w:rsidR="000D5ABD">
        <w:rPr>
          <w:sz w:val="24"/>
          <w:szCs w:val="24"/>
        </w:rPr>
        <w:t xml:space="preserve"> </w:t>
      </w:r>
      <w:r>
        <w:rPr>
          <w:sz w:val="24"/>
          <w:szCs w:val="24"/>
        </w:rPr>
        <w:t xml:space="preserve">Additionally, BLS created a web page that discusses QCEW imputation methodology. </w:t>
      </w:r>
      <w:r w:rsidR="000D5ABD">
        <w:rPr>
          <w:sz w:val="24"/>
          <w:szCs w:val="24"/>
        </w:rPr>
        <w:t xml:space="preserve"> </w:t>
      </w:r>
      <w:r w:rsidRPr="00645F64" w:rsidR="00436378">
        <w:rPr>
          <w:sz w:val="24"/>
          <w:szCs w:val="24"/>
        </w:rPr>
        <w:t>A link to this page was added to the Notices section of the QCEW home page.</w:t>
      </w:r>
      <w:r w:rsidR="00436378">
        <w:rPr>
          <w:sz w:val="24"/>
          <w:szCs w:val="24"/>
        </w:rPr>
        <w:t xml:space="preserve"> </w:t>
      </w:r>
      <w:r w:rsidR="000D5ABD">
        <w:rPr>
          <w:sz w:val="24"/>
          <w:szCs w:val="24"/>
        </w:rPr>
        <w:t xml:space="preserve"> </w:t>
      </w:r>
      <w:r w:rsidR="000939C4">
        <w:rPr>
          <w:sz w:val="24"/>
          <w:szCs w:val="24"/>
        </w:rPr>
        <w:t>Th</w:t>
      </w:r>
      <w:r w:rsidR="00436378">
        <w:rPr>
          <w:sz w:val="24"/>
          <w:szCs w:val="24"/>
        </w:rPr>
        <w:t>e imputation</w:t>
      </w:r>
      <w:r w:rsidR="000939C4">
        <w:rPr>
          <w:sz w:val="24"/>
          <w:szCs w:val="24"/>
        </w:rPr>
        <w:t xml:space="preserve"> web page </w:t>
      </w:r>
      <w:r w:rsidR="00FB7620">
        <w:rPr>
          <w:sz w:val="24"/>
          <w:szCs w:val="24"/>
        </w:rPr>
        <w:t>was</w:t>
      </w:r>
      <w:r w:rsidR="000939C4">
        <w:rPr>
          <w:sz w:val="24"/>
          <w:szCs w:val="24"/>
        </w:rPr>
        <w:t xml:space="preserve"> updated </w:t>
      </w:r>
      <w:r w:rsidR="00153FB5">
        <w:rPr>
          <w:sz w:val="24"/>
          <w:szCs w:val="24"/>
        </w:rPr>
        <w:t xml:space="preserve">coincident with the </w:t>
      </w:r>
      <w:r w:rsidR="000939C4">
        <w:rPr>
          <w:sz w:val="24"/>
          <w:szCs w:val="24"/>
        </w:rPr>
        <w:t xml:space="preserve">November 2020 </w:t>
      </w:r>
      <w:r w:rsidR="00153FB5">
        <w:rPr>
          <w:sz w:val="24"/>
          <w:szCs w:val="24"/>
        </w:rPr>
        <w:t xml:space="preserve">QCEW news release </w:t>
      </w:r>
      <w:r w:rsidR="000939C4">
        <w:rPr>
          <w:sz w:val="24"/>
          <w:szCs w:val="24"/>
        </w:rPr>
        <w:t>to share the results of this project.</w:t>
      </w:r>
      <w:r w:rsidR="00153FB5">
        <w:rPr>
          <w:sz w:val="24"/>
          <w:szCs w:val="24"/>
        </w:rPr>
        <w:t xml:space="preserve">  BLS is seeking feedback through the 60-day notice for the full clearance of the QCEW program</w:t>
      </w:r>
      <w:r w:rsidR="00496158">
        <w:rPr>
          <w:sz w:val="24"/>
          <w:szCs w:val="24"/>
        </w:rPr>
        <w:t>.</w:t>
      </w:r>
      <w:r w:rsidR="000939C4">
        <w:rPr>
          <w:sz w:val="24"/>
          <w:szCs w:val="24"/>
        </w:rPr>
        <w:br/>
      </w:r>
      <w:r w:rsidR="00153FB5">
        <w:rPr>
          <w:sz w:val="24"/>
          <w:szCs w:val="24"/>
        </w:rPr>
        <w:t xml:space="preserve">  </w:t>
      </w:r>
      <w:r w:rsidR="000939C4">
        <w:rPr>
          <w:sz w:val="24"/>
          <w:szCs w:val="24"/>
        </w:rPr>
        <w:br/>
      </w:r>
      <w:r>
        <w:rPr>
          <w:sz w:val="24"/>
          <w:szCs w:val="24"/>
        </w:rPr>
        <w:t>S</w:t>
      </w:r>
      <w:r w:rsidRPr="00340373">
        <w:rPr>
          <w:sz w:val="24"/>
          <w:szCs w:val="24"/>
        </w:rPr>
        <w:t xml:space="preserve">ee </w:t>
      </w:r>
      <w:hyperlink w:history="1" r:id="rId9">
        <w:r w:rsidRPr="00C21FE1" w:rsidR="000939C4">
          <w:rPr>
            <w:rStyle w:val="Hyperlink"/>
            <w:sz w:val="24"/>
            <w:szCs w:val="24"/>
          </w:rPr>
          <w:t>https://www.bls.gov/news.release/archives/cewqtr_08192020.pdf</w:t>
        </w:r>
      </w:hyperlink>
      <w:r w:rsidR="000939C4">
        <w:rPr>
          <w:sz w:val="24"/>
          <w:szCs w:val="24"/>
        </w:rPr>
        <w:t xml:space="preserve"> </w:t>
      </w:r>
      <w:r>
        <w:rPr>
          <w:sz w:val="24"/>
          <w:szCs w:val="24"/>
        </w:rPr>
        <w:t xml:space="preserve">and </w:t>
      </w:r>
      <w:hyperlink w:history="1" r:id="rId10">
        <w:r w:rsidRPr="000808DA" w:rsidR="00D463A0">
          <w:rPr>
            <w:rStyle w:val="Hyperlink"/>
            <w:sz w:val="24"/>
            <w:szCs w:val="24"/>
          </w:rPr>
          <w:t>https://www.bls.gov/cew/additional-resources/imputation-methodology.htm</w:t>
        </w:r>
      </w:hyperlink>
      <w:r w:rsidR="00D463A0">
        <w:rPr>
          <w:sz w:val="24"/>
          <w:szCs w:val="24"/>
        </w:rPr>
        <w:t>.</w:t>
      </w:r>
    </w:p>
    <w:p w:rsidRPr="00340373" w:rsidR="00D463A0" w:rsidP="007F0B3D" w:rsidRDefault="00D463A0" w14:paraId="20FB1067" w14:textId="77777777">
      <w:pPr>
        <w:rPr>
          <w:rFonts w:asciiTheme="minorHAnsi" w:hAnsiTheme="minorHAnsi" w:cstheme="minorHAnsi"/>
          <w:sz w:val="22"/>
          <w:szCs w:val="22"/>
        </w:rPr>
      </w:pPr>
    </w:p>
    <w:p w:rsidRPr="008D0E25" w:rsidR="007F0B3D" w:rsidP="00AA22B0" w:rsidRDefault="007F0B3D" w14:paraId="02B85200" w14:textId="77777777">
      <w:pPr>
        <w:rPr>
          <w:b/>
          <w:sz w:val="24"/>
          <w:szCs w:val="24"/>
        </w:rPr>
      </w:pPr>
      <w:r w:rsidRPr="008D0E25">
        <w:rPr>
          <w:b/>
          <w:sz w:val="24"/>
          <w:szCs w:val="24"/>
        </w:rPr>
        <w:t>States</w:t>
      </w:r>
    </w:p>
    <w:p w:rsidRPr="007F0B3D" w:rsidR="000939C4" w:rsidP="00AA22B0" w:rsidRDefault="000939C4" w14:paraId="742E6D70" w14:textId="0E58E03A">
      <w:pPr>
        <w:rPr>
          <w:sz w:val="24"/>
          <w:szCs w:val="24"/>
        </w:rPr>
      </w:pPr>
      <w:r>
        <w:rPr>
          <w:sz w:val="24"/>
          <w:szCs w:val="24"/>
        </w:rPr>
        <w:t xml:space="preserve">QCEW staff have discussed this project with state partners using the Policy Council process. </w:t>
      </w:r>
      <w:r w:rsidR="003A35D4">
        <w:rPr>
          <w:sz w:val="24"/>
          <w:szCs w:val="24"/>
        </w:rPr>
        <w:t xml:space="preserve"> </w:t>
      </w:r>
      <w:r w:rsidR="000D5ABD">
        <w:rPr>
          <w:sz w:val="24"/>
          <w:szCs w:val="24"/>
        </w:rPr>
        <w:t xml:space="preserve"> </w:t>
      </w:r>
      <w:r>
        <w:rPr>
          <w:sz w:val="24"/>
          <w:szCs w:val="24"/>
        </w:rPr>
        <w:t>This communication will be ongoing.</w:t>
      </w:r>
      <w:r w:rsidR="00153FB5">
        <w:rPr>
          <w:sz w:val="24"/>
          <w:szCs w:val="24"/>
        </w:rPr>
        <w:t xml:space="preserve">  BLS QCEW management meets monthly with state representatives </w:t>
      </w:r>
      <w:r w:rsidR="00B74BA9">
        <w:rPr>
          <w:sz w:val="24"/>
          <w:szCs w:val="24"/>
        </w:rPr>
        <w:t xml:space="preserve">as joint members of the QCEW Policy Council.  This project was discussed at the September and October meetings of this group. </w:t>
      </w:r>
      <w:r w:rsidR="000D5ABD">
        <w:rPr>
          <w:sz w:val="24"/>
          <w:szCs w:val="24"/>
        </w:rPr>
        <w:t xml:space="preserve"> </w:t>
      </w:r>
      <w:r w:rsidR="00B74BA9">
        <w:rPr>
          <w:sz w:val="24"/>
          <w:szCs w:val="24"/>
        </w:rPr>
        <w:t>As it is an ongoing project, it will be discussed at this</w:t>
      </w:r>
      <w:r w:rsidR="00496158">
        <w:rPr>
          <w:sz w:val="24"/>
          <w:szCs w:val="24"/>
        </w:rPr>
        <w:t xml:space="preserve"> monthly </w:t>
      </w:r>
      <w:r w:rsidR="00B74BA9">
        <w:rPr>
          <w:sz w:val="24"/>
          <w:szCs w:val="24"/>
        </w:rPr>
        <w:t>meeting until it becomes a routine part of processing.</w:t>
      </w:r>
    </w:p>
    <w:p w:rsidRPr="007F0B3D" w:rsidR="007F0B3D" w:rsidP="00AA22B0" w:rsidRDefault="007F0B3D" w14:paraId="34295EAC" w14:textId="77777777">
      <w:pPr>
        <w:rPr>
          <w:sz w:val="24"/>
          <w:szCs w:val="24"/>
        </w:rPr>
      </w:pPr>
    </w:p>
    <w:p w:rsidRPr="008D0E25" w:rsidR="007F0B3D" w:rsidP="00AA22B0" w:rsidRDefault="007F0B3D" w14:paraId="3221B624" w14:textId="77777777">
      <w:pPr>
        <w:rPr>
          <w:b/>
          <w:sz w:val="24"/>
          <w:szCs w:val="24"/>
        </w:rPr>
      </w:pPr>
      <w:r w:rsidRPr="008D0E25">
        <w:rPr>
          <w:b/>
          <w:sz w:val="24"/>
          <w:szCs w:val="24"/>
        </w:rPr>
        <w:t>BEA</w:t>
      </w:r>
    </w:p>
    <w:p w:rsidRPr="00EB3321" w:rsidR="000939C4" w:rsidP="00AA22B0" w:rsidRDefault="000939C4" w14:paraId="52554BC2" w14:textId="3E216CD6">
      <w:pPr>
        <w:rPr>
          <w:sz w:val="24"/>
          <w:szCs w:val="24"/>
        </w:rPr>
      </w:pPr>
      <w:r>
        <w:rPr>
          <w:sz w:val="24"/>
          <w:szCs w:val="24"/>
        </w:rPr>
        <w:t xml:space="preserve">QCEW staff discussed this project with the QCEW contact in the Regional Economics group. </w:t>
      </w:r>
      <w:r w:rsidR="000D5ABD">
        <w:rPr>
          <w:sz w:val="24"/>
          <w:szCs w:val="24"/>
        </w:rPr>
        <w:t xml:space="preserve"> </w:t>
      </w:r>
      <w:r>
        <w:rPr>
          <w:sz w:val="24"/>
          <w:szCs w:val="24"/>
        </w:rPr>
        <w:t>BLS present</w:t>
      </w:r>
      <w:r w:rsidR="00942E4C">
        <w:rPr>
          <w:sz w:val="24"/>
          <w:szCs w:val="24"/>
        </w:rPr>
        <w:t>ed</w:t>
      </w:r>
      <w:r>
        <w:rPr>
          <w:sz w:val="24"/>
          <w:szCs w:val="24"/>
        </w:rPr>
        <w:t xml:space="preserve"> </w:t>
      </w:r>
      <w:r w:rsidR="007214CF">
        <w:rPr>
          <w:sz w:val="24"/>
          <w:szCs w:val="24"/>
        </w:rPr>
        <w:t xml:space="preserve">details of this project </w:t>
      </w:r>
      <w:r>
        <w:rPr>
          <w:sz w:val="24"/>
          <w:szCs w:val="24"/>
        </w:rPr>
        <w:t>at a wider meeting of BEA staff</w:t>
      </w:r>
      <w:r w:rsidR="00942E4C">
        <w:rPr>
          <w:sz w:val="24"/>
          <w:szCs w:val="24"/>
        </w:rPr>
        <w:t xml:space="preserve"> on September 10</w:t>
      </w:r>
      <w:r>
        <w:rPr>
          <w:sz w:val="24"/>
          <w:szCs w:val="24"/>
        </w:rPr>
        <w:t>.  The QCEW program will share results with these users as the project progresses.</w:t>
      </w:r>
      <w:r w:rsidR="00EB3321">
        <w:rPr>
          <w:sz w:val="24"/>
          <w:szCs w:val="24"/>
        </w:rPr>
        <w:t xml:space="preserve"> </w:t>
      </w:r>
      <w:r w:rsidR="00F75358">
        <w:rPr>
          <w:sz w:val="24"/>
          <w:szCs w:val="24"/>
        </w:rPr>
        <w:t xml:space="preserve"> </w:t>
      </w:r>
      <w:r w:rsidRPr="0070133F" w:rsidR="00EB3321">
        <w:rPr>
          <w:sz w:val="24"/>
          <w:szCs w:val="24"/>
        </w:rPr>
        <w:t xml:space="preserve">Results </w:t>
      </w:r>
      <w:r w:rsidR="007C4167">
        <w:rPr>
          <w:sz w:val="24"/>
          <w:szCs w:val="24"/>
        </w:rPr>
        <w:t xml:space="preserve">were </w:t>
      </w:r>
      <w:r w:rsidRPr="0070133F" w:rsidR="00EB3321">
        <w:rPr>
          <w:sz w:val="24"/>
          <w:szCs w:val="24"/>
        </w:rPr>
        <w:t xml:space="preserve">shared with BEA in mid-October. </w:t>
      </w:r>
    </w:p>
    <w:p w:rsidR="007F0B3D" w:rsidP="00AA22B0" w:rsidRDefault="007F0B3D" w14:paraId="2D4832A9" w14:textId="77777777">
      <w:pPr>
        <w:rPr>
          <w:sz w:val="24"/>
          <w:szCs w:val="24"/>
        </w:rPr>
      </w:pPr>
    </w:p>
    <w:p w:rsidR="00667702" w:rsidP="00AA22B0" w:rsidRDefault="00667702" w14:paraId="4B18DFC6" w14:textId="77777777">
      <w:pPr>
        <w:rPr>
          <w:sz w:val="24"/>
          <w:szCs w:val="24"/>
        </w:rPr>
      </w:pPr>
    </w:p>
    <w:p w:rsidR="00667702" w:rsidP="00AA22B0" w:rsidRDefault="00667702" w14:paraId="144D9B5B" w14:textId="77777777">
      <w:pPr>
        <w:rPr>
          <w:sz w:val="24"/>
          <w:szCs w:val="24"/>
        </w:rPr>
      </w:pPr>
    </w:p>
    <w:p w:rsidRPr="007F0B3D" w:rsidR="00667702" w:rsidP="00AA22B0" w:rsidRDefault="00667702" w14:paraId="004D9F2B" w14:textId="77777777">
      <w:pPr>
        <w:rPr>
          <w:sz w:val="24"/>
          <w:szCs w:val="24"/>
        </w:rPr>
      </w:pPr>
      <w:bookmarkStart w:name="_GoBack" w:id="0"/>
      <w:bookmarkEnd w:id="0"/>
    </w:p>
    <w:p w:rsidRPr="008D0E25" w:rsidR="007F0B3D" w:rsidP="00AA22B0" w:rsidRDefault="007F0B3D" w14:paraId="45CC476C" w14:textId="77777777">
      <w:pPr>
        <w:rPr>
          <w:b/>
          <w:sz w:val="24"/>
          <w:szCs w:val="24"/>
        </w:rPr>
      </w:pPr>
      <w:r w:rsidRPr="008D0E25">
        <w:rPr>
          <w:b/>
          <w:sz w:val="24"/>
          <w:szCs w:val="24"/>
        </w:rPr>
        <w:lastRenderedPageBreak/>
        <w:t>Users at BLS</w:t>
      </w:r>
    </w:p>
    <w:p w:rsidR="00496158" w:rsidP="00533D3E" w:rsidRDefault="000939C4" w14:paraId="20C3F597" w14:textId="029EB737">
      <w:pPr>
        <w:rPr>
          <w:sz w:val="24"/>
          <w:szCs w:val="24"/>
        </w:rPr>
      </w:pPr>
      <w:r>
        <w:rPr>
          <w:sz w:val="24"/>
          <w:szCs w:val="24"/>
        </w:rPr>
        <w:t xml:space="preserve">The QCEW program has notified all business register and benchmark users of QCEW data within BLS. </w:t>
      </w:r>
      <w:r w:rsidR="003A35D4">
        <w:rPr>
          <w:sz w:val="24"/>
          <w:szCs w:val="24"/>
        </w:rPr>
        <w:t xml:space="preserve"> </w:t>
      </w:r>
      <w:r w:rsidRPr="00533D3E" w:rsidR="00533D3E">
        <w:rPr>
          <w:sz w:val="24"/>
          <w:szCs w:val="24"/>
        </w:rPr>
        <w:t xml:space="preserve">QCEW has been in close consultation with BED, CES, and JOLTS management throughout this project.  </w:t>
      </w:r>
    </w:p>
    <w:p w:rsidR="00496158" w:rsidP="00533D3E" w:rsidRDefault="00496158" w14:paraId="0A48A3D1" w14:textId="77777777">
      <w:pPr>
        <w:rPr>
          <w:sz w:val="24"/>
          <w:szCs w:val="24"/>
        </w:rPr>
      </w:pPr>
    </w:p>
    <w:p w:rsidR="00533D3E" w:rsidP="00533D3E" w:rsidRDefault="00533D3E" w14:paraId="5679FDA4" w14:textId="662005B8">
      <w:pPr>
        <w:rPr>
          <w:sz w:val="24"/>
          <w:szCs w:val="24"/>
        </w:rPr>
      </w:pPr>
      <w:r w:rsidRPr="00533D3E">
        <w:rPr>
          <w:sz w:val="24"/>
          <w:szCs w:val="24"/>
        </w:rPr>
        <w:t>CES staff have made some suggestions</w:t>
      </w:r>
      <w:r>
        <w:rPr>
          <w:sz w:val="24"/>
          <w:szCs w:val="24"/>
        </w:rPr>
        <w:t xml:space="preserve"> for changes</w:t>
      </w:r>
      <w:r w:rsidR="00F309E2">
        <w:rPr>
          <w:sz w:val="24"/>
          <w:szCs w:val="24"/>
        </w:rPr>
        <w:t xml:space="preserve"> that might further improve these methods</w:t>
      </w:r>
      <w:r>
        <w:rPr>
          <w:sz w:val="24"/>
          <w:szCs w:val="24"/>
        </w:rPr>
        <w:t>.  QCEW</w:t>
      </w:r>
      <w:r w:rsidRPr="00533D3E">
        <w:rPr>
          <w:sz w:val="24"/>
          <w:szCs w:val="24"/>
        </w:rPr>
        <w:t xml:space="preserve"> will consider thes</w:t>
      </w:r>
      <w:r>
        <w:rPr>
          <w:sz w:val="24"/>
          <w:szCs w:val="24"/>
        </w:rPr>
        <w:t>e suggestions in future updates</w:t>
      </w:r>
      <w:r w:rsidRPr="00533D3E">
        <w:rPr>
          <w:sz w:val="24"/>
          <w:szCs w:val="24"/>
        </w:rPr>
        <w:t xml:space="preserve"> of this project. </w:t>
      </w:r>
      <w:r w:rsidR="000939C4">
        <w:rPr>
          <w:sz w:val="24"/>
          <w:szCs w:val="24"/>
        </w:rPr>
        <w:t xml:space="preserve"> </w:t>
      </w:r>
    </w:p>
    <w:p w:rsidR="00533D3E" w:rsidP="00533D3E" w:rsidRDefault="00533D3E" w14:paraId="59C4FC11" w14:textId="77777777">
      <w:pPr>
        <w:rPr>
          <w:sz w:val="24"/>
          <w:szCs w:val="24"/>
        </w:rPr>
      </w:pPr>
    </w:p>
    <w:p w:rsidR="00D463A0" w:rsidP="00533D3E" w:rsidRDefault="000939C4" w14:paraId="77526A43" w14:textId="1FD6F725">
      <w:pPr>
        <w:rPr>
          <w:sz w:val="24"/>
          <w:szCs w:val="24"/>
        </w:rPr>
      </w:pPr>
      <w:r>
        <w:rPr>
          <w:sz w:val="24"/>
          <w:szCs w:val="24"/>
        </w:rPr>
        <w:t xml:space="preserve">The QCEW program will share results with </w:t>
      </w:r>
      <w:r w:rsidR="00533D3E">
        <w:rPr>
          <w:sz w:val="24"/>
          <w:szCs w:val="24"/>
        </w:rPr>
        <w:t>BLS</w:t>
      </w:r>
      <w:r>
        <w:rPr>
          <w:sz w:val="24"/>
          <w:szCs w:val="24"/>
        </w:rPr>
        <w:t xml:space="preserve"> users as the project progresses</w:t>
      </w:r>
      <w:r w:rsidR="00EB3321">
        <w:rPr>
          <w:sz w:val="24"/>
          <w:szCs w:val="24"/>
        </w:rPr>
        <w:t xml:space="preserve">. </w:t>
      </w:r>
      <w:r w:rsidR="000D5ABD">
        <w:rPr>
          <w:sz w:val="24"/>
          <w:szCs w:val="24"/>
        </w:rPr>
        <w:t xml:space="preserve"> </w:t>
      </w:r>
      <w:r w:rsidR="00EB3321">
        <w:rPr>
          <w:sz w:val="24"/>
          <w:szCs w:val="24"/>
        </w:rPr>
        <w:t>Resul</w:t>
      </w:r>
      <w:r w:rsidR="00533D3E">
        <w:rPr>
          <w:sz w:val="24"/>
          <w:szCs w:val="24"/>
        </w:rPr>
        <w:t xml:space="preserve">ts </w:t>
      </w:r>
      <w:r w:rsidR="007C4167">
        <w:rPr>
          <w:sz w:val="24"/>
          <w:szCs w:val="24"/>
        </w:rPr>
        <w:t>were</w:t>
      </w:r>
      <w:r w:rsidR="00533D3E">
        <w:rPr>
          <w:sz w:val="24"/>
          <w:szCs w:val="24"/>
        </w:rPr>
        <w:t xml:space="preserve"> shared</w:t>
      </w:r>
      <w:r w:rsidRPr="00EB3321" w:rsidR="00EB3321">
        <w:rPr>
          <w:sz w:val="24"/>
          <w:szCs w:val="24"/>
        </w:rPr>
        <w:t xml:space="preserve"> in mid-October.</w:t>
      </w:r>
      <w:r w:rsidR="0020110C">
        <w:rPr>
          <w:sz w:val="24"/>
          <w:szCs w:val="24"/>
        </w:rPr>
        <w:br/>
      </w:r>
      <w:r w:rsidR="0020110C">
        <w:rPr>
          <w:sz w:val="24"/>
          <w:szCs w:val="24"/>
        </w:rPr>
        <w:br/>
        <w:t xml:space="preserve">Sample frame users </w:t>
      </w:r>
      <w:r w:rsidR="00496158">
        <w:rPr>
          <w:sz w:val="24"/>
          <w:szCs w:val="24"/>
        </w:rPr>
        <w:t xml:space="preserve">across BLS </w:t>
      </w:r>
      <w:r w:rsidR="0020110C">
        <w:rPr>
          <w:sz w:val="24"/>
          <w:szCs w:val="24"/>
        </w:rPr>
        <w:t xml:space="preserve">will benefit from earlier </w:t>
      </w:r>
      <w:r w:rsidR="00C65200">
        <w:rPr>
          <w:sz w:val="24"/>
          <w:szCs w:val="24"/>
        </w:rPr>
        <w:t>elimination</w:t>
      </w:r>
      <w:r w:rsidR="0020110C">
        <w:rPr>
          <w:sz w:val="24"/>
          <w:szCs w:val="24"/>
        </w:rPr>
        <w:t xml:space="preserve"> of </w:t>
      </w:r>
      <w:r w:rsidR="00C65200">
        <w:rPr>
          <w:sz w:val="24"/>
          <w:szCs w:val="24"/>
        </w:rPr>
        <w:t xml:space="preserve">records for </w:t>
      </w:r>
      <w:r w:rsidR="0020110C">
        <w:rPr>
          <w:sz w:val="24"/>
          <w:szCs w:val="24"/>
        </w:rPr>
        <w:t xml:space="preserve">businesses that </w:t>
      </w:r>
      <w:r w:rsidR="00C65200">
        <w:rPr>
          <w:sz w:val="24"/>
          <w:szCs w:val="24"/>
        </w:rPr>
        <w:t xml:space="preserve">have </w:t>
      </w:r>
      <w:r w:rsidR="0020110C">
        <w:rPr>
          <w:sz w:val="24"/>
          <w:szCs w:val="24"/>
        </w:rPr>
        <w:t>cease</w:t>
      </w:r>
      <w:r w:rsidR="00C65200">
        <w:rPr>
          <w:sz w:val="24"/>
          <w:szCs w:val="24"/>
        </w:rPr>
        <w:t>d</w:t>
      </w:r>
      <w:r w:rsidR="0020110C">
        <w:rPr>
          <w:sz w:val="24"/>
          <w:szCs w:val="24"/>
        </w:rPr>
        <w:t xml:space="preserve"> operations.  Imputed records will more accurately report their size category.</w:t>
      </w:r>
      <w:r w:rsidR="0020110C">
        <w:rPr>
          <w:sz w:val="24"/>
          <w:szCs w:val="24"/>
        </w:rPr>
        <w:br/>
      </w:r>
      <w:r w:rsidR="0020110C">
        <w:rPr>
          <w:sz w:val="24"/>
          <w:szCs w:val="24"/>
        </w:rPr>
        <w:br/>
        <w:t>Employment benchmark users will benefit from a more accurate measure of employment and wages</w:t>
      </w:r>
      <w:r w:rsidR="00F90F44">
        <w:rPr>
          <w:sz w:val="24"/>
          <w:szCs w:val="24"/>
        </w:rPr>
        <w:t>, particularly</w:t>
      </w:r>
      <w:r w:rsidR="0020110C">
        <w:rPr>
          <w:sz w:val="24"/>
          <w:szCs w:val="24"/>
        </w:rPr>
        <w:t xml:space="preserve"> around inflection points in the economy.  They will benefit from more accurate measures for areas that</w:t>
      </w:r>
      <w:r w:rsidR="00C65200">
        <w:rPr>
          <w:sz w:val="24"/>
          <w:szCs w:val="24"/>
        </w:rPr>
        <w:t xml:space="preserve"> have lower response rates after a natural disaster.  More timely identification of worksite closures will improve the data provided to birth and death models.</w:t>
      </w:r>
    </w:p>
    <w:p w:rsidR="00D463A0" w:rsidP="008D0E25" w:rsidRDefault="00D463A0" w14:paraId="7B892719" w14:textId="77777777">
      <w:pPr>
        <w:rPr>
          <w:sz w:val="24"/>
          <w:szCs w:val="24"/>
        </w:rPr>
      </w:pPr>
    </w:p>
    <w:p w:rsidRPr="00436378" w:rsidR="00D463A0" w:rsidP="008D0E25" w:rsidRDefault="00D463A0" w14:paraId="3CC538AC" w14:textId="39D4AF5D">
      <w:pPr>
        <w:rPr>
          <w:sz w:val="24"/>
          <w:szCs w:val="24"/>
        </w:rPr>
      </w:pPr>
      <w:r w:rsidRPr="00436378">
        <w:rPr>
          <w:sz w:val="24"/>
          <w:szCs w:val="24"/>
        </w:rPr>
        <w:t>BLS programs that utilize QCEW data include:</w:t>
      </w:r>
      <w:r w:rsidR="00496158">
        <w:rPr>
          <w:sz w:val="24"/>
          <w:szCs w:val="24"/>
        </w:rPr>
        <w:br/>
      </w:r>
    </w:p>
    <w:tbl>
      <w:tblPr>
        <w:tblStyle w:val="TableGrid"/>
        <w:tblW w:w="8995" w:type="dxa"/>
        <w:tblInd w:w="360" w:type="dxa"/>
        <w:tblLook w:val="04A0" w:firstRow="1" w:lastRow="0" w:firstColumn="1" w:lastColumn="0" w:noHBand="0" w:noVBand="1"/>
      </w:tblPr>
      <w:tblGrid>
        <w:gridCol w:w="2134"/>
        <w:gridCol w:w="1203"/>
        <w:gridCol w:w="1703"/>
        <w:gridCol w:w="3955"/>
      </w:tblGrid>
      <w:tr w:rsidRPr="006F0481" w:rsidR="00F90F44" w:rsidTr="0020110C" w14:paraId="0458E3F4" w14:textId="0A923A85">
        <w:tc>
          <w:tcPr>
            <w:tcW w:w="2153" w:type="dxa"/>
          </w:tcPr>
          <w:p w:rsidRPr="0070133F" w:rsidR="00942E4C" w:rsidP="006F0481" w:rsidRDefault="00942E4C" w14:paraId="3F2AFCD6" w14:textId="3D49170B">
            <w:pPr>
              <w:rPr>
                <w:b/>
                <w:sz w:val="24"/>
                <w:szCs w:val="24"/>
              </w:rPr>
            </w:pPr>
            <w:r w:rsidRPr="0070133F">
              <w:rPr>
                <w:b/>
                <w:sz w:val="24"/>
                <w:szCs w:val="24"/>
              </w:rPr>
              <w:t>BLS Program</w:t>
            </w:r>
          </w:p>
        </w:tc>
        <w:tc>
          <w:tcPr>
            <w:tcW w:w="1082" w:type="dxa"/>
          </w:tcPr>
          <w:p w:rsidRPr="0070133F" w:rsidR="00942E4C" w:rsidP="006F0481" w:rsidRDefault="0020110C" w14:paraId="6F326871" w14:textId="2E381B90">
            <w:pPr>
              <w:rPr>
                <w:b/>
                <w:sz w:val="24"/>
                <w:szCs w:val="24"/>
              </w:rPr>
            </w:pPr>
            <w:r w:rsidRPr="0020110C">
              <w:rPr>
                <w:b/>
                <w:sz w:val="24"/>
                <w:szCs w:val="24"/>
              </w:rPr>
              <w:t>Sample Frame Use</w:t>
            </w:r>
          </w:p>
        </w:tc>
        <w:tc>
          <w:tcPr>
            <w:tcW w:w="1710" w:type="dxa"/>
          </w:tcPr>
          <w:p w:rsidRPr="0070133F" w:rsidR="00942E4C" w:rsidP="006F0481" w:rsidRDefault="0020110C" w14:paraId="7BDDBAEC" w14:textId="1CA52867">
            <w:pPr>
              <w:rPr>
                <w:b/>
                <w:sz w:val="24"/>
                <w:szCs w:val="24"/>
              </w:rPr>
            </w:pPr>
            <w:r w:rsidRPr="0070133F">
              <w:rPr>
                <w:b/>
                <w:sz w:val="24"/>
                <w:szCs w:val="24"/>
              </w:rPr>
              <w:t>Employment Benchmark Use</w:t>
            </w:r>
          </w:p>
        </w:tc>
        <w:tc>
          <w:tcPr>
            <w:tcW w:w="4050" w:type="dxa"/>
          </w:tcPr>
          <w:p w:rsidRPr="0070133F" w:rsidR="00942E4C" w:rsidP="006F0481" w:rsidRDefault="00942E4C" w14:paraId="26DBBAD6" w14:textId="0ECB1B98">
            <w:pPr>
              <w:rPr>
                <w:b/>
                <w:sz w:val="24"/>
                <w:szCs w:val="24"/>
              </w:rPr>
            </w:pPr>
            <w:r w:rsidRPr="0070133F">
              <w:rPr>
                <w:b/>
                <w:sz w:val="24"/>
                <w:szCs w:val="24"/>
              </w:rPr>
              <w:t>Other Use</w:t>
            </w:r>
          </w:p>
        </w:tc>
      </w:tr>
      <w:tr w:rsidRPr="006F0481" w:rsidR="00F90F44" w:rsidTr="0020110C" w14:paraId="5760AD37" w14:textId="2744C9A0">
        <w:tc>
          <w:tcPr>
            <w:tcW w:w="2153" w:type="dxa"/>
          </w:tcPr>
          <w:p w:rsidRPr="006F0481" w:rsidR="00942E4C" w:rsidP="006F0481" w:rsidRDefault="00942E4C" w14:paraId="104237BB" w14:textId="05728615">
            <w:pPr>
              <w:rPr>
                <w:sz w:val="24"/>
                <w:szCs w:val="24"/>
              </w:rPr>
            </w:pPr>
            <w:r>
              <w:rPr>
                <w:sz w:val="24"/>
                <w:szCs w:val="24"/>
              </w:rPr>
              <w:t>Business Employment Dynamics</w:t>
            </w:r>
          </w:p>
        </w:tc>
        <w:tc>
          <w:tcPr>
            <w:tcW w:w="1082" w:type="dxa"/>
          </w:tcPr>
          <w:p w:rsidRPr="006F0481" w:rsidR="00942E4C" w:rsidP="006F0481" w:rsidRDefault="00F90F44" w14:paraId="7DD24002" w14:textId="7D0C8FEF">
            <w:pPr>
              <w:rPr>
                <w:sz w:val="24"/>
                <w:szCs w:val="24"/>
              </w:rPr>
            </w:pPr>
            <w:r>
              <w:rPr>
                <w:sz w:val="24"/>
                <w:szCs w:val="24"/>
              </w:rPr>
              <w:t>Not applicable</w:t>
            </w:r>
          </w:p>
        </w:tc>
        <w:tc>
          <w:tcPr>
            <w:tcW w:w="1710" w:type="dxa"/>
          </w:tcPr>
          <w:p w:rsidRPr="006F0481" w:rsidR="00942E4C" w:rsidP="006F0481" w:rsidRDefault="00F90F44" w14:paraId="0A7B571C" w14:textId="1C00FB16">
            <w:pPr>
              <w:rPr>
                <w:sz w:val="24"/>
                <w:szCs w:val="24"/>
              </w:rPr>
            </w:pPr>
            <w:r>
              <w:rPr>
                <w:sz w:val="24"/>
                <w:szCs w:val="24"/>
              </w:rPr>
              <w:t>Not applicable</w:t>
            </w:r>
          </w:p>
        </w:tc>
        <w:tc>
          <w:tcPr>
            <w:tcW w:w="4050" w:type="dxa"/>
          </w:tcPr>
          <w:p w:rsidRPr="006F0481" w:rsidR="00942E4C" w:rsidP="00C65200" w:rsidRDefault="00C65200" w14:paraId="14F7D91E" w14:textId="6EAACFC4">
            <w:pPr>
              <w:rPr>
                <w:sz w:val="24"/>
                <w:szCs w:val="24"/>
              </w:rPr>
            </w:pPr>
            <w:r>
              <w:rPr>
                <w:sz w:val="24"/>
                <w:szCs w:val="24"/>
              </w:rPr>
              <w:t>Employment d</w:t>
            </w:r>
            <w:r w:rsidR="00942E4C">
              <w:rPr>
                <w:sz w:val="24"/>
                <w:szCs w:val="24"/>
              </w:rPr>
              <w:t>ynamics measures based on</w:t>
            </w:r>
            <w:r w:rsidR="0020110C">
              <w:rPr>
                <w:sz w:val="24"/>
                <w:szCs w:val="24"/>
              </w:rPr>
              <w:t xml:space="preserve"> </w:t>
            </w:r>
            <w:r w:rsidR="00942E4C">
              <w:rPr>
                <w:sz w:val="24"/>
                <w:szCs w:val="24"/>
              </w:rPr>
              <w:t>longitudinally linked QCEW microdat</w:t>
            </w:r>
            <w:r>
              <w:rPr>
                <w:sz w:val="24"/>
                <w:szCs w:val="24"/>
              </w:rPr>
              <w:t>a</w:t>
            </w:r>
          </w:p>
        </w:tc>
      </w:tr>
      <w:tr w:rsidRPr="006F0481" w:rsidR="00F90F44" w:rsidTr="0020110C" w14:paraId="22E302D0" w14:textId="4EB310D5">
        <w:tc>
          <w:tcPr>
            <w:tcW w:w="2153" w:type="dxa"/>
          </w:tcPr>
          <w:p w:rsidRPr="006F0481" w:rsidR="00942E4C" w:rsidP="006F0481" w:rsidRDefault="00942E4C" w14:paraId="32E1FE3C" w14:textId="129DA670">
            <w:pPr>
              <w:rPr>
                <w:sz w:val="24"/>
                <w:szCs w:val="24"/>
              </w:rPr>
            </w:pPr>
            <w:r>
              <w:rPr>
                <w:sz w:val="24"/>
                <w:szCs w:val="24"/>
              </w:rPr>
              <w:t>Current Employment Statistics</w:t>
            </w:r>
            <w:r w:rsidRPr="006F0481">
              <w:rPr>
                <w:sz w:val="24"/>
                <w:szCs w:val="24"/>
              </w:rPr>
              <w:t xml:space="preserve"> </w:t>
            </w:r>
          </w:p>
        </w:tc>
        <w:tc>
          <w:tcPr>
            <w:tcW w:w="1082" w:type="dxa"/>
          </w:tcPr>
          <w:p w:rsidRPr="006F0481" w:rsidR="00942E4C" w:rsidP="006F0481" w:rsidRDefault="0020110C" w14:paraId="29E6AC20" w14:textId="6E8951F1">
            <w:pPr>
              <w:rPr>
                <w:sz w:val="24"/>
                <w:szCs w:val="24"/>
              </w:rPr>
            </w:pPr>
            <w:r>
              <w:rPr>
                <w:sz w:val="24"/>
                <w:szCs w:val="24"/>
              </w:rPr>
              <w:t>Yes</w:t>
            </w:r>
          </w:p>
        </w:tc>
        <w:tc>
          <w:tcPr>
            <w:tcW w:w="1710" w:type="dxa"/>
          </w:tcPr>
          <w:p w:rsidRPr="006F0481" w:rsidR="00942E4C" w:rsidP="006F0481" w:rsidRDefault="0020110C" w14:paraId="24705C74" w14:textId="4E5408B3">
            <w:pPr>
              <w:rPr>
                <w:sz w:val="24"/>
                <w:szCs w:val="24"/>
              </w:rPr>
            </w:pPr>
            <w:r>
              <w:rPr>
                <w:sz w:val="24"/>
                <w:szCs w:val="24"/>
              </w:rPr>
              <w:t>Yes</w:t>
            </w:r>
          </w:p>
        </w:tc>
        <w:tc>
          <w:tcPr>
            <w:tcW w:w="4050" w:type="dxa"/>
          </w:tcPr>
          <w:p w:rsidRPr="0020110C" w:rsidR="00942E4C" w:rsidP="006F0481" w:rsidRDefault="0020110C" w14:paraId="46999717" w14:textId="21FCB113">
            <w:pPr>
              <w:rPr>
                <w:sz w:val="24"/>
                <w:szCs w:val="24"/>
              </w:rPr>
            </w:pPr>
            <w:r w:rsidRPr="0020110C">
              <w:rPr>
                <w:sz w:val="24"/>
                <w:szCs w:val="24"/>
              </w:rPr>
              <w:t xml:space="preserve">Small Domain Model, </w:t>
            </w:r>
            <w:r w:rsidRPr="0070133F">
              <w:rPr>
                <w:sz w:val="24"/>
                <w:szCs w:val="24"/>
              </w:rPr>
              <w:t>Birth/Death Model</w:t>
            </w:r>
          </w:p>
        </w:tc>
      </w:tr>
      <w:tr w:rsidRPr="006F0481" w:rsidR="00F90F44" w:rsidTr="0020110C" w14:paraId="7C2D13FE" w14:textId="235CBAC4">
        <w:tc>
          <w:tcPr>
            <w:tcW w:w="2153" w:type="dxa"/>
          </w:tcPr>
          <w:p w:rsidRPr="006F0481" w:rsidR="0020110C" w:rsidP="0020110C" w:rsidRDefault="0020110C" w14:paraId="79EFB62F" w14:textId="11A5B1A8">
            <w:pPr>
              <w:rPr>
                <w:sz w:val="24"/>
                <w:szCs w:val="24"/>
              </w:rPr>
            </w:pPr>
            <w:r w:rsidRPr="006F0481">
              <w:rPr>
                <w:sz w:val="24"/>
                <w:szCs w:val="24"/>
              </w:rPr>
              <w:t>Job Ope</w:t>
            </w:r>
            <w:r>
              <w:rPr>
                <w:sz w:val="24"/>
                <w:szCs w:val="24"/>
              </w:rPr>
              <w:t>nings and Labor Turnover Survey</w:t>
            </w:r>
          </w:p>
        </w:tc>
        <w:tc>
          <w:tcPr>
            <w:tcW w:w="1082" w:type="dxa"/>
          </w:tcPr>
          <w:p w:rsidRPr="006F0481" w:rsidR="0020110C" w:rsidP="00BD0038" w:rsidRDefault="0020110C" w14:paraId="147816EB" w14:textId="4570D3B8">
            <w:pPr>
              <w:rPr>
                <w:sz w:val="24"/>
                <w:szCs w:val="24"/>
              </w:rPr>
            </w:pPr>
            <w:r>
              <w:rPr>
                <w:sz w:val="24"/>
                <w:szCs w:val="24"/>
              </w:rPr>
              <w:t>Yes</w:t>
            </w:r>
          </w:p>
        </w:tc>
        <w:tc>
          <w:tcPr>
            <w:tcW w:w="1710" w:type="dxa"/>
          </w:tcPr>
          <w:p w:rsidRPr="006F0481" w:rsidR="0020110C" w:rsidP="0020110C" w:rsidRDefault="0020110C" w14:paraId="244B0E6C" w14:textId="64D39B99">
            <w:pPr>
              <w:rPr>
                <w:sz w:val="24"/>
                <w:szCs w:val="24"/>
              </w:rPr>
            </w:pPr>
            <w:r>
              <w:rPr>
                <w:sz w:val="24"/>
                <w:szCs w:val="24"/>
              </w:rPr>
              <w:t>Yes</w:t>
            </w:r>
            <w:r w:rsidR="00BD0038">
              <w:rPr>
                <w:sz w:val="24"/>
                <w:szCs w:val="24"/>
              </w:rPr>
              <w:t>, employment is benchmarked to CES, and thus indirectly to QCEW.</w:t>
            </w:r>
          </w:p>
        </w:tc>
        <w:tc>
          <w:tcPr>
            <w:tcW w:w="4050" w:type="dxa"/>
          </w:tcPr>
          <w:p w:rsidRPr="006F0481" w:rsidR="0020110C" w:rsidP="0020110C" w:rsidRDefault="0020110C" w14:paraId="3775B1A4" w14:textId="77777777">
            <w:pPr>
              <w:rPr>
                <w:sz w:val="24"/>
                <w:szCs w:val="24"/>
              </w:rPr>
            </w:pPr>
          </w:p>
        </w:tc>
      </w:tr>
      <w:tr w:rsidRPr="006F0481" w:rsidR="00F90F44" w:rsidTr="0020110C" w14:paraId="05A1C79F" w14:textId="721D9613">
        <w:tc>
          <w:tcPr>
            <w:tcW w:w="2153" w:type="dxa"/>
          </w:tcPr>
          <w:p w:rsidRPr="006F0481" w:rsidR="0020110C" w:rsidP="0020110C" w:rsidRDefault="0020110C" w14:paraId="6864FF44" w14:textId="77777777">
            <w:pPr>
              <w:rPr>
                <w:sz w:val="24"/>
                <w:szCs w:val="24"/>
              </w:rPr>
            </w:pPr>
            <w:r w:rsidRPr="006F0481">
              <w:rPr>
                <w:sz w:val="24"/>
                <w:szCs w:val="24"/>
              </w:rPr>
              <w:t>Occupational Employment Statistics</w:t>
            </w:r>
          </w:p>
        </w:tc>
        <w:tc>
          <w:tcPr>
            <w:tcW w:w="1082" w:type="dxa"/>
          </w:tcPr>
          <w:p w:rsidRPr="006F0481" w:rsidR="0020110C" w:rsidP="0020110C" w:rsidRDefault="0020110C" w14:paraId="3B93CD1E" w14:textId="0BD4A567">
            <w:pPr>
              <w:rPr>
                <w:sz w:val="24"/>
                <w:szCs w:val="24"/>
              </w:rPr>
            </w:pPr>
            <w:r>
              <w:rPr>
                <w:sz w:val="24"/>
                <w:szCs w:val="24"/>
              </w:rPr>
              <w:t>Yes</w:t>
            </w:r>
          </w:p>
        </w:tc>
        <w:tc>
          <w:tcPr>
            <w:tcW w:w="1710" w:type="dxa"/>
          </w:tcPr>
          <w:p w:rsidRPr="006F0481" w:rsidR="0020110C" w:rsidP="0020110C" w:rsidRDefault="0020110C" w14:paraId="18DACB44" w14:textId="77DA085A">
            <w:pPr>
              <w:rPr>
                <w:sz w:val="24"/>
                <w:szCs w:val="24"/>
              </w:rPr>
            </w:pPr>
            <w:r>
              <w:rPr>
                <w:sz w:val="24"/>
                <w:szCs w:val="24"/>
              </w:rPr>
              <w:t>Yes</w:t>
            </w:r>
          </w:p>
        </w:tc>
        <w:tc>
          <w:tcPr>
            <w:tcW w:w="4050" w:type="dxa"/>
          </w:tcPr>
          <w:p w:rsidRPr="006F0481" w:rsidR="0020110C" w:rsidP="0020110C" w:rsidRDefault="0020110C" w14:paraId="74134D96" w14:textId="77777777">
            <w:pPr>
              <w:rPr>
                <w:sz w:val="24"/>
                <w:szCs w:val="24"/>
              </w:rPr>
            </w:pPr>
          </w:p>
        </w:tc>
      </w:tr>
      <w:tr w:rsidRPr="006F0481" w:rsidR="00F90F44" w:rsidTr="0020110C" w14:paraId="38525FF6" w14:textId="23031D40">
        <w:tc>
          <w:tcPr>
            <w:tcW w:w="2153" w:type="dxa"/>
          </w:tcPr>
          <w:p w:rsidRPr="006F0481" w:rsidR="0020110C" w:rsidP="0020110C" w:rsidRDefault="0020110C" w14:paraId="2A73D22A" w14:textId="77777777">
            <w:pPr>
              <w:rPr>
                <w:sz w:val="24"/>
                <w:szCs w:val="24"/>
              </w:rPr>
            </w:pPr>
            <w:r w:rsidRPr="006F0481">
              <w:rPr>
                <w:sz w:val="24"/>
                <w:szCs w:val="24"/>
              </w:rPr>
              <w:t>Occupational Safety and Health Statistics</w:t>
            </w:r>
          </w:p>
        </w:tc>
        <w:tc>
          <w:tcPr>
            <w:tcW w:w="1082" w:type="dxa"/>
          </w:tcPr>
          <w:p w:rsidRPr="006F0481" w:rsidR="0020110C" w:rsidP="0020110C" w:rsidRDefault="0020110C" w14:paraId="5CA5E8ED" w14:textId="3F954F97">
            <w:pPr>
              <w:rPr>
                <w:sz w:val="24"/>
                <w:szCs w:val="24"/>
              </w:rPr>
            </w:pPr>
            <w:r>
              <w:rPr>
                <w:sz w:val="24"/>
                <w:szCs w:val="24"/>
              </w:rPr>
              <w:t>Yes</w:t>
            </w:r>
          </w:p>
        </w:tc>
        <w:tc>
          <w:tcPr>
            <w:tcW w:w="1710" w:type="dxa"/>
          </w:tcPr>
          <w:p w:rsidRPr="006F0481" w:rsidR="0020110C" w:rsidP="0020110C" w:rsidRDefault="0020110C" w14:paraId="5A381E1F" w14:textId="5E1B36FD">
            <w:pPr>
              <w:rPr>
                <w:sz w:val="24"/>
                <w:szCs w:val="24"/>
              </w:rPr>
            </w:pPr>
            <w:r>
              <w:rPr>
                <w:sz w:val="24"/>
                <w:szCs w:val="24"/>
              </w:rPr>
              <w:t>Yes</w:t>
            </w:r>
          </w:p>
        </w:tc>
        <w:tc>
          <w:tcPr>
            <w:tcW w:w="4050" w:type="dxa"/>
          </w:tcPr>
          <w:p w:rsidRPr="006F0481" w:rsidR="0020110C" w:rsidP="0020110C" w:rsidRDefault="0020110C" w14:paraId="4985DAC5" w14:textId="77777777">
            <w:pPr>
              <w:rPr>
                <w:sz w:val="24"/>
                <w:szCs w:val="24"/>
              </w:rPr>
            </w:pPr>
          </w:p>
        </w:tc>
      </w:tr>
      <w:tr w:rsidRPr="006F0481" w:rsidR="00F90F44" w:rsidTr="0020110C" w14:paraId="47AAAE97" w14:textId="4387214B">
        <w:tc>
          <w:tcPr>
            <w:tcW w:w="2153" w:type="dxa"/>
          </w:tcPr>
          <w:p w:rsidRPr="006F0481" w:rsidR="0020110C" w:rsidP="0020110C" w:rsidRDefault="0020110C" w14:paraId="4B383DE1" w14:textId="77777777">
            <w:pPr>
              <w:rPr>
                <w:sz w:val="24"/>
                <w:szCs w:val="24"/>
              </w:rPr>
            </w:pPr>
            <w:r w:rsidRPr="006F0481">
              <w:rPr>
                <w:sz w:val="24"/>
                <w:szCs w:val="24"/>
              </w:rPr>
              <w:t>Local Area Unemployment Statistics</w:t>
            </w:r>
          </w:p>
        </w:tc>
        <w:tc>
          <w:tcPr>
            <w:tcW w:w="1082" w:type="dxa"/>
          </w:tcPr>
          <w:p w:rsidRPr="006F0481" w:rsidR="0020110C" w:rsidP="0020110C" w:rsidRDefault="0020110C" w14:paraId="7C245978" w14:textId="4B63E5D1">
            <w:pPr>
              <w:rPr>
                <w:sz w:val="24"/>
                <w:szCs w:val="24"/>
              </w:rPr>
            </w:pPr>
            <w:r>
              <w:rPr>
                <w:sz w:val="24"/>
                <w:szCs w:val="24"/>
              </w:rPr>
              <w:t>No</w:t>
            </w:r>
          </w:p>
        </w:tc>
        <w:tc>
          <w:tcPr>
            <w:tcW w:w="1710" w:type="dxa"/>
          </w:tcPr>
          <w:p w:rsidRPr="006F0481" w:rsidR="0020110C" w:rsidP="0020110C" w:rsidRDefault="0020110C" w14:paraId="3147536D" w14:textId="1777D76C">
            <w:pPr>
              <w:rPr>
                <w:sz w:val="24"/>
                <w:szCs w:val="24"/>
              </w:rPr>
            </w:pPr>
            <w:r>
              <w:rPr>
                <w:sz w:val="24"/>
                <w:szCs w:val="24"/>
              </w:rPr>
              <w:t>No</w:t>
            </w:r>
          </w:p>
        </w:tc>
        <w:tc>
          <w:tcPr>
            <w:tcW w:w="4050" w:type="dxa"/>
          </w:tcPr>
          <w:p w:rsidRPr="006F0481" w:rsidR="0020110C" w:rsidP="00142E60" w:rsidRDefault="00142E60" w14:paraId="32151463" w14:textId="4C9605A1">
            <w:pPr>
              <w:rPr>
                <w:sz w:val="24"/>
                <w:szCs w:val="24"/>
              </w:rPr>
            </w:pPr>
            <w:r>
              <w:rPr>
                <w:sz w:val="24"/>
                <w:szCs w:val="24"/>
              </w:rPr>
              <w:t xml:space="preserve">QCEW and CES employment is used to create </w:t>
            </w:r>
            <w:proofErr w:type="spellStart"/>
            <w:r>
              <w:rPr>
                <w:sz w:val="24"/>
                <w:szCs w:val="24"/>
              </w:rPr>
              <w:t>substate</w:t>
            </w:r>
            <w:proofErr w:type="spellEnd"/>
            <w:r>
              <w:rPr>
                <w:sz w:val="24"/>
                <w:szCs w:val="24"/>
              </w:rPr>
              <w:t xml:space="preserve"> employment estimates using the Handbook method. </w:t>
            </w:r>
          </w:p>
        </w:tc>
      </w:tr>
      <w:tr w:rsidRPr="006F0481" w:rsidR="00F90F44" w:rsidTr="0020110C" w14:paraId="530A2092" w14:textId="6B9B10EA">
        <w:tc>
          <w:tcPr>
            <w:tcW w:w="2153" w:type="dxa"/>
          </w:tcPr>
          <w:p w:rsidRPr="006F0481" w:rsidR="0020110C" w:rsidP="0020110C" w:rsidRDefault="0020110C" w14:paraId="79F8A620" w14:textId="77777777">
            <w:pPr>
              <w:rPr>
                <w:sz w:val="24"/>
                <w:szCs w:val="24"/>
              </w:rPr>
            </w:pPr>
            <w:r w:rsidRPr="006F0481">
              <w:rPr>
                <w:sz w:val="24"/>
                <w:szCs w:val="24"/>
              </w:rPr>
              <w:lastRenderedPageBreak/>
              <w:t>National Compensation Survey</w:t>
            </w:r>
          </w:p>
        </w:tc>
        <w:tc>
          <w:tcPr>
            <w:tcW w:w="1082" w:type="dxa"/>
          </w:tcPr>
          <w:p w:rsidRPr="006F0481" w:rsidR="0020110C" w:rsidP="00BD0038" w:rsidRDefault="00BD0038" w14:paraId="4201E9E5" w14:textId="234505BD">
            <w:pPr>
              <w:rPr>
                <w:sz w:val="24"/>
                <w:szCs w:val="24"/>
              </w:rPr>
            </w:pPr>
            <w:r>
              <w:rPr>
                <w:sz w:val="24"/>
                <w:szCs w:val="24"/>
              </w:rPr>
              <w:t>Yes</w:t>
            </w:r>
          </w:p>
        </w:tc>
        <w:tc>
          <w:tcPr>
            <w:tcW w:w="1710" w:type="dxa"/>
          </w:tcPr>
          <w:p w:rsidRPr="006F0481" w:rsidR="0020110C" w:rsidP="0020110C" w:rsidRDefault="00BD0038" w14:paraId="0ED3A58E" w14:textId="7B125468">
            <w:pPr>
              <w:rPr>
                <w:sz w:val="24"/>
                <w:szCs w:val="24"/>
              </w:rPr>
            </w:pPr>
            <w:r>
              <w:rPr>
                <w:sz w:val="24"/>
                <w:szCs w:val="24"/>
              </w:rPr>
              <w:t>Yes, employment weights are benchmarked to QCEW</w:t>
            </w:r>
          </w:p>
        </w:tc>
        <w:tc>
          <w:tcPr>
            <w:tcW w:w="4050" w:type="dxa"/>
          </w:tcPr>
          <w:p w:rsidRPr="006F0481" w:rsidR="0020110C" w:rsidP="0020110C" w:rsidRDefault="0020110C" w14:paraId="36E4CC02" w14:textId="77777777">
            <w:pPr>
              <w:rPr>
                <w:sz w:val="24"/>
                <w:szCs w:val="24"/>
              </w:rPr>
            </w:pPr>
          </w:p>
        </w:tc>
      </w:tr>
      <w:tr w:rsidRPr="006F0481" w:rsidR="00F90F44" w:rsidTr="0020110C" w14:paraId="2BC4725C" w14:textId="3ABD2846">
        <w:tc>
          <w:tcPr>
            <w:tcW w:w="2153" w:type="dxa"/>
          </w:tcPr>
          <w:p w:rsidRPr="006F0481" w:rsidR="0020110C" w:rsidP="0020110C" w:rsidRDefault="0020110C" w14:paraId="4690601F" w14:textId="77777777">
            <w:pPr>
              <w:rPr>
                <w:sz w:val="24"/>
                <w:szCs w:val="24"/>
              </w:rPr>
            </w:pPr>
            <w:r w:rsidRPr="006F0481">
              <w:rPr>
                <w:sz w:val="24"/>
                <w:szCs w:val="24"/>
              </w:rPr>
              <w:t>Industrial Prices</w:t>
            </w:r>
          </w:p>
        </w:tc>
        <w:tc>
          <w:tcPr>
            <w:tcW w:w="1082" w:type="dxa"/>
          </w:tcPr>
          <w:p w:rsidRPr="006F0481" w:rsidR="0020110C" w:rsidP="0020110C" w:rsidRDefault="00142E60" w14:paraId="11259CEA" w14:textId="179AC511">
            <w:pPr>
              <w:rPr>
                <w:sz w:val="24"/>
                <w:szCs w:val="24"/>
              </w:rPr>
            </w:pPr>
            <w:r>
              <w:rPr>
                <w:sz w:val="24"/>
                <w:szCs w:val="24"/>
              </w:rPr>
              <w:t>Yes</w:t>
            </w:r>
          </w:p>
        </w:tc>
        <w:tc>
          <w:tcPr>
            <w:tcW w:w="1710" w:type="dxa"/>
          </w:tcPr>
          <w:p w:rsidRPr="006F0481" w:rsidR="0020110C" w:rsidP="0020110C" w:rsidRDefault="00142E60" w14:paraId="0156771C" w14:textId="00BF0029">
            <w:pPr>
              <w:rPr>
                <w:sz w:val="24"/>
                <w:szCs w:val="24"/>
              </w:rPr>
            </w:pPr>
            <w:r>
              <w:rPr>
                <w:sz w:val="24"/>
                <w:szCs w:val="24"/>
              </w:rPr>
              <w:t>No</w:t>
            </w:r>
          </w:p>
        </w:tc>
        <w:tc>
          <w:tcPr>
            <w:tcW w:w="4050" w:type="dxa"/>
          </w:tcPr>
          <w:p w:rsidRPr="006F0481" w:rsidR="0020110C" w:rsidP="0020110C" w:rsidRDefault="0020110C" w14:paraId="05BEE75D" w14:textId="77777777">
            <w:pPr>
              <w:rPr>
                <w:sz w:val="24"/>
                <w:szCs w:val="24"/>
              </w:rPr>
            </w:pPr>
          </w:p>
        </w:tc>
      </w:tr>
      <w:tr w:rsidRPr="006F0481" w:rsidR="00F90F44" w:rsidTr="0020110C" w14:paraId="584FB830" w14:textId="376655D9">
        <w:tc>
          <w:tcPr>
            <w:tcW w:w="2153" w:type="dxa"/>
          </w:tcPr>
          <w:p w:rsidRPr="006F0481" w:rsidR="0020110C" w:rsidP="0020110C" w:rsidRDefault="0020110C" w14:paraId="2A63F8E2" w14:textId="77777777">
            <w:pPr>
              <w:rPr>
                <w:sz w:val="24"/>
                <w:szCs w:val="24"/>
              </w:rPr>
            </w:pPr>
            <w:r w:rsidRPr="006F0481">
              <w:rPr>
                <w:sz w:val="24"/>
                <w:szCs w:val="24"/>
              </w:rPr>
              <w:t>Consumer Prices</w:t>
            </w:r>
            <w:r w:rsidRPr="006F0481">
              <w:rPr>
                <w:sz w:val="24"/>
                <w:szCs w:val="24"/>
              </w:rPr>
              <w:br/>
            </w:r>
          </w:p>
        </w:tc>
        <w:tc>
          <w:tcPr>
            <w:tcW w:w="1082" w:type="dxa"/>
          </w:tcPr>
          <w:p w:rsidRPr="006F0481" w:rsidR="0020110C" w:rsidP="0020110C" w:rsidRDefault="00BD0038" w14:paraId="332AE0DD" w14:textId="345BC2F7">
            <w:pPr>
              <w:rPr>
                <w:sz w:val="24"/>
                <w:szCs w:val="24"/>
              </w:rPr>
            </w:pPr>
            <w:r>
              <w:rPr>
                <w:sz w:val="24"/>
                <w:szCs w:val="24"/>
              </w:rPr>
              <w:t>No</w:t>
            </w:r>
          </w:p>
        </w:tc>
        <w:tc>
          <w:tcPr>
            <w:tcW w:w="1710" w:type="dxa"/>
          </w:tcPr>
          <w:p w:rsidRPr="006F0481" w:rsidR="0020110C" w:rsidP="0020110C" w:rsidRDefault="00BD0038" w14:paraId="1DFF923D" w14:textId="0EB17151">
            <w:pPr>
              <w:rPr>
                <w:sz w:val="24"/>
                <w:szCs w:val="24"/>
              </w:rPr>
            </w:pPr>
            <w:r>
              <w:rPr>
                <w:sz w:val="24"/>
                <w:szCs w:val="24"/>
              </w:rPr>
              <w:t>No</w:t>
            </w:r>
          </w:p>
        </w:tc>
        <w:tc>
          <w:tcPr>
            <w:tcW w:w="4050" w:type="dxa"/>
          </w:tcPr>
          <w:p w:rsidRPr="00496158" w:rsidR="0020110C" w:rsidP="0020110C" w:rsidRDefault="00BD0038" w14:paraId="6BF834E1" w14:textId="07A06F63">
            <w:pPr>
              <w:rPr>
                <w:sz w:val="24"/>
                <w:szCs w:val="24"/>
              </w:rPr>
            </w:pPr>
            <w:r w:rsidRPr="00C72CEA">
              <w:rPr>
                <w:color w:val="333333"/>
                <w:sz w:val="24"/>
                <w:szCs w:val="24"/>
                <w:shd w:val="clear" w:color="auto" w:fill="FFFFFF"/>
              </w:rPr>
              <w:t>CPI plans to refine the location and address data reported in the CE by comparing the household reported data to establishments in the </w:t>
            </w:r>
            <w:hyperlink w:history="1" r:id="rId11">
              <w:r w:rsidRPr="00C72CEA">
                <w:rPr>
                  <w:rStyle w:val="Hyperlink"/>
                  <w:color w:val="396E9B"/>
                  <w:sz w:val="24"/>
                  <w:szCs w:val="24"/>
                  <w:shd w:val="clear" w:color="auto" w:fill="FFFFFF"/>
                </w:rPr>
                <w:t>Quarterly Census of Employment and Wages</w:t>
              </w:r>
            </w:hyperlink>
            <w:r w:rsidRPr="00C72CEA">
              <w:rPr>
                <w:color w:val="333333"/>
                <w:sz w:val="24"/>
                <w:szCs w:val="24"/>
                <w:shd w:val="clear" w:color="auto" w:fill="FFFFFF"/>
              </w:rPr>
              <w:t> (QCEW) business registry.</w:t>
            </w:r>
          </w:p>
        </w:tc>
      </w:tr>
    </w:tbl>
    <w:p w:rsidRPr="00025806" w:rsidR="009E4A62" w:rsidP="00025806" w:rsidRDefault="009E4A62" w14:paraId="48DCE5C2" w14:textId="10A8912E">
      <w:pPr>
        <w:ind w:left="360"/>
        <w:rPr>
          <w:sz w:val="24"/>
          <w:szCs w:val="24"/>
        </w:rPr>
      </w:pPr>
    </w:p>
    <w:p w:rsidRPr="00731675" w:rsidR="00480188" w:rsidP="00326E7B" w:rsidRDefault="00480188" w14:paraId="5D67100D" w14:textId="77777777">
      <w:pPr>
        <w:spacing w:after="160" w:line="259" w:lineRule="auto"/>
        <w:rPr>
          <w:sz w:val="24"/>
          <w:szCs w:val="24"/>
        </w:rPr>
      </w:pPr>
    </w:p>
    <w:sectPr w:rsidRPr="00731675" w:rsidR="00480188">
      <w:footerReference w:type="default" r:id="rId12"/>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EA05C" w14:textId="77777777" w:rsidR="005E6183" w:rsidRDefault="005E6183" w:rsidP="005E6183">
      <w:r>
        <w:separator/>
      </w:r>
    </w:p>
  </w:endnote>
  <w:endnote w:type="continuationSeparator" w:id="0">
    <w:p w14:paraId="5C31E818" w14:textId="77777777" w:rsidR="005E6183" w:rsidRDefault="005E6183" w:rsidP="005E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16172"/>
      <w:docPartObj>
        <w:docPartGallery w:val="Page Numbers (Bottom of Page)"/>
        <w:docPartUnique/>
      </w:docPartObj>
    </w:sdtPr>
    <w:sdtEndPr>
      <w:rPr>
        <w:noProof/>
      </w:rPr>
    </w:sdtEndPr>
    <w:sdtContent>
      <w:p w14:paraId="014C2BA3" w14:textId="4F8C1F80" w:rsidR="005E6183" w:rsidRDefault="005E6183">
        <w:pPr>
          <w:pStyle w:val="Footer"/>
          <w:jc w:val="center"/>
        </w:pPr>
        <w:r>
          <w:fldChar w:fldCharType="begin"/>
        </w:r>
        <w:r>
          <w:instrText xml:space="preserve"> PAGE   \* MERGEFORMAT </w:instrText>
        </w:r>
        <w:r>
          <w:fldChar w:fldCharType="separate"/>
        </w:r>
        <w:r w:rsidR="00667702">
          <w:rPr>
            <w:noProof/>
          </w:rPr>
          <w:t>5</w:t>
        </w:r>
        <w:r>
          <w:rPr>
            <w:noProof/>
          </w:rPr>
          <w:fldChar w:fldCharType="end"/>
        </w:r>
      </w:p>
    </w:sdtContent>
  </w:sdt>
  <w:p w14:paraId="6752E5D4" w14:textId="77777777" w:rsidR="005E6183" w:rsidRDefault="005E61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925BD" w14:textId="77777777" w:rsidR="005E6183" w:rsidRDefault="005E6183" w:rsidP="005E6183">
      <w:r>
        <w:separator/>
      </w:r>
    </w:p>
  </w:footnote>
  <w:footnote w:type="continuationSeparator" w:id="0">
    <w:p w14:paraId="74670975" w14:textId="77777777" w:rsidR="005E6183" w:rsidRDefault="005E6183" w:rsidP="005E61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329DC"/>
    <w:multiLevelType w:val="hybridMultilevel"/>
    <w:tmpl w:val="6F384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24AB0"/>
    <w:multiLevelType w:val="hybridMultilevel"/>
    <w:tmpl w:val="1D04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8A5DB1"/>
    <w:multiLevelType w:val="hybridMultilevel"/>
    <w:tmpl w:val="54C0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B85000"/>
    <w:multiLevelType w:val="hybridMultilevel"/>
    <w:tmpl w:val="92D8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2B0"/>
    <w:rsid w:val="0002371E"/>
    <w:rsid w:val="00025806"/>
    <w:rsid w:val="00034DE0"/>
    <w:rsid w:val="00085BE0"/>
    <w:rsid w:val="000939C4"/>
    <w:rsid w:val="000A4BCD"/>
    <w:rsid w:val="000A53C7"/>
    <w:rsid w:val="000D5501"/>
    <w:rsid w:val="000D5ABD"/>
    <w:rsid w:val="00142E60"/>
    <w:rsid w:val="00153FB5"/>
    <w:rsid w:val="00200880"/>
    <w:rsid w:val="0020110C"/>
    <w:rsid w:val="00217A1A"/>
    <w:rsid w:val="00257FCC"/>
    <w:rsid w:val="00286B4B"/>
    <w:rsid w:val="002C0306"/>
    <w:rsid w:val="002D0A06"/>
    <w:rsid w:val="002D47E3"/>
    <w:rsid w:val="002E2342"/>
    <w:rsid w:val="002F1D10"/>
    <w:rsid w:val="00314FF8"/>
    <w:rsid w:val="00326E7B"/>
    <w:rsid w:val="00340373"/>
    <w:rsid w:val="00341B41"/>
    <w:rsid w:val="00363EB8"/>
    <w:rsid w:val="00364B14"/>
    <w:rsid w:val="003A35D4"/>
    <w:rsid w:val="003C270D"/>
    <w:rsid w:val="003E2731"/>
    <w:rsid w:val="00436378"/>
    <w:rsid w:val="00461A0E"/>
    <w:rsid w:val="00480188"/>
    <w:rsid w:val="00496158"/>
    <w:rsid w:val="00527BDB"/>
    <w:rsid w:val="00533D3E"/>
    <w:rsid w:val="005B3024"/>
    <w:rsid w:val="005E6183"/>
    <w:rsid w:val="005F3810"/>
    <w:rsid w:val="00603168"/>
    <w:rsid w:val="00615A18"/>
    <w:rsid w:val="00615E89"/>
    <w:rsid w:val="00632CF8"/>
    <w:rsid w:val="00645F64"/>
    <w:rsid w:val="00646036"/>
    <w:rsid w:val="00662E2D"/>
    <w:rsid w:val="00667702"/>
    <w:rsid w:val="006D2A7A"/>
    <w:rsid w:val="006D2C30"/>
    <w:rsid w:val="006D7E74"/>
    <w:rsid w:val="006E6F88"/>
    <w:rsid w:val="0070133F"/>
    <w:rsid w:val="0070423D"/>
    <w:rsid w:val="0071547E"/>
    <w:rsid w:val="007214CF"/>
    <w:rsid w:val="007230B8"/>
    <w:rsid w:val="00731675"/>
    <w:rsid w:val="00751BE0"/>
    <w:rsid w:val="00774B7D"/>
    <w:rsid w:val="007A566D"/>
    <w:rsid w:val="007C4167"/>
    <w:rsid w:val="007F0B3D"/>
    <w:rsid w:val="00836BF8"/>
    <w:rsid w:val="0084026D"/>
    <w:rsid w:val="00842DAD"/>
    <w:rsid w:val="008A2C6A"/>
    <w:rsid w:val="008D0E25"/>
    <w:rsid w:val="009256E5"/>
    <w:rsid w:val="00942E4C"/>
    <w:rsid w:val="009E4A62"/>
    <w:rsid w:val="00A12555"/>
    <w:rsid w:val="00AA22B0"/>
    <w:rsid w:val="00AC4FC5"/>
    <w:rsid w:val="00B74BA9"/>
    <w:rsid w:val="00B92F6B"/>
    <w:rsid w:val="00B93047"/>
    <w:rsid w:val="00BC5402"/>
    <w:rsid w:val="00BD0038"/>
    <w:rsid w:val="00C4273C"/>
    <w:rsid w:val="00C65200"/>
    <w:rsid w:val="00C72CEA"/>
    <w:rsid w:val="00C75EBC"/>
    <w:rsid w:val="00D463A0"/>
    <w:rsid w:val="00D610CD"/>
    <w:rsid w:val="00D70D2D"/>
    <w:rsid w:val="00D76F4F"/>
    <w:rsid w:val="00DE399E"/>
    <w:rsid w:val="00E00E08"/>
    <w:rsid w:val="00EB3321"/>
    <w:rsid w:val="00EB6857"/>
    <w:rsid w:val="00EF046A"/>
    <w:rsid w:val="00EF2E60"/>
    <w:rsid w:val="00F02632"/>
    <w:rsid w:val="00F12024"/>
    <w:rsid w:val="00F15B8E"/>
    <w:rsid w:val="00F309E2"/>
    <w:rsid w:val="00F75358"/>
    <w:rsid w:val="00F90305"/>
    <w:rsid w:val="00F90F44"/>
    <w:rsid w:val="00F91E64"/>
    <w:rsid w:val="00FB7620"/>
    <w:rsid w:val="00FC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CB782"/>
  <w15:chartTrackingRefBased/>
  <w15:docId w15:val="{BF13B899-FF1A-4C42-A39A-7EBADA7A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2B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A22B0"/>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2B0"/>
    <w:rPr>
      <w:rFonts w:ascii="Courier New" w:eastAsia="Times New Roman" w:hAnsi="Courier New" w:cs="Times New Roman"/>
      <w:b/>
      <w:sz w:val="24"/>
      <w:szCs w:val="20"/>
    </w:rPr>
  </w:style>
  <w:style w:type="character" w:styleId="Hyperlink">
    <w:name w:val="Hyperlink"/>
    <w:basedOn w:val="DefaultParagraphFont"/>
    <w:uiPriority w:val="99"/>
    <w:unhideWhenUsed/>
    <w:rsid w:val="00AA22B0"/>
    <w:rPr>
      <w:color w:val="0563C1" w:themeColor="hyperlink"/>
      <w:u w:val="single"/>
    </w:rPr>
  </w:style>
  <w:style w:type="paragraph" w:styleId="NormalWeb">
    <w:name w:val="Normal (Web)"/>
    <w:basedOn w:val="Normal"/>
    <w:uiPriority w:val="99"/>
    <w:semiHidden/>
    <w:unhideWhenUsed/>
    <w:rsid w:val="00632CF8"/>
    <w:pPr>
      <w:spacing w:before="100" w:beforeAutospacing="1" w:after="100" w:afterAutospacing="1"/>
    </w:pPr>
    <w:rPr>
      <w:rFonts w:eastAsiaTheme="minorHAnsi"/>
      <w:sz w:val="24"/>
      <w:szCs w:val="24"/>
    </w:rPr>
  </w:style>
  <w:style w:type="character" w:styleId="FollowedHyperlink">
    <w:name w:val="FollowedHyperlink"/>
    <w:basedOn w:val="DefaultParagraphFont"/>
    <w:uiPriority w:val="99"/>
    <w:semiHidden/>
    <w:unhideWhenUsed/>
    <w:rsid w:val="00646036"/>
    <w:rPr>
      <w:color w:val="954F72" w:themeColor="followedHyperlink"/>
      <w:u w:val="single"/>
    </w:rPr>
  </w:style>
  <w:style w:type="paragraph" w:styleId="BalloonText">
    <w:name w:val="Balloon Text"/>
    <w:basedOn w:val="Normal"/>
    <w:link w:val="BalloonTextChar"/>
    <w:uiPriority w:val="99"/>
    <w:semiHidden/>
    <w:unhideWhenUsed/>
    <w:rsid w:val="00314F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FF8"/>
    <w:rPr>
      <w:rFonts w:ascii="Segoe UI" w:eastAsia="Times New Roman" w:hAnsi="Segoe UI" w:cs="Segoe UI"/>
      <w:sz w:val="18"/>
      <w:szCs w:val="18"/>
    </w:rPr>
  </w:style>
  <w:style w:type="paragraph" w:styleId="ListParagraph">
    <w:name w:val="List Paragraph"/>
    <w:basedOn w:val="Normal"/>
    <w:uiPriority w:val="34"/>
    <w:qFormat/>
    <w:rsid w:val="00731675"/>
    <w:pPr>
      <w:ind w:left="720"/>
      <w:contextualSpacing/>
    </w:pPr>
  </w:style>
  <w:style w:type="character" w:styleId="CommentReference">
    <w:name w:val="annotation reference"/>
    <w:basedOn w:val="DefaultParagraphFont"/>
    <w:uiPriority w:val="99"/>
    <w:semiHidden/>
    <w:unhideWhenUsed/>
    <w:rsid w:val="00AC4FC5"/>
    <w:rPr>
      <w:sz w:val="16"/>
      <w:szCs w:val="16"/>
    </w:rPr>
  </w:style>
  <w:style w:type="paragraph" w:styleId="CommentText">
    <w:name w:val="annotation text"/>
    <w:basedOn w:val="Normal"/>
    <w:link w:val="CommentTextChar"/>
    <w:uiPriority w:val="99"/>
    <w:semiHidden/>
    <w:unhideWhenUsed/>
    <w:rsid w:val="00AC4FC5"/>
  </w:style>
  <w:style w:type="character" w:customStyle="1" w:styleId="CommentTextChar">
    <w:name w:val="Comment Text Char"/>
    <w:basedOn w:val="DefaultParagraphFont"/>
    <w:link w:val="CommentText"/>
    <w:uiPriority w:val="99"/>
    <w:semiHidden/>
    <w:rsid w:val="00AC4F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4FC5"/>
    <w:rPr>
      <w:b/>
      <w:bCs/>
    </w:rPr>
  </w:style>
  <w:style w:type="character" w:customStyle="1" w:styleId="CommentSubjectChar">
    <w:name w:val="Comment Subject Char"/>
    <w:basedOn w:val="CommentTextChar"/>
    <w:link w:val="CommentSubject"/>
    <w:uiPriority w:val="99"/>
    <w:semiHidden/>
    <w:rsid w:val="00AC4FC5"/>
    <w:rPr>
      <w:rFonts w:ascii="Times New Roman" w:eastAsia="Times New Roman" w:hAnsi="Times New Roman" w:cs="Times New Roman"/>
      <w:b/>
      <w:bCs/>
      <w:sz w:val="20"/>
      <w:szCs w:val="20"/>
    </w:rPr>
  </w:style>
  <w:style w:type="paragraph" w:styleId="Revision">
    <w:name w:val="Revision"/>
    <w:hidden/>
    <w:uiPriority w:val="99"/>
    <w:semiHidden/>
    <w:rsid w:val="00942E4C"/>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39"/>
    <w:rsid w:val="00942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6183"/>
    <w:pPr>
      <w:tabs>
        <w:tab w:val="center" w:pos="4680"/>
        <w:tab w:val="right" w:pos="9360"/>
      </w:tabs>
    </w:pPr>
  </w:style>
  <w:style w:type="character" w:customStyle="1" w:styleId="HeaderChar">
    <w:name w:val="Header Char"/>
    <w:basedOn w:val="DefaultParagraphFont"/>
    <w:link w:val="Header"/>
    <w:uiPriority w:val="99"/>
    <w:rsid w:val="005E618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E6183"/>
    <w:pPr>
      <w:tabs>
        <w:tab w:val="center" w:pos="4680"/>
        <w:tab w:val="right" w:pos="9360"/>
      </w:tabs>
    </w:pPr>
  </w:style>
  <w:style w:type="character" w:customStyle="1" w:styleId="FooterChar">
    <w:name w:val="Footer Char"/>
    <w:basedOn w:val="DefaultParagraphFont"/>
    <w:link w:val="Footer"/>
    <w:uiPriority w:val="99"/>
    <w:rsid w:val="005E618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34115">
      <w:bodyDiv w:val="1"/>
      <w:marLeft w:val="0"/>
      <w:marRight w:val="0"/>
      <w:marTop w:val="0"/>
      <w:marBottom w:val="0"/>
      <w:divBdr>
        <w:top w:val="none" w:sz="0" w:space="0" w:color="auto"/>
        <w:left w:val="none" w:sz="0" w:space="0" w:color="auto"/>
        <w:bottom w:val="none" w:sz="0" w:space="0" w:color="auto"/>
        <w:right w:val="none" w:sz="0" w:space="0" w:color="auto"/>
      </w:divBdr>
    </w:div>
    <w:div w:id="1071733857">
      <w:bodyDiv w:val="1"/>
      <w:marLeft w:val="0"/>
      <w:marRight w:val="0"/>
      <w:marTop w:val="0"/>
      <w:marBottom w:val="0"/>
      <w:divBdr>
        <w:top w:val="none" w:sz="0" w:space="0" w:color="auto"/>
        <w:left w:val="none" w:sz="0" w:space="0" w:color="auto"/>
        <w:bottom w:val="none" w:sz="0" w:space="0" w:color="auto"/>
        <w:right w:val="none" w:sz="0" w:space="0" w:color="auto"/>
      </w:divBdr>
    </w:div>
    <w:div w:id="163849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smr/research-papers/2009/st09009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cew/home.htm" TargetMode="External"/><Relationship Id="rId5" Type="http://schemas.openxmlformats.org/officeDocument/2006/relationships/webSettings" Target="webSettings.xml"/><Relationship Id="rId10" Type="http://schemas.openxmlformats.org/officeDocument/2006/relationships/hyperlink" Target="https://www.bls.gov/cew/additional-resources/imputation-methodology.htm" TargetMode="External"/><Relationship Id="rId4" Type="http://schemas.openxmlformats.org/officeDocument/2006/relationships/settings" Target="settings.xml"/><Relationship Id="rId9" Type="http://schemas.openxmlformats.org/officeDocument/2006/relationships/hyperlink" Target="https://www.bls.gov/news.release/archives/cewqtr_0819202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F2591-D41E-4662-A70A-7FFB83532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Hiles, David - BLS</dc:creator>
  <cp:keywords/>
  <dc:description/>
  <cp:lastModifiedBy>Rowan, Carol - BLS</cp:lastModifiedBy>
  <cp:revision>5</cp:revision>
  <dcterms:created xsi:type="dcterms:W3CDTF">2020-12-01T16:54:00Z</dcterms:created>
  <dcterms:modified xsi:type="dcterms:W3CDTF">2020-12-01T16:57:00Z</dcterms:modified>
</cp:coreProperties>
</file>