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77F1" w:rsidR="00ED1A54" w:rsidP="004C7A18" w:rsidRDefault="002845DC">
      <w:pPr>
        <w:jc w:val="center"/>
        <w:rPr>
          <w:rFonts w:ascii="Times New (W1)" w:hAnsi="Times New (W1)"/>
          <w:b/>
          <w:bCs/>
          <w:caps/>
        </w:rPr>
      </w:pPr>
      <w:r>
        <w:rPr>
          <w:rFonts w:ascii="Times New (W1)" w:hAnsi="Times New (W1)"/>
          <w:b/>
          <w:bCs/>
        </w:rPr>
        <w:t>Supporting Statement f</w:t>
      </w:r>
      <w:r w:rsidRPr="00B63E83">
        <w:rPr>
          <w:rFonts w:ascii="Times New (W1)" w:hAnsi="Times New (W1)"/>
          <w:b/>
          <w:bCs/>
        </w:rPr>
        <w:t>or</w:t>
      </w:r>
    </w:p>
    <w:p w:rsidR="004C7A18" w:rsidP="004C7A18" w:rsidRDefault="0083559C">
      <w:pPr>
        <w:jc w:val="center"/>
        <w:rPr>
          <w:b/>
          <w:bCs/>
        </w:rPr>
      </w:pPr>
      <w:r>
        <w:rPr>
          <w:b/>
          <w:bCs/>
        </w:rPr>
        <w:t>Redetermination o</w:t>
      </w:r>
      <w:r w:rsidR="00A55591">
        <w:rPr>
          <w:b/>
          <w:bCs/>
        </w:rPr>
        <w:t xml:space="preserve">f Eligibility for Extra Help </w:t>
      </w:r>
    </w:p>
    <w:p w:rsidR="000E62EC" w:rsidP="004C7A18" w:rsidRDefault="004C7A18">
      <w:pPr>
        <w:jc w:val="center"/>
        <w:rPr>
          <w:rFonts w:ascii="Times New (W1)" w:hAnsi="Times New (W1)"/>
          <w:b/>
          <w:bCs/>
        </w:rPr>
      </w:pPr>
      <w:r>
        <w:rPr>
          <w:b/>
          <w:bCs/>
        </w:rPr>
        <w:t>W</w:t>
      </w:r>
      <w:r w:rsidR="002845DC">
        <w:rPr>
          <w:b/>
          <w:bCs/>
        </w:rPr>
        <w:t>ith</w:t>
      </w:r>
      <w:r>
        <w:rPr>
          <w:b/>
          <w:bCs/>
        </w:rPr>
        <w:t xml:space="preserve"> </w:t>
      </w:r>
      <w:r w:rsidR="002845DC">
        <w:rPr>
          <w:b/>
          <w:bCs/>
        </w:rPr>
        <w:t>Medicare Prescription Drug Plan Costs</w:t>
      </w:r>
    </w:p>
    <w:p w:rsidR="009E77F1" w:rsidP="004C7A18" w:rsidRDefault="0083559C">
      <w:pPr>
        <w:jc w:val="center"/>
        <w:rPr>
          <w:rFonts w:ascii="Times New (W1)" w:hAnsi="Times New (W1)"/>
          <w:b/>
          <w:bCs/>
        </w:rPr>
      </w:pPr>
      <w:r>
        <w:rPr>
          <w:rFonts w:ascii="Times New (W1)" w:hAnsi="Times New (W1)"/>
          <w:b/>
          <w:bCs/>
        </w:rPr>
        <w:t>Forms SSA-1026-REDE</w:t>
      </w:r>
    </w:p>
    <w:p w:rsidRPr="00F22BAC" w:rsidR="00ED1A54" w:rsidP="004C7A18" w:rsidRDefault="0083559C">
      <w:pPr>
        <w:jc w:val="center"/>
        <w:rPr>
          <w:rFonts w:ascii="Times New (W1)" w:hAnsi="Times New (W1)"/>
          <w:b/>
          <w:bCs/>
          <w:caps/>
        </w:rPr>
      </w:pPr>
      <w:r w:rsidRPr="00F22BAC">
        <w:rPr>
          <w:rFonts w:ascii="Times New (W1)" w:hAnsi="Times New (W1)"/>
          <w:b/>
          <w:bCs/>
        </w:rPr>
        <w:t>(Social Security Administration Review of</w:t>
      </w:r>
      <w:r w:rsidRPr="00F22BAC" w:rsidR="009E77F1">
        <w:rPr>
          <w:rFonts w:ascii="Times New (W1)" w:hAnsi="Times New (W1)"/>
          <w:b/>
          <w:bCs/>
        </w:rPr>
        <w:t xml:space="preserve"> </w:t>
      </w:r>
      <w:r w:rsidRPr="00F22BAC">
        <w:rPr>
          <w:rFonts w:ascii="Times New (W1)" w:hAnsi="Times New (W1)"/>
          <w:b/>
          <w:bCs/>
        </w:rPr>
        <w:t>Your Eligibility for Extra Help)</w:t>
      </w:r>
    </w:p>
    <w:p w:rsidR="0083559C" w:rsidP="004C7A18" w:rsidRDefault="00A55591">
      <w:pPr>
        <w:jc w:val="center"/>
        <w:rPr>
          <w:rFonts w:ascii="Times New (W1)" w:hAnsi="Times New (W1)"/>
          <w:b/>
          <w:bCs/>
          <w:caps/>
        </w:rPr>
      </w:pPr>
      <w:r>
        <w:rPr>
          <w:rFonts w:ascii="Times New (W1)" w:hAnsi="Times New (W1)"/>
          <w:b/>
          <w:bCs/>
        </w:rPr>
        <w:t>And</w:t>
      </w:r>
    </w:p>
    <w:p w:rsidR="009E77F1" w:rsidP="004C7A18" w:rsidRDefault="0083559C">
      <w:pPr>
        <w:jc w:val="center"/>
        <w:rPr>
          <w:rFonts w:ascii="Times New (W1)" w:hAnsi="Times New (W1)"/>
          <w:b/>
          <w:bCs/>
        </w:rPr>
      </w:pPr>
      <w:r>
        <w:rPr>
          <w:rFonts w:ascii="Times New (W1)" w:hAnsi="Times New (W1)"/>
          <w:b/>
          <w:bCs/>
        </w:rPr>
        <w:t>SSA-1026-SCE</w:t>
      </w:r>
    </w:p>
    <w:p w:rsidRPr="00F22BAC" w:rsidR="0083559C" w:rsidP="004C7A18" w:rsidRDefault="0083559C">
      <w:pPr>
        <w:jc w:val="center"/>
        <w:rPr>
          <w:rFonts w:ascii="Times New (W1)" w:hAnsi="Times New (W1)"/>
          <w:b/>
          <w:bCs/>
          <w:caps/>
        </w:rPr>
      </w:pPr>
      <w:r w:rsidRPr="00F22BAC">
        <w:rPr>
          <w:rFonts w:ascii="Times New (W1)" w:hAnsi="Times New (W1)"/>
          <w:b/>
          <w:bCs/>
        </w:rPr>
        <w:t>(Social Security Administration Reporting a Change That May Affect Your Extra Help)</w:t>
      </w:r>
    </w:p>
    <w:p w:rsidR="00912621" w:rsidP="004C7A18" w:rsidRDefault="00912621">
      <w:pPr>
        <w:jc w:val="center"/>
        <w:rPr>
          <w:b/>
          <w:bCs/>
        </w:rPr>
      </w:pPr>
      <w:r>
        <w:rPr>
          <w:b/>
          <w:bCs/>
        </w:rPr>
        <w:t>20 CFR 418.3125</w:t>
      </w:r>
    </w:p>
    <w:p w:rsidR="00D8322E" w:rsidP="004C7A18" w:rsidRDefault="00D8322E">
      <w:pPr>
        <w:jc w:val="center"/>
        <w:rPr>
          <w:b/>
          <w:bCs/>
        </w:rPr>
      </w:pPr>
      <w:r>
        <w:rPr>
          <w:b/>
          <w:bCs/>
        </w:rPr>
        <w:t>OMB No. 0960</w:t>
      </w:r>
      <w:r w:rsidR="000714D0">
        <w:rPr>
          <w:b/>
          <w:bCs/>
        </w:rPr>
        <w:t>-0723</w:t>
      </w:r>
    </w:p>
    <w:p w:rsidR="00D8322E" w:rsidP="00D8322E" w:rsidRDefault="00D8322E">
      <w:pPr>
        <w:rPr>
          <w:b/>
          <w:bCs/>
        </w:rPr>
      </w:pPr>
    </w:p>
    <w:p w:rsidR="00D8322E" w:rsidP="008D6B8A" w:rsidRDefault="00D8322E">
      <w:pPr>
        <w:numPr>
          <w:ilvl w:val="0"/>
          <w:numId w:val="1"/>
        </w:numPr>
        <w:tabs>
          <w:tab w:val="clear" w:pos="1080"/>
          <w:tab w:val="num" w:pos="720"/>
        </w:tabs>
        <w:ind w:left="720" w:hanging="540"/>
      </w:pPr>
      <w:r>
        <w:rPr>
          <w:b/>
          <w:bCs/>
          <w:u w:val="single"/>
        </w:rPr>
        <w:t>Justification</w:t>
      </w:r>
    </w:p>
    <w:p w:rsidR="00D8322E" w:rsidP="00D8322E" w:rsidRDefault="00D8322E">
      <w:pPr>
        <w:ind w:left="360"/>
      </w:pPr>
    </w:p>
    <w:p w:rsidR="00D8322E" w:rsidP="008D6B8A" w:rsidRDefault="007D03F2">
      <w:pPr>
        <w:numPr>
          <w:ilvl w:val="1"/>
          <w:numId w:val="1"/>
        </w:numPr>
        <w:ind w:hanging="720"/>
      </w:pPr>
      <w:r>
        <w:rPr>
          <w:b/>
          <w:bCs/>
        </w:rPr>
        <w:t>Introduction/Authoring Laws and Regulations</w:t>
      </w:r>
    </w:p>
    <w:p w:rsidR="00E72139" w:rsidP="008D6B8A" w:rsidRDefault="00D8322E">
      <w:pPr>
        <w:ind w:left="1440"/>
      </w:pPr>
      <w:r>
        <w:t xml:space="preserve">Section </w:t>
      </w:r>
      <w:r>
        <w:rPr>
          <w:i/>
          <w:iCs/>
        </w:rPr>
        <w:t>1860D-14(a)(3)(A)(iv)(I)</w:t>
      </w:r>
      <w:r w:rsidR="00ED1A54">
        <w:t xml:space="preserve"> </w:t>
      </w:r>
      <w:r>
        <w:t xml:space="preserve">of the </w:t>
      </w:r>
      <w:r w:rsidRPr="00ED1A54">
        <w:rPr>
          <w:i/>
        </w:rPr>
        <w:t xml:space="preserve">Medicare Modernization Act </w:t>
      </w:r>
      <w:r w:rsidR="0015206E">
        <w:rPr>
          <w:i/>
        </w:rPr>
        <w:t xml:space="preserve">(MMA) </w:t>
      </w:r>
      <w:r w:rsidRPr="00ED1A54">
        <w:rPr>
          <w:i/>
        </w:rPr>
        <w:t>of 2003</w:t>
      </w:r>
      <w:r>
        <w:t xml:space="preserve">, as codified in </w:t>
      </w:r>
      <w:r w:rsidR="00F22BAC">
        <w:t>S</w:t>
      </w:r>
      <w:r>
        <w:t xml:space="preserve">ection </w:t>
      </w:r>
      <w:r w:rsidRPr="006B33D7" w:rsidR="006B33D7">
        <w:rPr>
          <w:i/>
          <w:iCs/>
        </w:rPr>
        <w:t>418.3125</w:t>
      </w:r>
      <w:r w:rsidR="006B33D7">
        <w:t xml:space="preserve"> </w:t>
      </w:r>
      <w:r w:rsidRPr="006B33D7">
        <w:t>of</w:t>
      </w:r>
      <w:r>
        <w:t xml:space="preserve"> the </w:t>
      </w:r>
      <w:r>
        <w:rPr>
          <w:i/>
          <w:iCs/>
        </w:rPr>
        <w:t>Code of Federal Regulations</w:t>
      </w:r>
      <w:r>
        <w:t xml:space="preserve">, requires the Social Security Administration (SSA) to conduct low-income subsidy eligibility redeterminations for </w:t>
      </w:r>
      <w:r w:rsidR="00581F4F">
        <w:t>recipients of the Medicare Prescription Drug Plan (Part D) subsidy</w:t>
      </w:r>
      <w:r>
        <w:t>.</w:t>
      </w:r>
      <w:r w:rsidR="00581F4F">
        <w:t xml:space="preserve">  SSA needs forms to collect information from subsidy recipients </w:t>
      </w:r>
      <w:r w:rsidR="002845DC">
        <w:t>so we</w:t>
      </w:r>
      <w:r w:rsidR="004B74D1">
        <w:t xml:space="preserve"> can</w:t>
      </w:r>
      <w:r w:rsidR="00866B98">
        <w:t>:</w:t>
      </w:r>
      <w:r w:rsidR="00581F4F">
        <w:t xml:space="preserve"> </w:t>
      </w:r>
      <w:r w:rsidR="00866B98">
        <w:t xml:space="preserve"> (</w:t>
      </w:r>
      <w:r w:rsidR="004B74D1">
        <w:t xml:space="preserve">1) </w:t>
      </w:r>
      <w:r w:rsidR="00581F4F">
        <w:t>determine if a subsidy redetermination is ne</w:t>
      </w:r>
      <w:r w:rsidR="00A94860">
        <w:t>cessary</w:t>
      </w:r>
      <w:r w:rsidR="00866B98">
        <w:t>,</w:t>
      </w:r>
      <w:r w:rsidR="00581F4F">
        <w:t xml:space="preserve"> and</w:t>
      </w:r>
      <w:r w:rsidR="004B74D1">
        <w:t xml:space="preserve"> </w:t>
      </w:r>
      <w:r w:rsidR="00866B98">
        <w:t>(</w:t>
      </w:r>
      <w:r w:rsidR="004B74D1">
        <w:t>2)</w:t>
      </w:r>
      <w:r w:rsidR="0015206E">
        <w:t> </w:t>
      </w:r>
      <w:r w:rsidR="00581F4F">
        <w:t>conduct the</w:t>
      </w:r>
      <w:r w:rsidR="00E72139">
        <w:t xml:space="preserve"> actual red</w:t>
      </w:r>
      <w:r w:rsidR="002845DC">
        <w:t>etermination.  The agency uses F</w:t>
      </w:r>
      <w:r w:rsidR="00E72139">
        <w:t xml:space="preserve">orms </w:t>
      </w:r>
      <w:r w:rsidR="00581F4F">
        <w:t>SSA-1026-</w:t>
      </w:r>
      <w:r w:rsidR="00470B2A">
        <w:t>REDE</w:t>
      </w:r>
      <w:r w:rsidR="00E72139">
        <w:t xml:space="preserve"> and </w:t>
      </w:r>
      <w:r w:rsidR="00581F4F">
        <w:t>SSA</w:t>
      </w:r>
      <w:r w:rsidR="007455AB">
        <w:noBreakHyphen/>
      </w:r>
      <w:r w:rsidR="00581F4F">
        <w:t>1026</w:t>
      </w:r>
      <w:r w:rsidR="00F22BAC">
        <w:noBreakHyphen/>
      </w:r>
      <w:r w:rsidR="00581F4F">
        <w:t xml:space="preserve">SCE for </w:t>
      </w:r>
      <w:r w:rsidR="00EA216A">
        <w:t>th</w:t>
      </w:r>
      <w:r w:rsidR="00866B98">
        <w:t>e</w:t>
      </w:r>
      <w:r w:rsidR="00EA216A">
        <w:t>se</w:t>
      </w:r>
      <w:r w:rsidR="00BE2C4F">
        <w:t xml:space="preserve"> purposes.</w:t>
      </w:r>
    </w:p>
    <w:p w:rsidR="00581F4F" w:rsidP="008D6B8A" w:rsidRDefault="00581F4F">
      <w:r>
        <w:tab/>
      </w:r>
    </w:p>
    <w:p w:rsidR="00581F4F" w:rsidP="008D6B8A" w:rsidRDefault="007A330D">
      <w:pPr>
        <w:numPr>
          <w:ilvl w:val="1"/>
          <w:numId w:val="1"/>
        </w:numPr>
        <w:ind w:hanging="720"/>
      </w:pPr>
      <w:r>
        <w:rPr>
          <w:b/>
          <w:bCs/>
        </w:rPr>
        <w:t>Description of Collection</w:t>
      </w:r>
    </w:p>
    <w:p w:rsidR="00581F4F" w:rsidP="008D6B8A" w:rsidRDefault="00EA216A">
      <w:pPr>
        <w:ind w:left="1440"/>
      </w:pPr>
      <w:r>
        <w:t xml:space="preserve">Medicare Part D subsidy recipients undergo an eligibility redetermination under two potential circumstances.  </w:t>
      </w:r>
      <w:r w:rsidR="00581F4F">
        <w:t xml:space="preserve">Below is a description of </w:t>
      </w:r>
      <w:r>
        <w:t xml:space="preserve">these scenarios and the </w:t>
      </w:r>
      <w:r w:rsidR="002D787B">
        <w:t>forms SSA uses to collect the necessary information</w:t>
      </w:r>
      <w:r>
        <w:t>.</w:t>
      </w:r>
      <w:r w:rsidR="007A330D">
        <w:t xml:space="preserve">  This</w:t>
      </w:r>
      <w:r w:rsidR="002D787B">
        <w:t xml:space="preserve"> information</w:t>
      </w:r>
      <w:r w:rsidR="007A330D">
        <w:t xml:space="preserve"> collection is mandatory for respondents who wish to continue their Medicare Part D subsidy.</w:t>
      </w:r>
      <w:r w:rsidR="0064568E">
        <w:t xml:space="preserve">  </w:t>
      </w:r>
      <w:r w:rsidR="002D787B">
        <w:t xml:space="preserve">Most often, the respondents either mail in the form, or </w:t>
      </w:r>
      <w:r w:rsidR="0064568E">
        <w:t>SSA employees collect this information</w:t>
      </w:r>
      <w:r w:rsidR="002D787B">
        <w:t xml:space="preserve"> via personal interviews with the recipients</w:t>
      </w:r>
      <w:r w:rsidR="0064568E">
        <w:t>.</w:t>
      </w:r>
    </w:p>
    <w:p w:rsidR="008D6B8A" w:rsidP="008D6B8A" w:rsidRDefault="008D6B8A">
      <w:pPr>
        <w:ind w:left="1440"/>
      </w:pPr>
    </w:p>
    <w:p w:rsidRPr="000C67B7" w:rsidR="000C67B7" w:rsidP="008D6B8A" w:rsidRDefault="000C67B7">
      <w:pPr>
        <w:ind w:left="1440"/>
        <w:rPr>
          <w:b/>
          <w:u w:val="single"/>
        </w:rPr>
      </w:pPr>
      <w:r w:rsidRPr="000C67B7">
        <w:rPr>
          <w:b/>
          <w:u w:val="single"/>
        </w:rPr>
        <w:t>SSA-1026-REDE (Social Security Administration Review of Your Eligibility for Extra Help)</w:t>
      </w:r>
    </w:p>
    <w:p w:rsidR="0083559C" w:rsidP="008D6B8A" w:rsidRDefault="000C67B7">
      <w:pPr>
        <w:ind w:left="1440"/>
        <w:rPr>
          <w:b/>
          <w:bCs/>
          <w:u w:val="single"/>
        </w:rPr>
      </w:pPr>
      <w:r>
        <w:t>Form SSA-1026-REDE is a cyclical redetermination form SSA sends to certain Medicare Part D subsidy recipients whom the system automa</w:t>
      </w:r>
      <w:r w:rsidR="002D787B">
        <w:t>tically selects based on particular</w:t>
      </w:r>
      <w:r>
        <w:t xml:space="preserve"> profile</w:t>
      </w:r>
      <w:r w:rsidR="00560B04">
        <w:t xml:space="preserve"> and </w:t>
      </w:r>
      <w:r>
        <w:t>selection criteria.</w:t>
      </w:r>
      <w:r w:rsidR="0009226D">
        <w:t xml:space="preserve">  Specifically, these are individuals who</w:t>
      </w:r>
      <w:r w:rsidR="00560B04">
        <w:t>:  (</w:t>
      </w:r>
      <w:r>
        <w:t>1) became entitled to the Medicare Part D su</w:t>
      </w:r>
      <w:r w:rsidR="002845DC">
        <w:t>bsidy during the past 12 months;</w:t>
      </w:r>
      <w:r>
        <w:t xml:space="preserve"> </w:t>
      </w:r>
      <w:r w:rsidR="00560B04">
        <w:t>(</w:t>
      </w:r>
      <w:r>
        <w:t>2)</w:t>
      </w:r>
      <w:r w:rsidR="0015206E">
        <w:t> </w:t>
      </w:r>
      <w:r>
        <w:t xml:space="preserve">were eligible for the Part D </w:t>
      </w:r>
      <w:r w:rsidR="002845DC">
        <w:t>subsidy for more than 12 months;</w:t>
      </w:r>
      <w:r>
        <w:t xml:space="preserve"> or </w:t>
      </w:r>
      <w:r w:rsidR="00560B04">
        <w:t>(</w:t>
      </w:r>
      <w:r w:rsidR="002D787B">
        <w:t>3) </w:t>
      </w:r>
      <w:r>
        <w:t xml:space="preserve">reported a change in income, resources, or household size (all factors which could affect subsidy amounts).  </w:t>
      </w:r>
      <w:r w:rsidR="00411BE8">
        <w:t xml:space="preserve">The recipients return the form to the Wilkes-Barre Direct Operations Center.  </w:t>
      </w:r>
      <w:r w:rsidRPr="009400F8" w:rsidR="009400F8">
        <w:t>Recipients may also complete the form in person or by telephone with any SSA field office.</w:t>
      </w:r>
      <w:r w:rsidR="003213D6">
        <w:t xml:space="preserve"> </w:t>
      </w:r>
      <w:r w:rsidRPr="009400F8" w:rsidR="009400F8">
        <w:t xml:space="preserve"> </w:t>
      </w:r>
      <w:r w:rsidR="002D787B">
        <w:t>E</w:t>
      </w:r>
      <w:r w:rsidR="002D787B">
        <w:t xml:space="preserve">ither an SSA </w:t>
      </w:r>
      <w:r w:rsidRPr="00411BE8" w:rsidR="002D787B">
        <w:t>field office</w:t>
      </w:r>
      <w:r w:rsidR="002D787B">
        <w:t xml:space="preserve"> employee</w:t>
      </w:r>
      <w:r w:rsidRPr="00411BE8" w:rsidR="002D787B">
        <w:t xml:space="preserve"> or the Wilkes-Barre Direct Operations Center Subsidy Appeal Unit in the Office of Earnings and International Operations</w:t>
      </w:r>
      <w:r w:rsidR="002D787B">
        <w:t xml:space="preserve"> adjudicate t</w:t>
      </w:r>
      <w:r w:rsidR="00411BE8">
        <w:t xml:space="preserve">he form </w:t>
      </w:r>
      <w:r w:rsidRPr="00411BE8" w:rsidR="00411BE8">
        <w:t>in the Medicare Application Processing S</w:t>
      </w:r>
      <w:r w:rsidR="002D787B">
        <w:t>ystem (MAPS)</w:t>
      </w:r>
      <w:r w:rsidRPr="00411BE8" w:rsidR="00411BE8">
        <w:t>.</w:t>
      </w:r>
    </w:p>
    <w:p w:rsidR="002845DC" w:rsidP="008D6B8A" w:rsidRDefault="002845DC">
      <w:pPr>
        <w:ind w:left="1440"/>
        <w:rPr>
          <w:b/>
          <w:bCs/>
          <w:u w:val="single"/>
        </w:rPr>
      </w:pPr>
    </w:p>
    <w:p w:rsidRPr="00B47A7B" w:rsidR="00B47A7B" w:rsidP="008D6B8A" w:rsidRDefault="00B47A7B">
      <w:pPr>
        <w:ind w:left="1440"/>
        <w:rPr>
          <w:b/>
          <w:u w:val="single"/>
        </w:rPr>
      </w:pPr>
      <w:r>
        <w:rPr>
          <w:b/>
          <w:u w:val="single"/>
        </w:rPr>
        <w:lastRenderedPageBreak/>
        <w:t>SSA-1026-SCE (Social Security Administration -- Reporting a Change That May Affect Your Extra Help)</w:t>
      </w:r>
    </w:p>
    <w:p w:rsidR="00B47A7B" w:rsidP="008D6B8A" w:rsidRDefault="006F2732">
      <w:pPr>
        <w:ind w:left="1440"/>
      </w:pPr>
      <w:r>
        <w:t>SSA uses F</w:t>
      </w:r>
      <w:r w:rsidR="00B47A7B">
        <w:t xml:space="preserve">orm SSA-1026-SCE to conduct subsidy eligibility redeterminations for Part D subsidy beneficiaries who report a potentially subsidy-changing event, including the following: </w:t>
      </w:r>
      <w:r w:rsidR="00560B04">
        <w:t xml:space="preserve"> (</w:t>
      </w:r>
      <w:r w:rsidR="00B47A7B">
        <w:t>1) marriage</w:t>
      </w:r>
      <w:r w:rsidR="00560B04">
        <w:t>; (</w:t>
      </w:r>
      <w:r w:rsidR="00B47A7B">
        <w:t>2) spousal separation</w:t>
      </w:r>
      <w:r w:rsidR="00560B04">
        <w:t>;</w:t>
      </w:r>
      <w:r w:rsidR="00B47A7B">
        <w:t xml:space="preserve"> </w:t>
      </w:r>
      <w:r w:rsidR="00560B04">
        <w:t>(</w:t>
      </w:r>
      <w:r w:rsidR="00B47A7B">
        <w:t>3) divor</w:t>
      </w:r>
      <w:r w:rsidR="008D6B8A">
        <w:t>ce</w:t>
      </w:r>
      <w:r w:rsidR="00560B04">
        <w:t>;</w:t>
      </w:r>
      <w:r w:rsidR="008D6B8A">
        <w:t xml:space="preserve"> </w:t>
      </w:r>
      <w:r w:rsidR="00560B04">
        <w:t>(</w:t>
      </w:r>
      <w:r w:rsidR="008D6B8A">
        <w:t>4)</w:t>
      </w:r>
      <w:r w:rsidR="00560B04">
        <w:t> </w:t>
      </w:r>
      <w:r w:rsidR="008D6B8A">
        <w:t>annulment of a marriage</w:t>
      </w:r>
      <w:r w:rsidR="00560B04">
        <w:t>;</w:t>
      </w:r>
      <w:r w:rsidR="008D6B8A">
        <w:t xml:space="preserve"> </w:t>
      </w:r>
      <w:r w:rsidR="00560B04">
        <w:t>(</w:t>
      </w:r>
      <w:r w:rsidR="00B47A7B">
        <w:t>5) spousal death</w:t>
      </w:r>
      <w:r w:rsidR="00560B04">
        <w:t>;</w:t>
      </w:r>
      <w:r w:rsidR="00B47A7B">
        <w:t xml:space="preserve"> or </w:t>
      </w:r>
      <w:r w:rsidR="00560B04">
        <w:t>(</w:t>
      </w:r>
      <w:r w:rsidR="00B47A7B">
        <w:t xml:space="preserve">6) moving back in with </w:t>
      </w:r>
      <w:r w:rsidR="00ED1A54">
        <w:t>one’s</w:t>
      </w:r>
      <w:r w:rsidR="00B47A7B">
        <w:t xml:space="preserve"> spouse following a separation.</w:t>
      </w:r>
      <w:r w:rsidR="004731F4">
        <w:t xml:space="preserve">  SSA sends the form to Medicare Part D subsidy recipients who have contacted SSA to self-report one of these events.</w:t>
      </w:r>
    </w:p>
    <w:p w:rsidR="004731F4" w:rsidP="008D6B8A" w:rsidRDefault="004731F4">
      <w:pPr>
        <w:ind w:left="1440"/>
      </w:pPr>
    </w:p>
    <w:p w:rsidR="00560B04" w:rsidP="008D6B8A" w:rsidRDefault="002845DC">
      <w:pPr>
        <w:ind w:left="1440"/>
      </w:pPr>
      <w:r>
        <w:t xml:space="preserve">When SSA mails </w:t>
      </w:r>
      <w:r w:rsidR="004731F4">
        <w:t>these forms</w:t>
      </w:r>
      <w:r>
        <w:t xml:space="preserve"> to recipients</w:t>
      </w:r>
      <w:r w:rsidR="004731F4">
        <w:t xml:space="preserve">, SSA includes a </w:t>
      </w:r>
      <w:r w:rsidRPr="007A0171" w:rsidR="004731F4">
        <w:rPr>
          <w:i/>
          <w:iCs/>
        </w:rPr>
        <w:t>R</w:t>
      </w:r>
      <w:r w:rsidR="004731F4">
        <w:rPr>
          <w:i/>
          <w:iCs/>
        </w:rPr>
        <w:t xml:space="preserve">esource and Income Summary </w:t>
      </w:r>
      <w:r w:rsidRPr="00A148D9" w:rsidR="004731F4">
        <w:t>form</w:t>
      </w:r>
      <w:r w:rsidRPr="006F2732" w:rsidR="004731F4">
        <w:rPr>
          <w:iCs/>
        </w:rPr>
        <w:t>.</w:t>
      </w:r>
      <w:r w:rsidRPr="006F2732" w:rsidR="004731F4">
        <w:t xml:space="preserve"> </w:t>
      </w:r>
      <w:r w:rsidR="004731F4">
        <w:t xml:space="preserve"> This insert list</w:t>
      </w:r>
      <w:r>
        <w:t>s the subsidy-</w:t>
      </w:r>
      <w:r w:rsidR="004731F4">
        <w:t>eligible individual’s income and res</w:t>
      </w:r>
      <w:r w:rsidR="00ED1A54">
        <w:t>ource types</w:t>
      </w:r>
      <w:r w:rsidR="009E5C12">
        <w:t>;</w:t>
      </w:r>
      <w:r w:rsidR="00ED1A54">
        <w:t xml:space="preserve"> income and resources </w:t>
      </w:r>
      <w:r w:rsidR="004731F4">
        <w:t>amounts</w:t>
      </w:r>
      <w:r w:rsidR="009E5C12">
        <w:t>;</w:t>
      </w:r>
      <w:r w:rsidR="00ED1A54">
        <w:t xml:space="preserve"> </w:t>
      </w:r>
      <w:r w:rsidR="004731F4">
        <w:t>and the household size</w:t>
      </w:r>
      <w:r w:rsidR="00ED1A54">
        <w:t xml:space="preserve"> on record</w:t>
      </w:r>
      <w:r w:rsidR="004731F4">
        <w:t xml:space="preserve">.  This information comes from </w:t>
      </w:r>
      <w:r w:rsidR="00560B04">
        <w:t>(</w:t>
      </w:r>
      <w:r w:rsidR="004731F4">
        <w:t>1) SSA’s records</w:t>
      </w:r>
      <w:r>
        <w:t>,</w:t>
      </w:r>
      <w:r w:rsidR="004731F4">
        <w:t xml:space="preserve"> and </w:t>
      </w:r>
      <w:r w:rsidR="00560B04">
        <w:t>(</w:t>
      </w:r>
      <w:r w:rsidR="004731F4">
        <w:t xml:space="preserve">2) the information subsidy recipients provided on their original applications.  </w:t>
      </w:r>
      <w:r w:rsidR="009E5C12">
        <w:t>SSA asks t</w:t>
      </w:r>
      <w:r w:rsidR="004731F4">
        <w:t xml:space="preserve">he subsidy recipient undergoing a redetermination </w:t>
      </w:r>
      <w:r w:rsidR="009E5C12">
        <w:t>to</w:t>
      </w:r>
      <w:r w:rsidR="004731F4">
        <w:t xml:space="preserve"> refer to the </w:t>
      </w:r>
      <w:r w:rsidRPr="007A0171" w:rsidR="004731F4">
        <w:rPr>
          <w:i/>
          <w:iCs/>
        </w:rPr>
        <w:t>R</w:t>
      </w:r>
      <w:r w:rsidR="004731F4">
        <w:rPr>
          <w:i/>
          <w:iCs/>
        </w:rPr>
        <w:t xml:space="preserve">esource and Income Summary </w:t>
      </w:r>
      <w:r w:rsidR="004731F4">
        <w:t xml:space="preserve">when completing the SSA-1026.  </w:t>
      </w:r>
      <w:r w:rsidR="009E1B23">
        <w:t>Recipients are instructed to mail the completed return form to the Wilkes-Barre Direct Operations Center.</w:t>
      </w:r>
      <w:r w:rsidR="006F2732">
        <w:t xml:space="preserve"> </w:t>
      </w:r>
      <w:r w:rsidR="009E1B23">
        <w:t xml:space="preserve"> </w:t>
      </w:r>
      <w:r w:rsidRPr="009400F8" w:rsidR="009400F8">
        <w:t xml:space="preserve">Recipients may also complete the form in person or by telephone with any SSA field office. </w:t>
      </w:r>
      <w:r w:rsidR="006F2732">
        <w:t xml:space="preserve"> </w:t>
      </w:r>
      <w:r w:rsidR="002D787B">
        <w:t xml:space="preserve">Either an SSA </w:t>
      </w:r>
      <w:r w:rsidRPr="00411BE8" w:rsidR="002D787B">
        <w:t>field office</w:t>
      </w:r>
      <w:r w:rsidR="002D787B">
        <w:t xml:space="preserve"> employee</w:t>
      </w:r>
      <w:r w:rsidRPr="00411BE8" w:rsidR="002D787B">
        <w:t xml:space="preserve"> or the Wilkes-Barre Direct Operations Center Subsidy Appeal Unit in the Office of Earnings and International Operations</w:t>
      </w:r>
      <w:r w:rsidR="002D787B">
        <w:t xml:space="preserve"> adjudicate the form </w:t>
      </w:r>
      <w:r w:rsidRPr="00411BE8" w:rsidR="002D787B">
        <w:t>in the Medicare Application Processing S</w:t>
      </w:r>
      <w:r w:rsidR="002D787B">
        <w:t>ystem (MAPS)</w:t>
      </w:r>
      <w:r w:rsidRPr="00411BE8" w:rsidR="009E1B23">
        <w:t>.</w:t>
      </w:r>
    </w:p>
    <w:p w:rsidR="00560B04" w:rsidP="008D6B8A" w:rsidRDefault="00560B04">
      <w:pPr>
        <w:ind w:left="1440"/>
      </w:pPr>
    </w:p>
    <w:p w:rsidR="008D6B8A" w:rsidP="008D6B8A" w:rsidRDefault="008D6B8A">
      <w:pPr>
        <w:ind w:left="1440"/>
      </w:pPr>
      <w:r w:rsidRPr="00C3586D">
        <w:t>The</w:t>
      </w:r>
      <w:r>
        <w:t xml:space="preserve"> </w:t>
      </w:r>
      <w:r w:rsidRPr="00C3586D">
        <w:t>respondents are current recipients of the</w:t>
      </w:r>
      <w:r>
        <w:t xml:space="preserve"> </w:t>
      </w:r>
      <w:r w:rsidRPr="00C3586D">
        <w:t>Medicare Part D low-income subsidy</w:t>
      </w:r>
      <w:r>
        <w:t xml:space="preserve"> </w:t>
      </w:r>
      <w:r w:rsidRPr="00C3586D">
        <w:t>who will undergo an eligibility</w:t>
      </w:r>
      <w:r>
        <w:t xml:space="preserve"> </w:t>
      </w:r>
      <w:r w:rsidRPr="00C3586D">
        <w:t>redetermination</w:t>
      </w:r>
      <w:r>
        <w:t>.</w:t>
      </w:r>
    </w:p>
    <w:p w:rsidR="004731F4" w:rsidP="008D6B8A" w:rsidRDefault="004731F4">
      <w:pPr>
        <w:ind w:left="1440"/>
      </w:pPr>
    </w:p>
    <w:p w:rsidR="007C6654" w:rsidP="008D6B8A" w:rsidRDefault="007A330D">
      <w:pPr>
        <w:numPr>
          <w:ilvl w:val="1"/>
          <w:numId w:val="1"/>
        </w:numPr>
        <w:ind w:hanging="720"/>
      </w:pPr>
      <w:r>
        <w:rPr>
          <w:b/>
          <w:bCs/>
        </w:rPr>
        <w:t xml:space="preserve">Use of </w:t>
      </w:r>
      <w:r w:rsidR="007C6654">
        <w:rPr>
          <w:b/>
          <w:bCs/>
        </w:rPr>
        <w:t xml:space="preserve">Information Technology </w:t>
      </w:r>
      <w:r w:rsidR="00171F31">
        <w:rPr>
          <w:b/>
          <w:bCs/>
        </w:rPr>
        <w:t>to Collect the</w:t>
      </w:r>
      <w:r w:rsidR="007C6654">
        <w:rPr>
          <w:b/>
          <w:bCs/>
        </w:rPr>
        <w:t xml:space="preserve"> Information</w:t>
      </w:r>
    </w:p>
    <w:p w:rsidR="007C6654" w:rsidP="008D6B8A" w:rsidRDefault="00A701DC">
      <w:pPr>
        <w:ind w:left="1440"/>
      </w:pPr>
      <w:r>
        <w:t>In accordance with the agency’s Government Paperwork Elimination Act plan, SSA created Intranet version</w:t>
      </w:r>
      <w:r w:rsidR="006F2732">
        <w:t>s</w:t>
      </w:r>
      <w:r>
        <w:t xml:space="preserve"> of the SSA-1026 forms.  Based on our da</w:t>
      </w:r>
      <w:r w:rsidR="003D2344">
        <w:t>ta, we estimate approximately 3</w:t>
      </w:r>
      <w:r w:rsidR="009E1B23">
        <w:t>1</w:t>
      </w:r>
      <w:r w:rsidR="00EB4E94">
        <w:t xml:space="preserve">% </w:t>
      </w:r>
      <w:r>
        <w:t>of respondents under this OMB number use the electronic version</w:t>
      </w:r>
      <w:r w:rsidR="0015206E">
        <w:t>.</w:t>
      </w:r>
      <w:r w:rsidR="00BB2B9D">
        <w:t xml:space="preserve"> </w:t>
      </w:r>
      <w:r w:rsidR="00EB4E94">
        <w:t xml:space="preserve"> In addition, a PDF version of Form SSA-1026 is available on SSA’s website for viewing purposes only.  The respondents can complete the paper form, or a field office representative completes the form during an in-office or telephone interview, and enters t</w:t>
      </w:r>
      <w:r w:rsidR="002D787B">
        <w:t xml:space="preserve">he information in </w:t>
      </w:r>
      <w:r w:rsidR="00EB4E94">
        <w:t>SSA</w:t>
      </w:r>
      <w:r w:rsidR="002D787B">
        <w:t>’s</w:t>
      </w:r>
      <w:r w:rsidR="00EB4E94">
        <w:t xml:space="preserve"> Intranet application system.  </w:t>
      </w:r>
      <w:r w:rsidRPr="007515BE" w:rsidR="00EB4E94">
        <w:rPr>
          <w:color w:val="000000" w:themeColor="text1"/>
        </w:rPr>
        <w:t xml:space="preserve">This collection does not currently have a fully public-facing Internet version, as </w:t>
      </w:r>
      <w:r w:rsidR="00EB4E94">
        <w:rPr>
          <w:color w:val="000000" w:themeColor="text1"/>
        </w:rPr>
        <w:t xml:space="preserve">we prioritized </w:t>
      </w:r>
      <w:r w:rsidRPr="007515BE" w:rsidR="00EB4E94">
        <w:rPr>
          <w:color w:val="000000" w:themeColor="text1"/>
        </w:rPr>
        <w:t xml:space="preserve">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w:t>
      </w:r>
      <w:r w:rsidR="00EB4E94">
        <w:rPr>
          <w:color w:val="000000" w:themeColor="text1"/>
        </w:rPr>
        <w:t xml:space="preserve">is </w:t>
      </w:r>
      <w:r w:rsidRPr="007515BE" w:rsidR="00EB4E94">
        <w:rPr>
          <w:color w:val="000000" w:themeColor="text1"/>
        </w:rPr>
        <w:t>unconnected to the PRA approval lifecycle.</w:t>
      </w:r>
    </w:p>
    <w:p w:rsidR="00F34B30" w:rsidP="008D6B8A" w:rsidRDefault="00F34B30"/>
    <w:p w:rsidR="00F34B30" w:rsidP="008D6B8A" w:rsidRDefault="007A330D">
      <w:pPr>
        <w:numPr>
          <w:ilvl w:val="1"/>
          <w:numId w:val="1"/>
        </w:numPr>
        <w:ind w:hanging="720"/>
      </w:pPr>
      <w:r>
        <w:rPr>
          <w:b/>
          <w:bCs/>
        </w:rPr>
        <w:t>Why We Cannot Use Duplicate Information</w:t>
      </w:r>
    </w:p>
    <w:p w:rsidR="00F34B30" w:rsidP="008D6B8A" w:rsidRDefault="00F34B30">
      <w:pPr>
        <w:ind w:left="1440"/>
      </w:pPr>
      <w:r>
        <w:t xml:space="preserve">The nature of the information </w:t>
      </w:r>
      <w:r w:rsidR="00807D94">
        <w:t>we collect</w:t>
      </w:r>
      <w:r w:rsidR="0015206E">
        <w:t xml:space="preserve"> </w:t>
      </w:r>
      <w:r>
        <w:t>and the manner in which</w:t>
      </w:r>
      <w:r w:rsidR="00807D94">
        <w:t xml:space="preserve"> we collect</w:t>
      </w:r>
      <w:r w:rsidR="0015206E">
        <w:t xml:space="preserve"> </w:t>
      </w:r>
      <w:r w:rsidR="00807D94">
        <w:t>it</w:t>
      </w:r>
      <w:r>
        <w:t xml:space="preserve"> preclude duplication.  </w:t>
      </w:r>
      <w:r w:rsidR="00807D94">
        <w:t xml:space="preserve">SSA does not use another collection instrument to obtain similar data.  </w:t>
      </w:r>
    </w:p>
    <w:p w:rsidR="00F34B30" w:rsidP="008D6B8A" w:rsidRDefault="00F34B30"/>
    <w:p w:rsidR="00F34B30" w:rsidP="008D6B8A" w:rsidRDefault="007A330D">
      <w:pPr>
        <w:numPr>
          <w:ilvl w:val="1"/>
          <w:numId w:val="1"/>
        </w:numPr>
        <w:ind w:hanging="720"/>
      </w:pPr>
      <w:r>
        <w:rPr>
          <w:b/>
          <w:bCs/>
        </w:rPr>
        <w:t>Minimizing Burden on Small Respondents</w:t>
      </w:r>
    </w:p>
    <w:p w:rsidR="00F34B30" w:rsidP="008D6B8A" w:rsidRDefault="00F34B30">
      <w:pPr>
        <w:ind w:left="1440"/>
      </w:pPr>
      <w:r>
        <w:t xml:space="preserve">This collection does not </w:t>
      </w:r>
      <w:r w:rsidR="0073742A">
        <w:t>affect</w:t>
      </w:r>
      <w:r>
        <w:t xml:space="preserve"> small businesses or other small entities.</w:t>
      </w:r>
    </w:p>
    <w:p w:rsidR="00F34B30" w:rsidP="008D6B8A" w:rsidRDefault="00F34B30"/>
    <w:p w:rsidR="00F34B30" w:rsidP="008D6B8A" w:rsidRDefault="00171F31">
      <w:pPr>
        <w:numPr>
          <w:ilvl w:val="1"/>
          <w:numId w:val="1"/>
        </w:numPr>
        <w:ind w:hanging="720"/>
      </w:pPr>
      <w:r>
        <w:rPr>
          <w:b/>
          <w:bCs/>
        </w:rPr>
        <w:t>Consequence</w:t>
      </w:r>
      <w:r w:rsidR="00F34B30">
        <w:rPr>
          <w:b/>
          <w:bCs/>
        </w:rPr>
        <w:t xml:space="preserve"> of Not Co</w:t>
      </w:r>
      <w:r w:rsidR="007D03F2">
        <w:rPr>
          <w:b/>
          <w:bCs/>
        </w:rPr>
        <w:t>llecting</w:t>
      </w:r>
      <w:r w:rsidR="00F34B30">
        <w:rPr>
          <w:b/>
          <w:bCs/>
        </w:rPr>
        <w:t xml:space="preserve"> Information</w:t>
      </w:r>
      <w:r>
        <w:rPr>
          <w:b/>
          <w:bCs/>
        </w:rPr>
        <w:t xml:space="preserve"> or </w:t>
      </w:r>
      <w:r w:rsidR="00F34B30">
        <w:rPr>
          <w:b/>
          <w:bCs/>
        </w:rPr>
        <w:t>Collectin</w:t>
      </w:r>
      <w:r>
        <w:rPr>
          <w:b/>
          <w:bCs/>
        </w:rPr>
        <w:t>g it Less Frequently</w:t>
      </w:r>
    </w:p>
    <w:p w:rsidR="00613DAE" w:rsidP="008D6B8A" w:rsidRDefault="00807D94">
      <w:pPr>
        <w:ind w:left="1440"/>
      </w:pPr>
      <w:r>
        <w:t xml:space="preserve">If SSA did not </w:t>
      </w:r>
      <w:r w:rsidR="007D4183">
        <w:t>collect this</w:t>
      </w:r>
      <w:r>
        <w:t xml:space="preserve"> information, we would have </w:t>
      </w:r>
      <w:r w:rsidR="00F34B30">
        <w:t>no means of conducting mand</w:t>
      </w:r>
      <w:bookmarkStart w:name="_GoBack" w:id="0"/>
      <w:bookmarkEnd w:id="0"/>
      <w:r w:rsidR="00F34B30">
        <w:t>atory annual redeterminations</w:t>
      </w:r>
      <w:r w:rsidR="009E5C12">
        <w:t>;</w:t>
      </w:r>
      <w:r w:rsidR="00912621">
        <w:t xml:space="preserve"> </w:t>
      </w:r>
      <w:r w:rsidR="000571C6">
        <w:t>periodic subsidy eligibility redeterminations</w:t>
      </w:r>
      <w:r w:rsidR="009E5C12">
        <w:t>;</w:t>
      </w:r>
      <w:r w:rsidR="000571C6">
        <w:t xml:space="preserve"> or </w:t>
      </w:r>
      <w:r w:rsidR="00F34B30">
        <w:t>subsidy eligibility redeterminations for those reporting</w:t>
      </w:r>
      <w:r w:rsidR="00652E51">
        <w:t xml:space="preserve"> subsidy</w:t>
      </w:r>
      <w:r w:rsidR="00F34B30">
        <w:t xml:space="preserve">-changing events, which would be in violation of the relevant provisions of the </w:t>
      </w:r>
      <w:r w:rsidRPr="0015206E" w:rsidR="00F34B30">
        <w:rPr>
          <w:i/>
        </w:rPr>
        <w:t>MMA</w:t>
      </w:r>
      <w:r w:rsidR="00F34B30">
        <w:t>.</w:t>
      </w:r>
      <w:r w:rsidR="0015206E">
        <w:t xml:space="preserve">  </w:t>
      </w:r>
      <w:r w:rsidRPr="00035908" w:rsidR="0015206E">
        <w:t>Because we collect th</w:t>
      </w:r>
      <w:r w:rsidR="0015206E">
        <w:t>is</w:t>
      </w:r>
      <w:r w:rsidRPr="00035908" w:rsidR="0015206E">
        <w:t xml:space="preserve"> information </w:t>
      </w:r>
      <w:r w:rsidR="0015206E">
        <w:t>on an as needed basis</w:t>
      </w:r>
      <w:r w:rsidRPr="00035908" w:rsidR="0015206E">
        <w:t>, we cannot collect it less frequently</w:t>
      </w:r>
      <w:r w:rsidR="0015206E">
        <w:t xml:space="preserve">.  </w:t>
      </w:r>
      <w:r w:rsidRPr="000B6C08" w:rsidR="0015206E">
        <w:t>There are no technical or legal obstacles to burden reduction</w:t>
      </w:r>
      <w:r w:rsidR="00613DAE">
        <w:t>.</w:t>
      </w:r>
    </w:p>
    <w:p w:rsidR="00F34B30" w:rsidP="008D6B8A" w:rsidRDefault="00F34B30"/>
    <w:p w:rsidR="00F34B30" w:rsidP="008D6B8A" w:rsidRDefault="00CC035B">
      <w:pPr>
        <w:numPr>
          <w:ilvl w:val="1"/>
          <w:numId w:val="1"/>
        </w:numPr>
        <w:ind w:hanging="720"/>
        <w:rPr>
          <w:b/>
          <w:bCs/>
        </w:rPr>
      </w:pPr>
      <w:r>
        <w:rPr>
          <w:b/>
          <w:bCs/>
        </w:rPr>
        <w:t>Special Circumstances</w:t>
      </w:r>
    </w:p>
    <w:p w:rsidRPr="00A701DC" w:rsidR="00E93285" w:rsidP="008D6B8A" w:rsidRDefault="00E93285">
      <w:pPr>
        <w:ind w:left="1440"/>
        <w:rPr>
          <w:i/>
        </w:rPr>
      </w:pPr>
      <w:r>
        <w:t xml:space="preserve">There are no special circumstances that would cause </w:t>
      </w:r>
      <w:r w:rsidR="00807D94">
        <w:t xml:space="preserve">SSA to conduct </w:t>
      </w:r>
      <w:r>
        <w:t xml:space="preserve">this information collection in a manner inconsistent </w:t>
      </w:r>
      <w:r w:rsidRPr="00A701DC">
        <w:t>with</w:t>
      </w:r>
      <w:r w:rsidRPr="00A701DC">
        <w:rPr>
          <w:i/>
        </w:rPr>
        <w:t xml:space="preserve"> 5 CFR 1320.5.</w:t>
      </w:r>
    </w:p>
    <w:p w:rsidR="00E93285" w:rsidP="008D6B8A" w:rsidRDefault="00E93285"/>
    <w:p w:rsidRPr="0015206E" w:rsidR="0015206E" w:rsidP="008D6B8A" w:rsidRDefault="005C647F">
      <w:pPr>
        <w:numPr>
          <w:ilvl w:val="1"/>
          <w:numId w:val="1"/>
        </w:numPr>
        <w:ind w:hanging="720"/>
      </w:pPr>
      <w:r w:rsidRPr="005C647F">
        <w:rPr>
          <w:rFonts w:eastAsia="Times New Roman"/>
          <w:b/>
          <w:snapToGrid w:val="0"/>
          <w:lang w:eastAsia="en-US"/>
        </w:rPr>
        <w:t>Solicitation of Public Comment and Other Consultations with the Public</w:t>
      </w:r>
    </w:p>
    <w:p w:rsidR="00E93285" w:rsidP="0015206E" w:rsidRDefault="007D4183">
      <w:pPr>
        <w:ind w:left="1440"/>
      </w:pPr>
      <w:r w:rsidRPr="007D4183">
        <w:rPr>
          <w:rFonts w:eastAsia="Times New Roman"/>
          <w:noProof/>
          <w:snapToGrid w:val="0"/>
        </w:rPr>
        <w:t xml:space="preserve">The 60-day advance Federal Register Notice published on </w:t>
      </w:r>
      <w:r>
        <w:rPr>
          <w:rFonts w:eastAsia="Times New Roman"/>
          <w:noProof/>
          <w:snapToGrid w:val="0"/>
        </w:rPr>
        <w:t>January 2</w:t>
      </w:r>
      <w:r w:rsidRPr="007D4183">
        <w:rPr>
          <w:rFonts w:eastAsia="Times New Roman"/>
          <w:noProof/>
          <w:snapToGrid w:val="0"/>
        </w:rPr>
        <w:t>, 202</w:t>
      </w:r>
      <w:r>
        <w:rPr>
          <w:rFonts w:eastAsia="Times New Roman"/>
          <w:noProof/>
          <w:snapToGrid w:val="0"/>
        </w:rPr>
        <w:t>1</w:t>
      </w:r>
      <w:r w:rsidRPr="007D4183">
        <w:rPr>
          <w:rFonts w:eastAsia="Times New Roman"/>
          <w:noProof/>
          <w:snapToGrid w:val="0"/>
        </w:rPr>
        <w:t xml:space="preserve"> at 8</w:t>
      </w:r>
      <w:r>
        <w:rPr>
          <w:rFonts w:eastAsia="Times New Roman"/>
          <w:noProof/>
          <w:snapToGrid w:val="0"/>
        </w:rPr>
        <w:t>6 </w:t>
      </w:r>
      <w:r w:rsidRPr="007D4183">
        <w:rPr>
          <w:rFonts w:eastAsia="Times New Roman"/>
          <w:noProof/>
          <w:snapToGrid w:val="0"/>
        </w:rPr>
        <w:t xml:space="preserve">FR </w:t>
      </w:r>
      <w:r>
        <w:rPr>
          <w:rFonts w:eastAsia="Times New Roman"/>
          <w:noProof/>
          <w:snapToGrid w:val="0"/>
        </w:rPr>
        <w:t>667</w:t>
      </w:r>
      <w:r w:rsidRPr="007D4183">
        <w:rPr>
          <w:rFonts w:eastAsia="Times New Roman"/>
          <w:noProof/>
          <w:snapToGrid w:val="0"/>
        </w:rPr>
        <w:t xml:space="preserve">, and we received no public comments.  </w:t>
      </w:r>
      <w:r w:rsidRPr="00FF449C" w:rsidR="00FF449C">
        <w:rPr>
          <w:snapToGrid w:val="0"/>
        </w:rPr>
        <w:t>The 30-day FRN published on March 12, 2021 at 86 FR 14170.  If we receive any comments in response to this Notice, we will forward them to OMB.</w:t>
      </w:r>
    </w:p>
    <w:p w:rsidR="00E93285" w:rsidP="008D6B8A" w:rsidRDefault="00E93285"/>
    <w:p w:rsidR="00E93285" w:rsidP="008D6B8A" w:rsidRDefault="0064568E">
      <w:pPr>
        <w:numPr>
          <w:ilvl w:val="1"/>
          <w:numId w:val="1"/>
        </w:numPr>
        <w:ind w:hanging="720"/>
      </w:pPr>
      <w:r>
        <w:rPr>
          <w:b/>
          <w:bCs/>
        </w:rPr>
        <w:t xml:space="preserve">Payment or Gifts to </w:t>
      </w:r>
      <w:r w:rsidR="00E93285">
        <w:rPr>
          <w:b/>
          <w:bCs/>
        </w:rPr>
        <w:t>Respondents</w:t>
      </w:r>
    </w:p>
    <w:p w:rsidR="00E93285" w:rsidP="008D6B8A" w:rsidRDefault="00E93285">
      <w:pPr>
        <w:ind w:left="1440"/>
      </w:pPr>
      <w:r>
        <w:t>SSA</w:t>
      </w:r>
      <w:r w:rsidR="00CC035B">
        <w:t xml:space="preserve"> does not</w:t>
      </w:r>
      <w:r>
        <w:t xml:space="preserve"> provide payment</w:t>
      </w:r>
      <w:r w:rsidR="00CC035B">
        <w:t>s</w:t>
      </w:r>
      <w:r>
        <w:t xml:space="preserve"> or gifts to the respondents.</w:t>
      </w:r>
    </w:p>
    <w:p w:rsidR="00E93285" w:rsidP="008D6B8A" w:rsidRDefault="00E93285"/>
    <w:p w:rsidR="00E93285" w:rsidP="008D6B8A" w:rsidRDefault="00E93285">
      <w:pPr>
        <w:numPr>
          <w:ilvl w:val="1"/>
          <w:numId w:val="1"/>
        </w:numPr>
        <w:ind w:hanging="720"/>
      </w:pPr>
      <w:r w:rsidRPr="00E93285">
        <w:rPr>
          <w:b/>
          <w:bCs/>
        </w:rPr>
        <w:t>Assurance</w:t>
      </w:r>
      <w:r w:rsidR="00CC035B">
        <w:rPr>
          <w:b/>
          <w:bCs/>
        </w:rPr>
        <w:t>s</w:t>
      </w:r>
      <w:r w:rsidRPr="00E93285">
        <w:rPr>
          <w:b/>
          <w:bCs/>
        </w:rPr>
        <w:t xml:space="preserve"> of Confidentiality</w:t>
      </w:r>
    </w:p>
    <w:p w:rsidR="00E93285" w:rsidP="008D6B8A" w:rsidRDefault="00807D94">
      <w:pPr>
        <w:ind w:left="1440"/>
      </w:pPr>
      <w:r>
        <w:t>SSA protects and holds confidential t</w:t>
      </w:r>
      <w:r w:rsidR="00E93285">
        <w:t xml:space="preserve">he information </w:t>
      </w:r>
      <w:r>
        <w:t xml:space="preserve">it </w:t>
      </w:r>
      <w:r w:rsidR="0015206E">
        <w:t>collects</w:t>
      </w:r>
      <w:r>
        <w:t xml:space="preserve"> in </w:t>
      </w:r>
      <w:r w:rsidR="00E93285">
        <w:t xml:space="preserve">accordance with </w:t>
      </w:r>
      <w:r w:rsidRPr="00A701DC" w:rsidR="00E93285">
        <w:rPr>
          <w:i/>
        </w:rPr>
        <w:t>42 U.S.C. 1306, 20 CFR 401</w:t>
      </w:r>
      <w:r w:rsidR="00E93285">
        <w:t xml:space="preserve"> and </w:t>
      </w:r>
      <w:r w:rsidRPr="00A701DC" w:rsidR="00E93285">
        <w:rPr>
          <w:i/>
        </w:rPr>
        <w:t xml:space="preserve">402, 5 U.S.C. 552 </w:t>
      </w:r>
      <w:r w:rsidRPr="0015206E" w:rsidR="00E93285">
        <w:t>(Freedom of Information Act)</w:t>
      </w:r>
      <w:r w:rsidR="0015206E">
        <w:t xml:space="preserve">, </w:t>
      </w:r>
      <w:r w:rsidRPr="00A701DC" w:rsidR="00E93285">
        <w:rPr>
          <w:i/>
        </w:rPr>
        <w:t xml:space="preserve">5 U.S.C. 552a </w:t>
      </w:r>
      <w:r w:rsidRPr="0015206E" w:rsidR="00E93285">
        <w:t>(Privacy Act of 1974),</w:t>
      </w:r>
      <w:r w:rsidR="00E93285">
        <w:t xml:space="preserve"> and OMB Circular No. A-130.</w:t>
      </w:r>
    </w:p>
    <w:p w:rsidR="00E93285" w:rsidP="008D6B8A" w:rsidRDefault="00A701DC">
      <w:r>
        <w:t xml:space="preserve"> </w:t>
      </w:r>
    </w:p>
    <w:p w:rsidR="00E93285" w:rsidP="008D6B8A" w:rsidRDefault="00E93285">
      <w:pPr>
        <w:numPr>
          <w:ilvl w:val="1"/>
          <w:numId w:val="1"/>
        </w:numPr>
        <w:ind w:hanging="720"/>
      </w:pPr>
      <w:r>
        <w:rPr>
          <w:b/>
          <w:bCs/>
        </w:rPr>
        <w:t xml:space="preserve">Justification for </w:t>
      </w:r>
      <w:r w:rsidR="0064568E">
        <w:rPr>
          <w:b/>
          <w:bCs/>
        </w:rPr>
        <w:t xml:space="preserve">Sensitive </w:t>
      </w:r>
      <w:r>
        <w:rPr>
          <w:b/>
          <w:bCs/>
        </w:rPr>
        <w:t>Questions</w:t>
      </w:r>
    </w:p>
    <w:p w:rsidR="00E93285" w:rsidP="008D6B8A" w:rsidRDefault="00E93285">
      <w:pPr>
        <w:ind w:left="1440"/>
      </w:pPr>
      <w:r>
        <w:t>The information collection does not contain any questions of a sensitive nature.</w:t>
      </w:r>
    </w:p>
    <w:p w:rsidR="00E93285" w:rsidP="008D6B8A" w:rsidRDefault="00E93285"/>
    <w:p w:rsidRPr="00745AA6" w:rsidR="00E93285" w:rsidP="0099104D" w:rsidRDefault="00E93285">
      <w:pPr>
        <w:numPr>
          <w:ilvl w:val="1"/>
          <w:numId w:val="1"/>
        </w:numPr>
        <w:ind w:hanging="720"/>
      </w:pPr>
      <w:r>
        <w:rPr>
          <w:b/>
          <w:bCs/>
        </w:rPr>
        <w:t xml:space="preserve">Estimates </w:t>
      </w:r>
      <w:r w:rsidR="00CC035B">
        <w:rPr>
          <w:b/>
          <w:bCs/>
        </w:rPr>
        <w:t>of Public Reporting Burden</w:t>
      </w:r>
    </w:p>
    <w:p w:rsidR="00745AA6" w:rsidP="0099104D" w:rsidRDefault="00745AA6">
      <w:pPr>
        <w:spacing w:after="120"/>
        <w:ind w:left="1440"/>
        <w:rPr>
          <w:bCs/>
        </w:rPr>
      </w:pPr>
      <w:r w:rsidRPr="00745AA6">
        <w:rPr>
          <w:bCs/>
        </w:rPr>
        <w:t>Please see the burden chart below:</w:t>
      </w:r>
    </w:p>
    <w:tbl>
      <w:tblPr>
        <w:tblW w:w="11790" w:type="dxa"/>
        <w:tblInd w:w="-1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1"/>
        <w:gridCol w:w="1533"/>
        <w:gridCol w:w="1310"/>
        <w:gridCol w:w="1204"/>
        <w:gridCol w:w="1277"/>
        <w:gridCol w:w="1389"/>
        <w:gridCol w:w="1430"/>
        <w:gridCol w:w="1656"/>
      </w:tblGrid>
      <w:tr w:rsidRPr="0099104D" w:rsidR="0099104D" w:rsidTr="0099104D">
        <w:tc>
          <w:tcPr>
            <w:tcW w:w="1991" w:type="dxa"/>
          </w:tcPr>
          <w:p w:rsidRPr="0099104D" w:rsidR="0099104D" w:rsidP="0099104D" w:rsidRDefault="0099104D">
            <w:pPr>
              <w:rPr>
                <w:b/>
              </w:rPr>
            </w:pPr>
            <w:r w:rsidRPr="0099104D">
              <w:rPr>
                <w:b/>
                <w:color w:val="000000"/>
              </w:rPr>
              <w:t>Modality of Completion</w:t>
            </w:r>
          </w:p>
        </w:tc>
        <w:tc>
          <w:tcPr>
            <w:tcW w:w="1533" w:type="dxa"/>
          </w:tcPr>
          <w:p w:rsidRPr="0099104D" w:rsidR="0099104D" w:rsidP="0099104D" w:rsidRDefault="0099104D">
            <w:pPr>
              <w:rPr>
                <w:b/>
              </w:rPr>
            </w:pPr>
            <w:r w:rsidRPr="0099104D">
              <w:rPr>
                <w:b/>
              </w:rPr>
              <w:t>Number of Respondents</w:t>
            </w:r>
          </w:p>
        </w:tc>
        <w:tc>
          <w:tcPr>
            <w:tcW w:w="1310" w:type="dxa"/>
          </w:tcPr>
          <w:p w:rsidRPr="0099104D" w:rsidR="0099104D" w:rsidP="0099104D" w:rsidRDefault="0099104D">
            <w:pPr>
              <w:rPr>
                <w:b/>
              </w:rPr>
            </w:pPr>
            <w:r w:rsidRPr="0099104D">
              <w:rPr>
                <w:b/>
              </w:rPr>
              <w:t>Frequency of Response</w:t>
            </w:r>
          </w:p>
        </w:tc>
        <w:tc>
          <w:tcPr>
            <w:tcW w:w="1204" w:type="dxa"/>
          </w:tcPr>
          <w:p w:rsidRPr="0099104D" w:rsidR="0099104D" w:rsidP="0099104D" w:rsidRDefault="0099104D">
            <w:pPr>
              <w:rPr>
                <w:b/>
              </w:rPr>
            </w:pPr>
            <w:r w:rsidRPr="0099104D">
              <w:rPr>
                <w:b/>
              </w:rPr>
              <w:t>Average Burden per Response</w:t>
            </w:r>
          </w:p>
          <w:p w:rsidRPr="0099104D" w:rsidR="0099104D" w:rsidP="0099104D" w:rsidRDefault="0099104D">
            <w:pPr>
              <w:rPr>
                <w:b/>
              </w:rPr>
            </w:pPr>
            <w:r w:rsidRPr="0099104D">
              <w:rPr>
                <w:b/>
              </w:rPr>
              <w:t>(minutes)</w:t>
            </w:r>
          </w:p>
        </w:tc>
        <w:tc>
          <w:tcPr>
            <w:tcW w:w="1277" w:type="dxa"/>
          </w:tcPr>
          <w:p w:rsidRPr="0099104D" w:rsidR="0099104D" w:rsidP="0099104D" w:rsidRDefault="0099104D">
            <w:pPr>
              <w:rPr>
                <w:b/>
              </w:rPr>
            </w:pPr>
            <w:r w:rsidRPr="0099104D">
              <w:rPr>
                <w:b/>
              </w:rPr>
              <w:t>Estimated</w:t>
            </w:r>
          </w:p>
          <w:p w:rsidRPr="0099104D" w:rsidR="0099104D" w:rsidP="0099104D" w:rsidRDefault="0099104D">
            <w:pPr>
              <w:rPr>
                <w:b/>
              </w:rPr>
            </w:pPr>
            <w:r w:rsidRPr="0099104D">
              <w:rPr>
                <w:b/>
              </w:rPr>
              <w:t>Total</w:t>
            </w:r>
          </w:p>
          <w:p w:rsidRPr="0099104D" w:rsidR="0099104D" w:rsidP="0099104D" w:rsidRDefault="0099104D">
            <w:pPr>
              <w:rPr>
                <w:b/>
              </w:rPr>
            </w:pPr>
            <w:r w:rsidRPr="0099104D">
              <w:rPr>
                <w:b/>
              </w:rPr>
              <w:t>Annual Burden (hours)</w:t>
            </w:r>
          </w:p>
        </w:tc>
        <w:tc>
          <w:tcPr>
            <w:tcW w:w="1389" w:type="dxa"/>
          </w:tcPr>
          <w:p w:rsidRPr="0099104D" w:rsidR="0099104D" w:rsidP="0099104D" w:rsidRDefault="0099104D">
            <w:pPr>
              <w:rPr>
                <w:b/>
              </w:rPr>
            </w:pPr>
            <w:r w:rsidRPr="0099104D">
              <w:rPr>
                <w:b/>
              </w:rPr>
              <w:t>Average Theoretical Hourly Cost Amount (dollars)*</w:t>
            </w:r>
          </w:p>
        </w:tc>
        <w:tc>
          <w:tcPr>
            <w:tcW w:w="1430" w:type="dxa"/>
          </w:tcPr>
          <w:p w:rsidRPr="0099104D" w:rsidR="0099104D" w:rsidP="0099104D" w:rsidRDefault="0099104D">
            <w:pPr>
              <w:rPr>
                <w:b/>
              </w:rPr>
            </w:pPr>
            <w:r w:rsidRPr="0099104D">
              <w:rPr>
                <w:b/>
              </w:rPr>
              <w:t>Average Wait Time in Field Office (minutes)**</w:t>
            </w:r>
          </w:p>
        </w:tc>
        <w:tc>
          <w:tcPr>
            <w:tcW w:w="1656" w:type="dxa"/>
          </w:tcPr>
          <w:p w:rsidRPr="0099104D" w:rsidR="0099104D" w:rsidP="0099104D" w:rsidRDefault="0099104D">
            <w:pPr>
              <w:rPr>
                <w:b/>
              </w:rPr>
            </w:pPr>
            <w:r w:rsidRPr="0099104D">
              <w:rPr>
                <w:b/>
              </w:rPr>
              <w:t>Total Annual Opportunity Cost (dollars)***</w:t>
            </w:r>
          </w:p>
        </w:tc>
      </w:tr>
      <w:tr w:rsidRPr="0099104D" w:rsidR="0099104D" w:rsidTr="0099104D">
        <w:tc>
          <w:tcPr>
            <w:tcW w:w="1991" w:type="dxa"/>
          </w:tcPr>
          <w:p w:rsidRPr="0099104D" w:rsidR="0099104D" w:rsidP="0099104D" w:rsidRDefault="0099104D">
            <w:r w:rsidRPr="0099104D">
              <w:t>SSA-1026-REDE</w:t>
            </w:r>
          </w:p>
        </w:tc>
        <w:tc>
          <w:tcPr>
            <w:tcW w:w="1533" w:type="dxa"/>
          </w:tcPr>
          <w:p w:rsidRPr="0099104D" w:rsidR="0099104D" w:rsidP="0099104D" w:rsidRDefault="0099104D">
            <w:pPr>
              <w:jc w:val="right"/>
            </w:pPr>
            <w:r w:rsidRPr="0099104D">
              <w:t>120,220</w:t>
            </w:r>
          </w:p>
        </w:tc>
        <w:tc>
          <w:tcPr>
            <w:tcW w:w="1310" w:type="dxa"/>
          </w:tcPr>
          <w:p w:rsidRPr="0099104D" w:rsidR="0099104D" w:rsidP="0099104D" w:rsidRDefault="0099104D">
            <w:pPr>
              <w:jc w:val="right"/>
            </w:pPr>
            <w:r w:rsidRPr="0099104D">
              <w:t>1</w:t>
            </w:r>
          </w:p>
        </w:tc>
        <w:tc>
          <w:tcPr>
            <w:tcW w:w="1204" w:type="dxa"/>
          </w:tcPr>
          <w:p w:rsidRPr="0099104D" w:rsidR="0099104D" w:rsidP="0099104D" w:rsidRDefault="0099104D">
            <w:pPr>
              <w:jc w:val="right"/>
            </w:pPr>
            <w:r w:rsidRPr="0099104D">
              <w:t>18</w:t>
            </w:r>
          </w:p>
        </w:tc>
        <w:tc>
          <w:tcPr>
            <w:tcW w:w="1277" w:type="dxa"/>
          </w:tcPr>
          <w:p w:rsidRPr="0099104D" w:rsidR="0099104D" w:rsidP="0099104D" w:rsidRDefault="0099104D">
            <w:pPr>
              <w:jc w:val="right"/>
            </w:pPr>
            <w:r w:rsidRPr="0099104D">
              <w:t>36,066</w:t>
            </w:r>
          </w:p>
        </w:tc>
        <w:tc>
          <w:tcPr>
            <w:tcW w:w="1389" w:type="dxa"/>
          </w:tcPr>
          <w:p w:rsidRPr="0099104D" w:rsidR="0099104D" w:rsidP="0099104D" w:rsidRDefault="0099104D">
            <w:pPr>
              <w:jc w:val="right"/>
            </w:pPr>
            <w:r w:rsidRPr="0099104D">
              <w:t>$25.72*</w:t>
            </w:r>
          </w:p>
        </w:tc>
        <w:tc>
          <w:tcPr>
            <w:tcW w:w="1430" w:type="dxa"/>
          </w:tcPr>
          <w:p w:rsidRPr="0099104D" w:rsidR="0099104D" w:rsidP="0099104D" w:rsidRDefault="0099104D">
            <w:pPr>
              <w:jc w:val="right"/>
            </w:pPr>
          </w:p>
        </w:tc>
        <w:tc>
          <w:tcPr>
            <w:tcW w:w="1656" w:type="dxa"/>
          </w:tcPr>
          <w:p w:rsidRPr="0099104D" w:rsidR="0099104D" w:rsidP="0099104D" w:rsidRDefault="0099104D">
            <w:pPr>
              <w:jc w:val="right"/>
            </w:pPr>
            <w:r w:rsidRPr="0099104D">
              <w:t>$927,618***</w:t>
            </w:r>
          </w:p>
        </w:tc>
      </w:tr>
      <w:tr w:rsidRPr="0099104D" w:rsidR="0099104D" w:rsidTr="0099104D">
        <w:tc>
          <w:tcPr>
            <w:tcW w:w="1991" w:type="dxa"/>
          </w:tcPr>
          <w:p w:rsidRPr="0099104D" w:rsidR="0099104D" w:rsidP="0099104D" w:rsidRDefault="0099104D">
            <w:r w:rsidRPr="0099104D">
              <w:t>SSA-1026-SCE</w:t>
            </w:r>
          </w:p>
        </w:tc>
        <w:tc>
          <w:tcPr>
            <w:tcW w:w="1533" w:type="dxa"/>
          </w:tcPr>
          <w:p w:rsidRPr="0099104D" w:rsidR="0099104D" w:rsidP="0099104D" w:rsidRDefault="0099104D">
            <w:pPr>
              <w:jc w:val="right"/>
            </w:pPr>
            <w:r w:rsidRPr="0099104D">
              <w:t>3,462</w:t>
            </w:r>
          </w:p>
        </w:tc>
        <w:tc>
          <w:tcPr>
            <w:tcW w:w="1310" w:type="dxa"/>
          </w:tcPr>
          <w:p w:rsidRPr="0099104D" w:rsidR="0099104D" w:rsidP="0099104D" w:rsidRDefault="0099104D">
            <w:pPr>
              <w:jc w:val="right"/>
            </w:pPr>
            <w:r w:rsidRPr="0099104D">
              <w:t>1</w:t>
            </w:r>
          </w:p>
        </w:tc>
        <w:tc>
          <w:tcPr>
            <w:tcW w:w="1204" w:type="dxa"/>
          </w:tcPr>
          <w:p w:rsidRPr="0099104D" w:rsidR="0099104D" w:rsidP="0099104D" w:rsidRDefault="0099104D">
            <w:pPr>
              <w:jc w:val="right"/>
            </w:pPr>
            <w:r w:rsidRPr="0099104D">
              <w:t>18</w:t>
            </w:r>
          </w:p>
        </w:tc>
        <w:tc>
          <w:tcPr>
            <w:tcW w:w="1277" w:type="dxa"/>
          </w:tcPr>
          <w:p w:rsidRPr="0099104D" w:rsidR="0099104D" w:rsidP="0099104D" w:rsidRDefault="0099104D">
            <w:pPr>
              <w:jc w:val="right"/>
            </w:pPr>
            <w:r w:rsidRPr="0099104D">
              <w:t>1,039</w:t>
            </w:r>
          </w:p>
        </w:tc>
        <w:tc>
          <w:tcPr>
            <w:tcW w:w="1389" w:type="dxa"/>
          </w:tcPr>
          <w:p w:rsidRPr="0099104D" w:rsidR="0099104D" w:rsidP="0099104D" w:rsidRDefault="0099104D">
            <w:pPr>
              <w:jc w:val="right"/>
            </w:pPr>
            <w:r w:rsidRPr="0099104D">
              <w:t>$25.72*</w:t>
            </w:r>
          </w:p>
        </w:tc>
        <w:tc>
          <w:tcPr>
            <w:tcW w:w="1430" w:type="dxa"/>
          </w:tcPr>
          <w:p w:rsidRPr="0099104D" w:rsidR="0099104D" w:rsidP="0099104D" w:rsidRDefault="0099104D">
            <w:pPr>
              <w:jc w:val="right"/>
            </w:pPr>
          </w:p>
        </w:tc>
        <w:tc>
          <w:tcPr>
            <w:tcW w:w="1656" w:type="dxa"/>
          </w:tcPr>
          <w:p w:rsidRPr="0099104D" w:rsidR="0099104D" w:rsidP="0099104D" w:rsidRDefault="0099104D">
            <w:pPr>
              <w:jc w:val="right"/>
            </w:pPr>
            <w:r w:rsidRPr="0099104D">
              <w:t>$26,723***</w:t>
            </w:r>
          </w:p>
        </w:tc>
      </w:tr>
      <w:tr w:rsidRPr="0099104D" w:rsidR="0099104D" w:rsidTr="0099104D">
        <w:tc>
          <w:tcPr>
            <w:tcW w:w="1991" w:type="dxa"/>
          </w:tcPr>
          <w:p w:rsidRPr="0099104D" w:rsidR="0099104D" w:rsidP="0099104D" w:rsidRDefault="0099104D">
            <w:r w:rsidRPr="0099104D">
              <w:t>REDE Field Office Interview</w:t>
            </w:r>
          </w:p>
        </w:tc>
        <w:tc>
          <w:tcPr>
            <w:tcW w:w="1533" w:type="dxa"/>
          </w:tcPr>
          <w:p w:rsidRPr="0099104D" w:rsidR="0099104D" w:rsidP="0099104D" w:rsidRDefault="0099104D">
            <w:pPr>
              <w:jc w:val="right"/>
            </w:pPr>
            <w:r w:rsidRPr="0099104D">
              <w:t>50,879</w:t>
            </w:r>
          </w:p>
        </w:tc>
        <w:tc>
          <w:tcPr>
            <w:tcW w:w="1310" w:type="dxa"/>
          </w:tcPr>
          <w:p w:rsidRPr="0099104D" w:rsidR="0099104D" w:rsidP="0099104D" w:rsidRDefault="0099104D">
            <w:pPr>
              <w:jc w:val="right"/>
            </w:pPr>
            <w:r w:rsidRPr="0099104D">
              <w:t>1</w:t>
            </w:r>
          </w:p>
        </w:tc>
        <w:tc>
          <w:tcPr>
            <w:tcW w:w="1204" w:type="dxa"/>
          </w:tcPr>
          <w:p w:rsidRPr="0099104D" w:rsidR="0099104D" w:rsidP="0099104D" w:rsidRDefault="0099104D">
            <w:pPr>
              <w:jc w:val="right"/>
            </w:pPr>
            <w:r w:rsidRPr="0099104D">
              <w:t>18</w:t>
            </w:r>
          </w:p>
        </w:tc>
        <w:tc>
          <w:tcPr>
            <w:tcW w:w="1277" w:type="dxa"/>
          </w:tcPr>
          <w:p w:rsidRPr="0099104D" w:rsidR="0099104D" w:rsidP="0099104D" w:rsidRDefault="0099104D">
            <w:pPr>
              <w:jc w:val="right"/>
            </w:pPr>
            <w:r w:rsidRPr="0099104D">
              <w:t>15,264</w:t>
            </w:r>
          </w:p>
        </w:tc>
        <w:tc>
          <w:tcPr>
            <w:tcW w:w="1389" w:type="dxa"/>
          </w:tcPr>
          <w:p w:rsidRPr="0099104D" w:rsidR="0099104D" w:rsidP="0099104D" w:rsidRDefault="0099104D">
            <w:pPr>
              <w:jc w:val="right"/>
            </w:pPr>
            <w:r w:rsidRPr="0099104D">
              <w:t>$25.72*</w:t>
            </w:r>
          </w:p>
        </w:tc>
        <w:tc>
          <w:tcPr>
            <w:tcW w:w="1430" w:type="dxa"/>
          </w:tcPr>
          <w:p w:rsidRPr="0099104D" w:rsidR="0099104D" w:rsidP="0099104D" w:rsidRDefault="0099104D">
            <w:pPr>
              <w:jc w:val="right"/>
            </w:pPr>
            <w:r w:rsidRPr="0099104D">
              <w:t>24**</w:t>
            </w:r>
          </w:p>
        </w:tc>
        <w:tc>
          <w:tcPr>
            <w:tcW w:w="1656" w:type="dxa"/>
          </w:tcPr>
          <w:p w:rsidRPr="0099104D" w:rsidR="0099104D" w:rsidP="0099104D" w:rsidRDefault="0099104D">
            <w:pPr>
              <w:jc w:val="right"/>
            </w:pPr>
            <w:r w:rsidRPr="0099104D">
              <w:t>$916,033***</w:t>
            </w:r>
          </w:p>
        </w:tc>
      </w:tr>
      <w:tr w:rsidRPr="0099104D" w:rsidR="0099104D" w:rsidTr="0099104D">
        <w:tc>
          <w:tcPr>
            <w:tcW w:w="1991" w:type="dxa"/>
          </w:tcPr>
          <w:p w:rsidRPr="0099104D" w:rsidR="0099104D" w:rsidP="0099104D" w:rsidRDefault="0099104D">
            <w:r w:rsidRPr="0099104D">
              <w:lastRenderedPageBreak/>
              <w:t>SCE Field Office Interview</w:t>
            </w:r>
          </w:p>
        </w:tc>
        <w:tc>
          <w:tcPr>
            <w:tcW w:w="1533" w:type="dxa"/>
          </w:tcPr>
          <w:p w:rsidRPr="0099104D" w:rsidR="0099104D" w:rsidP="0099104D" w:rsidRDefault="0099104D">
            <w:pPr>
              <w:jc w:val="right"/>
            </w:pPr>
            <w:r w:rsidRPr="0099104D">
              <w:t>4,441</w:t>
            </w:r>
          </w:p>
        </w:tc>
        <w:tc>
          <w:tcPr>
            <w:tcW w:w="1310" w:type="dxa"/>
          </w:tcPr>
          <w:p w:rsidRPr="0099104D" w:rsidR="0099104D" w:rsidP="0099104D" w:rsidRDefault="0099104D">
            <w:pPr>
              <w:jc w:val="right"/>
            </w:pPr>
            <w:r w:rsidRPr="0099104D">
              <w:t>1</w:t>
            </w:r>
          </w:p>
        </w:tc>
        <w:tc>
          <w:tcPr>
            <w:tcW w:w="1204" w:type="dxa"/>
          </w:tcPr>
          <w:p w:rsidRPr="0099104D" w:rsidR="0099104D" w:rsidP="0099104D" w:rsidRDefault="0099104D">
            <w:pPr>
              <w:jc w:val="right"/>
            </w:pPr>
            <w:r w:rsidRPr="0099104D">
              <w:t>18</w:t>
            </w:r>
          </w:p>
        </w:tc>
        <w:tc>
          <w:tcPr>
            <w:tcW w:w="1277" w:type="dxa"/>
          </w:tcPr>
          <w:p w:rsidRPr="0099104D" w:rsidR="0099104D" w:rsidP="0099104D" w:rsidRDefault="0099104D">
            <w:pPr>
              <w:jc w:val="right"/>
            </w:pPr>
            <w:r w:rsidRPr="0099104D">
              <w:t>1,332</w:t>
            </w:r>
          </w:p>
        </w:tc>
        <w:tc>
          <w:tcPr>
            <w:tcW w:w="1389" w:type="dxa"/>
          </w:tcPr>
          <w:p w:rsidRPr="0099104D" w:rsidR="0099104D" w:rsidP="0099104D" w:rsidRDefault="0099104D">
            <w:pPr>
              <w:jc w:val="right"/>
            </w:pPr>
            <w:r w:rsidRPr="0099104D">
              <w:t>$25.72*</w:t>
            </w:r>
          </w:p>
        </w:tc>
        <w:tc>
          <w:tcPr>
            <w:tcW w:w="1430" w:type="dxa"/>
          </w:tcPr>
          <w:p w:rsidRPr="0099104D" w:rsidR="0099104D" w:rsidP="0099104D" w:rsidRDefault="0099104D">
            <w:pPr>
              <w:jc w:val="right"/>
            </w:pPr>
            <w:r w:rsidRPr="0099104D">
              <w:t>24**</w:t>
            </w:r>
          </w:p>
        </w:tc>
        <w:tc>
          <w:tcPr>
            <w:tcW w:w="1656" w:type="dxa"/>
          </w:tcPr>
          <w:p w:rsidRPr="0099104D" w:rsidR="0099104D" w:rsidP="0099104D" w:rsidRDefault="0099104D">
            <w:pPr>
              <w:jc w:val="right"/>
            </w:pPr>
            <w:r w:rsidRPr="0099104D">
              <w:t>$79,948***</w:t>
            </w:r>
          </w:p>
        </w:tc>
      </w:tr>
      <w:tr w:rsidRPr="0099104D" w:rsidR="0099104D" w:rsidTr="0099104D">
        <w:tc>
          <w:tcPr>
            <w:tcW w:w="1991" w:type="dxa"/>
          </w:tcPr>
          <w:p w:rsidRPr="0099104D" w:rsidR="0099104D" w:rsidP="0099104D" w:rsidRDefault="0099104D">
            <w:pPr>
              <w:rPr>
                <w:b/>
              </w:rPr>
            </w:pPr>
            <w:r w:rsidRPr="0099104D">
              <w:rPr>
                <w:b/>
              </w:rPr>
              <w:t>Totals</w:t>
            </w:r>
          </w:p>
        </w:tc>
        <w:tc>
          <w:tcPr>
            <w:tcW w:w="1533" w:type="dxa"/>
          </w:tcPr>
          <w:p w:rsidRPr="0099104D" w:rsidR="0099104D" w:rsidP="0099104D" w:rsidRDefault="0099104D">
            <w:pPr>
              <w:jc w:val="right"/>
              <w:rPr>
                <w:b/>
              </w:rPr>
            </w:pPr>
            <w:r w:rsidRPr="0099104D">
              <w:rPr>
                <w:b/>
              </w:rPr>
              <w:t>179,002</w:t>
            </w:r>
          </w:p>
        </w:tc>
        <w:tc>
          <w:tcPr>
            <w:tcW w:w="1310" w:type="dxa"/>
          </w:tcPr>
          <w:p w:rsidRPr="0099104D" w:rsidR="0099104D" w:rsidP="0099104D" w:rsidRDefault="0099104D">
            <w:pPr>
              <w:jc w:val="right"/>
              <w:rPr>
                <w:b/>
              </w:rPr>
            </w:pPr>
          </w:p>
        </w:tc>
        <w:tc>
          <w:tcPr>
            <w:tcW w:w="1204" w:type="dxa"/>
          </w:tcPr>
          <w:p w:rsidRPr="0099104D" w:rsidR="0099104D" w:rsidP="0099104D" w:rsidRDefault="0099104D">
            <w:pPr>
              <w:jc w:val="right"/>
              <w:rPr>
                <w:b/>
              </w:rPr>
            </w:pPr>
          </w:p>
        </w:tc>
        <w:tc>
          <w:tcPr>
            <w:tcW w:w="1277" w:type="dxa"/>
          </w:tcPr>
          <w:p w:rsidRPr="0099104D" w:rsidR="0099104D" w:rsidP="0099104D" w:rsidRDefault="0099104D">
            <w:pPr>
              <w:jc w:val="right"/>
              <w:rPr>
                <w:b/>
              </w:rPr>
            </w:pPr>
            <w:r w:rsidRPr="0099104D">
              <w:rPr>
                <w:b/>
              </w:rPr>
              <w:t>53,701</w:t>
            </w:r>
          </w:p>
        </w:tc>
        <w:tc>
          <w:tcPr>
            <w:tcW w:w="1389" w:type="dxa"/>
          </w:tcPr>
          <w:p w:rsidRPr="0099104D" w:rsidR="0099104D" w:rsidP="0099104D" w:rsidRDefault="0099104D">
            <w:pPr>
              <w:jc w:val="right"/>
              <w:rPr>
                <w:b/>
              </w:rPr>
            </w:pPr>
          </w:p>
        </w:tc>
        <w:tc>
          <w:tcPr>
            <w:tcW w:w="1430" w:type="dxa"/>
          </w:tcPr>
          <w:p w:rsidRPr="0099104D" w:rsidR="0099104D" w:rsidP="0099104D" w:rsidRDefault="0099104D">
            <w:pPr>
              <w:jc w:val="right"/>
              <w:rPr>
                <w:b/>
              </w:rPr>
            </w:pPr>
          </w:p>
        </w:tc>
        <w:tc>
          <w:tcPr>
            <w:tcW w:w="1656" w:type="dxa"/>
          </w:tcPr>
          <w:p w:rsidRPr="0099104D" w:rsidR="0099104D" w:rsidP="0099104D" w:rsidRDefault="0099104D">
            <w:pPr>
              <w:jc w:val="right"/>
              <w:rPr>
                <w:b/>
              </w:rPr>
            </w:pPr>
            <w:r w:rsidRPr="0099104D">
              <w:rPr>
                <w:b/>
              </w:rPr>
              <w:t>$1,950,322***</w:t>
            </w:r>
          </w:p>
        </w:tc>
      </w:tr>
    </w:tbl>
    <w:p w:rsidRPr="0099104D" w:rsidR="0099104D" w:rsidP="00C16A44" w:rsidRDefault="0099104D">
      <w:pPr>
        <w:widowControl w:val="0"/>
        <w:ind w:left="1440"/>
        <w:contextualSpacing/>
        <w:rPr>
          <w:rFonts w:eastAsia="Times New Roman"/>
          <w:bCs/>
          <w:snapToGrid w:val="0"/>
          <w:lang w:eastAsia="en-US"/>
        </w:rPr>
      </w:pPr>
      <w:r w:rsidRPr="0099104D">
        <w:rPr>
          <w:rFonts w:eastAsia="Times New Roman"/>
          <w:snapToGrid w:val="0"/>
          <w:lang w:eastAsia="en-US"/>
        </w:rPr>
        <w:t>* We based this figure on average U.S. citizen’s hourly salary, as reported by Bureau of Labor Statistics data (</w:t>
      </w:r>
      <w:hyperlink w:history="1" r:id="rId7">
        <w:r w:rsidRPr="0099104D">
          <w:rPr>
            <w:rStyle w:val="Hyperlink"/>
            <w:rFonts w:eastAsia="Times New Roman"/>
            <w:snapToGrid w:val="0"/>
            <w:lang w:eastAsia="en-US"/>
          </w:rPr>
          <w:t>https://www.bls.gov/oes/current/oes_nat.htm</w:t>
        </w:r>
      </w:hyperlink>
      <w:r w:rsidRPr="0099104D">
        <w:rPr>
          <w:rFonts w:eastAsia="Times New Roman"/>
          <w:snapToGrid w:val="0"/>
          <w:lang w:eastAsia="en-US"/>
        </w:rPr>
        <w:t>).</w:t>
      </w:r>
    </w:p>
    <w:p w:rsidR="0099104D" w:rsidP="00C16A44" w:rsidRDefault="0099104D">
      <w:pPr>
        <w:widowControl w:val="0"/>
        <w:ind w:left="1440"/>
        <w:contextualSpacing/>
        <w:rPr>
          <w:rFonts w:eastAsia="Times New Roman"/>
          <w:snapToGrid w:val="0"/>
          <w:lang w:eastAsia="en-US"/>
        </w:rPr>
      </w:pPr>
    </w:p>
    <w:p w:rsidRPr="0099104D" w:rsidR="0099104D" w:rsidP="00C16A44" w:rsidRDefault="0099104D">
      <w:pPr>
        <w:widowControl w:val="0"/>
        <w:ind w:left="1440"/>
        <w:contextualSpacing/>
        <w:rPr>
          <w:rFonts w:eastAsia="Times New Roman"/>
          <w:bCs/>
          <w:snapToGrid w:val="0"/>
          <w:lang w:eastAsia="en-US"/>
        </w:rPr>
      </w:pPr>
      <w:r w:rsidRPr="0099104D">
        <w:rPr>
          <w:rFonts w:eastAsia="Times New Roman"/>
          <w:snapToGrid w:val="0"/>
          <w:lang w:eastAsia="en-US"/>
        </w:rPr>
        <w:t>** We based this figure on the average FY 2020 wait times for field offices, based on SSA’s current management information data.</w:t>
      </w:r>
    </w:p>
    <w:p w:rsidR="0099104D" w:rsidP="00C16A44" w:rsidRDefault="0099104D">
      <w:pPr>
        <w:widowControl w:val="0"/>
        <w:ind w:left="1440"/>
        <w:contextualSpacing/>
        <w:rPr>
          <w:rFonts w:eastAsia="Times New Roman"/>
          <w:bCs/>
          <w:snapToGrid w:val="0"/>
          <w:lang w:eastAsia="en-US"/>
        </w:rPr>
      </w:pPr>
    </w:p>
    <w:p w:rsidRPr="0060042A" w:rsidR="0060042A" w:rsidP="00C16A44" w:rsidRDefault="0099104D">
      <w:pPr>
        <w:widowControl w:val="0"/>
        <w:ind w:left="1440"/>
        <w:contextualSpacing/>
        <w:rPr>
          <w:rFonts w:eastAsia="Times New Roman"/>
          <w:b/>
          <w:snapToGrid w:val="0"/>
          <w:lang w:eastAsia="en-US"/>
        </w:rPr>
      </w:pPr>
      <w:r w:rsidRPr="0099104D">
        <w:rPr>
          <w:rFonts w:eastAsia="Times New Roman"/>
          <w:bCs/>
          <w:snapToGrid w:val="0"/>
          <w:lang w:eastAsia="en-US"/>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99104D">
        <w:rPr>
          <w:rFonts w:eastAsia="Times New Roman"/>
          <w:b/>
          <w:bCs/>
          <w:snapToGrid w:val="0"/>
          <w:lang w:eastAsia="en-US"/>
        </w:rPr>
        <w:t xml:space="preserve">  </w:t>
      </w:r>
      <w:r w:rsidRPr="0099104D">
        <w:rPr>
          <w:rFonts w:eastAsia="Times New Roman"/>
          <w:b/>
          <w:bCs/>
          <w:snapToGrid w:val="0"/>
          <w:u w:val="single"/>
          <w:lang w:eastAsia="en-US"/>
        </w:rPr>
        <w:t>There is no actual charge to respondents to complete the application</w:t>
      </w:r>
      <w:r w:rsidRPr="0060042A" w:rsidR="0060042A">
        <w:rPr>
          <w:rFonts w:eastAsia="Times New Roman"/>
          <w:snapToGrid w:val="0"/>
          <w:lang w:eastAsia="en-US"/>
        </w:rPr>
        <w:t>.</w:t>
      </w:r>
    </w:p>
    <w:p w:rsidR="0033549E" w:rsidP="00C16A44" w:rsidRDefault="0033549E">
      <w:pPr>
        <w:ind w:left="1440"/>
        <w:rPr>
          <w:color w:val="000000"/>
        </w:rPr>
      </w:pPr>
    </w:p>
    <w:p w:rsidRPr="00C16A44" w:rsidR="00C16A44" w:rsidP="00C16A44" w:rsidRDefault="00C16A44">
      <w:pPr>
        <w:suppressAutoHyphens/>
        <w:spacing w:line="100" w:lineRule="atLeast"/>
        <w:ind w:left="1440"/>
        <w:rPr>
          <w:rFonts w:eastAsia="Times New Roman"/>
          <w:kern w:val="1"/>
          <w:lang w:eastAsia="ar-SA"/>
        </w:rPr>
      </w:pPr>
      <w:r w:rsidRPr="00C16A44">
        <w:rPr>
          <w:rFonts w:eastAsia="Times New Roman"/>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C16A44" w:rsidR="00C16A44" w:rsidP="00C16A44" w:rsidRDefault="00C16A44">
      <w:pPr>
        <w:suppressAutoHyphens/>
        <w:spacing w:line="100" w:lineRule="atLeast"/>
        <w:ind w:left="1440"/>
        <w:rPr>
          <w:rFonts w:eastAsia="Times New Roman"/>
          <w:kern w:val="1"/>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C16A44" w:rsidR="00C16A44" w:rsidTr="00CA2A0E">
        <w:tc>
          <w:tcPr>
            <w:tcW w:w="1870" w:type="dxa"/>
          </w:tcPr>
          <w:p w:rsidRPr="00C16A44" w:rsidR="00C16A44" w:rsidP="00C16A44" w:rsidRDefault="00C16A44">
            <w:pPr>
              <w:suppressAutoHyphens/>
              <w:spacing w:line="100" w:lineRule="atLeast"/>
              <w:rPr>
                <w:kern w:val="1"/>
                <w:lang w:eastAsia="ar-SA"/>
              </w:rPr>
            </w:pPr>
            <w:r w:rsidRPr="00C16A44">
              <w:rPr>
                <w:kern w:val="1"/>
                <w:lang w:eastAsia="ar-SA"/>
              </w:rPr>
              <w:t>Total Number of Respondents Who Visit a Field Office</w:t>
            </w:r>
          </w:p>
        </w:tc>
        <w:tc>
          <w:tcPr>
            <w:tcW w:w="1870" w:type="dxa"/>
          </w:tcPr>
          <w:p w:rsidRPr="00C16A44" w:rsidR="00C16A44" w:rsidP="00C16A44" w:rsidRDefault="00C16A44">
            <w:pPr>
              <w:suppressAutoHyphens/>
              <w:spacing w:line="100" w:lineRule="atLeast"/>
              <w:rPr>
                <w:kern w:val="1"/>
                <w:lang w:eastAsia="ar-SA"/>
              </w:rPr>
            </w:pPr>
            <w:r w:rsidRPr="00C16A44">
              <w:rPr>
                <w:kern w:val="1"/>
                <w:lang w:eastAsia="ar-SA"/>
              </w:rPr>
              <w:t>Frequency of Response</w:t>
            </w:r>
          </w:p>
        </w:tc>
        <w:tc>
          <w:tcPr>
            <w:tcW w:w="1870" w:type="dxa"/>
          </w:tcPr>
          <w:p w:rsidRPr="00C16A44" w:rsidR="00C16A44" w:rsidP="00C16A44" w:rsidRDefault="00C16A44">
            <w:pPr>
              <w:suppressAutoHyphens/>
              <w:spacing w:line="100" w:lineRule="atLeast"/>
              <w:rPr>
                <w:kern w:val="1"/>
                <w:lang w:eastAsia="ar-SA"/>
              </w:rPr>
            </w:pPr>
            <w:r w:rsidRPr="00C16A44">
              <w:rPr>
                <w:kern w:val="1"/>
                <w:lang w:eastAsia="ar-SA"/>
              </w:rPr>
              <w:t>Average One-Way Travel Time to a Field Office (minutes)</w:t>
            </w:r>
          </w:p>
        </w:tc>
        <w:tc>
          <w:tcPr>
            <w:tcW w:w="1870" w:type="dxa"/>
          </w:tcPr>
          <w:p w:rsidRPr="00C16A44" w:rsidR="00C16A44" w:rsidP="00C16A44" w:rsidRDefault="00C16A44">
            <w:pPr>
              <w:suppressAutoHyphens/>
              <w:spacing w:line="100" w:lineRule="atLeast"/>
              <w:rPr>
                <w:kern w:val="1"/>
                <w:lang w:eastAsia="ar-SA"/>
              </w:rPr>
            </w:pPr>
            <w:r w:rsidRPr="00C16A44">
              <w:rPr>
                <w:kern w:val="1"/>
                <w:lang w:eastAsia="ar-SA"/>
              </w:rPr>
              <w:t>Estimated Total Travel Time to a Field Office (hours)</w:t>
            </w:r>
          </w:p>
        </w:tc>
        <w:tc>
          <w:tcPr>
            <w:tcW w:w="1870" w:type="dxa"/>
          </w:tcPr>
          <w:p w:rsidRPr="00C16A44" w:rsidR="00C16A44" w:rsidP="00C16A44" w:rsidRDefault="00C16A44">
            <w:pPr>
              <w:suppressAutoHyphens/>
              <w:spacing w:line="100" w:lineRule="atLeast"/>
              <w:rPr>
                <w:kern w:val="1"/>
                <w:lang w:eastAsia="ar-SA"/>
              </w:rPr>
            </w:pPr>
            <w:r w:rsidRPr="00C16A44">
              <w:rPr>
                <w:kern w:val="1"/>
                <w:lang w:eastAsia="ar-SA"/>
              </w:rPr>
              <w:t>Total Annual Opportunity Cost for Travel Time (dollars)****</w:t>
            </w:r>
          </w:p>
        </w:tc>
      </w:tr>
      <w:tr w:rsidRPr="00C16A44" w:rsidR="00C16A44" w:rsidTr="00CA2A0E">
        <w:tc>
          <w:tcPr>
            <w:tcW w:w="1870" w:type="dxa"/>
          </w:tcPr>
          <w:p w:rsidRPr="00C16A44" w:rsidR="00C16A44" w:rsidP="00C16A44" w:rsidRDefault="00C16A44">
            <w:pPr>
              <w:suppressAutoHyphens/>
              <w:spacing w:line="100" w:lineRule="atLeast"/>
              <w:jc w:val="right"/>
              <w:rPr>
                <w:kern w:val="1"/>
                <w:lang w:eastAsia="ar-SA"/>
              </w:rPr>
            </w:pPr>
            <w:r>
              <w:rPr>
                <w:rFonts w:eastAsia="Calibri"/>
                <w:lang w:eastAsia="en-US"/>
              </w:rPr>
              <w:t>55,320</w:t>
            </w:r>
          </w:p>
        </w:tc>
        <w:tc>
          <w:tcPr>
            <w:tcW w:w="1870" w:type="dxa"/>
          </w:tcPr>
          <w:p w:rsidRPr="00C16A44" w:rsidR="00C16A44" w:rsidP="00C16A44" w:rsidRDefault="00C16A44">
            <w:pPr>
              <w:suppressAutoHyphens/>
              <w:spacing w:line="100" w:lineRule="atLeast"/>
              <w:jc w:val="right"/>
              <w:rPr>
                <w:kern w:val="1"/>
                <w:lang w:eastAsia="ar-SA"/>
              </w:rPr>
            </w:pPr>
            <w:r w:rsidRPr="00C16A44">
              <w:rPr>
                <w:kern w:val="1"/>
                <w:lang w:eastAsia="ar-SA"/>
              </w:rPr>
              <w:t>1</w:t>
            </w:r>
          </w:p>
        </w:tc>
        <w:tc>
          <w:tcPr>
            <w:tcW w:w="1870" w:type="dxa"/>
          </w:tcPr>
          <w:p w:rsidRPr="00C16A44" w:rsidR="00C16A44" w:rsidP="00C16A44" w:rsidRDefault="00C16A44">
            <w:pPr>
              <w:suppressAutoHyphens/>
              <w:spacing w:line="100" w:lineRule="atLeast"/>
              <w:jc w:val="right"/>
              <w:rPr>
                <w:kern w:val="1"/>
                <w:lang w:eastAsia="ar-SA"/>
              </w:rPr>
            </w:pPr>
            <w:r w:rsidRPr="00C16A44">
              <w:rPr>
                <w:kern w:val="1"/>
                <w:lang w:eastAsia="ar-SA"/>
              </w:rPr>
              <w:t>30</w:t>
            </w:r>
          </w:p>
        </w:tc>
        <w:tc>
          <w:tcPr>
            <w:tcW w:w="1870" w:type="dxa"/>
          </w:tcPr>
          <w:p w:rsidRPr="00C16A44" w:rsidR="00C16A44" w:rsidP="00C16A44" w:rsidRDefault="00C16A44">
            <w:pPr>
              <w:suppressAutoHyphens/>
              <w:spacing w:line="100" w:lineRule="atLeast"/>
              <w:jc w:val="right"/>
              <w:rPr>
                <w:kern w:val="1"/>
                <w:lang w:eastAsia="ar-SA"/>
              </w:rPr>
            </w:pPr>
            <w:r>
              <w:rPr>
                <w:kern w:val="1"/>
                <w:lang w:eastAsia="ar-SA"/>
              </w:rPr>
              <w:t>27,660</w:t>
            </w:r>
          </w:p>
        </w:tc>
        <w:tc>
          <w:tcPr>
            <w:tcW w:w="1870" w:type="dxa"/>
          </w:tcPr>
          <w:p w:rsidRPr="00C16A44" w:rsidR="00C16A44" w:rsidP="00C16A44" w:rsidRDefault="00C16A44">
            <w:pPr>
              <w:suppressAutoHyphens/>
              <w:spacing w:line="100" w:lineRule="atLeast"/>
              <w:jc w:val="right"/>
              <w:rPr>
                <w:kern w:val="1"/>
                <w:lang w:eastAsia="ar-SA"/>
              </w:rPr>
            </w:pPr>
            <w:r w:rsidRPr="00C16A44">
              <w:rPr>
                <w:kern w:val="1"/>
                <w:lang w:eastAsia="ar-SA"/>
              </w:rPr>
              <w:t>$</w:t>
            </w:r>
            <w:r>
              <w:rPr>
                <w:kern w:val="1"/>
                <w:lang w:eastAsia="ar-SA"/>
              </w:rPr>
              <w:t>711,415</w:t>
            </w:r>
          </w:p>
        </w:tc>
      </w:tr>
    </w:tbl>
    <w:p w:rsidRPr="00C16A44" w:rsidR="00C16A44" w:rsidP="00C16A44" w:rsidRDefault="00C16A44">
      <w:pPr>
        <w:suppressAutoHyphens/>
        <w:spacing w:line="100" w:lineRule="atLeast"/>
        <w:ind w:left="1440"/>
        <w:rPr>
          <w:rFonts w:eastAsia="Times New Roman"/>
          <w:kern w:val="1"/>
          <w:lang w:eastAsia="ar-SA"/>
        </w:rPr>
      </w:pPr>
      <w:r w:rsidRPr="00C16A44">
        <w:rPr>
          <w:rFonts w:eastAsia="Times New Roman"/>
          <w:kern w:val="1"/>
          <w:lang w:eastAsia="ar-SA"/>
        </w:rPr>
        <w:t>****</w:t>
      </w:r>
      <w:r>
        <w:rPr>
          <w:rFonts w:eastAsia="Times New Roman"/>
          <w:kern w:val="1"/>
          <w:lang w:eastAsia="ar-SA"/>
        </w:rPr>
        <w:t xml:space="preserve"> </w:t>
      </w:r>
      <w:r w:rsidRPr="00C16A44">
        <w:rPr>
          <w:rFonts w:eastAsia="Times New Roman"/>
          <w:kern w:val="1"/>
          <w:lang w:eastAsia="ar-SA"/>
        </w:rPr>
        <w:t xml:space="preserve">We based this dollar amount on the Average Theoretical Hourly Cost Amount in dollars shown on the burden chart above. </w:t>
      </w:r>
    </w:p>
    <w:p w:rsidRPr="00C16A44" w:rsidR="00C16A44" w:rsidP="00C16A44" w:rsidRDefault="00C16A44">
      <w:pPr>
        <w:suppressAutoHyphens/>
        <w:spacing w:line="100" w:lineRule="atLeast"/>
        <w:rPr>
          <w:rFonts w:eastAsia="Times New Roman"/>
          <w:kern w:val="1"/>
          <w:lang w:eastAsia="ar-SA"/>
        </w:rPr>
      </w:pPr>
      <w:r w:rsidRPr="00C16A44">
        <w:rPr>
          <w:rFonts w:eastAsia="Times New Roman"/>
          <w:kern w:val="1"/>
          <w:lang w:eastAsia="ar-SA"/>
        </w:rPr>
        <w:t xml:space="preserve"> </w:t>
      </w:r>
    </w:p>
    <w:p w:rsidRPr="00C16A44" w:rsidR="00C16A44" w:rsidP="00C16A44" w:rsidRDefault="00C16A44">
      <w:pPr>
        <w:suppressAutoHyphens/>
        <w:spacing w:line="100" w:lineRule="atLeast"/>
        <w:ind w:left="1440"/>
        <w:rPr>
          <w:rFonts w:eastAsia="Times New Roman"/>
          <w:kern w:val="1"/>
          <w:lang w:eastAsia="ar-SA"/>
        </w:rPr>
      </w:pPr>
      <w:r w:rsidRPr="00C16A44">
        <w:rPr>
          <w:rFonts w:eastAsia="Times New Roman"/>
          <w:kern w:val="1"/>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C16A44" w:rsidR="00C16A44" w:rsidP="00C16A44" w:rsidRDefault="00C16A44">
      <w:pPr>
        <w:suppressAutoHyphens/>
        <w:spacing w:line="100" w:lineRule="atLeast"/>
        <w:rPr>
          <w:rFonts w:eastAsia="Times New Roman"/>
          <w:kern w:val="1"/>
          <w:lang w:eastAsia="ar-SA"/>
        </w:rPr>
      </w:pPr>
    </w:p>
    <w:p w:rsidRPr="00C16A44" w:rsidR="00C16A44" w:rsidP="00C16A44" w:rsidRDefault="00C16A44">
      <w:pPr>
        <w:tabs>
          <w:tab w:val="left" w:pos="1440"/>
        </w:tabs>
        <w:ind w:left="1440"/>
        <w:contextualSpacing/>
        <w:rPr>
          <w:rFonts w:eastAsia="Calibri"/>
          <w:lang w:eastAsia="en-US"/>
        </w:rPr>
      </w:pPr>
      <w:r w:rsidRPr="00C16A44">
        <w:rPr>
          <w:rFonts w:eastAsia="Times New Roman"/>
          <w:kern w:val="1"/>
          <w:lang w:eastAsia="ar-SA"/>
        </w:rPr>
        <w:t>NOTE:  We included the total opportunity cost estimate from this chart in our calculations when showing the total opportunity cost estimates in the paragraph below.</w:t>
      </w:r>
    </w:p>
    <w:p w:rsidRPr="00C16A44" w:rsidR="00C16A44" w:rsidP="00C16A44" w:rsidRDefault="00C16A44">
      <w:pPr>
        <w:ind w:left="1440"/>
        <w:rPr>
          <w:rFonts w:eastAsia="Calibri"/>
          <w:lang w:eastAsia="en-US"/>
        </w:rPr>
      </w:pPr>
    </w:p>
    <w:p w:rsidR="00307DB4" w:rsidP="00C16A44" w:rsidRDefault="00C16A44">
      <w:pPr>
        <w:ind w:left="1440"/>
      </w:pPr>
      <w:r w:rsidRPr="00C16A44">
        <w:rPr>
          <w:rFonts w:eastAsia="Times New Roman" w:cs="Courier New"/>
        </w:rPr>
        <w:t xml:space="preserve">The total burden for this ICR is </w:t>
      </w:r>
      <w:r w:rsidR="00FE1ABD">
        <w:rPr>
          <w:rFonts w:eastAsia="Times New Roman" w:cs="Courier New"/>
          <w:b/>
        </w:rPr>
        <w:t>53,701</w:t>
      </w:r>
      <w:r w:rsidRPr="00C16A44">
        <w:rPr>
          <w:rFonts w:eastAsia="Times New Roman" w:cs="Courier New"/>
        </w:rPr>
        <w:t xml:space="preserve"> burden hours (reflecting SSA management information data), which results in an associated theoretical (not actual) opportunity cost financial burden of </w:t>
      </w:r>
      <w:r w:rsidRPr="00C16A44">
        <w:rPr>
          <w:rFonts w:eastAsia="Times New Roman" w:cs="Courier New"/>
          <w:b/>
        </w:rPr>
        <w:t>$</w:t>
      </w:r>
      <w:r w:rsidR="00FE1ABD">
        <w:rPr>
          <w:rFonts w:eastAsia="Times New Roman" w:cs="Courier New"/>
          <w:b/>
        </w:rPr>
        <w:t>2,661,737</w:t>
      </w:r>
      <w:r w:rsidRPr="00C16A44">
        <w:rPr>
          <w:rFonts w:eastAsia="Times New Roman" w:cs="Courier New"/>
        </w:rPr>
        <w:t>.  SSA does not charge respondents to complete our applications</w:t>
      </w:r>
      <w:r w:rsidRPr="00C16A44">
        <w:rPr>
          <w:rFonts w:eastAsia="Times New Roman"/>
          <w:noProof/>
          <w:snapToGrid w:val="0"/>
        </w:rPr>
        <w:t xml:space="preserve">.  We base our burden estimates on current management information data, which includes data from actual interviews, as well as from years of conducting this information collection.  Per our management information data, we believe that the </w:t>
      </w:r>
      <w:r w:rsidR="00920370">
        <w:rPr>
          <w:rFonts w:eastAsia="Times New Roman"/>
          <w:noProof/>
          <w:snapToGrid w:val="0"/>
        </w:rPr>
        <w:t>18</w:t>
      </w:r>
      <w:r w:rsidRPr="00C16A44">
        <w:rPr>
          <w:rFonts w:eastAsia="Times New Roman"/>
          <w:noProof/>
          <w:snapToGrid w:val="0"/>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C16A44">
        <w:rPr>
          <w:rFonts w:eastAsia="Times New Roman"/>
        </w:rPr>
        <w:t>.</w:t>
      </w:r>
    </w:p>
    <w:p w:rsidR="00307DB4" w:rsidP="00C16A44" w:rsidRDefault="00307DB4"/>
    <w:p w:rsidR="00307DB4" w:rsidP="008D6B8A" w:rsidRDefault="00AB24BE">
      <w:pPr>
        <w:numPr>
          <w:ilvl w:val="1"/>
          <w:numId w:val="1"/>
        </w:numPr>
        <w:ind w:hanging="720"/>
      </w:pPr>
      <w:r w:rsidRPr="00BC7F42">
        <w:rPr>
          <w:b/>
        </w:rPr>
        <w:t>Annual</w:t>
      </w:r>
      <w:r w:rsidRPr="00BC7F42">
        <w:t xml:space="preserve"> </w:t>
      </w:r>
      <w:r w:rsidRPr="00BC7F42">
        <w:rPr>
          <w:b/>
        </w:rPr>
        <w:t>Cost to the Respondents (Other)</w:t>
      </w:r>
    </w:p>
    <w:p w:rsidR="00307DB4" w:rsidP="00307DB4" w:rsidRDefault="00307DB4">
      <w:pPr>
        <w:ind w:left="1440"/>
      </w:pPr>
      <w:r>
        <w:t>Th</w:t>
      </w:r>
      <w:r w:rsidR="00D357F1">
        <w:t>is collection does not impose a</w:t>
      </w:r>
      <w:r>
        <w:t xml:space="preserve"> known cost burden o</w:t>
      </w:r>
      <w:r w:rsidR="00D357F1">
        <w:t>n</w:t>
      </w:r>
      <w:r>
        <w:t xml:space="preserve"> the respondents.</w:t>
      </w:r>
    </w:p>
    <w:p w:rsidR="00307DB4" w:rsidP="00307DB4" w:rsidRDefault="00307DB4"/>
    <w:p w:rsidR="00307DB4" w:rsidP="008D6B8A" w:rsidRDefault="00D357F1">
      <w:pPr>
        <w:numPr>
          <w:ilvl w:val="1"/>
          <w:numId w:val="1"/>
        </w:numPr>
        <w:ind w:hanging="720"/>
      </w:pPr>
      <w:r>
        <w:rPr>
          <w:b/>
          <w:bCs/>
        </w:rPr>
        <w:t xml:space="preserve">Annual Cost to the </w:t>
      </w:r>
      <w:r w:rsidR="00307DB4">
        <w:rPr>
          <w:b/>
          <w:bCs/>
        </w:rPr>
        <w:t>Federal Government</w:t>
      </w:r>
    </w:p>
    <w:p w:rsidR="00307DB4" w:rsidP="00912621" w:rsidRDefault="00307DB4">
      <w:pPr>
        <w:ind w:left="1440"/>
      </w:pPr>
      <w:r>
        <w:t xml:space="preserve">The annual cost to the Federal Government is approximately </w:t>
      </w:r>
      <w:r w:rsidRPr="00912621">
        <w:t>$</w:t>
      </w:r>
      <w:r w:rsidR="00B541C9">
        <w:t>5,08</w:t>
      </w:r>
      <w:r w:rsidR="00AC720B">
        <w:t>7</w:t>
      </w:r>
      <w:r w:rsidR="00B541C9">
        <w:t>,</w:t>
      </w:r>
      <w:r w:rsidR="00AC720B">
        <w:t>78</w:t>
      </w:r>
      <w:r w:rsidR="00B541C9">
        <w:t>0</w:t>
      </w:r>
      <w:r w:rsidRPr="00912621">
        <w:t>.</w:t>
      </w:r>
      <w:r>
        <w:t xml:space="preserve">  </w:t>
      </w:r>
      <w:r w:rsidRPr="0094100A" w:rsidR="00AC720B">
        <w:rPr>
          <w:color w:val="000000"/>
        </w:rPr>
        <w:t>This estimate accounts for costs from the following areas</w:t>
      </w:r>
      <w:r w:rsidR="00AC720B">
        <w:rPr>
          <w:color w:val="000000"/>
        </w:rPr>
        <w:t>:</w:t>
      </w:r>
    </w:p>
    <w:p w:rsidR="000B53B5" w:rsidP="00912621" w:rsidRDefault="000B53B5">
      <w:pPr>
        <w:ind w:left="1440"/>
      </w:pPr>
    </w:p>
    <w:tbl>
      <w:tblPr>
        <w:tblW w:w="105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229"/>
        <w:gridCol w:w="3689"/>
        <w:gridCol w:w="2612"/>
      </w:tblGrid>
      <w:tr w:rsidRPr="00AC720B" w:rsidR="00AC720B" w:rsidTr="00CA2A0E">
        <w:tc>
          <w:tcPr>
            <w:tcW w:w="4229" w:type="dxa"/>
            <w:tcMar>
              <w:top w:w="0" w:type="dxa"/>
              <w:left w:w="108" w:type="dxa"/>
              <w:bottom w:w="0" w:type="dxa"/>
              <w:right w:w="108" w:type="dxa"/>
            </w:tcMar>
            <w:hideMark/>
          </w:tcPr>
          <w:p w:rsidRPr="00AC720B" w:rsidR="00AC720B" w:rsidP="00AC720B" w:rsidRDefault="00AC720B">
            <w:pPr>
              <w:contextualSpacing/>
              <w:rPr>
                <w:rFonts w:eastAsia="Calibri"/>
                <w:b/>
                <w:bCs/>
                <w:color w:val="000000"/>
                <w:lang w:eastAsia="en-US"/>
              </w:rPr>
            </w:pPr>
            <w:r w:rsidRPr="00AC720B">
              <w:rPr>
                <w:rFonts w:eastAsia="Calibri"/>
                <w:b/>
                <w:bCs/>
                <w:color w:val="000000"/>
                <w:lang w:eastAsia="en-US"/>
              </w:rPr>
              <w:t>Description of Cost Factor</w:t>
            </w:r>
          </w:p>
        </w:tc>
        <w:tc>
          <w:tcPr>
            <w:tcW w:w="3689" w:type="dxa"/>
            <w:tcMar>
              <w:top w:w="0" w:type="dxa"/>
              <w:left w:w="108" w:type="dxa"/>
              <w:bottom w:w="0" w:type="dxa"/>
              <w:right w:w="108" w:type="dxa"/>
            </w:tcMar>
            <w:hideMark/>
          </w:tcPr>
          <w:p w:rsidRPr="00AC720B" w:rsidR="00AC720B" w:rsidP="00AC720B" w:rsidRDefault="00AC720B">
            <w:pPr>
              <w:contextualSpacing/>
              <w:rPr>
                <w:rFonts w:eastAsia="Calibri"/>
                <w:b/>
                <w:bCs/>
                <w:color w:val="000000"/>
                <w:lang w:eastAsia="en-US"/>
              </w:rPr>
            </w:pPr>
            <w:r w:rsidRPr="00AC720B">
              <w:rPr>
                <w:rFonts w:eastAsia="Calibri"/>
                <w:b/>
                <w:bCs/>
                <w:color w:val="000000"/>
                <w:lang w:eastAsia="en-US"/>
              </w:rPr>
              <w:t>Methodology for Estimating Cost</w:t>
            </w:r>
          </w:p>
        </w:tc>
        <w:tc>
          <w:tcPr>
            <w:tcW w:w="2612" w:type="dxa"/>
            <w:tcMar>
              <w:top w:w="0" w:type="dxa"/>
              <w:left w:w="108" w:type="dxa"/>
              <w:bottom w:w="0" w:type="dxa"/>
              <w:right w:w="108" w:type="dxa"/>
            </w:tcMar>
            <w:hideMark/>
          </w:tcPr>
          <w:p w:rsidRPr="00AC720B" w:rsidR="00AC720B" w:rsidP="00AC720B" w:rsidRDefault="00AC720B">
            <w:pPr>
              <w:contextualSpacing/>
              <w:rPr>
                <w:rFonts w:eastAsia="Calibri"/>
                <w:b/>
                <w:bCs/>
                <w:color w:val="000000"/>
                <w:lang w:eastAsia="en-US"/>
              </w:rPr>
            </w:pPr>
            <w:r w:rsidRPr="00AC720B">
              <w:rPr>
                <w:rFonts w:eastAsia="Calibri"/>
                <w:b/>
                <w:bCs/>
                <w:color w:val="000000"/>
                <w:lang w:eastAsia="en-US"/>
              </w:rPr>
              <w:t>Cost in Dollars*</w:t>
            </w:r>
          </w:p>
        </w:tc>
      </w:tr>
      <w:tr w:rsidRPr="00AC720B" w:rsidR="00AC720B" w:rsidTr="00CA2A0E">
        <w:tc>
          <w:tcPr>
            <w:tcW w:w="4229" w:type="dxa"/>
            <w:tcMar>
              <w:top w:w="0" w:type="dxa"/>
              <w:left w:w="108" w:type="dxa"/>
              <w:bottom w:w="0" w:type="dxa"/>
              <w:right w:w="108" w:type="dxa"/>
            </w:tcMar>
            <w:hideMark/>
          </w:tcPr>
          <w:p w:rsidRPr="00AC720B" w:rsidR="00AC720B" w:rsidP="00AC720B" w:rsidRDefault="00AC720B">
            <w:pPr>
              <w:contextualSpacing/>
              <w:rPr>
                <w:rFonts w:eastAsia="Calibri"/>
                <w:color w:val="000000"/>
                <w:lang w:eastAsia="en-US"/>
              </w:rPr>
            </w:pPr>
            <w:r w:rsidRPr="00AC720B">
              <w:rPr>
                <w:rFonts w:eastAsia="Calibri"/>
                <w:color w:val="000000"/>
                <w:lang w:eastAsia="en-US"/>
              </w:rPr>
              <w:t>Designing and Printing the Form</w:t>
            </w:r>
          </w:p>
        </w:tc>
        <w:tc>
          <w:tcPr>
            <w:tcW w:w="3689" w:type="dxa"/>
            <w:tcMar>
              <w:top w:w="0" w:type="dxa"/>
              <w:left w:w="108" w:type="dxa"/>
              <w:bottom w:w="0" w:type="dxa"/>
              <w:right w:w="108" w:type="dxa"/>
            </w:tcMar>
            <w:hideMark/>
          </w:tcPr>
          <w:p w:rsidRPr="00AC720B" w:rsidR="00AC720B" w:rsidP="00AC720B" w:rsidRDefault="00AC720B">
            <w:pPr>
              <w:contextualSpacing/>
              <w:rPr>
                <w:rFonts w:eastAsia="Calibri"/>
                <w:color w:val="000000"/>
                <w:lang w:eastAsia="en-US"/>
              </w:rPr>
            </w:pPr>
            <w:r w:rsidRPr="00AC720B">
              <w:rPr>
                <w:rFonts w:eastAsia="Calibri"/>
                <w:color w:val="000000"/>
                <w:lang w:eastAsia="en-US"/>
              </w:rPr>
              <w:t>Design Cost + Printing Cost</w:t>
            </w:r>
          </w:p>
        </w:tc>
        <w:tc>
          <w:tcPr>
            <w:tcW w:w="2612" w:type="dxa"/>
            <w:tcMar>
              <w:top w:w="0" w:type="dxa"/>
              <w:left w:w="108" w:type="dxa"/>
              <w:bottom w:w="0" w:type="dxa"/>
              <w:right w:w="108" w:type="dxa"/>
            </w:tcMar>
          </w:tcPr>
          <w:p w:rsidRPr="00AC720B" w:rsidR="00AC720B" w:rsidP="00AC720B" w:rsidRDefault="00AC720B">
            <w:pPr>
              <w:contextualSpacing/>
              <w:jc w:val="right"/>
              <w:rPr>
                <w:rFonts w:eastAsia="Calibri"/>
                <w:color w:val="000000"/>
                <w:lang w:eastAsia="en-US"/>
              </w:rPr>
            </w:pPr>
            <w:r w:rsidRPr="00AC720B">
              <w:rPr>
                <w:rFonts w:eastAsia="Calibri"/>
                <w:color w:val="000000"/>
                <w:lang w:eastAsia="en-US"/>
              </w:rPr>
              <w:t>$</w:t>
            </w:r>
            <w:r>
              <w:rPr>
                <w:rFonts w:eastAsia="Calibri"/>
                <w:color w:val="000000"/>
                <w:lang w:eastAsia="en-US"/>
              </w:rPr>
              <w:t>1,970</w:t>
            </w:r>
          </w:p>
        </w:tc>
      </w:tr>
      <w:tr w:rsidRPr="00AC720B" w:rsidR="00AC720B" w:rsidTr="00CA2A0E">
        <w:tc>
          <w:tcPr>
            <w:tcW w:w="4229" w:type="dxa"/>
            <w:tcMar>
              <w:top w:w="0" w:type="dxa"/>
              <w:left w:w="108" w:type="dxa"/>
              <w:bottom w:w="0" w:type="dxa"/>
              <w:right w:w="108" w:type="dxa"/>
            </w:tcMar>
            <w:hideMark/>
          </w:tcPr>
          <w:p w:rsidRPr="00AC720B" w:rsidR="00AC720B" w:rsidP="00AC720B" w:rsidRDefault="00AC720B">
            <w:pPr>
              <w:contextualSpacing/>
              <w:rPr>
                <w:rFonts w:eastAsia="Calibri"/>
                <w:color w:val="000000"/>
                <w:lang w:eastAsia="en-US"/>
              </w:rPr>
            </w:pPr>
            <w:r w:rsidRPr="00AC720B">
              <w:rPr>
                <w:rFonts w:eastAsia="Calibri"/>
                <w:color w:val="000000"/>
                <w:lang w:eastAsia="en-US"/>
              </w:rPr>
              <w:t>Distributing, Shipping, and Material Costs for the Form</w:t>
            </w:r>
          </w:p>
        </w:tc>
        <w:tc>
          <w:tcPr>
            <w:tcW w:w="3689" w:type="dxa"/>
            <w:tcMar>
              <w:top w:w="0" w:type="dxa"/>
              <w:left w:w="108" w:type="dxa"/>
              <w:bottom w:w="0" w:type="dxa"/>
              <w:right w:w="108" w:type="dxa"/>
            </w:tcMar>
            <w:hideMark/>
          </w:tcPr>
          <w:p w:rsidRPr="00AC720B" w:rsidR="00AC720B" w:rsidP="00AC720B" w:rsidRDefault="00AC720B">
            <w:pPr>
              <w:contextualSpacing/>
              <w:rPr>
                <w:rFonts w:eastAsia="Calibri"/>
                <w:color w:val="000000"/>
                <w:lang w:eastAsia="en-US"/>
              </w:rPr>
            </w:pPr>
            <w:r w:rsidRPr="00AC720B">
              <w:rPr>
                <w:rFonts w:eastAsia="Calibri"/>
                <w:color w:val="000000"/>
                <w:lang w:eastAsia="en-US"/>
              </w:rPr>
              <w:t>Distribution + Shipping + Material Cost</w:t>
            </w:r>
          </w:p>
        </w:tc>
        <w:tc>
          <w:tcPr>
            <w:tcW w:w="2612" w:type="dxa"/>
            <w:tcMar>
              <w:top w:w="0" w:type="dxa"/>
              <w:left w:w="108" w:type="dxa"/>
              <w:bottom w:w="0" w:type="dxa"/>
              <w:right w:w="108" w:type="dxa"/>
            </w:tcMar>
          </w:tcPr>
          <w:p w:rsidRPr="00AC720B" w:rsidR="00AC720B" w:rsidP="00AC720B" w:rsidRDefault="00AC720B">
            <w:pPr>
              <w:contextualSpacing/>
              <w:jc w:val="right"/>
              <w:rPr>
                <w:rFonts w:eastAsia="Calibri"/>
                <w:color w:val="000000"/>
                <w:lang w:eastAsia="en-US"/>
              </w:rPr>
            </w:pPr>
            <w:r w:rsidRPr="00AC720B">
              <w:rPr>
                <w:rFonts w:eastAsia="Calibri"/>
                <w:color w:val="000000"/>
                <w:lang w:eastAsia="en-US"/>
              </w:rPr>
              <w:t>$</w:t>
            </w:r>
            <w:r>
              <w:rPr>
                <w:rFonts w:eastAsia="Calibri"/>
                <w:color w:val="000000"/>
                <w:lang w:eastAsia="en-US"/>
              </w:rPr>
              <w:t>348,125</w:t>
            </w:r>
          </w:p>
        </w:tc>
      </w:tr>
      <w:tr w:rsidRPr="00AC720B" w:rsidR="00AC720B" w:rsidTr="00CA2A0E">
        <w:tc>
          <w:tcPr>
            <w:tcW w:w="4229" w:type="dxa"/>
            <w:tcMar>
              <w:top w:w="0" w:type="dxa"/>
              <w:left w:w="108" w:type="dxa"/>
              <w:bottom w:w="0" w:type="dxa"/>
              <w:right w:w="108" w:type="dxa"/>
            </w:tcMar>
            <w:hideMark/>
          </w:tcPr>
          <w:p w:rsidRPr="00AC720B" w:rsidR="00AC720B" w:rsidP="00AC720B" w:rsidRDefault="00AC720B">
            <w:pPr>
              <w:contextualSpacing/>
              <w:rPr>
                <w:rFonts w:eastAsia="Calibri"/>
                <w:color w:val="000000"/>
                <w:lang w:eastAsia="en-US"/>
              </w:rPr>
            </w:pPr>
            <w:r w:rsidRPr="00AC720B">
              <w:rPr>
                <w:rFonts w:eastAsia="Calibri"/>
                <w:color w:val="000000"/>
                <w:lang w:eastAsia="en-US"/>
              </w:rPr>
              <w:t>SSA Employee (e.g., field office, 800 number, DDS staff) Information Collection and Processing Time</w:t>
            </w:r>
          </w:p>
        </w:tc>
        <w:tc>
          <w:tcPr>
            <w:tcW w:w="3689" w:type="dxa"/>
            <w:tcMar>
              <w:top w:w="0" w:type="dxa"/>
              <w:left w:w="108" w:type="dxa"/>
              <w:bottom w:w="0" w:type="dxa"/>
              <w:right w:w="108" w:type="dxa"/>
            </w:tcMar>
            <w:hideMark/>
          </w:tcPr>
          <w:p w:rsidRPr="00AC720B" w:rsidR="00AC720B" w:rsidP="00AC720B" w:rsidRDefault="00AC720B">
            <w:pPr>
              <w:contextualSpacing/>
              <w:rPr>
                <w:rFonts w:eastAsia="Calibri"/>
                <w:color w:val="000000"/>
                <w:lang w:eastAsia="en-US"/>
              </w:rPr>
            </w:pPr>
            <w:r w:rsidRPr="00AC720B">
              <w:rPr>
                <w:rFonts w:eastAsia="Calibri"/>
                <w:color w:val="000000"/>
                <w:lang w:eastAsia="en-US"/>
              </w:rPr>
              <w:t>GS-9 employee x # of responses x processing time</w:t>
            </w:r>
          </w:p>
        </w:tc>
        <w:tc>
          <w:tcPr>
            <w:tcW w:w="2612" w:type="dxa"/>
            <w:tcMar>
              <w:top w:w="0" w:type="dxa"/>
              <w:left w:w="108" w:type="dxa"/>
              <w:bottom w:w="0" w:type="dxa"/>
              <w:right w:w="108" w:type="dxa"/>
            </w:tcMar>
          </w:tcPr>
          <w:p w:rsidRPr="00AC720B" w:rsidR="00AC720B" w:rsidP="00AC720B" w:rsidRDefault="00AC720B">
            <w:pPr>
              <w:contextualSpacing/>
              <w:jc w:val="right"/>
              <w:rPr>
                <w:rFonts w:eastAsia="Calibri"/>
                <w:color w:val="000000"/>
                <w:lang w:eastAsia="en-US"/>
              </w:rPr>
            </w:pPr>
            <w:r w:rsidRPr="00AC720B">
              <w:rPr>
                <w:rFonts w:eastAsia="Calibri"/>
                <w:color w:val="000000"/>
                <w:lang w:eastAsia="en-US"/>
              </w:rPr>
              <w:t>$</w:t>
            </w:r>
            <w:r w:rsidRPr="00B541C9">
              <w:rPr>
                <w:rFonts w:eastAsia="Calibri"/>
                <w:color w:val="000000"/>
                <w:lang w:eastAsia="en-US"/>
              </w:rPr>
              <w:t>4,731,905</w:t>
            </w:r>
          </w:p>
        </w:tc>
      </w:tr>
      <w:tr w:rsidRPr="00AC720B" w:rsidR="00AC720B" w:rsidTr="00CA2A0E">
        <w:tc>
          <w:tcPr>
            <w:tcW w:w="4229" w:type="dxa"/>
            <w:tcMar>
              <w:top w:w="0" w:type="dxa"/>
              <w:left w:w="108" w:type="dxa"/>
              <w:bottom w:w="0" w:type="dxa"/>
              <w:right w:w="108" w:type="dxa"/>
            </w:tcMar>
            <w:hideMark/>
          </w:tcPr>
          <w:p w:rsidRPr="00AC720B" w:rsidR="00AC720B" w:rsidP="00AC720B" w:rsidRDefault="00AC720B">
            <w:pPr>
              <w:contextualSpacing/>
              <w:rPr>
                <w:rFonts w:eastAsia="Calibri"/>
                <w:color w:val="000000"/>
                <w:lang w:eastAsia="en-US"/>
              </w:rPr>
            </w:pPr>
            <w:r w:rsidRPr="00AC720B">
              <w:rPr>
                <w:rFonts w:eastAsia="Calibri"/>
                <w:color w:val="000000"/>
                <w:lang w:eastAsia="en-US"/>
              </w:rPr>
              <w:t>Full-Time Equivalent Costs</w:t>
            </w:r>
          </w:p>
        </w:tc>
        <w:tc>
          <w:tcPr>
            <w:tcW w:w="3689" w:type="dxa"/>
            <w:tcMar>
              <w:top w:w="0" w:type="dxa"/>
              <w:left w:w="108" w:type="dxa"/>
              <w:bottom w:w="0" w:type="dxa"/>
              <w:right w:w="108" w:type="dxa"/>
            </w:tcMar>
            <w:hideMark/>
          </w:tcPr>
          <w:p w:rsidRPr="00AC720B" w:rsidR="00AC720B" w:rsidP="00AC720B" w:rsidRDefault="00AC720B">
            <w:pPr>
              <w:contextualSpacing/>
              <w:rPr>
                <w:rFonts w:eastAsia="Calibri"/>
                <w:color w:val="000000"/>
                <w:lang w:eastAsia="en-US"/>
              </w:rPr>
            </w:pPr>
            <w:r w:rsidRPr="00AC720B">
              <w:rPr>
                <w:rFonts w:eastAsia="Calibri"/>
                <w:color w:val="000000"/>
                <w:lang w:eastAsia="en-US"/>
              </w:rPr>
              <w:t>Out of pocket costs + Other expenses for providing this service</w:t>
            </w:r>
          </w:p>
        </w:tc>
        <w:tc>
          <w:tcPr>
            <w:tcW w:w="2612" w:type="dxa"/>
            <w:tcMar>
              <w:top w:w="0" w:type="dxa"/>
              <w:left w:w="108" w:type="dxa"/>
              <w:bottom w:w="0" w:type="dxa"/>
              <w:right w:w="108" w:type="dxa"/>
            </w:tcMar>
          </w:tcPr>
          <w:p w:rsidRPr="00AC720B" w:rsidR="00AC720B" w:rsidP="00AC720B" w:rsidRDefault="00AC720B">
            <w:pPr>
              <w:contextualSpacing/>
              <w:jc w:val="right"/>
              <w:rPr>
                <w:rFonts w:eastAsia="Calibri"/>
                <w:color w:val="000000"/>
                <w:lang w:eastAsia="en-US"/>
              </w:rPr>
            </w:pPr>
            <w:r w:rsidRPr="00AC720B">
              <w:rPr>
                <w:rFonts w:eastAsia="Calibri"/>
                <w:color w:val="000000"/>
                <w:lang w:eastAsia="en-US"/>
              </w:rPr>
              <w:t>$0</w:t>
            </w:r>
          </w:p>
        </w:tc>
      </w:tr>
      <w:tr w:rsidRPr="00AC720B" w:rsidR="00AC720B" w:rsidTr="00CA2A0E">
        <w:tc>
          <w:tcPr>
            <w:tcW w:w="4229" w:type="dxa"/>
            <w:tcMar>
              <w:top w:w="0" w:type="dxa"/>
              <w:left w:w="108" w:type="dxa"/>
              <w:bottom w:w="0" w:type="dxa"/>
              <w:right w:w="108" w:type="dxa"/>
            </w:tcMar>
            <w:hideMark/>
          </w:tcPr>
          <w:p w:rsidRPr="00AC720B" w:rsidR="00AC720B" w:rsidP="00AC720B" w:rsidRDefault="00AC720B">
            <w:pPr>
              <w:contextualSpacing/>
              <w:rPr>
                <w:rFonts w:eastAsia="Calibri"/>
                <w:color w:val="000000"/>
                <w:lang w:eastAsia="en-US"/>
              </w:rPr>
            </w:pPr>
            <w:r w:rsidRPr="00AC720B">
              <w:rPr>
                <w:rFonts w:eastAsia="Calibri"/>
                <w:color w:val="000000"/>
                <w:lang w:eastAsia="en-US"/>
              </w:rPr>
              <w:t>Systems Development, Updating, and Maintenance</w:t>
            </w:r>
          </w:p>
        </w:tc>
        <w:tc>
          <w:tcPr>
            <w:tcW w:w="3689" w:type="dxa"/>
            <w:tcMar>
              <w:top w:w="0" w:type="dxa"/>
              <w:left w:w="108" w:type="dxa"/>
              <w:bottom w:w="0" w:type="dxa"/>
              <w:right w:w="108" w:type="dxa"/>
            </w:tcMar>
            <w:hideMark/>
          </w:tcPr>
          <w:p w:rsidRPr="00AC720B" w:rsidR="00AC720B" w:rsidP="00AC720B" w:rsidRDefault="00AC720B">
            <w:pPr>
              <w:contextualSpacing/>
              <w:rPr>
                <w:rFonts w:eastAsia="Calibri"/>
                <w:color w:val="000000"/>
                <w:lang w:eastAsia="en-US"/>
              </w:rPr>
            </w:pPr>
            <w:r w:rsidRPr="00AC720B">
              <w:rPr>
                <w:rFonts w:eastAsia="Calibri"/>
                <w:color w:val="000000"/>
                <w:lang w:eastAsia="en-US"/>
              </w:rPr>
              <w:t>GS-9 employee x man hours for development, updating, maintenance</w:t>
            </w:r>
          </w:p>
        </w:tc>
        <w:tc>
          <w:tcPr>
            <w:tcW w:w="2612" w:type="dxa"/>
            <w:tcMar>
              <w:top w:w="0" w:type="dxa"/>
              <w:left w:w="108" w:type="dxa"/>
              <w:bottom w:w="0" w:type="dxa"/>
              <w:right w:w="108" w:type="dxa"/>
            </w:tcMar>
          </w:tcPr>
          <w:p w:rsidRPr="00AC720B" w:rsidR="00AC720B" w:rsidP="00AC720B" w:rsidRDefault="00AC720B">
            <w:pPr>
              <w:contextualSpacing/>
              <w:jc w:val="right"/>
              <w:rPr>
                <w:rFonts w:eastAsia="Calibri"/>
                <w:color w:val="000000"/>
                <w:lang w:eastAsia="en-US"/>
              </w:rPr>
            </w:pPr>
            <w:r w:rsidRPr="00AC720B">
              <w:rPr>
                <w:rFonts w:eastAsia="Calibri"/>
                <w:color w:val="000000"/>
                <w:lang w:eastAsia="en-US"/>
              </w:rPr>
              <w:t>$5,780</w:t>
            </w:r>
          </w:p>
        </w:tc>
      </w:tr>
      <w:tr w:rsidRPr="00AC720B" w:rsidR="00AC720B" w:rsidTr="00CA2A0E">
        <w:tc>
          <w:tcPr>
            <w:tcW w:w="4229" w:type="dxa"/>
            <w:tcMar>
              <w:top w:w="0" w:type="dxa"/>
              <w:left w:w="108" w:type="dxa"/>
              <w:bottom w:w="0" w:type="dxa"/>
              <w:right w:w="108" w:type="dxa"/>
            </w:tcMar>
            <w:hideMark/>
          </w:tcPr>
          <w:p w:rsidRPr="00AC720B" w:rsidR="00AC720B" w:rsidP="00AC720B" w:rsidRDefault="00AC720B">
            <w:pPr>
              <w:contextualSpacing/>
              <w:rPr>
                <w:rFonts w:eastAsia="Calibri"/>
                <w:color w:val="000000"/>
                <w:lang w:eastAsia="en-US"/>
              </w:rPr>
            </w:pPr>
            <w:r w:rsidRPr="00AC720B">
              <w:rPr>
                <w:rFonts w:eastAsia="Calibri"/>
                <w:color w:val="000000"/>
                <w:lang w:eastAsia="en-US"/>
              </w:rPr>
              <w:t>Quantifiable IT Costs</w:t>
            </w:r>
          </w:p>
        </w:tc>
        <w:tc>
          <w:tcPr>
            <w:tcW w:w="3689" w:type="dxa"/>
            <w:tcMar>
              <w:top w:w="0" w:type="dxa"/>
              <w:left w:w="108" w:type="dxa"/>
              <w:bottom w:w="0" w:type="dxa"/>
              <w:right w:w="108" w:type="dxa"/>
            </w:tcMar>
            <w:hideMark/>
          </w:tcPr>
          <w:p w:rsidRPr="00AC720B" w:rsidR="00AC720B" w:rsidP="00AC720B" w:rsidRDefault="00AC720B">
            <w:pPr>
              <w:contextualSpacing/>
              <w:rPr>
                <w:rFonts w:eastAsia="Calibri"/>
                <w:color w:val="000000"/>
                <w:lang w:eastAsia="en-US"/>
              </w:rPr>
            </w:pPr>
            <w:r w:rsidRPr="00AC720B">
              <w:rPr>
                <w:rFonts w:eastAsia="Calibri"/>
                <w:color w:val="000000"/>
                <w:lang w:eastAsia="en-US"/>
              </w:rPr>
              <w:t>Any additional IT costs</w:t>
            </w:r>
          </w:p>
        </w:tc>
        <w:tc>
          <w:tcPr>
            <w:tcW w:w="2612" w:type="dxa"/>
            <w:tcMar>
              <w:top w:w="0" w:type="dxa"/>
              <w:left w:w="108" w:type="dxa"/>
              <w:bottom w:w="0" w:type="dxa"/>
              <w:right w:w="108" w:type="dxa"/>
            </w:tcMar>
          </w:tcPr>
          <w:p w:rsidRPr="00AC720B" w:rsidR="00AC720B" w:rsidP="00AC720B" w:rsidRDefault="00AC720B">
            <w:pPr>
              <w:contextualSpacing/>
              <w:jc w:val="right"/>
              <w:rPr>
                <w:rFonts w:eastAsia="Calibri"/>
                <w:color w:val="000000"/>
                <w:lang w:eastAsia="en-US"/>
              </w:rPr>
            </w:pPr>
            <w:r w:rsidRPr="00AC720B">
              <w:rPr>
                <w:rFonts w:eastAsia="Calibri"/>
                <w:color w:val="000000"/>
                <w:lang w:eastAsia="en-US"/>
              </w:rPr>
              <w:t>$0</w:t>
            </w:r>
          </w:p>
        </w:tc>
      </w:tr>
      <w:tr w:rsidRPr="00AC720B" w:rsidR="00AC720B" w:rsidTr="00CA2A0E">
        <w:tc>
          <w:tcPr>
            <w:tcW w:w="4229" w:type="dxa"/>
            <w:tcMar>
              <w:top w:w="0" w:type="dxa"/>
              <w:left w:w="108" w:type="dxa"/>
              <w:bottom w:w="0" w:type="dxa"/>
              <w:right w:w="108" w:type="dxa"/>
            </w:tcMar>
            <w:hideMark/>
          </w:tcPr>
          <w:p w:rsidRPr="00AC720B" w:rsidR="00AC720B" w:rsidP="00AC720B" w:rsidRDefault="00AC720B">
            <w:pPr>
              <w:contextualSpacing/>
              <w:rPr>
                <w:rFonts w:eastAsia="Calibri"/>
                <w:b/>
                <w:color w:val="000000"/>
                <w:lang w:eastAsia="en-US"/>
              </w:rPr>
            </w:pPr>
            <w:r w:rsidRPr="00AC720B">
              <w:rPr>
                <w:rFonts w:eastAsia="Calibri"/>
                <w:b/>
                <w:color w:val="000000"/>
                <w:lang w:eastAsia="en-US"/>
              </w:rPr>
              <w:t>Total</w:t>
            </w:r>
          </w:p>
        </w:tc>
        <w:tc>
          <w:tcPr>
            <w:tcW w:w="3689" w:type="dxa"/>
            <w:tcMar>
              <w:top w:w="0" w:type="dxa"/>
              <w:left w:w="108" w:type="dxa"/>
              <w:bottom w:w="0" w:type="dxa"/>
              <w:right w:w="108" w:type="dxa"/>
            </w:tcMar>
          </w:tcPr>
          <w:p w:rsidRPr="00AC720B" w:rsidR="00AC720B" w:rsidP="00AC720B" w:rsidRDefault="00AC720B">
            <w:pPr>
              <w:contextualSpacing/>
              <w:rPr>
                <w:rFonts w:eastAsia="Calibri"/>
                <w:b/>
                <w:color w:val="000000"/>
                <w:lang w:eastAsia="en-US"/>
              </w:rPr>
            </w:pPr>
          </w:p>
        </w:tc>
        <w:tc>
          <w:tcPr>
            <w:tcW w:w="2612" w:type="dxa"/>
            <w:tcMar>
              <w:top w:w="0" w:type="dxa"/>
              <w:left w:w="108" w:type="dxa"/>
              <w:bottom w:w="0" w:type="dxa"/>
              <w:right w:w="108" w:type="dxa"/>
            </w:tcMar>
          </w:tcPr>
          <w:p w:rsidRPr="00AC720B" w:rsidR="00AC720B" w:rsidP="00AC720B" w:rsidRDefault="00AC720B">
            <w:pPr>
              <w:contextualSpacing/>
              <w:jc w:val="right"/>
              <w:rPr>
                <w:rFonts w:eastAsia="Calibri"/>
                <w:b/>
                <w:color w:val="000000"/>
                <w:lang w:eastAsia="en-US"/>
              </w:rPr>
            </w:pPr>
            <w:r w:rsidRPr="00AC720B">
              <w:rPr>
                <w:rFonts w:eastAsia="Calibri"/>
                <w:b/>
                <w:color w:val="000000"/>
                <w:lang w:eastAsia="en-US"/>
              </w:rPr>
              <w:t>$</w:t>
            </w:r>
            <w:r>
              <w:rPr>
                <w:rFonts w:eastAsia="Calibri"/>
                <w:b/>
                <w:color w:val="000000"/>
                <w:lang w:eastAsia="en-US"/>
              </w:rPr>
              <w:t>5,087,780</w:t>
            </w:r>
          </w:p>
        </w:tc>
      </w:tr>
    </w:tbl>
    <w:p w:rsidRPr="00AC720B" w:rsidR="00AC720B" w:rsidP="00AC720B" w:rsidRDefault="00AC720B">
      <w:pPr>
        <w:spacing w:line="276" w:lineRule="auto"/>
        <w:ind w:left="1440"/>
        <w:contextualSpacing/>
        <w:rPr>
          <w:rFonts w:eastAsia="Calibri"/>
          <w:lang w:eastAsia="en-US"/>
        </w:rPr>
      </w:pPr>
      <w:r w:rsidRPr="00AC720B">
        <w:rPr>
          <w:rFonts w:eastAsia="Calibri"/>
          <w:lang w:eastAsia="en-US"/>
        </w:rPr>
        <w:t>* We have inserted a $0 amount for cost factors that do not apply to this collection.</w:t>
      </w:r>
    </w:p>
    <w:p w:rsidRPr="00AC720B" w:rsidR="00AC720B" w:rsidP="00AC720B" w:rsidRDefault="00AC720B">
      <w:pPr>
        <w:spacing w:line="276" w:lineRule="auto"/>
        <w:ind w:left="1440"/>
        <w:contextualSpacing/>
        <w:rPr>
          <w:rFonts w:eastAsia="Calibri"/>
          <w:lang w:eastAsia="en-US"/>
        </w:rPr>
      </w:pPr>
    </w:p>
    <w:p w:rsidRPr="00C33166" w:rsidR="000B53B5" w:rsidP="00AC720B" w:rsidRDefault="00AC720B">
      <w:pPr>
        <w:widowControl w:val="0"/>
        <w:ind w:left="1440"/>
        <w:contextualSpacing/>
        <w:rPr>
          <w:rFonts w:eastAsia="Calibri"/>
          <w:color w:val="000000"/>
          <w:lang w:eastAsia="en-US"/>
        </w:rPr>
      </w:pPr>
      <w:r w:rsidRPr="00AC720B">
        <w:rPr>
          <w:rFonts w:eastAsia="Times New Roman"/>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2E1A8B" w:rsidR="002E1A8B">
        <w:rPr>
          <w:rFonts w:eastAsia="Calibri"/>
          <w:color w:val="000000"/>
          <w:lang w:eastAsia="en-US"/>
        </w:rPr>
        <w:t>.</w:t>
      </w:r>
    </w:p>
    <w:p w:rsidR="00307DB4" w:rsidP="00307DB4" w:rsidRDefault="00307DB4"/>
    <w:p w:rsidRPr="00D357F1" w:rsidR="00307DB4" w:rsidP="008D6B8A" w:rsidRDefault="00AB24BE">
      <w:pPr>
        <w:numPr>
          <w:ilvl w:val="1"/>
          <w:numId w:val="1"/>
        </w:numPr>
        <w:ind w:hanging="720"/>
      </w:pPr>
      <w:r w:rsidRPr="00BC7F42">
        <w:rPr>
          <w:b/>
        </w:rPr>
        <w:lastRenderedPageBreak/>
        <w:t xml:space="preserve">Program Changes or Adjustments to the Information Collection </w:t>
      </w:r>
      <w:r>
        <w:rPr>
          <w:b/>
        </w:rPr>
        <w:t>Request</w:t>
      </w:r>
    </w:p>
    <w:p w:rsidR="00D357F1" w:rsidP="00D357F1" w:rsidRDefault="002E1A8B">
      <w:pPr>
        <w:ind w:left="1440"/>
        <w:rPr>
          <w:bCs/>
        </w:rPr>
      </w:pPr>
      <w:r w:rsidRPr="002E1A8B">
        <w:rPr>
          <w:bCs/>
        </w:rPr>
        <w:t xml:space="preserve">When we last cleared this </w:t>
      </w:r>
      <w:r>
        <w:rPr>
          <w:bCs/>
        </w:rPr>
        <w:t>IC in 2017, the burden was 47,176</w:t>
      </w:r>
      <w:r w:rsidRPr="002E1A8B">
        <w:rPr>
          <w:bCs/>
        </w:rPr>
        <w:t xml:space="preserve"> hours.  However, we are curre</w:t>
      </w:r>
      <w:r>
        <w:rPr>
          <w:bCs/>
        </w:rPr>
        <w:t xml:space="preserve">ntly reporting a burden of </w:t>
      </w:r>
      <w:r w:rsidR="00920370">
        <w:rPr>
          <w:bCs/>
        </w:rPr>
        <w:t>53</w:t>
      </w:r>
      <w:r>
        <w:rPr>
          <w:bCs/>
        </w:rPr>
        <w:t>,701</w:t>
      </w:r>
      <w:r w:rsidRPr="002E1A8B">
        <w:rPr>
          <w:bCs/>
        </w:rPr>
        <w:t xml:space="preserve"> hour</w:t>
      </w:r>
      <w:r>
        <w:rPr>
          <w:bCs/>
        </w:rPr>
        <w:t xml:space="preserve">s.  This change stems </w:t>
      </w:r>
      <w:r w:rsidR="008D10BC">
        <w:rPr>
          <w:bCs/>
        </w:rPr>
        <w:t xml:space="preserve">from </w:t>
      </w:r>
      <w:r>
        <w:rPr>
          <w:bCs/>
        </w:rPr>
        <w:t>an increase</w:t>
      </w:r>
      <w:r w:rsidRPr="002E1A8B">
        <w:rPr>
          <w:bCs/>
        </w:rPr>
        <w:t xml:space="preserve"> in the number of</w:t>
      </w:r>
      <w:r>
        <w:rPr>
          <w:bCs/>
        </w:rPr>
        <w:t xml:space="preserve"> responses from 157,254 to 179,002</w:t>
      </w:r>
      <w:r w:rsidRPr="002E1A8B">
        <w:rPr>
          <w:bCs/>
        </w:rPr>
        <w:t>.  There is no change to the burden time per response.  Although the number of responses changed, SSA did not take any actions to cause this change.  These figures represent curr</w:t>
      </w:r>
      <w:r w:rsidR="00C33166">
        <w:rPr>
          <w:bCs/>
        </w:rPr>
        <w:t>ent Management Information data.</w:t>
      </w:r>
    </w:p>
    <w:p w:rsidRPr="00D357F1" w:rsidR="00C33166" w:rsidP="00D357F1" w:rsidRDefault="00C33166">
      <w:pPr>
        <w:ind w:left="1440"/>
      </w:pPr>
    </w:p>
    <w:p w:rsidR="00307DB4" w:rsidP="008D6B8A" w:rsidRDefault="00CC5E6C">
      <w:pPr>
        <w:numPr>
          <w:ilvl w:val="1"/>
          <w:numId w:val="1"/>
        </w:numPr>
        <w:ind w:hanging="720"/>
      </w:pPr>
      <w:r>
        <w:rPr>
          <w:b/>
          <w:bCs/>
        </w:rPr>
        <w:t xml:space="preserve">Plans for Publication </w:t>
      </w:r>
      <w:r w:rsidR="00307DB4">
        <w:rPr>
          <w:b/>
          <w:bCs/>
        </w:rPr>
        <w:t>Information Collection</w:t>
      </w:r>
      <w:r>
        <w:rPr>
          <w:b/>
          <w:bCs/>
        </w:rPr>
        <w:t xml:space="preserve"> Results</w:t>
      </w:r>
    </w:p>
    <w:p w:rsidR="00307DB4" w:rsidP="00307DB4" w:rsidRDefault="0055229E">
      <w:pPr>
        <w:ind w:left="1440"/>
      </w:pPr>
      <w:r>
        <w:t>SSA will not publish t</w:t>
      </w:r>
      <w:r w:rsidR="00307DB4">
        <w:t xml:space="preserve">he results of </w:t>
      </w:r>
      <w:r>
        <w:t>this</w:t>
      </w:r>
      <w:r w:rsidR="00307DB4">
        <w:t xml:space="preserve"> information c</w:t>
      </w:r>
      <w:r>
        <w:t>ollection.</w:t>
      </w:r>
    </w:p>
    <w:p w:rsidR="00307DB4" w:rsidP="00307DB4" w:rsidRDefault="00307DB4"/>
    <w:p w:rsidR="00307DB4" w:rsidP="008D6B8A" w:rsidRDefault="00AB24BE">
      <w:pPr>
        <w:numPr>
          <w:ilvl w:val="1"/>
          <w:numId w:val="1"/>
        </w:numPr>
        <w:ind w:hanging="720"/>
        <w:rPr>
          <w:bCs/>
        </w:rPr>
      </w:pPr>
      <w:r>
        <w:rPr>
          <w:b/>
        </w:rPr>
        <w:t>Displaying the OMB Approval Expiration Date</w:t>
      </w:r>
    </w:p>
    <w:p w:rsidR="00307DB4" w:rsidP="00307DB4" w:rsidRDefault="00307DB4">
      <w:pPr>
        <w:ind w:left="1440"/>
        <w:rPr>
          <w:bCs/>
        </w:rPr>
      </w:pPr>
      <w:r>
        <w:rPr>
          <w:bCs/>
        </w:rPr>
        <w:t xml:space="preserve">OMB </w:t>
      </w:r>
      <w:r w:rsidR="00CC5E6C">
        <w:rPr>
          <w:bCs/>
        </w:rPr>
        <w:t xml:space="preserve">granted </w:t>
      </w:r>
      <w:r w:rsidR="00874A4A">
        <w:rPr>
          <w:bCs/>
        </w:rPr>
        <w:t>SSA</w:t>
      </w:r>
      <w:r w:rsidR="00CC5E6C">
        <w:rPr>
          <w:bCs/>
        </w:rPr>
        <w:t xml:space="preserve"> an exemption</w:t>
      </w:r>
      <w:r w:rsidR="00874A4A">
        <w:rPr>
          <w:bCs/>
        </w:rPr>
        <w:t xml:space="preserve"> from the </w:t>
      </w:r>
      <w:r>
        <w:rPr>
          <w:bCs/>
        </w:rPr>
        <w:t xml:space="preserve">requirement </w:t>
      </w:r>
      <w:r w:rsidR="00874A4A">
        <w:rPr>
          <w:bCs/>
        </w:rPr>
        <w:t>to print the</w:t>
      </w:r>
      <w:r>
        <w:rPr>
          <w:bCs/>
        </w:rPr>
        <w:t xml:space="preserve"> OMB approval </w:t>
      </w:r>
      <w:r w:rsidR="00874A4A">
        <w:rPr>
          <w:bCs/>
        </w:rPr>
        <w:t>date on its</w:t>
      </w:r>
      <w:r>
        <w:rPr>
          <w:bCs/>
        </w:rPr>
        <w:t xml:space="preserve"> program forms.  SSA produces millions of public-use forms, many of which have a life cycle longer than that of an OMB approval.  </w:t>
      </w:r>
      <w:r w:rsidR="00CC5E6C">
        <w:rPr>
          <w:bCs/>
        </w:rPr>
        <w:t xml:space="preserve">Since </w:t>
      </w:r>
      <w:r>
        <w:rPr>
          <w:bCs/>
        </w:rPr>
        <w:t>SSA does not periodically revise and reprint its public-use forms (e.g. on an annual basis)</w:t>
      </w:r>
      <w:r w:rsidR="00CC5E6C">
        <w:rPr>
          <w:bCs/>
        </w:rPr>
        <w:t>,</w:t>
      </w:r>
      <w:r>
        <w:rPr>
          <w:bCs/>
        </w:rPr>
        <w:t xml:space="preserve"> </w:t>
      </w:r>
      <w:r w:rsidR="00874A4A">
        <w:rPr>
          <w:bCs/>
        </w:rPr>
        <w:t>OMB granted this</w:t>
      </w:r>
      <w:r>
        <w:rPr>
          <w:bCs/>
        </w:rPr>
        <w:t xml:space="preserve"> exemption so that </w:t>
      </w:r>
      <w:r w:rsidR="00874A4A">
        <w:rPr>
          <w:bCs/>
        </w:rPr>
        <w:t>we would not have to destroy</w:t>
      </w:r>
      <w:r w:rsidR="00CC5E6C">
        <w:rPr>
          <w:bCs/>
        </w:rPr>
        <w:t xml:space="preserve"> stocks of</w:t>
      </w:r>
      <w:r w:rsidR="00874A4A">
        <w:rPr>
          <w:bCs/>
        </w:rPr>
        <w:t xml:space="preserve"> </w:t>
      </w:r>
      <w:r>
        <w:rPr>
          <w:bCs/>
        </w:rPr>
        <w:t xml:space="preserve">otherwise useable forms </w:t>
      </w:r>
      <w:r w:rsidR="00CC5E6C">
        <w:rPr>
          <w:bCs/>
        </w:rPr>
        <w:t>with</w:t>
      </w:r>
      <w:r w:rsidR="00874A4A">
        <w:rPr>
          <w:bCs/>
        </w:rPr>
        <w:t xml:space="preserve"> expired OMB approval date</w:t>
      </w:r>
      <w:r w:rsidR="00CC5E6C">
        <w:rPr>
          <w:bCs/>
        </w:rPr>
        <w:t>s</w:t>
      </w:r>
      <w:r w:rsidR="00874A4A">
        <w:rPr>
          <w:bCs/>
        </w:rPr>
        <w:t xml:space="preserve">, </w:t>
      </w:r>
      <w:r w:rsidR="00CC5E6C">
        <w:rPr>
          <w:bCs/>
        </w:rPr>
        <w:t>avoiding</w:t>
      </w:r>
      <w:r w:rsidR="00874A4A">
        <w:rPr>
          <w:bCs/>
        </w:rPr>
        <w:t xml:space="preserve"> Government waste.  </w:t>
      </w:r>
    </w:p>
    <w:p w:rsidR="00307DB4" w:rsidP="00307DB4" w:rsidRDefault="00307DB4">
      <w:pPr>
        <w:rPr>
          <w:bCs/>
        </w:rPr>
      </w:pPr>
    </w:p>
    <w:p w:rsidR="00307DB4" w:rsidP="008D6B8A" w:rsidRDefault="00610087">
      <w:pPr>
        <w:numPr>
          <w:ilvl w:val="1"/>
          <w:numId w:val="1"/>
        </w:numPr>
        <w:ind w:hanging="720"/>
        <w:rPr>
          <w:b/>
          <w:bCs/>
        </w:rPr>
      </w:pPr>
      <w:r>
        <w:rPr>
          <w:b/>
        </w:rPr>
        <w:t>Exceptions to C</w:t>
      </w:r>
      <w:r w:rsidR="00307DB4">
        <w:rPr>
          <w:b/>
        </w:rPr>
        <w:t xml:space="preserve">ertification </w:t>
      </w:r>
      <w:r>
        <w:rPr>
          <w:b/>
        </w:rPr>
        <w:t>Statement</w:t>
      </w:r>
      <w:r w:rsidR="00307DB4">
        <w:t xml:space="preserve"> </w:t>
      </w:r>
    </w:p>
    <w:p w:rsidRPr="00B3142B" w:rsidR="00307DB4" w:rsidP="00307DB4" w:rsidRDefault="00307DB4">
      <w:pPr>
        <w:ind w:left="1440"/>
        <w:rPr>
          <w:i/>
        </w:rPr>
      </w:pPr>
      <w:r>
        <w:t xml:space="preserve">SSA is not requesting an exception to the certification requirements at </w:t>
      </w:r>
      <w:r w:rsidR="00B073F9">
        <w:rPr>
          <w:i/>
        </w:rPr>
        <w:t>5 </w:t>
      </w:r>
      <w:r w:rsidRPr="00B3142B">
        <w:rPr>
          <w:i/>
        </w:rPr>
        <w:t>CFR</w:t>
      </w:r>
      <w:r w:rsidR="00B073F9">
        <w:rPr>
          <w:i/>
        </w:rPr>
        <w:t> </w:t>
      </w:r>
      <w:r w:rsidRPr="00B3142B">
        <w:rPr>
          <w:i/>
        </w:rPr>
        <w:t>1320.9</w:t>
      </w:r>
      <w:r>
        <w:t xml:space="preserve"> and related provisions at </w:t>
      </w:r>
      <w:r w:rsidRPr="00B3142B">
        <w:rPr>
          <w:i/>
        </w:rPr>
        <w:t>5 CFR 1320.8(b)(3).</w:t>
      </w:r>
    </w:p>
    <w:p w:rsidR="00307DB4" w:rsidP="00307DB4" w:rsidRDefault="00307DB4"/>
    <w:p w:rsidR="00307DB4" w:rsidP="008D6B8A" w:rsidRDefault="00307DB4">
      <w:pPr>
        <w:numPr>
          <w:ilvl w:val="0"/>
          <w:numId w:val="1"/>
        </w:numPr>
        <w:tabs>
          <w:tab w:val="clear" w:pos="1080"/>
          <w:tab w:val="num" w:pos="720"/>
        </w:tabs>
        <w:ind w:left="720" w:hanging="540"/>
      </w:pPr>
      <w:r>
        <w:rPr>
          <w:b/>
          <w:bCs/>
          <w:u w:val="single"/>
        </w:rPr>
        <w:t>Collections of Information Employing Statistical Methods</w:t>
      </w:r>
    </w:p>
    <w:p w:rsidR="00307DB4" w:rsidP="00307DB4" w:rsidRDefault="00307DB4">
      <w:pPr>
        <w:ind w:left="1440"/>
      </w:pPr>
    </w:p>
    <w:p w:rsidRPr="00307DB4" w:rsidR="009462BD" w:rsidP="004C7A18" w:rsidRDefault="00874A4A">
      <w:pPr>
        <w:ind w:left="1440"/>
      </w:pPr>
      <w:r>
        <w:t>SSA does not use s</w:t>
      </w:r>
      <w:r w:rsidR="00307DB4">
        <w:t xml:space="preserve">tatistical methods </w:t>
      </w:r>
      <w:r>
        <w:t>for this information collection.</w:t>
      </w:r>
    </w:p>
    <w:sectPr w:rsidRPr="00307DB4" w:rsidR="009462BD" w:rsidSect="004C7A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33B" w:rsidRDefault="0012033B">
      <w:r>
        <w:separator/>
      </w:r>
    </w:p>
  </w:endnote>
  <w:endnote w:type="continuationSeparator" w:id="0">
    <w:p w:rsidR="0012033B" w:rsidRDefault="0012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11B" w:rsidRPr="00D8322E" w:rsidRDefault="0005611B" w:rsidP="00D8322E">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33B" w:rsidRDefault="0012033B">
      <w:r>
        <w:separator/>
      </w:r>
    </w:p>
  </w:footnote>
  <w:footnote w:type="continuationSeparator" w:id="0">
    <w:p w:rsidR="0012033B" w:rsidRDefault="00120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E05CA"/>
    <w:multiLevelType w:val="hybridMultilevel"/>
    <w:tmpl w:val="CD7CB11E"/>
    <w:lvl w:ilvl="0" w:tplc="B9CAFBDC">
      <w:start w:val="1"/>
      <w:numFmt w:val="upperLetter"/>
      <w:lvlText w:val="%1."/>
      <w:lvlJc w:val="left"/>
      <w:pPr>
        <w:tabs>
          <w:tab w:val="num" w:pos="1080"/>
        </w:tabs>
        <w:ind w:left="1080" w:hanging="720"/>
      </w:pPr>
      <w:rPr>
        <w:rFonts w:hint="default"/>
        <w:b/>
      </w:rPr>
    </w:lvl>
    <w:lvl w:ilvl="1" w:tplc="9E468426">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76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2E"/>
    <w:rsid w:val="0005611B"/>
    <w:rsid w:val="000571C6"/>
    <w:rsid w:val="0006233A"/>
    <w:rsid w:val="000714D0"/>
    <w:rsid w:val="00082F0A"/>
    <w:rsid w:val="000878FB"/>
    <w:rsid w:val="0009226D"/>
    <w:rsid w:val="00096E35"/>
    <w:rsid w:val="000B53B5"/>
    <w:rsid w:val="000B7792"/>
    <w:rsid w:val="000C67B7"/>
    <w:rsid w:val="000D0CC9"/>
    <w:rsid w:val="000D7B91"/>
    <w:rsid w:val="000E0D84"/>
    <w:rsid w:val="000E62EC"/>
    <w:rsid w:val="000F26D3"/>
    <w:rsid w:val="0012033B"/>
    <w:rsid w:val="00126D91"/>
    <w:rsid w:val="001362D3"/>
    <w:rsid w:val="00145BEA"/>
    <w:rsid w:val="0015206E"/>
    <w:rsid w:val="001607F0"/>
    <w:rsid w:val="00161687"/>
    <w:rsid w:val="00171F31"/>
    <w:rsid w:val="001A149F"/>
    <w:rsid w:val="001D23FE"/>
    <w:rsid w:val="001E7EA8"/>
    <w:rsid w:val="0021614D"/>
    <w:rsid w:val="002519B3"/>
    <w:rsid w:val="00265957"/>
    <w:rsid w:val="00265A64"/>
    <w:rsid w:val="002845DC"/>
    <w:rsid w:val="00291EF7"/>
    <w:rsid w:val="00294A0C"/>
    <w:rsid w:val="002B33EE"/>
    <w:rsid w:val="002D2E89"/>
    <w:rsid w:val="002D787B"/>
    <w:rsid w:val="002E1A8B"/>
    <w:rsid w:val="002E5476"/>
    <w:rsid w:val="002E6887"/>
    <w:rsid w:val="002F6A07"/>
    <w:rsid w:val="002F710F"/>
    <w:rsid w:val="00307DB4"/>
    <w:rsid w:val="003213D6"/>
    <w:rsid w:val="0033549E"/>
    <w:rsid w:val="00340537"/>
    <w:rsid w:val="00357E8E"/>
    <w:rsid w:val="00362E63"/>
    <w:rsid w:val="00393D64"/>
    <w:rsid w:val="003B3E27"/>
    <w:rsid w:val="003D2344"/>
    <w:rsid w:val="003E4A7A"/>
    <w:rsid w:val="003F4303"/>
    <w:rsid w:val="0040321E"/>
    <w:rsid w:val="00403DE7"/>
    <w:rsid w:val="00411BE8"/>
    <w:rsid w:val="004532FF"/>
    <w:rsid w:val="00470B2A"/>
    <w:rsid w:val="004731F4"/>
    <w:rsid w:val="004B019D"/>
    <w:rsid w:val="004B631A"/>
    <w:rsid w:val="004B74D1"/>
    <w:rsid w:val="004C7A18"/>
    <w:rsid w:val="004D759D"/>
    <w:rsid w:val="004E1A3F"/>
    <w:rsid w:val="004F31B9"/>
    <w:rsid w:val="00514F97"/>
    <w:rsid w:val="0055229E"/>
    <w:rsid w:val="0055577D"/>
    <w:rsid w:val="00560B04"/>
    <w:rsid w:val="0056317A"/>
    <w:rsid w:val="005636AE"/>
    <w:rsid w:val="0056664D"/>
    <w:rsid w:val="00581F4F"/>
    <w:rsid w:val="005A06D0"/>
    <w:rsid w:val="005C647F"/>
    <w:rsid w:val="005D008A"/>
    <w:rsid w:val="005F0369"/>
    <w:rsid w:val="0060042A"/>
    <w:rsid w:val="006019CB"/>
    <w:rsid w:val="006043C6"/>
    <w:rsid w:val="00610087"/>
    <w:rsid w:val="00613DAE"/>
    <w:rsid w:val="00625738"/>
    <w:rsid w:val="0064568E"/>
    <w:rsid w:val="00652972"/>
    <w:rsid w:val="00652E51"/>
    <w:rsid w:val="0067798E"/>
    <w:rsid w:val="00686EF6"/>
    <w:rsid w:val="00694A73"/>
    <w:rsid w:val="006A3FE0"/>
    <w:rsid w:val="006B33D7"/>
    <w:rsid w:val="006F2732"/>
    <w:rsid w:val="006F5211"/>
    <w:rsid w:val="00704482"/>
    <w:rsid w:val="00704D96"/>
    <w:rsid w:val="007315ED"/>
    <w:rsid w:val="0073742A"/>
    <w:rsid w:val="007455AB"/>
    <w:rsid w:val="00745AA6"/>
    <w:rsid w:val="0075586B"/>
    <w:rsid w:val="00756BBD"/>
    <w:rsid w:val="00763209"/>
    <w:rsid w:val="0076476C"/>
    <w:rsid w:val="00792F91"/>
    <w:rsid w:val="00795470"/>
    <w:rsid w:val="00797F2A"/>
    <w:rsid w:val="007A330D"/>
    <w:rsid w:val="007B7D34"/>
    <w:rsid w:val="007C6654"/>
    <w:rsid w:val="007D03F2"/>
    <w:rsid w:val="007D4183"/>
    <w:rsid w:val="007E3D97"/>
    <w:rsid w:val="00802824"/>
    <w:rsid w:val="0080376B"/>
    <w:rsid w:val="008063D8"/>
    <w:rsid w:val="00807625"/>
    <w:rsid w:val="00807D94"/>
    <w:rsid w:val="008113FE"/>
    <w:rsid w:val="00834069"/>
    <w:rsid w:val="0083559C"/>
    <w:rsid w:val="00844837"/>
    <w:rsid w:val="0084501C"/>
    <w:rsid w:val="00854806"/>
    <w:rsid w:val="00866B98"/>
    <w:rsid w:val="00874A4A"/>
    <w:rsid w:val="00884068"/>
    <w:rsid w:val="00886562"/>
    <w:rsid w:val="00897051"/>
    <w:rsid w:val="008A6362"/>
    <w:rsid w:val="008D10BC"/>
    <w:rsid w:val="008D3BB2"/>
    <w:rsid w:val="008D6B8A"/>
    <w:rsid w:val="008E6845"/>
    <w:rsid w:val="008F5FAD"/>
    <w:rsid w:val="00906FE1"/>
    <w:rsid w:val="00912621"/>
    <w:rsid w:val="00920370"/>
    <w:rsid w:val="009400F8"/>
    <w:rsid w:val="0094204B"/>
    <w:rsid w:val="009462BD"/>
    <w:rsid w:val="00950F52"/>
    <w:rsid w:val="009555F6"/>
    <w:rsid w:val="00974369"/>
    <w:rsid w:val="0099104D"/>
    <w:rsid w:val="00992CF2"/>
    <w:rsid w:val="009937E5"/>
    <w:rsid w:val="009A51FE"/>
    <w:rsid w:val="009E1B23"/>
    <w:rsid w:val="009E5A1D"/>
    <w:rsid w:val="009E5C12"/>
    <w:rsid w:val="009E77F1"/>
    <w:rsid w:val="009F24DF"/>
    <w:rsid w:val="009F4299"/>
    <w:rsid w:val="00A06882"/>
    <w:rsid w:val="00A5549B"/>
    <w:rsid w:val="00A55591"/>
    <w:rsid w:val="00A701DC"/>
    <w:rsid w:val="00A81107"/>
    <w:rsid w:val="00A94860"/>
    <w:rsid w:val="00AB24BE"/>
    <w:rsid w:val="00AB2A34"/>
    <w:rsid w:val="00AC720B"/>
    <w:rsid w:val="00AE416E"/>
    <w:rsid w:val="00AF293E"/>
    <w:rsid w:val="00AF3CFF"/>
    <w:rsid w:val="00B034C8"/>
    <w:rsid w:val="00B03BCA"/>
    <w:rsid w:val="00B073F9"/>
    <w:rsid w:val="00B3142B"/>
    <w:rsid w:val="00B3378F"/>
    <w:rsid w:val="00B40EC4"/>
    <w:rsid w:val="00B46AF4"/>
    <w:rsid w:val="00B47A7B"/>
    <w:rsid w:val="00B511A6"/>
    <w:rsid w:val="00B541C9"/>
    <w:rsid w:val="00B578E7"/>
    <w:rsid w:val="00B63E83"/>
    <w:rsid w:val="00BB1419"/>
    <w:rsid w:val="00BB2B9D"/>
    <w:rsid w:val="00BB5AB0"/>
    <w:rsid w:val="00BE2C4F"/>
    <w:rsid w:val="00C050C2"/>
    <w:rsid w:val="00C16A44"/>
    <w:rsid w:val="00C27567"/>
    <w:rsid w:val="00C3204A"/>
    <w:rsid w:val="00C33166"/>
    <w:rsid w:val="00C82316"/>
    <w:rsid w:val="00C94D45"/>
    <w:rsid w:val="00CC035B"/>
    <w:rsid w:val="00CC5E6C"/>
    <w:rsid w:val="00CD7ABB"/>
    <w:rsid w:val="00D10B56"/>
    <w:rsid w:val="00D1116B"/>
    <w:rsid w:val="00D13C6C"/>
    <w:rsid w:val="00D260B4"/>
    <w:rsid w:val="00D312A6"/>
    <w:rsid w:val="00D357F1"/>
    <w:rsid w:val="00D8322E"/>
    <w:rsid w:val="00DA434E"/>
    <w:rsid w:val="00DB2D3C"/>
    <w:rsid w:val="00DF41D6"/>
    <w:rsid w:val="00E07FE6"/>
    <w:rsid w:val="00E10D8B"/>
    <w:rsid w:val="00E13CAD"/>
    <w:rsid w:val="00E16772"/>
    <w:rsid w:val="00E17F38"/>
    <w:rsid w:val="00E276EB"/>
    <w:rsid w:val="00E331EC"/>
    <w:rsid w:val="00E674E2"/>
    <w:rsid w:val="00E70275"/>
    <w:rsid w:val="00E72139"/>
    <w:rsid w:val="00E93285"/>
    <w:rsid w:val="00E9580A"/>
    <w:rsid w:val="00EA216A"/>
    <w:rsid w:val="00EA5A4F"/>
    <w:rsid w:val="00EB2D0D"/>
    <w:rsid w:val="00EB4E94"/>
    <w:rsid w:val="00EC1F03"/>
    <w:rsid w:val="00ED1A54"/>
    <w:rsid w:val="00ED2948"/>
    <w:rsid w:val="00EE17D5"/>
    <w:rsid w:val="00EF1B00"/>
    <w:rsid w:val="00F05FCC"/>
    <w:rsid w:val="00F1608C"/>
    <w:rsid w:val="00F2089D"/>
    <w:rsid w:val="00F22BAC"/>
    <w:rsid w:val="00F31CE6"/>
    <w:rsid w:val="00F34067"/>
    <w:rsid w:val="00F34B30"/>
    <w:rsid w:val="00F47B14"/>
    <w:rsid w:val="00F679C6"/>
    <w:rsid w:val="00F77BA2"/>
    <w:rsid w:val="00F971D9"/>
    <w:rsid w:val="00FC2ED8"/>
    <w:rsid w:val="00FD7944"/>
    <w:rsid w:val="00FE1ABD"/>
    <w:rsid w:val="00FF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7EA1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1A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322E"/>
    <w:pPr>
      <w:tabs>
        <w:tab w:val="center" w:pos="4320"/>
        <w:tab w:val="right" w:pos="8640"/>
      </w:tabs>
    </w:pPr>
  </w:style>
  <w:style w:type="paragraph" w:styleId="Footer">
    <w:name w:val="footer"/>
    <w:basedOn w:val="Normal"/>
    <w:rsid w:val="00D8322E"/>
    <w:pPr>
      <w:tabs>
        <w:tab w:val="center" w:pos="4320"/>
        <w:tab w:val="right" w:pos="8640"/>
      </w:tabs>
    </w:pPr>
  </w:style>
  <w:style w:type="character" w:styleId="PageNumber">
    <w:name w:val="page number"/>
    <w:basedOn w:val="DefaultParagraphFont"/>
    <w:rsid w:val="00D8322E"/>
  </w:style>
  <w:style w:type="table" w:styleId="TableGrid">
    <w:name w:val="Table Grid"/>
    <w:basedOn w:val="TableNormal"/>
    <w:rsid w:val="00307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F710F"/>
    <w:rPr>
      <w:rFonts w:ascii="Tahoma" w:hAnsi="Tahoma" w:cs="Tahoma"/>
      <w:sz w:val="16"/>
      <w:szCs w:val="16"/>
    </w:rPr>
  </w:style>
  <w:style w:type="character" w:styleId="CommentReference">
    <w:name w:val="annotation reference"/>
    <w:semiHidden/>
    <w:rsid w:val="002D2E89"/>
    <w:rPr>
      <w:sz w:val="16"/>
      <w:szCs w:val="16"/>
    </w:rPr>
  </w:style>
  <w:style w:type="paragraph" w:styleId="CommentText">
    <w:name w:val="annotation text"/>
    <w:basedOn w:val="Normal"/>
    <w:semiHidden/>
    <w:rsid w:val="002D2E89"/>
    <w:rPr>
      <w:sz w:val="20"/>
      <w:szCs w:val="20"/>
    </w:rPr>
  </w:style>
  <w:style w:type="paragraph" w:styleId="CommentSubject">
    <w:name w:val="annotation subject"/>
    <w:basedOn w:val="CommentText"/>
    <w:next w:val="CommentText"/>
    <w:semiHidden/>
    <w:rsid w:val="002D2E89"/>
    <w:rPr>
      <w:b/>
      <w:bCs/>
    </w:rPr>
  </w:style>
  <w:style w:type="paragraph" w:styleId="Revision">
    <w:name w:val="Revision"/>
    <w:hidden/>
    <w:uiPriority w:val="99"/>
    <w:semiHidden/>
    <w:rsid w:val="00DB2D3C"/>
    <w:rPr>
      <w:sz w:val="24"/>
      <w:szCs w:val="24"/>
      <w:lang w:eastAsia="zh-CN"/>
    </w:rPr>
  </w:style>
  <w:style w:type="character" w:styleId="Hyperlink">
    <w:name w:val="Hyperlink"/>
    <w:basedOn w:val="DefaultParagraphFont"/>
    <w:rsid w:val="0099104D"/>
    <w:rPr>
      <w:color w:val="0563C1" w:themeColor="hyperlink"/>
      <w:u w:val="single"/>
    </w:rPr>
  </w:style>
  <w:style w:type="table" w:customStyle="1" w:styleId="TableGrid3">
    <w:name w:val="Table Grid3"/>
    <w:basedOn w:val="TableNormal"/>
    <w:next w:val="TableGrid"/>
    <w:uiPriority w:val="39"/>
    <w:rsid w:val="00C16A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2158</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2021-03-15T18:53:00Z</dcterms:created>
  <dcterms:modified xsi:type="dcterms:W3CDTF">2021-03-15T18:53:00Z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514600781</vt:i4>
  </property>
  <property fmtid="{D5CDD505-2E9C-101B-9397-08002B2CF9AE}" pid="3" name="_NewReviewCycle">
    <vt:lpwstr/>
  </property>
  <property fmtid="{D5CDD505-2E9C-101B-9397-08002B2CF9AE}" pid="4" name="_PreviousAdHocReviewCycleID">
    <vt:i4>-15170230</vt:i4>
  </property>
  <property fmtid="{D5CDD505-2E9C-101B-9397-08002B2CF9AE}" pid="5" name="_ReviewingToolsShownOnce">
    <vt:lpwstr/>
  </property>
</Properties>
</file>