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B29" w:rsidRPr="00750B29" w:rsidP="00750B29" w14:paraId="371D7399" w14:textId="77777777">
      <w:pPr>
        <w:jc w:val="center"/>
        <w:rPr>
          <w:rFonts w:ascii="Times New Roman" w:hAnsi="Times New Roman"/>
          <w:b/>
        </w:rPr>
      </w:pPr>
      <w:r w:rsidRPr="00750B29">
        <w:rPr>
          <w:rFonts w:ascii="Times New Roman" w:hAnsi="Times New Roman"/>
          <w:b/>
        </w:rPr>
        <w:t xml:space="preserve">Supporting Statement for </w:t>
      </w:r>
      <w:r w:rsidRPr="00750B29">
        <w:rPr>
          <w:rFonts w:ascii="Times New Roman" w:hAnsi="Times New Roman"/>
          <w:b/>
        </w:rPr>
        <w:t>Form SSA-7050-F4</w:t>
      </w:r>
    </w:p>
    <w:p w:rsidR="004D2105" w:rsidP="00750B29" w14:paraId="7FE8832E" w14:textId="77777777">
      <w:pPr>
        <w:jc w:val="center"/>
        <w:rPr>
          <w:rFonts w:ascii="Times New Roman" w:hAnsi="Times New Roman"/>
          <w:b/>
        </w:rPr>
      </w:pPr>
      <w:r w:rsidRPr="00750B29">
        <w:rPr>
          <w:rFonts w:ascii="Times New Roman" w:hAnsi="Times New Roman"/>
          <w:b/>
        </w:rPr>
        <w:t>Request for Social Security Earnings Information</w:t>
      </w:r>
    </w:p>
    <w:p w:rsidR="00C009D2" w:rsidRPr="00750B29" w:rsidP="00750B29" w14:paraId="15FD6A4F" w14:textId="77777777">
      <w:pPr>
        <w:jc w:val="center"/>
        <w:rPr>
          <w:rFonts w:ascii="Times New Roman" w:hAnsi="Times New Roman"/>
          <w:b/>
        </w:rPr>
      </w:pPr>
      <w:r>
        <w:rPr>
          <w:rFonts w:ascii="Times New Roman" w:hAnsi="Times New Roman"/>
          <w:b/>
        </w:rPr>
        <w:t>20 CFR 401.100 and 404.810</w:t>
      </w:r>
    </w:p>
    <w:p w:rsidR="00A45D82" w:rsidRPr="00750B29" w:rsidP="00750B29" w14:paraId="35E4101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50B29">
        <w:rPr>
          <w:rFonts w:ascii="Times New Roman" w:hAnsi="Times New Roman" w:cs="Times New Roman"/>
        </w:rPr>
        <w:t xml:space="preserve">OMB </w:t>
      </w:r>
      <w:r w:rsidRPr="00750B29" w:rsidR="002321B0">
        <w:rPr>
          <w:rFonts w:ascii="Times New Roman" w:hAnsi="Times New Roman" w:cs="Times New Roman"/>
        </w:rPr>
        <w:t>No.</w:t>
      </w:r>
      <w:r w:rsidRPr="00750B29">
        <w:rPr>
          <w:rFonts w:ascii="Times New Roman" w:hAnsi="Times New Roman" w:cs="Times New Roman"/>
        </w:rPr>
        <w:t xml:space="preserve"> 0960-</w:t>
      </w:r>
      <w:r w:rsidRPr="00750B29" w:rsidR="004A4DAB">
        <w:rPr>
          <w:rFonts w:ascii="Times New Roman" w:hAnsi="Times New Roman" w:cs="Times New Roman"/>
        </w:rPr>
        <w:t>0525</w:t>
      </w:r>
    </w:p>
    <w:p w:rsidR="00A45D82" w:rsidRPr="00BC7F42" w:rsidP="00A45D82" w14:paraId="0949654C" w14:textId="77777777">
      <w:pPr>
        <w:pStyle w:val="Header"/>
        <w:tabs>
          <w:tab w:val="clear" w:pos="4320"/>
          <w:tab w:val="clear" w:pos="8640"/>
        </w:tabs>
        <w:rPr>
          <w:rFonts w:ascii="Times New Roman" w:hAnsi="Times New Roman"/>
        </w:rPr>
      </w:pPr>
    </w:p>
    <w:p w:rsidR="00C009D2" w:rsidP="004679A4" w14:paraId="5FBFD785" w14:textId="77777777">
      <w:pPr>
        <w:numPr>
          <w:ilvl w:val="0"/>
          <w:numId w:val="9"/>
        </w:numPr>
        <w:ind w:left="720" w:hanging="540"/>
        <w:rPr>
          <w:rFonts w:ascii="Times New Roman" w:hAnsi="Times New Roman"/>
          <w:b/>
          <w:u w:val="single"/>
        </w:rPr>
      </w:pPr>
      <w:r>
        <w:rPr>
          <w:rFonts w:ascii="Times New Roman" w:hAnsi="Times New Roman"/>
          <w:b/>
          <w:u w:val="single"/>
        </w:rPr>
        <w:t>Justification</w:t>
      </w:r>
    </w:p>
    <w:p w:rsidR="00C009D2" w:rsidP="00C009D2" w14:paraId="5DBBEB05" w14:textId="77777777">
      <w:pPr>
        <w:ind w:left="410"/>
        <w:rPr>
          <w:rFonts w:ascii="Times New Roman" w:hAnsi="Times New Roman"/>
          <w:b/>
          <w:u w:val="single"/>
        </w:rPr>
      </w:pPr>
    </w:p>
    <w:p w:rsidR="00C009D2" w:rsidP="004679A4" w14:paraId="0D3419A1" w14:textId="77777777">
      <w:pPr>
        <w:numPr>
          <w:ilvl w:val="0"/>
          <w:numId w:val="10"/>
        </w:numPr>
        <w:ind w:left="1440" w:hanging="72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EC414E" w:rsidP="004679A4" w14:paraId="30B9CC70" w14:textId="77777777">
      <w:pPr>
        <w:ind w:left="1440"/>
        <w:rPr>
          <w:rFonts w:ascii="Times New Roman" w:hAnsi="Times New Roman"/>
          <w:i/>
        </w:rPr>
      </w:pPr>
      <w:r w:rsidRPr="00C009D2">
        <w:rPr>
          <w:rFonts w:ascii="Times New Roman" w:hAnsi="Times New Roman"/>
        </w:rPr>
        <w:t>The Social Security Administration (SSA) uses the Request for Social</w:t>
      </w:r>
      <w:r>
        <w:rPr>
          <w:rFonts w:ascii="Times New Roman" w:hAnsi="Times New Roman"/>
        </w:rPr>
        <w:t xml:space="preserve"> Security Earnings Information, </w:t>
      </w:r>
      <w:r w:rsidRPr="00C009D2">
        <w:rPr>
          <w:rFonts w:ascii="Times New Roman" w:hAnsi="Times New Roman"/>
        </w:rPr>
        <w:t>Form SSA-7050-F4</w:t>
      </w:r>
      <w:r>
        <w:rPr>
          <w:rFonts w:ascii="Times New Roman" w:hAnsi="Times New Roman"/>
        </w:rPr>
        <w:t>,</w:t>
      </w:r>
      <w:r w:rsidRPr="00C009D2">
        <w:rPr>
          <w:rFonts w:ascii="Times New Roman" w:hAnsi="Times New Roman"/>
        </w:rPr>
        <w:t xml:space="preserve"> for Social Security number (SSN) holders or their legal representative</w:t>
      </w:r>
      <w:r>
        <w:rPr>
          <w:rFonts w:ascii="Times New Roman" w:hAnsi="Times New Roman"/>
        </w:rPr>
        <w:t>s</w:t>
      </w:r>
      <w:r w:rsidRPr="00C009D2">
        <w:rPr>
          <w:rFonts w:ascii="Times New Roman" w:hAnsi="Times New Roman"/>
        </w:rPr>
        <w:t xml:space="preserve"> to request an Itemized Statement of Earnings (Form SSA-1826) for various non-program related reasons.  Section </w:t>
      </w:r>
      <w:r w:rsidRPr="00C009D2">
        <w:rPr>
          <w:rFonts w:ascii="Times New Roman" w:hAnsi="Times New Roman"/>
          <w:i/>
        </w:rPr>
        <w:t>205(c)(2)(A)</w:t>
      </w:r>
      <w:r w:rsidRPr="00C009D2">
        <w:rPr>
          <w:rFonts w:ascii="Times New Roman" w:hAnsi="Times New Roman"/>
        </w:rPr>
        <w:t xml:space="preserve"> of the</w:t>
      </w:r>
      <w:r w:rsidRPr="00C009D2">
        <w:rPr>
          <w:rFonts w:ascii="Times New Roman" w:hAnsi="Times New Roman"/>
          <w:i/>
        </w:rPr>
        <w:t xml:space="preserve"> Social Security Act (Act) </w:t>
      </w:r>
      <w:r w:rsidRPr="00C009D2">
        <w:rPr>
          <w:rFonts w:ascii="Times New Roman" w:hAnsi="Times New Roman"/>
        </w:rPr>
        <w:t>mandates the disclosure of earnings.  Section</w:t>
      </w:r>
      <w:r w:rsidRPr="00C009D2">
        <w:rPr>
          <w:rFonts w:ascii="Times New Roman" w:hAnsi="Times New Roman"/>
          <w:i/>
        </w:rPr>
        <w:t xml:space="preserve"> </w:t>
      </w:r>
    </w:p>
    <w:p w:rsidR="00C009D2" w:rsidP="004679A4" w14:paraId="22C7DDCD" w14:textId="7E843387">
      <w:pPr>
        <w:ind w:left="1440"/>
        <w:rPr>
          <w:rFonts w:ascii="Times New Roman" w:hAnsi="Times New Roman"/>
        </w:rPr>
      </w:pPr>
      <w:r w:rsidRPr="00C009D2">
        <w:rPr>
          <w:rFonts w:ascii="Times New Roman" w:hAnsi="Times New Roman"/>
          <w:i/>
        </w:rPr>
        <w:t xml:space="preserve">20 CFR 404.810 </w:t>
      </w:r>
      <w:r w:rsidRPr="00C009D2">
        <w:rPr>
          <w:rFonts w:ascii="Times New Roman" w:hAnsi="Times New Roman"/>
        </w:rPr>
        <w:t xml:space="preserve">of the </w:t>
      </w:r>
      <w:r w:rsidRPr="00C009D2">
        <w:rPr>
          <w:rFonts w:ascii="Times New Roman" w:hAnsi="Times New Roman"/>
          <w:i/>
        </w:rPr>
        <w:t xml:space="preserve">Code of Federal Regulations </w:t>
      </w:r>
      <w:r w:rsidRPr="00C009D2">
        <w:rPr>
          <w:rFonts w:ascii="Times New Roman" w:hAnsi="Times New Roman"/>
        </w:rPr>
        <w:t>describes the information individuals</w:t>
      </w:r>
      <w:r>
        <w:rPr>
          <w:rFonts w:ascii="Times New Roman" w:hAnsi="Times New Roman"/>
        </w:rPr>
        <w:t xml:space="preserve"> </w:t>
      </w:r>
      <w:r w:rsidRPr="00C009D2">
        <w:rPr>
          <w:rFonts w:ascii="Times New Roman" w:hAnsi="Times New Roman"/>
        </w:rPr>
        <w:t xml:space="preserve">must provide to obtain a statement of earnings and a benefit estimate statement.  Section </w:t>
      </w:r>
      <w:r w:rsidRPr="00C009D2">
        <w:rPr>
          <w:rFonts w:ascii="Times New Roman" w:hAnsi="Times New Roman"/>
          <w:i/>
        </w:rPr>
        <w:t xml:space="preserve">20 CFR 401.100 </w:t>
      </w:r>
      <w:r w:rsidRPr="00C009D2">
        <w:rPr>
          <w:rFonts w:ascii="Times New Roman" w:hAnsi="Times New Roman"/>
        </w:rPr>
        <w:t>describes the rules</w:t>
      </w:r>
      <w:r w:rsidRPr="00C009D2">
        <w:rPr>
          <w:rFonts w:ascii="Times New Roman" w:hAnsi="Times New Roman"/>
          <w:i/>
        </w:rPr>
        <w:t xml:space="preserve"> </w:t>
      </w:r>
      <w:r w:rsidRPr="00C009D2">
        <w:rPr>
          <w:rFonts w:ascii="Times New Roman" w:hAnsi="Times New Roman"/>
        </w:rPr>
        <w:t>for disclosure of official records and information</w:t>
      </w:r>
      <w:r>
        <w:rPr>
          <w:rFonts w:ascii="Times New Roman" w:hAnsi="Times New Roman"/>
        </w:rPr>
        <w:t>.</w:t>
      </w:r>
    </w:p>
    <w:p w:rsidR="00C009D2" w:rsidP="004679A4" w14:paraId="6894D0AB" w14:textId="77777777">
      <w:pPr>
        <w:ind w:left="1440"/>
        <w:rPr>
          <w:rFonts w:ascii="Times New Roman" w:hAnsi="Times New Roman"/>
          <w:b/>
        </w:rPr>
      </w:pPr>
    </w:p>
    <w:p w:rsidR="00C009D2" w:rsidP="004679A4" w14:paraId="3016301A" w14:textId="77777777">
      <w:pPr>
        <w:numPr>
          <w:ilvl w:val="0"/>
          <w:numId w:val="10"/>
        </w:numPr>
        <w:ind w:left="1440" w:hanging="720"/>
        <w:rPr>
          <w:rFonts w:ascii="Times New Roman" w:hAnsi="Times New Roman"/>
          <w:b/>
        </w:rPr>
      </w:pPr>
      <w:r>
        <w:rPr>
          <w:rFonts w:ascii="Times New Roman" w:hAnsi="Times New Roman"/>
          <w:b/>
        </w:rPr>
        <w:t>Description of Collection</w:t>
      </w:r>
    </w:p>
    <w:p w:rsidR="00EC414E" w:rsidP="004679A4" w14:paraId="3AB4AED8" w14:textId="77777777">
      <w:pPr>
        <w:ind w:left="1440"/>
        <w:rPr>
          <w:rFonts w:ascii="Times New Roman" w:hAnsi="Times New Roman"/>
        </w:rPr>
      </w:pPr>
      <w:r w:rsidRPr="00802C46">
        <w:rPr>
          <w:rFonts w:ascii="Times New Roman" w:hAnsi="Times New Roman"/>
        </w:rPr>
        <w:t xml:space="preserve">SSA </w:t>
      </w:r>
      <w:r>
        <w:rPr>
          <w:rFonts w:ascii="Times New Roman" w:hAnsi="Times New Roman"/>
        </w:rPr>
        <w:t>uses the information</w:t>
      </w:r>
      <w:r w:rsidRPr="00802C46">
        <w:rPr>
          <w:rFonts w:ascii="Times New Roman" w:hAnsi="Times New Roman"/>
        </w:rPr>
        <w:t xml:space="preserve"> the respondent </w:t>
      </w:r>
      <w:r>
        <w:rPr>
          <w:rFonts w:ascii="Times New Roman" w:hAnsi="Times New Roman"/>
        </w:rPr>
        <w:t xml:space="preserve">provides </w:t>
      </w:r>
      <w:r w:rsidRPr="00802C46">
        <w:rPr>
          <w:rFonts w:ascii="Times New Roman" w:hAnsi="Times New Roman"/>
        </w:rPr>
        <w:t>on Form SSA-7</w:t>
      </w:r>
      <w:r>
        <w:rPr>
          <w:rFonts w:ascii="Times New Roman" w:hAnsi="Times New Roman"/>
        </w:rPr>
        <w:t xml:space="preserve">050-F4 to verify </w:t>
      </w:r>
      <w:r w:rsidRPr="00802C46">
        <w:rPr>
          <w:rFonts w:ascii="Times New Roman" w:hAnsi="Times New Roman"/>
        </w:rPr>
        <w:t>the wage earner</w:t>
      </w:r>
      <w:r>
        <w:rPr>
          <w:rFonts w:ascii="Times New Roman" w:hAnsi="Times New Roman"/>
        </w:rPr>
        <w:t xml:space="preserve"> has:  (1)</w:t>
      </w:r>
      <w:r w:rsidRPr="00802C46">
        <w:rPr>
          <w:rFonts w:ascii="Times New Roman" w:hAnsi="Times New Roman"/>
        </w:rPr>
        <w:t xml:space="preserve"> </w:t>
      </w:r>
      <w:r>
        <w:rPr>
          <w:rFonts w:ascii="Times New Roman" w:hAnsi="Times New Roman"/>
        </w:rPr>
        <w:t xml:space="preserve">earnings; (2) the right </w:t>
      </w:r>
      <w:r w:rsidRPr="00802C46">
        <w:rPr>
          <w:rFonts w:ascii="Times New Roman" w:hAnsi="Times New Roman"/>
        </w:rPr>
        <w:t>to access the correct Social Security Record</w:t>
      </w:r>
      <w:r>
        <w:rPr>
          <w:rFonts w:ascii="Times New Roman" w:hAnsi="Times New Roman"/>
        </w:rPr>
        <w:t>; and (3) the right to request the earnings statement</w:t>
      </w:r>
      <w:r w:rsidRPr="00802C46">
        <w:rPr>
          <w:rFonts w:ascii="Times New Roman" w:hAnsi="Times New Roman"/>
        </w:rPr>
        <w:t xml:space="preserve">.  </w:t>
      </w:r>
      <w:r>
        <w:rPr>
          <w:rFonts w:ascii="Times New Roman" w:hAnsi="Times New Roman"/>
        </w:rPr>
        <w:t>If we verify all three items, SSA produces an Itemized Statement of Ear</w:t>
      </w:r>
      <w:r w:rsidR="00A119A1">
        <w:rPr>
          <w:rFonts w:ascii="Times New Roman" w:hAnsi="Times New Roman"/>
        </w:rPr>
        <w:t xml:space="preserve">nings </w:t>
      </w:r>
    </w:p>
    <w:p w:rsidR="00C009D2" w:rsidP="004679A4" w14:paraId="5E401236" w14:textId="41537B79">
      <w:pPr>
        <w:ind w:left="1440"/>
        <w:rPr>
          <w:rFonts w:ascii="Times New Roman" w:hAnsi="Times New Roman"/>
        </w:rPr>
      </w:pPr>
      <w:r>
        <w:rPr>
          <w:rFonts w:ascii="Times New Roman" w:hAnsi="Times New Roman"/>
        </w:rPr>
        <w:t>(Form</w:t>
      </w:r>
      <w:r w:rsidR="00EC414E">
        <w:rPr>
          <w:rFonts w:ascii="Times New Roman" w:hAnsi="Times New Roman"/>
        </w:rPr>
        <w:t xml:space="preserve"> </w:t>
      </w:r>
      <w:r w:rsidR="006A1137">
        <w:rPr>
          <w:rFonts w:ascii="Times New Roman" w:hAnsi="Times New Roman"/>
        </w:rPr>
        <w:t>SSA</w:t>
      </w:r>
      <w:r w:rsidR="006A1137">
        <w:rPr>
          <w:rFonts w:ascii="Times New Roman" w:hAnsi="Times New Roman"/>
        </w:rPr>
        <w:noBreakHyphen/>
      </w:r>
      <w:r>
        <w:rPr>
          <w:rFonts w:ascii="Times New Roman" w:hAnsi="Times New Roman"/>
        </w:rPr>
        <w:t>18</w:t>
      </w:r>
      <w:r w:rsidR="00B20C87">
        <w:rPr>
          <w:rFonts w:ascii="Times New Roman" w:hAnsi="Times New Roman"/>
        </w:rPr>
        <w:t>26) and sends it to the requeste</w:t>
      </w:r>
      <w:r>
        <w:rPr>
          <w:rFonts w:ascii="Times New Roman" w:hAnsi="Times New Roman"/>
        </w:rPr>
        <w:t xml:space="preserve">r.  </w:t>
      </w:r>
      <w:r w:rsidRPr="00802C46">
        <w:rPr>
          <w:rFonts w:ascii="Times New Roman" w:hAnsi="Times New Roman"/>
        </w:rPr>
        <w:t xml:space="preserve">Respondents are </w:t>
      </w:r>
      <w:r>
        <w:rPr>
          <w:rFonts w:ascii="Times New Roman" w:hAnsi="Times New Roman"/>
        </w:rPr>
        <w:t>wage earners and their authorized representatives</w:t>
      </w:r>
      <w:r w:rsidRPr="00802C46">
        <w:rPr>
          <w:rFonts w:ascii="Times New Roman" w:hAnsi="Times New Roman"/>
        </w:rPr>
        <w:t xml:space="preserve"> who are requesting </w:t>
      </w:r>
      <w:r>
        <w:rPr>
          <w:rFonts w:ascii="Times New Roman" w:hAnsi="Times New Roman"/>
        </w:rPr>
        <w:t xml:space="preserve">Itemized Statement of Earnings </w:t>
      </w:r>
      <w:r w:rsidRPr="00802C46">
        <w:rPr>
          <w:rFonts w:ascii="Times New Roman" w:hAnsi="Times New Roman"/>
        </w:rPr>
        <w:t>records</w:t>
      </w:r>
      <w:r>
        <w:rPr>
          <w:rFonts w:ascii="Times New Roman" w:hAnsi="Times New Roman"/>
        </w:rPr>
        <w:t>.</w:t>
      </w:r>
    </w:p>
    <w:p w:rsidR="001C03A7" w:rsidP="004679A4" w14:paraId="188262FF" w14:textId="5D1C8995">
      <w:pPr>
        <w:ind w:left="1440"/>
        <w:rPr>
          <w:rFonts w:ascii="Times New Roman" w:hAnsi="Times New Roman"/>
        </w:rPr>
      </w:pPr>
    </w:p>
    <w:p w:rsidR="007F0450" w:rsidP="004679A4" w14:paraId="0E5C1388" w14:textId="0C4BC08E">
      <w:pPr>
        <w:ind w:left="1440"/>
        <w:rPr>
          <w:rFonts w:ascii="Times New Roman" w:hAnsi="Times New Roman"/>
        </w:rPr>
      </w:pPr>
      <w:r>
        <w:rPr>
          <w:rFonts w:ascii="Times New Roman" w:hAnsi="Times New Roman"/>
        </w:rPr>
        <w:t xml:space="preserve">On the form, the respondent has multiple options to select from. </w:t>
      </w:r>
      <w:r w:rsidR="00EC414E">
        <w:rPr>
          <w:rFonts w:ascii="Times New Roman" w:hAnsi="Times New Roman"/>
        </w:rPr>
        <w:t xml:space="preserve"> </w:t>
      </w:r>
      <w:r>
        <w:rPr>
          <w:rFonts w:ascii="Times New Roman" w:hAnsi="Times New Roman"/>
        </w:rPr>
        <w:t>First,</w:t>
      </w:r>
      <w:r>
        <w:rPr>
          <w:rFonts w:ascii="Times New Roman" w:hAnsi="Times New Roman"/>
        </w:rPr>
        <w:t xml:space="preserve"> respondents must </w:t>
      </w:r>
      <w:r>
        <w:rPr>
          <w:rFonts w:ascii="Times New Roman" w:hAnsi="Times New Roman"/>
        </w:rPr>
        <w:t>chose</w:t>
      </w:r>
      <w:r>
        <w:rPr>
          <w:rFonts w:ascii="Times New Roman" w:hAnsi="Times New Roman"/>
        </w:rPr>
        <w:t xml:space="preserve"> between an itemized statement of earnings or a certified yearly total of earnings. </w:t>
      </w:r>
      <w:r w:rsidR="00EC414E">
        <w:rPr>
          <w:rFonts w:ascii="Times New Roman" w:hAnsi="Times New Roman"/>
        </w:rPr>
        <w:t xml:space="preserve"> </w:t>
      </w:r>
      <w:r w:rsidR="00D144D6">
        <w:rPr>
          <w:rFonts w:ascii="Times New Roman" w:hAnsi="Times New Roman"/>
        </w:rPr>
        <w:t xml:space="preserve">The </w:t>
      </w:r>
      <w:r w:rsidRPr="00D144D6" w:rsidR="00D144D6">
        <w:rPr>
          <w:rFonts w:ascii="Times New Roman" w:hAnsi="Times New Roman"/>
        </w:rPr>
        <w:t>Itemized Statement of Earnings provides the customer with a detailed record of their earnings history</w:t>
      </w:r>
      <w:r w:rsidR="00D144D6">
        <w:rPr>
          <w:rFonts w:ascii="Times New Roman" w:hAnsi="Times New Roman"/>
        </w:rPr>
        <w:t>.</w:t>
      </w:r>
      <w:r w:rsidRPr="00D144D6" w:rsidR="00D144D6">
        <w:rPr>
          <w:rFonts w:ascii="Times New Roman" w:hAnsi="Times New Roman"/>
        </w:rPr>
        <w:t xml:space="preserve"> </w:t>
      </w:r>
      <w:r w:rsidR="00EC414E">
        <w:rPr>
          <w:rFonts w:ascii="Times New Roman" w:hAnsi="Times New Roman"/>
        </w:rPr>
        <w:t xml:space="preserve"> </w:t>
      </w:r>
      <w:r w:rsidRPr="00D144D6" w:rsidR="00D144D6">
        <w:rPr>
          <w:rFonts w:ascii="Times New Roman" w:hAnsi="Times New Roman"/>
        </w:rPr>
        <w:t>It allows the individual to identify which organizations they have been employed with and the earnings associated with that employment.</w:t>
      </w:r>
      <w:r w:rsidR="00EC414E">
        <w:rPr>
          <w:rFonts w:ascii="Times New Roman" w:hAnsi="Times New Roman"/>
        </w:rPr>
        <w:t xml:space="preserve"> </w:t>
      </w:r>
      <w:r w:rsidRPr="00D144D6" w:rsidR="00D144D6">
        <w:rPr>
          <w:rFonts w:ascii="Times New Roman" w:hAnsi="Times New Roman"/>
        </w:rPr>
        <w:t xml:space="preserve"> This involves looking at the DEQY </w:t>
      </w:r>
      <w:r w:rsidR="00D144D6">
        <w:rPr>
          <w:rFonts w:ascii="Times New Roman" w:hAnsi="Times New Roman"/>
        </w:rPr>
        <w:t xml:space="preserve">(Detail Earnings Query) </w:t>
      </w:r>
      <w:r w:rsidRPr="00D144D6" w:rsidR="00D144D6">
        <w:rPr>
          <w:rFonts w:ascii="Times New Roman" w:hAnsi="Times New Roman"/>
        </w:rPr>
        <w:t>and/or magnetic media to obtain this information for reproduction (manual process).</w:t>
      </w:r>
      <w:r w:rsidR="00EC414E">
        <w:rPr>
          <w:rFonts w:ascii="Times New Roman" w:hAnsi="Times New Roman"/>
        </w:rPr>
        <w:t xml:space="preserve"> </w:t>
      </w:r>
      <w:r w:rsidR="00D144D6">
        <w:rPr>
          <w:rFonts w:ascii="Times New Roman" w:hAnsi="Times New Roman"/>
        </w:rPr>
        <w:t xml:space="preserve"> </w:t>
      </w:r>
      <w:r w:rsidR="00BF3618">
        <w:rPr>
          <w:rFonts w:ascii="Times New Roman" w:hAnsi="Times New Roman"/>
        </w:rPr>
        <w:t>By contrast, t</w:t>
      </w:r>
      <w:r w:rsidR="00D144D6">
        <w:rPr>
          <w:rFonts w:ascii="Times New Roman" w:hAnsi="Times New Roman"/>
        </w:rPr>
        <w:t xml:space="preserve">he certified yearly total of earnings does not provide information related to specific employers, and as SSA notes on the form, a free, non-certified version of this information is available to most number holders through their </w:t>
      </w:r>
      <w:r w:rsidRPr="00EC414E" w:rsidR="00D144D6">
        <w:rPr>
          <w:rFonts w:ascii="Times New Roman" w:hAnsi="Times New Roman"/>
          <w:i/>
          <w:iCs/>
        </w:rPr>
        <w:t>My Social Security</w:t>
      </w:r>
      <w:r w:rsidR="00D144D6">
        <w:rPr>
          <w:rFonts w:ascii="Times New Roman" w:hAnsi="Times New Roman"/>
        </w:rPr>
        <w:t xml:space="preserve"> account.</w:t>
      </w:r>
    </w:p>
    <w:p w:rsidR="007F0450" w:rsidP="004679A4" w14:paraId="02E36C9A" w14:textId="77777777">
      <w:pPr>
        <w:ind w:left="1440"/>
        <w:rPr>
          <w:rFonts w:ascii="Times New Roman" w:hAnsi="Times New Roman"/>
        </w:rPr>
      </w:pPr>
    </w:p>
    <w:p w:rsidR="001C03A7" w:rsidP="004679A4" w14:paraId="2AD6F4C5" w14:textId="5AB8D3B6">
      <w:pPr>
        <w:ind w:left="1440"/>
        <w:rPr>
          <w:rFonts w:ascii="Times New Roman" w:hAnsi="Times New Roman"/>
        </w:rPr>
      </w:pPr>
      <w:r>
        <w:rPr>
          <w:rFonts w:ascii="Times New Roman" w:hAnsi="Times New Roman"/>
        </w:rPr>
        <w:t>Additionally,</w:t>
      </w:r>
      <w:r>
        <w:rPr>
          <w:rFonts w:ascii="Times New Roman" w:hAnsi="Times New Roman"/>
        </w:rPr>
        <w:t xml:space="preserve"> respondents may elect </w:t>
      </w:r>
      <w:r>
        <w:rPr>
          <w:rFonts w:ascii="Times New Roman" w:hAnsi="Times New Roman"/>
        </w:rPr>
        <w:t>to have their Itemized Statements of</w:t>
      </w:r>
      <w:r>
        <w:rPr>
          <w:rFonts w:ascii="Times New Roman" w:hAnsi="Times New Roman"/>
        </w:rPr>
        <w:t xml:space="preserve"> </w:t>
      </w:r>
      <w:r>
        <w:rPr>
          <w:rFonts w:ascii="Times New Roman" w:hAnsi="Times New Roman"/>
        </w:rPr>
        <w:t>E</w:t>
      </w:r>
      <w:r>
        <w:rPr>
          <w:rFonts w:ascii="Times New Roman" w:hAnsi="Times New Roman"/>
        </w:rPr>
        <w:t xml:space="preserve">arnings “certified.” Respondents typically seek certified records when an individual needs proof of earnings for court purposes or other similar circumstances (e.g. child support cases).  </w:t>
      </w:r>
      <w:r w:rsidRPr="001C03A7">
        <w:rPr>
          <w:rFonts w:ascii="Times New Roman" w:hAnsi="Times New Roman"/>
        </w:rPr>
        <w:t xml:space="preserve">Non-Certified requests </w:t>
      </w:r>
      <w:r>
        <w:rPr>
          <w:rFonts w:ascii="Times New Roman" w:hAnsi="Times New Roman"/>
        </w:rPr>
        <w:t xml:space="preserve">typically involve circumstances when an individual wishes </w:t>
      </w:r>
      <w:r w:rsidRPr="001C03A7">
        <w:rPr>
          <w:rFonts w:ascii="Times New Roman" w:hAnsi="Times New Roman"/>
        </w:rPr>
        <w:t>to check their earnings history</w:t>
      </w:r>
      <w:r>
        <w:rPr>
          <w:rFonts w:ascii="Times New Roman" w:hAnsi="Times New Roman"/>
        </w:rPr>
        <w:t xml:space="preserve"> </w:t>
      </w:r>
      <w:r w:rsidRPr="001C03A7">
        <w:rPr>
          <w:rFonts w:ascii="Times New Roman" w:hAnsi="Times New Roman"/>
        </w:rPr>
        <w:t xml:space="preserve">or they need to supply proof of their earnings amount to </w:t>
      </w:r>
      <w:r>
        <w:rPr>
          <w:rFonts w:ascii="Times New Roman" w:hAnsi="Times New Roman"/>
        </w:rPr>
        <w:t xml:space="preserve">a third-party such as a </w:t>
      </w:r>
      <w:r w:rsidRPr="001C03A7">
        <w:rPr>
          <w:rFonts w:ascii="Times New Roman" w:hAnsi="Times New Roman"/>
        </w:rPr>
        <w:t>rental company</w:t>
      </w:r>
      <w:r>
        <w:rPr>
          <w:rFonts w:ascii="Times New Roman" w:hAnsi="Times New Roman"/>
        </w:rPr>
        <w:t xml:space="preserve"> or </w:t>
      </w:r>
      <w:r w:rsidRPr="001C03A7">
        <w:rPr>
          <w:rFonts w:ascii="Times New Roman" w:hAnsi="Times New Roman"/>
        </w:rPr>
        <w:t>private landlord.</w:t>
      </w:r>
      <w:r>
        <w:rPr>
          <w:rFonts w:ascii="Times New Roman" w:hAnsi="Times New Roman"/>
        </w:rPr>
        <w:t xml:space="preserve"> Regardless of if a record is certified or not</w:t>
      </w:r>
      <w:r w:rsidR="007F0450">
        <w:rPr>
          <w:rFonts w:ascii="Times New Roman" w:hAnsi="Times New Roman"/>
        </w:rPr>
        <w:t xml:space="preserve">, SSA still checks the same </w:t>
      </w:r>
      <w:r w:rsidR="007F0450">
        <w:rPr>
          <w:rFonts w:ascii="Times New Roman" w:hAnsi="Times New Roman"/>
        </w:rPr>
        <w:t xml:space="preserve">systems and performs the same procedures to confirm the earnings record. However, a </w:t>
      </w:r>
      <w:r>
        <w:rPr>
          <w:rFonts w:ascii="Times New Roman" w:hAnsi="Times New Roman"/>
        </w:rPr>
        <w:t>certified</w:t>
      </w:r>
      <w:r w:rsidR="007F0450">
        <w:rPr>
          <w:rFonts w:ascii="Times New Roman" w:hAnsi="Times New Roman"/>
        </w:rPr>
        <w:t xml:space="preserve"> request comes with an official letter that contains the agency seal, ribbons/grommets, and an additional statement certifying that these earnings have been reviewed and are true and correct.</w:t>
      </w:r>
    </w:p>
    <w:p w:rsidR="001C03A7" w:rsidP="004679A4" w14:paraId="3542A53A" w14:textId="58C980EE">
      <w:pPr>
        <w:ind w:left="1440"/>
        <w:rPr>
          <w:rFonts w:ascii="Times New Roman" w:hAnsi="Times New Roman"/>
        </w:rPr>
      </w:pPr>
    </w:p>
    <w:p w:rsidR="0008736C" w:rsidP="00BF3618" w14:paraId="115F2AF7" w14:textId="353C7CA1">
      <w:pPr>
        <w:ind w:left="1440"/>
        <w:rPr>
          <w:rFonts w:ascii="Times New Roman" w:hAnsi="Times New Roman"/>
        </w:rPr>
      </w:pPr>
      <w:r>
        <w:rPr>
          <w:rFonts w:ascii="Times New Roman" w:hAnsi="Times New Roman"/>
        </w:rPr>
        <w:t xml:space="preserve">Fee rates are </w:t>
      </w:r>
      <w:r w:rsidRPr="001C03A7">
        <w:rPr>
          <w:rFonts w:ascii="Times New Roman" w:hAnsi="Times New Roman"/>
        </w:rPr>
        <w:t>set by the Office of Finance and encompass all of the overhead</w:t>
      </w:r>
      <w:r w:rsidR="000E4167">
        <w:rPr>
          <w:rFonts w:ascii="Times New Roman" w:hAnsi="Times New Roman"/>
        </w:rPr>
        <w:t xml:space="preserve"> and </w:t>
      </w:r>
      <w:r w:rsidRPr="001C03A7">
        <w:rPr>
          <w:rFonts w:ascii="Times New Roman" w:hAnsi="Times New Roman"/>
        </w:rPr>
        <w:t>component costs to process these requests.</w:t>
      </w:r>
    </w:p>
    <w:p w:rsidR="0008736C" w:rsidP="004679A4" w14:paraId="0CDD6990" w14:textId="76907B84">
      <w:pPr>
        <w:ind w:left="1440"/>
        <w:rPr>
          <w:rFonts w:ascii="Times New Roman" w:hAnsi="Times New Roman"/>
        </w:rPr>
      </w:pPr>
    </w:p>
    <w:p w:rsidR="0008736C" w:rsidP="004679A4" w14:paraId="42664946" w14:textId="73A867C4">
      <w:pPr>
        <w:ind w:left="1440"/>
        <w:rPr>
          <w:rFonts w:ascii="Times New Roman" w:hAnsi="Times New Roman"/>
        </w:rPr>
      </w:pPr>
      <w:r>
        <w:rPr>
          <w:rFonts w:ascii="Times New Roman" w:hAnsi="Times New Roman"/>
        </w:rPr>
        <w:t xml:space="preserve">Respondents </w:t>
      </w:r>
      <w:r w:rsidR="00BF3618">
        <w:rPr>
          <w:rFonts w:ascii="Times New Roman" w:hAnsi="Times New Roman"/>
        </w:rPr>
        <w:t xml:space="preserve">are number-holders who </w:t>
      </w:r>
      <w:r w:rsidR="00B31C87">
        <w:rPr>
          <w:rFonts w:ascii="Times New Roman" w:hAnsi="Times New Roman"/>
        </w:rPr>
        <w:t xml:space="preserve">are seeking </w:t>
      </w:r>
      <w:r>
        <w:rPr>
          <w:rFonts w:ascii="Times New Roman" w:hAnsi="Times New Roman"/>
        </w:rPr>
        <w:t xml:space="preserve">either an itemized statement of earnings or certified total yearly earnings. </w:t>
      </w:r>
    </w:p>
    <w:p w:rsidR="00C009D2" w:rsidP="004679A4" w14:paraId="5B07875E" w14:textId="77777777">
      <w:pPr>
        <w:ind w:left="1440"/>
        <w:rPr>
          <w:rFonts w:ascii="Times New Roman" w:hAnsi="Times New Roman"/>
          <w:b/>
        </w:rPr>
      </w:pPr>
    </w:p>
    <w:p w:rsidR="00C009D2" w:rsidP="004679A4" w14:paraId="4AE1149D" w14:textId="77777777">
      <w:pPr>
        <w:numPr>
          <w:ilvl w:val="0"/>
          <w:numId w:val="10"/>
        </w:numPr>
        <w:ind w:left="1440" w:hanging="720"/>
        <w:rPr>
          <w:rFonts w:ascii="Times New Roman" w:hAnsi="Times New Roman"/>
          <w:b/>
        </w:rPr>
      </w:pPr>
      <w:r w:rsidRPr="00BC7F42">
        <w:rPr>
          <w:rFonts w:ascii="Times New Roman" w:hAnsi="Times New Roman"/>
          <w:b/>
        </w:rPr>
        <w:t>Use of Information Technology to Collect the Infor</w:t>
      </w:r>
      <w:r>
        <w:rPr>
          <w:rFonts w:ascii="Times New Roman" w:hAnsi="Times New Roman"/>
          <w:b/>
        </w:rPr>
        <w:t>mation</w:t>
      </w:r>
    </w:p>
    <w:p w:rsidR="00EC414E" w:rsidP="004679A4" w14:paraId="595E3E64" w14:textId="77777777">
      <w:pPr>
        <w:ind w:left="1440"/>
        <w:rPr>
          <w:rFonts w:ascii="Times New Roman" w:hAnsi="Times New Roman"/>
        </w:rPr>
      </w:pPr>
      <w:r>
        <w:rPr>
          <w:rFonts w:ascii="Times New Roman" w:hAnsi="Times New Roman"/>
        </w:rPr>
        <w:t>We currently make F</w:t>
      </w:r>
      <w:r w:rsidRPr="00802C46">
        <w:rPr>
          <w:rFonts w:ascii="Times New Roman" w:hAnsi="Times New Roman"/>
        </w:rPr>
        <w:t>orm SSA-7</w:t>
      </w:r>
      <w:r>
        <w:rPr>
          <w:rFonts w:ascii="Times New Roman" w:hAnsi="Times New Roman"/>
        </w:rPr>
        <w:t xml:space="preserve">050-F4 </w:t>
      </w:r>
      <w:r w:rsidRPr="00802C46">
        <w:rPr>
          <w:rFonts w:ascii="Times New Roman" w:hAnsi="Times New Roman"/>
        </w:rPr>
        <w:t xml:space="preserve">available on the Internet in a </w:t>
      </w:r>
      <w:r>
        <w:rPr>
          <w:rFonts w:ascii="Times New Roman" w:hAnsi="Times New Roman"/>
        </w:rPr>
        <w:t xml:space="preserve">fillable </w:t>
      </w:r>
      <w:r w:rsidRPr="00802C46">
        <w:rPr>
          <w:rFonts w:ascii="Times New Roman" w:hAnsi="Times New Roman"/>
        </w:rPr>
        <w:t xml:space="preserve">PDF format which can </w:t>
      </w:r>
      <w:r>
        <w:rPr>
          <w:rFonts w:ascii="Times New Roman" w:hAnsi="Times New Roman"/>
        </w:rPr>
        <w:t xml:space="preserve">completed, printed, </w:t>
      </w:r>
      <w:r w:rsidRPr="00802C46">
        <w:rPr>
          <w:rFonts w:ascii="Times New Roman" w:hAnsi="Times New Roman"/>
        </w:rPr>
        <w:t>and sent to SSA for processing.  Once</w:t>
      </w:r>
      <w:r w:rsidR="00BD79B9">
        <w:rPr>
          <w:rFonts w:ascii="Times New Roman" w:hAnsi="Times New Roman"/>
        </w:rPr>
        <w:t xml:space="preserve"> we receive</w:t>
      </w:r>
      <w:r w:rsidRPr="00802C46">
        <w:rPr>
          <w:rFonts w:ascii="Times New Roman" w:hAnsi="Times New Roman"/>
        </w:rPr>
        <w:t xml:space="preserve"> the form showing identifying information</w:t>
      </w:r>
      <w:r w:rsidR="001F54CB">
        <w:rPr>
          <w:rFonts w:ascii="Times New Roman" w:hAnsi="Times New Roman"/>
        </w:rPr>
        <w:t>,</w:t>
      </w:r>
      <w:r w:rsidRPr="00802C46">
        <w:rPr>
          <w:rFonts w:ascii="Times New Roman" w:hAnsi="Times New Roman"/>
        </w:rPr>
        <w:t xml:space="preserve"> and the authorizing signature, </w:t>
      </w:r>
      <w:r w:rsidR="00BD79B9">
        <w:rPr>
          <w:rFonts w:ascii="Times New Roman" w:hAnsi="Times New Roman"/>
        </w:rPr>
        <w:t>we review it</w:t>
      </w:r>
      <w:r>
        <w:rPr>
          <w:rFonts w:ascii="Times New Roman" w:hAnsi="Times New Roman"/>
        </w:rPr>
        <w:t xml:space="preserve"> manually.  Following review, </w:t>
      </w:r>
      <w:r w:rsidR="00BD79B9">
        <w:rPr>
          <w:rFonts w:ascii="Times New Roman" w:hAnsi="Times New Roman"/>
        </w:rPr>
        <w:t xml:space="preserve">we key the </w:t>
      </w:r>
      <w:r>
        <w:rPr>
          <w:rFonts w:ascii="Times New Roman" w:hAnsi="Times New Roman"/>
        </w:rPr>
        <w:t>data</w:t>
      </w:r>
      <w:r w:rsidRPr="00802C46">
        <w:rPr>
          <w:rFonts w:ascii="Times New Roman" w:hAnsi="Times New Roman"/>
        </w:rPr>
        <w:t xml:space="preserve"> into an electronic p</w:t>
      </w:r>
      <w:r>
        <w:rPr>
          <w:rFonts w:ascii="Times New Roman" w:hAnsi="Times New Roman"/>
        </w:rPr>
        <w:t xml:space="preserve">rogram developed to control </w:t>
      </w:r>
      <w:r w:rsidRPr="00802C46">
        <w:rPr>
          <w:rFonts w:ascii="Times New Roman" w:hAnsi="Times New Roman"/>
        </w:rPr>
        <w:t>request</w:t>
      </w:r>
      <w:r>
        <w:rPr>
          <w:rFonts w:ascii="Times New Roman" w:hAnsi="Times New Roman"/>
        </w:rPr>
        <w:t>s</w:t>
      </w:r>
      <w:r w:rsidRPr="00802C46">
        <w:rPr>
          <w:rFonts w:ascii="Times New Roman" w:hAnsi="Times New Roman"/>
        </w:rPr>
        <w:t xml:space="preserve"> and to obtain the necessary information</w:t>
      </w:r>
      <w:r w:rsidR="00AB003D">
        <w:rPr>
          <w:rFonts w:ascii="Times New Roman" w:hAnsi="Times New Roman"/>
        </w:rPr>
        <w:t xml:space="preserve"> </w:t>
      </w:r>
    </w:p>
    <w:p w:rsidR="00D144D6" w:rsidRPr="00EC414E" w:rsidP="004679A4" w14:paraId="13DEDECF" w14:textId="0F8C768C">
      <w:pPr>
        <w:ind w:left="1440"/>
        <w:rPr>
          <w:rFonts w:ascii="Times New Roman" w:hAnsi="Times New Roman"/>
        </w:rPr>
      </w:pPr>
      <w:r w:rsidRPr="00EC414E">
        <w:rPr>
          <w:rFonts w:ascii="Times New Roman" w:hAnsi="Times New Roman"/>
        </w:rPr>
        <w:t xml:space="preserve"> the Social Security Electronic Payment System (SERS)</w:t>
      </w:r>
      <w:r w:rsidRPr="00EC414E" w:rsidR="00AB003D">
        <w:rPr>
          <w:rFonts w:ascii="Times New Roman" w:hAnsi="Times New Roman"/>
        </w:rPr>
        <w:t>)</w:t>
      </w:r>
      <w:r w:rsidRPr="00EC414E">
        <w:rPr>
          <w:rFonts w:ascii="Times New Roman" w:hAnsi="Times New Roman"/>
        </w:rPr>
        <w:t xml:space="preserve"> </w:t>
      </w:r>
      <w:r w:rsidRPr="00EC414E" w:rsidR="00AB003D">
        <w:rPr>
          <w:rFonts w:ascii="Times New Roman" w:eastAsia="Calibri" w:hAnsi="Times New Roman"/>
          <w:snapToGrid/>
        </w:rPr>
        <w:t xml:space="preserve"> SERS then </w:t>
      </w:r>
      <w:r w:rsidRPr="00EC414E">
        <w:rPr>
          <w:rFonts w:ascii="Times New Roman" w:eastAsia="Calibri" w:hAnsi="Times New Roman"/>
          <w:snapToGrid/>
        </w:rPr>
        <w:t>generates a transaction number</w:t>
      </w:r>
      <w:r w:rsidRPr="00EC414E" w:rsidR="00AB003D">
        <w:rPr>
          <w:rFonts w:ascii="Times New Roman" w:eastAsia="Calibri" w:hAnsi="Times New Roman"/>
          <w:snapToGrid/>
        </w:rPr>
        <w:t xml:space="preserve">, which is </w:t>
      </w:r>
      <w:r w:rsidRPr="00EC414E">
        <w:rPr>
          <w:rFonts w:ascii="Times New Roman" w:eastAsia="Calibri" w:hAnsi="Times New Roman"/>
          <w:snapToGrid/>
        </w:rPr>
        <w:t xml:space="preserve">entered into the </w:t>
      </w:r>
      <w:r w:rsidRPr="00EC414E" w:rsidR="0055509A">
        <w:rPr>
          <w:rFonts w:ascii="Times New Roman" w:eastAsia="Calibri" w:hAnsi="Times New Roman"/>
          <w:snapToGrid/>
        </w:rPr>
        <w:t xml:space="preserve">Earnings Modification Itemized Earnings Request </w:t>
      </w:r>
      <w:r w:rsidRPr="00EC414E">
        <w:rPr>
          <w:rFonts w:ascii="Times New Roman" w:eastAsia="Calibri" w:hAnsi="Times New Roman"/>
          <w:snapToGrid/>
        </w:rPr>
        <w:t>EMISER system</w:t>
      </w:r>
      <w:r w:rsidRPr="00EC414E" w:rsidR="00F17F2E">
        <w:rPr>
          <w:rFonts w:ascii="Times New Roman" w:eastAsia="Calibri" w:hAnsi="Times New Roman"/>
          <w:snapToGrid/>
        </w:rPr>
        <w:t xml:space="preserve">, allowing the SSA </w:t>
      </w:r>
      <w:r w:rsidRPr="00EC414E">
        <w:rPr>
          <w:rFonts w:ascii="Times New Roman" w:eastAsia="Calibri" w:hAnsi="Times New Roman"/>
          <w:snapToGrid/>
        </w:rPr>
        <w:t xml:space="preserve">technician to associate the </w:t>
      </w:r>
      <w:r w:rsidRPr="00EC414E" w:rsidR="00F17F2E">
        <w:rPr>
          <w:rFonts w:ascii="Times New Roman" w:eastAsia="Calibri" w:hAnsi="Times New Roman"/>
          <w:snapToGrid/>
        </w:rPr>
        <w:t xml:space="preserve">submitted </w:t>
      </w:r>
      <w:r w:rsidRPr="00EC414E">
        <w:rPr>
          <w:rFonts w:ascii="Times New Roman" w:eastAsia="Calibri" w:hAnsi="Times New Roman"/>
          <w:snapToGrid/>
        </w:rPr>
        <w:t xml:space="preserve">form with the individual’s SSN for processing of the </w:t>
      </w:r>
      <w:r w:rsidRPr="00EC414E" w:rsidR="00F17F2E">
        <w:rPr>
          <w:rFonts w:ascii="Times New Roman" w:eastAsia="Calibri" w:hAnsi="Times New Roman"/>
          <w:snapToGrid/>
        </w:rPr>
        <w:t>SSA-</w:t>
      </w:r>
      <w:r w:rsidRPr="00EC414E">
        <w:rPr>
          <w:rFonts w:ascii="Times New Roman" w:eastAsia="Calibri" w:hAnsi="Times New Roman"/>
          <w:snapToGrid/>
        </w:rPr>
        <w:t>1826 statement.</w:t>
      </w:r>
    </w:p>
    <w:p w:rsidR="00D144D6" w:rsidP="004679A4" w14:paraId="4031C261" w14:textId="77777777">
      <w:pPr>
        <w:ind w:left="1440"/>
        <w:rPr>
          <w:rFonts w:ascii="Times New Roman" w:hAnsi="Times New Roman"/>
        </w:rPr>
      </w:pPr>
    </w:p>
    <w:p w:rsidR="00C009D2" w:rsidP="004679A4" w14:paraId="37E0A15A" w14:textId="6B5AB795">
      <w:pPr>
        <w:ind w:left="1440"/>
        <w:rPr>
          <w:rFonts w:ascii="Times New Roman" w:hAnsi="Times New Roman"/>
          <w:b/>
        </w:rPr>
      </w:pPr>
      <w:r>
        <w:rPr>
          <w:rFonts w:ascii="Times New Roman" w:hAnsi="Times New Roman"/>
        </w:rPr>
        <w:t>The MySSA</w:t>
      </w:r>
      <w:r>
        <w:rPr>
          <w:rFonts w:ascii="Times New Roman" w:hAnsi="Times New Roman"/>
        </w:rPr>
        <w:t xml:space="preserve">.gov website </w:t>
      </w:r>
      <w:r w:rsidRPr="00802C46">
        <w:rPr>
          <w:rFonts w:ascii="Times New Roman" w:hAnsi="Times New Roman"/>
        </w:rPr>
        <w:t>allows the public</w:t>
      </w:r>
      <w:r>
        <w:rPr>
          <w:rFonts w:ascii="Times New Roman" w:hAnsi="Times New Roman"/>
        </w:rPr>
        <w:t xml:space="preserve"> access</w:t>
      </w:r>
      <w:r w:rsidRPr="00802C46">
        <w:rPr>
          <w:rFonts w:ascii="Times New Roman" w:hAnsi="Times New Roman"/>
        </w:rPr>
        <w:t xml:space="preserve"> to </w:t>
      </w:r>
      <w:r>
        <w:rPr>
          <w:rFonts w:ascii="Times New Roman" w:hAnsi="Times New Roman"/>
        </w:rPr>
        <w:t>printout the SSA-7050-F4 for mailing to the administration</w:t>
      </w:r>
      <w:r>
        <w:rPr>
          <w:rFonts w:ascii="Times New Roman" w:hAnsi="Times New Roman"/>
        </w:rPr>
        <w:t>.</w:t>
      </w:r>
      <w:r w:rsidR="001F54CB">
        <w:rPr>
          <w:rFonts w:ascii="Times New Roman" w:hAnsi="Times New Roman"/>
        </w:rPr>
        <w:t xml:space="preserve">  </w:t>
      </w:r>
      <w:r w:rsidRPr="001F54CB" w:rsidR="001F54CB">
        <w:rPr>
          <w:rFonts w:ascii="Times New Roman" w:hAnsi="Times New Roman"/>
        </w:rPr>
        <w:t>This collection does not currently have a fully public-facing Internet version, as we prioritized other information collections for full electronic conversions. </w:t>
      </w:r>
      <w:r w:rsidR="00D144D6">
        <w:rPr>
          <w:rFonts w:ascii="Times New Roman" w:hAnsi="Times New Roman"/>
        </w:rPr>
        <w:t xml:space="preserve">However, as noted above, </w:t>
      </w:r>
      <w:r w:rsidRPr="00D144D6" w:rsidR="00D144D6">
        <w:rPr>
          <w:rFonts w:ascii="Times New Roman" w:hAnsi="Times New Roman"/>
        </w:rPr>
        <w:t xml:space="preserve">a free, non-certified version of </w:t>
      </w:r>
      <w:r w:rsidR="00D144D6">
        <w:rPr>
          <w:rFonts w:ascii="Times New Roman" w:hAnsi="Times New Roman"/>
        </w:rPr>
        <w:t xml:space="preserve">an individual’s yearly earnings </w:t>
      </w:r>
      <w:r w:rsidRPr="00D144D6" w:rsidR="00D144D6">
        <w:rPr>
          <w:rFonts w:ascii="Times New Roman" w:hAnsi="Times New Roman"/>
        </w:rPr>
        <w:t>information is available to most number</w:t>
      </w:r>
      <w:r w:rsidR="00D144D6">
        <w:rPr>
          <w:rFonts w:ascii="Times New Roman" w:hAnsi="Times New Roman"/>
        </w:rPr>
        <w:t xml:space="preserve"> </w:t>
      </w:r>
      <w:r w:rsidRPr="00D144D6" w:rsidR="00D144D6">
        <w:rPr>
          <w:rFonts w:ascii="Times New Roman" w:hAnsi="Times New Roman"/>
        </w:rPr>
        <w:t xml:space="preserve">holders through their </w:t>
      </w:r>
      <w:r w:rsidRPr="00EC414E" w:rsidR="00D144D6">
        <w:rPr>
          <w:rFonts w:ascii="Times New Roman" w:hAnsi="Times New Roman"/>
          <w:i/>
          <w:iCs/>
        </w:rPr>
        <w:t>My Social Security</w:t>
      </w:r>
      <w:r w:rsidRPr="00D144D6" w:rsidR="00D144D6">
        <w:rPr>
          <w:rFonts w:ascii="Times New Roman" w:hAnsi="Times New Roman"/>
        </w:rPr>
        <w:t xml:space="preserve"> account.</w:t>
      </w:r>
    </w:p>
    <w:p w:rsidR="00C009D2" w:rsidP="004679A4" w14:paraId="3F9ADD20" w14:textId="77777777">
      <w:pPr>
        <w:ind w:left="1440"/>
        <w:rPr>
          <w:rFonts w:ascii="Times New Roman" w:hAnsi="Times New Roman"/>
          <w:b/>
        </w:rPr>
      </w:pPr>
    </w:p>
    <w:p w:rsidR="00C009D2" w:rsidP="004679A4" w14:paraId="3321EFE4" w14:textId="77777777">
      <w:pPr>
        <w:numPr>
          <w:ilvl w:val="0"/>
          <w:numId w:val="10"/>
        </w:numPr>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BD79B9" w:rsidP="004679A4" w14:paraId="37FCBA72" w14:textId="77777777">
      <w:pPr>
        <w:ind w:left="1440"/>
        <w:rPr>
          <w:rFonts w:ascii="Times New Roman" w:hAnsi="Times New Roman"/>
          <w:b/>
        </w:rPr>
      </w:pPr>
      <w:r w:rsidRPr="005D1744">
        <w:rPr>
          <w:rFonts w:ascii="Times New Roman" w:hAnsi="Times New Roman"/>
        </w:rPr>
        <w:t xml:space="preserve">The nature of the information </w:t>
      </w:r>
      <w:r>
        <w:rPr>
          <w:rFonts w:ascii="Times New Roman" w:hAnsi="Times New Roman"/>
        </w:rPr>
        <w:t>we collect and the manner in which we collect it</w:t>
      </w:r>
      <w:r w:rsidRPr="005D1744">
        <w:rPr>
          <w:rFonts w:ascii="Times New Roman" w:hAnsi="Times New Roman"/>
        </w:rPr>
        <w:t xml:space="preserve"> preclude duplication.  </w:t>
      </w:r>
      <w:r>
        <w:rPr>
          <w:rFonts w:ascii="Times New Roman" w:hAnsi="Times New Roman"/>
        </w:rPr>
        <w:t>SSA does not use</w:t>
      </w:r>
      <w:r w:rsidRPr="005D1744">
        <w:rPr>
          <w:rFonts w:ascii="Times New Roman" w:hAnsi="Times New Roman"/>
        </w:rPr>
        <w:t xml:space="preserve"> </w:t>
      </w:r>
      <w:r>
        <w:rPr>
          <w:rFonts w:ascii="Times New Roman" w:hAnsi="Times New Roman"/>
        </w:rPr>
        <w:t>an</w:t>
      </w:r>
      <w:r w:rsidRPr="005D1744">
        <w:rPr>
          <w:rFonts w:ascii="Times New Roman" w:hAnsi="Times New Roman"/>
        </w:rPr>
        <w:t>other collection instrume</w:t>
      </w:r>
      <w:r>
        <w:rPr>
          <w:rFonts w:ascii="Times New Roman" w:hAnsi="Times New Roman"/>
        </w:rPr>
        <w:t>nt to obtain similar data.</w:t>
      </w:r>
    </w:p>
    <w:p w:rsidR="00BD79B9" w:rsidP="004679A4" w14:paraId="75897F3A" w14:textId="77777777">
      <w:pPr>
        <w:ind w:left="1440"/>
        <w:rPr>
          <w:rFonts w:ascii="Times New Roman" w:hAnsi="Times New Roman"/>
          <w:b/>
        </w:rPr>
      </w:pPr>
    </w:p>
    <w:p w:rsidR="00C009D2" w:rsidP="004679A4" w14:paraId="36E2CFC7" w14:textId="77777777">
      <w:pPr>
        <w:numPr>
          <w:ilvl w:val="0"/>
          <w:numId w:val="10"/>
        </w:numPr>
        <w:ind w:left="1440" w:hanging="720"/>
        <w:rPr>
          <w:rFonts w:ascii="Times New Roman" w:hAnsi="Times New Roman"/>
          <w:b/>
        </w:rPr>
      </w:pPr>
      <w:r>
        <w:rPr>
          <w:rFonts w:ascii="Times New Roman" w:hAnsi="Times New Roman"/>
          <w:b/>
        </w:rPr>
        <w:t>Minimizing Burden on Small Respondents</w:t>
      </w:r>
    </w:p>
    <w:p w:rsidR="00BD79B9" w:rsidP="004679A4" w14:paraId="3649DAF0" w14:textId="77777777">
      <w:pPr>
        <w:ind w:left="1440"/>
        <w:rPr>
          <w:rFonts w:ascii="Times New Roman" w:hAnsi="Times New Roman"/>
          <w:b/>
        </w:rPr>
      </w:pPr>
      <w:r>
        <w:rPr>
          <w:rFonts w:ascii="Times New Roman" w:hAnsi="Times New Roman"/>
        </w:rPr>
        <w:t>This</w:t>
      </w:r>
      <w:r w:rsidRPr="005D1744">
        <w:rPr>
          <w:rFonts w:ascii="Times New Roman" w:hAnsi="Times New Roman"/>
        </w:rPr>
        <w:t xml:space="preserve"> collection does not </w:t>
      </w:r>
      <w:r>
        <w:rPr>
          <w:rFonts w:ascii="Times New Roman" w:hAnsi="Times New Roman"/>
        </w:rPr>
        <w:t xml:space="preserve">affect </w:t>
      </w:r>
      <w:r w:rsidRPr="005D1744">
        <w:rPr>
          <w:rFonts w:ascii="Times New Roman" w:hAnsi="Times New Roman"/>
        </w:rPr>
        <w:t>small businesses or other small entities</w:t>
      </w:r>
      <w:r>
        <w:rPr>
          <w:rFonts w:ascii="Times New Roman" w:hAnsi="Times New Roman"/>
        </w:rPr>
        <w:t>.</w:t>
      </w:r>
    </w:p>
    <w:p w:rsidR="00BD79B9" w:rsidP="004679A4" w14:paraId="4A60F444" w14:textId="77777777">
      <w:pPr>
        <w:ind w:left="1440"/>
        <w:rPr>
          <w:rFonts w:ascii="Times New Roman" w:hAnsi="Times New Roman"/>
          <w:b/>
        </w:rPr>
      </w:pPr>
    </w:p>
    <w:p w:rsidR="00C009D2" w:rsidP="004679A4" w14:paraId="0487AEB2" w14:textId="77777777">
      <w:pPr>
        <w:numPr>
          <w:ilvl w:val="0"/>
          <w:numId w:val="10"/>
        </w:numPr>
        <w:ind w:left="1440" w:hanging="720"/>
        <w:rPr>
          <w:rFonts w:ascii="Times New Roman" w:hAnsi="Times New Roman"/>
          <w:b/>
        </w:rPr>
      </w:pPr>
      <w:r w:rsidRPr="00BC7F42">
        <w:rPr>
          <w:rFonts w:ascii="Times New Roman" w:hAnsi="Times New Roman"/>
          <w:b/>
        </w:rPr>
        <w:t>Consequence of Not Collecting Information or Collecting it Less Frequently</w:t>
      </w:r>
    </w:p>
    <w:p w:rsidR="00BD79B9" w:rsidP="004679A4" w14:paraId="64459BE8" w14:textId="50B3FC7C">
      <w:pPr>
        <w:ind w:left="1440"/>
        <w:rPr>
          <w:rFonts w:ascii="Times New Roman" w:hAnsi="Times New Roman"/>
        </w:rPr>
      </w:pPr>
      <w:r>
        <w:rPr>
          <w:rFonts w:ascii="Times New Roman" w:hAnsi="Times New Roman"/>
        </w:rPr>
        <w:t>If we did not collect this informa</w:t>
      </w:r>
      <w:r w:rsidR="00B20C87">
        <w:rPr>
          <w:rFonts w:ascii="Times New Roman" w:hAnsi="Times New Roman"/>
        </w:rPr>
        <w:t>tion, we would deny the requeste</w:t>
      </w:r>
      <w:r>
        <w:rPr>
          <w:rFonts w:ascii="Times New Roman" w:hAnsi="Times New Roman"/>
        </w:rPr>
        <w:t xml:space="preserve">r’s right to obtain information about their earnings record, thus violating the mandate in Section </w:t>
      </w:r>
      <w:r w:rsidRPr="00BD79B9">
        <w:rPr>
          <w:rFonts w:ascii="Times New Roman" w:hAnsi="Times New Roman"/>
          <w:i/>
        </w:rPr>
        <w:t>205(c)(2)(A)</w:t>
      </w:r>
      <w:r>
        <w:rPr>
          <w:rFonts w:ascii="Times New Roman" w:hAnsi="Times New Roman"/>
        </w:rPr>
        <w:t xml:space="preserve"> of the </w:t>
      </w:r>
      <w:r w:rsidRPr="00BD79B9">
        <w:rPr>
          <w:rFonts w:ascii="Times New Roman" w:hAnsi="Times New Roman"/>
          <w:i/>
        </w:rPr>
        <w:t>Act</w:t>
      </w:r>
      <w:r w:rsidR="005C0B8F">
        <w:rPr>
          <w:rFonts w:ascii="Times New Roman" w:hAnsi="Times New Roman"/>
        </w:rPr>
        <w:t xml:space="preserve">, </w:t>
      </w:r>
      <w:r>
        <w:rPr>
          <w:rFonts w:ascii="Times New Roman" w:hAnsi="Times New Roman"/>
        </w:rPr>
        <w:t xml:space="preserve">which requires SSA to disclose earnings.  </w:t>
      </w:r>
      <w:r w:rsidRPr="00BD79B9">
        <w:rPr>
          <w:rFonts w:ascii="Times New Roman" w:hAnsi="Times New Roman"/>
        </w:rPr>
        <w:t>Because we only collect the information on an as needed basis, we cannot collect it less frequently.</w:t>
      </w:r>
      <w:r w:rsidRPr="005D1744">
        <w:rPr>
          <w:rFonts w:ascii="Times New Roman" w:hAnsi="Times New Roman"/>
        </w:rPr>
        <w:t xml:space="preserve">  There are n</w:t>
      </w:r>
      <w:r>
        <w:rPr>
          <w:rFonts w:ascii="Times New Roman" w:hAnsi="Times New Roman"/>
        </w:rPr>
        <w:t xml:space="preserve">o technical or legal obstacles to </w:t>
      </w:r>
      <w:r w:rsidRPr="005D1744">
        <w:rPr>
          <w:rFonts w:ascii="Times New Roman" w:hAnsi="Times New Roman"/>
        </w:rPr>
        <w:t>burden reduction</w:t>
      </w:r>
    </w:p>
    <w:p w:rsidR="00EC414E" w:rsidP="004679A4" w14:paraId="23E9F80A" w14:textId="77777777">
      <w:pPr>
        <w:ind w:left="1440"/>
        <w:rPr>
          <w:rFonts w:ascii="Times New Roman" w:hAnsi="Times New Roman"/>
          <w:b/>
        </w:rPr>
      </w:pPr>
    </w:p>
    <w:p w:rsidR="00BD79B9" w:rsidP="004679A4" w14:paraId="5D7B0ACA" w14:textId="77777777">
      <w:pPr>
        <w:ind w:left="1440"/>
        <w:rPr>
          <w:rFonts w:ascii="Times New Roman" w:hAnsi="Times New Roman"/>
          <w:b/>
        </w:rPr>
      </w:pPr>
    </w:p>
    <w:p w:rsidR="00C009D2" w:rsidP="004679A4" w14:paraId="5459DCB8" w14:textId="77777777">
      <w:pPr>
        <w:numPr>
          <w:ilvl w:val="0"/>
          <w:numId w:val="10"/>
        </w:numPr>
        <w:ind w:left="1440" w:hanging="720"/>
        <w:rPr>
          <w:rFonts w:ascii="Times New Roman" w:hAnsi="Times New Roman"/>
          <w:b/>
        </w:rPr>
      </w:pPr>
      <w:r w:rsidRPr="00BC7F42">
        <w:rPr>
          <w:rFonts w:ascii="Times New Roman" w:hAnsi="Times New Roman"/>
          <w:b/>
        </w:rPr>
        <w:t>Special Circumstances</w:t>
      </w:r>
    </w:p>
    <w:p w:rsidR="00BD79B9" w:rsidP="004679A4" w14:paraId="167569EB" w14:textId="77777777">
      <w:pPr>
        <w:ind w:left="1440"/>
        <w:rPr>
          <w:rFonts w:ascii="Times New Roman" w:hAnsi="Times New Roman"/>
          <w:b/>
        </w:rPr>
      </w:pPr>
      <w:r w:rsidRPr="00BD79B9">
        <w:rPr>
          <w:rFonts w:ascii="Times New Roman" w:hAnsi="Times New Roman"/>
        </w:rPr>
        <w:t xml:space="preserve">There are no special circumstances that would cause SSA to conduct this information collection in a manner inconsistent with </w:t>
      </w:r>
      <w:r w:rsidRPr="007C4423">
        <w:rPr>
          <w:rFonts w:ascii="Times New Roman" w:hAnsi="Times New Roman"/>
          <w:i/>
        </w:rPr>
        <w:t>5 CFR 1320.5</w:t>
      </w:r>
      <w:r>
        <w:rPr>
          <w:rFonts w:ascii="Times New Roman" w:hAnsi="Times New Roman"/>
          <w:i/>
        </w:rPr>
        <w:t>.</w:t>
      </w:r>
    </w:p>
    <w:p w:rsidR="00BD79B9" w:rsidP="004679A4" w14:paraId="316D2581" w14:textId="77777777">
      <w:pPr>
        <w:ind w:left="1440"/>
        <w:rPr>
          <w:rFonts w:ascii="Times New Roman" w:hAnsi="Times New Roman"/>
          <w:b/>
        </w:rPr>
      </w:pPr>
    </w:p>
    <w:p w:rsidR="00C009D2" w:rsidP="004679A4" w14:paraId="43448421" w14:textId="77777777">
      <w:pPr>
        <w:numPr>
          <w:ilvl w:val="0"/>
          <w:numId w:val="10"/>
        </w:numPr>
        <w:ind w:left="1440" w:hanging="720"/>
        <w:rPr>
          <w:rFonts w:ascii="Times New Roman" w:hAnsi="Times New Roman"/>
          <w:b/>
        </w:rPr>
      </w:pPr>
      <w:r w:rsidRPr="00BC7F42">
        <w:rPr>
          <w:rFonts w:ascii="Times New Roman" w:hAnsi="Times New Roman"/>
          <w:b/>
        </w:rPr>
        <w:t>Solicitation of Public Comment and Other Consultations with the Public</w:t>
      </w:r>
    </w:p>
    <w:p w:rsidR="00BD79B9" w:rsidRPr="00BD79B9" w:rsidP="004679A4" w14:paraId="76B19D6F" w14:textId="252AA91A">
      <w:pPr>
        <w:ind w:left="1440"/>
        <w:rPr>
          <w:rFonts w:ascii="Times New Roman" w:hAnsi="Times New Roman"/>
        </w:rPr>
      </w:pPr>
      <w:r w:rsidRPr="00B126F5">
        <w:rPr>
          <w:rFonts w:ascii="Times New Roman" w:hAnsi="Times New Roman"/>
        </w:rPr>
        <w:t>The 60-day advance Federal Register Notice published on October 8, 2020 at 85 FR 63630, and we received no public comments.  The 30-day FRN published on December 8, 2020 at 85 FR 79064.  If we receive any comments in response to this Notice, we will forward them to OMB</w:t>
      </w:r>
      <w:r>
        <w:rPr>
          <w:rFonts w:ascii="Times New Roman" w:hAnsi="Times New Roman"/>
        </w:rPr>
        <w:t>.</w:t>
      </w:r>
    </w:p>
    <w:p w:rsidR="00BD79B9" w:rsidP="004679A4" w14:paraId="16F1AF80" w14:textId="77777777">
      <w:pPr>
        <w:ind w:left="1440"/>
        <w:rPr>
          <w:rFonts w:ascii="Times New Roman" w:hAnsi="Times New Roman"/>
          <w:b/>
        </w:rPr>
      </w:pPr>
    </w:p>
    <w:p w:rsidR="00C009D2" w:rsidP="004679A4" w14:paraId="50E684DC" w14:textId="77777777">
      <w:pPr>
        <w:numPr>
          <w:ilvl w:val="0"/>
          <w:numId w:val="10"/>
        </w:numPr>
        <w:ind w:left="1440" w:hanging="720"/>
        <w:rPr>
          <w:rFonts w:ascii="Times New Roman" w:hAnsi="Times New Roman"/>
          <w:b/>
        </w:rPr>
      </w:pPr>
      <w:r w:rsidRPr="00BC7F42">
        <w:rPr>
          <w:rFonts w:ascii="Times New Roman" w:hAnsi="Times New Roman"/>
          <w:b/>
        </w:rPr>
        <w:t>Payment or Gifts to Respondents</w:t>
      </w:r>
    </w:p>
    <w:p w:rsidR="00BD79B9" w:rsidRPr="00BD79B9" w:rsidP="004679A4" w14:paraId="3683D113" w14:textId="77777777">
      <w:pPr>
        <w:ind w:left="1440"/>
        <w:rPr>
          <w:rFonts w:ascii="Times New Roman" w:hAnsi="Times New Roman"/>
          <w:b/>
        </w:rPr>
      </w:pPr>
      <w:r w:rsidRPr="00BD79B9">
        <w:rPr>
          <w:rFonts w:ascii="Times New Roman" w:hAnsi="Times New Roman"/>
        </w:rPr>
        <w:t>SSA does not provide payment or gifts to the respondents.</w:t>
      </w:r>
    </w:p>
    <w:p w:rsidR="00BD79B9" w:rsidP="004679A4" w14:paraId="79F8A7FB" w14:textId="77777777">
      <w:pPr>
        <w:ind w:left="1440"/>
        <w:rPr>
          <w:rFonts w:ascii="Times New Roman" w:hAnsi="Times New Roman"/>
          <w:b/>
        </w:rPr>
      </w:pPr>
    </w:p>
    <w:p w:rsidR="00C009D2" w:rsidP="004679A4" w14:paraId="53513F78" w14:textId="77777777">
      <w:pPr>
        <w:numPr>
          <w:ilvl w:val="0"/>
          <w:numId w:val="10"/>
        </w:numPr>
        <w:ind w:left="1440" w:hanging="720"/>
        <w:rPr>
          <w:rFonts w:ascii="Times New Roman" w:hAnsi="Times New Roman"/>
          <w:b/>
        </w:rPr>
      </w:pPr>
      <w:r w:rsidRPr="00BC7F42">
        <w:rPr>
          <w:rFonts w:ascii="Times New Roman" w:hAnsi="Times New Roman"/>
          <w:b/>
        </w:rPr>
        <w:t>Assurances of Confidentiality</w:t>
      </w:r>
    </w:p>
    <w:p w:rsidR="00BD79B9" w:rsidP="004679A4" w14:paraId="6EFCBF06" w14:textId="0E3DAD40">
      <w:pPr>
        <w:ind w:left="1440"/>
        <w:rPr>
          <w:rFonts w:ascii="Times New Roman" w:hAnsi="Times New Roman"/>
          <w:b/>
        </w:rPr>
      </w:pPr>
      <w:r w:rsidRPr="005C0B8F">
        <w:rPr>
          <w:rFonts w:ascii="Times New Roman" w:hAnsi="Times New Roman"/>
        </w:rPr>
        <w:t xml:space="preserve">SSA protects and holds confidential the information it collects in accordance with </w:t>
      </w:r>
      <w:r w:rsidRPr="005C0B8F">
        <w:rPr>
          <w:rFonts w:ascii="Times New Roman" w:hAnsi="Times New Roman"/>
          <w:i/>
        </w:rPr>
        <w:t>42 U.S.C. 1306, 20 CFR 401</w:t>
      </w:r>
      <w:r w:rsidRPr="005C0B8F">
        <w:rPr>
          <w:rFonts w:ascii="Times New Roman" w:hAnsi="Times New Roman"/>
        </w:rPr>
        <w:t xml:space="preserve"> and </w:t>
      </w:r>
      <w:r w:rsidRPr="005C0B8F">
        <w:rPr>
          <w:rFonts w:ascii="Times New Roman" w:hAnsi="Times New Roman"/>
          <w:i/>
        </w:rPr>
        <w:t>402, 5 U.S.C. 552</w:t>
      </w:r>
      <w:r w:rsidRPr="005C0B8F">
        <w:rPr>
          <w:rFonts w:ascii="Times New Roman" w:hAnsi="Times New Roman"/>
        </w:rPr>
        <w:t xml:space="preserve"> (Freedom of Information Act), </w:t>
      </w:r>
      <w:r w:rsidRPr="005C0B8F">
        <w:rPr>
          <w:rFonts w:ascii="Times New Roman" w:hAnsi="Times New Roman"/>
          <w:i/>
        </w:rPr>
        <w:t>5 U.S.C. 552a</w:t>
      </w:r>
      <w:r w:rsidRPr="005C0B8F">
        <w:rPr>
          <w:rFonts w:ascii="Times New Roman" w:hAnsi="Times New Roman"/>
        </w:rPr>
        <w:t xml:space="preserve"> (Privacy Act of 1974), and OMB Circular No. A-130</w:t>
      </w:r>
      <w:r>
        <w:rPr>
          <w:rFonts w:ascii="Times New Roman" w:hAnsi="Times New Roman"/>
        </w:rPr>
        <w:t>.</w:t>
      </w:r>
    </w:p>
    <w:p w:rsidR="00BD79B9" w:rsidP="004679A4" w14:paraId="7139409D" w14:textId="77777777">
      <w:pPr>
        <w:ind w:left="1440"/>
        <w:rPr>
          <w:rFonts w:ascii="Times New Roman" w:hAnsi="Times New Roman"/>
          <w:b/>
        </w:rPr>
      </w:pPr>
    </w:p>
    <w:p w:rsidR="00C009D2" w:rsidP="004679A4" w14:paraId="3C70B58E" w14:textId="77777777">
      <w:pPr>
        <w:numPr>
          <w:ilvl w:val="0"/>
          <w:numId w:val="10"/>
        </w:numPr>
        <w:ind w:left="1440" w:hanging="720"/>
        <w:rPr>
          <w:rFonts w:ascii="Times New Roman" w:hAnsi="Times New Roman"/>
          <w:b/>
        </w:rPr>
      </w:pPr>
      <w:r w:rsidRPr="00BC7F42">
        <w:rPr>
          <w:rFonts w:ascii="Times New Roman" w:hAnsi="Times New Roman"/>
          <w:b/>
        </w:rPr>
        <w:t>Justification for Sensitive Questions</w:t>
      </w:r>
    </w:p>
    <w:p w:rsidR="00BD79B9" w:rsidP="004679A4" w14:paraId="4AF1DF6D" w14:textId="77777777">
      <w:pPr>
        <w:ind w:left="1440"/>
        <w:rPr>
          <w:rFonts w:ascii="Times New Roman" w:hAnsi="Times New Roman"/>
          <w:b/>
        </w:rPr>
      </w:pPr>
      <w:r w:rsidRPr="00F278B0">
        <w:rPr>
          <w:rFonts w:ascii="Times New Roman" w:hAnsi="Times New Roman"/>
        </w:rPr>
        <w:t>The information collection does not contain any questions of a sensitive nature</w:t>
      </w:r>
      <w:r>
        <w:rPr>
          <w:rFonts w:ascii="Times New Roman" w:hAnsi="Times New Roman"/>
        </w:rPr>
        <w:t>.</w:t>
      </w:r>
    </w:p>
    <w:p w:rsidR="00BD79B9" w:rsidP="004679A4" w14:paraId="3C154671" w14:textId="77777777">
      <w:pPr>
        <w:ind w:left="1440"/>
        <w:rPr>
          <w:rFonts w:ascii="Times New Roman" w:hAnsi="Times New Roman"/>
          <w:b/>
        </w:rPr>
      </w:pPr>
    </w:p>
    <w:p w:rsidR="00C009D2" w:rsidP="004679A4" w14:paraId="173C41D5" w14:textId="77777777">
      <w:pPr>
        <w:numPr>
          <w:ilvl w:val="0"/>
          <w:numId w:val="10"/>
        </w:numPr>
        <w:ind w:left="1440" w:hanging="720"/>
        <w:rPr>
          <w:rFonts w:ascii="Times New Roman" w:hAnsi="Times New Roman"/>
          <w:b/>
        </w:rPr>
      </w:pPr>
      <w:r w:rsidRPr="00BC7F42">
        <w:rPr>
          <w:rFonts w:ascii="Times New Roman" w:hAnsi="Times New Roman"/>
          <w:b/>
        </w:rPr>
        <w:t>Estimates of Public Reporting Burden</w:t>
      </w:r>
    </w:p>
    <w:p w:rsidR="00BD79B9" w:rsidP="004679A4" w14:paraId="7DB6479D" w14:textId="2D3550A2">
      <w:pPr>
        <w:ind w:left="1440"/>
        <w:rPr>
          <w:rFonts w:ascii="Times New Roman" w:hAnsi="Times New Roman"/>
        </w:rPr>
      </w:pPr>
      <w:r>
        <w:rPr>
          <w:rFonts w:ascii="Times New Roman" w:hAnsi="Times New Roman"/>
        </w:rPr>
        <w:t>Please see the burden chart below:</w:t>
      </w:r>
    </w:p>
    <w:p w:rsidR="006818A8" w:rsidP="004679A4" w14:paraId="71633230" w14:textId="05894564">
      <w:pPr>
        <w:ind w:left="1440"/>
        <w:rPr>
          <w:rFonts w:ascii="Times New Roman" w:hAnsi="Times New Roman"/>
        </w:rPr>
      </w:pPr>
    </w:p>
    <w:tbl>
      <w:tblPr>
        <w:tblpPr w:leftFromText="180" w:rightFromText="180" w:vertAnchor="text" w:horzAnchor="margin" w:tblpXSpec="center" w:tblpY="8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530"/>
        <w:gridCol w:w="1337"/>
        <w:gridCol w:w="1363"/>
        <w:gridCol w:w="1350"/>
        <w:gridCol w:w="1440"/>
        <w:gridCol w:w="1530"/>
      </w:tblGrid>
      <w:tr w14:paraId="612A6BA3" w14:textId="77777777" w:rsidTr="00F7277F">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15" w:type="dxa"/>
            <w:shd w:val="clear" w:color="auto" w:fill="auto"/>
          </w:tcPr>
          <w:p w:rsidR="006818A8" w:rsidRPr="006818A8" w:rsidP="006818A8" w14:paraId="425B10D9" w14:textId="77777777">
            <w:pPr>
              <w:widowControl/>
              <w:tabs>
                <w:tab w:val="left" w:pos="1350"/>
              </w:tabs>
              <w:suppressAutoHyphens/>
              <w:autoSpaceDE w:val="0"/>
              <w:autoSpaceDN w:val="0"/>
              <w:adjustRightInd w:val="0"/>
              <w:rPr>
                <w:rFonts w:ascii="Times New Roman" w:eastAsia="Calibri" w:hAnsi="Times New Roman"/>
                <w:snapToGrid/>
                <w:lang w:eastAsia="ar-SA"/>
              </w:rPr>
            </w:pPr>
            <w:r w:rsidRPr="006818A8">
              <w:rPr>
                <w:rFonts w:ascii="Times New Roman" w:eastAsia="Calibri" w:hAnsi="Times New Roman"/>
                <w:b/>
                <w:snapToGrid/>
                <w:lang w:eastAsia="ar-SA"/>
              </w:rPr>
              <w:t>Modality of Completion</w:t>
            </w:r>
          </w:p>
        </w:tc>
        <w:tc>
          <w:tcPr>
            <w:tcW w:w="1530" w:type="dxa"/>
            <w:shd w:val="clear" w:color="auto" w:fill="auto"/>
          </w:tcPr>
          <w:p w:rsidR="006818A8" w:rsidRPr="006818A8" w:rsidP="006818A8" w14:paraId="3AA2199E" w14:textId="77777777">
            <w:pPr>
              <w:widowControl/>
              <w:tabs>
                <w:tab w:val="left" w:pos="1350"/>
              </w:tabs>
              <w:suppressAutoHyphens/>
              <w:autoSpaceDE w:val="0"/>
              <w:autoSpaceDN w:val="0"/>
              <w:adjustRightInd w:val="0"/>
              <w:rPr>
                <w:rFonts w:ascii="Times New Roman" w:eastAsia="Calibri" w:hAnsi="Times New Roman"/>
                <w:snapToGrid/>
                <w:lang w:eastAsia="ar-SA"/>
              </w:rPr>
            </w:pPr>
            <w:r w:rsidRPr="006818A8">
              <w:rPr>
                <w:rFonts w:ascii="Times New Roman" w:eastAsia="Calibri" w:hAnsi="Times New Roman"/>
                <w:b/>
                <w:snapToGrid/>
                <w:lang w:eastAsia="ar-SA"/>
              </w:rPr>
              <w:t>Number of Respondents</w:t>
            </w:r>
          </w:p>
        </w:tc>
        <w:tc>
          <w:tcPr>
            <w:tcW w:w="1337" w:type="dxa"/>
            <w:shd w:val="clear" w:color="auto" w:fill="auto"/>
          </w:tcPr>
          <w:p w:rsidR="006818A8" w:rsidRPr="006818A8" w:rsidP="006818A8" w14:paraId="77BD927E" w14:textId="77777777">
            <w:pPr>
              <w:widowControl/>
              <w:tabs>
                <w:tab w:val="left" w:pos="1350"/>
              </w:tabs>
              <w:suppressAutoHyphens/>
              <w:autoSpaceDE w:val="0"/>
              <w:autoSpaceDN w:val="0"/>
              <w:adjustRightInd w:val="0"/>
              <w:rPr>
                <w:rFonts w:ascii="Times New Roman" w:eastAsia="Calibri" w:hAnsi="Times New Roman"/>
                <w:snapToGrid/>
                <w:lang w:eastAsia="ar-SA"/>
              </w:rPr>
            </w:pPr>
            <w:r w:rsidRPr="006818A8">
              <w:rPr>
                <w:rFonts w:ascii="Times New Roman" w:eastAsia="Calibri" w:hAnsi="Times New Roman"/>
                <w:b/>
                <w:snapToGrid/>
                <w:lang w:eastAsia="ar-SA"/>
              </w:rPr>
              <w:t>Frequency of Response</w:t>
            </w:r>
          </w:p>
        </w:tc>
        <w:tc>
          <w:tcPr>
            <w:tcW w:w="1363" w:type="dxa"/>
            <w:shd w:val="clear" w:color="auto" w:fill="auto"/>
          </w:tcPr>
          <w:p w:rsidR="006818A8" w:rsidRPr="006818A8" w:rsidP="006818A8" w14:paraId="3EA9F2A5" w14:textId="77777777">
            <w:pPr>
              <w:widowControl/>
              <w:tabs>
                <w:tab w:val="left" w:pos="1350"/>
              </w:tabs>
              <w:suppressAutoHyphens/>
              <w:autoSpaceDE w:val="0"/>
              <w:autoSpaceDN w:val="0"/>
              <w:adjustRightInd w:val="0"/>
              <w:rPr>
                <w:rFonts w:ascii="Times New Roman" w:eastAsia="Calibri" w:hAnsi="Times New Roman"/>
                <w:snapToGrid/>
                <w:lang w:eastAsia="ar-SA"/>
              </w:rPr>
            </w:pPr>
            <w:r w:rsidRPr="006818A8">
              <w:rPr>
                <w:rFonts w:ascii="Times New Roman" w:eastAsia="Calibri" w:hAnsi="Times New Roman"/>
                <w:b/>
                <w:snapToGrid/>
                <w:lang w:eastAsia="ar-SA"/>
              </w:rPr>
              <w:t>Average Burden per Response (minutes)</w:t>
            </w:r>
          </w:p>
        </w:tc>
        <w:tc>
          <w:tcPr>
            <w:tcW w:w="1350" w:type="dxa"/>
            <w:shd w:val="clear" w:color="auto" w:fill="auto"/>
          </w:tcPr>
          <w:p w:rsidR="006818A8" w:rsidRPr="006818A8" w:rsidP="006818A8" w14:paraId="18CE7BFC" w14:textId="77777777">
            <w:pPr>
              <w:widowControl/>
              <w:tabs>
                <w:tab w:val="left" w:pos="1350"/>
              </w:tabs>
              <w:suppressAutoHyphens/>
              <w:autoSpaceDE w:val="0"/>
              <w:autoSpaceDN w:val="0"/>
              <w:adjustRightInd w:val="0"/>
              <w:rPr>
                <w:rFonts w:ascii="Times New Roman" w:eastAsia="Calibri" w:hAnsi="Times New Roman"/>
                <w:snapToGrid/>
                <w:lang w:eastAsia="ar-SA"/>
              </w:rPr>
            </w:pPr>
            <w:r w:rsidRPr="006818A8">
              <w:rPr>
                <w:rFonts w:ascii="Times New Roman" w:eastAsia="Calibri" w:hAnsi="Times New Roman"/>
                <w:b/>
                <w:snapToGrid/>
                <w:lang w:eastAsia="ar-SA"/>
              </w:rPr>
              <w:t>Estimated Total Annual Burden (hours)</w:t>
            </w:r>
          </w:p>
        </w:tc>
        <w:tc>
          <w:tcPr>
            <w:tcW w:w="1440" w:type="dxa"/>
            <w:tcBorders>
              <w:bottom w:val="single" w:sz="4" w:space="0" w:color="auto"/>
            </w:tcBorders>
            <w:shd w:val="clear" w:color="auto" w:fill="auto"/>
          </w:tcPr>
          <w:p w:rsidR="006818A8" w:rsidRPr="006818A8" w:rsidP="006818A8" w14:paraId="4477366F" w14:textId="77777777">
            <w:pPr>
              <w:widowControl/>
              <w:tabs>
                <w:tab w:val="left" w:pos="1350"/>
              </w:tabs>
              <w:suppressAutoHyphens/>
              <w:autoSpaceDE w:val="0"/>
              <w:autoSpaceDN w:val="0"/>
              <w:adjustRightInd w:val="0"/>
              <w:rPr>
                <w:rFonts w:ascii="Times New Roman" w:eastAsia="Calibri" w:hAnsi="Times New Roman"/>
                <w:snapToGrid/>
                <w:lang w:eastAsia="ar-SA"/>
              </w:rPr>
            </w:pPr>
            <w:r w:rsidRPr="006818A8">
              <w:rPr>
                <w:rFonts w:ascii="Times New Roman" w:eastAsia="Calibri" w:hAnsi="Times New Roman"/>
                <w:b/>
                <w:snapToGrid/>
                <w:lang w:eastAsia="ar-SA"/>
              </w:rPr>
              <w:t>Average Theoretical Hourly Cost Amount (dollars)*</w:t>
            </w:r>
          </w:p>
        </w:tc>
        <w:tc>
          <w:tcPr>
            <w:tcW w:w="1530" w:type="dxa"/>
            <w:tcBorders>
              <w:bottom w:val="single" w:sz="4" w:space="0" w:color="auto"/>
            </w:tcBorders>
            <w:shd w:val="clear" w:color="auto" w:fill="auto"/>
          </w:tcPr>
          <w:p w:rsidR="006818A8" w:rsidRPr="006818A8" w:rsidP="006818A8" w14:paraId="2C700988" w14:textId="77777777">
            <w:pPr>
              <w:widowControl/>
              <w:suppressAutoHyphens/>
              <w:autoSpaceDE w:val="0"/>
              <w:autoSpaceDN w:val="0"/>
              <w:adjustRightInd w:val="0"/>
              <w:rPr>
                <w:rFonts w:ascii="Times New Roman" w:eastAsia="Calibri" w:hAnsi="Times New Roman"/>
                <w:b/>
                <w:snapToGrid/>
                <w:lang w:eastAsia="ar-SA"/>
              </w:rPr>
            </w:pPr>
            <w:r w:rsidRPr="006818A8">
              <w:rPr>
                <w:rFonts w:ascii="Times New Roman" w:eastAsia="SimSun" w:hAnsi="Times New Roman"/>
                <w:b/>
                <w:snapToGrid/>
                <w:lang w:eastAsia="ar-SA"/>
              </w:rPr>
              <w:t>Total Annual Opportunity Cost (dollars)**</w:t>
            </w:r>
          </w:p>
        </w:tc>
      </w:tr>
      <w:tr w14:paraId="77BA70E1" w14:textId="77777777" w:rsidTr="00F7277F">
        <w:tblPrEx>
          <w:tblW w:w="10165" w:type="dxa"/>
          <w:tblLayout w:type="fixed"/>
          <w:tblLook w:val="04A0"/>
        </w:tblPrEx>
        <w:tc>
          <w:tcPr>
            <w:tcW w:w="1615" w:type="dxa"/>
          </w:tcPr>
          <w:p w:rsidR="006818A8" w:rsidRPr="006818A8" w:rsidP="006818A8" w14:paraId="33704620" w14:textId="77777777">
            <w:pPr>
              <w:widowControl/>
              <w:suppressAutoHyphens/>
              <w:rPr>
                <w:rFonts w:ascii="Times New Roman" w:eastAsia="SimSun" w:hAnsi="Times New Roman"/>
                <w:snapToGrid/>
                <w:lang w:eastAsia="ar-SA"/>
              </w:rPr>
            </w:pPr>
            <w:r w:rsidRPr="006818A8">
              <w:rPr>
                <w:rFonts w:ascii="Times New Roman" w:eastAsia="SimSun" w:hAnsi="Times New Roman"/>
                <w:snapToGrid/>
                <w:lang w:eastAsia="ar-SA"/>
              </w:rPr>
              <w:t>SSA-7050-F4</w:t>
            </w:r>
          </w:p>
        </w:tc>
        <w:tc>
          <w:tcPr>
            <w:tcW w:w="1530" w:type="dxa"/>
          </w:tcPr>
          <w:p w:rsidR="006818A8" w:rsidRPr="006818A8" w:rsidP="006818A8" w14:paraId="753F0167" w14:textId="77777777">
            <w:pPr>
              <w:widowControl/>
              <w:suppressAutoHyphens/>
              <w:jc w:val="right"/>
              <w:rPr>
                <w:rFonts w:ascii="Times New Roman" w:eastAsia="SimSun" w:hAnsi="Times New Roman"/>
                <w:snapToGrid/>
                <w:lang w:eastAsia="ar-SA"/>
              </w:rPr>
            </w:pPr>
            <w:r w:rsidRPr="006818A8">
              <w:rPr>
                <w:rFonts w:ascii="Times New Roman" w:eastAsia="SimSun" w:hAnsi="Times New Roman"/>
                <w:snapToGrid/>
                <w:lang w:eastAsia="ar-SA"/>
              </w:rPr>
              <w:t>66,800</w:t>
            </w:r>
          </w:p>
        </w:tc>
        <w:tc>
          <w:tcPr>
            <w:tcW w:w="1337" w:type="dxa"/>
          </w:tcPr>
          <w:p w:rsidR="006818A8" w:rsidRPr="006818A8" w:rsidP="006818A8" w14:paraId="0D25CD13" w14:textId="77777777">
            <w:pPr>
              <w:widowControl/>
              <w:suppressAutoHyphens/>
              <w:jc w:val="right"/>
              <w:rPr>
                <w:rFonts w:ascii="Times New Roman" w:eastAsia="SimSun" w:hAnsi="Times New Roman"/>
                <w:snapToGrid/>
                <w:lang w:eastAsia="ar-SA"/>
              </w:rPr>
            </w:pPr>
            <w:r w:rsidRPr="006818A8">
              <w:rPr>
                <w:rFonts w:ascii="Times New Roman" w:eastAsia="SimSun" w:hAnsi="Times New Roman"/>
                <w:snapToGrid/>
                <w:lang w:eastAsia="ar-SA"/>
              </w:rPr>
              <w:t>1</w:t>
            </w:r>
          </w:p>
        </w:tc>
        <w:tc>
          <w:tcPr>
            <w:tcW w:w="1363" w:type="dxa"/>
          </w:tcPr>
          <w:p w:rsidR="006818A8" w:rsidRPr="006818A8" w:rsidP="006818A8" w14:paraId="7E3900BB" w14:textId="77777777">
            <w:pPr>
              <w:widowControl/>
              <w:suppressAutoHyphens/>
              <w:jc w:val="right"/>
              <w:rPr>
                <w:rFonts w:ascii="Times New Roman" w:eastAsia="SimSun" w:hAnsi="Times New Roman"/>
                <w:snapToGrid/>
                <w:lang w:eastAsia="ar-SA"/>
              </w:rPr>
            </w:pPr>
            <w:r w:rsidRPr="006818A8">
              <w:rPr>
                <w:rFonts w:ascii="Times New Roman" w:eastAsia="SimSun" w:hAnsi="Times New Roman"/>
                <w:snapToGrid/>
                <w:lang w:eastAsia="ar-SA"/>
              </w:rPr>
              <w:t xml:space="preserve">11 </w:t>
            </w:r>
          </w:p>
        </w:tc>
        <w:tc>
          <w:tcPr>
            <w:tcW w:w="1350" w:type="dxa"/>
          </w:tcPr>
          <w:p w:rsidR="006818A8" w:rsidRPr="006818A8" w:rsidP="006818A8" w14:paraId="6BDDF3ED" w14:textId="77777777">
            <w:pPr>
              <w:widowControl/>
              <w:suppressAutoHyphens/>
              <w:jc w:val="right"/>
              <w:rPr>
                <w:rFonts w:ascii="Times New Roman" w:eastAsia="SimSun" w:hAnsi="Times New Roman"/>
                <w:snapToGrid/>
                <w:lang w:eastAsia="ar-SA"/>
              </w:rPr>
            </w:pPr>
            <w:r w:rsidRPr="006818A8">
              <w:rPr>
                <w:rFonts w:ascii="Times New Roman" w:eastAsia="SimSun" w:hAnsi="Times New Roman"/>
                <w:snapToGrid/>
                <w:lang w:eastAsia="ar-SA"/>
              </w:rPr>
              <w:t>12,247</w:t>
            </w:r>
          </w:p>
        </w:tc>
        <w:tc>
          <w:tcPr>
            <w:tcW w:w="1440" w:type="dxa"/>
            <w:tcBorders>
              <w:top w:val="single" w:sz="4" w:space="0" w:color="auto"/>
              <w:left w:val="nil"/>
              <w:bottom w:val="single" w:sz="4" w:space="0" w:color="auto"/>
              <w:right w:val="single" w:sz="4" w:space="0" w:color="auto"/>
            </w:tcBorders>
          </w:tcPr>
          <w:p w:rsidR="006818A8" w:rsidRPr="006818A8" w:rsidP="006818A8" w14:paraId="3CE3BDD0" w14:textId="77777777">
            <w:pPr>
              <w:widowControl/>
              <w:suppressAutoHyphens/>
              <w:jc w:val="right"/>
              <w:rPr>
                <w:rFonts w:ascii="Times New Roman" w:eastAsia="SimSun" w:hAnsi="Times New Roman"/>
                <w:snapToGrid/>
                <w:lang w:eastAsia="zh-CN"/>
              </w:rPr>
            </w:pPr>
            <w:r w:rsidRPr="006818A8">
              <w:rPr>
                <w:rFonts w:ascii="Times New Roman" w:eastAsia="SimSun" w:hAnsi="Times New Roman"/>
                <w:snapToGrid/>
                <w:lang w:eastAsia="zh-CN"/>
              </w:rPr>
              <w:t>$25.72*</w:t>
            </w:r>
          </w:p>
        </w:tc>
        <w:tc>
          <w:tcPr>
            <w:tcW w:w="1530" w:type="dxa"/>
            <w:tcBorders>
              <w:top w:val="single" w:sz="4" w:space="0" w:color="auto"/>
              <w:left w:val="single" w:sz="4" w:space="0" w:color="auto"/>
              <w:bottom w:val="single" w:sz="4" w:space="0" w:color="auto"/>
            </w:tcBorders>
            <w:shd w:val="clear" w:color="auto" w:fill="auto"/>
          </w:tcPr>
          <w:p w:rsidR="006818A8" w:rsidRPr="006818A8" w:rsidP="006818A8" w14:paraId="07F5B200" w14:textId="77777777">
            <w:pPr>
              <w:widowControl/>
              <w:suppressAutoHyphens/>
              <w:jc w:val="right"/>
              <w:rPr>
                <w:rFonts w:ascii="Times New Roman" w:eastAsia="SimSun" w:hAnsi="Times New Roman"/>
                <w:snapToGrid/>
                <w:lang w:eastAsia="zh-CN"/>
              </w:rPr>
            </w:pPr>
            <w:r w:rsidRPr="006818A8">
              <w:rPr>
                <w:rFonts w:ascii="Times New Roman" w:eastAsia="SimSun" w:hAnsi="Times New Roman"/>
                <w:snapToGrid/>
                <w:lang w:eastAsia="zh-CN"/>
              </w:rPr>
              <w:t>$314,993**</w:t>
            </w:r>
          </w:p>
        </w:tc>
      </w:tr>
    </w:tbl>
    <w:p w:rsidR="0062747C" w:rsidP="006818A8" w14:paraId="61B11C76" w14:textId="6FA1E922">
      <w:pPr>
        <w:ind w:left="1440"/>
        <w:rPr>
          <w:rFonts w:ascii="Times New Roman" w:hAnsi="Times New Roman"/>
        </w:rPr>
      </w:pPr>
      <w:r w:rsidRPr="006818A8">
        <w:rPr>
          <w:rFonts w:ascii="Times New Roman" w:hAnsi="Times New Roman"/>
        </w:rPr>
        <w:t>* We based this figure on the average U.S. worker’s hourly wages, as reported by Bureau of Labor Statistics data (</w:t>
      </w:r>
      <w:hyperlink r:id="rId4" w:history="1">
        <w:r w:rsidRPr="006818A8">
          <w:rPr>
            <w:rStyle w:val="Hyperlink"/>
            <w:rFonts w:ascii="Times New Roman" w:hAnsi="Times New Roman"/>
          </w:rPr>
          <w:t>https://www.bls.gov/oes/current/oes_nat.htm</w:t>
        </w:r>
      </w:hyperlink>
      <w:r w:rsidRPr="006818A8">
        <w:rPr>
          <w:rFonts w:ascii="Times New Roman" w:hAnsi="Times New Roman"/>
        </w:rPr>
        <w:t>).</w:t>
      </w:r>
    </w:p>
    <w:p w:rsidR="006818A8" w:rsidP="006818A8" w14:paraId="70CF4435" w14:textId="77777777">
      <w:pPr>
        <w:ind w:left="1440"/>
        <w:rPr>
          <w:rFonts w:ascii="Times New Roman" w:hAnsi="Times New Roman"/>
        </w:rPr>
      </w:pPr>
    </w:p>
    <w:p w:rsidR="0062747C" w:rsidP="006818A8" w14:paraId="629DC3D7" w14:textId="77777777">
      <w:pPr>
        <w:ind w:left="144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62747C" w:rsidP="006818A8" w14:paraId="596EFB4D" w14:textId="77777777">
      <w:pPr>
        <w:ind w:left="1440"/>
        <w:rPr>
          <w:rFonts w:ascii="Times New Roman" w:hAnsi="Times New Roman"/>
        </w:rPr>
      </w:pPr>
    </w:p>
    <w:p w:rsidR="0062747C" w:rsidP="006818A8" w14:paraId="7FD57417" w14:textId="45B6C9A0">
      <w:pPr>
        <w:pStyle w:val="ListParagraph"/>
        <w:ind w:left="1440"/>
        <w:rPr>
          <w:rFonts w:ascii="Times New Roman" w:hAnsi="Times New Roman"/>
          <w:i/>
        </w:rPr>
      </w:pPr>
      <w:r w:rsidRPr="0003699C">
        <w:rPr>
          <w:rFonts w:ascii="Times New Roman" w:hAnsi="Times New Roman"/>
        </w:rPr>
        <w:t xml:space="preserve">The total burden for this information collection request is </w:t>
      </w:r>
      <w:r>
        <w:rPr>
          <w:rFonts w:ascii="Times New Roman" w:hAnsi="Times New Roman"/>
          <w:b/>
        </w:rPr>
        <w:t>12,247</w:t>
      </w:r>
      <w:r w:rsidRPr="0003699C">
        <w:rPr>
          <w:rFonts w:ascii="Times New Roman" w:hAnsi="Times New Roman"/>
        </w:rPr>
        <w:t xml:space="preserve"> hours</w:t>
      </w:r>
      <w:r>
        <w:rPr>
          <w:rFonts w:ascii="Times New Roman" w:hAnsi="Times New Roman"/>
        </w:rPr>
        <w:t xml:space="preserve"> </w:t>
      </w:r>
      <w:r w:rsidRPr="00081058">
        <w:rPr>
          <w:rFonts w:ascii="Times New Roman" w:hAnsi="Times New Roman"/>
        </w:rPr>
        <w:t>(reflecting SSA management information data)</w:t>
      </w:r>
      <w:r w:rsidRPr="0003699C">
        <w:rPr>
          <w:rFonts w:ascii="Times New Roman" w:hAnsi="Times New Roman"/>
        </w:rPr>
        <w:t xml:space="preserve">, which results in associated theoretical (not actual) opportunity cost financial burden of </w:t>
      </w:r>
      <w:r w:rsidRPr="0003699C">
        <w:rPr>
          <w:rFonts w:ascii="Times New Roman" w:hAnsi="Times New Roman"/>
          <w:b/>
        </w:rPr>
        <w:t>$</w:t>
      </w:r>
      <w:r>
        <w:rPr>
          <w:rFonts w:ascii="Times New Roman" w:hAnsi="Times New Roman"/>
          <w:b/>
        </w:rPr>
        <w:t>314,993</w:t>
      </w:r>
      <w:r>
        <w:rPr>
          <w:rFonts w:ascii="Times New Roman" w:hAnsi="Times New Roman"/>
          <w:i/>
        </w:rPr>
        <w:t>.</w:t>
      </w:r>
    </w:p>
    <w:p w:rsidR="00BD79B9" w:rsidP="00BD79B9" w14:paraId="54E65DED" w14:textId="77777777">
      <w:pPr>
        <w:ind w:left="720"/>
        <w:rPr>
          <w:rFonts w:ascii="Times New Roman" w:hAnsi="Times New Roman"/>
          <w:b/>
        </w:rPr>
      </w:pPr>
    </w:p>
    <w:p w:rsidR="00C009D2" w:rsidP="004679A4" w14:paraId="24AE2BBC" w14:textId="77777777">
      <w:pPr>
        <w:numPr>
          <w:ilvl w:val="0"/>
          <w:numId w:val="10"/>
        </w:numPr>
        <w:ind w:left="1440" w:hanging="72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BD79B9" w:rsidP="004679A4" w14:paraId="4628AA2C" w14:textId="46DC6646">
      <w:pPr>
        <w:ind w:left="1440"/>
        <w:rPr>
          <w:rFonts w:ascii="Times New Roman" w:hAnsi="Times New Roman"/>
          <w:snapToGrid/>
          <w:szCs w:val="20"/>
          <w:lang w:eastAsia="zh-CN"/>
        </w:rPr>
      </w:pPr>
      <w:r w:rsidRPr="00B20C87">
        <w:rPr>
          <w:rFonts w:ascii="Times New Roman" w:hAnsi="Times New Roman"/>
        </w:rPr>
        <w:t xml:space="preserve">Participating requesters must compensate SSA for non-program-related work so </w:t>
      </w:r>
      <w:r w:rsidRPr="00B20C87">
        <w:rPr>
          <w:rFonts w:ascii="Times New Roman" w:hAnsi="Times New Roman"/>
        </w:rPr>
        <w:t>the Social Security Trust Funds do not bear the costs of such activities.  Page 2 of the form provides the requester with a cost explanation and fee charge per request</w:t>
      </w:r>
      <w:r>
        <w:rPr>
          <w:rFonts w:ascii="Times New Roman" w:hAnsi="Times New Roman"/>
        </w:rPr>
        <w:t xml:space="preserve">.  </w:t>
      </w:r>
      <w:r w:rsidR="00F7277F">
        <w:rPr>
          <w:rFonts w:ascii="Times New Roman" w:hAnsi="Times New Roman"/>
          <w:snapToGrid/>
          <w:szCs w:val="20"/>
          <w:lang w:eastAsia="zh-CN"/>
        </w:rPr>
        <w:t>Please see the chart below for the costs to the respondents for these requests:</w:t>
      </w:r>
    </w:p>
    <w:p w:rsidR="00F7277F" w:rsidP="004679A4" w14:paraId="104C6B91" w14:textId="5EC74EE0">
      <w:pPr>
        <w:ind w:left="1440"/>
        <w:rPr>
          <w:rFonts w:ascii="Times New Roman" w:hAnsi="Times New Roman"/>
          <w:snapToGrid/>
          <w:szCs w:val="20"/>
          <w:lang w:eastAsia="zh-CN"/>
        </w:rPr>
      </w:pPr>
    </w:p>
    <w:tbl>
      <w:tblPr>
        <w:tblW w:w="865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890"/>
        <w:gridCol w:w="1890"/>
        <w:gridCol w:w="1890"/>
      </w:tblGrid>
      <w:tr w14:paraId="1104E3F1" w14:textId="77777777" w:rsidTr="00F7277F">
        <w:tblPrEx>
          <w:tblW w:w="865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F7277F" w:rsidRPr="00F7277F" w:rsidP="00F7277F" w14:paraId="18DF51C7" w14:textId="77777777">
            <w:pPr>
              <w:widowControl/>
              <w:suppressAutoHyphens/>
              <w:rPr>
                <w:rFonts w:ascii="Times New Roman" w:eastAsia="SimSun" w:hAnsi="Times New Roman"/>
                <w:b/>
                <w:snapToGrid/>
                <w:lang w:eastAsia="ar-SA"/>
              </w:rPr>
            </w:pPr>
            <w:r w:rsidRPr="00F7277F">
              <w:rPr>
                <w:rFonts w:ascii="Times New Roman" w:eastAsia="SimSun" w:hAnsi="Times New Roman"/>
                <w:b/>
                <w:snapToGrid/>
                <w:lang w:eastAsia="ar-SA"/>
              </w:rPr>
              <w:t>Type of Respondent</w:t>
            </w:r>
          </w:p>
        </w:tc>
        <w:tc>
          <w:tcPr>
            <w:tcW w:w="1890" w:type="dxa"/>
          </w:tcPr>
          <w:p w:rsidR="00F7277F" w:rsidRPr="00F7277F" w:rsidP="00F7277F" w14:paraId="4A51056D" w14:textId="77777777">
            <w:pPr>
              <w:widowControl/>
              <w:suppressAutoHyphens/>
              <w:rPr>
                <w:rFonts w:ascii="Times New Roman" w:eastAsia="SimSun" w:hAnsi="Times New Roman"/>
                <w:b/>
                <w:snapToGrid/>
                <w:lang w:eastAsia="ar-SA"/>
              </w:rPr>
            </w:pPr>
            <w:r w:rsidRPr="00F7277F">
              <w:rPr>
                <w:rFonts w:ascii="Times New Roman" w:eastAsia="SimSun" w:hAnsi="Times New Roman"/>
                <w:b/>
                <w:snapToGrid/>
                <w:lang w:eastAsia="ar-SA"/>
              </w:rPr>
              <w:t>Number of requests</w:t>
            </w:r>
          </w:p>
        </w:tc>
        <w:tc>
          <w:tcPr>
            <w:tcW w:w="1890" w:type="dxa"/>
          </w:tcPr>
          <w:p w:rsidR="00F7277F" w:rsidRPr="00F7277F" w:rsidP="00F7277F" w14:paraId="214A010A" w14:textId="77777777">
            <w:pPr>
              <w:widowControl/>
              <w:suppressAutoHyphens/>
              <w:rPr>
                <w:rFonts w:ascii="Times New Roman" w:eastAsia="SimSun" w:hAnsi="Times New Roman"/>
                <w:b/>
                <w:snapToGrid/>
                <w:lang w:eastAsia="ar-SA"/>
              </w:rPr>
            </w:pPr>
            <w:r w:rsidRPr="00F7277F">
              <w:rPr>
                <w:rFonts w:ascii="Times New Roman" w:eastAsia="SimSun" w:hAnsi="Times New Roman"/>
                <w:b/>
                <w:snapToGrid/>
                <w:lang w:eastAsia="ar-SA"/>
              </w:rPr>
              <w:t>Cost per request</w:t>
            </w:r>
          </w:p>
        </w:tc>
        <w:tc>
          <w:tcPr>
            <w:tcW w:w="1890" w:type="dxa"/>
            <w:shd w:val="clear" w:color="auto" w:fill="auto"/>
          </w:tcPr>
          <w:p w:rsidR="00F7277F" w:rsidRPr="00F7277F" w:rsidP="00F7277F" w14:paraId="2F169953" w14:textId="77777777">
            <w:pPr>
              <w:widowControl/>
              <w:suppressAutoHyphens/>
              <w:rPr>
                <w:rFonts w:ascii="Times New Roman" w:eastAsia="SimSun" w:hAnsi="Times New Roman"/>
                <w:b/>
                <w:snapToGrid/>
                <w:lang w:eastAsia="ar-SA"/>
              </w:rPr>
            </w:pPr>
            <w:r w:rsidRPr="00F7277F">
              <w:rPr>
                <w:rFonts w:ascii="Times New Roman" w:eastAsia="SimSun" w:hAnsi="Times New Roman"/>
                <w:b/>
                <w:snapToGrid/>
                <w:lang w:eastAsia="ar-SA"/>
              </w:rPr>
              <w:t>Annual Cost</w:t>
            </w:r>
          </w:p>
        </w:tc>
      </w:tr>
      <w:tr w14:paraId="6BA22DFA" w14:textId="77777777" w:rsidTr="00F7277F">
        <w:tblPrEx>
          <w:tblW w:w="8658" w:type="dxa"/>
          <w:tblInd w:w="985" w:type="dxa"/>
          <w:tblLook w:val="04A0"/>
        </w:tblPrEx>
        <w:tc>
          <w:tcPr>
            <w:tcW w:w="2988" w:type="dxa"/>
            <w:shd w:val="clear" w:color="auto" w:fill="auto"/>
          </w:tcPr>
          <w:p w:rsidR="00F7277F" w:rsidRPr="00F7277F" w:rsidP="00F7277F" w14:paraId="03A93F6A" w14:textId="77777777">
            <w:pPr>
              <w:widowControl/>
              <w:suppressAutoHyphens/>
              <w:rPr>
                <w:rFonts w:ascii="Times New Roman" w:eastAsia="SimSun" w:hAnsi="Times New Roman"/>
                <w:snapToGrid/>
                <w:lang w:eastAsia="ar-SA"/>
              </w:rPr>
            </w:pPr>
            <w:r w:rsidRPr="00F7277F">
              <w:rPr>
                <w:rFonts w:ascii="Times New Roman" w:eastAsia="SimSun" w:hAnsi="Times New Roman"/>
                <w:snapToGrid/>
                <w:lang w:eastAsia="ar-SA"/>
              </w:rPr>
              <w:t>Non-Certified Respondent</w:t>
            </w:r>
          </w:p>
        </w:tc>
        <w:tc>
          <w:tcPr>
            <w:tcW w:w="1890" w:type="dxa"/>
          </w:tcPr>
          <w:p w:rsidR="00F7277F" w:rsidRPr="00F7277F" w:rsidP="00F7277F" w14:paraId="0EF27517" w14:textId="77777777">
            <w:pPr>
              <w:widowControl/>
              <w:suppressAutoHyphens/>
              <w:jc w:val="right"/>
              <w:rPr>
                <w:rFonts w:ascii="Times New Roman" w:eastAsia="SimSun" w:hAnsi="Times New Roman"/>
                <w:snapToGrid/>
                <w:lang w:eastAsia="ar-SA"/>
              </w:rPr>
            </w:pPr>
            <w:r w:rsidRPr="00F7277F">
              <w:rPr>
                <w:rFonts w:ascii="Times New Roman" w:eastAsia="SimSun" w:hAnsi="Times New Roman"/>
                <w:snapToGrid/>
                <w:lang w:eastAsia="ar-SA"/>
              </w:rPr>
              <w:t>33,400</w:t>
            </w:r>
          </w:p>
        </w:tc>
        <w:tc>
          <w:tcPr>
            <w:tcW w:w="1890" w:type="dxa"/>
          </w:tcPr>
          <w:p w:rsidR="00F7277F" w:rsidRPr="00F7277F" w:rsidP="00F7277F" w14:paraId="0682B3F3" w14:textId="77777777">
            <w:pPr>
              <w:widowControl/>
              <w:suppressAutoHyphens/>
              <w:jc w:val="right"/>
              <w:rPr>
                <w:rFonts w:ascii="Times New Roman" w:eastAsia="SimSun" w:hAnsi="Times New Roman"/>
                <w:snapToGrid/>
                <w:lang w:eastAsia="ar-SA"/>
              </w:rPr>
            </w:pPr>
            <w:r w:rsidRPr="00F7277F">
              <w:rPr>
                <w:rFonts w:ascii="Times New Roman" w:eastAsia="SimSun" w:hAnsi="Times New Roman"/>
                <w:snapToGrid/>
                <w:lang w:eastAsia="ar-SA"/>
              </w:rPr>
              <w:t>$92.00</w:t>
            </w:r>
          </w:p>
        </w:tc>
        <w:tc>
          <w:tcPr>
            <w:tcW w:w="1890" w:type="dxa"/>
            <w:shd w:val="clear" w:color="auto" w:fill="auto"/>
          </w:tcPr>
          <w:p w:rsidR="00F7277F" w:rsidRPr="00F7277F" w:rsidP="00F7277F" w14:paraId="5F3E146B" w14:textId="77777777">
            <w:pPr>
              <w:widowControl/>
              <w:suppressAutoHyphens/>
              <w:jc w:val="right"/>
              <w:rPr>
                <w:rFonts w:ascii="Times New Roman" w:eastAsia="SimSun" w:hAnsi="Times New Roman"/>
                <w:snapToGrid/>
                <w:lang w:eastAsia="ar-SA"/>
              </w:rPr>
            </w:pPr>
            <w:r w:rsidRPr="00F7277F">
              <w:rPr>
                <w:rFonts w:ascii="Times New Roman" w:eastAsia="SimSun" w:hAnsi="Times New Roman"/>
                <w:snapToGrid/>
                <w:lang w:eastAsia="ar-SA"/>
              </w:rPr>
              <w:t>$3,072,800</w:t>
            </w:r>
          </w:p>
        </w:tc>
      </w:tr>
      <w:tr w14:paraId="0EA71DA1" w14:textId="77777777" w:rsidTr="00F7277F">
        <w:tblPrEx>
          <w:tblW w:w="8658" w:type="dxa"/>
          <w:tblInd w:w="985" w:type="dxa"/>
          <w:tblLook w:val="04A0"/>
        </w:tblPrEx>
        <w:tc>
          <w:tcPr>
            <w:tcW w:w="2988" w:type="dxa"/>
            <w:shd w:val="clear" w:color="auto" w:fill="auto"/>
          </w:tcPr>
          <w:p w:rsidR="00F7277F" w:rsidRPr="00F7277F" w:rsidP="00F7277F" w14:paraId="47CAB93F" w14:textId="77777777">
            <w:pPr>
              <w:widowControl/>
              <w:suppressAutoHyphens/>
              <w:rPr>
                <w:rFonts w:ascii="Times New Roman" w:eastAsia="SimSun" w:hAnsi="Times New Roman"/>
                <w:snapToGrid/>
                <w:lang w:eastAsia="ar-SA"/>
              </w:rPr>
            </w:pPr>
            <w:r w:rsidRPr="00F7277F">
              <w:rPr>
                <w:rFonts w:ascii="Times New Roman" w:eastAsia="SimSun" w:hAnsi="Times New Roman"/>
                <w:snapToGrid/>
                <w:lang w:eastAsia="ar-SA"/>
              </w:rPr>
              <w:t>Certified Respondent</w:t>
            </w:r>
          </w:p>
        </w:tc>
        <w:tc>
          <w:tcPr>
            <w:tcW w:w="1890" w:type="dxa"/>
          </w:tcPr>
          <w:p w:rsidR="00F7277F" w:rsidRPr="00F7277F" w:rsidP="00F7277F" w14:paraId="47316F3E" w14:textId="77777777">
            <w:pPr>
              <w:widowControl/>
              <w:suppressAutoHyphens/>
              <w:jc w:val="right"/>
              <w:rPr>
                <w:rFonts w:ascii="Times New Roman" w:eastAsia="SimSun" w:hAnsi="Times New Roman"/>
                <w:snapToGrid/>
                <w:lang w:eastAsia="ar-SA"/>
              </w:rPr>
            </w:pPr>
            <w:r w:rsidRPr="00F7277F">
              <w:rPr>
                <w:rFonts w:ascii="Times New Roman" w:eastAsia="SimSun" w:hAnsi="Times New Roman"/>
                <w:snapToGrid/>
                <w:lang w:eastAsia="ar-SA"/>
              </w:rPr>
              <w:t>33,400</w:t>
            </w:r>
          </w:p>
        </w:tc>
        <w:tc>
          <w:tcPr>
            <w:tcW w:w="1890" w:type="dxa"/>
          </w:tcPr>
          <w:p w:rsidR="00F7277F" w:rsidRPr="00F7277F" w:rsidP="00F7277F" w14:paraId="4E8570B1" w14:textId="77777777">
            <w:pPr>
              <w:widowControl/>
              <w:suppressAutoHyphens/>
              <w:jc w:val="right"/>
              <w:rPr>
                <w:rFonts w:ascii="Times New Roman" w:eastAsia="SimSun" w:hAnsi="Times New Roman"/>
                <w:snapToGrid/>
                <w:lang w:eastAsia="ar-SA"/>
              </w:rPr>
            </w:pPr>
            <w:r w:rsidRPr="00F7277F">
              <w:rPr>
                <w:rFonts w:ascii="Times New Roman" w:eastAsia="SimSun" w:hAnsi="Times New Roman"/>
                <w:snapToGrid/>
                <w:lang w:eastAsia="ar-SA"/>
              </w:rPr>
              <w:t>$122.00</w:t>
            </w:r>
          </w:p>
        </w:tc>
        <w:tc>
          <w:tcPr>
            <w:tcW w:w="1890" w:type="dxa"/>
            <w:shd w:val="clear" w:color="auto" w:fill="auto"/>
          </w:tcPr>
          <w:p w:rsidR="00F7277F" w:rsidRPr="00F7277F" w:rsidP="00F7277F" w14:paraId="704127F7" w14:textId="77777777">
            <w:pPr>
              <w:widowControl/>
              <w:suppressAutoHyphens/>
              <w:jc w:val="right"/>
              <w:rPr>
                <w:rFonts w:ascii="Times New Roman" w:eastAsia="SimSun" w:hAnsi="Times New Roman"/>
                <w:snapToGrid/>
                <w:lang w:eastAsia="ar-SA"/>
              </w:rPr>
            </w:pPr>
            <w:r w:rsidRPr="00F7277F">
              <w:rPr>
                <w:rFonts w:ascii="Times New Roman" w:eastAsia="SimSun" w:hAnsi="Times New Roman"/>
                <w:snapToGrid/>
                <w:lang w:eastAsia="ar-SA"/>
              </w:rPr>
              <w:t>$4,074,800</w:t>
            </w:r>
          </w:p>
        </w:tc>
      </w:tr>
      <w:tr w14:paraId="75C86CBF" w14:textId="77777777" w:rsidTr="00F7277F">
        <w:tblPrEx>
          <w:tblW w:w="8658" w:type="dxa"/>
          <w:tblInd w:w="985" w:type="dxa"/>
          <w:tblLook w:val="04A0"/>
        </w:tblPrEx>
        <w:tc>
          <w:tcPr>
            <w:tcW w:w="2988" w:type="dxa"/>
            <w:shd w:val="clear" w:color="auto" w:fill="auto"/>
          </w:tcPr>
          <w:p w:rsidR="00F7277F" w:rsidRPr="00F7277F" w:rsidP="00F7277F" w14:paraId="3C28565F" w14:textId="77777777">
            <w:pPr>
              <w:widowControl/>
              <w:suppressAutoHyphens/>
              <w:rPr>
                <w:rFonts w:ascii="Times New Roman" w:eastAsia="SimSun" w:hAnsi="Times New Roman"/>
                <w:b/>
                <w:snapToGrid/>
                <w:lang w:eastAsia="ar-SA"/>
              </w:rPr>
            </w:pPr>
            <w:r w:rsidRPr="00F7277F">
              <w:rPr>
                <w:rFonts w:ascii="Times New Roman" w:eastAsia="SimSun" w:hAnsi="Times New Roman"/>
                <w:b/>
                <w:snapToGrid/>
                <w:lang w:eastAsia="ar-SA"/>
              </w:rPr>
              <w:t>Total</w:t>
            </w:r>
          </w:p>
        </w:tc>
        <w:tc>
          <w:tcPr>
            <w:tcW w:w="1890" w:type="dxa"/>
          </w:tcPr>
          <w:p w:rsidR="00F7277F" w:rsidRPr="00F7277F" w:rsidP="00F7277F" w14:paraId="72864CC8" w14:textId="77777777">
            <w:pPr>
              <w:widowControl/>
              <w:suppressAutoHyphens/>
              <w:jc w:val="right"/>
              <w:rPr>
                <w:rFonts w:ascii="Times New Roman" w:eastAsia="SimSun" w:hAnsi="Times New Roman"/>
                <w:b/>
                <w:snapToGrid/>
                <w:lang w:eastAsia="ar-SA"/>
              </w:rPr>
            </w:pPr>
          </w:p>
        </w:tc>
        <w:tc>
          <w:tcPr>
            <w:tcW w:w="1890" w:type="dxa"/>
          </w:tcPr>
          <w:p w:rsidR="00F7277F" w:rsidRPr="00F7277F" w:rsidP="00F7277F" w14:paraId="253C7F6E" w14:textId="77777777">
            <w:pPr>
              <w:widowControl/>
              <w:suppressAutoHyphens/>
              <w:jc w:val="right"/>
              <w:rPr>
                <w:rFonts w:ascii="Times New Roman" w:eastAsia="SimSun" w:hAnsi="Times New Roman"/>
                <w:b/>
                <w:snapToGrid/>
                <w:lang w:eastAsia="ar-SA"/>
              </w:rPr>
            </w:pPr>
          </w:p>
        </w:tc>
        <w:tc>
          <w:tcPr>
            <w:tcW w:w="1890" w:type="dxa"/>
            <w:shd w:val="clear" w:color="auto" w:fill="auto"/>
          </w:tcPr>
          <w:p w:rsidR="00F7277F" w:rsidRPr="00F7277F" w:rsidP="00F7277F" w14:paraId="1CF172A9" w14:textId="77777777">
            <w:pPr>
              <w:widowControl/>
              <w:suppressAutoHyphens/>
              <w:jc w:val="right"/>
              <w:rPr>
                <w:rFonts w:ascii="Times New Roman" w:eastAsia="SimSun" w:hAnsi="Times New Roman"/>
                <w:b/>
                <w:snapToGrid/>
                <w:lang w:eastAsia="ar-SA"/>
              </w:rPr>
            </w:pPr>
            <w:r w:rsidRPr="00F7277F">
              <w:rPr>
                <w:rFonts w:ascii="Times New Roman" w:eastAsia="SimSun" w:hAnsi="Times New Roman"/>
                <w:b/>
                <w:snapToGrid/>
                <w:lang w:eastAsia="ar-SA"/>
              </w:rPr>
              <w:t>$7,147,600</w:t>
            </w:r>
          </w:p>
        </w:tc>
      </w:tr>
    </w:tbl>
    <w:p w:rsidR="00BD79B9" w:rsidP="004679A4" w14:paraId="2115346D" w14:textId="77777777">
      <w:pPr>
        <w:ind w:left="1440"/>
        <w:rPr>
          <w:rFonts w:ascii="Times New Roman" w:hAnsi="Times New Roman"/>
          <w:b/>
        </w:rPr>
      </w:pPr>
    </w:p>
    <w:p w:rsidR="00C009D2" w:rsidP="004679A4" w14:paraId="458904AD" w14:textId="77777777">
      <w:pPr>
        <w:numPr>
          <w:ilvl w:val="0"/>
          <w:numId w:val="10"/>
        </w:numPr>
        <w:ind w:left="1440" w:hanging="720"/>
        <w:rPr>
          <w:rFonts w:ascii="Times New Roman" w:hAnsi="Times New Roman"/>
          <w:b/>
        </w:rPr>
      </w:pPr>
      <w:r w:rsidRPr="00BC7F42">
        <w:rPr>
          <w:rFonts w:ascii="Times New Roman" w:hAnsi="Times New Roman"/>
          <w:b/>
        </w:rPr>
        <w:t>Annual Cost To Federal Government</w:t>
      </w:r>
    </w:p>
    <w:p w:rsidR="00B20C87" w:rsidRPr="00B20C87" w:rsidP="004679A4" w14:paraId="34853AD6" w14:textId="6324F67F">
      <w:pPr>
        <w:ind w:left="1440"/>
        <w:rPr>
          <w:rFonts w:ascii="Times New Roman" w:hAnsi="Times New Roman"/>
          <w:b/>
        </w:rPr>
      </w:pPr>
      <w:r>
        <w:rPr>
          <w:rFonts w:ascii="Times New Roman" w:hAnsi="Times New Roman"/>
          <w:color w:val="000000"/>
        </w:rPr>
        <w:t>The annual cost to the Federal Government is approximately</w:t>
      </w:r>
      <w:r w:rsidRPr="00B20C87">
        <w:rPr>
          <w:rFonts w:ascii="Times New Roman" w:hAnsi="Times New Roman"/>
        </w:rPr>
        <w:t xml:space="preserve"> $</w:t>
      </w:r>
      <w:r>
        <w:rPr>
          <w:rFonts w:ascii="Times New Roman" w:hAnsi="Times New Roman"/>
        </w:rPr>
        <w:t>306,750</w:t>
      </w:r>
      <w:r w:rsidRPr="00B20C87">
        <w:rPr>
          <w:rFonts w:ascii="Times New Roman" w:hAnsi="Times New Roman"/>
        </w:rPr>
        <w:t xml:space="preserve">.  </w:t>
      </w:r>
      <w:r>
        <w:rPr>
          <w:rFonts w:ascii="Times New Roman" w:hAnsi="Times New Roman"/>
          <w:color w:val="000000"/>
        </w:rPr>
        <w:t>This estimate accounts for costs from the following areas:</w:t>
      </w:r>
    </w:p>
    <w:p w:rsidR="00B20C87" w:rsidP="00B20C87" w14:paraId="762F0359" w14:textId="3054F83E">
      <w:pPr>
        <w:ind w:left="720"/>
        <w:rPr>
          <w:rFonts w:ascii="Times New Roman" w:hAnsi="Times New Roman"/>
          <w:b/>
        </w:rPr>
      </w:pPr>
    </w:p>
    <w:tbl>
      <w:tblPr>
        <w:tblW w:w="10530" w:type="dxa"/>
        <w:tblInd w:w="-190" w:type="dxa"/>
        <w:tblCellMar>
          <w:left w:w="0" w:type="dxa"/>
          <w:right w:w="0" w:type="dxa"/>
        </w:tblCellMar>
        <w:tblLook w:val="04A0"/>
      </w:tblPr>
      <w:tblGrid>
        <w:gridCol w:w="4229"/>
        <w:gridCol w:w="3689"/>
        <w:gridCol w:w="2612"/>
      </w:tblGrid>
      <w:tr w14:paraId="623C4FF4" w14:textId="77777777" w:rsidTr="00333555">
        <w:tblPrEx>
          <w:tblW w:w="10530" w:type="dxa"/>
          <w:tblInd w:w="-190" w:type="dxa"/>
          <w:tblCellMar>
            <w:left w:w="0" w:type="dxa"/>
            <w:right w:w="0" w:type="dxa"/>
          </w:tblCellMar>
          <w:tblLook w:val="04A0"/>
        </w:tblPrEx>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02544D68" w14:textId="77777777">
            <w:pPr>
              <w:widowControl/>
              <w:contextualSpacing/>
              <w:rPr>
                <w:rFonts w:ascii="Times New Roman" w:hAnsi="Times New Roman" w:eastAsiaTheme="minorHAnsi"/>
                <w:b/>
                <w:bCs/>
                <w:snapToGrid/>
                <w:color w:val="000000"/>
              </w:rPr>
            </w:pPr>
            <w:r w:rsidRPr="00333555">
              <w:rPr>
                <w:rFonts w:ascii="Times New Roman" w:hAnsi="Times New Roman" w:eastAsiaTheme="minorHAnsi"/>
                <w:b/>
                <w:bCs/>
                <w:snapToGrid/>
                <w:color w:val="000000"/>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772A35BE" w14:textId="77777777">
            <w:pPr>
              <w:widowControl/>
              <w:contextualSpacing/>
              <w:rPr>
                <w:rFonts w:ascii="Times New Roman" w:hAnsi="Times New Roman" w:eastAsiaTheme="minorHAnsi"/>
                <w:b/>
                <w:bCs/>
                <w:snapToGrid/>
                <w:color w:val="000000"/>
              </w:rPr>
            </w:pPr>
            <w:r w:rsidRPr="00333555">
              <w:rPr>
                <w:rFonts w:ascii="Times New Roman" w:hAnsi="Times New Roman" w:eastAsiaTheme="minorHAnsi"/>
                <w:b/>
                <w:bCs/>
                <w:snapToGrid/>
                <w:color w:val="000000"/>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295CA540" w14:textId="77777777">
            <w:pPr>
              <w:widowControl/>
              <w:contextualSpacing/>
              <w:rPr>
                <w:rFonts w:ascii="Times New Roman" w:hAnsi="Times New Roman" w:eastAsiaTheme="minorHAnsi"/>
                <w:b/>
                <w:bCs/>
                <w:snapToGrid/>
                <w:color w:val="000000"/>
              </w:rPr>
            </w:pPr>
            <w:r w:rsidRPr="00333555">
              <w:rPr>
                <w:rFonts w:ascii="Times New Roman" w:hAnsi="Times New Roman" w:eastAsiaTheme="minorHAnsi"/>
                <w:b/>
                <w:bCs/>
                <w:snapToGrid/>
                <w:color w:val="000000"/>
              </w:rPr>
              <w:t>Cost in Dollars*</w:t>
            </w:r>
          </w:p>
        </w:tc>
      </w:tr>
      <w:tr w14:paraId="516C0D54"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3ED43D53"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6F417264"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3CCE4CFB"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14:paraId="1137508E"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394828AE"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204D7AE6"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57707B4E"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14:paraId="6E91928F"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121A1CAC"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0ECAB819"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GS-9 employee x # of responses x processing time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120540BF" w14:textId="067EBC6B">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w:t>
            </w:r>
            <w:r>
              <w:rPr>
                <w:rFonts w:ascii="Times New Roman" w:hAnsi="Times New Roman" w:eastAsiaTheme="minorHAnsi"/>
                <w:snapToGrid/>
                <w:color w:val="000000"/>
              </w:rPr>
              <w:t>306,175</w:t>
            </w:r>
          </w:p>
        </w:tc>
      </w:tr>
      <w:tr w14:paraId="3B6D966E"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61B07A79"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4A575DFB"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14BD40DA"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14:paraId="32106267"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7630CC61"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491D9DF3"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GS-9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10413EBC" w14:textId="63E8CC10">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w:t>
            </w:r>
            <w:r>
              <w:rPr>
                <w:rFonts w:ascii="Times New Roman" w:hAnsi="Times New Roman" w:eastAsiaTheme="minorHAnsi"/>
                <w:snapToGrid/>
                <w:color w:val="000000"/>
              </w:rPr>
              <w:t>575</w:t>
            </w:r>
          </w:p>
        </w:tc>
      </w:tr>
      <w:tr w14:paraId="1A2433BE"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399BD46C"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33555" w:rsidRPr="00333555" w:rsidP="00333555" w14:paraId="2A310642"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35C9CF58"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14:paraId="53BB710B" w14:textId="77777777" w:rsidTr="00333555">
        <w:tblPrEx>
          <w:tblW w:w="10530" w:type="dxa"/>
          <w:tblInd w:w="-19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555" w:rsidRPr="00333555" w:rsidP="00333555" w14:paraId="79E1D284"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675611A1" w14:textId="77777777">
            <w:pPr>
              <w:widowControl/>
              <w:contextualSpacing/>
              <w:rPr>
                <w:rFonts w:ascii="Times New Roman" w:hAnsi="Times New Roman" w:eastAsiaTheme="minorHAnsi"/>
                <w:snapToGrid/>
                <w:color w:val="000000"/>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33555" w:rsidRPr="00333555" w:rsidP="00333555" w14:paraId="6BEF3B1B" w14:textId="45FDCFEA">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w:t>
            </w:r>
            <w:r>
              <w:rPr>
                <w:rFonts w:ascii="Times New Roman" w:hAnsi="Times New Roman" w:eastAsiaTheme="minorHAnsi"/>
                <w:snapToGrid/>
                <w:color w:val="000000"/>
              </w:rPr>
              <w:t>306,750</w:t>
            </w:r>
          </w:p>
        </w:tc>
      </w:tr>
    </w:tbl>
    <w:p w:rsidR="00333555" w:rsidRPr="00333555" w:rsidP="00333555" w14:paraId="5660256E" w14:textId="77777777">
      <w:pPr>
        <w:widowControl/>
        <w:ind w:left="1440"/>
        <w:rPr>
          <w:rFonts w:ascii="Times New Roman" w:hAnsi="Times New Roman"/>
          <w:snapToGrid/>
          <w:color w:val="000000"/>
        </w:rPr>
      </w:pPr>
      <w:r w:rsidRPr="00333555">
        <w:rPr>
          <w:rFonts w:ascii="Times New Roman" w:hAnsi="Times New Roman"/>
          <w:snapToGrid/>
          <w:color w:val="000000"/>
        </w:rPr>
        <w:t>* We have inserted a $0 amount for cost factors that do not apply to this collection.</w:t>
      </w:r>
    </w:p>
    <w:p w:rsidR="00333555" w:rsidRPr="00333555" w:rsidP="00333555" w14:paraId="4188D81C" w14:textId="77777777">
      <w:pPr>
        <w:widowControl/>
        <w:ind w:left="1440"/>
        <w:rPr>
          <w:rFonts w:ascii="Times New Roman" w:hAnsi="Times New Roman"/>
          <w:snapToGrid/>
          <w:color w:val="000000"/>
        </w:rPr>
      </w:pPr>
    </w:p>
    <w:p w:rsidR="00333555" w:rsidP="00333555" w14:paraId="46C430D3" w14:textId="1AE974B6">
      <w:pPr>
        <w:ind w:left="1440"/>
        <w:rPr>
          <w:rFonts w:ascii="Times New Roman" w:hAnsi="Times New Roman"/>
          <w:b/>
        </w:rPr>
      </w:pPr>
      <w:r w:rsidRPr="00333555">
        <w:rPr>
          <w:rFonts w:ascii="Times New Roman" w:hAnsi="Times New Roman"/>
          <w:snapToGrid/>
          <w:color w:val="000000"/>
        </w:rPr>
        <w:t>SSA is unable to break down the costs to the Federal government further than we already have.  First, since we work with almost every US citizen, we often do bulk mailings, and cannot track the cost for a single mailing.</w:t>
      </w:r>
      <w:r w:rsidR="00EC414E">
        <w:rPr>
          <w:rFonts w:ascii="Times New Roman" w:hAnsi="Times New Roman"/>
          <w:snapToGrid/>
          <w:color w:val="000000"/>
        </w:rPr>
        <w:t xml:space="preserve"> </w:t>
      </w:r>
      <w:r w:rsidRPr="00333555">
        <w:rPr>
          <w:rFonts w:ascii="Times New Roman" w:hAnsi="Times New Roman"/>
          <w:snapToGrid/>
          <w:color w:val="000000"/>
        </w:rPr>
        <w:t xml:space="preserve"> In addition, it is difficult for us to break down the cost for processing a single form, as field office and State Disability Determination Services staff often help respondents fill out several forms at once, and the time it takes to do so can vary greatly per respondent.</w:t>
      </w:r>
      <w:r w:rsidR="00EC414E">
        <w:rPr>
          <w:rFonts w:ascii="Times New Roman" w:hAnsi="Times New Roman"/>
          <w:snapToGrid/>
          <w:color w:val="000000"/>
        </w:rPr>
        <w:t xml:space="preserve">  </w:t>
      </w:r>
      <w:r w:rsidRPr="00333555">
        <w:rPr>
          <w:rFonts w:ascii="Times New Roman" w:hAnsi="Times New Roman"/>
          <w:snapToGrid/>
          <w:color w:val="000000"/>
        </w:rPr>
        <w:t>As well, because so many employees have a hand in each aspect of our forms, we use an estimated average hourly wage, based on the wage of our average field office employee (GS-9) for these calculations.</w:t>
      </w:r>
      <w:r w:rsidR="00EC414E">
        <w:rPr>
          <w:rFonts w:ascii="Times New Roman" w:hAnsi="Times New Roman"/>
          <w:snapToGrid/>
          <w:color w:val="000000"/>
        </w:rPr>
        <w:t xml:space="preserve">  </w:t>
      </w:r>
      <w:r w:rsidRPr="00333555">
        <w:rPr>
          <w:rFonts w:ascii="Times New Roman" w:hAnsi="Times New Roman"/>
          <w:snapToGrid/>
          <w:color w:val="000000"/>
        </w:rPr>
        <w:t>However, we have calculated these costs as accurately as possible based on the information we collect for creating, updating, and maintaining these information collections.</w:t>
      </w:r>
    </w:p>
    <w:p w:rsidR="00A119A1" w:rsidP="00333555" w14:paraId="54BCD686" w14:textId="1A7A8994">
      <w:pPr>
        <w:rPr>
          <w:rFonts w:ascii="Times New Roman" w:hAnsi="Times New Roman"/>
          <w:b/>
        </w:rPr>
      </w:pPr>
    </w:p>
    <w:p w:rsidR="00C009D2" w:rsidP="004679A4" w14:paraId="04A064D9" w14:textId="77777777">
      <w:pPr>
        <w:numPr>
          <w:ilvl w:val="0"/>
          <w:numId w:val="10"/>
        </w:numPr>
        <w:ind w:left="1440" w:hanging="72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B20C87" w:rsidP="004679A4" w14:paraId="18498185" w14:textId="77777777">
      <w:pPr>
        <w:ind w:left="1440"/>
        <w:rPr>
          <w:rFonts w:ascii="Times New Roman" w:hAnsi="Times New Roman"/>
          <w:b/>
        </w:rPr>
      </w:pPr>
      <w:r w:rsidRPr="00C40CE6">
        <w:rPr>
          <w:rFonts w:ascii="Times New Roman" w:hAnsi="Times New Roman"/>
        </w:rPr>
        <w:t>There are no changes to the public reporting burden</w:t>
      </w:r>
      <w:r>
        <w:rPr>
          <w:rFonts w:ascii="Times New Roman" w:hAnsi="Times New Roman"/>
        </w:rPr>
        <w:t>.</w:t>
      </w:r>
    </w:p>
    <w:p w:rsidR="00B20C87" w:rsidP="004679A4" w14:paraId="56FA96FE" w14:textId="77777777">
      <w:pPr>
        <w:ind w:left="1440"/>
        <w:rPr>
          <w:rFonts w:ascii="Times New Roman" w:hAnsi="Times New Roman"/>
          <w:b/>
        </w:rPr>
      </w:pPr>
    </w:p>
    <w:p w:rsidR="00C009D2" w:rsidRPr="00B20C87" w:rsidP="004679A4" w14:paraId="667F79A5" w14:textId="77777777">
      <w:pPr>
        <w:numPr>
          <w:ilvl w:val="0"/>
          <w:numId w:val="10"/>
        </w:numPr>
        <w:ind w:left="1440" w:hanging="720"/>
        <w:rPr>
          <w:rFonts w:ascii="Times New Roman" w:hAnsi="Times New Roman"/>
          <w:b/>
        </w:rPr>
      </w:pPr>
      <w:r w:rsidRPr="00B20C87">
        <w:rPr>
          <w:rFonts w:ascii="Times New Roman" w:hAnsi="Times New Roman"/>
          <w:b/>
        </w:rPr>
        <w:t>Plans for Publication Information Collection Results</w:t>
      </w:r>
    </w:p>
    <w:p w:rsidR="00B20C87" w:rsidRPr="00B20C87" w:rsidP="004679A4" w14:paraId="436A93F2" w14:textId="77777777">
      <w:pPr>
        <w:ind w:left="1440"/>
        <w:rPr>
          <w:rFonts w:ascii="Times New Roman" w:hAnsi="Times New Roman"/>
          <w:b/>
        </w:rPr>
      </w:pPr>
      <w:r w:rsidRPr="00B20C87">
        <w:rPr>
          <w:rFonts w:ascii="Times New Roman" w:hAnsi="Times New Roman"/>
          <w:bCs/>
          <w:iCs/>
        </w:rPr>
        <w:t>SSA will not publish the results of the information collection.</w:t>
      </w:r>
    </w:p>
    <w:p w:rsidR="00B20C87" w:rsidRPr="00B20C87" w:rsidP="004679A4" w14:paraId="6ABA7F0E" w14:textId="77777777">
      <w:pPr>
        <w:ind w:left="1440"/>
        <w:rPr>
          <w:rFonts w:ascii="Times New Roman" w:hAnsi="Times New Roman"/>
          <w:b/>
        </w:rPr>
      </w:pPr>
    </w:p>
    <w:p w:rsidR="00C009D2" w:rsidP="004679A4" w14:paraId="0FA93B9E" w14:textId="77777777">
      <w:pPr>
        <w:numPr>
          <w:ilvl w:val="0"/>
          <w:numId w:val="10"/>
        </w:numPr>
        <w:ind w:left="1440" w:hanging="720"/>
        <w:rPr>
          <w:rFonts w:ascii="Times New Roman" w:hAnsi="Times New Roman"/>
          <w:b/>
        </w:rPr>
      </w:pPr>
      <w:r>
        <w:rPr>
          <w:rFonts w:ascii="Times New Roman" w:hAnsi="Times New Roman"/>
          <w:b/>
        </w:rPr>
        <w:t>Displaying the OMB Approval Expiration Date</w:t>
      </w:r>
    </w:p>
    <w:p w:rsidR="00B20C87" w:rsidRPr="00B20C87" w:rsidP="004679A4" w14:paraId="6A60D5B7" w14:textId="77777777">
      <w:pPr>
        <w:ind w:left="1440"/>
        <w:rPr>
          <w:rFonts w:ascii="Times New Roman" w:hAnsi="Times New Roman"/>
          <w:b/>
        </w:rPr>
      </w:pPr>
      <w:r w:rsidRPr="00B20C87">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B20C87" w:rsidRPr="00B20C87" w:rsidP="004679A4" w14:paraId="1FF3CBF6" w14:textId="77777777">
      <w:pPr>
        <w:ind w:left="1440"/>
        <w:rPr>
          <w:rFonts w:ascii="Times New Roman" w:hAnsi="Times New Roman"/>
          <w:b/>
        </w:rPr>
      </w:pPr>
    </w:p>
    <w:p w:rsidR="00C009D2" w:rsidRPr="00B20C87" w:rsidP="004679A4" w14:paraId="66E46738" w14:textId="77777777">
      <w:pPr>
        <w:numPr>
          <w:ilvl w:val="0"/>
          <w:numId w:val="10"/>
        </w:numPr>
        <w:ind w:left="1440" w:hanging="720"/>
        <w:rPr>
          <w:rFonts w:ascii="Times New Roman" w:hAnsi="Times New Roman"/>
          <w:b/>
        </w:rPr>
      </w:pPr>
      <w:r w:rsidRPr="00B20C87">
        <w:rPr>
          <w:rFonts w:ascii="Times New Roman" w:hAnsi="Times New Roman"/>
          <w:b/>
        </w:rPr>
        <w:t>Exceptions to Certification Statement</w:t>
      </w:r>
    </w:p>
    <w:p w:rsidR="00B20C87" w:rsidRPr="00B20C87" w:rsidP="004679A4" w14:paraId="6358BACA" w14:textId="77777777">
      <w:pPr>
        <w:ind w:left="1440"/>
        <w:rPr>
          <w:rFonts w:ascii="Times New Roman" w:hAnsi="Times New Roman"/>
        </w:rPr>
      </w:pPr>
      <w:r w:rsidRPr="00B20C87">
        <w:rPr>
          <w:rFonts w:ascii="Times New Roman" w:hAnsi="Times New Roman"/>
        </w:rPr>
        <w:t xml:space="preserve">SSA is not requesting an exception to the certification requirements at </w:t>
      </w:r>
      <w:r w:rsidRPr="00B20C87">
        <w:rPr>
          <w:rFonts w:ascii="Times New Roman" w:hAnsi="Times New Roman"/>
          <w:i/>
        </w:rPr>
        <w:t xml:space="preserve">5 CFR 1320.9 </w:t>
      </w:r>
      <w:r w:rsidRPr="00B20C87">
        <w:rPr>
          <w:rFonts w:ascii="Times New Roman" w:hAnsi="Times New Roman"/>
        </w:rPr>
        <w:t>and related provisions at</w:t>
      </w:r>
      <w:r w:rsidRPr="00B20C87">
        <w:rPr>
          <w:rFonts w:ascii="Times New Roman" w:hAnsi="Times New Roman"/>
          <w:i/>
        </w:rPr>
        <w:t xml:space="preserve"> 5 CFR 1320.8(b)(3).</w:t>
      </w:r>
    </w:p>
    <w:p w:rsidR="00C009D2" w:rsidRPr="00B20C87" w:rsidP="00C009D2" w14:paraId="5E02C35A" w14:textId="77777777">
      <w:pPr>
        <w:ind w:left="410"/>
        <w:rPr>
          <w:rFonts w:ascii="Times New Roman" w:hAnsi="Times New Roman"/>
          <w:b/>
          <w:u w:val="single"/>
        </w:rPr>
      </w:pPr>
    </w:p>
    <w:p w:rsidR="00C009D2" w:rsidRPr="00B20C87" w:rsidP="004679A4" w14:paraId="2B0D4A15" w14:textId="77777777">
      <w:pPr>
        <w:numPr>
          <w:ilvl w:val="0"/>
          <w:numId w:val="9"/>
        </w:numPr>
        <w:ind w:left="720" w:hanging="540"/>
        <w:rPr>
          <w:rFonts w:ascii="Times New Roman" w:hAnsi="Times New Roman"/>
          <w:b/>
          <w:u w:val="single"/>
        </w:rPr>
      </w:pPr>
      <w:r w:rsidRPr="00B20C87">
        <w:rPr>
          <w:rFonts w:ascii="Times New Roman" w:hAnsi="Times New Roman"/>
          <w:b/>
          <w:bCs/>
          <w:snapToGrid/>
          <w:szCs w:val="20"/>
          <w:u w:val="single"/>
        </w:rPr>
        <w:t>Collections of Information Employing Statistical Methods</w:t>
      </w:r>
    </w:p>
    <w:p w:rsidR="00B20C87" w:rsidRPr="00B20C87" w:rsidP="00B20C87" w14:paraId="37DFE12B" w14:textId="77777777">
      <w:pPr>
        <w:ind w:left="410"/>
        <w:rPr>
          <w:rFonts w:ascii="Times New Roman" w:hAnsi="Times New Roman"/>
          <w:bCs/>
          <w:snapToGrid/>
          <w:szCs w:val="20"/>
          <w:u w:val="single"/>
        </w:rPr>
      </w:pPr>
    </w:p>
    <w:p w:rsidR="00A45D82" w:rsidRPr="00B20C87" w:rsidP="004679A4" w14:paraId="22CE0AC9" w14:textId="77777777">
      <w:pPr>
        <w:ind w:left="1440"/>
        <w:rPr>
          <w:rFonts w:ascii="Times New Roman" w:hAnsi="Times New Roman"/>
          <w:b/>
          <w:u w:val="single"/>
        </w:rPr>
      </w:pPr>
      <w:r w:rsidRPr="00B20C87">
        <w:rPr>
          <w:rFonts w:ascii="Times New Roman" w:hAnsi="Times New Roman"/>
          <w:bCs/>
          <w:iCs/>
        </w:rPr>
        <w:t>SSA does not use statistical methods for this information collection.</w:t>
      </w:r>
    </w:p>
    <w:sectPr w:rsidSect="00467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EB2DD8"/>
    <w:multiLevelType w:val="hybridMultilevel"/>
    <w:tmpl w:val="0512FF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737100"/>
    <w:multiLevelType w:val="hybridMultilevel"/>
    <w:tmpl w:val="BB16B22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3928735B"/>
    <w:multiLevelType w:val="hybridMultilevel"/>
    <w:tmpl w:val="26002E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6335BC"/>
    <w:multiLevelType w:val="hybridMultilevel"/>
    <w:tmpl w:val="59BC05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55230BD"/>
    <w:multiLevelType w:val="hybridMultilevel"/>
    <w:tmpl w:val="9D08B9FA"/>
    <w:lvl w:ilvl="0">
      <w:start w:val="1"/>
      <w:numFmt w:val="decimal"/>
      <w:lvlText w:val="%1."/>
      <w:lvlJc w:val="left"/>
      <w:pPr>
        <w:ind w:left="1080" w:hanging="360"/>
      </w:pPr>
      <w:rPr>
        <w:rFonts w:hint="default"/>
        <w:b/>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B43A6A"/>
    <w:multiLevelType w:val="hybridMultilevel"/>
    <w:tmpl w:val="AB463486"/>
    <w:lvl w:ilvl="0">
      <w:start w:val="1"/>
      <w:numFmt w:val="upperLetter"/>
      <w:lvlText w:val="%1."/>
      <w:lvlJc w:val="left"/>
      <w:pPr>
        <w:ind w:left="410" w:hanging="41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7">
    <w:nsid w:val="5FF45327"/>
    <w:multiLevelType w:val="hybridMultilevel"/>
    <w:tmpl w:val="79760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1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1">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12">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3">
    <w:nsid w:val="7EA12918"/>
    <w:multiLevelType w:val="hybridMultilevel"/>
    <w:tmpl w:val="79760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2104887">
    <w:abstractNumId w:val="11"/>
  </w:num>
  <w:num w:numId="2" w16cid:durableId="1175261716">
    <w:abstractNumId w:val="4"/>
  </w:num>
  <w:num w:numId="3" w16cid:durableId="658920846">
    <w:abstractNumId w:val="1"/>
  </w:num>
  <w:num w:numId="4" w16cid:durableId="49766052">
    <w:abstractNumId w:val="9"/>
  </w:num>
  <w:num w:numId="5" w16cid:durableId="89936079">
    <w:abstractNumId w:val="8"/>
  </w:num>
  <w:num w:numId="6" w16cid:durableId="203059404">
    <w:abstractNumId w:val="6"/>
  </w:num>
  <w:num w:numId="7" w16cid:durableId="988707970">
    <w:abstractNumId w:val="12"/>
  </w:num>
  <w:num w:numId="8" w16cid:durableId="312374505">
    <w:abstractNumId w:val="10"/>
  </w:num>
  <w:num w:numId="9" w16cid:durableId="239019673">
    <w:abstractNumId w:val="5"/>
  </w:num>
  <w:num w:numId="10" w16cid:durableId="1180390006">
    <w:abstractNumId w:val="0"/>
  </w:num>
  <w:num w:numId="11" w16cid:durableId="974915843">
    <w:abstractNumId w:val="3"/>
  </w:num>
  <w:num w:numId="12" w16cid:durableId="1347827469">
    <w:abstractNumId w:val="2"/>
  </w:num>
  <w:num w:numId="13" w16cid:durableId="1170174339">
    <w:abstractNumId w:val="13"/>
  </w:num>
  <w:num w:numId="14" w16cid:durableId="88802805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3251B"/>
    <w:rsid w:val="0003699C"/>
    <w:rsid w:val="0004142A"/>
    <w:rsid w:val="000440DB"/>
    <w:rsid w:val="00061830"/>
    <w:rsid w:val="00063A05"/>
    <w:rsid w:val="0006715D"/>
    <w:rsid w:val="0007189E"/>
    <w:rsid w:val="00077720"/>
    <w:rsid w:val="00077E0E"/>
    <w:rsid w:val="00081058"/>
    <w:rsid w:val="00086E84"/>
    <w:rsid w:val="0008736C"/>
    <w:rsid w:val="000910E5"/>
    <w:rsid w:val="0009475E"/>
    <w:rsid w:val="000958AA"/>
    <w:rsid w:val="000A6AE3"/>
    <w:rsid w:val="000B2B68"/>
    <w:rsid w:val="000B3B12"/>
    <w:rsid w:val="000C151C"/>
    <w:rsid w:val="000C1D18"/>
    <w:rsid w:val="000D327B"/>
    <w:rsid w:val="000D35B7"/>
    <w:rsid w:val="000D5F5C"/>
    <w:rsid w:val="000E4167"/>
    <w:rsid w:val="001037FF"/>
    <w:rsid w:val="001069B5"/>
    <w:rsid w:val="00114DD2"/>
    <w:rsid w:val="00121032"/>
    <w:rsid w:val="00122EE2"/>
    <w:rsid w:val="00127980"/>
    <w:rsid w:val="00146275"/>
    <w:rsid w:val="0015576E"/>
    <w:rsid w:val="00192897"/>
    <w:rsid w:val="001A0498"/>
    <w:rsid w:val="001A0CAB"/>
    <w:rsid w:val="001A3317"/>
    <w:rsid w:val="001A65F9"/>
    <w:rsid w:val="001B1FC2"/>
    <w:rsid w:val="001B7CF4"/>
    <w:rsid w:val="001C03A7"/>
    <w:rsid w:val="001C2D76"/>
    <w:rsid w:val="001C6D3A"/>
    <w:rsid w:val="001D0B21"/>
    <w:rsid w:val="001E1076"/>
    <w:rsid w:val="001F396F"/>
    <w:rsid w:val="001F54CB"/>
    <w:rsid w:val="00202C06"/>
    <w:rsid w:val="0021052D"/>
    <w:rsid w:val="002321B0"/>
    <w:rsid w:val="00246836"/>
    <w:rsid w:val="00254AE9"/>
    <w:rsid w:val="00256786"/>
    <w:rsid w:val="0026052B"/>
    <w:rsid w:val="00276AAF"/>
    <w:rsid w:val="002801F8"/>
    <w:rsid w:val="00281143"/>
    <w:rsid w:val="00284150"/>
    <w:rsid w:val="002A4C30"/>
    <w:rsid w:val="002B0820"/>
    <w:rsid w:val="002B5578"/>
    <w:rsid w:val="002C2A75"/>
    <w:rsid w:val="002E18CF"/>
    <w:rsid w:val="002F0BB8"/>
    <w:rsid w:val="002F1C11"/>
    <w:rsid w:val="002F3C8F"/>
    <w:rsid w:val="002F4DA7"/>
    <w:rsid w:val="002F719A"/>
    <w:rsid w:val="00302545"/>
    <w:rsid w:val="00331821"/>
    <w:rsid w:val="00333555"/>
    <w:rsid w:val="00333D3D"/>
    <w:rsid w:val="0033761C"/>
    <w:rsid w:val="003465DC"/>
    <w:rsid w:val="003469CA"/>
    <w:rsid w:val="00352833"/>
    <w:rsid w:val="0036696D"/>
    <w:rsid w:val="0038050B"/>
    <w:rsid w:val="00387F11"/>
    <w:rsid w:val="003A36E3"/>
    <w:rsid w:val="003B15EC"/>
    <w:rsid w:val="003B30B4"/>
    <w:rsid w:val="003B5D2E"/>
    <w:rsid w:val="003C10BD"/>
    <w:rsid w:val="003D484D"/>
    <w:rsid w:val="003E145C"/>
    <w:rsid w:val="00405548"/>
    <w:rsid w:val="0041131C"/>
    <w:rsid w:val="00426997"/>
    <w:rsid w:val="0043363B"/>
    <w:rsid w:val="00447EE9"/>
    <w:rsid w:val="0045065A"/>
    <w:rsid w:val="004509AD"/>
    <w:rsid w:val="004679A4"/>
    <w:rsid w:val="00475350"/>
    <w:rsid w:val="00481B44"/>
    <w:rsid w:val="00484662"/>
    <w:rsid w:val="004915B5"/>
    <w:rsid w:val="00497248"/>
    <w:rsid w:val="004A4DAB"/>
    <w:rsid w:val="004A607F"/>
    <w:rsid w:val="004B752A"/>
    <w:rsid w:val="004D2105"/>
    <w:rsid w:val="004E146D"/>
    <w:rsid w:val="0050197F"/>
    <w:rsid w:val="005040EC"/>
    <w:rsid w:val="00506486"/>
    <w:rsid w:val="005176F1"/>
    <w:rsid w:val="005300B0"/>
    <w:rsid w:val="0054073C"/>
    <w:rsid w:val="0055509A"/>
    <w:rsid w:val="0056163C"/>
    <w:rsid w:val="00564554"/>
    <w:rsid w:val="005721D4"/>
    <w:rsid w:val="00582357"/>
    <w:rsid w:val="00584CC3"/>
    <w:rsid w:val="00593A36"/>
    <w:rsid w:val="00594CB3"/>
    <w:rsid w:val="005A1198"/>
    <w:rsid w:val="005B15E5"/>
    <w:rsid w:val="005C0B8F"/>
    <w:rsid w:val="005C2C39"/>
    <w:rsid w:val="005D1744"/>
    <w:rsid w:val="005D4107"/>
    <w:rsid w:val="005F208A"/>
    <w:rsid w:val="006002DD"/>
    <w:rsid w:val="006009B1"/>
    <w:rsid w:val="006013A3"/>
    <w:rsid w:val="006160ED"/>
    <w:rsid w:val="00626C22"/>
    <w:rsid w:val="0062747C"/>
    <w:rsid w:val="00631F1B"/>
    <w:rsid w:val="0063304D"/>
    <w:rsid w:val="00637AF5"/>
    <w:rsid w:val="00640A26"/>
    <w:rsid w:val="00654E75"/>
    <w:rsid w:val="00660E56"/>
    <w:rsid w:val="00663881"/>
    <w:rsid w:val="00663FD4"/>
    <w:rsid w:val="00664553"/>
    <w:rsid w:val="006806E1"/>
    <w:rsid w:val="006818A8"/>
    <w:rsid w:val="0069667B"/>
    <w:rsid w:val="00696E03"/>
    <w:rsid w:val="006A0CBC"/>
    <w:rsid w:val="006A1137"/>
    <w:rsid w:val="006B173F"/>
    <w:rsid w:val="006B17EF"/>
    <w:rsid w:val="006B297F"/>
    <w:rsid w:val="006C0F9E"/>
    <w:rsid w:val="006C56DF"/>
    <w:rsid w:val="006F2B8B"/>
    <w:rsid w:val="006F4D0F"/>
    <w:rsid w:val="00704A20"/>
    <w:rsid w:val="00712F1B"/>
    <w:rsid w:val="0071553D"/>
    <w:rsid w:val="007245C9"/>
    <w:rsid w:val="007256B3"/>
    <w:rsid w:val="00742B56"/>
    <w:rsid w:val="00742FD1"/>
    <w:rsid w:val="00745462"/>
    <w:rsid w:val="00750B29"/>
    <w:rsid w:val="00757293"/>
    <w:rsid w:val="00762306"/>
    <w:rsid w:val="00795BAB"/>
    <w:rsid w:val="007969AF"/>
    <w:rsid w:val="007A08D1"/>
    <w:rsid w:val="007A2DEE"/>
    <w:rsid w:val="007B007C"/>
    <w:rsid w:val="007C4423"/>
    <w:rsid w:val="007D0553"/>
    <w:rsid w:val="007D061D"/>
    <w:rsid w:val="007D22EB"/>
    <w:rsid w:val="007E1082"/>
    <w:rsid w:val="007E17BD"/>
    <w:rsid w:val="007E24C1"/>
    <w:rsid w:val="007E39D1"/>
    <w:rsid w:val="007F0450"/>
    <w:rsid w:val="00802C46"/>
    <w:rsid w:val="00806984"/>
    <w:rsid w:val="00810485"/>
    <w:rsid w:val="00814772"/>
    <w:rsid w:val="00824D72"/>
    <w:rsid w:val="00825B97"/>
    <w:rsid w:val="008377F9"/>
    <w:rsid w:val="0084775D"/>
    <w:rsid w:val="0086463A"/>
    <w:rsid w:val="008709DE"/>
    <w:rsid w:val="008754ED"/>
    <w:rsid w:val="00877576"/>
    <w:rsid w:val="00891CA8"/>
    <w:rsid w:val="00892E12"/>
    <w:rsid w:val="008B6774"/>
    <w:rsid w:val="008D158E"/>
    <w:rsid w:val="008E3A3A"/>
    <w:rsid w:val="008F61F8"/>
    <w:rsid w:val="00906892"/>
    <w:rsid w:val="00914270"/>
    <w:rsid w:val="009252AB"/>
    <w:rsid w:val="00951258"/>
    <w:rsid w:val="00952C5B"/>
    <w:rsid w:val="00955318"/>
    <w:rsid w:val="00955EC4"/>
    <w:rsid w:val="009748B6"/>
    <w:rsid w:val="00975DD8"/>
    <w:rsid w:val="009A0B16"/>
    <w:rsid w:val="009A2CC4"/>
    <w:rsid w:val="009E08D4"/>
    <w:rsid w:val="009E3C50"/>
    <w:rsid w:val="009E7144"/>
    <w:rsid w:val="009F23D6"/>
    <w:rsid w:val="009F7BB3"/>
    <w:rsid w:val="00A119A1"/>
    <w:rsid w:val="00A337E4"/>
    <w:rsid w:val="00A33C65"/>
    <w:rsid w:val="00A34222"/>
    <w:rsid w:val="00A45D82"/>
    <w:rsid w:val="00A651A7"/>
    <w:rsid w:val="00A67D76"/>
    <w:rsid w:val="00A706B8"/>
    <w:rsid w:val="00A755BD"/>
    <w:rsid w:val="00A93D12"/>
    <w:rsid w:val="00AA06A4"/>
    <w:rsid w:val="00AA0858"/>
    <w:rsid w:val="00AA0C27"/>
    <w:rsid w:val="00AA7B2D"/>
    <w:rsid w:val="00AB003D"/>
    <w:rsid w:val="00AB0CA7"/>
    <w:rsid w:val="00AC39FD"/>
    <w:rsid w:val="00AC4184"/>
    <w:rsid w:val="00AD0977"/>
    <w:rsid w:val="00AE0527"/>
    <w:rsid w:val="00AF01F8"/>
    <w:rsid w:val="00AF14F8"/>
    <w:rsid w:val="00AF3BEA"/>
    <w:rsid w:val="00B007C5"/>
    <w:rsid w:val="00B01B7D"/>
    <w:rsid w:val="00B01D57"/>
    <w:rsid w:val="00B126F5"/>
    <w:rsid w:val="00B20C87"/>
    <w:rsid w:val="00B31C87"/>
    <w:rsid w:val="00B5599E"/>
    <w:rsid w:val="00B577A4"/>
    <w:rsid w:val="00B741F6"/>
    <w:rsid w:val="00B9056D"/>
    <w:rsid w:val="00B92550"/>
    <w:rsid w:val="00BA005C"/>
    <w:rsid w:val="00BA1653"/>
    <w:rsid w:val="00BA401A"/>
    <w:rsid w:val="00BB5E26"/>
    <w:rsid w:val="00BC5531"/>
    <w:rsid w:val="00BC7F42"/>
    <w:rsid w:val="00BD21AC"/>
    <w:rsid w:val="00BD2BAE"/>
    <w:rsid w:val="00BD79B9"/>
    <w:rsid w:val="00BF026F"/>
    <w:rsid w:val="00BF0CFF"/>
    <w:rsid w:val="00BF3618"/>
    <w:rsid w:val="00C009D2"/>
    <w:rsid w:val="00C0290B"/>
    <w:rsid w:val="00C22097"/>
    <w:rsid w:val="00C24C67"/>
    <w:rsid w:val="00C25FDC"/>
    <w:rsid w:val="00C34A91"/>
    <w:rsid w:val="00C36D0F"/>
    <w:rsid w:val="00C3713A"/>
    <w:rsid w:val="00C377BC"/>
    <w:rsid w:val="00C40CE6"/>
    <w:rsid w:val="00C5104E"/>
    <w:rsid w:val="00C5266C"/>
    <w:rsid w:val="00C60E61"/>
    <w:rsid w:val="00C67C8A"/>
    <w:rsid w:val="00C67F83"/>
    <w:rsid w:val="00C941E2"/>
    <w:rsid w:val="00C947D7"/>
    <w:rsid w:val="00CA0B15"/>
    <w:rsid w:val="00CA5F75"/>
    <w:rsid w:val="00CA6CAE"/>
    <w:rsid w:val="00CB7253"/>
    <w:rsid w:val="00CB7557"/>
    <w:rsid w:val="00CD07B4"/>
    <w:rsid w:val="00CD1567"/>
    <w:rsid w:val="00CD667A"/>
    <w:rsid w:val="00CE23C1"/>
    <w:rsid w:val="00CE4AD9"/>
    <w:rsid w:val="00CF7DAD"/>
    <w:rsid w:val="00D0011E"/>
    <w:rsid w:val="00D03E8A"/>
    <w:rsid w:val="00D144D6"/>
    <w:rsid w:val="00D31C49"/>
    <w:rsid w:val="00D418D7"/>
    <w:rsid w:val="00D42EFE"/>
    <w:rsid w:val="00D44900"/>
    <w:rsid w:val="00D4580E"/>
    <w:rsid w:val="00D5531A"/>
    <w:rsid w:val="00D678F8"/>
    <w:rsid w:val="00D9407D"/>
    <w:rsid w:val="00DA1595"/>
    <w:rsid w:val="00DA27BB"/>
    <w:rsid w:val="00DA5628"/>
    <w:rsid w:val="00DB1DB4"/>
    <w:rsid w:val="00DC72FE"/>
    <w:rsid w:val="00DD494D"/>
    <w:rsid w:val="00DD4C6C"/>
    <w:rsid w:val="00DE6186"/>
    <w:rsid w:val="00DF4384"/>
    <w:rsid w:val="00E0137B"/>
    <w:rsid w:val="00E065DA"/>
    <w:rsid w:val="00E2454F"/>
    <w:rsid w:val="00E3164F"/>
    <w:rsid w:val="00E437C5"/>
    <w:rsid w:val="00E75DB0"/>
    <w:rsid w:val="00E80456"/>
    <w:rsid w:val="00E956F3"/>
    <w:rsid w:val="00EC414E"/>
    <w:rsid w:val="00EC61E3"/>
    <w:rsid w:val="00EC7EFD"/>
    <w:rsid w:val="00ED36D8"/>
    <w:rsid w:val="00EE6086"/>
    <w:rsid w:val="00EF4071"/>
    <w:rsid w:val="00EF765F"/>
    <w:rsid w:val="00F028DE"/>
    <w:rsid w:val="00F0585C"/>
    <w:rsid w:val="00F05BC7"/>
    <w:rsid w:val="00F107B7"/>
    <w:rsid w:val="00F11F57"/>
    <w:rsid w:val="00F14BA8"/>
    <w:rsid w:val="00F15EF8"/>
    <w:rsid w:val="00F17F2E"/>
    <w:rsid w:val="00F278B0"/>
    <w:rsid w:val="00F36E53"/>
    <w:rsid w:val="00F4316C"/>
    <w:rsid w:val="00F46176"/>
    <w:rsid w:val="00F5149E"/>
    <w:rsid w:val="00F56A74"/>
    <w:rsid w:val="00F57AD9"/>
    <w:rsid w:val="00F7277F"/>
    <w:rsid w:val="00F832E5"/>
    <w:rsid w:val="00F870A3"/>
    <w:rsid w:val="00F87928"/>
    <w:rsid w:val="00F91762"/>
    <w:rsid w:val="00F9405B"/>
    <w:rsid w:val="00FA0FE2"/>
    <w:rsid w:val="00FA34E8"/>
    <w:rsid w:val="00FA7D4E"/>
    <w:rsid w:val="00FB1732"/>
    <w:rsid w:val="00FD549D"/>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EF4BF0"/>
  <w15:chartTrackingRefBased/>
  <w15:docId w15:val="{2547E174-A7CE-420E-BF66-2BF4673C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 w:type="paragraph" w:customStyle="1" w:styleId="Default">
    <w:name w:val="Default"/>
    <w:rsid w:val="006C0F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755BD"/>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OLCA Comment</cp:lastModifiedBy>
  <cp:revision>2</cp:revision>
  <dcterms:created xsi:type="dcterms:W3CDTF">2023-09-12T18:43:00Z</dcterms:created>
  <dcterms:modified xsi:type="dcterms:W3CDTF">2023-09-12T18:43:00Z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1393901436</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0960-0525 Passback</vt:lpwstr>
  </property>
  <property fmtid="{D5CDD505-2E9C-101B-9397-08002B2CF9AE}" pid="6" name="_NewReviewCycle">
    <vt:lpwstr/>
  </property>
  <property fmtid="{D5CDD505-2E9C-101B-9397-08002B2CF9AE}" pid="7" name="_PreviousAdHocReviewCycleID">
    <vt:i4>-1096083421</vt:i4>
  </property>
  <property fmtid="{D5CDD505-2E9C-101B-9397-08002B2CF9AE}" pid="8" name="_ReviewingToolsShownOnce">
    <vt:lpwstr/>
  </property>
</Properties>
</file>