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C4D" w:rsidR="002E29B6" w:rsidP="002E29B6" w:rsidRDefault="00FE2443" w14:paraId="37B912F9" w14:textId="7EBB84BF">
      <w:pPr>
        <w:jc w:val="center"/>
        <w:rPr>
          <w:b/>
          <w:sz w:val="28"/>
          <w:szCs w:val="28"/>
        </w:rPr>
      </w:pPr>
      <w:bookmarkStart w:name="_Hlk30159316" w:id="0"/>
      <w:r>
        <w:rPr>
          <w:b/>
          <w:sz w:val="28"/>
          <w:szCs w:val="28"/>
        </w:rPr>
        <w:t xml:space="preserve">Medical Monitoring </w:t>
      </w:r>
      <w:r w:rsidR="006F3C33">
        <w:rPr>
          <w:b/>
          <w:sz w:val="28"/>
          <w:szCs w:val="28"/>
        </w:rPr>
        <w:t>Project</w:t>
      </w:r>
      <w:r>
        <w:rPr>
          <w:b/>
          <w:sz w:val="28"/>
          <w:szCs w:val="28"/>
        </w:rPr>
        <w:t xml:space="preserve"> Facility Survey</w:t>
      </w:r>
      <w:r w:rsidRPr="001A5C4D" w:rsidR="002E29B6">
        <w:rPr>
          <w:b/>
          <w:sz w:val="28"/>
          <w:szCs w:val="28"/>
        </w:rPr>
        <w:t xml:space="preserve"> </w:t>
      </w:r>
    </w:p>
    <w:bookmarkEnd w:id="0"/>
    <w:p w:rsidR="00D6492D" w:rsidP="002E29B6" w:rsidRDefault="00D6492D" w14:paraId="0C564627" w14:textId="77777777">
      <w:pPr>
        <w:jc w:val="center"/>
      </w:pPr>
    </w:p>
    <w:p w:rsidR="00D6492D" w:rsidP="002E29B6" w:rsidRDefault="00D6492D" w14:paraId="4F2272C4" w14:textId="77777777">
      <w:pPr>
        <w:jc w:val="center"/>
      </w:pPr>
    </w:p>
    <w:p w:rsidR="00D6492D" w:rsidP="002E29B6" w:rsidRDefault="00D6492D" w14:paraId="5DDF79D8" w14:textId="77777777">
      <w:pPr>
        <w:jc w:val="center"/>
      </w:pPr>
    </w:p>
    <w:p w:rsidR="00D6492D" w:rsidP="002E29B6" w:rsidRDefault="00D6492D" w14:paraId="2CA05355" w14:textId="77777777">
      <w:pPr>
        <w:jc w:val="center"/>
      </w:pPr>
    </w:p>
    <w:p w:rsidR="00D6492D" w:rsidP="002E29B6" w:rsidRDefault="00D6492D" w14:paraId="126A5E55" w14:textId="77777777">
      <w:pPr>
        <w:jc w:val="center"/>
      </w:pPr>
    </w:p>
    <w:p w:rsidR="007B116B" w:rsidP="002E29B6" w:rsidRDefault="007B116B" w14:paraId="5219B7BE" w14:textId="12AD25D5">
      <w:pPr>
        <w:jc w:val="center"/>
      </w:pPr>
      <w:r>
        <w:t xml:space="preserve">OMB Control Number: </w:t>
      </w:r>
      <w:r w:rsidR="00D6492D">
        <w:t>0920-New</w:t>
      </w:r>
    </w:p>
    <w:p w:rsidR="001A5C4D" w:rsidP="002E29B6" w:rsidRDefault="001A5C4D" w14:paraId="3FAAD355" w14:textId="77777777">
      <w:pPr>
        <w:jc w:val="center"/>
      </w:pPr>
    </w:p>
    <w:p w:rsidR="001A5C4D" w:rsidP="002E29B6" w:rsidRDefault="001A5C4D" w14:paraId="177A3F85" w14:textId="77777777">
      <w:pPr>
        <w:jc w:val="center"/>
      </w:pPr>
    </w:p>
    <w:p w:rsidR="000C10CC" w:rsidP="008F7093" w:rsidRDefault="008F7093" w14:paraId="38393413" w14:textId="77777777">
      <w:pPr>
        <w:jc w:val="center"/>
        <w:rPr>
          <w:b/>
        </w:rPr>
      </w:pPr>
      <w:r w:rsidRPr="00CA164C">
        <w:rPr>
          <w:b/>
        </w:rPr>
        <w:t xml:space="preserve">Supporting </w:t>
      </w:r>
      <w:r w:rsidRPr="00CA164C" w:rsidR="00443001">
        <w:rPr>
          <w:b/>
        </w:rPr>
        <w:t>Statement</w:t>
      </w:r>
      <w:r w:rsidR="00443001">
        <w:rPr>
          <w:b/>
        </w:rPr>
        <w:t xml:space="preserve"> A</w:t>
      </w:r>
      <w:r w:rsidR="00E272AE">
        <w:rPr>
          <w:b/>
        </w:rPr>
        <w:t xml:space="preserve"> </w:t>
      </w:r>
      <w:r w:rsidR="00023634">
        <w:rPr>
          <w:b/>
        </w:rPr>
        <w:t xml:space="preserve"> </w:t>
      </w:r>
    </w:p>
    <w:p w:rsidRPr="00CA164C" w:rsidR="008F7093" w:rsidP="008F7093" w:rsidRDefault="00E272AE" w14:paraId="058F8357" w14:textId="77777777">
      <w:pPr>
        <w:jc w:val="center"/>
        <w:rPr>
          <w:b/>
        </w:rPr>
      </w:pPr>
      <w:r>
        <w:rPr>
          <w:b/>
        </w:rPr>
        <w:t xml:space="preserve"> </w:t>
      </w:r>
    </w:p>
    <w:p w:rsidR="008F7093" w:rsidP="008F7093" w:rsidRDefault="008F7093" w14:paraId="6DAE4A30" w14:textId="77777777"/>
    <w:p w:rsidR="008F7093" w:rsidP="008F7093" w:rsidRDefault="00904FE1" w14:paraId="702478F1" w14:textId="7E37E5E0">
      <w:pPr>
        <w:jc w:val="center"/>
      </w:pPr>
      <w:r>
        <w:t>February 1</w:t>
      </w:r>
      <w:r w:rsidR="00D716BD">
        <w:t>, 2021</w:t>
      </w:r>
    </w:p>
    <w:p w:rsidR="008F7093" w:rsidP="008F7093" w:rsidRDefault="008F7093" w14:paraId="4240ACFD" w14:textId="77777777"/>
    <w:p w:rsidR="008F7093" w:rsidP="008F7093" w:rsidRDefault="008F7093" w14:paraId="46392E11" w14:textId="77777777"/>
    <w:p w:rsidR="002E29B6" w:rsidP="00B407C2" w:rsidRDefault="002E29B6" w14:paraId="1AA918F2" w14:textId="77777777">
      <w:pPr>
        <w:jc w:val="center"/>
      </w:pPr>
    </w:p>
    <w:p w:rsidR="002E29B6" w:rsidP="00B407C2" w:rsidRDefault="002E29B6" w14:paraId="642EBC6D" w14:textId="77777777">
      <w:pPr>
        <w:jc w:val="center"/>
      </w:pPr>
    </w:p>
    <w:p w:rsidR="002E29B6" w:rsidRDefault="002E29B6" w14:paraId="6FFF8A7F" w14:textId="77777777"/>
    <w:p w:rsidRPr="00E411DA" w:rsidR="002E29B6" w:rsidP="00B407C2" w:rsidRDefault="00FE2443" w14:paraId="39710F5E" w14:textId="5E23056B">
      <w:pPr>
        <w:jc w:val="center"/>
        <w:rPr>
          <w:lang w:bidi="te-IN"/>
        </w:rPr>
      </w:pPr>
      <w:r>
        <w:rPr>
          <w:lang w:bidi="te-IN"/>
        </w:rPr>
        <w:t>R. Luke Shouse</w:t>
      </w:r>
      <w:r w:rsidR="00CF2AF9">
        <w:rPr>
          <w:lang w:bidi="te-IN"/>
        </w:rPr>
        <w:t>, M</w:t>
      </w:r>
      <w:r>
        <w:rPr>
          <w:lang w:bidi="te-IN"/>
        </w:rPr>
        <w:t>D</w:t>
      </w:r>
      <w:r w:rsidR="00221076">
        <w:rPr>
          <w:lang w:bidi="te-IN"/>
        </w:rPr>
        <w:t>, MPH</w:t>
      </w:r>
    </w:p>
    <w:p w:rsidRPr="00E411DA" w:rsidR="002E29B6" w:rsidP="00B407C2" w:rsidRDefault="00221076" w14:paraId="41674BE9" w14:textId="4D13A9C8">
      <w:pPr>
        <w:jc w:val="center"/>
        <w:rPr>
          <w:lang w:bidi="te-IN"/>
        </w:rPr>
      </w:pPr>
      <w:r>
        <w:rPr>
          <w:lang w:bidi="te-IN"/>
        </w:rPr>
        <w:t>Physician</w:t>
      </w:r>
      <w:r w:rsidRPr="00E411DA" w:rsidR="002E29B6">
        <w:rPr>
          <w:lang w:bidi="te-IN"/>
        </w:rPr>
        <w:t>,</w:t>
      </w:r>
    </w:p>
    <w:p w:rsidRPr="00E411DA" w:rsidR="002E29B6" w:rsidP="00B407C2" w:rsidRDefault="002E29B6" w14:paraId="32D7FD6A" w14:textId="0D820EA9">
      <w:pPr>
        <w:jc w:val="center"/>
        <w:rPr>
          <w:lang w:bidi="te-IN"/>
        </w:rPr>
      </w:pPr>
      <w:r w:rsidRPr="00E411DA">
        <w:rPr>
          <w:lang w:bidi="te-IN"/>
        </w:rPr>
        <w:t xml:space="preserve">Division of </w:t>
      </w:r>
      <w:r w:rsidR="00FE2443">
        <w:rPr>
          <w:lang w:bidi="te-IN"/>
        </w:rPr>
        <w:t>HIV/AIDS Prevention</w:t>
      </w:r>
    </w:p>
    <w:p w:rsidRPr="00E411DA" w:rsidR="002E29B6" w:rsidP="00B407C2" w:rsidRDefault="002E29B6" w14:paraId="2321A832" w14:textId="77777777">
      <w:pPr>
        <w:jc w:val="center"/>
        <w:rPr>
          <w:lang w:bidi="te-IN"/>
        </w:rPr>
      </w:pPr>
      <w:r w:rsidRPr="00E411DA">
        <w:rPr>
          <w:lang w:bidi="te-IN"/>
        </w:rPr>
        <w:t>Centers for Disease Control and Prevention</w:t>
      </w:r>
    </w:p>
    <w:p w:rsidRPr="00E411DA" w:rsidR="002E29B6" w:rsidP="00B407C2" w:rsidRDefault="002E29B6" w14:paraId="5D3E5417" w14:textId="77777777">
      <w:pPr>
        <w:jc w:val="center"/>
        <w:rPr>
          <w:lang w:bidi="te-IN"/>
        </w:rPr>
      </w:pPr>
    </w:p>
    <w:p w:rsidRPr="00E411DA" w:rsidR="002E29B6" w:rsidP="00B407C2" w:rsidRDefault="002E29B6" w14:paraId="3B2CCC99" w14:textId="54D68A34">
      <w:pPr>
        <w:jc w:val="center"/>
        <w:rPr>
          <w:lang w:val="fr-FR" w:bidi="te-IN"/>
        </w:rPr>
      </w:pPr>
      <w:r w:rsidRPr="00E411DA">
        <w:rPr>
          <w:lang w:val="fr-FR" w:bidi="te-IN"/>
        </w:rPr>
        <w:t>phone: 404.639.</w:t>
      </w:r>
      <w:r w:rsidR="00FE2443">
        <w:rPr>
          <w:lang w:val="fr-FR" w:bidi="te-IN"/>
        </w:rPr>
        <w:t>4678</w:t>
      </w:r>
    </w:p>
    <w:p w:rsidRPr="00E411DA" w:rsidR="002E29B6" w:rsidP="00B407C2" w:rsidRDefault="002E29B6" w14:paraId="40B1E60B" w14:textId="152588DA">
      <w:pPr>
        <w:jc w:val="center"/>
        <w:rPr>
          <w:lang w:val="fr-FR" w:bidi="te-IN"/>
        </w:rPr>
      </w:pPr>
      <w:r w:rsidRPr="00E411DA">
        <w:rPr>
          <w:lang w:val="fr-FR" w:bidi="te-IN"/>
        </w:rPr>
        <w:t>fax: 404.639.8</w:t>
      </w:r>
      <w:r w:rsidR="00FE2443">
        <w:rPr>
          <w:lang w:val="fr-FR" w:bidi="te-IN"/>
        </w:rPr>
        <w:t>640</w:t>
      </w:r>
    </w:p>
    <w:p w:rsidRPr="00E411DA" w:rsidR="002E29B6" w:rsidP="00B407C2" w:rsidRDefault="002E29B6" w14:paraId="03D31362" w14:textId="0507ADFD">
      <w:pPr>
        <w:jc w:val="center"/>
        <w:rPr>
          <w:lang w:val="fr-FR" w:bidi="te-IN"/>
        </w:rPr>
      </w:pPr>
      <w:r w:rsidRPr="00E411DA">
        <w:rPr>
          <w:lang w:val="fr-FR" w:bidi="te-IN"/>
        </w:rPr>
        <w:t xml:space="preserve">email: </w:t>
      </w:r>
      <w:r w:rsidRPr="00FE2443" w:rsidR="00FE2443">
        <w:t>zxz3@cdc.gov</w:t>
      </w:r>
    </w:p>
    <w:p w:rsidR="0027485F" w:rsidP="00B407C2" w:rsidRDefault="00E272AE" w14:paraId="539B52D8" w14:textId="77777777">
      <w:pPr>
        <w:jc w:val="center"/>
        <w:rPr>
          <w:lang w:val="fr-FR" w:bidi="te-IN"/>
        </w:rPr>
      </w:pPr>
      <w:r>
        <w:rPr>
          <w:lang w:val="fr-FR" w:bidi="te-IN"/>
        </w:rPr>
        <w:t xml:space="preserve"> </w:t>
      </w:r>
    </w:p>
    <w:p w:rsidR="00E272AE" w:rsidP="00B407C2" w:rsidRDefault="00E272AE" w14:paraId="08C603CF" w14:textId="77777777">
      <w:pPr>
        <w:jc w:val="center"/>
        <w:rPr>
          <w:lang w:val="fr-FR" w:bidi="te-IN"/>
        </w:rPr>
      </w:pPr>
    </w:p>
    <w:p w:rsidRPr="0024788D" w:rsidR="002E29B6" w:rsidP="00B407C2" w:rsidRDefault="002E29B6" w14:paraId="2F8CDFC9" w14:textId="77777777">
      <w:pPr>
        <w:rPr>
          <w:rFonts w:ascii="Courier New" w:hAnsi="Courier New" w:cs="Courier New"/>
          <w:lang w:val="fr-FR"/>
        </w:rPr>
      </w:pPr>
    </w:p>
    <w:p w:rsidRPr="002E29B6" w:rsidR="008F7093" w:rsidP="008F7093" w:rsidRDefault="008F7093" w14:paraId="4A71F5B7" w14:textId="77777777">
      <w:pPr>
        <w:rPr>
          <w:lang w:val="fr-FR"/>
        </w:rPr>
      </w:pPr>
    </w:p>
    <w:p w:rsidRPr="002E29B6" w:rsidR="008F7093" w:rsidP="008F7093" w:rsidRDefault="008F7093" w14:paraId="10EC4334" w14:textId="77777777">
      <w:pPr>
        <w:rPr>
          <w:lang w:val="fr-FR"/>
        </w:rPr>
      </w:pPr>
    </w:p>
    <w:p w:rsidRPr="002E29B6" w:rsidR="008F7093" w:rsidP="008F7093" w:rsidRDefault="008F7093" w14:paraId="52DACD93" w14:textId="77777777">
      <w:pPr>
        <w:rPr>
          <w:lang w:val="fr-FR"/>
        </w:rPr>
      </w:pPr>
    </w:p>
    <w:p w:rsidRPr="002E29B6" w:rsidR="008F7093" w:rsidP="008F7093" w:rsidRDefault="008F7093" w14:paraId="2F0D5646" w14:textId="77777777">
      <w:pPr>
        <w:rPr>
          <w:lang w:val="fr-FR"/>
        </w:rPr>
      </w:pPr>
    </w:p>
    <w:p w:rsidRPr="002E29B6" w:rsidR="008F7093" w:rsidP="008F7093" w:rsidRDefault="008F7093" w14:paraId="2DB3750D" w14:textId="77777777">
      <w:pPr>
        <w:rPr>
          <w:lang w:val="fr-FR"/>
        </w:rPr>
      </w:pPr>
    </w:p>
    <w:p w:rsidRPr="002E29B6" w:rsidR="008F7093" w:rsidP="008F7093" w:rsidRDefault="008F7093" w14:paraId="589E4159" w14:textId="77777777">
      <w:pPr>
        <w:rPr>
          <w:lang w:val="fr-FR"/>
        </w:rPr>
      </w:pPr>
    </w:p>
    <w:p w:rsidRPr="002E29B6" w:rsidR="008F7093" w:rsidP="008F7093" w:rsidRDefault="008F7093" w14:paraId="4A3DD410" w14:textId="77777777">
      <w:pPr>
        <w:rPr>
          <w:lang w:val="fr-FR"/>
        </w:rPr>
      </w:pPr>
    </w:p>
    <w:p w:rsidRPr="002E29B6" w:rsidR="008F7093" w:rsidP="008F7093" w:rsidRDefault="008F7093" w14:paraId="40FD56C2" w14:textId="77777777">
      <w:pPr>
        <w:rPr>
          <w:lang w:val="fr-FR"/>
        </w:rPr>
      </w:pPr>
    </w:p>
    <w:p w:rsidRPr="002E29B6" w:rsidR="008F7093" w:rsidP="008F7093" w:rsidRDefault="008F7093" w14:paraId="51F62E5C" w14:textId="77777777">
      <w:pPr>
        <w:rPr>
          <w:lang w:val="fr-FR"/>
        </w:rPr>
      </w:pPr>
    </w:p>
    <w:p w:rsidRPr="002E29B6" w:rsidR="008F7093" w:rsidP="008F7093" w:rsidRDefault="008F7093" w14:paraId="6C5D701D" w14:textId="77777777">
      <w:pPr>
        <w:rPr>
          <w:lang w:val="fr-FR"/>
        </w:rPr>
      </w:pPr>
    </w:p>
    <w:p w:rsidRPr="002E29B6" w:rsidR="008F7093" w:rsidP="008F7093" w:rsidRDefault="008F7093" w14:paraId="57A2E991" w14:textId="77777777">
      <w:pPr>
        <w:rPr>
          <w:lang w:val="fr-FR"/>
        </w:rPr>
      </w:pPr>
    </w:p>
    <w:p w:rsidRPr="002E29B6" w:rsidR="008F7093" w:rsidP="008F7093" w:rsidRDefault="008F7093" w14:paraId="1FE74235" w14:textId="77777777">
      <w:pPr>
        <w:rPr>
          <w:lang w:val="fr-FR"/>
        </w:rPr>
      </w:pPr>
    </w:p>
    <w:p w:rsidRPr="002E29B6" w:rsidR="008F7093" w:rsidP="008F7093" w:rsidRDefault="008F7093" w14:paraId="05E3BFA1" w14:textId="77777777">
      <w:pPr>
        <w:rPr>
          <w:lang w:val="fr-FR"/>
        </w:rPr>
      </w:pPr>
    </w:p>
    <w:p w:rsidRPr="00E02104" w:rsidR="008F7093" w:rsidP="008F7093" w:rsidRDefault="002E29B6" w14:paraId="0D3B24D6" w14:textId="77777777">
      <w:pPr>
        <w:rPr>
          <w:b/>
        </w:rPr>
      </w:pPr>
      <w:r>
        <w:rPr>
          <w:lang w:val="fr-FR"/>
        </w:rPr>
        <w:br w:type="page"/>
      </w:r>
      <w:r w:rsidRPr="00E02104" w:rsidR="008F7093">
        <w:rPr>
          <w:b/>
        </w:rPr>
        <w:lastRenderedPageBreak/>
        <w:t>Table of Contents</w:t>
      </w:r>
    </w:p>
    <w:p w:rsidR="008F7093" w:rsidP="008F7093" w:rsidRDefault="008F7093" w14:paraId="3100D2B3" w14:textId="77777777">
      <w:pPr>
        <w:rPr>
          <w:b/>
        </w:rPr>
      </w:pPr>
    </w:p>
    <w:p w:rsidRPr="00E02104" w:rsidR="008F7093" w:rsidP="008F7093" w:rsidRDefault="008F7093" w14:paraId="079FF645" w14:textId="09DB0956">
      <w:pPr>
        <w:rPr>
          <w:b/>
        </w:rPr>
      </w:pPr>
      <w:r w:rsidRPr="00E02104">
        <w:rPr>
          <w:b/>
        </w:rPr>
        <w:t>A. Justification</w:t>
      </w:r>
    </w:p>
    <w:p w:rsidR="008F7093" w:rsidP="008F7093" w:rsidRDefault="008F7093" w14:paraId="1EB7755B" w14:textId="77777777">
      <w:r>
        <w:t>1. Circumstances Making the Collection of Information Necessary</w:t>
      </w:r>
    </w:p>
    <w:p w:rsidR="008F7093" w:rsidP="008F7093" w:rsidRDefault="008F7093" w14:paraId="7F1DF80D" w14:textId="164698E5">
      <w:r>
        <w:t>2. Purpose and Use of Information Collection</w:t>
      </w:r>
    </w:p>
    <w:p w:rsidR="008F7093" w:rsidP="008F7093" w:rsidRDefault="008F7093" w14:paraId="3BC1FC51" w14:textId="77777777">
      <w:r>
        <w:t>3. Use of Improved Information Technology and Burden Reduction</w:t>
      </w:r>
    </w:p>
    <w:p w:rsidR="008F7093" w:rsidP="008F7093" w:rsidRDefault="008F7093" w14:paraId="1BF970FE" w14:textId="77777777">
      <w:r>
        <w:t>4. Efforts to Identify Duplication and Use of Similar Information</w:t>
      </w:r>
    </w:p>
    <w:p w:rsidR="008F7093" w:rsidP="008F7093" w:rsidRDefault="008F7093" w14:paraId="4B707147" w14:textId="77777777">
      <w:r>
        <w:t>5. Impact on Small Businesses or Other Small Entities</w:t>
      </w:r>
    </w:p>
    <w:p w:rsidR="008F7093" w:rsidP="008F7093" w:rsidRDefault="008F7093" w14:paraId="33B682B1" w14:textId="77777777">
      <w:r>
        <w:t>6. Consequences of Collecting the Information Less Frequently</w:t>
      </w:r>
    </w:p>
    <w:p w:rsidR="008F7093" w:rsidP="008F7093" w:rsidRDefault="008F7093" w14:paraId="7BC0883B" w14:textId="77777777">
      <w:r>
        <w:t>7. Special Circumstances Relating to the Guidelines of 5 CFR 1320.5</w:t>
      </w:r>
    </w:p>
    <w:p w:rsidR="00EB4E14" w:rsidP="008F7093" w:rsidRDefault="008F7093" w14:paraId="243727A9" w14:textId="77777777">
      <w:r>
        <w:t xml:space="preserve">8. Comments in Response to the Federal Register Notice and Efforts to Consult Outside </w:t>
      </w:r>
      <w:r w:rsidR="00EB4E14">
        <w:t xml:space="preserve">  </w:t>
      </w:r>
    </w:p>
    <w:p w:rsidR="008F7093" w:rsidP="008F7093" w:rsidRDefault="00EB4E14" w14:paraId="72F94B58" w14:textId="77777777">
      <w:r>
        <w:t xml:space="preserve">     </w:t>
      </w:r>
      <w:r w:rsidR="008F7093">
        <w:t>the Agency</w:t>
      </w:r>
    </w:p>
    <w:p w:rsidR="008F7093" w:rsidP="008F7093" w:rsidRDefault="008F7093" w14:paraId="60CC5DB6" w14:textId="77777777">
      <w:r>
        <w:t>9. Explanation of Any Payment or Gift to Respondents</w:t>
      </w:r>
    </w:p>
    <w:p w:rsidR="008F7093" w:rsidP="008F7093" w:rsidRDefault="008F7093" w14:paraId="1B33FAF1" w14:textId="2D645133">
      <w:r>
        <w:t xml:space="preserve">10. </w:t>
      </w:r>
      <w:r w:rsidR="00CF2AF9">
        <w:t>Protection of the Privacy and Confidentiality of Information Provided by Respondents</w:t>
      </w:r>
    </w:p>
    <w:p w:rsidR="008F7093" w:rsidP="008F7093" w:rsidRDefault="008F7093" w14:paraId="342EB1A3" w14:textId="7C8BDA5B">
      <w:r>
        <w:t xml:space="preserve">11. </w:t>
      </w:r>
      <w:r w:rsidRPr="00CF2AF9" w:rsidR="00CF2AF9">
        <w:t>Institutional Review Board (IRB) and Justi</w:t>
      </w:r>
      <w:r w:rsidRPr="00CF2AF9" w:rsidR="00CF2AF9">
        <w:softHyphen/>
      </w:r>
      <w:r w:rsidR="00CF2AF9">
        <w:t>fi</w:t>
      </w:r>
      <w:r w:rsidRPr="00CF2AF9" w:rsidR="00CF2AF9">
        <w:t>cation for Sensitive Questions</w:t>
      </w:r>
    </w:p>
    <w:p w:rsidR="008F7093" w:rsidP="008F7093" w:rsidRDefault="008F7093" w14:paraId="7E619BFE" w14:textId="77777777">
      <w:r>
        <w:t>12. Estimates of Annualized Burden Hours and Costs</w:t>
      </w:r>
    </w:p>
    <w:p w:rsidR="008F7093" w:rsidP="008F7093" w:rsidRDefault="008F7093" w14:paraId="01AA610E" w14:textId="1C44C42E">
      <w:r>
        <w:t xml:space="preserve">13. Estimates of Other Total Annual Cost Burden to Respondents </w:t>
      </w:r>
      <w:r w:rsidR="008A4D9E">
        <w:t xml:space="preserve">or </w:t>
      </w:r>
      <w:r>
        <w:t>Record Keepers</w:t>
      </w:r>
    </w:p>
    <w:p w:rsidR="008F7093" w:rsidP="008F7093" w:rsidRDefault="008F7093" w14:paraId="0059FA48" w14:textId="1526DA93">
      <w:r>
        <w:t>14. Annualized Cost to the Government</w:t>
      </w:r>
    </w:p>
    <w:p w:rsidR="008F7093" w:rsidP="008F7093" w:rsidRDefault="008F7093" w14:paraId="16E3455F" w14:textId="77777777">
      <w:r>
        <w:t>15. Explanation for Program Changes or Adjustments</w:t>
      </w:r>
    </w:p>
    <w:p w:rsidR="008F7093" w:rsidP="008F7093" w:rsidRDefault="008F7093" w14:paraId="27E9143E" w14:textId="77777777">
      <w:r>
        <w:t>16. Plans for Tabulation and Publication and Project Time Schedule</w:t>
      </w:r>
    </w:p>
    <w:p w:rsidR="008F7093" w:rsidP="008F7093" w:rsidRDefault="008F7093" w14:paraId="33BA43B9" w14:textId="77777777">
      <w:r>
        <w:t>17. Reason(s) Display of OMB Expiration Date is Inappropriate</w:t>
      </w:r>
    </w:p>
    <w:p w:rsidR="008F7093" w:rsidP="008F7093" w:rsidRDefault="008F7093" w14:paraId="0BC4E8B3" w14:textId="77777777">
      <w:r>
        <w:t>18. Exceptions to Certification for Paperwork Reduction Act Submissions</w:t>
      </w:r>
    </w:p>
    <w:p w:rsidR="008F7093" w:rsidP="008F7093" w:rsidRDefault="008F7093" w14:paraId="1C1FE25D" w14:textId="77777777"/>
    <w:p w:rsidRPr="00273CFD" w:rsidR="00EB4E14" w:rsidP="00EB4E14" w:rsidRDefault="00EB4E14" w14:paraId="0E3BBA44" w14:textId="77777777">
      <w:pPr>
        <w:tabs>
          <w:tab w:val="left" w:pos="-1080"/>
          <w:tab w:val="left" w:pos="-720"/>
          <w:tab w:val="left" w:pos="0"/>
          <w:tab w:val="left" w:pos="720"/>
          <w:tab w:val="left" w:pos="1440"/>
          <w:tab w:val="left" w:pos="2160"/>
          <w:tab w:val="left" w:pos="2880"/>
          <w:tab w:val="left" w:pos="3600"/>
          <w:tab w:val="left" w:pos="4320"/>
          <w:tab w:val="right" w:leader="dot" w:pos="9360"/>
        </w:tabs>
      </w:pPr>
      <w:r w:rsidRPr="00273CFD">
        <w:rPr>
          <w:b/>
          <w:bCs/>
        </w:rPr>
        <w:t>List of Attachments</w:t>
      </w:r>
    </w:p>
    <w:p w:rsidRPr="00273CFD" w:rsidR="0079723E" w:rsidP="0079723E" w:rsidRDefault="0079723E" w14:paraId="4E0726EF"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bookmarkStart w:name="_Hlk56165394" w:id="1"/>
      <w:r w:rsidRPr="00273CFD">
        <w:t xml:space="preserve">Attachment </w:t>
      </w:r>
      <w:r>
        <w:t>1</w:t>
      </w:r>
      <w:r w:rsidRPr="00273CFD">
        <w:tab/>
      </w:r>
      <w:r>
        <w:tab/>
        <w:t xml:space="preserve">Legislative Authority: </w:t>
      </w:r>
      <w:r w:rsidRPr="00273CFD">
        <w:t>Section 301 (a)-Public Health Service Act [42 U.S.C. 241 (a)]</w:t>
      </w:r>
    </w:p>
    <w:p w:rsidR="0079723E" w:rsidP="0079723E" w:rsidRDefault="0079723E" w14:paraId="036D7C6A"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2</w:t>
      </w:r>
      <w:r>
        <w:tab/>
      </w:r>
      <w:r w:rsidRPr="00273CFD">
        <w:tab/>
      </w:r>
      <w:r w:rsidRPr="00E272AE">
        <w:t>60-day Federal Register Notice</w:t>
      </w:r>
      <w:r>
        <w:t xml:space="preserve"> </w:t>
      </w:r>
    </w:p>
    <w:p w:rsidRPr="00273CFD" w:rsidR="0079723E" w:rsidP="0079723E" w:rsidRDefault="0079723E" w14:paraId="1A4A9CF7"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2a</w:t>
      </w:r>
      <w:r>
        <w:tab/>
      </w:r>
      <w:r>
        <w:tab/>
        <w:t>60 Day FRN Public Comment</w:t>
      </w:r>
    </w:p>
    <w:p w:rsidRPr="00273CFD" w:rsidR="0079723E" w:rsidP="0079723E" w:rsidRDefault="0079723E" w14:paraId="3B747AE2"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2b</w:t>
      </w:r>
      <w:r>
        <w:tab/>
      </w:r>
      <w:r>
        <w:tab/>
        <w:t>60 Day FRN Public Comment response memo</w:t>
      </w:r>
    </w:p>
    <w:p w:rsidR="0079723E" w:rsidP="0079723E" w:rsidRDefault="0079723E" w14:paraId="7E9B110E"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w:t>
      </w:r>
      <w:r>
        <w:tab/>
      </w:r>
      <w:r w:rsidRPr="00273CFD">
        <w:tab/>
      </w:r>
      <w:r w:rsidRPr="00A54FC4">
        <w:t>MMP Facility Survey</w:t>
      </w:r>
      <w:r>
        <w:t xml:space="preserve"> Web-based Application Screen Shots</w:t>
      </w:r>
    </w:p>
    <w:p w:rsidR="0079723E" w:rsidP="0079723E" w:rsidRDefault="0079723E" w14:paraId="1DEA47F0"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4</w:t>
      </w:r>
      <w:r w:rsidRPr="00273CFD">
        <w:tab/>
      </w:r>
      <w:r>
        <w:t xml:space="preserve">            MMP Facility Survey Questionnaire</w:t>
      </w:r>
      <w:r w:rsidRPr="00273CFD">
        <w:t xml:space="preserve"> </w:t>
      </w:r>
    </w:p>
    <w:p w:rsidR="0079723E" w:rsidP="0079723E" w:rsidRDefault="0079723E" w14:paraId="3FD693C9"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5a</w:t>
      </w:r>
      <w:r>
        <w:tab/>
      </w:r>
      <w:r w:rsidRPr="00273CFD">
        <w:tab/>
      </w:r>
      <w:r>
        <w:t>MMP Facility Survey Initial Cover Letter</w:t>
      </w:r>
    </w:p>
    <w:p w:rsidR="0079723E" w:rsidP="0079723E" w:rsidRDefault="0079723E" w14:paraId="25F05871"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5b</w:t>
      </w:r>
      <w:r>
        <w:tab/>
      </w:r>
      <w:r w:rsidRPr="00273CFD">
        <w:tab/>
      </w:r>
      <w:r>
        <w:t>MMP Facility Survey Outgoing Envelope</w:t>
      </w:r>
    </w:p>
    <w:p w:rsidR="0079723E" w:rsidP="0079723E" w:rsidRDefault="0079723E" w14:paraId="107DB966"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5c</w:t>
      </w:r>
      <w:r>
        <w:tab/>
      </w:r>
      <w:r w:rsidRPr="00273CFD">
        <w:tab/>
      </w:r>
      <w:r>
        <w:t>MMP Facility Survey Postcard Reminder</w:t>
      </w:r>
    </w:p>
    <w:p w:rsidR="0079723E" w:rsidP="0079723E" w:rsidRDefault="0079723E" w14:paraId="423E496F"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5d</w:t>
      </w:r>
      <w:r>
        <w:tab/>
      </w:r>
      <w:r w:rsidRPr="00273CFD">
        <w:tab/>
      </w:r>
      <w:r>
        <w:t>MMP Facility Survey Reminder Cover Letter</w:t>
      </w:r>
    </w:p>
    <w:p w:rsidR="0079723E" w:rsidP="0079723E" w:rsidRDefault="0079723E" w14:paraId="6A93F6D2" w14:textId="4C0FA3E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5</w:t>
      </w:r>
      <w:r w:rsidR="00904FE1">
        <w:t>e</w:t>
      </w:r>
      <w:r w:rsidR="00904FE1">
        <w:tab/>
      </w:r>
      <w:r>
        <w:tab/>
      </w:r>
      <w:r w:rsidRPr="00273CFD">
        <w:tab/>
      </w:r>
      <w:r>
        <w:t>MMP Facility Survey Thank You Letter</w:t>
      </w:r>
    </w:p>
    <w:p w:rsidR="0079723E" w:rsidP="0079723E" w:rsidRDefault="0079723E" w14:paraId="4970CBC7"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6</w:t>
      </w:r>
      <w:r>
        <w:tab/>
      </w:r>
      <w:r>
        <w:tab/>
        <w:t>Short MMP Facility Survey Questionnaire</w:t>
      </w:r>
    </w:p>
    <w:p w:rsidR="0079723E" w:rsidP="0079723E" w:rsidRDefault="0079723E" w14:paraId="074663F1"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7</w:t>
      </w:r>
      <w:r>
        <w:tab/>
      </w:r>
      <w:r>
        <w:tab/>
        <w:t xml:space="preserve">Short </w:t>
      </w:r>
      <w:r w:rsidRPr="00D55C81">
        <w:t>MMP Facility Survey Web-based Application Screen Shots</w:t>
      </w:r>
    </w:p>
    <w:p w:rsidR="0079723E" w:rsidP="0079723E" w:rsidRDefault="0079723E" w14:paraId="3274D571"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8</w:t>
      </w:r>
      <w:r>
        <w:tab/>
      </w:r>
      <w:r>
        <w:tab/>
        <w:t>NCHHSTP Project Determination Form</w:t>
      </w:r>
    </w:p>
    <w:p w:rsidR="0079723E" w:rsidP="0079723E" w:rsidRDefault="0079723E" w14:paraId="472D0F11"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9</w:t>
      </w:r>
      <w:r>
        <w:tab/>
      </w:r>
      <w:r>
        <w:tab/>
        <w:t>MMP Facility Survey Minimal Data Set</w:t>
      </w:r>
    </w:p>
    <w:p w:rsidR="0079723E" w:rsidP="0079723E" w:rsidRDefault="0079723E" w14:paraId="26A7CFCD"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 xml:space="preserve">Attachment 10 </w:t>
      </w:r>
      <w:r>
        <w:tab/>
        <w:t>References</w:t>
      </w:r>
    </w:p>
    <w:bookmarkEnd w:id="1"/>
    <w:p w:rsidR="00EB4E14" w:rsidP="008F7093" w:rsidRDefault="00C51A13" w14:paraId="35B363AD" w14:textId="0898AE26">
      <w:pPr>
        <w:rPr>
          <w:b/>
        </w:rPr>
      </w:pPr>
      <w:r>
        <w:rPr>
          <w:noProof/>
        </w:rPr>
        <w:lastRenderedPageBreak/>
        <mc:AlternateContent>
          <mc:Choice Requires="wps">
            <w:drawing>
              <wp:anchor distT="0" distB="0" distL="114300" distR="114300" simplePos="0" relativeHeight="251658240" behindDoc="1" locked="0" layoutInCell="1" allowOverlap="1" wp14:editId="3AF48D29" wp14:anchorId="56B8D86A">
                <wp:simplePos x="0" y="0"/>
                <wp:positionH relativeFrom="column">
                  <wp:posOffset>9525</wp:posOffset>
                </wp:positionH>
                <wp:positionV relativeFrom="paragraph">
                  <wp:posOffset>8890</wp:posOffset>
                </wp:positionV>
                <wp:extent cx="6492240" cy="2466975"/>
                <wp:effectExtent l="0" t="0" r="22860" b="28575"/>
                <wp:wrapTight wrapText="bothSides">
                  <wp:wrapPolygon edited="0">
                    <wp:start x="0" y="0"/>
                    <wp:lineTo x="0" y="21683"/>
                    <wp:lineTo x="21613" y="21683"/>
                    <wp:lineTo x="2161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466975"/>
                        </a:xfrm>
                        <a:prstGeom prst="rect">
                          <a:avLst/>
                        </a:prstGeom>
                        <a:solidFill>
                          <a:srgbClr val="FFFFFF"/>
                        </a:solidFill>
                        <a:ln w="9525">
                          <a:solidFill>
                            <a:srgbClr val="000000"/>
                          </a:solidFill>
                          <a:miter lim="800000"/>
                          <a:headEnd/>
                          <a:tailEnd/>
                        </a:ln>
                      </wps:spPr>
                      <wps:txbx>
                        <w:txbxContent>
                          <w:p w:rsidR="005F2936" w:rsidP="00D716BD" w:rsidRDefault="00C242A4" w14:paraId="4A90C256" w14:textId="2C86A3C9">
                            <w:pPr>
                              <w:pStyle w:val="ListParagraph"/>
                              <w:widowControl/>
                              <w:numPr>
                                <w:ilvl w:val="0"/>
                                <w:numId w:val="6"/>
                              </w:numPr>
                              <w:autoSpaceDE/>
                              <w:autoSpaceDN/>
                              <w:adjustRightInd/>
                              <w:spacing w:after="120"/>
                            </w:pPr>
                            <w:r>
                              <w:t xml:space="preserve">Goal: </w:t>
                            </w:r>
                            <w:r w:rsidR="005F2936">
                              <w:t>T</w:t>
                            </w:r>
                            <w:r w:rsidRPr="00960225" w:rsidR="005F2936">
                              <w:t>o</w:t>
                            </w:r>
                            <w:r w:rsidR="005F2936">
                              <w:t xml:space="preserve"> </w:t>
                            </w:r>
                            <w:r>
                              <w:t xml:space="preserve">conduct a survey of HIV care facilities in order to collect </w:t>
                            </w:r>
                            <w:r w:rsidRPr="00C242A4">
                              <w:t xml:space="preserve">information on the nation’s existing HIV care infrastructure and the </w:t>
                            </w:r>
                            <w:r>
                              <w:t>capacity</w:t>
                            </w:r>
                            <w:r w:rsidRPr="00C242A4">
                              <w:t xml:space="preserve"> of facilities to implement </w:t>
                            </w:r>
                            <w:r>
                              <w:t>the</w:t>
                            </w:r>
                            <w:r w:rsidRPr="00C242A4">
                              <w:t xml:space="preserve"> strategies</w:t>
                            </w:r>
                            <w:r>
                              <w:t xml:space="preserve"> of the U.S. Ending the HIV Epidemic federal initiative</w:t>
                            </w:r>
                          </w:p>
                          <w:p w:rsidR="005F2936" w:rsidP="00D716BD" w:rsidRDefault="005F2936" w14:paraId="2E7C391B" w14:textId="06BC5F23">
                            <w:pPr>
                              <w:pStyle w:val="ListParagraph"/>
                              <w:widowControl/>
                              <w:numPr>
                                <w:ilvl w:val="0"/>
                                <w:numId w:val="6"/>
                              </w:numPr>
                              <w:autoSpaceDE/>
                              <w:autoSpaceDN/>
                              <w:adjustRightInd/>
                              <w:spacing w:after="120"/>
                            </w:pPr>
                            <w:r>
                              <w:t>Intended use</w:t>
                            </w:r>
                            <w:r w:rsidR="00C242A4">
                              <w:t>:</w:t>
                            </w:r>
                            <w:r>
                              <w:t xml:space="preserve"> </w:t>
                            </w:r>
                            <w:r w:rsidR="00C242A4">
                              <w:t>T</w:t>
                            </w:r>
                            <w:r w:rsidRPr="00960225">
                              <w:t xml:space="preserve">o </w:t>
                            </w:r>
                            <w:r w:rsidRPr="00C242A4" w:rsidR="00C242A4">
                              <w:t xml:space="preserve">guide national and local </w:t>
                            </w:r>
                            <w:r w:rsidR="00C242A4">
                              <w:t xml:space="preserve">HIV </w:t>
                            </w:r>
                            <w:r w:rsidRPr="00C242A4" w:rsidR="00C242A4">
                              <w:t xml:space="preserve">prevention </w:t>
                            </w:r>
                            <w:r w:rsidR="00C242A4">
                              <w:t xml:space="preserve">and care </w:t>
                            </w:r>
                            <w:r w:rsidRPr="00C242A4" w:rsidR="00C242A4">
                              <w:t>efforts</w:t>
                            </w:r>
                            <w:r w:rsidR="00C242A4">
                              <w:t xml:space="preserve"> and identify gaps</w:t>
                            </w:r>
                          </w:p>
                          <w:p w:rsidR="005F2936" w:rsidP="00D716BD" w:rsidRDefault="00490769" w14:paraId="6EA78ECE" w14:textId="220A5FCB">
                            <w:pPr>
                              <w:pStyle w:val="ListParagraph"/>
                              <w:widowControl/>
                              <w:numPr>
                                <w:ilvl w:val="0"/>
                                <w:numId w:val="6"/>
                              </w:numPr>
                              <w:autoSpaceDE/>
                              <w:autoSpaceDN/>
                              <w:adjustRightInd/>
                              <w:spacing w:after="120"/>
                            </w:pPr>
                            <w:r>
                              <w:t xml:space="preserve">Methods: Survey of HIV care facilities </w:t>
                            </w:r>
                            <w:r w:rsidR="00221076">
                              <w:t>where participants of the</w:t>
                            </w:r>
                            <w:r>
                              <w:t xml:space="preserve"> Medical Monitoring Project (MMP; </w:t>
                            </w:r>
                            <w:bookmarkStart w:name="_Hlk30160143" w:id="2"/>
                            <w:r>
                              <w:t>OMB</w:t>
                            </w:r>
                            <w:r w:rsidR="0043077A">
                              <w:t xml:space="preserve"> </w:t>
                            </w:r>
                            <w:r>
                              <w:t xml:space="preserve"># </w:t>
                            </w:r>
                            <w:r w:rsidRPr="0043077A" w:rsidR="0043077A">
                              <w:t>0920-0740</w:t>
                            </w:r>
                            <w:bookmarkEnd w:id="2"/>
                            <w:r>
                              <w:t>)</w:t>
                            </w:r>
                            <w:r w:rsidR="00221076">
                              <w:t xml:space="preserve"> received health care, MMP is</w:t>
                            </w:r>
                            <w:r>
                              <w:t xml:space="preserve"> a surveillance system that collects behavioral and clinical data on a population-based sample of U.S. adults with diagnosed HIV</w:t>
                            </w:r>
                            <w:r w:rsidR="005F2936">
                              <w:t xml:space="preserve">   </w:t>
                            </w:r>
                          </w:p>
                          <w:p w:rsidR="005F2936" w:rsidP="00D716BD" w:rsidRDefault="00490769" w14:paraId="2D1E7869" w14:textId="6879F617">
                            <w:pPr>
                              <w:pStyle w:val="ListParagraph"/>
                              <w:widowControl/>
                              <w:numPr>
                                <w:ilvl w:val="0"/>
                                <w:numId w:val="6"/>
                              </w:numPr>
                              <w:autoSpaceDE/>
                              <w:autoSpaceDN/>
                              <w:adjustRightInd/>
                              <w:spacing w:after="120"/>
                            </w:pPr>
                            <w:r>
                              <w:t xml:space="preserve">Subpopulation: U.S. HIV care facilities </w:t>
                            </w:r>
                            <w:r w:rsidR="00221076">
                              <w:t xml:space="preserve">where </w:t>
                            </w:r>
                            <w:r>
                              <w:t>MMP</w:t>
                            </w:r>
                            <w:r w:rsidR="005F2936">
                              <w:t xml:space="preserve"> </w:t>
                            </w:r>
                            <w:r w:rsidRPr="00F819DA" w:rsidR="00F819DA">
                              <w:t xml:space="preserve">participants </w:t>
                            </w:r>
                            <w:r w:rsidR="00221076">
                              <w:t>received health care</w:t>
                            </w:r>
                          </w:p>
                          <w:p w:rsidR="005F2936" w:rsidP="00D716BD" w:rsidRDefault="00490769" w14:paraId="04FE2C7D" w14:textId="2A0A8D06">
                            <w:pPr>
                              <w:pStyle w:val="ListParagraph"/>
                              <w:widowControl/>
                              <w:numPr>
                                <w:ilvl w:val="0"/>
                                <w:numId w:val="6"/>
                              </w:numPr>
                              <w:autoSpaceDE/>
                              <w:autoSpaceDN/>
                              <w:adjustRightInd/>
                              <w:spacing w:after="120"/>
                            </w:pPr>
                            <w:r>
                              <w:t xml:space="preserve">Analysis: </w:t>
                            </w:r>
                            <w:r w:rsidR="005F2936">
                              <w:t xml:space="preserve">Data will be analyzed using descriptive </w:t>
                            </w:r>
                            <w:r w:rsidRPr="00490769">
                              <w:t xml:space="preserve">and multivariable </w:t>
                            </w:r>
                            <w:r w:rsidR="005F2936">
                              <w:t>methods</w:t>
                            </w:r>
                            <w:r>
                              <w:t>, including linking to patient-level data from MMP</w:t>
                            </w:r>
                            <w:r w:rsidR="0002525D">
                              <w:t>, and data will be weighted to reduce non-response bias</w:t>
                            </w:r>
                            <w:r w:rsidR="005F2936">
                              <w:t xml:space="preserve"> </w:t>
                            </w:r>
                          </w:p>
                          <w:p w:rsidR="005F2936" w:rsidP="00D716BD" w:rsidRDefault="005F2936" w14:paraId="25FD70CF" w14:textId="77777777">
                            <w:pPr>
                              <w:spacing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B8D86A">
                <v:stroke joinstyle="miter"/>
                <v:path gradientshapeok="t" o:connecttype="rect"/>
              </v:shapetype>
              <v:shape id="Text Box 2" style="position:absolute;margin-left:.75pt;margin-top:.7pt;width:511.2pt;height:19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">
                <v:textbox>
                  <w:txbxContent>
                    <w:p w:rsidR="005F2936" w:rsidP="00D716BD" w:rsidRDefault="00C242A4" w14:paraId="4A90C256" w14:textId="2C86A3C9">
                      <w:pPr>
                        <w:pStyle w:val="ListParagraph"/>
                        <w:widowControl/>
                        <w:numPr>
                          <w:ilvl w:val="0"/>
                          <w:numId w:val="6"/>
                        </w:numPr>
                        <w:autoSpaceDE/>
                        <w:autoSpaceDN/>
                        <w:adjustRightInd/>
                        <w:spacing w:after="120"/>
                      </w:pPr>
                      <w:r>
                        <w:t xml:space="preserve">Goal: </w:t>
                      </w:r>
                      <w:r w:rsidR="005F2936">
                        <w:t>T</w:t>
                      </w:r>
                      <w:r w:rsidRPr="00960225" w:rsidR="005F2936">
                        <w:t>o</w:t>
                      </w:r>
                      <w:r w:rsidR="005F2936">
                        <w:t xml:space="preserve"> </w:t>
                      </w:r>
                      <w:r>
                        <w:t xml:space="preserve">conduct a survey of HIV care facilities in order to collect </w:t>
                      </w:r>
                      <w:r w:rsidRPr="00C242A4">
                        <w:t xml:space="preserve">information on the nation’s existing HIV care infrastructure and the </w:t>
                      </w:r>
                      <w:r>
                        <w:t>capacity</w:t>
                      </w:r>
                      <w:r w:rsidRPr="00C242A4">
                        <w:t xml:space="preserve"> of facilities to implement </w:t>
                      </w:r>
                      <w:r>
                        <w:t>the</w:t>
                      </w:r>
                      <w:r w:rsidRPr="00C242A4">
                        <w:t xml:space="preserve"> strategies</w:t>
                      </w:r>
                      <w:r>
                        <w:t xml:space="preserve"> of the U.S. Ending the HIV Epidemic federal initiative</w:t>
                      </w:r>
                    </w:p>
                    <w:p w:rsidR="005F2936" w:rsidP="00D716BD" w:rsidRDefault="005F2936" w14:paraId="2E7C391B" w14:textId="06BC5F23">
                      <w:pPr>
                        <w:pStyle w:val="ListParagraph"/>
                        <w:widowControl/>
                        <w:numPr>
                          <w:ilvl w:val="0"/>
                          <w:numId w:val="6"/>
                        </w:numPr>
                        <w:autoSpaceDE/>
                        <w:autoSpaceDN/>
                        <w:adjustRightInd/>
                        <w:spacing w:after="120"/>
                      </w:pPr>
                      <w:r>
                        <w:t>Intended use</w:t>
                      </w:r>
                      <w:r w:rsidR="00C242A4">
                        <w:t>:</w:t>
                      </w:r>
                      <w:r>
                        <w:t xml:space="preserve"> </w:t>
                      </w:r>
                      <w:r w:rsidR="00C242A4">
                        <w:t>T</w:t>
                      </w:r>
                      <w:r w:rsidRPr="00960225">
                        <w:t xml:space="preserve">o </w:t>
                      </w:r>
                      <w:r w:rsidRPr="00C242A4" w:rsidR="00C242A4">
                        <w:t xml:space="preserve">guide national and local </w:t>
                      </w:r>
                      <w:r w:rsidR="00C242A4">
                        <w:t xml:space="preserve">HIV </w:t>
                      </w:r>
                      <w:r w:rsidRPr="00C242A4" w:rsidR="00C242A4">
                        <w:t xml:space="preserve">prevention </w:t>
                      </w:r>
                      <w:r w:rsidR="00C242A4">
                        <w:t xml:space="preserve">and care </w:t>
                      </w:r>
                      <w:r w:rsidRPr="00C242A4" w:rsidR="00C242A4">
                        <w:t>efforts</w:t>
                      </w:r>
                      <w:r w:rsidR="00C242A4">
                        <w:t xml:space="preserve"> and identify gaps</w:t>
                      </w:r>
                    </w:p>
                    <w:p w:rsidR="005F2936" w:rsidP="00D716BD" w:rsidRDefault="00490769" w14:paraId="6EA78ECE" w14:textId="220A5FCB">
                      <w:pPr>
                        <w:pStyle w:val="ListParagraph"/>
                        <w:widowControl/>
                        <w:numPr>
                          <w:ilvl w:val="0"/>
                          <w:numId w:val="6"/>
                        </w:numPr>
                        <w:autoSpaceDE/>
                        <w:autoSpaceDN/>
                        <w:adjustRightInd/>
                        <w:spacing w:after="120"/>
                      </w:pPr>
                      <w:r>
                        <w:t xml:space="preserve">Methods: Survey of HIV care facilities </w:t>
                      </w:r>
                      <w:r w:rsidR="00221076">
                        <w:t>where participants of the</w:t>
                      </w:r>
                      <w:r>
                        <w:t xml:space="preserve"> Medical Monitoring Project (MMP; </w:t>
                      </w:r>
                      <w:bookmarkStart w:name="_Hlk30160143" w:id="3"/>
                      <w:r>
                        <w:t>OMB</w:t>
                      </w:r>
                      <w:r w:rsidR="0043077A">
                        <w:t xml:space="preserve"> </w:t>
                      </w:r>
                      <w:r>
                        <w:t xml:space="preserve"># </w:t>
                      </w:r>
                      <w:r w:rsidRPr="0043077A" w:rsidR="0043077A">
                        <w:t>0920-0740</w:t>
                      </w:r>
                      <w:bookmarkEnd w:id="3"/>
                      <w:r>
                        <w:t>)</w:t>
                      </w:r>
                      <w:r w:rsidR="00221076">
                        <w:t xml:space="preserve"> received health care, MMP is</w:t>
                      </w:r>
                      <w:r>
                        <w:t xml:space="preserve"> a surveillance system that collects behavioral and clinical data on a population-based sample of U.S. adults with diagnosed HIV</w:t>
                      </w:r>
                      <w:r w:rsidR="005F2936">
                        <w:t xml:space="preserve">   </w:t>
                      </w:r>
                    </w:p>
                    <w:p w:rsidR="005F2936" w:rsidP="00D716BD" w:rsidRDefault="00490769" w14:paraId="2D1E7869" w14:textId="6879F617">
                      <w:pPr>
                        <w:pStyle w:val="ListParagraph"/>
                        <w:widowControl/>
                        <w:numPr>
                          <w:ilvl w:val="0"/>
                          <w:numId w:val="6"/>
                        </w:numPr>
                        <w:autoSpaceDE/>
                        <w:autoSpaceDN/>
                        <w:adjustRightInd/>
                        <w:spacing w:after="120"/>
                      </w:pPr>
                      <w:r>
                        <w:t xml:space="preserve">Subpopulation: U.S. HIV care facilities </w:t>
                      </w:r>
                      <w:r w:rsidR="00221076">
                        <w:t xml:space="preserve">where </w:t>
                      </w:r>
                      <w:r>
                        <w:t>MMP</w:t>
                      </w:r>
                      <w:r w:rsidR="005F2936">
                        <w:t xml:space="preserve"> </w:t>
                      </w:r>
                      <w:r w:rsidRPr="00F819DA" w:rsidR="00F819DA">
                        <w:t xml:space="preserve">participants </w:t>
                      </w:r>
                      <w:r w:rsidR="00221076">
                        <w:t>received health care</w:t>
                      </w:r>
                    </w:p>
                    <w:p w:rsidR="005F2936" w:rsidP="00D716BD" w:rsidRDefault="00490769" w14:paraId="04FE2C7D" w14:textId="2A0A8D06">
                      <w:pPr>
                        <w:pStyle w:val="ListParagraph"/>
                        <w:widowControl/>
                        <w:numPr>
                          <w:ilvl w:val="0"/>
                          <w:numId w:val="6"/>
                        </w:numPr>
                        <w:autoSpaceDE/>
                        <w:autoSpaceDN/>
                        <w:adjustRightInd/>
                        <w:spacing w:after="120"/>
                      </w:pPr>
                      <w:r>
                        <w:t xml:space="preserve">Analysis: </w:t>
                      </w:r>
                      <w:r w:rsidR="005F2936">
                        <w:t xml:space="preserve">Data will be analyzed using descriptive </w:t>
                      </w:r>
                      <w:r w:rsidRPr="00490769">
                        <w:t xml:space="preserve">and multivariable </w:t>
                      </w:r>
                      <w:r w:rsidR="005F2936">
                        <w:t>methods</w:t>
                      </w:r>
                      <w:r>
                        <w:t>, including linking to patient-level data from MMP</w:t>
                      </w:r>
                      <w:r w:rsidR="0002525D">
                        <w:t>, and data will be weighted to reduce non-response bias</w:t>
                      </w:r>
                      <w:r w:rsidR="005F2936">
                        <w:t xml:space="preserve"> </w:t>
                      </w:r>
                    </w:p>
                    <w:p w:rsidR="005F2936" w:rsidP="00D716BD" w:rsidRDefault="005F2936" w14:paraId="25FD70CF" w14:textId="77777777">
                      <w:pPr>
                        <w:spacing w:after="120"/>
                      </w:pPr>
                    </w:p>
                  </w:txbxContent>
                </v:textbox>
                <w10:wrap type="tight"/>
              </v:shape>
            </w:pict>
          </mc:Fallback>
        </mc:AlternateContent>
      </w:r>
    </w:p>
    <w:p w:rsidR="008F7093" w:rsidP="008F7093" w:rsidRDefault="008F7093" w14:paraId="7E72935F" w14:textId="39F50A4B"/>
    <w:p w:rsidR="008F7093" w:rsidP="008F7093" w:rsidRDefault="008F7093" w14:paraId="0C8C9C13" w14:textId="54514384"/>
    <w:p w:rsidR="008F7093" w:rsidP="008F7093" w:rsidRDefault="008F7093" w14:paraId="094C426C" w14:textId="718786E3"/>
    <w:p w:rsidR="008F7093" w:rsidP="008F7093" w:rsidRDefault="008F7093" w14:paraId="4D9CE194" w14:textId="6F8102A9"/>
    <w:p w:rsidR="008F7093" w:rsidP="008F7093" w:rsidRDefault="008F7093" w14:paraId="1686DB63" w14:textId="67B17BB0"/>
    <w:p w:rsidR="00A27C7C" w:rsidP="008F7093" w:rsidRDefault="00A27C7C" w14:paraId="4E9B18AA" w14:textId="54704F54"/>
    <w:p w:rsidR="00F174E0" w:rsidP="00F174E0" w:rsidRDefault="00E272AE" w14:paraId="2F0E1856" w14:textId="398A18E6">
      <w:r>
        <w:rPr>
          <w:b/>
          <w:u w:val="single"/>
        </w:rPr>
        <w:br w:type="page"/>
      </w:r>
    </w:p>
    <w:p w:rsidR="008F7093" w:rsidP="008F7093" w:rsidRDefault="00F174E0" w14:paraId="4FDBE459" w14:textId="6F2589D4">
      <w:pPr>
        <w:rPr>
          <w:b/>
        </w:rPr>
      </w:pPr>
      <w:r>
        <w:lastRenderedPageBreak/>
        <w:t xml:space="preserve"> </w:t>
      </w:r>
      <w:r w:rsidRPr="00E02104" w:rsidR="008F7093">
        <w:rPr>
          <w:b/>
          <w:u w:val="single"/>
        </w:rPr>
        <w:t>A. Justification</w:t>
      </w:r>
    </w:p>
    <w:p w:rsidRPr="00E02104" w:rsidR="008F7093" w:rsidP="008F7093" w:rsidRDefault="008F7093" w14:paraId="41D407C5" w14:textId="77777777">
      <w:pPr>
        <w:rPr>
          <w:b/>
        </w:rPr>
      </w:pPr>
      <w:r w:rsidRPr="00E02104">
        <w:rPr>
          <w:b/>
        </w:rPr>
        <w:t>1. Circumstances Making the Collection of Information Necessary</w:t>
      </w:r>
    </w:p>
    <w:p w:rsidR="008F7093" w:rsidP="008F7093" w:rsidRDefault="008F7093" w14:paraId="7E3AD772" w14:textId="77777777"/>
    <w:p w:rsidRPr="00E02104" w:rsidR="008F7093" w:rsidP="008F7093" w:rsidRDefault="008F7093" w14:paraId="32682A2C" w14:textId="77777777">
      <w:pPr>
        <w:rPr>
          <w:u w:val="single"/>
        </w:rPr>
      </w:pPr>
      <w:r w:rsidRPr="00E02104">
        <w:rPr>
          <w:u w:val="single"/>
        </w:rPr>
        <w:t>Background</w:t>
      </w:r>
    </w:p>
    <w:p w:rsidR="00D83A85" w:rsidP="00D83A85" w:rsidRDefault="001A5C4D" w14:paraId="6126BA44" w14:textId="6B62C4C0">
      <w:pPr>
        <w:spacing w:after="120"/>
      </w:pPr>
      <w:r w:rsidRPr="001A5C4D">
        <w:t>The Centers for Disease Control and Prevention requests</w:t>
      </w:r>
      <w:r w:rsidR="00C51A13">
        <w:t xml:space="preserve"> a </w:t>
      </w:r>
      <w:r w:rsidR="008B4363">
        <w:t>1</w:t>
      </w:r>
      <w:r w:rsidR="00C51A13">
        <w:t>-year</w:t>
      </w:r>
      <w:r w:rsidRPr="001A5C4D">
        <w:t xml:space="preserve"> </w:t>
      </w:r>
      <w:r w:rsidR="00356650">
        <w:t xml:space="preserve">approval for </w:t>
      </w:r>
      <w:r w:rsidRPr="001A5C4D">
        <w:t>a</w:t>
      </w:r>
      <w:r w:rsidR="00356650">
        <w:t xml:space="preserve"> </w:t>
      </w:r>
      <w:r w:rsidR="006F3C33">
        <w:t>new information</w:t>
      </w:r>
      <w:r w:rsidR="00356650">
        <w:t xml:space="preserve"> collection,</w:t>
      </w:r>
      <w:r w:rsidRPr="001A5C4D">
        <w:t xml:space="preserve"> </w:t>
      </w:r>
      <w:r>
        <w:t>“</w:t>
      </w:r>
      <w:r w:rsidRPr="006F3C33" w:rsidR="006F3C33">
        <w:rPr>
          <w:i/>
        </w:rPr>
        <w:t>Medical Monitoring Project Facility Survey</w:t>
      </w:r>
      <w:r w:rsidR="006D5D27">
        <w:rPr>
          <w:i/>
        </w:rPr>
        <w:t>,</w:t>
      </w:r>
      <w:r w:rsidR="006D5D27">
        <w:t>”</w:t>
      </w:r>
      <w:r>
        <w:t xml:space="preserve">. </w:t>
      </w:r>
      <w:r w:rsidR="00D83A85">
        <w:t>This data collection is authorized under Section 301 of the Public Health Service Act 42 U.S.C. 241</w:t>
      </w:r>
      <w:r w:rsidR="006841DA">
        <w:t>,</w:t>
      </w:r>
      <w:r w:rsidR="00D83A85">
        <w:t xml:space="preserve"> (</w:t>
      </w:r>
      <w:r w:rsidRPr="00075D8F" w:rsidR="00D83A85">
        <w:rPr>
          <w:b/>
        </w:rPr>
        <w:t>Attachment 1</w:t>
      </w:r>
      <w:r w:rsidR="00D83A85">
        <w:t xml:space="preserve">). </w:t>
      </w:r>
    </w:p>
    <w:p w:rsidR="00161B88" w:rsidP="008F7093" w:rsidRDefault="00161B88" w14:paraId="374EE8D7" w14:textId="233ADEA2">
      <w:pPr>
        <w:spacing w:after="120"/>
      </w:pPr>
      <w:r w:rsidRPr="00161B88">
        <w:t xml:space="preserve">The Ending the HIV Epidemic </w:t>
      </w:r>
      <w:r w:rsidR="00F74C16">
        <w:t xml:space="preserve">(EHE) </w:t>
      </w:r>
      <w:r w:rsidRPr="00161B88">
        <w:t>federal initiative focuses on four key strategies to end the HIV epidemic in the U.S.: 1) diagnose all people with HIV as early as possible after infection, 2) treat the infection rapidly and effectively to achieve sustained viral suppression, 3) protect people at risk for HIV using potent and proven prevention interventions including PrEP, and 4) respond rapidly to detect and disrupt HIV clusters and prevent new infections (Fauci A, Redfield RR, Sigounas G</w:t>
      </w:r>
      <w:r w:rsidR="00896CAF">
        <w:t xml:space="preserve"> et al, </w:t>
      </w:r>
      <w:r w:rsidRPr="00161B88">
        <w:t xml:space="preserve">2019). </w:t>
      </w:r>
      <w:r>
        <w:t xml:space="preserve">The Centers for Disease Control and Prevention </w:t>
      </w:r>
      <w:r w:rsidR="00B8024A">
        <w:t xml:space="preserve">(CDC) </w:t>
      </w:r>
      <w:r>
        <w:t>and its public health and community partners</w:t>
      </w:r>
      <w:r w:rsidRPr="00161B88">
        <w:t xml:space="preserve"> need information on the nation’s existing HIV care infrastructure and the ability of HIV care facilities to implement these strategies. </w:t>
      </w:r>
      <w:r w:rsidR="0002525D">
        <w:t>However, t</w:t>
      </w:r>
      <w:r w:rsidRPr="00161B88">
        <w:t>here is no other data source that comprehensively collects this information.</w:t>
      </w:r>
      <w:r w:rsidR="0002525D">
        <w:t xml:space="preserve"> There are challenges to identifying the universe of HIV care facilities, so</w:t>
      </w:r>
      <w:r w:rsidRPr="00161B88">
        <w:t xml:space="preserve"> </w:t>
      </w:r>
      <w:r w:rsidR="0002525D">
        <w:t>t</w:t>
      </w:r>
      <w:r w:rsidRPr="00161B88">
        <w:t>he Clinical Outcomes Team proposes to leverage an existing surveillance system that describes behavioral and clinical characteristics of adults with diagnosed HIV, the Medical Monitoring Project (MMP</w:t>
      </w:r>
      <w:r w:rsidR="0043077A">
        <w:t>;</w:t>
      </w:r>
      <w:r w:rsidRPr="0043077A" w:rsidR="0043077A">
        <w:t xml:space="preserve"> OMB # 0920-0740</w:t>
      </w:r>
      <w:r w:rsidRPr="00161B88">
        <w:t>), to survey HIV care facilities</w:t>
      </w:r>
      <w:r w:rsidR="00F74C16">
        <w:t xml:space="preserve"> </w:t>
      </w:r>
      <w:r w:rsidR="00221076">
        <w:t>where participants of the</w:t>
      </w:r>
      <w:r w:rsidR="00F74C16">
        <w:t xml:space="preserve"> MMP</w:t>
      </w:r>
      <w:r w:rsidR="00221076">
        <w:t xml:space="preserve"> received medical care</w:t>
      </w:r>
      <w:r w:rsidR="00F74C16">
        <w:t xml:space="preserve"> </w:t>
      </w:r>
      <w:r w:rsidRPr="00161B88">
        <w:t xml:space="preserve">to inform the </w:t>
      </w:r>
      <w:r w:rsidR="00F74C16">
        <w:t>EHE</w:t>
      </w:r>
      <w:r w:rsidRPr="00161B88">
        <w:t xml:space="preserve"> initiative</w:t>
      </w:r>
      <w:bookmarkStart w:name="_Hlk61357499" w:id="3"/>
      <w:r w:rsidRPr="00161B88">
        <w:t>.</w:t>
      </w:r>
      <w:r w:rsidR="0002525D">
        <w:t xml:space="preserve"> Although the resulting data will not be representative of all HIV care </w:t>
      </w:r>
      <w:r w:rsidR="00D8741F">
        <w:t>facilities</w:t>
      </w:r>
      <w:r w:rsidR="0002525D">
        <w:t xml:space="preserve"> in the United States, it will reflect the </w:t>
      </w:r>
      <w:r w:rsidR="00D8741F">
        <w:t>characteristics of facilities</w:t>
      </w:r>
      <w:r w:rsidR="0002525D">
        <w:t xml:space="preserve"> that provide</w:t>
      </w:r>
      <w:r w:rsidR="00D8741F">
        <w:t>d</w:t>
      </w:r>
      <w:r w:rsidR="0002525D">
        <w:t xml:space="preserve"> HIV care to a </w:t>
      </w:r>
      <w:r w:rsidR="00D8741F">
        <w:t>probability-based national sample of adults with diagnosed HIV.</w:t>
      </w:r>
      <w:bookmarkEnd w:id="3"/>
    </w:p>
    <w:p w:rsidRPr="00E02104" w:rsidR="008F7093" w:rsidP="008F7093" w:rsidRDefault="008F7093" w14:paraId="1A546065" w14:textId="797C7985">
      <w:pPr>
        <w:spacing w:after="120"/>
        <w:rPr>
          <w:b/>
        </w:rPr>
      </w:pPr>
      <w:r w:rsidRPr="00E02104">
        <w:rPr>
          <w:b/>
        </w:rPr>
        <w:t>2. Purpose and Use of Information Collection</w:t>
      </w:r>
    </w:p>
    <w:p w:rsidR="00EC7736" w:rsidP="00EC7736" w:rsidRDefault="00772E30" w14:paraId="1A19B2B0" w14:textId="4D58AC54">
      <w:pPr>
        <w:spacing w:after="120"/>
      </w:pPr>
      <w:r>
        <w:t xml:space="preserve">The primary objective of the </w:t>
      </w:r>
      <w:r w:rsidR="00EC7736">
        <w:t>MMP Facility Survey will be to conduct a one-time survey of the characteristics of HIV care facilities in order to collect information on the nation’s existing HIV care infrastructure and the capacity of facilities to implement the strategies of the U.S. Ending the HIV Epidemic federal initiative (</w:t>
      </w:r>
      <w:r w:rsidRPr="00896CAF" w:rsidR="00896CAF">
        <w:t>Fauci A, Redfield RR, Sigounas G et al, 2019).</w:t>
      </w:r>
      <w:r w:rsidR="00EC7736">
        <w:t xml:space="preserve"> </w:t>
      </w:r>
      <w:r w:rsidR="00B8024A">
        <w:t>CDC will also use the findings to</w:t>
      </w:r>
      <w:r w:rsidR="00EC7736">
        <w:t xml:space="preserve"> guide national and local HIV prevention and care efforts and identify gaps</w:t>
      </w:r>
      <w:r w:rsidR="00B8024A">
        <w:t xml:space="preserve"> as part of the Division of HIV/AIDS Prevention’s Strategic Plan.</w:t>
      </w:r>
      <w:r w:rsidR="00EC7736">
        <w:t xml:space="preserve"> </w:t>
      </w:r>
    </w:p>
    <w:p w:rsidR="008F7093" w:rsidP="00EC7736" w:rsidRDefault="00640068" w14:paraId="6BBE2F71" w14:textId="572B2364">
      <w:pPr>
        <w:spacing w:after="120"/>
      </w:pPr>
      <w:r w:rsidRPr="00640068">
        <w:t xml:space="preserve">Specifically, information </w:t>
      </w:r>
      <w:r w:rsidR="00B8024A">
        <w:t>is needed about</w:t>
      </w:r>
      <w:r w:rsidRPr="00640068">
        <w:t xml:space="preserve"> the capacity of care facilities to deliver care and prevention services, provide HIV prevention messaging, partner with public health programs, offer services for HIV negative partners of HIV positive persons, engage and retain patients, offer PrEP, </w:t>
      </w:r>
      <w:r w:rsidR="008F1448">
        <w:t>medication-assisted therapy (MAT),</w:t>
      </w:r>
      <w:r w:rsidRPr="00640068" w:rsidR="008F1448">
        <w:t xml:space="preserve"> </w:t>
      </w:r>
      <w:r w:rsidRPr="00640068">
        <w:t>and substance use treatment/referrals, etc. Information on facility location, key populations served, and workforce capacity is also needed to identify areas in need of expanded support to deliver these services.</w:t>
      </w:r>
      <w:r w:rsidR="00B8024A">
        <w:t xml:space="preserve"> Facility data will also be linked to MMP person-level data to enhance the understanding of facility-level facilitators and barriers to improving health </w:t>
      </w:r>
      <w:r w:rsidR="00DB661B">
        <w:t>outcomes among people with HIV.</w:t>
      </w:r>
    </w:p>
    <w:p w:rsidR="006A70BA" w:rsidP="00EC7736" w:rsidRDefault="006A70BA" w14:paraId="2CF99FC0" w14:textId="5A766C27">
      <w:pPr>
        <w:spacing w:after="120"/>
      </w:pPr>
      <w:r>
        <w:t xml:space="preserve">With these aims in mind, the MMP Facility survey </w:t>
      </w:r>
      <w:r w:rsidR="00B42177">
        <w:t xml:space="preserve">domains are mapped to the four pillars of the </w:t>
      </w:r>
      <w:r w:rsidRPr="00B42177" w:rsidR="00B42177">
        <w:t>U.S. Ending the HIV Epidemic federal initiative</w:t>
      </w:r>
      <w:r w:rsidR="00B42177">
        <w:t>—Diagnose, Treat, Prevent, and Respond—as illustrated in the following table.</w:t>
      </w:r>
    </w:p>
    <w:tbl>
      <w:tblPr>
        <w:tblStyle w:val="TableGrid"/>
        <w:tblW w:w="0" w:type="auto"/>
        <w:tblLook w:val="04A0" w:firstRow="1" w:lastRow="0" w:firstColumn="1" w:lastColumn="0" w:noHBand="0" w:noVBand="1"/>
      </w:tblPr>
      <w:tblGrid>
        <w:gridCol w:w="7351"/>
        <w:gridCol w:w="506"/>
        <w:gridCol w:w="506"/>
        <w:gridCol w:w="506"/>
        <w:gridCol w:w="506"/>
      </w:tblGrid>
      <w:tr w:rsidR="00B42177" w:rsidTr="00921FC1" w14:paraId="744316E2" w14:textId="77777777">
        <w:trPr>
          <w:cantSplit/>
          <w:trHeight w:val="1134"/>
          <w:tblHeader/>
        </w:trPr>
        <w:tc>
          <w:tcPr>
            <w:tcW w:w="7351" w:type="dxa"/>
            <w:vAlign w:val="center"/>
          </w:tcPr>
          <w:p w:rsidRPr="00935585" w:rsidR="00B42177" w:rsidP="00921FC1" w:rsidRDefault="00B42177" w14:paraId="26EF33E6" w14:textId="77777777">
            <w:pPr>
              <w:rPr>
                <w:b/>
              </w:rPr>
            </w:pPr>
          </w:p>
          <w:p w:rsidRPr="00935585" w:rsidR="00B42177" w:rsidP="00921FC1" w:rsidRDefault="00B42177" w14:paraId="41A6CDAE" w14:textId="77777777">
            <w:pPr>
              <w:rPr>
                <w:b/>
              </w:rPr>
            </w:pPr>
            <w:r w:rsidRPr="00935585">
              <w:rPr>
                <w:b/>
              </w:rPr>
              <w:t xml:space="preserve">Survey Domains </w:t>
            </w:r>
          </w:p>
        </w:tc>
        <w:tc>
          <w:tcPr>
            <w:tcW w:w="498" w:type="dxa"/>
            <w:textDirection w:val="btLr"/>
            <w:vAlign w:val="center"/>
          </w:tcPr>
          <w:p w:rsidRPr="00065E5C" w:rsidR="00B42177" w:rsidP="00921FC1" w:rsidRDefault="00B42177" w14:paraId="372D5EDC" w14:textId="77777777">
            <w:pPr>
              <w:ind w:left="113" w:right="113"/>
              <w:rPr>
                <w:b/>
              </w:rPr>
            </w:pPr>
            <w:r w:rsidRPr="00065E5C">
              <w:rPr>
                <w:b/>
              </w:rPr>
              <w:t>Diagnose</w:t>
            </w:r>
          </w:p>
        </w:tc>
        <w:tc>
          <w:tcPr>
            <w:tcW w:w="498" w:type="dxa"/>
            <w:textDirection w:val="btLr"/>
            <w:vAlign w:val="center"/>
          </w:tcPr>
          <w:p w:rsidRPr="00065E5C" w:rsidR="00B42177" w:rsidP="00921FC1" w:rsidRDefault="00B42177" w14:paraId="629CDECF" w14:textId="77777777">
            <w:pPr>
              <w:ind w:left="113" w:right="113"/>
              <w:rPr>
                <w:b/>
              </w:rPr>
            </w:pPr>
            <w:r w:rsidRPr="00065E5C">
              <w:rPr>
                <w:b/>
              </w:rPr>
              <w:t>Treat</w:t>
            </w:r>
          </w:p>
        </w:tc>
        <w:tc>
          <w:tcPr>
            <w:tcW w:w="505" w:type="dxa"/>
            <w:textDirection w:val="btLr"/>
            <w:vAlign w:val="center"/>
          </w:tcPr>
          <w:p w:rsidRPr="00065E5C" w:rsidR="00B42177" w:rsidP="00921FC1" w:rsidRDefault="00B42177" w14:paraId="371C9094" w14:textId="77777777">
            <w:pPr>
              <w:ind w:left="113" w:right="113"/>
              <w:rPr>
                <w:b/>
              </w:rPr>
            </w:pPr>
            <w:r w:rsidRPr="00065E5C">
              <w:rPr>
                <w:b/>
              </w:rPr>
              <w:t>Prevent</w:t>
            </w:r>
          </w:p>
        </w:tc>
        <w:tc>
          <w:tcPr>
            <w:tcW w:w="498" w:type="dxa"/>
            <w:textDirection w:val="btLr"/>
            <w:vAlign w:val="center"/>
          </w:tcPr>
          <w:p w:rsidRPr="00065E5C" w:rsidR="00B42177" w:rsidP="00921FC1" w:rsidRDefault="00B42177" w14:paraId="5DE34E63" w14:textId="77777777">
            <w:pPr>
              <w:ind w:left="113" w:right="113"/>
              <w:rPr>
                <w:b/>
              </w:rPr>
            </w:pPr>
            <w:r w:rsidRPr="00065E5C">
              <w:rPr>
                <w:b/>
              </w:rPr>
              <w:t>Respond</w:t>
            </w:r>
          </w:p>
        </w:tc>
      </w:tr>
      <w:tr w:rsidR="00B42177" w:rsidTr="00921FC1" w14:paraId="52D8CB51" w14:textId="77777777">
        <w:tc>
          <w:tcPr>
            <w:tcW w:w="7351" w:type="dxa"/>
          </w:tcPr>
          <w:p w:rsidRPr="00935585" w:rsidR="00B42177" w:rsidP="00921FC1" w:rsidRDefault="00B42177" w14:paraId="4CD1E405" w14:textId="77777777">
            <w:pPr>
              <w:rPr>
                <w:b/>
              </w:rPr>
            </w:pPr>
            <w:r>
              <w:rPr>
                <w:b/>
              </w:rPr>
              <w:t>General</w:t>
            </w:r>
            <w:r w:rsidRPr="00935585">
              <w:rPr>
                <w:b/>
              </w:rPr>
              <w:t xml:space="preserve"> </w:t>
            </w:r>
            <w:r>
              <w:rPr>
                <w:b/>
              </w:rPr>
              <w:t>c</w:t>
            </w:r>
            <w:r w:rsidRPr="00935585">
              <w:rPr>
                <w:b/>
              </w:rPr>
              <w:t>haracteristic</w:t>
            </w:r>
            <w:r>
              <w:rPr>
                <w:b/>
              </w:rPr>
              <w:t>s</w:t>
            </w:r>
          </w:p>
        </w:tc>
        <w:tc>
          <w:tcPr>
            <w:tcW w:w="498" w:type="dxa"/>
            <w:vAlign w:val="center"/>
          </w:tcPr>
          <w:p w:rsidR="00B42177" w:rsidP="00921FC1" w:rsidRDefault="00B42177" w14:paraId="2B2580D7" w14:textId="77777777">
            <w:pPr>
              <w:jc w:val="center"/>
            </w:pPr>
          </w:p>
        </w:tc>
        <w:tc>
          <w:tcPr>
            <w:tcW w:w="498" w:type="dxa"/>
            <w:vAlign w:val="center"/>
          </w:tcPr>
          <w:p w:rsidR="00B42177" w:rsidP="00921FC1" w:rsidRDefault="00B42177" w14:paraId="58CC7698" w14:textId="77777777">
            <w:pPr>
              <w:jc w:val="center"/>
            </w:pPr>
          </w:p>
        </w:tc>
        <w:tc>
          <w:tcPr>
            <w:tcW w:w="505" w:type="dxa"/>
            <w:vAlign w:val="center"/>
          </w:tcPr>
          <w:p w:rsidR="00B42177" w:rsidP="00921FC1" w:rsidRDefault="00B42177" w14:paraId="36EE91CA" w14:textId="77777777">
            <w:pPr>
              <w:jc w:val="center"/>
            </w:pPr>
          </w:p>
        </w:tc>
        <w:tc>
          <w:tcPr>
            <w:tcW w:w="498" w:type="dxa"/>
            <w:vAlign w:val="center"/>
          </w:tcPr>
          <w:p w:rsidR="00B42177" w:rsidP="00921FC1" w:rsidRDefault="00B42177" w14:paraId="795BD3C9" w14:textId="77777777">
            <w:pPr>
              <w:jc w:val="center"/>
            </w:pPr>
          </w:p>
        </w:tc>
      </w:tr>
      <w:tr w:rsidR="00B42177" w:rsidTr="00921FC1" w14:paraId="4593014C" w14:textId="77777777">
        <w:tc>
          <w:tcPr>
            <w:tcW w:w="7351" w:type="dxa"/>
          </w:tcPr>
          <w:p w:rsidRPr="00EF54C4" w:rsidR="00B42177" w:rsidP="00B42177" w:rsidRDefault="00B42177" w14:paraId="61FCC1A8" w14:textId="77777777">
            <w:pPr>
              <w:pStyle w:val="ListParagraph"/>
              <w:widowControl/>
              <w:numPr>
                <w:ilvl w:val="0"/>
                <w:numId w:val="9"/>
              </w:numPr>
              <w:autoSpaceDE/>
              <w:autoSpaceDN/>
              <w:adjustRightInd/>
              <w:contextualSpacing/>
            </w:pPr>
            <w:r>
              <w:t>FIPS code</w:t>
            </w:r>
          </w:p>
        </w:tc>
        <w:tc>
          <w:tcPr>
            <w:tcW w:w="498" w:type="dxa"/>
            <w:vAlign w:val="center"/>
          </w:tcPr>
          <w:p w:rsidR="00B42177" w:rsidP="00921FC1" w:rsidRDefault="00B42177" w14:paraId="389E4510" w14:textId="77777777">
            <w:pPr>
              <w:jc w:val="center"/>
            </w:pPr>
            <w:r w:rsidRPr="00FD4E5A">
              <w:t>X</w:t>
            </w:r>
          </w:p>
        </w:tc>
        <w:tc>
          <w:tcPr>
            <w:tcW w:w="498" w:type="dxa"/>
            <w:vAlign w:val="center"/>
          </w:tcPr>
          <w:p w:rsidR="00B42177" w:rsidP="00921FC1" w:rsidRDefault="00B42177" w14:paraId="2ACC5A65" w14:textId="77777777">
            <w:pPr>
              <w:jc w:val="center"/>
            </w:pPr>
            <w:r w:rsidRPr="00FD4E5A">
              <w:t>X</w:t>
            </w:r>
          </w:p>
        </w:tc>
        <w:tc>
          <w:tcPr>
            <w:tcW w:w="505" w:type="dxa"/>
            <w:vAlign w:val="center"/>
          </w:tcPr>
          <w:p w:rsidR="00B42177" w:rsidP="00921FC1" w:rsidRDefault="00B42177" w14:paraId="7CB49786" w14:textId="77777777">
            <w:pPr>
              <w:jc w:val="center"/>
            </w:pPr>
            <w:r w:rsidRPr="00FD4E5A">
              <w:t>X</w:t>
            </w:r>
          </w:p>
        </w:tc>
        <w:tc>
          <w:tcPr>
            <w:tcW w:w="498" w:type="dxa"/>
            <w:vAlign w:val="center"/>
          </w:tcPr>
          <w:p w:rsidR="00B42177" w:rsidP="00921FC1" w:rsidRDefault="00B42177" w14:paraId="3725F0C8" w14:textId="77777777">
            <w:pPr>
              <w:jc w:val="center"/>
            </w:pPr>
          </w:p>
        </w:tc>
      </w:tr>
      <w:tr w:rsidR="00B42177" w:rsidTr="00921FC1" w14:paraId="37E4742D" w14:textId="77777777">
        <w:tc>
          <w:tcPr>
            <w:tcW w:w="7351" w:type="dxa"/>
          </w:tcPr>
          <w:p w:rsidRPr="00EF54C4" w:rsidR="00B42177" w:rsidP="00B42177" w:rsidRDefault="00B42177" w14:paraId="33A595E1" w14:textId="77777777">
            <w:pPr>
              <w:pStyle w:val="ListParagraph"/>
              <w:widowControl/>
              <w:numPr>
                <w:ilvl w:val="0"/>
                <w:numId w:val="9"/>
              </w:numPr>
              <w:autoSpaceDE/>
              <w:autoSpaceDN/>
              <w:adjustRightInd/>
              <w:contextualSpacing/>
            </w:pPr>
            <w:r>
              <w:t>Facility type</w:t>
            </w:r>
          </w:p>
        </w:tc>
        <w:tc>
          <w:tcPr>
            <w:tcW w:w="498" w:type="dxa"/>
            <w:vAlign w:val="center"/>
          </w:tcPr>
          <w:p w:rsidR="00B42177" w:rsidP="00921FC1" w:rsidRDefault="00B42177" w14:paraId="7273A756" w14:textId="77777777">
            <w:pPr>
              <w:jc w:val="center"/>
            </w:pPr>
            <w:r w:rsidRPr="00FD4E5A">
              <w:t>X</w:t>
            </w:r>
          </w:p>
        </w:tc>
        <w:tc>
          <w:tcPr>
            <w:tcW w:w="498" w:type="dxa"/>
            <w:vAlign w:val="center"/>
          </w:tcPr>
          <w:p w:rsidR="00B42177" w:rsidP="00921FC1" w:rsidRDefault="00B42177" w14:paraId="59E77CD6" w14:textId="77777777">
            <w:pPr>
              <w:jc w:val="center"/>
            </w:pPr>
            <w:r w:rsidRPr="00FD4E5A">
              <w:t>X</w:t>
            </w:r>
          </w:p>
        </w:tc>
        <w:tc>
          <w:tcPr>
            <w:tcW w:w="505" w:type="dxa"/>
            <w:vAlign w:val="center"/>
          </w:tcPr>
          <w:p w:rsidR="00B42177" w:rsidP="00921FC1" w:rsidRDefault="00B42177" w14:paraId="20ACFB7B" w14:textId="77777777">
            <w:pPr>
              <w:jc w:val="center"/>
            </w:pPr>
            <w:r w:rsidRPr="00FD4E5A">
              <w:t>X</w:t>
            </w:r>
          </w:p>
        </w:tc>
        <w:tc>
          <w:tcPr>
            <w:tcW w:w="498" w:type="dxa"/>
            <w:vAlign w:val="center"/>
          </w:tcPr>
          <w:p w:rsidR="00B42177" w:rsidP="00921FC1" w:rsidRDefault="00B42177" w14:paraId="27385A14" w14:textId="77777777">
            <w:pPr>
              <w:jc w:val="center"/>
            </w:pPr>
          </w:p>
        </w:tc>
      </w:tr>
      <w:tr w:rsidR="00B42177" w:rsidTr="00921FC1" w14:paraId="58F39245" w14:textId="77777777">
        <w:tc>
          <w:tcPr>
            <w:tcW w:w="7351" w:type="dxa"/>
          </w:tcPr>
          <w:p w:rsidRPr="00EF54C4" w:rsidR="00B42177" w:rsidP="00B42177" w:rsidRDefault="00B42177" w14:paraId="5249C40E" w14:textId="77777777">
            <w:pPr>
              <w:pStyle w:val="ListParagraph"/>
              <w:widowControl/>
              <w:numPr>
                <w:ilvl w:val="0"/>
                <w:numId w:val="9"/>
              </w:numPr>
              <w:autoSpaceDE/>
              <w:autoSpaceDN/>
              <w:adjustRightInd/>
              <w:contextualSpacing/>
            </w:pPr>
            <w:r w:rsidRPr="00EF54C4">
              <w:t>R</w:t>
            </w:r>
            <w:r>
              <w:t xml:space="preserve">yan </w:t>
            </w:r>
            <w:r w:rsidRPr="00EF54C4">
              <w:t>W</w:t>
            </w:r>
            <w:r>
              <w:t>hite</w:t>
            </w:r>
            <w:r w:rsidRPr="00EF54C4">
              <w:t xml:space="preserve"> funding</w:t>
            </w:r>
          </w:p>
        </w:tc>
        <w:tc>
          <w:tcPr>
            <w:tcW w:w="498" w:type="dxa"/>
            <w:vAlign w:val="center"/>
          </w:tcPr>
          <w:p w:rsidR="00B42177" w:rsidP="00921FC1" w:rsidRDefault="00B42177" w14:paraId="72F32187" w14:textId="77777777">
            <w:pPr>
              <w:jc w:val="center"/>
            </w:pPr>
          </w:p>
        </w:tc>
        <w:tc>
          <w:tcPr>
            <w:tcW w:w="498" w:type="dxa"/>
            <w:vAlign w:val="center"/>
          </w:tcPr>
          <w:p w:rsidR="00B42177" w:rsidP="00921FC1" w:rsidRDefault="00B42177" w14:paraId="745A2D14" w14:textId="77777777">
            <w:pPr>
              <w:jc w:val="center"/>
            </w:pPr>
            <w:r w:rsidRPr="00313A15">
              <w:t>X</w:t>
            </w:r>
          </w:p>
        </w:tc>
        <w:tc>
          <w:tcPr>
            <w:tcW w:w="505" w:type="dxa"/>
            <w:vAlign w:val="center"/>
          </w:tcPr>
          <w:p w:rsidR="00B42177" w:rsidP="00921FC1" w:rsidRDefault="00B42177" w14:paraId="42804DFA" w14:textId="77777777">
            <w:pPr>
              <w:jc w:val="center"/>
            </w:pPr>
          </w:p>
        </w:tc>
        <w:tc>
          <w:tcPr>
            <w:tcW w:w="498" w:type="dxa"/>
            <w:vAlign w:val="center"/>
          </w:tcPr>
          <w:p w:rsidR="00B42177" w:rsidP="00921FC1" w:rsidRDefault="00B42177" w14:paraId="4F3C5772" w14:textId="77777777">
            <w:pPr>
              <w:jc w:val="center"/>
            </w:pPr>
          </w:p>
        </w:tc>
      </w:tr>
      <w:tr w:rsidR="00B42177" w:rsidTr="00921FC1" w14:paraId="3BA81303" w14:textId="77777777">
        <w:tc>
          <w:tcPr>
            <w:tcW w:w="7351" w:type="dxa"/>
          </w:tcPr>
          <w:p w:rsidRPr="00EF54C4" w:rsidR="00B42177" w:rsidP="00B42177" w:rsidRDefault="00B42177" w14:paraId="133F4373" w14:textId="77777777">
            <w:pPr>
              <w:pStyle w:val="ListParagraph"/>
              <w:widowControl/>
              <w:numPr>
                <w:ilvl w:val="0"/>
                <w:numId w:val="9"/>
              </w:numPr>
              <w:autoSpaceDE/>
              <w:autoSpaceDN/>
              <w:adjustRightInd/>
              <w:contextualSpacing/>
            </w:pPr>
            <w:r w:rsidRPr="00F45725">
              <w:t xml:space="preserve">Coverage accepted </w:t>
            </w:r>
          </w:p>
        </w:tc>
        <w:tc>
          <w:tcPr>
            <w:tcW w:w="498" w:type="dxa"/>
            <w:vAlign w:val="center"/>
          </w:tcPr>
          <w:p w:rsidR="00B42177" w:rsidP="00921FC1" w:rsidRDefault="00B42177" w14:paraId="7D0B5935" w14:textId="77777777">
            <w:pPr>
              <w:jc w:val="center"/>
            </w:pPr>
            <w:r w:rsidRPr="00FD4E5A">
              <w:t>X</w:t>
            </w:r>
          </w:p>
        </w:tc>
        <w:tc>
          <w:tcPr>
            <w:tcW w:w="498" w:type="dxa"/>
            <w:vAlign w:val="center"/>
          </w:tcPr>
          <w:p w:rsidR="00B42177" w:rsidP="00921FC1" w:rsidRDefault="00B42177" w14:paraId="376A3C91" w14:textId="77777777">
            <w:pPr>
              <w:jc w:val="center"/>
            </w:pPr>
            <w:r w:rsidRPr="00FD4E5A">
              <w:t>X</w:t>
            </w:r>
          </w:p>
        </w:tc>
        <w:tc>
          <w:tcPr>
            <w:tcW w:w="505" w:type="dxa"/>
            <w:vAlign w:val="center"/>
          </w:tcPr>
          <w:p w:rsidR="00B42177" w:rsidP="00921FC1" w:rsidRDefault="00B42177" w14:paraId="01A25953" w14:textId="77777777">
            <w:pPr>
              <w:jc w:val="center"/>
            </w:pPr>
            <w:r w:rsidRPr="00FD4E5A">
              <w:t>X</w:t>
            </w:r>
          </w:p>
        </w:tc>
        <w:tc>
          <w:tcPr>
            <w:tcW w:w="498" w:type="dxa"/>
            <w:vAlign w:val="center"/>
          </w:tcPr>
          <w:p w:rsidR="00B42177" w:rsidP="00921FC1" w:rsidRDefault="00B42177" w14:paraId="4C49860A" w14:textId="77777777">
            <w:pPr>
              <w:jc w:val="center"/>
            </w:pPr>
          </w:p>
        </w:tc>
      </w:tr>
      <w:tr w:rsidR="00B42177" w:rsidTr="00921FC1" w14:paraId="2639FFB4" w14:textId="77777777">
        <w:tc>
          <w:tcPr>
            <w:tcW w:w="7351" w:type="dxa"/>
          </w:tcPr>
          <w:p w:rsidR="00B42177" w:rsidP="00B42177" w:rsidRDefault="00B42177" w14:paraId="39EE362D" w14:textId="77777777">
            <w:pPr>
              <w:pStyle w:val="ListParagraph"/>
              <w:widowControl/>
              <w:numPr>
                <w:ilvl w:val="0"/>
                <w:numId w:val="9"/>
              </w:numPr>
              <w:autoSpaceDE/>
              <w:autoSpaceDN/>
              <w:adjustRightInd/>
              <w:contextualSpacing/>
            </w:pPr>
            <w:r w:rsidRPr="00F45725">
              <w:t xml:space="preserve">Provider types and numbers </w:t>
            </w:r>
          </w:p>
        </w:tc>
        <w:tc>
          <w:tcPr>
            <w:tcW w:w="498" w:type="dxa"/>
            <w:vAlign w:val="center"/>
          </w:tcPr>
          <w:p w:rsidR="00B42177" w:rsidP="00921FC1" w:rsidRDefault="00B42177" w14:paraId="02A13F42" w14:textId="77777777">
            <w:pPr>
              <w:jc w:val="center"/>
            </w:pPr>
            <w:r w:rsidRPr="002A69AF">
              <w:t>X</w:t>
            </w:r>
          </w:p>
        </w:tc>
        <w:tc>
          <w:tcPr>
            <w:tcW w:w="498" w:type="dxa"/>
            <w:vAlign w:val="center"/>
          </w:tcPr>
          <w:p w:rsidR="00B42177" w:rsidP="00921FC1" w:rsidRDefault="00B42177" w14:paraId="7F047175" w14:textId="77777777">
            <w:pPr>
              <w:jc w:val="center"/>
            </w:pPr>
            <w:r w:rsidRPr="002A69AF">
              <w:t>X</w:t>
            </w:r>
          </w:p>
        </w:tc>
        <w:tc>
          <w:tcPr>
            <w:tcW w:w="505" w:type="dxa"/>
            <w:vAlign w:val="center"/>
          </w:tcPr>
          <w:p w:rsidR="00B42177" w:rsidP="00921FC1" w:rsidRDefault="00B42177" w14:paraId="68819555" w14:textId="77777777">
            <w:pPr>
              <w:jc w:val="center"/>
            </w:pPr>
            <w:r w:rsidRPr="002A69AF">
              <w:t>X</w:t>
            </w:r>
          </w:p>
        </w:tc>
        <w:tc>
          <w:tcPr>
            <w:tcW w:w="498" w:type="dxa"/>
            <w:vAlign w:val="center"/>
          </w:tcPr>
          <w:p w:rsidR="00B42177" w:rsidP="00921FC1" w:rsidRDefault="00B42177" w14:paraId="4E4ACA26" w14:textId="77777777">
            <w:pPr>
              <w:jc w:val="center"/>
            </w:pPr>
          </w:p>
        </w:tc>
      </w:tr>
      <w:tr w:rsidR="00B42177" w:rsidTr="00921FC1" w14:paraId="38199C79" w14:textId="77777777">
        <w:tc>
          <w:tcPr>
            <w:tcW w:w="7351" w:type="dxa"/>
          </w:tcPr>
          <w:p w:rsidR="00B42177" w:rsidP="00B42177" w:rsidRDefault="00B42177" w14:paraId="1A136573" w14:textId="77777777">
            <w:pPr>
              <w:pStyle w:val="ListParagraph"/>
              <w:widowControl/>
              <w:numPr>
                <w:ilvl w:val="0"/>
                <w:numId w:val="9"/>
              </w:numPr>
              <w:autoSpaceDE/>
              <w:autoSpaceDN/>
              <w:adjustRightInd/>
              <w:contextualSpacing/>
            </w:pPr>
            <w:r w:rsidRPr="00F45725">
              <w:t>HIV caseload</w:t>
            </w:r>
          </w:p>
        </w:tc>
        <w:tc>
          <w:tcPr>
            <w:tcW w:w="498" w:type="dxa"/>
            <w:vAlign w:val="center"/>
          </w:tcPr>
          <w:p w:rsidR="00B42177" w:rsidP="00921FC1" w:rsidRDefault="00B42177" w14:paraId="7527A412" w14:textId="77777777">
            <w:pPr>
              <w:jc w:val="center"/>
            </w:pPr>
          </w:p>
        </w:tc>
        <w:tc>
          <w:tcPr>
            <w:tcW w:w="498" w:type="dxa"/>
            <w:vAlign w:val="center"/>
          </w:tcPr>
          <w:p w:rsidR="00B42177" w:rsidP="00921FC1" w:rsidRDefault="00B42177" w14:paraId="0CCE48B1" w14:textId="77777777">
            <w:pPr>
              <w:jc w:val="center"/>
            </w:pPr>
            <w:r>
              <w:t>X</w:t>
            </w:r>
          </w:p>
        </w:tc>
        <w:tc>
          <w:tcPr>
            <w:tcW w:w="505" w:type="dxa"/>
            <w:vAlign w:val="center"/>
          </w:tcPr>
          <w:p w:rsidR="00B42177" w:rsidP="00921FC1" w:rsidRDefault="00B42177" w14:paraId="60C77568" w14:textId="77777777">
            <w:pPr>
              <w:jc w:val="center"/>
            </w:pPr>
          </w:p>
        </w:tc>
        <w:tc>
          <w:tcPr>
            <w:tcW w:w="498" w:type="dxa"/>
            <w:vAlign w:val="center"/>
          </w:tcPr>
          <w:p w:rsidR="00B42177" w:rsidP="00921FC1" w:rsidRDefault="00B42177" w14:paraId="5EEFFF14" w14:textId="77777777">
            <w:pPr>
              <w:jc w:val="center"/>
            </w:pPr>
          </w:p>
        </w:tc>
      </w:tr>
      <w:tr w:rsidR="00B42177" w:rsidTr="00921FC1" w14:paraId="0C34398F" w14:textId="77777777">
        <w:tc>
          <w:tcPr>
            <w:tcW w:w="7351" w:type="dxa"/>
          </w:tcPr>
          <w:p w:rsidRPr="00F45725" w:rsidR="00B42177" w:rsidP="00B42177" w:rsidRDefault="00B42177" w14:paraId="4994B19D" w14:textId="77777777">
            <w:pPr>
              <w:pStyle w:val="ListParagraph"/>
              <w:widowControl/>
              <w:numPr>
                <w:ilvl w:val="0"/>
                <w:numId w:val="9"/>
              </w:numPr>
              <w:autoSpaceDE/>
              <w:autoSpaceDN/>
              <w:adjustRightInd/>
              <w:contextualSpacing/>
            </w:pPr>
            <w:r>
              <w:t>PrEP/PEP</w:t>
            </w:r>
          </w:p>
        </w:tc>
        <w:tc>
          <w:tcPr>
            <w:tcW w:w="498" w:type="dxa"/>
            <w:vAlign w:val="center"/>
          </w:tcPr>
          <w:p w:rsidR="00B42177" w:rsidP="00921FC1" w:rsidRDefault="00B42177" w14:paraId="686E9DD6" w14:textId="77777777">
            <w:pPr>
              <w:jc w:val="center"/>
            </w:pPr>
          </w:p>
        </w:tc>
        <w:tc>
          <w:tcPr>
            <w:tcW w:w="498" w:type="dxa"/>
            <w:vAlign w:val="center"/>
          </w:tcPr>
          <w:p w:rsidR="00B42177" w:rsidP="00921FC1" w:rsidRDefault="00B42177" w14:paraId="76AA17B8" w14:textId="77777777">
            <w:pPr>
              <w:jc w:val="center"/>
            </w:pPr>
          </w:p>
        </w:tc>
        <w:tc>
          <w:tcPr>
            <w:tcW w:w="505" w:type="dxa"/>
            <w:vAlign w:val="center"/>
          </w:tcPr>
          <w:p w:rsidR="00B42177" w:rsidP="00921FC1" w:rsidRDefault="00B42177" w14:paraId="765CED25" w14:textId="77777777">
            <w:pPr>
              <w:jc w:val="center"/>
            </w:pPr>
            <w:r>
              <w:t>X</w:t>
            </w:r>
          </w:p>
        </w:tc>
        <w:tc>
          <w:tcPr>
            <w:tcW w:w="498" w:type="dxa"/>
            <w:vAlign w:val="center"/>
          </w:tcPr>
          <w:p w:rsidR="00B42177" w:rsidP="00921FC1" w:rsidRDefault="00B42177" w14:paraId="660295A8" w14:textId="77777777">
            <w:pPr>
              <w:jc w:val="center"/>
            </w:pPr>
          </w:p>
        </w:tc>
      </w:tr>
      <w:tr w:rsidR="00B42177" w:rsidTr="00921FC1" w14:paraId="1F4C417B" w14:textId="77777777">
        <w:tc>
          <w:tcPr>
            <w:tcW w:w="7351" w:type="dxa"/>
          </w:tcPr>
          <w:p w:rsidR="00B42177" w:rsidP="00B42177" w:rsidRDefault="00B42177" w14:paraId="4A90C92A" w14:textId="77777777">
            <w:pPr>
              <w:pStyle w:val="ListParagraph"/>
              <w:widowControl/>
              <w:numPr>
                <w:ilvl w:val="0"/>
                <w:numId w:val="9"/>
              </w:numPr>
              <w:autoSpaceDE/>
              <w:autoSpaceDN/>
              <w:adjustRightInd/>
              <w:contextualSpacing/>
            </w:pPr>
            <w:r w:rsidRPr="00F45725">
              <w:t xml:space="preserve">Stigma/discrimination training </w:t>
            </w:r>
          </w:p>
        </w:tc>
        <w:tc>
          <w:tcPr>
            <w:tcW w:w="498" w:type="dxa"/>
            <w:vAlign w:val="center"/>
          </w:tcPr>
          <w:p w:rsidR="00B42177" w:rsidP="00921FC1" w:rsidRDefault="00B42177" w14:paraId="2F821C29" w14:textId="77777777">
            <w:pPr>
              <w:jc w:val="center"/>
            </w:pPr>
            <w:r w:rsidRPr="002A69AF">
              <w:t>X</w:t>
            </w:r>
          </w:p>
        </w:tc>
        <w:tc>
          <w:tcPr>
            <w:tcW w:w="498" w:type="dxa"/>
            <w:vAlign w:val="center"/>
          </w:tcPr>
          <w:p w:rsidR="00B42177" w:rsidP="00921FC1" w:rsidRDefault="00B42177" w14:paraId="2D7F2ACF" w14:textId="77777777">
            <w:pPr>
              <w:jc w:val="center"/>
            </w:pPr>
            <w:r w:rsidRPr="002A69AF">
              <w:t>X</w:t>
            </w:r>
          </w:p>
        </w:tc>
        <w:tc>
          <w:tcPr>
            <w:tcW w:w="505" w:type="dxa"/>
            <w:vAlign w:val="center"/>
          </w:tcPr>
          <w:p w:rsidR="00B42177" w:rsidP="00921FC1" w:rsidRDefault="00B42177" w14:paraId="029A1FD8" w14:textId="77777777">
            <w:pPr>
              <w:jc w:val="center"/>
            </w:pPr>
            <w:r w:rsidRPr="002A69AF">
              <w:t>X</w:t>
            </w:r>
          </w:p>
        </w:tc>
        <w:tc>
          <w:tcPr>
            <w:tcW w:w="498" w:type="dxa"/>
            <w:vAlign w:val="center"/>
          </w:tcPr>
          <w:p w:rsidR="00B42177" w:rsidP="00921FC1" w:rsidRDefault="00B42177" w14:paraId="6DC4505F" w14:textId="77777777">
            <w:pPr>
              <w:jc w:val="center"/>
            </w:pPr>
          </w:p>
        </w:tc>
      </w:tr>
      <w:tr w:rsidR="00B42177" w:rsidTr="00921FC1" w14:paraId="0A6E451F" w14:textId="77777777">
        <w:tc>
          <w:tcPr>
            <w:tcW w:w="7351" w:type="dxa"/>
          </w:tcPr>
          <w:p w:rsidRPr="00935585" w:rsidR="00B42177" w:rsidP="00921FC1" w:rsidRDefault="00B42177" w14:paraId="4B78C48E" w14:textId="77777777">
            <w:pPr>
              <w:rPr>
                <w:b/>
              </w:rPr>
            </w:pPr>
            <w:r>
              <w:rPr>
                <w:b/>
              </w:rPr>
              <w:t>Clinical and supportive services</w:t>
            </w:r>
          </w:p>
        </w:tc>
        <w:tc>
          <w:tcPr>
            <w:tcW w:w="498" w:type="dxa"/>
            <w:vAlign w:val="center"/>
          </w:tcPr>
          <w:p w:rsidR="00B42177" w:rsidP="00921FC1" w:rsidRDefault="00B42177" w14:paraId="73195041" w14:textId="77777777">
            <w:pPr>
              <w:jc w:val="center"/>
            </w:pPr>
          </w:p>
        </w:tc>
        <w:tc>
          <w:tcPr>
            <w:tcW w:w="498" w:type="dxa"/>
            <w:vAlign w:val="center"/>
          </w:tcPr>
          <w:p w:rsidR="00B42177" w:rsidP="00921FC1" w:rsidRDefault="00B42177" w14:paraId="2D28B132" w14:textId="77777777">
            <w:pPr>
              <w:jc w:val="center"/>
            </w:pPr>
          </w:p>
        </w:tc>
        <w:tc>
          <w:tcPr>
            <w:tcW w:w="505" w:type="dxa"/>
            <w:vAlign w:val="center"/>
          </w:tcPr>
          <w:p w:rsidR="00B42177" w:rsidP="00921FC1" w:rsidRDefault="00B42177" w14:paraId="0D228E14" w14:textId="77777777">
            <w:pPr>
              <w:jc w:val="center"/>
            </w:pPr>
          </w:p>
        </w:tc>
        <w:tc>
          <w:tcPr>
            <w:tcW w:w="498" w:type="dxa"/>
            <w:vAlign w:val="center"/>
          </w:tcPr>
          <w:p w:rsidR="00B42177" w:rsidP="00921FC1" w:rsidRDefault="00B42177" w14:paraId="01B1509D" w14:textId="77777777">
            <w:pPr>
              <w:jc w:val="center"/>
            </w:pPr>
          </w:p>
        </w:tc>
      </w:tr>
      <w:tr w:rsidR="00B42177" w:rsidTr="00921FC1" w14:paraId="6A2D4133" w14:textId="77777777">
        <w:tc>
          <w:tcPr>
            <w:tcW w:w="7351" w:type="dxa"/>
          </w:tcPr>
          <w:p w:rsidR="00B42177" w:rsidP="00B42177" w:rsidRDefault="00B42177" w14:paraId="435E5E93" w14:textId="77777777">
            <w:pPr>
              <w:pStyle w:val="ListParagraph"/>
              <w:widowControl/>
              <w:numPr>
                <w:ilvl w:val="0"/>
                <w:numId w:val="10"/>
              </w:numPr>
              <w:autoSpaceDE/>
              <w:autoSpaceDN/>
              <w:adjustRightInd/>
              <w:contextualSpacing/>
            </w:pPr>
            <w:r w:rsidRPr="004146B9">
              <w:t>Onsite clinical and support services or linkage agreements for off-site services</w:t>
            </w:r>
          </w:p>
        </w:tc>
        <w:tc>
          <w:tcPr>
            <w:tcW w:w="498" w:type="dxa"/>
            <w:vAlign w:val="center"/>
          </w:tcPr>
          <w:p w:rsidR="00B42177" w:rsidP="00921FC1" w:rsidRDefault="00B42177" w14:paraId="165F1399" w14:textId="77777777">
            <w:pPr>
              <w:jc w:val="center"/>
            </w:pPr>
          </w:p>
        </w:tc>
        <w:tc>
          <w:tcPr>
            <w:tcW w:w="498" w:type="dxa"/>
            <w:vAlign w:val="center"/>
          </w:tcPr>
          <w:p w:rsidR="00B42177" w:rsidP="00921FC1" w:rsidRDefault="00B42177" w14:paraId="587F95D8" w14:textId="77777777">
            <w:pPr>
              <w:jc w:val="center"/>
            </w:pPr>
            <w:r>
              <w:t>X</w:t>
            </w:r>
          </w:p>
        </w:tc>
        <w:tc>
          <w:tcPr>
            <w:tcW w:w="505" w:type="dxa"/>
            <w:vAlign w:val="center"/>
          </w:tcPr>
          <w:p w:rsidR="00B42177" w:rsidP="00921FC1" w:rsidRDefault="00B42177" w14:paraId="31A46154" w14:textId="77777777">
            <w:pPr>
              <w:jc w:val="center"/>
            </w:pPr>
          </w:p>
        </w:tc>
        <w:tc>
          <w:tcPr>
            <w:tcW w:w="498" w:type="dxa"/>
            <w:vAlign w:val="center"/>
          </w:tcPr>
          <w:p w:rsidR="00B42177" w:rsidP="00921FC1" w:rsidRDefault="00B42177" w14:paraId="0A368F89" w14:textId="77777777">
            <w:pPr>
              <w:jc w:val="center"/>
            </w:pPr>
          </w:p>
        </w:tc>
      </w:tr>
      <w:tr w:rsidR="00B42177" w:rsidTr="00921FC1" w14:paraId="1E0CA37A" w14:textId="77777777">
        <w:tc>
          <w:tcPr>
            <w:tcW w:w="7351" w:type="dxa"/>
          </w:tcPr>
          <w:p w:rsidR="00B42177" w:rsidP="00B42177" w:rsidRDefault="00B42177" w14:paraId="652B37D6" w14:textId="77777777">
            <w:pPr>
              <w:pStyle w:val="ListParagraph"/>
              <w:widowControl/>
              <w:numPr>
                <w:ilvl w:val="0"/>
                <w:numId w:val="10"/>
              </w:numPr>
              <w:autoSpaceDE/>
              <w:autoSpaceDN/>
              <w:adjustRightInd/>
              <w:contextualSpacing/>
            </w:pPr>
            <w:r w:rsidRPr="008111E9">
              <w:t>HIV testing for partners of HIV patients and others</w:t>
            </w:r>
          </w:p>
        </w:tc>
        <w:tc>
          <w:tcPr>
            <w:tcW w:w="498" w:type="dxa"/>
            <w:vAlign w:val="center"/>
          </w:tcPr>
          <w:p w:rsidR="00B42177" w:rsidP="00921FC1" w:rsidRDefault="00B42177" w14:paraId="460A05AD" w14:textId="77777777">
            <w:pPr>
              <w:jc w:val="center"/>
            </w:pPr>
            <w:r>
              <w:t>X</w:t>
            </w:r>
          </w:p>
        </w:tc>
        <w:tc>
          <w:tcPr>
            <w:tcW w:w="498" w:type="dxa"/>
            <w:vAlign w:val="center"/>
          </w:tcPr>
          <w:p w:rsidR="00B42177" w:rsidP="00921FC1" w:rsidRDefault="00B42177" w14:paraId="09889E22" w14:textId="77777777">
            <w:pPr>
              <w:jc w:val="center"/>
            </w:pPr>
          </w:p>
        </w:tc>
        <w:tc>
          <w:tcPr>
            <w:tcW w:w="505" w:type="dxa"/>
            <w:vAlign w:val="center"/>
          </w:tcPr>
          <w:p w:rsidR="00B42177" w:rsidP="00921FC1" w:rsidRDefault="00B42177" w14:paraId="5927417C" w14:textId="77777777">
            <w:pPr>
              <w:jc w:val="center"/>
            </w:pPr>
          </w:p>
        </w:tc>
        <w:tc>
          <w:tcPr>
            <w:tcW w:w="498" w:type="dxa"/>
            <w:vAlign w:val="center"/>
          </w:tcPr>
          <w:p w:rsidR="00B42177" w:rsidP="00921FC1" w:rsidRDefault="00B42177" w14:paraId="520828A8" w14:textId="77777777">
            <w:pPr>
              <w:jc w:val="center"/>
            </w:pPr>
          </w:p>
        </w:tc>
      </w:tr>
      <w:tr w:rsidR="00B42177" w:rsidTr="00921FC1" w14:paraId="744D563D" w14:textId="77777777">
        <w:tc>
          <w:tcPr>
            <w:tcW w:w="7351" w:type="dxa"/>
          </w:tcPr>
          <w:p w:rsidR="00B42177" w:rsidP="00B42177" w:rsidRDefault="00B42177" w14:paraId="65E84F1E" w14:textId="77777777">
            <w:pPr>
              <w:pStyle w:val="ListParagraph"/>
              <w:widowControl/>
              <w:numPr>
                <w:ilvl w:val="1"/>
                <w:numId w:val="10"/>
              </w:numPr>
              <w:autoSpaceDE/>
              <w:autoSpaceDN/>
              <w:adjustRightInd/>
              <w:contextualSpacing/>
            </w:pPr>
            <w:r w:rsidRPr="008111E9">
              <w:t>Clinic-based</w:t>
            </w:r>
          </w:p>
        </w:tc>
        <w:tc>
          <w:tcPr>
            <w:tcW w:w="498" w:type="dxa"/>
            <w:vAlign w:val="center"/>
          </w:tcPr>
          <w:p w:rsidR="00B42177" w:rsidP="00921FC1" w:rsidRDefault="00B42177" w14:paraId="1C301CE6" w14:textId="77777777">
            <w:pPr>
              <w:jc w:val="center"/>
            </w:pPr>
            <w:r>
              <w:t>X</w:t>
            </w:r>
          </w:p>
        </w:tc>
        <w:tc>
          <w:tcPr>
            <w:tcW w:w="498" w:type="dxa"/>
            <w:vAlign w:val="center"/>
          </w:tcPr>
          <w:p w:rsidR="00B42177" w:rsidP="00921FC1" w:rsidRDefault="00B42177" w14:paraId="7CD165B7" w14:textId="77777777">
            <w:pPr>
              <w:jc w:val="center"/>
            </w:pPr>
          </w:p>
        </w:tc>
        <w:tc>
          <w:tcPr>
            <w:tcW w:w="505" w:type="dxa"/>
            <w:vAlign w:val="center"/>
          </w:tcPr>
          <w:p w:rsidR="00B42177" w:rsidP="00921FC1" w:rsidRDefault="00B42177" w14:paraId="0838063C" w14:textId="77777777">
            <w:pPr>
              <w:jc w:val="center"/>
            </w:pPr>
          </w:p>
        </w:tc>
        <w:tc>
          <w:tcPr>
            <w:tcW w:w="498" w:type="dxa"/>
            <w:vAlign w:val="center"/>
          </w:tcPr>
          <w:p w:rsidR="00B42177" w:rsidP="00921FC1" w:rsidRDefault="00B42177" w14:paraId="6853DCDF" w14:textId="77777777">
            <w:pPr>
              <w:jc w:val="center"/>
            </w:pPr>
          </w:p>
        </w:tc>
      </w:tr>
      <w:tr w:rsidR="00B42177" w:rsidTr="00921FC1" w14:paraId="48635221" w14:textId="77777777">
        <w:tc>
          <w:tcPr>
            <w:tcW w:w="7351" w:type="dxa"/>
          </w:tcPr>
          <w:p w:rsidR="00B42177" w:rsidP="00B42177" w:rsidRDefault="00B42177" w14:paraId="55F24C55" w14:textId="77777777">
            <w:pPr>
              <w:pStyle w:val="ListParagraph"/>
              <w:widowControl/>
              <w:numPr>
                <w:ilvl w:val="1"/>
                <w:numId w:val="10"/>
              </w:numPr>
              <w:autoSpaceDE/>
              <w:autoSpaceDN/>
              <w:adjustRightInd/>
              <w:contextualSpacing/>
            </w:pPr>
            <w:r w:rsidRPr="004F3F1A">
              <w:t>Free home self-testing</w:t>
            </w:r>
          </w:p>
        </w:tc>
        <w:tc>
          <w:tcPr>
            <w:tcW w:w="498" w:type="dxa"/>
            <w:vAlign w:val="center"/>
          </w:tcPr>
          <w:p w:rsidR="00B42177" w:rsidP="00921FC1" w:rsidRDefault="00B42177" w14:paraId="4B67418E" w14:textId="77777777">
            <w:pPr>
              <w:jc w:val="center"/>
            </w:pPr>
          </w:p>
        </w:tc>
        <w:tc>
          <w:tcPr>
            <w:tcW w:w="498" w:type="dxa"/>
            <w:vAlign w:val="center"/>
          </w:tcPr>
          <w:p w:rsidR="00B42177" w:rsidP="00921FC1" w:rsidRDefault="00B42177" w14:paraId="534AB4E9" w14:textId="77777777">
            <w:pPr>
              <w:jc w:val="center"/>
            </w:pPr>
          </w:p>
        </w:tc>
        <w:tc>
          <w:tcPr>
            <w:tcW w:w="505" w:type="dxa"/>
            <w:vAlign w:val="center"/>
          </w:tcPr>
          <w:p w:rsidR="00B42177" w:rsidP="00921FC1" w:rsidRDefault="00B42177" w14:paraId="740B1DB1" w14:textId="77777777">
            <w:pPr>
              <w:jc w:val="center"/>
            </w:pPr>
          </w:p>
        </w:tc>
        <w:tc>
          <w:tcPr>
            <w:tcW w:w="498" w:type="dxa"/>
            <w:vAlign w:val="center"/>
          </w:tcPr>
          <w:p w:rsidR="00B42177" w:rsidP="00921FC1" w:rsidRDefault="00B42177" w14:paraId="697F0157" w14:textId="77777777">
            <w:pPr>
              <w:jc w:val="center"/>
            </w:pPr>
          </w:p>
        </w:tc>
      </w:tr>
      <w:tr w:rsidR="00B42177" w:rsidTr="00921FC1" w14:paraId="2C3C17D5" w14:textId="77777777">
        <w:tc>
          <w:tcPr>
            <w:tcW w:w="7351" w:type="dxa"/>
          </w:tcPr>
          <w:p w:rsidR="00B42177" w:rsidP="00B42177" w:rsidRDefault="00B42177" w14:paraId="25528891" w14:textId="77777777">
            <w:pPr>
              <w:pStyle w:val="ListParagraph"/>
              <w:widowControl/>
              <w:numPr>
                <w:ilvl w:val="0"/>
                <w:numId w:val="10"/>
              </w:numPr>
              <w:autoSpaceDE/>
              <w:autoSpaceDN/>
              <w:adjustRightInd/>
              <w:contextualSpacing/>
            </w:pPr>
            <w:r w:rsidRPr="004F3F1A">
              <w:t>Syringe services</w:t>
            </w:r>
          </w:p>
        </w:tc>
        <w:tc>
          <w:tcPr>
            <w:tcW w:w="498" w:type="dxa"/>
            <w:vAlign w:val="center"/>
          </w:tcPr>
          <w:p w:rsidR="00B42177" w:rsidP="00921FC1" w:rsidRDefault="00B42177" w14:paraId="6A4DEE93" w14:textId="77777777">
            <w:pPr>
              <w:jc w:val="center"/>
            </w:pPr>
          </w:p>
        </w:tc>
        <w:tc>
          <w:tcPr>
            <w:tcW w:w="498" w:type="dxa"/>
            <w:vAlign w:val="center"/>
          </w:tcPr>
          <w:p w:rsidR="00B42177" w:rsidP="00921FC1" w:rsidRDefault="00B42177" w14:paraId="4AC67DAE" w14:textId="77777777">
            <w:pPr>
              <w:jc w:val="center"/>
            </w:pPr>
          </w:p>
        </w:tc>
        <w:tc>
          <w:tcPr>
            <w:tcW w:w="505" w:type="dxa"/>
            <w:vAlign w:val="center"/>
          </w:tcPr>
          <w:p w:rsidR="00B42177" w:rsidP="00921FC1" w:rsidRDefault="00B42177" w14:paraId="3BD054DA" w14:textId="77777777">
            <w:pPr>
              <w:jc w:val="center"/>
            </w:pPr>
            <w:r>
              <w:t>X</w:t>
            </w:r>
          </w:p>
        </w:tc>
        <w:tc>
          <w:tcPr>
            <w:tcW w:w="498" w:type="dxa"/>
            <w:vAlign w:val="center"/>
          </w:tcPr>
          <w:p w:rsidR="00B42177" w:rsidP="00921FC1" w:rsidRDefault="00B42177" w14:paraId="42540477" w14:textId="77777777">
            <w:pPr>
              <w:jc w:val="center"/>
            </w:pPr>
          </w:p>
        </w:tc>
      </w:tr>
      <w:tr w:rsidR="00B42177" w:rsidTr="00921FC1" w14:paraId="4C655DB4" w14:textId="77777777">
        <w:tc>
          <w:tcPr>
            <w:tcW w:w="7351" w:type="dxa"/>
          </w:tcPr>
          <w:p w:rsidRPr="00935585" w:rsidR="00B42177" w:rsidP="00921FC1" w:rsidRDefault="00B42177" w14:paraId="186B0E9D" w14:textId="77777777">
            <w:pPr>
              <w:rPr>
                <w:b/>
              </w:rPr>
            </w:pPr>
            <w:r>
              <w:rPr>
                <w:b/>
              </w:rPr>
              <w:t>Enrollment and initiation of antiretroviral therapy</w:t>
            </w:r>
          </w:p>
        </w:tc>
        <w:tc>
          <w:tcPr>
            <w:tcW w:w="498" w:type="dxa"/>
            <w:vAlign w:val="center"/>
          </w:tcPr>
          <w:p w:rsidR="00B42177" w:rsidP="00921FC1" w:rsidRDefault="00B42177" w14:paraId="5E1C5468" w14:textId="77777777">
            <w:pPr>
              <w:jc w:val="center"/>
            </w:pPr>
          </w:p>
        </w:tc>
        <w:tc>
          <w:tcPr>
            <w:tcW w:w="498" w:type="dxa"/>
            <w:vAlign w:val="center"/>
          </w:tcPr>
          <w:p w:rsidR="00B42177" w:rsidP="00921FC1" w:rsidRDefault="00B42177" w14:paraId="7FDEFC88" w14:textId="77777777">
            <w:pPr>
              <w:jc w:val="center"/>
            </w:pPr>
          </w:p>
        </w:tc>
        <w:tc>
          <w:tcPr>
            <w:tcW w:w="505" w:type="dxa"/>
            <w:vAlign w:val="center"/>
          </w:tcPr>
          <w:p w:rsidR="00B42177" w:rsidP="00921FC1" w:rsidRDefault="00B42177" w14:paraId="288AFD0C" w14:textId="77777777">
            <w:pPr>
              <w:jc w:val="center"/>
            </w:pPr>
          </w:p>
        </w:tc>
        <w:tc>
          <w:tcPr>
            <w:tcW w:w="498" w:type="dxa"/>
            <w:vAlign w:val="center"/>
          </w:tcPr>
          <w:p w:rsidR="00B42177" w:rsidP="00921FC1" w:rsidRDefault="00B42177" w14:paraId="771A70C6" w14:textId="77777777">
            <w:pPr>
              <w:jc w:val="center"/>
            </w:pPr>
          </w:p>
        </w:tc>
      </w:tr>
      <w:tr w:rsidR="00B42177" w:rsidTr="00921FC1" w14:paraId="0AF26AD0" w14:textId="77777777">
        <w:tc>
          <w:tcPr>
            <w:tcW w:w="7351" w:type="dxa"/>
          </w:tcPr>
          <w:p w:rsidRPr="00A458D1" w:rsidR="00B42177" w:rsidP="00B42177" w:rsidRDefault="00B42177" w14:paraId="67C8B34E" w14:textId="77777777">
            <w:pPr>
              <w:pStyle w:val="ListParagraph"/>
              <w:widowControl/>
              <w:numPr>
                <w:ilvl w:val="0"/>
                <w:numId w:val="14"/>
              </w:numPr>
              <w:autoSpaceDE/>
              <w:autoSpaceDN/>
              <w:adjustRightInd/>
              <w:contextualSpacing/>
              <w:rPr>
                <w:bCs/>
              </w:rPr>
            </w:pPr>
            <w:r w:rsidRPr="00A458D1">
              <w:rPr>
                <w:bCs/>
              </w:rPr>
              <w:t>Rapid linkage</w:t>
            </w:r>
            <w:r>
              <w:rPr>
                <w:bCs/>
              </w:rPr>
              <w:t xml:space="preserve"> to care and barriers</w:t>
            </w:r>
          </w:p>
        </w:tc>
        <w:tc>
          <w:tcPr>
            <w:tcW w:w="498" w:type="dxa"/>
            <w:vAlign w:val="center"/>
          </w:tcPr>
          <w:p w:rsidR="00B42177" w:rsidP="00921FC1" w:rsidRDefault="00B42177" w14:paraId="1993AD47" w14:textId="77777777">
            <w:pPr>
              <w:jc w:val="center"/>
            </w:pPr>
          </w:p>
        </w:tc>
        <w:tc>
          <w:tcPr>
            <w:tcW w:w="498" w:type="dxa"/>
            <w:vAlign w:val="center"/>
          </w:tcPr>
          <w:p w:rsidR="00B42177" w:rsidP="00921FC1" w:rsidRDefault="00B42177" w14:paraId="516B2C86" w14:textId="77777777">
            <w:pPr>
              <w:jc w:val="center"/>
            </w:pPr>
            <w:r>
              <w:t>X</w:t>
            </w:r>
          </w:p>
        </w:tc>
        <w:tc>
          <w:tcPr>
            <w:tcW w:w="505" w:type="dxa"/>
            <w:vAlign w:val="center"/>
          </w:tcPr>
          <w:p w:rsidR="00B42177" w:rsidP="00921FC1" w:rsidRDefault="00B42177" w14:paraId="1797DF35" w14:textId="77777777">
            <w:pPr>
              <w:jc w:val="center"/>
            </w:pPr>
          </w:p>
        </w:tc>
        <w:tc>
          <w:tcPr>
            <w:tcW w:w="498" w:type="dxa"/>
            <w:vAlign w:val="center"/>
          </w:tcPr>
          <w:p w:rsidR="00B42177" w:rsidP="00921FC1" w:rsidRDefault="00B42177" w14:paraId="385AB584" w14:textId="77777777">
            <w:pPr>
              <w:jc w:val="center"/>
            </w:pPr>
          </w:p>
        </w:tc>
      </w:tr>
      <w:tr w:rsidR="00B42177" w:rsidTr="00921FC1" w14:paraId="36E6EE99" w14:textId="77777777">
        <w:tc>
          <w:tcPr>
            <w:tcW w:w="7351" w:type="dxa"/>
          </w:tcPr>
          <w:p w:rsidRPr="00A458D1" w:rsidR="00B42177" w:rsidP="00B42177" w:rsidRDefault="00B42177" w14:paraId="10F86995" w14:textId="77777777">
            <w:pPr>
              <w:pStyle w:val="ListParagraph"/>
              <w:widowControl/>
              <w:numPr>
                <w:ilvl w:val="0"/>
                <w:numId w:val="14"/>
              </w:numPr>
              <w:autoSpaceDE/>
              <w:autoSpaceDN/>
              <w:adjustRightInd/>
              <w:contextualSpacing/>
              <w:rPr>
                <w:bCs/>
              </w:rPr>
            </w:pPr>
            <w:r w:rsidRPr="00A458D1">
              <w:rPr>
                <w:bCs/>
              </w:rPr>
              <w:t>Rapid ART initiation</w:t>
            </w:r>
            <w:r>
              <w:rPr>
                <w:bCs/>
              </w:rPr>
              <w:t xml:space="preserve"> and barriers</w:t>
            </w:r>
          </w:p>
        </w:tc>
        <w:tc>
          <w:tcPr>
            <w:tcW w:w="498" w:type="dxa"/>
            <w:vAlign w:val="center"/>
          </w:tcPr>
          <w:p w:rsidR="00B42177" w:rsidP="00921FC1" w:rsidRDefault="00B42177" w14:paraId="24F73F90" w14:textId="77777777">
            <w:pPr>
              <w:jc w:val="center"/>
            </w:pPr>
          </w:p>
        </w:tc>
        <w:tc>
          <w:tcPr>
            <w:tcW w:w="498" w:type="dxa"/>
            <w:vAlign w:val="center"/>
          </w:tcPr>
          <w:p w:rsidR="00B42177" w:rsidP="00921FC1" w:rsidRDefault="00B42177" w14:paraId="3C4E4743" w14:textId="77777777">
            <w:pPr>
              <w:jc w:val="center"/>
            </w:pPr>
            <w:r>
              <w:t>X</w:t>
            </w:r>
          </w:p>
        </w:tc>
        <w:tc>
          <w:tcPr>
            <w:tcW w:w="505" w:type="dxa"/>
            <w:vAlign w:val="center"/>
          </w:tcPr>
          <w:p w:rsidR="00B42177" w:rsidP="00921FC1" w:rsidRDefault="00B42177" w14:paraId="2210A7EA" w14:textId="77777777">
            <w:pPr>
              <w:jc w:val="center"/>
            </w:pPr>
          </w:p>
        </w:tc>
        <w:tc>
          <w:tcPr>
            <w:tcW w:w="498" w:type="dxa"/>
            <w:vAlign w:val="center"/>
          </w:tcPr>
          <w:p w:rsidR="00B42177" w:rsidP="00921FC1" w:rsidRDefault="00B42177" w14:paraId="740675ED" w14:textId="77777777">
            <w:pPr>
              <w:jc w:val="center"/>
            </w:pPr>
          </w:p>
        </w:tc>
      </w:tr>
      <w:tr w:rsidR="00B42177" w:rsidTr="00921FC1" w14:paraId="1A6BF7BB" w14:textId="77777777">
        <w:tc>
          <w:tcPr>
            <w:tcW w:w="7351" w:type="dxa"/>
          </w:tcPr>
          <w:p w:rsidRPr="00935585" w:rsidR="00B42177" w:rsidP="00921FC1" w:rsidRDefault="00B42177" w14:paraId="545C33D4" w14:textId="77777777">
            <w:pPr>
              <w:rPr>
                <w:b/>
              </w:rPr>
            </w:pPr>
            <w:r w:rsidRPr="00935585">
              <w:rPr>
                <w:b/>
              </w:rPr>
              <w:t xml:space="preserve">HIV </w:t>
            </w:r>
            <w:r>
              <w:rPr>
                <w:b/>
              </w:rPr>
              <w:t>telehealth/</w:t>
            </w:r>
            <w:r w:rsidRPr="00935585">
              <w:rPr>
                <w:b/>
              </w:rPr>
              <w:t xml:space="preserve">telemedicine </w:t>
            </w:r>
          </w:p>
        </w:tc>
        <w:tc>
          <w:tcPr>
            <w:tcW w:w="498" w:type="dxa"/>
            <w:vAlign w:val="center"/>
          </w:tcPr>
          <w:p w:rsidR="00B42177" w:rsidP="00921FC1" w:rsidRDefault="00B42177" w14:paraId="703D3A75" w14:textId="77777777">
            <w:pPr>
              <w:jc w:val="center"/>
            </w:pPr>
          </w:p>
        </w:tc>
        <w:tc>
          <w:tcPr>
            <w:tcW w:w="498" w:type="dxa"/>
            <w:vAlign w:val="center"/>
          </w:tcPr>
          <w:p w:rsidR="00B42177" w:rsidP="00921FC1" w:rsidRDefault="00B42177" w14:paraId="77F890AA" w14:textId="77777777">
            <w:pPr>
              <w:jc w:val="center"/>
            </w:pPr>
          </w:p>
        </w:tc>
        <w:tc>
          <w:tcPr>
            <w:tcW w:w="505" w:type="dxa"/>
            <w:vAlign w:val="center"/>
          </w:tcPr>
          <w:p w:rsidR="00B42177" w:rsidP="00921FC1" w:rsidRDefault="00B42177" w14:paraId="15D2B4D5" w14:textId="77777777">
            <w:pPr>
              <w:jc w:val="center"/>
            </w:pPr>
          </w:p>
        </w:tc>
        <w:tc>
          <w:tcPr>
            <w:tcW w:w="498" w:type="dxa"/>
            <w:vAlign w:val="center"/>
          </w:tcPr>
          <w:p w:rsidR="00B42177" w:rsidP="00921FC1" w:rsidRDefault="00B42177" w14:paraId="4F701895" w14:textId="77777777">
            <w:pPr>
              <w:jc w:val="center"/>
            </w:pPr>
          </w:p>
        </w:tc>
      </w:tr>
      <w:tr w:rsidR="00B42177" w:rsidTr="00921FC1" w14:paraId="7743E211" w14:textId="77777777">
        <w:tc>
          <w:tcPr>
            <w:tcW w:w="7351" w:type="dxa"/>
          </w:tcPr>
          <w:p w:rsidR="00B42177" w:rsidP="00B42177" w:rsidRDefault="00B42177" w14:paraId="3B0B6E1E" w14:textId="77777777">
            <w:pPr>
              <w:pStyle w:val="ListParagraph"/>
              <w:widowControl/>
              <w:numPr>
                <w:ilvl w:val="0"/>
                <w:numId w:val="11"/>
              </w:numPr>
              <w:autoSpaceDE/>
              <w:autoSpaceDN/>
              <w:adjustRightInd/>
              <w:contextualSpacing/>
            </w:pPr>
            <w:r>
              <w:t>Receipt of and delivery of remote consultation</w:t>
            </w:r>
          </w:p>
        </w:tc>
        <w:tc>
          <w:tcPr>
            <w:tcW w:w="498" w:type="dxa"/>
            <w:vAlign w:val="center"/>
          </w:tcPr>
          <w:p w:rsidR="00B42177" w:rsidP="00921FC1" w:rsidRDefault="00B42177" w14:paraId="408C3CAE" w14:textId="77777777">
            <w:pPr>
              <w:jc w:val="center"/>
            </w:pPr>
          </w:p>
        </w:tc>
        <w:tc>
          <w:tcPr>
            <w:tcW w:w="498" w:type="dxa"/>
            <w:vAlign w:val="center"/>
          </w:tcPr>
          <w:p w:rsidR="00B42177" w:rsidP="00921FC1" w:rsidRDefault="00B42177" w14:paraId="5F00B97F" w14:textId="77777777">
            <w:pPr>
              <w:jc w:val="center"/>
            </w:pPr>
            <w:r w:rsidRPr="004A3CD9">
              <w:t>X</w:t>
            </w:r>
          </w:p>
        </w:tc>
        <w:tc>
          <w:tcPr>
            <w:tcW w:w="505" w:type="dxa"/>
            <w:vAlign w:val="center"/>
          </w:tcPr>
          <w:p w:rsidR="00B42177" w:rsidP="00921FC1" w:rsidRDefault="00B42177" w14:paraId="39D9389F" w14:textId="77777777">
            <w:pPr>
              <w:jc w:val="center"/>
            </w:pPr>
          </w:p>
        </w:tc>
        <w:tc>
          <w:tcPr>
            <w:tcW w:w="498" w:type="dxa"/>
            <w:vAlign w:val="center"/>
          </w:tcPr>
          <w:p w:rsidR="00B42177" w:rsidP="00921FC1" w:rsidRDefault="00B42177" w14:paraId="5D5DEC6C" w14:textId="77777777">
            <w:pPr>
              <w:jc w:val="center"/>
            </w:pPr>
          </w:p>
        </w:tc>
      </w:tr>
      <w:tr w:rsidR="00B42177" w:rsidTr="00921FC1" w14:paraId="3DE5C66C" w14:textId="77777777">
        <w:tc>
          <w:tcPr>
            <w:tcW w:w="7351" w:type="dxa"/>
          </w:tcPr>
          <w:p w:rsidR="00B42177" w:rsidP="00B42177" w:rsidRDefault="00B42177" w14:paraId="0244A987" w14:textId="77777777">
            <w:pPr>
              <w:pStyle w:val="ListParagraph"/>
              <w:widowControl/>
              <w:numPr>
                <w:ilvl w:val="0"/>
                <w:numId w:val="11"/>
              </w:numPr>
              <w:autoSpaceDE/>
              <w:autoSpaceDN/>
              <w:adjustRightInd/>
              <w:contextualSpacing/>
            </w:pPr>
            <w:r w:rsidRPr="00007830">
              <w:t>Direct HIV care by videoconference</w:t>
            </w:r>
          </w:p>
        </w:tc>
        <w:tc>
          <w:tcPr>
            <w:tcW w:w="498" w:type="dxa"/>
            <w:vAlign w:val="center"/>
          </w:tcPr>
          <w:p w:rsidR="00B42177" w:rsidP="00921FC1" w:rsidRDefault="00B42177" w14:paraId="1F28638E" w14:textId="77777777">
            <w:pPr>
              <w:jc w:val="center"/>
            </w:pPr>
          </w:p>
        </w:tc>
        <w:tc>
          <w:tcPr>
            <w:tcW w:w="498" w:type="dxa"/>
            <w:vAlign w:val="center"/>
          </w:tcPr>
          <w:p w:rsidR="00B42177" w:rsidP="00921FC1" w:rsidRDefault="00B42177" w14:paraId="6B800B50" w14:textId="77777777">
            <w:pPr>
              <w:jc w:val="center"/>
            </w:pPr>
            <w:r w:rsidRPr="004A3CD9">
              <w:t>X</w:t>
            </w:r>
          </w:p>
        </w:tc>
        <w:tc>
          <w:tcPr>
            <w:tcW w:w="505" w:type="dxa"/>
            <w:vAlign w:val="center"/>
          </w:tcPr>
          <w:p w:rsidR="00B42177" w:rsidP="00921FC1" w:rsidRDefault="00B42177" w14:paraId="2A3EECE8" w14:textId="77777777">
            <w:pPr>
              <w:jc w:val="center"/>
            </w:pPr>
          </w:p>
        </w:tc>
        <w:tc>
          <w:tcPr>
            <w:tcW w:w="498" w:type="dxa"/>
            <w:vAlign w:val="center"/>
          </w:tcPr>
          <w:p w:rsidR="00B42177" w:rsidP="00921FC1" w:rsidRDefault="00B42177" w14:paraId="4B134909" w14:textId="77777777">
            <w:pPr>
              <w:jc w:val="center"/>
            </w:pPr>
          </w:p>
        </w:tc>
      </w:tr>
      <w:tr w:rsidR="00B42177" w:rsidTr="00921FC1" w14:paraId="27E0207C" w14:textId="77777777">
        <w:tc>
          <w:tcPr>
            <w:tcW w:w="7351" w:type="dxa"/>
          </w:tcPr>
          <w:p w:rsidRPr="00935585" w:rsidR="00B42177" w:rsidP="00921FC1" w:rsidRDefault="00B42177" w14:paraId="32F9E325" w14:textId="77777777">
            <w:pPr>
              <w:rPr>
                <w:b/>
              </w:rPr>
            </w:pPr>
            <w:bookmarkStart w:name="_Hlk61351657" w:id="4"/>
            <w:r>
              <w:rPr>
                <w:b/>
              </w:rPr>
              <w:t>Supporting</w:t>
            </w:r>
            <w:r w:rsidRPr="00935585">
              <w:rPr>
                <w:b/>
              </w:rPr>
              <w:t xml:space="preserve"> retention in care</w:t>
            </w:r>
          </w:p>
        </w:tc>
        <w:tc>
          <w:tcPr>
            <w:tcW w:w="498" w:type="dxa"/>
            <w:vAlign w:val="center"/>
          </w:tcPr>
          <w:p w:rsidR="00B42177" w:rsidP="00921FC1" w:rsidRDefault="00B42177" w14:paraId="378BC7FA" w14:textId="77777777">
            <w:pPr>
              <w:jc w:val="center"/>
            </w:pPr>
          </w:p>
        </w:tc>
        <w:tc>
          <w:tcPr>
            <w:tcW w:w="498" w:type="dxa"/>
            <w:vAlign w:val="center"/>
          </w:tcPr>
          <w:p w:rsidR="00B42177" w:rsidP="00921FC1" w:rsidRDefault="00B42177" w14:paraId="08838AE1" w14:textId="77777777">
            <w:pPr>
              <w:jc w:val="center"/>
            </w:pPr>
          </w:p>
        </w:tc>
        <w:tc>
          <w:tcPr>
            <w:tcW w:w="505" w:type="dxa"/>
            <w:vAlign w:val="center"/>
          </w:tcPr>
          <w:p w:rsidR="00B42177" w:rsidP="00921FC1" w:rsidRDefault="00B42177" w14:paraId="39739109" w14:textId="77777777">
            <w:pPr>
              <w:jc w:val="center"/>
            </w:pPr>
          </w:p>
        </w:tc>
        <w:tc>
          <w:tcPr>
            <w:tcW w:w="498" w:type="dxa"/>
            <w:vAlign w:val="center"/>
          </w:tcPr>
          <w:p w:rsidR="00B42177" w:rsidP="00921FC1" w:rsidRDefault="00B42177" w14:paraId="218FE20F" w14:textId="77777777">
            <w:pPr>
              <w:jc w:val="center"/>
            </w:pPr>
          </w:p>
        </w:tc>
      </w:tr>
      <w:tr w:rsidR="00B42177" w:rsidTr="00921FC1" w14:paraId="2A7DC3B4" w14:textId="77777777">
        <w:tc>
          <w:tcPr>
            <w:tcW w:w="7351" w:type="dxa"/>
          </w:tcPr>
          <w:p w:rsidR="00B42177" w:rsidP="00B42177" w:rsidRDefault="00B42177" w14:paraId="5C4AF004" w14:textId="77777777">
            <w:pPr>
              <w:pStyle w:val="ListParagraph"/>
              <w:widowControl/>
              <w:numPr>
                <w:ilvl w:val="0"/>
                <w:numId w:val="12"/>
              </w:numPr>
              <w:autoSpaceDE/>
              <w:autoSpaceDN/>
              <w:adjustRightInd/>
              <w:contextualSpacing/>
            </w:pPr>
            <w:r>
              <w:t>Types of data used</w:t>
            </w:r>
          </w:p>
        </w:tc>
        <w:tc>
          <w:tcPr>
            <w:tcW w:w="498" w:type="dxa"/>
            <w:vAlign w:val="center"/>
          </w:tcPr>
          <w:p w:rsidR="00B42177" w:rsidP="00921FC1" w:rsidRDefault="00B42177" w14:paraId="41E6A16B" w14:textId="77777777">
            <w:pPr>
              <w:jc w:val="center"/>
            </w:pPr>
          </w:p>
        </w:tc>
        <w:tc>
          <w:tcPr>
            <w:tcW w:w="498" w:type="dxa"/>
            <w:vAlign w:val="center"/>
          </w:tcPr>
          <w:p w:rsidR="00B42177" w:rsidP="00921FC1" w:rsidRDefault="00B42177" w14:paraId="47CB6927" w14:textId="77777777">
            <w:pPr>
              <w:jc w:val="center"/>
            </w:pPr>
            <w:r w:rsidRPr="00FE4753">
              <w:t>X</w:t>
            </w:r>
          </w:p>
        </w:tc>
        <w:tc>
          <w:tcPr>
            <w:tcW w:w="505" w:type="dxa"/>
            <w:vAlign w:val="center"/>
          </w:tcPr>
          <w:p w:rsidR="00B42177" w:rsidP="00921FC1" w:rsidRDefault="00B42177" w14:paraId="618DCA7E" w14:textId="77777777">
            <w:pPr>
              <w:jc w:val="center"/>
            </w:pPr>
          </w:p>
        </w:tc>
        <w:tc>
          <w:tcPr>
            <w:tcW w:w="498" w:type="dxa"/>
            <w:vAlign w:val="center"/>
          </w:tcPr>
          <w:p w:rsidR="00B42177" w:rsidP="00921FC1" w:rsidRDefault="00B42177" w14:paraId="179E2F00" w14:textId="77777777">
            <w:pPr>
              <w:jc w:val="center"/>
            </w:pPr>
          </w:p>
        </w:tc>
      </w:tr>
      <w:bookmarkEnd w:id="4"/>
      <w:tr w:rsidR="00B42177" w:rsidTr="00921FC1" w14:paraId="0EC0C486" w14:textId="77777777">
        <w:tc>
          <w:tcPr>
            <w:tcW w:w="7351" w:type="dxa"/>
          </w:tcPr>
          <w:p w:rsidR="00B42177" w:rsidP="00B42177" w:rsidRDefault="00B42177" w14:paraId="35C9ACC7" w14:textId="77777777">
            <w:pPr>
              <w:pStyle w:val="ListParagraph"/>
              <w:widowControl/>
              <w:numPr>
                <w:ilvl w:val="0"/>
                <w:numId w:val="13"/>
              </w:numPr>
              <w:autoSpaceDE/>
              <w:autoSpaceDN/>
              <w:adjustRightInd/>
              <w:contextualSpacing/>
            </w:pPr>
            <w:r>
              <w:t>Collaboration with public health</w:t>
            </w:r>
          </w:p>
        </w:tc>
        <w:tc>
          <w:tcPr>
            <w:tcW w:w="498" w:type="dxa"/>
            <w:vAlign w:val="center"/>
          </w:tcPr>
          <w:p w:rsidR="00B42177" w:rsidP="00921FC1" w:rsidRDefault="00B42177" w14:paraId="14F626B6" w14:textId="77777777">
            <w:pPr>
              <w:jc w:val="center"/>
            </w:pPr>
          </w:p>
        </w:tc>
        <w:tc>
          <w:tcPr>
            <w:tcW w:w="498" w:type="dxa"/>
            <w:vAlign w:val="center"/>
          </w:tcPr>
          <w:p w:rsidR="00B42177" w:rsidP="00921FC1" w:rsidRDefault="00B42177" w14:paraId="4237D47B" w14:textId="77777777">
            <w:pPr>
              <w:jc w:val="center"/>
            </w:pPr>
            <w:r w:rsidRPr="00FE4753">
              <w:t>X</w:t>
            </w:r>
          </w:p>
        </w:tc>
        <w:tc>
          <w:tcPr>
            <w:tcW w:w="505" w:type="dxa"/>
            <w:vAlign w:val="center"/>
          </w:tcPr>
          <w:p w:rsidR="00B42177" w:rsidP="00921FC1" w:rsidRDefault="00B42177" w14:paraId="72DF4DA5" w14:textId="77777777">
            <w:pPr>
              <w:jc w:val="center"/>
            </w:pPr>
          </w:p>
        </w:tc>
        <w:tc>
          <w:tcPr>
            <w:tcW w:w="498" w:type="dxa"/>
            <w:vAlign w:val="center"/>
          </w:tcPr>
          <w:p w:rsidR="00B42177" w:rsidP="00921FC1" w:rsidRDefault="00B42177" w14:paraId="7BB2A069" w14:textId="77777777">
            <w:pPr>
              <w:jc w:val="center"/>
            </w:pPr>
            <w:r>
              <w:t>X</w:t>
            </w:r>
          </w:p>
        </w:tc>
      </w:tr>
      <w:tr w:rsidR="00B42177" w:rsidTr="00921FC1" w14:paraId="08D6B87E" w14:textId="77777777">
        <w:tc>
          <w:tcPr>
            <w:tcW w:w="7351" w:type="dxa"/>
          </w:tcPr>
          <w:p w:rsidR="00B42177" w:rsidP="00B42177" w:rsidRDefault="00B42177" w14:paraId="143FFD35" w14:textId="77777777">
            <w:pPr>
              <w:pStyle w:val="ListParagraph"/>
              <w:widowControl/>
              <w:numPr>
                <w:ilvl w:val="0"/>
                <w:numId w:val="13"/>
              </w:numPr>
              <w:autoSpaceDE/>
              <w:autoSpaceDN/>
              <w:adjustRightInd/>
              <w:contextualSpacing/>
            </w:pPr>
            <w:r>
              <w:t>Methods/technology to increase retention in care</w:t>
            </w:r>
          </w:p>
        </w:tc>
        <w:tc>
          <w:tcPr>
            <w:tcW w:w="498" w:type="dxa"/>
            <w:vAlign w:val="center"/>
          </w:tcPr>
          <w:p w:rsidR="00B42177" w:rsidP="00921FC1" w:rsidRDefault="00B42177" w14:paraId="75E19A64" w14:textId="77777777">
            <w:pPr>
              <w:jc w:val="center"/>
            </w:pPr>
          </w:p>
        </w:tc>
        <w:tc>
          <w:tcPr>
            <w:tcW w:w="498" w:type="dxa"/>
            <w:vAlign w:val="center"/>
          </w:tcPr>
          <w:p w:rsidR="00B42177" w:rsidP="00921FC1" w:rsidRDefault="00B42177" w14:paraId="6AECDABF" w14:textId="77777777">
            <w:pPr>
              <w:jc w:val="center"/>
            </w:pPr>
            <w:r w:rsidRPr="00FE4753">
              <w:t>X</w:t>
            </w:r>
          </w:p>
        </w:tc>
        <w:tc>
          <w:tcPr>
            <w:tcW w:w="505" w:type="dxa"/>
            <w:vAlign w:val="center"/>
          </w:tcPr>
          <w:p w:rsidR="00B42177" w:rsidP="00921FC1" w:rsidRDefault="00B42177" w14:paraId="1B90CB4C" w14:textId="77777777">
            <w:pPr>
              <w:jc w:val="center"/>
            </w:pPr>
          </w:p>
        </w:tc>
        <w:tc>
          <w:tcPr>
            <w:tcW w:w="498" w:type="dxa"/>
            <w:vAlign w:val="center"/>
          </w:tcPr>
          <w:p w:rsidR="00B42177" w:rsidP="00921FC1" w:rsidRDefault="00B42177" w14:paraId="1CD3EA78" w14:textId="77777777">
            <w:pPr>
              <w:jc w:val="center"/>
            </w:pPr>
          </w:p>
        </w:tc>
      </w:tr>
      <w:tr w:rsidR="00B42177" w:rsidTr="00921FC1" w14:paraId="6809424B" w14:textId="77777777">
        <w:tc>
          <w:tcPr>
            <w:tcW w:w="7351" w:type="dxa"/>
          </w:tcPr>
          <w:p w:rsidRPr="00935585" w:rsidR="00B42177" w:rsidP="00921FC1" w:rsidRDefault="00B42177" w14:paraId="30706469" w14:textId="77777777">
            <w:pPr>
              <w:rPr>
                <w:b/>
              </w:rPr>
            </w:pPr>
            <w:r>
              <w:rPr>
                <w:b/>
              </w:rPr>
              <w:t>Prevention of patient exposure to COVID-19</w:t>
            </w:r>
          </w:p>
        </w:tc>
        <w:tc>
          <w:tcPr>
            <w:tcW w:w="498" w:type="dxa"/>
            <w:vAlign w:val="center"/>
          </w:tcPr>
          <w:p w:rsidR="00B42177" w:rsidP="00921FC1" w:rsidRDefault="00B42177" w14:paraId="62C8D12E" w14:textId="77777777">
            <w:pPr>
              <w:jc w:val="center"/>
            </w:pPr>
          </w:p>
        </w:tc>
        <w:tc>
          <w:tcPr>
            <w:tcW w:w="498" w:type="dxa"/>
            <w:vAlign w:val="center"/>
          </w:tcPr>
          <w:p w:rsidR="00B42177" w:rsidP="00921FC1" w:rsidRDefault="00B42177" w14:paraId="4D0DC506" w14:textId="77777777">
            <w:pPr>
              <w:jc w:val="center"/>
            </w:pPr>
          </w:p>
        </w:tc>
        <w:tc>
          <w:tcPr>
            <w:tcW w:w="505" w:type="dxa"/>
            <w:vAlign w:val="center"/>
          </w:tcPr>
          <w:p w:rsidR="00B42177" w:rsidP="00921FC1" w:rsidRDefault="00B42177" w14:paraId="244C65ED" w14:textId="77777777">
            <w:pPr>
              <w:jc w:val="center"/>
            </w:pPr>
          </w:p>
        </w:tc>
        <w:tc>
          <w:tcPr>
            <w:tcW w:w="498" w:type="dxa"/>
            <w:vAlign w:val="center"/>
          </w:tcPr>
          <w:p w:rsidR="00B42177" w:rsidP="00921FC1" w:rsidRDefault="00B42177" w14:paraId="21EEFA69" w14:textId="77777777">
            <w:pPr>
              <w:jc w:val="center"/>
            </w:pPr>
          </w:p>
        </w:tc>
      </w:tr>
      <w:tr w:rsidR="00B42177" w:rsidTr="00921FC1" w14:paraId="7961623C" w14:textId="77777777">
        <w:tc>
          <w:tcPr>
            <w:tcW w:w="7351" w:type="dxa"/>
          </w:tcPr>
          <w:p w:rsidR="00B42177" w:rsidP="00B42177" w:rsidRDefault="00B42177" w14:paraId="46412145" w14:textId="77777777">
            <w:pPr>
              <w:pStyle w:val="ListParagraph"/>
              <w:widowControl/>
              <w:numPr>
                <w:ilvl w:val="0"/>
                <w:numId w:val="12"/>
              </w:numPr>
              <w:autoSpaceDE/>
              <w:autoSpaceDN/>
              <w:adjustRightInd/>
              <w:contextualSpacing/>
            </w:pPr>
            <w:r>
              <w:t>Measures taken</w:t>
            </w:r>
          </w:p>
        </w:tc>
        <w:tc>
          <w:tcPr>
            <w:tcW w:w="498" w:type="dxa"/>
            <w:vAlign w:val="center"/>
          </w:tcPr>
          <w:p w:rsidR="00B42177" w:rsidP="00921FC1" w:rsidRDefault="00B42177" w14:paraId="4BA62EBB" w14:textId="77777777">
            <w:pPr>
              <w:jc w:val="center"/>
            </w:pPr>
          </w:p>
        </w:tc>
        <w:tc>
          <w:tcPr>
            <w:tcW w:w="498" w:type="dxa"/>
            <w:vAlign w:val="center"/>
          </w:tcPr>
          <w:p w:rsidR="00B42177" w:rsidP="00921FC1" w:rsidRDefault="00B42177" w14:paraId="415B8D88" w14:textId="77777777">
            <w:pPr>
              <w:jc w:val="center"/>
            </w:pPr>
            <w:r w:rsidRPr="00FE4753">
              <w:t>X</w:t>
            </w:r>
          </w:p>
        </w:tc>
        <w:tc>
          <w:tcPr>
            <w:tcW w:w="505" w:type="dxa"/>
            <w:vAlign w:val="center"/>
          </w:tcPr>
          <w:p w:rsidR="00B42177" w:rsidP="00921FC1" w:rsidRDefault="00B42177" w14:paraId="70516CD3" w14:textId="77777777">
            <w:pPr>
              <w:jc w:val="center"/>
            </w:pPr>
          </w:p>
        </w:tc>
        <w:tc>
          <w:tcPr>
            <w:tcW w:w="498" w:type="dxa"/>
            <w:vAlign w:val="center"/>
          </w:tcPr>
          <w:p w:rsidR="00B42177" w:rsidP="00921FC1" w:rsidRDefault="00B42177" w14:paraId="7EC8D35C" w14:textId="77777777">
            <w:pPr>
              <w:jc w:val="center"/>
            </w:pPr>
          </w:p>
        </w:tc>
      </w:tr>
    </w:tbl>
    <w:p w:rsidR="00B42177" w:rsidP="00EC7736" w:rsidRDefault="00B42177" w14:paraId="6C860844" w14:textId="77777777">
      <w:pPr>
        <w:spacing w:after="120"/>
      </w:pPr>
    </w:p>
    <w:p w:rsidRPr="000705F3" w:rsidR="008F7093" w:rsidP="008F7093" w:rsidRDefault="008F7093" w14:paraId="0A99D18E" w14:textId="77777777">
      <w:pPr>
        <w:spacing w:after="120"/>
        <w:rPr>
          <w:b/>
        </w:rPr>
      </w:pPr>
      <w:r w:rsidRPr="000705F3">
        <w:rPr>
          <w:b/>
        </w:rPr>
        <w:t>3. Use of Improved Information Technology and Burden Reduction</w:t>
      </w:r>
    </w:p>
    <w:p w:rsidR="006E27B9" w:rsidP="006E27B9" w:rsidRDefault="006E27B9" w14:paraId="180ABC49" w14:textId="5337AD84">
      <w:pPr>
        <w:spacing w:after="120"/>
      </w:pPr>
      <w:r>
        <w:t xml:space="preserve">The MMP Facility </w:t>
      </w:r>
      <w:bookmarkStart w:name="_Hlk56085259" w:id="5"/>
      <w:r>
        <w:t>Survey will be collected electronically through a web-based application (</w:t>
      </w:r>
      <w:r w:rsidRPr="00075D8F">
        <w:rPr>
          <w:b/>
          <w:bCs/>
        </w:rPr>
        <w:t>Attachment 2</w:t>
      </w:r>
      <w:r w:rsidRPr="001639DE">
        <w:t>)</w:t>
      </w:r>
      <w:bookmarkEnd w:id="5"/>
      <w:r w:rsidRPr="001639DE">
        <w:t xml:space="preserve"> to minimize the burden to respondents and improve the quality of the data. A paper </w:t>
      </w:r>
      <w:r w:rsidRPr="001639DE" w:rsidR="00A54FC4">
        <w:t>questionnaire</w:t>
      </w:r>
      <w:r w:rsidRPr="001639DE">
        <w:t xml:space="preserve"> (</w:t>
      </w:r>
      <w:r w:rsidRPr="00075D8F">
        <w:rPr>
          <w:b/>
          <w:bCs/>
        </w:rPr>
        <w:t xml:space="preserve">Attachment </w:t>
      </w:r>
      <w:r w:rsidR="0079723E">
        <w:rPr>
          <w:b/>
          <w:bCs/>
        </w:rPr>
        <w:t>4</w:t>
      </w:r>
      <w:r w:rsidRPr="001639DE">
        <w:t>) will be sent to respondents and will be completed only by facility staff wh</w:t>
      </w:r>
      <w:r>
        <w:t xml:space="preserve">o do not wish to access the survey electronically. At least fifty percent of facility surveys are expected to be collected electronically. </w:t>
      </w:r>
    </w:p>
    <w:p w:rsidR="006E27B9" w:rsidP="006E27B9" w:rsidRDefault="000579C8" w14:paraId="07516E82" w14:textId="66236BFE">
      <w:pPr>
        <w:spacing w:after="120"/>
      </w:pPr>
      <w:r>
        <w:t>Facilities</w:t>
      </w:r>
      <w:r w:rsidR="006E27B9">
        <w:t xml:space="preserve"> with email addresses will receive an email invitation to participate in the MMP Facility Survey containing a clickable link to the web-based application in addition to the mailed survey recruitment packet</w:t>
      </w:r>
      <w:r w:rsidR="00DB661B">
        <w:t xml:space="preserve"> (</w:t>
      </w:r>
      <w:r w:rsidRPr="00075D8F" w:rsidR="00DB661B">
        <w:rPr>
          <w:b/>
          <w:bCs/>
        </w:rPr>
        <w:t xml:space="preserve">Attachments </w:t>
      </w:r>
      <w:r w:rsidR="0079723E">
        <w:rPr>
          <w:b/>
          <w:bCs/>
        </w:rPr>
        <w:t>5a-5</w:t>
      </w:r>
      <w:r w:rsidR="00904FE1">
        <w:rPr>
          <w:b/>
          <w:bCs/>
        </w:rPr>
        <w:t>e</w:t>
      </w:r>
      <w:r w:rsidR="00DB661B">
        <w:t>)</w:t>
      </w:r>
      <w:r w:rsidR="006E27B9">
        <w:t xml:space="preserve">. Clicking the link will eliminate the need to type the URL for the web-based application in web browser. </w:t>
      </w:r>
    </w:p>
    <w:p w:rsidR="006E27B9" w:rsidP="006E27B9" w:rsidRDefault="006E27B9" w14:paraId="2DDD0787" w14:textId="77777777">
      <w:pPr>
        <w:spacing w:after="120"/>
      </w:pPr>
      <w:r>
        <w:lastRenderedPageBreak/>
        <w:t>The web-based application will be programmed to reduce the burden to the survey respondent by incorporating features such as the use of checkboxes and drop-down lists. Any skip logic will be programmed into the survey so that it occurs automatically, and the user will be able to continue to the desired question or section. The survey will also be programmed to save respondent’s answers automatically, so that users can stop the survey at any point and return to the question that they last completed. Burden is minimized since respondents may participate in the study at their convenience and proceed at their own pace.</w:t>
      </w:r>
    </w:p>
    <w:p w:rsidR="006E27B9" w:rsidP="006E27B9" w:rsidRDefault="006E27B9" w14:paraId="45A49805" w14:textId="21B5CDBA">
      <w:pPr>
        <w:spacing w:after="120"/>
      </w:pPr>
      <w:r>
        <w:t>CDC will require the contractor to monitor data collection daily to ensure that any problems with the website or survey software are immediately identified and remedied. CDC and the contractor will maintain regular meetings to discuss problems and lessons learned as well as to help reduce the burden to respondents participating in the proposed information collection.</w:t>
      </w:r>
    </w:p>
    <w:p w:rsidR="00395C35" w:rsidP="006E27B9" w:rsidRDefault="00395C35" w14:paraId="7F1A8942" w14:textId="54EDD1CD">
      <w:pPr>
        <w:spacing w:after="120"/>
      </w:pPr>
      <w:r>
        <w:t xml:space="preserve">Facilities that do not respond to the survey after multiple recruitment attempts will be offered a short version of the survey that will consist of selected key questions from the full questionnaire </w:t>
      </w:r>
      <w:r w:rsidRPr="001639DE">
        <w:t>(</w:t>
      </w:r>
      <w:r w:rsidRPr="00075D8F">
        <w:rPr>
          <w:b/>
          <w:bCs/>
        </w:rPr>
        <w:t xml:space="preserve">Attachment </w:t>
      </w:r>
      <w:r w:rsidR="0079723E">
        <w:rPr>
          <w:b/>
          <w:bCs/>
        </w:rPr>
        <w:t>6</w:t>
      </w:r>
      <w:r w:rsidRPr="001639DE">
        <w:t xml:space="preserve">). This survey will take no longer than 5 minutes to complete and will be </w:t>
      </w:r>
      <w:r w:rsidRPr="001639DE" w:rsidR="00711CE0">
        <w:t>collected electronically through a web-based application (</w:t>
      </w:r>
      <w:r w:rsidRPr="00075D8F" w:rsidR="00711CE0">
        <w:rPr>
          <w:b/>
          <w:bCs/>
        </w:rPr>
        <w:t xml:space="preserve">Attachment </w:t>
      </w:r>
      <w:r w:rsidR="0079723E">
        <w:rPr>
          <w:b/>
          <w:bCs/>
        </w:rPr>
        <w:t>7</w:t>
      </w:r>
      <w:r w:rsidRPr="001639DE" w:rsidR="00711CE0">
        <w:t>) that will have the same features as the full survey</w:t>
      </w:r>
      <w:r w:rsidR="00711CE0">
        <w:t xml:space="preserve"> application</w:t>
      </w:r>
      <w:r>
        <w:t>.</w:t>
      </w:r>
      <w:r w:rsidR="00711CE0">
        <w:t xml:space="preserve"> At least ninety percent of short facility surveys are expected to be collected electronically.</w:t>
      </w:r>
      <w:r>
        <w:t xml:space="preserve"> </w:t>
      </w:r>
    </w:p>
    <w:p w:rsidR="008F7093" w:rsidP="006E27B9" w:rsidRDefault="006E27B9" w14:paraId="4A08D960" w14:textId="0DD2B09F">
      <w:pPr>
        <w:spacing w:after="120"/>
      </w:pPr>
      <w:r>
        <w:t>Electronic data collection results in a reduction in the time to prepare the final analysis dataset because automated edit checks and skip patterns are built into the survey program for real-time quality control and the need for entry of survey response data has been eliminated.</w:t>
      </w:r>
      <w:r w:rsidR="00A37233">
        <w:t xml:space="preserve"> </w:t>
      </w:r>
    </w:p>
    <w:p w:rsidRPr="000705F3" w:rsidR="008F7093" w:rsidP="008F7093" w:rsidRDefault="008F7093" w14:paraId="508818D5" w14:textId="77777777">
      <w:pPr>
        <w:spacing w:after="120"/>
        <w:rPr>
          <w:b/>
        </w:rPr>
      </w:pPr>
      <w:r w:rsidRPr="000705F3">
        <w:rPr>
          <w:b/>
        </w:rPr>
        <w:t>4. Efforts to Identify Duplication and Use of Similar Information</w:t>
      </w:r>
    </w:p>
    <w:p w:rsidR="008F7093" w:rsidP="008F7093" w:rsidRDefault="001657BA" w14:paraId="102D7EDF" w14:textId="7D491895">
      <w:pPr>
        <w:spacing w:after="120"/>
      </w:pPr>
      <w:r>
        <w:t xml:space="preserve">There is no other source of comprehensive information on the characteristics of HIV care facilities that includes information needed to inform the EHE initiative. </w:t>
      </w:r>
      <w:r w:rsidR="00F96CC2">
        <w:t>While other federal data collections focus on HIV</w:t>
      </w:r>
      <w:r w:rsidR="00AF5CCF">
        <w:t xml:space="preserve">, they do not collect information on the nation’s </w:t>
      </w:r>
      <w:r w:rsidRPr="00AF5CCF" w:rsidR="00AF5CCF">
        <w:t xml:space="preserve">existing HIV care infrastructure and the capacity of facilities to implement </w:t>
      </w:r>
      <w:r w:rsidR="004677F8">
        <w:t>EHE</w:t>
      </w:r>
      <w:r w:rsidRPr="00AF5CCF" w:rsidR="00AF5CCF">
        <w:t xml:space="preserve"> strategies</w:t>
      </w:r>
      <w:r w:rsidR="00347302">
        <w:t xml:space="preserve">. For example, the </w:t>
      </w:r>
      <w:r w:rsidRPr="00347302" w:rsidR="00347302">
        <w:t>N</w:t>
      </w:r>
      <w:r w:rsidR="00347302">
        <w:t xml:space="preserve">ational </w:t>
      </w:r>
      <w:r w:rsidRPr="00347302" w:rsidR="00347302">
        <w:t>H</w:t>
      </w:r>
      <w:r w:rsidR="00347302">
        <w:t xml:space="preserve">IV </w:t>
      </w:r>
      <w:r w:rsidRPr="00347302" w:rsidR="00347302">
        <w:t>S</w:t>
      </w:r>
      <w:r w:rsidR="00347302">
        <w:t xml:space="preserve">urveillance </w:t>
      </w:r>
      <w:r w:rsidRPr="00347302" w:rsidR="00347302">
        <w:t>S</w:t>
      </w:r>
      <w:r w:rsidR="00347302">
        <w:t>ystem (OMB#</w:t>
      </w:r>
      <w:r w:rsidRPr="00347302" w:rsidR="00347302">
        <w:t xml:space="preserve"> 0920-0573, exp. 11/30/2022</w:t>
      </w:r>
      <w:r w:rsidR="00347302">
        <w:t>)</w:t>
      </w:r>
      <w:r w:rsidR="00B076AF">
        <w:t xml:space="preserve"> collects a limited number of individual-level characteristics among a census of persons with diagnose</w:t>
      </w:r>
      <w:r w:rsidR="00D716BD">
        <w:t>d</w:t>
      </w:r>
      <w:r w:rsidR="00B076AF">
        <w:t xml:space="preserve"> HIV but does not collect information on the characteristics and service capacity of HIV care providers. MMP (OMB#</w:t>
      </w:r>
      <w:r w:rsidRPr="00B076AF" w:rsidR="00B076AF">
        <w:t xml:space="preserve"> 0920-0740</w:t>
      </w:r>
      <w:r w:rsidR="00B076AF">
        <w:t>, exp. 6/30/2021</w:t>
      </w:r>
      <w:r w:rsidRPr="00B076AF" w:rsidR="00B076AF">
        <w:t>)</w:t>
      </w:r>
      <w:r w:rsidR="00B076AF">
        <w:t xml:space="preserve"> collects information on clinical and behavioral characteristics among a probability sample of adults with diagnosed HIV but does not collect information about the HIV care facilities those persons attend. The National HIV Behavioral Surveillance System (</w:t>
      </w:r>
      <w:r w:rsidRPr="00B076AF" w:rsidR="00B076AF">
        <w:t>OMB# 0920-07</w:t>
      </w:r>
      <w:r w:rsidR="00B076AF">
        <w:t>70</w:t>
      </w:r>
      <w:r w:rsidRPr="00B076AF" w:rsidR="00B076AF">
        <w:t xml:space="preserve">, exp. </w:t>
      </w:r>
      <w:r w:rsidR="00B076AF">
        <w:t>1</w:t>
      </w:r>
      <w:r w:rsidRPr="00B076AF" w:rsidR="00B076AF">
        <w:t>/3</w:t>
      </w:r>
      <w:r w:rsidR="00B076AF">
        <w:t>1</w:t>
      </w:r>
      <w:r w:rsidRPr="00B076AF" w:rsidR="00B076AF">
        <w:t>/202</w:t>
      </w:r>
      <w:r w:rsidR="00B076AF">
        <w:t>3</w:t>
      </w:r>
      <w:r w:rsidRPr="00B076AF" w:rsidR="00B076AF">
        <w:t>)</w:t>
      </w:r>
      <w:r w:rsidR="00B076AF">
        <w:t xml:space="preserve"> collects</w:t>
      </w:r>
      <w:r w:rsidRPr="00B076AF" w:rsidR="00B076AF">
        <w:t xml:space="preserve"> data on specific populations at increased risk for HIV infection (men who have sex with men, drug users and high-risk heterosexuals)</w:t>
      </w:r>
      <w:r w:rsidR="00B076AF">
        <w:t xml:space="preserve"> but does not collect information on medical facilities attended by these persons. </w:t>
      </w:r>
    </w:p>
    <w:p w:rsidRPr="000705F3" w:rsidR="008F7093" w:rsidP="008F7093" w:rsidRDefault="008F7093" w14:paraId="3C68DC2C" w14:textId="77777777">
      <w:pPr>
        <w:spacing w:after="120"/>
        <w:rPr>
          <w:b/>
        </w:rPr>
      </w:pPr>
      <w:r w:rsidRPr="000705F3">
        <w:rPr>
          <w:b/>
        </w:rPr>
        <w:t>5. Impact on Small Businesses or Other Small Entities</w:t>
      </w:r>
    </w:p>
    <w:p w:rsidR="008F7093" w:rsidP="008F7093" w:rsidRDefault="001657BA" w14:paraId="1DD34F71" w14:textId="39F2F480">
      <w:pPr>
        <w:spacing w:after="120"/>
      </w:pPr>
      <w:r w:rsidRPr="001657BA">
        <w:t>Data collection will be kept to a minimum to lessen the burden on small businesses, i.e., privately owned medical practices. Participation in the provider survey is voluntary and can be completed in 30 minutes</w:t>
      </w:r>
      <w:r>
        <w:t xml:space="preserve"> or less</w:t>
      </w:r>
      <w:r w:rsidR="008F7093">
        <w:t>.</w:t>
      </w:r>
      <w:r w:rsidRPr="00541B7B" w:rsidR="00541B7B">
        <w:t xml:space="preserve"> </w:t>
      </w:r>
      <w:r w:rsidR="00541B7B">
        <w:t>A</w:t>
      </w:r>
      <w:r w:rsidRPr="00541B7B" w:rsidR="00541B7B">
        <w:t>lthough the survey has a question that will identify small practices, there are no facility selection criteria that aim to target small practices. The survey is designed as a one-time collection and does not impose ongoing burden to any participating facilities.</w:t>
      </w:r>
    </w:p>
    <w:p w:rsidRPr="000705F3" w:rsidR="008F7093" w:rsidP="008F7093" w:rsidRDefault="008F7093" w14:paraId="4E9B5227" w14:textId="77777777">
      <w:pPr>
        <w:spacing w:after="120"/>
        <w:rPr>
          <w:b/>
        </w:rPr>
      </w:pPr>
      <w:r w:rsidRPr="000705F3">
        <w:rPr>
          <w:b/>
        </w:rPr>
        <w:t>6. Consequences of Collecting the Information Less Frequently</w:t>
      </w:r>
    </w:p>
    <w:p w:rsidR="008F7093" w:rsidP="008F7093" w:rsidRDefault="005E7D28" w14:paraId="37AB9389" w14:textId="05E0DA19">
      <w:pPr>
        <w:spacing w:after="120"/>
      </w:pPr>
      <w:r w:rsidRPr="005E7D28">
        <w:t>The proposed project involves a one-time data collection.</w:t>
      </w:r>
      <w:r w:rsidR="008F7093">
        <w:t xml:space="preserve"> There are no legal obstacles to reducing the burden to the respondents.</w:t>
      </w:r>
    </w:p>
    <w:p w:rsidR="0041654F" w:rsidRDefault="0041654F" w14:paraId="330CBC0C" w14:textId="1E1BAEC0">
      <w:pPr>
        <w:widowControl/>
        <w:autoSpaceDE/>
        <w:autoSpaceDN/>
        <w:adjustRightInd/>
        <w:rPr>
          <w:b/>
        </w:rPr>
      </w:pPr>
    </w:p>
    <w:p w:rsidRPr="000705F3" w:rsidR="008F7093" w:rsidP="008F7093" w:rsidRDefault="008F7093" w14:paraId="4C47C1CA" w14:textId="1924C796">
      <w:pPr>
        <w:spacing w:after="120"/>
        <w:rPr>
          <w:b/>
        </w:rPr>
      </w:pPr>
      <w:r w:rsidRPr="000705F3">
        <w:rPr>
          <w:b/>
        </w:rPr>
        <w:lastRenderedPageBreak/>
        <w:t xml:space="preserve">7. Special </w:t>
      </w:r>
      <w:r w:rsidR="00015C05">
        <w:rPr>
          <w:b/>
        </w:rPr>
        <w:t>C</w:t>
      </w:r>
      <w:r w:rsidRPr="000705F3">
        <w:rPr>
          <w:b/>
        </w:rPr>
        <w:t>ircumstances Relating to the Guidelines of 5 CFR 1320.5</w:t>
      </w:r>
    </w:p>
    <w:p w:rsidR="008F7093" w:rsidP="008F7093" w:rsidRDefault="008F7093" w14:paraId="3EA8974F" w14:textId="78109E1E">
      <w:pPr>
        <w:spacing w:after="120"/>
      </w:pPr>
      <w:r>
        <w:t>This request fully complies with the guidelines in 5 CFR 1320.5, and no special circumstances require the information to be collected in any other manner.</w:t>
      </w:r>
    </w:p>
    <w:p w:rsidRPr="000705F3" w:rsidR="008F7093" w:rsidP="008F7093" w:rsidRDefault="008F7093" w14:paraId="64C18458" w14:textId="77777777">
      <w:pPr>
        <w:spacing w:after="120"/>
        <w:rPr>
          <w:b/>
        </w:rPr>
      </w:pPr>
      <w:r w:rsidRPr="000705F3">
        <w:rPr>
          <w:b/>
        </w:rPr>
        <w:t>8. Comments in Response to the Federal Register Notice and Efforts to Consult Outside the Agency</w:t>
      </w:r>
    </w:p>
    <w:p w:rsidR="00637678" w:rsidP="00D90079" w:rsidRDefault="00D90079" w14:paraId="6EFF0B38" w14:textId="045474C3">
      <w:r w:rsidRPr="00AA5ED0">
        <w:t xml:space="preserve">A 60-day Federal Register Notice was published in the </w:t>
      </w:r>
      <w:r w:rsidRPr="00AA5ED0">
        <w:rPr>
          <w:i/>
        </w:rPr>
        <w:t>Federal Register</w:t>
      </w:r>
      <w:r w:rsidRPr="00AA5ED0">
        <w:t xml:space="preserve"> on </w:t>
      </w:r>
      <w:r w:rsidRPr="00AA5ED0" w:rsidR="00AA5ED0">
        <w:t>June 2, 2020</w:t>
      </w:r>
      <w:r w:rsidRPr="00AA5ED0" w:rsidR="00110461">
        <w:t xml:space="preserve">, Volume </w:t>
      </w:r>
      <w:r w:rsidRPr="00AA5ED0" w:rsidR="00AA5ED0">
        <w:t>85</w:t>
      </w:r>
      <w:r w:rsidRPr="00AA5ED0" w:rsidR="00110461">
        <w:t xml:space="preserve">, Number </w:t>
      </w:r>
      <w:r w:rsidRPr="00AA5ED0" w:rsidR="00AA5ED0">
        <w:t>106</w:t>
      </w:r>
      <w:r w:rsidRPr="00AA5ED0" w:rsidR="00637678">
        <w:t xml:space="preserve">, </w:t>
      </w:r>
      <w:r w:rsidRPr="00AA5ED0" w:rsidR="00110461">
        <w:t xml:space="preserve">Pages </w:t>
      </w:r>
      <w:r w:rsidRPr="00AA5ED0" w:rsidR="00AA5ED0">
        <w:t>33681-33682</w:t>
      </w:r>
      <w:r w:rsidRPr="00AA5ED0" w:rsidR="00110461">
        <w:t xml:space="preserve"> </w:t>
      </w:r>
      <w:r w:rsidRPr="00AA5ED0" w:rsidR="00637678">
        <w:t>(</w:t>
      </w:r>
      <w:r w:rsidRPr="00AA5ED0" w:rsidR="00637678">
        <w:rPr>
          <w:b/>
        </w:rPr>
        <w:t xml:space="preserve">see Attachment </w:t>
      </w:r>
      <w:r w:rsidR="0079723E">
        <w:rPr>
          <w:b/>
        </w:rPr>
        <w:t>2</w:t>
      </w:r>
      <w:r w:rsidRPr="00AA5ED0" w:rsidR="00637678">
        <w:t>)</w:t>
      </w:r>
      <w:r w:rsidRPr="00A858C8" w:rsidR="00637678">
        <w:t xml:space="preserve">. There </w:t>
      </w:r>
      <w:r w:rsidRPr="00A858C8" w:rsidR="00A858C8">
        <w:t>was 1</w:t>
      </w:r>
      <w:r w:rsidRPr="00A858C8" w:rsidR="00637678">
        <w:t xml:space="preserve"> public comment</w:t>
      </w:r>
      <w:r w:rsidR="00D55C81">
        <w:t xml:space="preserve"> (</w:t>
      </w:r>
      <w:r w:rsidRPr="00075D8F" w:rsidR="00D55C81">
        <w:rPr>
          <w:b/>
          <w:bCs/>
        </w:rPr>
        <w:t xml:space="preserve">see Attachment </w:t>
      </w:r>
      <w:r w:rsidR="0079723E">
        <w:rPr>
          <w:b/>
          <w:bCs/>
        </w:rPr>
        <w:t>2a</w:t>
      </w:r>
      <w:r w:rsidR="00D55C81">
        <w:t>)</w:t>
      </w:r>
      <w:r w:rsidRPr="00A858C8" w:rsidR="00637678">
        <w:t>.</w:t>
      </w:r>
      <w:r w:rsidRPr="002B0014" w:rsidR="00637678">
        <w:t xml:space="preserve"> </w:t>
      </w:r>
      <w:r w:rsidR="002E2AE2">
        <w:t xml:space="preserve">In response to the public comment, we made the following modifications to the survey questionnaire </w:t>
      </w:r>
      <w:r w:rsidRPr="001639DE" w:rsidR="002E2AE2">
        <w:t>(</w:t>
      </w:r>
      <w:r w:rsidRPr="00075D8F" w:rsidR="002E2AE2">
        <w:rPr>
          <w:b/>
          <w:bCs/>
        </w:rPr>
        <w:t xml:space="preserve">see </w:t>
      </w:r>
      <w:r w:rsidRPr="000D2500" w:rsidR="002E2AE2">
        <w:rPr>
          <w:b/>
          <w:bCs/>
        </w:rPr>
        <w:t xml:space="preserve">Attachment </w:t>
      </w:r>
      <w:r w:rsidR="0079723E">
        <w:rPr>
          <w:b/>
          <w:bCs/>
        </w:rPr>
        <w:t>4</w:t>
      </w:r>
      <w:r w:rsidRPr="001639DE" w:rsidR="002E2AE2">
        <w:t>)</w:t>
      </w:r>
      <w:r w:rsidR="002E2AE2">
        <w:t xml:space="preserve">: added </w:t>
      </w:r>
      <w:r w:rsidRPr="002E2AE2" w:rsidR="002E2AE2">
        <w:t>“Indian Health Service Health Center, Tribal Health Center, or Urban Indian Health Center”</w:t>
      </w:r>
      <w:r w:rsidR="002E2AE2">
        <w:t xml:space="preserve"> as a response</w:t>
      </w:r>
      <w:r w:rsidRPr="002E2AE2" w:rsidR="002E2AE2">
        <w:t xml:space="preserve"> to the question about facility type</w:t>
      </w:r>
      <w:r w:rsidR="002E2AE2">
        <w:t xml:space="preserve">, added a link to an example for the cultural competency question, and replaced the term “nutrition counseling” with “medical nutrition therapy” </w:t>
      </w:r>
      <w:r w:rsidRPr="001639DE" w:rsidR="002E2AE2">
        <w:t>(</w:t>
      </w:r>
      <w:r w:rsidRPr="000D2500" w:rsidR="002E2AE2">
        <w:rPr>
          <w:b/>
          <w:bCs/>
        </w:rPr>
        <w:t xml:space="preserve">see Attachment </w:t>
      </w:r>
      <w:r w:rsidR="0079723E">
        <w:rPr>
          <w:b/>
          <w:bCs/>
        </w:rPr>
        <w:t>2b</w:t>
      </w:r>
      <w:r w:rsidRPr="001639DE" w:rsidR="002E2AE2">
        <w:t>)</w:t>
      </w:r>
      <w:r w:rsidR="002E2AE2">
        <w:t>.</w:t>
      </w:r>
    </w:p>
    <w:p w:rsidRPr="002B0014" w:rsidR="00637678" w:rsidP="00D90079" w:rsidRDefault="00637678" w14:paraId="495E48B9" w14:textId="77777777"/>
    <w:p w:rsidR="009D0108" w:rsidP="00D90079" w:rsidRDefault="009D0108" w14:paraId="7ED1FE35" w14:textId="77777777">
      <w:r>
        <w:t xml:space="preserve">The following persons outside of CDC provided consultation on the Facility Survey methods and questionnaire: </w:t>
      </w:r>
    </w:p>
    <w:p w:rsidR="00327417" w:rsidP="00D90079" w:rsidRDefault="00327417" w14:paraId="12452FA7" w14:textId="784103B6"/>
    <w:p w:rsidR="009D0108" w:rsidP="009D0108" w:rsidRDefault="009D0108" w14:paraId="6C8350B0" w14:textId="77777777">
      <w:r>
        <w:t xml:space="preserve">Antigone Dempsey, Director, Division of Policy and Data at the Health Resources and Services Administration (HRSA) HIV/AIDS Bureau, ADempsey@hrsa.gov </w:t>
      </w:r>
    </w:p>
    <w:p w:rsidR="009D0108" w:rsidP="009D0108" w:rsidRDefault="009D0108" w14:paraId="04BB5B77" w14:textId="77777777">
      <w:r>
        <w:t>Sharon Mannheimer, Associate Professor of Epidemiology and Clinical Medicine at Columbia College of Physicians and Surgeons, sbm20@columbia.edu</w:t>
      </w:r>
    </w:p>
    <w:p w:rsidR="009D0108" w:rsidP="009D0108" w:rsidRDefault="009D0108" w14:paraId="22B08A85" w14:textId="77777777">
      <w:r>
        <w:t xml:space="preserve">Jonathan Colasanti. Assistant Professor of Global Health and Medicine, Emory University, jonathan.colasanti@emory.edu </w:t>
      </w:r>
    </w:p>
    <w:p w:rsidR="009D0108" w:rsidP="009D0108" w:rsidRDefault="009D0108" w14:paraId="5B1E7E3B" w14:textId="77777777">
      <w:r>
        <w:t>Joseph Yozviak, Infectious disease physician, Lehigh Valley Health Network, Joseph.Yozviak@lvhn.org</w:t>
      </w:r>
    </w:p>
    <w:p w:rsidR="009D0108" w:rsidP="009D0108" w:rsidRDefault="009D0108" w14:paraId="3BDD7673" w14:textId="77777777">
      <w:r>
        <w:t>Nallely Trejo, Project coordinator, Texas Department of State Health Services, Nallely.Trejo@dshs.texas.gov</w:t>
      </w:r>
    </w:p>
    <w:p w:rsidR="009D0108" w:rsidP="009D0108" w:rsidRDefault="009D0108" w14:paraId="3A15EB86" w14:textId="77777777">
      <w:r>
        <w:t xml:space="preserve">Kathleen Brady, Infectious disease physician, Philadelphia Department of Health, Kathleen.A.Brady@phila.gov </w:t>
      </w:r>
    </w:p>
    <w:p w:rsidR="009D0108" w:rsidP="009D0108" w:rsidRDefault="009D0108" w14:paraId="75F95409" w14:textId="77777777">
      <w:r>
        <w:t xml:space="preserve">Ank Nijhawan, Infectious disease physician, Texas Department of State Health Services, Ank.Nijhawan@UTSouthwestern.edu </w:t>
      </w:r>
    </w:p>
    <w:p w:rsidR="009D0108" w:rsidP="009D0108" w:rsidRDefault="009D0108" w14:paraId="7919CDBC" w14:textId="77777777">
      <w:r>
        <w:t>Susan Buskin, Epidemiologist, Seattle King County Department of Health, Susan.Buskin@kingcounty.gov</w:t>
      </w:r>
    </w:p>
    <w:p w:rsidR="009D0108" w:rsidP="009D0108" w:rsidRDefault="009D0108" w14:paraId="6DF697DC" w14:textId="77777777">
      <w:r>
        <w:t>Bridget Anderson, Director, Bureau of HIV/AIDS Epidemiology, New York State Department of Health, bridget.anderson@health.ny.gov</w:t>
      </w:r>
    </w:p>
    <w:p w:rsidR="009D0108" w:rsidP="009D0108" w:rsidRDefault="009D0108" w14:paraId="282CC8C9" w14:textId="77777777">
      <w:r>
        <w:t>Gregory Felzein, Medical Advisor, Division of Health Protection/IDI-HIV, Georgia Department of Public Health, Gregory.Felzien@dph.ga.gov</w:t>
      </w:r>
    </w:p>
    <w:p w:rsidR="009D0108" w:rsidP="009D0108" w:rsidRDefault="009D0108" w14:paraId="591F9638" w14:textId="77777777">
      <w:r>
        <w:t xml:space="preserve">Jeffrey Beal, Medical Director of the Bureau of HIV/AIDS for the Florida Department of Health, Jeff.Beal@flhealth.gov </w:t>
      </w:r>
    </w:p>
    <w:p w:rsidR="009D0108" w:rsidP="009D0108" w:rsidRDefault="009D0108" w14:paraId="27D598A2" w14:textId="2BD2BBF6">
      <w:r>
        <w:t>Susa Coffey, Professor of Medicine, University of California San Francisco, Susa.Coffey@ucsf.edu</w:t>
      </w:r>
    </w:p>
    <w:p w:rsidR="001A2039" w:rsidP="00D90079" w:rsidRDefault="001A2039" w14:paraId="2D5C0A9A" w14:textId="77777777"/>
    <w:p w:rsidRPr="00A929C3" w:rsidR="008F7093" w:rsidP="008F7093" w:rsidRDefault="008F7093" w14:paraId="58DE8E6A" w14:textId="7D64F6ED">
      <w:pPr>
        <w:spacing w:after="120"/>
        <w:rPr>
          <w:b/>
        </w:rPr>
      </w:pPr>
      <w:r w:rsidRPr="00A929C3">
        <w:rPr>
          <w:b/>
        </w:rPr>
        <w:t>9. Explanation of Any Payment or Gift to Respondents</w:t>
      </w:r>
    </w:p>
    <w:p w:rsidR="008F7093" w:rsidP="008F7093" w:rsidRDefault="008F7093" w14:paraId="6D0A5AF6" w14:textId="1F002BAE">
      <w:pPr>
        <w:spacing w:after="120"/>
      </w:pPr>
      <w:r>
        <w:t xml:space="preserve">The respondents </w:t>
      </w:r>
      <w:r w:rsidR="009A44A5">
        <w:t>will not</w:t>
      </w:r>
      <w:r>
        <w:t xml:space="preserve"> receive payments or gifts</w:t>
      </w:r>
      <w:r w:rsidR="005E3496">
        <w:t>.</w:t>
      </w:r>
    </w:p>
    <w:p w:rsidRPr="00A929C3" w:rsidR="008F7093" w:rsidP="008F7093" w:rsidRDefault="008F7093" w14:paraId="41508322" w14:textId="78F948A4">
      <w:pPr>
        <w:spacing w:after="120"/>
        <w:rPr>
          <w:b/>
        </w:rPr>
      </w:pPr>
      <w:r w:rsidRPr="00A929C3">
        <w:rPr>
          <w:b/>
        </w:rPr>
        <w:t xml:space="preserve">10. </w:t>
      </w:r>
      <w:r w:rsidRPr="0012083D" w:rsidR="0012083D">
        <w:rPr>
          <w:b/>
        </w:rPr>
        <w:t xml:space="preserve">Protection </w:t>
      </w:r>
      <w:r w:rsidR="0012083D">
        <w:rPr>
          <w:b/>
        </w:rPr>
        <w:t>o</w:t>
      </w:r>
      <w:r w:rsidR="00C84F4C">
        <w:rPr>
          <w:b/>
        </w:rPr>
        <w:t>f the Privacy and Confidentiality o</w:t>
      </w:r>
      <w:r w:rsidRPr="0012083D" w:rsidR="0012083D">
        <w:rPr>
          <w:b/>
        </w:rPr>
        <w:t>f Info</w:t>
      </w:r>
      <w:r w:rsidR="0012083D">
        <w:rPr>
          <w:b/>
        </w:rPr>
        <w:t>rmation Provided By Respondents</w:t>
      </w:r>
    </w:p>
    <w:p w:rsidR="003215CD" w:rsidP="005A2C81" w:rsidRDefault="008028CE" w14:paraId="050A81B0" w14:textId="4CDA3CCF">
      <w:pPr>
        <w:spacing w:after="120"/>
      </w:pPr>
      <w:r w:rsidRPr="00C84F4C">
        <w:t xml:space="preserve">The CDC </w:t>
      </w:r>
      <w:r w:rsidRPr="005A0C99" w:rsidR="00625815">
        <w:t>National Center for HIV/AIDS, Viral Hepatitis, STD and TB Prevention</w:t>
      </w:r>
      <w:r w:rsidR="00625815">
        <w:t xml:space="preserve"> (</w:t>
      </w:r>
      <w:r w:rsidRPr="00C84F4C">
        <w:t>NCHHSTP</w:t>
      </w:r>
      <w:r w:rsidR="00625815">
        <w:t>)</w:t>
      </w:r>
      <w:r w:rsidRPr="00C84F4C">
        <w:t xml:space="preserve"> </w:t>
      </w:r>
      <w:r w:rsidR="00446D47">
        <w:lastRenderedPageBreak/>
        <w:t xml:space="preserve">Information System Security Officer </w:t>
      </w:r>
      <w:r w:rsidRPr="00C84F4C">
        <w:t xml:space="preserve">reviewed this submission and determined that the Privacy Act does not apply to this activity because activities do not involve the collection of individually identifiable information (IIF).  </w:t>
      </w:r>
      <w:r w:rsidR="008F7093">
        <w:t xml:space="preserve">The Privacy Act is not applicable. Respondents are </w:t>
      </w:r>
      <w:r w:rsidR="009A44A5">
        <w:t>HIV care facilities and the information collected is limited to the characteristics of the facility and not specific individuals</w:t>
      </w:r>
      <w:r w:rsidR="003A622A">
        <w:t xml:space="preserve">. </w:t>
      </w:r>
    </w:p>
    <w:p w:rsidR="0012083D" w:rsidP="008F7093" w:rsidRDefault="008F7093" w14:paraId="7AD6B0B1" w14:textId="04837B44">
      <w:pPr>
        <w:spacing w:after="120"/>
        <w:rPr>
          <w:b/>
        </w:rPr>
      </w:pPr>
      <w:r w:rsidRPr="00A929C3">
        <w:rPr>
          <w:b/>
        </w:rPr>
        <w:t xml:space="preserve">11. </w:t>
      </w:r>
      <w:r w:rsidRPr="0012083D" w:rsidR="0012083D">
        <w:rPr>
          <w:b/>
        </w:rPr>
        <w:t>Institutional Review Board (</w:t>
      </w:r>
      <w:r w:rsidR="0012083D">
        <w:rPr>
          <w:b/>
        </w:rPr>
        <w:t>IRB</w:t>
      </w:r>
      <w:r w:rsidRPr="0012083D" w:rsidR="0012083D">
        <w:rPr>
          <w:b/>
        </w:rPr>
        <w:t xml:space="preserve">) </w:t>
      </w:r>
      <w:r w:rsidR="00114476">
        <w:rPr>
          <w:b/>
        </w:rPr>
        <w:t>a</w:t>
      </w:r>
      <w:r w:rsidR="00C84F4C">
        <w:rPr>
          <w:b/>
        </w:rPr>
        <w:t>nd Justification f</w:t>
      </w:r>
      <w:r w:rsidRPr="0012083D" w:rsidR="0012083D">
        <w:rPr>
          <w:b/>
        </w:rPr>
        <w:t>or Sensitive Questions</w:t>
      </w:r>
      <w:r w:rsidRPr="0012083D" w:rsidR="0012083D">
        <w:rPr>
          <w:b/>
        </w:rPr>
        <w:tab/>
      </w:r>
      <w:r w:rsidR="0012083D">
        <w:rPr>
          <w:b/>
        </w:rPr>
        <w:t xml:space="preserve"> </w:t>
      </w:r>
    </w:p>
    <w:p w:rsidR="00E602D9" w:rsidP="008F7093" w:rsidRDefault="00E602D9" w14:paraId="56A0123F" w14:textId="39D6B004">
      <w:pPr>
        <w:spacing w:after="120"/>
      </w:pPr>
      <w:r>
        <w:t>IRB Approval</w:t>
      </w:r>
    </w:p>
    <w:p w:rsidR="00E602D9" w:rsidP="008F7093" w:rsidRDefault="00E602D9" w14:paraId="55994BF2" w14:textId="0087EB7F">
      <w:pPr>
        <w:spacing w:after="120"/>
      </w:pPr>
      <w:r w:rsidRPr="00E602D9">
        <w:t>This submission was reviewed by the National Center for HIV/AIDS, Viral Hepatitis, STD and TB Prevention and determined not to involve human subjects (</w:t>
      </w:r>
      <w:r w:rsidRPr="00075D8F">
        <w:rPr>
          <w:b/>
        </w:rPr>
        <w:t xml:space="preserve">Attachment </w:t>
      </w:r>
      <w:r w:rsidRPr="001639DE" w:rsidR="00D55C81">
        <w:rPr>
          <w:b/>
        </w:rPr>
        <w:t>8</w:t>
      </w:r>
      <w:r w:rsidRPr="00E602D9">
        <w:t>). This activity does not require IRB review and approval.</w:t>
      </w:r>
    </w:p>
    <w:p w:rsidR="00E602D9" w:rsidP="008F7093" w:rsidRDefault="00E602D9" w14:paraId="0AD0954B" w14:textId="47E70299">
      <w:pPr>
        <w:spacing w:after="120"/>
      </w:pPr>
      <w:r>
        <w:t>Sensitive Questions</w:t>
      </w:r>
    </w:p>
    <w:p w:rsidR="008F7093" w:rsidP="008F7093" w:rsidRDefault="001D211C" w14:paraId="17113982" w14:textId="2DD9532E">
      <w:pPr>
        <w:spacing w:after="120"/>
      </w:pPr>
      <w:r>
        <w:t>Questions of a sensitive nature will not be asked; the information collected is limited to facility characteristics, practices, and services provided. The survey will not collect data on organizational policies or performance data, so it is unlikely that the information collected could result in liability or competitive disadvantage</w:t>
      </w:r>
      <w:r w:rsidR="00545656">
        <w:t xml:space="preserve"> to the facility. </w:t>
      </w:r>
      <w:r w:rsidR="00B4073C">
        <w:t xml:space="preserve">The survey will not collect information about the person completing the survey or any individuals working at the facility. </w:t>
      </w:r>
    </w:p>
    <w:p w:rsidRPr="00A929C3" w:rsidR="008F7093" w:rsidP="008F7093" w:rsidRDefault="008F7093" w14:paraId="0AD7FC82" w14:textId="1CC040B6">
      <w:pPr>
        <w:spacing w:after="120"/>
        <w:rPr>
          <w:b/>
        </w:rPr>
      </w:pPr>
      <w:r w:rsidRPr="00A929C3">
        <w:rPr>
          <w:b/>
        </w:rPr>
        <w:t>12. Estimates of Annualized Burden Hours and Costs</w:t>
      </w:r>
    </w:p>
    <w:p w:rsidR="00262686" w:rsidP="00262686" w:rsidRDefault="00FD16AC" w14:paraId="0743EF3C" w14:textId="093896AE">
      <w:r w:rsidRPr="00FD16AC">
        <w:t xml:space="preserve">Staff in 23 health departments funded to conduct MMP will collect and transfer contact information for </w:t>
      </w:r>
      <w:r>
        <w:t>HIV care facilities</w:t>
      </w:r>
      <w:r w:rsidRPr="00FD16AC">
        <w:t xml:space="preserve"> to the CDC contractor who will conduct the survey. The goal for the MMP </w:t>
      </w:r>
      <w:r>
        <w:t>Facility</w:t>
      </w:r>
      <w:r w:rsidRPr="00FD16AC">
        <w:t xml:space="preserve"> Survey is to survey </w:t>
      </w:r>
      <w:r>
        <w:t>1,500</w:t>
      </w:r>
      <w:r w:rsidRPr="00FD16AC">
        <w:t xml:space="preserve"> </w:t>
      </w:r>
      <w:r>
        <w:t>facilities</w:t>
      </w:r>
      <w:r w:rsidRPr="00FD16AC">
        <w:t xml:space="preserve">. If the response rate is 80%, </w:t>
      </w:r>
      <w:r>
        <w:t>1,2</w:t>
      </w:r>
      <w:r w:rsidRPr="00FD16AC">
        <w:t xml:space="preserve">00 </w:t>
      </w:r>
      <w:r>
        <w:t>facilities</w:t>
      </w:r>
      <w:r w:rsidRPr="00FD16AC">
        <w:t xml:space="preserve"> will complete the survey. Each survey will take </w:t>
      </w:r>
      <w:r>
        <w:t>approximately</w:t>
      </w:r>
      <w:r w:rsidRPr="00FD16AC">
        <w:t xml:space="preserve"> 30 minutes to complete. </w:t>
      </w:r>
      <w:r w:rsidR="004D2362">
        <w:t xml:space="preserve">Facilities that do not respond to the full survey will be offered a short version that will take approximately 5 minutes to complete. We expect 15% of facilities will complete the short survey. </w:t>
      </w:r>
      <w:r>
        <w:t>We expect all facility surveys to be completed by facility administrative staff</w:t>
      </w:r>
      <w:r w:rsidRPr="00FD16AC">
        <w:t>.</w:t>
      </w:r>
    </w:p>
    <w:p w:rsidR="00262686" w:rsidRDefault="00262686" w14:paraId="10651960" w14:textId="6AE5D18C">
      <w:pPr>
        <w:widowControl/>
        <w:autoSpaceDE/>
        <w:autoSpaceDN/>
        <w:adjustRightInd/>
        <w:rPr>
          <w:b/>
        </w:rPr>
      </w:pPr>
    </w:p>
    <w:p w:rsidRPr="00C84F4C" w:rsidR="008F7093" w:rsidP="00D36D3F" w:rsidRDefault="00C70D45" w14:paraId="287D4364" w14:textId="753E6640">
      <w:pPr>
        <w:rPr>
          <w:b/>
        </w:rPr>
      </w:pPr>
      <w:r w:rsidRPr="00C84F4C">
        <w:rPr>
          <w:b/>
        </w:rPr>
        <w:t xml:space="preserve">Table A.12.1: </w:t>
      </w:r>
      <w:bookmarkStart w:name="_Hlk30166013" w:id="6"/>
      <w:r w:rsidR="00DD2F26">
        <w:rPr>
          <w:b/>
        </w:rPr>
        <w:t xml:space="preserve">MMP Facility Survey </w:t>
      </w:r>
      <w:bookmarkEnd w:id="6"/>
      <w:r w:rsidRPr="00C84F4C">
        <w:rPr>
          <w:b/>
        </w:rPr>
        <w:t>Estimated Annualized Burden Hours</w:t>
      </w:r>
    </w:p>
    <w:tbl>
      <w:tblPr>
        <w:tblpPr w:leftFromText="180" w:rightFromText="180" w:vertAnchor="text" w:horzAnchor="margin" w:tblpY="102"/>
        <w:tblW w:w="0" w:type="auto"/>
        <w:tblBorders>
          <w:top w:val="single" w:color="auto" w:sz="4" w:space="0"/>
          <w:left w:val="single" w:color="auto" w:sz="4" w:space="0"/>
          <w:bottom w:val="single" w:color="auto" w:sz="4" w:space="0"/>
          <w:right w:val="single" w:color="auto" w:sz="4" w:space="0"/>
        </w:tblBorders>
        <w:tblCellMar>
          <w:left w:w="115" w:type="dxa"/>
          <w:right w:w="115" w:type="dxa"/>
        </w:tblCellMar>
        <w:tblLook w:val="0000" w:firstRow="0" w:lastRow="0" w:firstColumn="0" w:lastColumn="0" w:noHBand="0" w:noVBand="0"/>
      </w:tblPr>
      <w:tblGrid>
        <w:gridCol w:w="1671"/>
        <w:gridCol w:w="1714"/>
        <w:gridCol w:w="1537"/>
        <w:gridCol w:w="1734"/>
        <w:gridCol w:w="1261"/>
        <w:gridCol w:w="1284"/>
      </w:tblGrid>
      <w:tr w:rsidRPr="00AE1D3F" w:rsidR="00C84F4C" w:rsidTr="00E35C07" w14:paraId="5E5CB564" w14:textId="77777777">
        <w:tc>
          <w:tcPr>
            <w:tcW w:w="1671" w:type="dxa"/>
            <w:tcBorders>
              <w:top w:val="single" w:color="auto" w:sz="4" w:space="0"/>
              <w:bottom w:val="single" w:color="auto" w:sz="4" w:space="0"/>
              <w:right w:val="single" w:color="auto" w:sz="4" w:space="0"/>
            </w:tcBorders>
          </w:tcPr>
          <w:p w:rsidRPr="00AE1D3F" w:rsidR="00C84F4C" w:rsidP="005F2936" w:rsidRDefault="00C84F4C" w14:paraId="3063B027" w14:textId="77777777">
            <w:pPr>
              <w:spacing w:after="120"/>
              <w:rPr>
                <w:b/>
              </w:rPr>
            </w:pPr>
            <w:r w:rsidRPr="00AE1D3F">
              <w:rPr>
                <w:b/>
              </w:rPr>
              <w:t>Type of Respondent</w:t>
            </w:r>
          </w:p>
        </w:tc>
        <w:tc>
          <w:tcPr>
            <w:tcW w:w="1714" w:type="dxa"/>
            <w:tcBorders>
              <w:top w:val="single" w:color="auto" w:sz="4" w:space="0"/>
              <w:bottom w:val="single" w:color="auto" w:sz="4" w:space="0"/>
              <w:right w:val="single" w:color="auto" w:sz="4" w:space="0"/>
            </w:tcBorders>
          </w:tcPr>
          <w:p w:rsidRPr="00AE1D3F" w:rsidR="00C84F4C" w:rsidP="005F2936" w:rsidRDefault="00C84F4C" w14:paraId="7B6988C1" w14:textId="77777777">
            <w:pPr>
              <w:spacing w:after="120"/>
              <w:rPr>
                <w:b/>
              </w:rPr>
            </w:pPr>
            <w:r w:rsidRPr="00AE1D3F">
              <w:rPr>
                <w:b/>
              </w:rPr>
              <w:t>Form Name</w:t>
            </w:r>
          </w:p>
        </w:tc>
        <w:tc>
          <w:tcPr>
            <w:tcW w:w="1537" w:type="dxa"/>
            <w:tcBorders>
              <w:top w:val="single" w:color="auto" w:sz="4" w:space="0"/>
              <w:left w:val="single" w:color="auto" w:sz="4" w:space="0"/>
              <w:bottom w:val="single" w:color="auto" w:sz="4" w:space="0"/>
              <w:right w:val="single" w:color="auto" w:sz="4" w:space="0"/>
            </w:tcBorders>
          </w:tcPr>
          <w:p w:rsidRPr="00AE1D3F" w:rsidR="00C84F4C" w:rsidP="005F2936" w:rsidRDefault="00C84F4C" w14:paraId="1AB043FC" w14:textId="77777777">
            <w:pPr>
              <w:spacing w:after="120"/>
              <w:rPr>
                <w:b/>
              </w:rPr>
            </w:pPr>
            <w:r w:rsidRPr="00AE1D3F">
              <w:rPr>
                <w:b/>
              </w:rPr>
              <w:t>No. of</w:t>
            </w:r>
          </w:p>
          <w:p w:rsidRPr="00AE1D3F" w:rsidR="00C84F4C" w:rsidP="005F2936" w:rsidRDefault="00C84F4C" w14:paraId="772CD55D" w14:textId="77777777">
            <w:pPr>
              <w:spacing w:after="120"/>
              <w:rPr>
                <w:b/>
              </w:rPr>
            </w:pPr>
            <w:r w:rsidRPr="00AE1D3F">
              <w:rPr>
                <w:b/>
              </w:rPr>
              <w:t>Respondents</w:t>
            </w:r>
          </w:p>
        </w:tc>
        <w:tc>
          <w:tcPr>
            <w:tcW w:w="1734" w:type="dxa"/>
            <w:tcBorders>
              <w:top w:val="single" w:color="auto" w:sz="4" w:space="0"/>
              <w:left w:val="single" w:color="auto" w:sz="4" w:space="0"/>
              <w:bottom w:val="single" w:color="auto" w:sz="4" w:space="0"/>
              <w:right w:val="single" w:color="auto" w:sz="4" w:space="0"/>
            </w:tcBorders>
          </w:tcPr>
          <w:p w:rsidRPr="00AE1D3F" w:rsidR="00C84F4C" w:rsidP="005F2936" w:rsidRDefault="00C84F4C" w14:paraId="0E02412E" w14:textId="77777777">
            <w:pPr>
              <w:spacing w:after="120"/>
              <w:rPr>
                <w:b/>
              </w:rPr>
            </w:pPr>
            <w:r w:rsidRPr="00AE1D3F">
              <w:rPr>
                <w:b/>
              </w:rPr>
              <w:t>No. of Responses per Respondent</w:t>
            </w:r>
          </w:p>
        </w:tc>
        <w:tc>
          <w:tcPr>
            <w:tcW w:w="1261" w:type="dxa"/>
            <w:tcBorders>
              <w:top w:val="single" w:color="auto" w:sz="4" w:space="0"/>
              <w:left w:val="single" w:color="auto" w:sz="4" w:space="0"/>
              <w:bottom w:val="single" w:color="auto" w:sz="4" w:space="0"/>
              <w:right w:val="single" w:color="auto" w:sz="4" w:space="0"/>
            </w:tcBorders>
          </w:tcPr>
          <w:p w:rsidRPr="00AE1D3F" w:rsidR="00C84F4C" w:rsidP="005F2936" w:rsidRDefault="00C84F4C" w14:paraId="078B46E0" w14:textId="77777777">
            <w:pPr>
              <w:spacing w:after="120"/>
              <w:rPr>
                <w:b/>
              </w:rPr>
            </w:pPr>
            <w:r w:rsidRPr="00AE1D3F">
              <w:rPr>
                <w:b/>
              </w:rPr>
              <w:t>Average Burden per Response (in hours)</w:t>
            </w:r>
          </w:p>
        </w:tc>
        <w:tc>
          <w:tcPr>
            <w:tcW w:w="1284" w:type="dxa"/>
            <w:tcBorders>
              <w:top w:val="single" w:color="auto" w:sz="4" w:space="0"/>
              <w:left w:val="single" w:color="auto" w:sz="4" w:space="0"/>
              <w:bottom w:val="single" w:color="auto" w:sz="4" w:space="0"/>
              <w:right w:val="single" w:color="auto" w:sz="4" w:space="0"/>
            </w:tcBorders>
          </w:tcPr>
          <w:p w:rsidRPr="00AE1D3F" w:rsidR="00C84F4C" w:rsidP="005F2936" w:rsidRDefault="00C84F4C" w14:paraId="052AA598" w14:textId="77777777">
            <w:pPr>
              <w:spacing w:after="120"/>
              <w:rPr>
                <w:b/>
              </w:rPr>
            </w:pPr>
            <w:r w:rsidRPr="00AE1D3F">
              <w:rPr>
                <w:b/>
              </w:rPr>
              <w:t>Total Burden</w:t>
            </w:r>
          </w:p>
          <w:p w:rsidRPr="00AE1D3F" w:rsidR="00C84F4C" w:rsidP="005F2936" w:rsidRDefault="00C84F4C" w14:paraId="501F5DC2" w14:textId="77777777">
            <w:pPr>
              <w:spacing w:after="120"/>
              <w:rPr>
                <w:b/>
              </w:rPr>
            </w:pPr>
            <w:r w:rsidRPr="00AE1D3F">
              <w:rPr>
                <w:b/>
              </w:rPr>
              <w:t>Hours</w:t>
            </w:r>
          </w:p>
        </w:tc>
      </w:tr>
      <w:tr w:rsidRPr="00AE1D3F" w:rsidR="00C84F4C" w:rsidTr="00E35C07" w14:paraId="717CDC93" w14:textId="77777777">
        <w:trPr>
          <w:trHeight w:val="989"/>
        </w:trPr>
        <w:tc>
          <w:tcPr>
            <w:tcW w:w="1671" w:type="dxa"/>
            <w:tcBorders>
              <w:top w:val="single" w:color="auto" w:sz="4" w:space="0"/>
              <w:right w:val="single" w:color="auto" w:sz="4" w:space="0"/>
            </w:tcBorders>
          </w:tcPr>
          <w:p w:rsidRPr="00AE1D3F" w:rsidR="00C84F4C" w:rsidP="005F2936" w:rsidRDefault="00FD16AC" w14:paraId="2931205D" w14:textId="157BF9F4">
            <w:pPr>
              <w:spacing w:after="120"/>
            </w:pPr>
            <w:r>
              <w:t xml:space="preserve">Facility </w:t>
            </w:r>
            <w:r w:rsidR="00CD3002">
              <w:t>administrative</w:t>
            </w:r>
            <w:r>
              <w:t xml:space="preserve"> staff</w:t>
            </w:r>
          </w:p>
        </w:tc>
        <w:tc>
          <w:tcPr>
            <w:tcW w:w="1714" w:type="dxa"/>
            <w:tcBorders>
              <w:top w:val="single" w:color="auto" w:sz="4" w:space="0"/>
              <w:right w:val="single" w:color="auto" w:sz="4" w:space="0"/>
            </w:tcBorders>
          </w:tcPr>
          <w:p w:rsidRPr="00AE1D3F" w:rsidR="00C84F4C" w:rsidP="005F2936" w:rsidRDefault="00FD16AC" w14:paraId="5CB35E62" w14:textId="09010C5F">
            <w:pPr>
              <w:spacing w:after="120"/>
            </w:pPr>
            <w:r>
              <w:t>MMP Facility Survey</w:t>
            </w:r>
          </w:p>
        </w:tc>
        <w:tc>
          <w:tcPr>
            <w:tcW w:w="1537" w:type="dxa"/>
            <w:tcBorders>
              <w:top w:val="single" w:color="auto" w:sz="4" w:space="0"/>
              <w:left w:val="single" w:color="auto" w:sz="4" w:space="0"/>
              <w:bottom w:val="single" w:color="auto" w:sz="4" w:space="0"/>
              <w:right w:val="single" w:color="auto" w:sz="4" w:space="0"/>
            </w:tcBorders>
          </w:tcPr>
          <w:p w:rsidR="00C84F4C" w:rsidP="005F2936" w:rsidRDefault="00FD16AC" w14:paraId="6838C432" w14:textId="79CD8905">
            <w:pPr>
              <w:spacing w:after="120"/>
            </w:pPr>
            <w:r>
              <w:t>1,200</w:t>
            </w:r>
          </w:p>
          <w:p w:rsidRPr="00AE1D3F" w:rsidR="00C84F4C" w:rsidP="005F2936" w:rsidRDefault="00C84F4C" w14:paraId="64CB8FE6" w14:textId="77777777">
            <w:pPr>
              <w:spacing w:after="120"/>
            </w:pPr>
          </w:p>
        </w:tc>
        <w:tc>
          <w:tcPr>
            <w:tcW w:w="1734" w:type="dxa"/>
            <w:tcBorders>
              <w:top w:val="single" w:color="auto" w:sz="4" w:space="0"/>
              <w:left w:val="single" w:color="auto" w:sz="4" w:space="0"/>
              <w:bottom w:val="single" w:color="auto" w:sz="4" w:space="0"/>
              <w:right w:val="single" w:color="auto" w:sz="4" w:space="0"/>
            </w:tcBorders>
          </w:tcPr>
          <w:p w:rsidRPr="00AE1D3F" w:rsidR="00C84F4C" w:rsidP="005F2936" w:rsidRDefault="00C84F4C" w14:paraId="705C4D4F" w14:textId="77777777">
            <w:pPr>
              <w:spacing w:after="120"/>
            </w:pPr>
            <w:r w:rsidRPr="00AE1D3F">
              <w:t xml:space="preserve">1 </w:t>
            </w:r>
          </w:p>
          <w:p w:rsidRPr="00AE1D3F" w:rsidR="00C84F4C" w:rsidP="005F2936" w:rsidRDefault="00C84F4C" w14:paraId="200EB8FA" w14:textId="77777777">
            <w:pPr>
              <w:spacing w:after="120"/>
            </w:pPr>
          </w:p>
        </w:tc>
        <w:tc>
          <w:tcPr>
            <w:tcW w:w="1261" w:type="dxa"/>
            <w:tcBorders>
              <w:top w:val="single" w:color="auto" w:sz="4" w:space="0"/>
              <w:left w:val="single" w:color="auto" w:sz="4" w:space="0"/>
              <w:bottom w:val="single" w:color="auto" w:sz="4" w:space="0"/>
              <w:right w:val="single" w:color="auto" w:sz="4" w:space="0"/>
            </w:tcBorders>
          </w:tcPr>
          <w:p w:rsidRPr="00AE1D3F" w:rsidR="00C84F4C" w:rsidP="005F2936" w:rsidRDefault="00FD16AC" w14:paraId="6FDB0A3C" w14:textId="5CF78569">
            <w:pPr>
              <w:spacing w:after="120"/>
            </w:pPr>
            <w:r>
              <w:t>.5</w:t>
            </w:r>
          </w:p>
        </w:tc>
        <w:tc>
          <w:tcPr>
            <w:tcW w:w="1284" w:type="dxa"/>
            <w:tcBorders>
              <w:top w:val="single" w:color="auto" w:sz="4" w:space="0"/>
              <w:left w:val="single" w:color="auto" w:sz="4" w:space="0"/>
              <w:bottom w:val="single" w:color="auto" w:sz="4" w:space="0"/>
              <w:right w:val="single" w:color="auto" w:sz="4" w:space="0"/>
            </w:tcBorders>
          </w:tcPr>
          <w:p w:rsidR="00C84F4C" w:rsidP="005F2936" w:rsidRDefault="00FD16AC" w14:paraId="4124A193" w14:textId="6D753883">
            <w:pPr>
              <w:spacing w:after="120"/>
            </w:pPr>
            <w:r>
              <w:t>600</w:t>
            </w:r>
          </w:p>
          <w:p w:rsidRPr="00AE1D3F" w:rsidR="00C84F4C" w:rsidP="005F2936" w:rsidRDefault="00C84F4C" w14:paraId="35574EF5" w14:textId="77777777">
            <w:pPr>
              <w:spacing w:after="120"/>
            </w:pPr>
          </w:p>
        </w:tc>
      </w:tr>
      <w:tr w:rsidRPr="00AE1D3F" w:rsidR="004D2362" w:rsidTr="00E35C07" w14:paraId="7F27BA53" w14:textId="77777777">
        <w:trPr>
          <w:trHeight w:val="989"/>
        </w:trPr>
        <w:tc>
          <w:tcPr>
            <w:tcW w:w="1671" w:type="dxa"/>
            <w:tcBorders>
              <w:top w:val="single" w:color="auto" w:sz="4" w:space="0"/>
              <w:right w:val="single" w:color="auto" w:sz="4" w:space="0"/>
            </w:tcBorders>
          </w:tcPr>
          <w:p w:rsidR="004D2362" w:rsidP="004D2362" w:rsidRDefault="004D2362" w14:paraId="23B0B87E" w14:textId="4ED21CAB">
            <w:pPr>
              <w:spacing w:after="120"/>
            </w:pPr>
            <w:r>
              <w:t>Facility administrative staff</w:t>
            </w:r>
          </w:p>
        </w:tc>
        <w:tc>
          <w:tcPr>
            <w:tcW w:w="1714" w:type="dxa"/>
            <w:tcBorders>
              <w:top w:val="single" w:color="auto" w:sz="4" w:space="0"/>
              <w:right w:val="single" w:color="auto" w:sz="4" w:space="0"/>
            </w:tcBorders>
          </w:tcPr>
          <w:p w:rsidR="004D2362" w:rsidP="004D2362" w:rsidRDefault="004D2362" w14:paraId="4DA26C33" w14:textId="43955056">
            <w:pPr>
              <w:spacing w:after="120"/>
            </w:pPr>
            <w:r>
              <w:t>Short MMP Facility Survey</w:t>
            </w:r>
          </w:p>
        </w:tc>
        <w:tc>
          <w:tcPr>
            <w:tcW w:w="1537" w:type="dxa"/>
            <w:tcBorders>
              <w:top w:val="single" w:color="auto" w:sz="4" w:space="0"/>
              <w:left w:val="single" w:color="auto" w:sz="4" w:space="0"/>
              <w:bottom w:val="single" w:color="auto" w:sz="4" w:space="0"/>
              <w:right w:val="single" w:color="auto" w:sz="4" w:space="0"/>
            </w:tcBorders>
          </w:tcPr>
          <w:p w:rsidR="004D2362" w:rsidP="004D2362" w:rsidRDefault="004D2362" w14:paraId="153E2F1A" w14:textId="6FF19A85">
            <w:pPr>
              <w:spacing w:after="120"/>
            </w:pPr>
            <w:r>
              <w:t>225</w:t>
            </w:r>
          </w:p>
          <w:p w:rsidR="004D2362" w:rsidP="004D2362" w:rsidRDefault="004D2362" w14:paraId="6B1DC3BB" w14:textId="77777777">
            <w:pPr>
              <w:spacing w:after="120"/>
            </w:pPr>
          </w:p>
        </w:tc>
        <w:tc>
          <w:tcPr>
            <w:tcW w:w="1734" w:type="dxa"/>
            <w:tcBorders>
              <w:top w:val="single" w:color="auto" w:sz="4" w:space="0"/>
              <w:left w:val="single" w:color="auto" w:sz="4" w:space="0"/>
              <w:bottom w:val="single" w:color="auto" w:sz="4" w:space="0"/>
              <w:right w:val="single" w:color="auto" w:sz="4" w:space="0"/>
            </w:tcBorders>
          </w:tcPr>
          <w:p w:rsidRPr="00AE1D3F" w:rsidR="004D2362" w:rsidP="004D2362" w:rsidRDefault="004D2362" w14:paraId="0DA1A8C7" w14:textId="77777777">
            <w:pPr>
              <w:spacing w:after="120"/>
            </w:pPr>
            <w:r w:rsidRPr="00AE1D3F">
              <w:t xml:space="preserve">1 </w:t>
            </w:r>
          </w:p>
          <w:p w:rsidRPr="00AE1D3F" w:rsidR="004D2362" w:rsidP="004D2362" w:rsidRDefault="004D2362" w14:paraId="6FEAC9A7" w14:textId="77777777">
            <w:pPr>
              <w:spacing w:after="120"/>
            </w:pPr>
          </w:p>
        </w:tc>
        <w:tc>
          <w:tcPr>
            <w:tcW w:w="1261" w:type="dxa"/>
            <w:tcBorders>
              <w:top w:val="single" w:color="auto" w:sz="4" w:space="0"/>
              <w:left w:val="single" w:color="auto" w:sz="4" w:space="0"/>
              <w:bottom w:val="single" w:color="auto" w:sz="4" w:space="0"/>
              <w:right w:val="single" w:color="auto" w:sz="4" w:space="0"/>
            </w:tcBorders>
          </w:tcPr>
          <w:p w:rsidR="004D2362" w:rsidP="004D2362" w:rsidRDefault="00431F73" w14:paraId="1D46FB17" w14:textId="3EA4E6BC">
            <w:pPr>
              <w:spacing w:after="120"/>
            </w:pPr>
            <w:r>
              <w:t>5/60</w:t>
            </w:r>
          </w:p>
        </w:tc>
        <w:tc>
          <w:tcPr>
            <w:tcW w:w="1284" w:type="dxa"/>
            <w:tcBorders>
              <w:top w:val="single" w:color="auto" w:sz="4" w:space="0"/>
              <w:left w:val="single" w:color="auto" w:sz="4" w:space="0"/>
              <w:bottom w:val="single" w:color="auto" w:sz="4" w:space="0"/>
              <w:right w:val="single" w:color="auto" w:sz="4" w:space="0"/>
            </w:tcBorders>
          </w:tcPr>
          <w:p w:rsidR="004D2362" w:rsidP="004D2362" w:rsidRDefault="004D2362" w14:paraId="2F3865C4" w14:textId="421420F1">
            <w:pPr>
              <w:spacing w:after="120"/>
            </w:pPr>
            <w:r>
              <w:t>18</w:t>
            </w:r>
          </w:p>
          <w:p w:rsidR="004D2362" w:rsidP="004D2362" w:rsidRDefault="004D2362" w14:paraId="471B58BA" w14:textId="77777777">
            <w:pPr>
              <w:spacing w:after="120"/>
            </w:pPr>
          </w:p>
        </w:tc>
      </w:tr>
      <w:tr w:rsidRPr="00AE1D3F" w:rsidR="00C84F4C" w:rsidTr="00E35C07" w14:paraId="2CFCC4A4" w14:textId="77777777">
        <w:tc>
          <w:tcPr>
            <w:tcW w:w="1671" w:type="dxa"/>
            <w:tcBorders>
              <w:top w:val="single" w:color="auto" w:sz="4" w:space="0"/>
              <w:bottom w:val="single" w:color="auto" w:sz="4" w:space="0"/>
              <w:right w:val="single" w:color="auto" w:sz="4" w:space="0"/>
            </w:tcBorders>
          </w:tcPr>
          <w:p w:rsidRPr="00AE1D3F" w:rsidR="00C84F4C" w:rsidP="005F2936" w:rsidRDefault="00C84F4C" w14:paraId="0CF1B3E9" w14:textId="77777777">
            <w:pPr>
              <w:spacing w:after="120"/>
              <w:rPr>
                <w:b/>
              </w:rPr>
            </w:pPr>
            <w:r w:rsidRPr="00AE1D3F">
              <w:rPr>
                <w:b/>
              </w:rPr>
              <w:t>Total</w:t>
            </w:r>
          </w:p>
        </w:tc>
        <w:tc>
          <w:tcPr>
            <w:tcW w:w="1714" w:type="dxa"/>
            <w:tcBorders>
              <w:top w:val="single" w:color="auto" w:sz="4" w:space="0"/>
              <w:bottom w:val="single" w:color="auto" w:sz="4" w:space="0"/>
              <w:right w:val="single" w:color="auto" w:sz="4" w:space="0"/>
            </w:tcBorders>
          </w:tcPr>
          <w:p w:rsidRPr="00AE1D3F" w:rsidR="00C84F4C" w:rsidP="005F2936" w:rsidRDefault="00C84F4C" w14:paraId="2F8FB2AF" w14:textId="77777777">
            <w:pPr>
              <w:spacing w:after="120"/>
              <w:rPr>
                <w:b/>
              </w:rPr>
            </w:pPr>
          </w:p>
        </w:tc>
        <w:tc>
          <w:tcPr>
            <w:tcW w:w="1537" w:type="dxa"/>
            <w:tcBorders>
              <w:top w:val="single" w:color="auto" w:sz="4" w:space="0"/>
              <w:left w:val="single" w:color="auto" w:sz="4" w:space="0"/>
              <w:bottom w:val="single" w:color="auto" w:sz="4" w:space="0"/>
              <w:right w:val="single" w:color="auto" w:sz="4" w:space="0"/>
            </w:tcBorders>
          </w:tcPr>
          <w:p w:rsidRPr="00AE1D3F" w:rsidR="00C84F4C" w:rsidP="005F2936" w:rsidRDefault="00C84F4C" w14:paraId="36C6B087" w14:textId="77777777">
            <w:pPr>
              <w:spacing w:after="120"/>
              <w:rPr>
                <w:b/>
              </w:rPr>
            </w:pPr>
          </w:p>
        </w:tc>
        <w:tc>
          <w:tcPr>
            <w:tcW w:w="1734" w:type="dxa"/>
            <w:tcBorders>
              <w:top w:val="single" w:color="auto" w:sz="4" w:space="0"/>
              <w:left w:val="single" w:color="auto" w:sz="4" w:space="0"/>
              <w:bottom w:val="single" w:color="auto" w:sz="4" w:space="0"/>
              <w:right w:val="single" w:color="auto" w:sz="4" w:space="0"/>
            </w:tcBorders>
          </w:tcPr>
          <w:p w:rsidRPr="00AE1D3F" w:rsidR="00C84F4C" w:rsidP="005F2936" w:rsidRDefault="00C84F4C" w14:paraId="7F6EF36C" w14:textId="77777777">
            <w:pPr>
              <w:spacing w:after="120"/>
              <w:rPr>
                <w:b/>
              </w:rPr>
            </w:pPr>
          </w:p>
        </w:tc>
        <w:tc>
          <w:tcPr>
            <w:tcW w:w="1261" w:type="dxa"/>
            <w:tcBorders>
              <w:top w:val="single" w:color="auto" w:sz="4" w:space="0"/>
              <w:left w:val="single" w:color="auto" w:sz="4" w:space="0"/>
              <w:bottom w:val="single" w:color="auto" w:sz="4" w:space="0"/>
              <w:right w:val="single" w:color="auto" w:sz="4" w:space="0"/>
            </w:tcBorders>
          </w:tcPr>
          <w:p w:rsidRPr="00AE1D3F" w:rsidR="00C84F4C" w:rsidP="005F2936" w:rsidRDefault="00C84F4C" w14:paraId="5E7D61E8" w14:textId="77777777">
            <w:pPr>
              <w:spacing w:after="120"/>
              <w:rPr>
                <w:b/>
              </w:rPr>
            </w:pPr>
          </w:p>
        </w:tc>
        <w:tc>
          <w:tcPr>
            <w:tcW w:w="1284" w:type="dxa"/>
            <w:tcBorders>
              <w:top w:val="single" w:color="auto" w:sz="4" w:space="0"/>
              <w:left w:val="single" w:color="auto" w:sz="4" w:space="0"/>
              <w:bottom w:val="single" w:color="auto" w:sz="4" w:space="0"/>
              <w:right w:val="single" w:color="auto" w:sz="4" w:space="0"/>
            </w:tcBorders>
          </w:tcPr>
          <w:p w:rsidRPr="00AE1D3F" w:rsidR="00C84F4C" w:rsidP="005F2936" w:rsidRDefault="00FD16AC" w14:paraId="0B21DBE0" w14:textId="79620FD2">
            <w:pPr>
              <w:spacing w:after="120"/>
              <w:rPr>
                <w:b/>
              </w:rPr>
            </w:pPr>
            <w:r>
              <w:rPr>
                <w:b/>
              </w:rPr>
              <w:t>6</w:t>
            </w:r>
            <w:r w:rsidR="004D2362">
              <w:rPr>
                <w:b/>
              </w:rPr>
              <w:t>18</w:t>
            </w:r>
          </w:p>
        </w:tc>
      </w:tr>
    </w:tbl>
    <w:p w:rsidR="00E35C07" w:rsidP="00262686" w:rsidRDefault="00E35C07" w14:paraId="46BB3629" w14:textId="7794F446"/>
    <w:p w:rsidR="00E35C07" w:rsidP="00262686" w:rsidRDefault="00E35C07" w14:paraId="286C0A08" w14:textId="6B8CF12D"/>
    <w:p w:rsidR="00E35C07" w:rsidP="00262686" w:rsidRDefault="00E35C07" w14:paraId="190D2C15" w14:textId="3334FAE3"/>
    <w:p w:rsidR="00E35C07" w:rsidP="00262686" w:rsidRDefault="00E35C07" w14:paraId="1289B627" w14:textId="606A65CE"/>
    <w:p w:rsidR="00E35C07" w:rsidP="00262686" w:rsidRDefault="00E35C07" w14:paraId="6CD079B5" w14:textId="623FC937"/>
    <w:p w:rsidR="00E35C07" w:rsidP="00262686" w:rsidRDefault="00E35C07" w14:paraId="44172AD5" w14:textId="7A0633E7"/>
    <w:p w:rsidR="00E35C07" w:rsidP="00262686" w:rsidRDefault="00E35C07" w14:paraId="5B022A97" w14:textId="75CBC812"/>
    <w:p w:rsidR="00E35C07" w:rsidP="00262686" w:rsidRDefault="00E35C07" w14:paraId="25C751FA" w14:textId="30EE45EF"/>
    <w:p w:rsidR="00E35C07" w:rsidP="00262686" w:rsidRDefault="00E35C07" w14:paraId="3FFDB6DF" w14:textId="4BA41C90"/>
    <w:p w:rsidR="00E35C07" w:rsidP="00262686" w:rsidRDefault="00E35C07" w14:paraId="71E8A790" w14:textId="7EB971C9"/>
    <w:p w:rsidR="00E35C07" w:rsidP="00262686" w:rsidRDefault="00E35C07" w14:paraId="2B4F1CDD" w14:textId="6E306C27"/>
    <w:p w:rsidR="00E35C07" w:rsidP="00262686" w:rsidRDefault="00E35C07" w14:paraId="52B20190" w14:textId="64F97E5E"/>
    <w:p w:rsidR="00E35C07" w:rsidP="00262686" w:rsidRDefault="00E35C07" w14:paraId="34A0EB0E" w14:textId="77777777"/>
    <w:p w:rsidR="004D2362" w:rsidP="00FD16AC" w:rsidRDefault="004D2362" w14:paraId="2221A3E5" w14:textId="77777777">
      <w:pPr>
        <w:rPr>
          <w:b/>
        </w:rPr>
      </w:pPr>
    </w:p>
    <w:p w:rsidR="004D2362" w:rsidP="00FD16AC" w:rsidRDefault="004D2362" w14:paraId="390DCD31" w14:textId="77777777">
      <w:pPr>
        <w:rPr>
          <w:b/>
        </w:rPr>
      </w:pPr>
    </w:p>
    <w:p w:rsidR="004D2362" w:rsidP="00FD16AC" w:rsidRDefault="004D2362" w14:paraId="60ADDEB6" w14:textId="77777777">
      <w:pPr>
        <w:rPr>
          <w:b/>
        </w:rPr>
      </w:pPr>
    </w:p>
    <w:p w:rsidRPr="00DD2F26" w:rsidR="00515A39" w:rsidP="00FD16AC" w:rsidRDefault="008F7093" w14:paraId="50F1F84A" w14:textId="6185AF95">
      <w:pPr>
        <w:rPr>
          <w:b/>
        </w:rPr>
      </w:pPr>
      <w:r w:rsidRPr="00DD2F26">
        <w:rPr>
          <w:b/>
        </w:rPr>
        <w:t xml:space="preserve">B. </w:t>
      </w:r>
      <w:r w:rsidRPr="00DD2F26" w:rsidR="00DD2F26">
        <w:rPr>
          <w:b/>
        </w:rPr>
        <w:t>Estimated Annualized Cost to Respondents</w:t>
      </w:r>
    </w:p>
    <w:p w:rsidR="00515A39" w:rsidP="00FD16AC" w:rsidRDefault="00515A39" w14:paraId="3C014232" w14:textId="77777777"/>
    <w:p w:rsidR="00FD16AC" w:rsidP="00FD16AC" w:rsidRDefault="00FD16AC" w14:paraId="15983908" w14:textId="6DCF1263">
      <w:r>
        <w:lastRenderedPageBreak/>
        <w:t xml:space="preserve">Note:  The hourly rate was determined by using information obtained from the US Department of Labor, Bureau of Labor Statistics:  </w:t>
      </w:r>
    </w:p>
    <w:p w:rsidR="00903184" w:rsidP="00FD16AC" w:rsidRDefault="00FD16AC" w14:paraId="5184A349" w14:textId="0BD09FF5">
      <w:r>
        <w:t>http://www.bls.gov/cps/cpsaat39.htm</w:t>
      </w:r>
      <w:r w:rsidR="00C70D45">
        <w:t>.</w:t>
      </w:r>
    </w:p>
    <w:p w:rsidR="005A13A1" w:rsidP="005A13A1" w:rsidRDefault="005A13A1" w14:paraId="4C882F4D" w14:textId="77777777">
      <w:pPr>
        <w:keepNext/>
        <w:keepLines/>
        <w:spacing w:line="360" w:lineRule="auto"/>
        <w:rPr>
          <w:b/>
        </w:rPr>
      </w:pPr>
    </w:p>
    <w:p w:rsidRPr="009D111C" w:rsidR="008F7093" w:rsidP="009D111C" w:rsidRDefault="00FE2495" w14:paraId="6878F60B" w14:textId="0CBEE172">
      <w:pPr>
        <w:keepNext/>
        <w:keepLines/>
        <w:spacing w:line="480" w:lineRule="auto"/>
        <w:rPr>
          <w:b/>
        </w:rPr>
      </w:pPr>
      <w:bookmarkStart w:name="_Hlk30165675" w:id="7"/>
      <w:r w:rsidRPr="009D111C">
        <w:rPr>
          <w:b/>
        </w:rPr>
        <w:t>T</w:t>
      </w:r>
      <w:r w:rsidRPr="009D111C" w:rsidR="008F7093">
        <w:rPr>
          <w:b/>
        </w:rPr>
        <w:t>able B.12.1:</w:t>
      </w:r>
      <w:r w:rsidRPr="009D111C" w:rsidR="008F7093">
        <w:t xml:space="preserve"> </w:t>
      </w:r>
      <w:r w:rsidR="00DD2F26">
        <w:rPr>
          <w:b/>
        </w:rPr>
        <w:t xml:space="preserve">MMP Facility Survey </w:t>
      </w:r>
      <w:r w:rsidRPr="009D111C" w:rsidR="008F7093">
        <w:rPr>
          <w:b/>
        </w:rPr>
        <w:t xml:space="preserve">Estimated Annualized </w:t>
      </w:r>
      <w:bookmarkEnd w:id="7"/>
      <w:r w:rsidRPr="009D111C" w:rsidR="008F7093">
        <w:rPr>
          <w:b/>
        </w:rPr>
        <w:t>Burden Costs</w:t>
      </w:r>
    </w:p>
    <w:tbl>
      <w:tblPr>
        <w:tblW w:w="9295" w:type="dxa"/>
        <w:tblBorders>
          <w:top w:val="single" w:color="auto" w:sz="4" w:space="0"/>
          <w:left w:val="single" w:color="auto" w:sz="4" w:space="0"/>
          <w:bottom w:val="single" w:color="auto" w:sz="4" w:space="0"/>
          <w:right w:val="single" w:color="auto" w:sz="4" w:space="0"/>
        </w:tblBorders>
        <w:tblLayout w:type="fixed"/>
        <w:tblCellMar>
          <w:left w:w="115" w:type="dxa"/>
          <w:right w:w="115" w:type="dxa"/>
        </w:tblCellMar>
        <w:tblLook w:val="0000" w:firstRow="0" w:lastRow="0" w:firstColumn="0" w:lastColumn="0" w:noHBand="0" w:noVBand="0"/>
      </w:tblPr>
      <w:tblGrid>
        <w:gridCol w:w="3055"/>
        <w:gridCol w:w="2107"/>
        <w:gridCol w:w="1163"/>
        <w:gridCol w:w="1440"/>
        <w:gridCol w:w="1530"/>
      </w:tblGrid>
      <w:tr w:rsidRPr="00E35911" w:rsidR="00101297" w:rsidTr="004A03F1" w14:paraId="6A55FEC4" w14:textId="77777777">
        <w:trPr>
          <w:trHeight w:val="971"/>
        </w:trPr>
        <w:tc>
          <w:tcPr>
            <w:tcW w:w="3055" w:type="dxa"/>
            <w:tcBorders>
              <w:top w:val="single" w:color="auto" w:sz="4" w:space="0"/>
              <w:left w:val="single" w:color="auto" w:sz="4" w:space="0"/>
              <w:bottom w:val="single" w:color="auto" w:sz="4" w:space="0"/>
              <w:right w:val="single" w:color="auto" w:sz="4" w:space="0"/>
            </w:tcBorders>
          </w:tcPr>
          <w:p w:rsidRPr="0052251A" w:rsidR="00101297" w:rsidP="00903184" w:rsidRDefault="00101297" w14:paraId="0383EBA0" w14:textId="77777777">
            <w:pPr>
              <w:widowControl/>
              <w:rPr>
                <w:b/>
              </w:rPr>
            </w:pPr>
            <w:r w:rsidRPr="0052251A">
              <w:rPr>
                <w:b/>
              </w:rPr>
              <w:t>Type of Respondents</w:t>
            </w:r>
          </w:p>
        </w:tc>
        <w:tc>
          <w:tcPr>
            <w:tcW w:w="2107" w:type="dxa"/>
            <w:tcBorders>
              <w:top w:val="single" w:color="auto" w:sz="4" w:space="0"/>
              <w:left w:val="single" w:color="auto" w:sz="4" w:space="0"/>
              <w:bottom w:val="single" w:color="auto" w:sz="4" w:space="0"/>
              <w:right w:val="single" w:color="auto" w:sz="4" w:space="0"/>
            </w:tcBorders>
          </w:tcPr>
          <w:p w:rsidRPr="0052251A" w:rsidR="00101297" w:rsidP="00903184" w:rsidRDefault="00101297" w14:paraId="76F3149D" w14:textId="77777777">
            <w:pPr>
              <w:widowControl/>
              <w:rPr>
                <w:b/>
              </w:rPr>
            </w:pPr>
            <w:r w:rsidRPr="0052251A">
              <w:rPr>
                <w:b/>
              </w:rPr>
              <w:t>Form Name</w:t>
            </w:r>
          </w:p>
        </w:tc>
        <w:tc>
          <w:tcPr>
            <w:tcW w:w="1163" w:type="dxa"/>
            <w:tcBorders>
              <w:top w:val="single" w:color="auto" w:sz="4" w:space="0"/>
              <w:left w:val="single" w:color="auto" w:sz="4" w:space="0"/>
              <w:bottom w:val="single" w:color="auto" w:sz="4" w:space="0"/>
              <w:right w:val="single" w:color="auto" w:sz="4" w:space="0"/>
            </w:tcBorders>
          </w:tcPr>
          <w:p w:rsidRPr="0052251A" w:rsidR="00101297" w:rsidP="00903184" w:rsidRDefault="00101297" w14:paraId="666AD3C7" w14:textId="77777777">
            <w:pPr>
              <w:rPr>
                <w:b/>
              </w:rPr>
            </w:pPr>
            <w:r w:rsidRPr="0052251A">
              <w:rPr>
                <w:b/>
              </w:rPr>
              <w:t>Total Burden</w:t>
            </w:r>
          </w:p>
          <w:p w:rsidRPr="0052251A" w:rsidR="00101297" w:rsidP="00903184" w:rsidRDefault="00101297" w14:paraId="2B4B662A" w14:textId="77777777">
            <w:pPr>
              <w:rPr>
                <w:b/>
              </w:rPr>
            </w:pPr>
            <w:r w:rsidRPr="0052251A">
              <w:rPr>
                <w:b/>
              </w:rPr>
              <w:t>Hours</w:t>
            </w:r>
          </w:p>
        </w:tc>
        <w:tc>
          <w:tcPr>
            <w:tcW w:w="1440" w:type="dxa"/>
            <w:tcBorders>
              <w:top w:val="single" w:color="auto" w:sz="4" w:space="0"/>
              <w:left w:val="single" w:color="auto" w:sz="4" w:space="0"/>
              <w:bottom w:val="single" w:color="auto" w:sz="4" w:space="0"/>
              <w:right w:val="single" w:color="auto" w:sz="4" w:space="0"/>
            </w:tcBorders>
          </w:tcPr>
          <w:p w:rsidRPr="0052251A" w:rsidR="00101297" w:rsidP="00903184" w:rsidRDefault="00101297" w14:paraId="069B302E" w14:textId="77777777">
            <w:pPr>
              <w:widowControl/>
              <w:rPr>
                <w:b/>
              </w:rPr>
            </w:pPr>
            <w:r w:rsidRPr="0052251A">
              <w:rPr>
                <w:b/>
              </w:rPr>
              <w:t>Hourly Wage Rate*</w:t>
            </w:r>
          </w:p>
        </w:tc>
        <w:tc>
          <w:tcPr>
            <w:tcW w:w="1530" w:type="dxa"/>
            <w:tcBorders>
              <w:top w:val="single" w:color="auto" w:sz="4" w:space="0"/>
              <w:left w:val="single" w:color="auto" w:sz="4" w:space="0"/>
              <w:bottom w:val="single" w:color="auto" w:sz="4" w:space="0"/>
            </w:tcBorders>
          </w:tcPr>
          <w:p w:rsidRPr="0052251A" w:rsidR="00101297" w:rsidP="00903184" w:rsidRDefault="00101297" w14:paraId="0A93FCCD" w14:textId="77777777">
            <w:pPr>
              <w:widowControl/>
              <w:rPr>
                <w:b/>
              </w:rPr>
            </w:pPr>
            <w:r w:rsidRPr="0052251A">
              <w:rPr>
                <w:b/>
              </w:rPr>
              <w:t>Total Respondent Costs</w:t>
            </w:r>
          </w:p>
        </w:tc>
      </w:tr>
      <w:tr w:rsidRPr="00E35911" w:rsidR="00CD3002" w:rsidTr="004A03F1" w14:paraId="28895C63" w14:textId="77777777">
        <w:tc>
          <w:tcPr>
            <w:tcW w:w="3055" w:type="dxa"/>
            <w:tcBorders>
              <w:top w:val="single" w:color="auto" w:sz="4" w:space="0"/>
              <w:left w:val="single" w:color="auto" w:sz="4" w:space="0"/>
              <w:right w:val="single" w:color="auto" w:sz="4" w:space="0"/>
            </w:tcBorders>
          </w:tcPr>
          <w:p w:rsidRPr="00915763" w:rsidR="00CD3002" w:rsidP="00CD3002" w:rsidRDefault="00CD3002" w14:paraId="001B8B2F" w14:textId="1FBA9160">
            <w:pPr>
              <w:widowControl/>
            </w:pPr>
            <w:bookmarkStart w:name="_Hlk56086533" w:id="8"/>
            <w:r w:rsidRPr="00E23061">
              <w:t>Facility administrative staff</w:t>
            </w:r>
            <w:r w:rsidR="00A927A8">
              <w:t xml:space="preserve"> (e.g., </w:t>
            </w:r>
            <w:r w:rsidRPr="00A927A8" w:rsidR="00A927A8">
              <w:t>facility administrator, nurse manager,</w:t>
            </w:r>
            <w:r w:rsidR="00A927A8">
              <w:t xml:space="preserve"> </w:t>
            </w:r>
            <w:r w:rsidRPr="00A927A8" w:rsidR="00A927A8">
              <w:t>clinical director</w:t>
            </w:r>
            <w:r w:rsidR="00A927A8">
              <w:t>)</w:t>
            </w:r>
          </w:p>
        </w:tc>
        <w:tc>
          <w:tcPr>
            <w:tcW w:w="2107" w:type="dxa"/>
            <w:tcBorders>
              <w:top w:val="single" w:color="auto" w:sz="4" w:space="0"/>
              <w:left w:val="single" w:color="auto" w:sz="4" w:space="0"/>
              <w:right w:val="single" w:color="auto" w:sz="4" w:space="0"/>
            </w:tcBorders>
          </w:tcPr>
          <w:p w:rsidRPr="00841D4F" w:rsidR="00CD3002" w:rsidP="00CD3002" w:rsidRDefault="00CD3002" w14:paraId="00FA6DCE" w14:textId="2EA42D75">
            <w:pPr>
              <w:widowControl/>
              <w:rPr>
                <w:b/>
                <w:highlight w:val="yellow"/>
              </w:rPr>
            </w:pPr>
            <w:r w:rsidRPr="00E23061">
              <w:t>MMP Facility Survey</w:t>
            </w:r>
          </w:p>
        </w:tc>
        <w:tc>
          <w:tcPr>
            <w:tcW w:w="1163" w:type="dxa"/>
            <w:tcBorders>
              <w:top w:val="single" w:color="auto" w:sz="4" w:space="0"/>
              <w:left w:val="single" w:color="auto" w:sz="4" w:space="0"/>
              <w:bottom w:val="single" w:color="auto" w:sz="4" w:space="0"/>
              <w:right w:val="single" w:color="auto" w:sz="4" w:space="0"/>
            </w:tcBorders>
          </w:tcPr>
          <w:p w:rsidRPr="0057526F" w:rsidR="00CD3002" w:rsidP="00CD3002" w:rsidRDefault="00CD3002" w14:paraId="22531E0D" w14:textId="6548C307">
            <w:r>
              <w:t>600</w:t>
            </w:r>
          </w:p>
        </w:tc>
        <w:tc>
          <w:tcPr>
            <w:tcW w:w="1440" w:type="dxa"/>
            <w:tcBorders>
              <w:top w:val="single" w:color="auto" w:sz="4" w:space="0"/>
              <w:left w:val="single" w:color="auto" w:sz="4" w:space="0"/>
              <w:bottom w:val="single" w:color="auto" w:sz="4" w:space="0"/>
              <w:right w:val="single" w:color="auto" w:sz="4" w:space="0"/>
            </w:tcBorders>
          </w:tcPr>
          <w:p w:rsidRPr="00F819FE" w:rsidR="00CD3002" w:rsidP="00CD3002" w:rsidRDefault="00CD3002" w14:paraId="69B4A4A0" w14:textId="5E3F6B6A">
            <w:pPr>
              <w:widowControl/>
            </w:pPr>
            <w:r w:rsidRPr="00F819FE">
              <w:t>$</w:t>
            </w:r>
            <w:r>
              <w:t>35.20</w:t>
            </w:r>
          </w:p>
        </w:tc>
        <w:tc>
          <w:tcPr>
            <w:tcW w:w="1530" w:type="dxa"/>
            <w:tcBorders>
              <w:top w:val="single" w:color="auto" w:sz="4" w:space="0"/>
              <w:left w:val="single" w:color="auto" w:sz="4" w:space="0"/>
              <w:bottom w:val="single" w:color="auto" w:sz="4" w:space="0"/>
            </w:tcBorders>
          </w:tcPr>
          <w:p w:rsidRPr="00E35911" w:rsidR="00CD3002" w:rsidP="00CD3002" w:rsidRDefault="00CD3002" w14:paraId="521C738A" w14:textId="455EB5F4">
            <w:pPr>
              <w:widowControl/>
              <w:rPr>
                <w:highlight w:val="yellow"/>
              </w:rPr>
            </w:pPr>
            <w:r>
              <w:t xml:space="preserve"> $21,120</w:t>
            </w:r>
          </w:p>
        </w:tc>
      </w:tr>
      <w:bookmarkEnd w:id="8"/>
      <w:tr w:rsidRPr="00E35911" w:rsidR="004D2362" w:rsidTr="004A03F1" w14:paraId="1286ADFF" w14:textId="77777777">
        <w:tc>
          <w:tcPr>
            <w:tcW w:w="3055" w:type="dxa"/>
            <w:tcBorders>
              <w:top w:val="single" w:color="auto" w:sz="4" w:space="0"/>
              <w:left w:val="single" w:color="auto" w:sz="4" w:space="0"/>
              <w:right w:val="single" w:color="auto" w:sz="4" w:space="0"/>
            </w:tcBorders>
          </w:tcPr>
          <w:p w:rsidRPr="00E23061" w:rsidR="004D2362" w:rsidP="004D2362" w:rsidRDefault="004D2362" w14:paraId="05577273" w14:textId="6E0EFEB1">
            <w:pPr>
              <w:widowControl/>
            </w:pPr>
            <w:r w:rsidRPr="00E23061">
              <w:t>Facility administrative staff</w:t>
            </w:r>
            <w:r w:rsidR="00A927A8">
              <w:t xml:space="preserve"> </w:t>
            </w:r>
            <w:r w:rsidRPr="00A927A8" w:rsidR="00A927A8">
              <w:t>(e.g., facility administrator, nurse manager, clinical director)</w:t>
            </w:r>
          </w:p>
        </w:tc>
        <w:tc>
          <w:tcPr>
            <w:tcW w:w="2107" w:type="dxa"/>
            <w:tcBorders>
              <w:top w:val="single" w:color="auto" w:sz="4" w:space="0"/>
              <w:left w:val="single" w:color="auto" w:sz="4" w:space="0"/>
              <w:right w:val="single" w:color="auto" w:sz="4" w:space="0"/>
            </w:tcBorders>
          </w:tcPr>
          <w:p w:rsidRPr="00E23061" w:rsidR="004D2362" w:rsidP="004D2362" w:rsidRDefault="004D2362" w14:paraId="06CE6924" w14:textId="6EE92B2D">
            <w:pPr>
              <w:widowControl/>
            </w:pPr>
            <w:r>
              <w:t xml:space="preserve">Short </w:t>
            </w:r>
            <w:r w:rsidRPr="00E23061">
              <w:t>MMP Facility Survey</w:t>
            </w:r>
          </w:p>
        </w:tc>
        <w:tc>
          <w:tcPr>
            <w:tcW w:w="1163" w:type="dxa"/>
            <w:tcBorders>
              <w:top w:val="single" w:color="auto" w:sz="4" w:space="0"/>
              <w:left w:val="single" w:color="auto" w:sz="4" w:space="0"/>
              <w:bottom w:val="single" w:color="auto" w:sz="4" w:space="0"/>
              <w:right w:val="single" w:color="auto" w:sz="4" w:space="0"/>
            </w:tcBorders>
          </w:tcPr>
          <w:p w:rsidR="004D2362" w:rsidP="004D2362" w:rsidRDefault="00357E97" w14:paraId="37A448DE" w14:textId="4205DD55">
            <w:r>
              <w:t>1</w:t>
            </w:r>
            <w:r w:rsidR="00750307">
              <w:t>8</w:t>
            </w:r>
          </w:p>
        </w:tc>
        <w:tc>
          <w:tcPr>
            <w:tcW w:w="1440" w:type="dxa"/>
            <w:tcBorders>
              <w:top w:val="single" w:color="auto" w:sz="4" w:space="0"/>
              <w:left w:val="single" w:color="auto" w:sz="4" w:space="0"/>
              <w:bottom w:val="single" w:color="auto" w:sz="4" w:space="0"/>
              <w:right w:val="single" w:color="auto" w:sz="4" w:space="0"/>
            </w:tcBorders>
          </w:tcPr>
          <w:p w:rsidRPr="00F819FE" w:rsidR="004D2362" w:rsidP="004D2362" w:rsidRDefault="004D2362" w14:paraId="348C4EBB" w14:textId="7F05A10D">
            <w:pPr>
              <w:widowControl/>
            </w:pPr>
            <w:r w:rsidRPr="00F819FE">
              <w:t>$</w:t>
            </w:r>
            <w:r>
              <w:t>35.20</w:t>
            </w:r>
          </w:p>
        </w:tc>
        <w:tc>
          <w:tcPr>
            <w:tcW w:w="1530" w:type="dxa"/>
            <w:tcBorders>
              <w:top w:val="single" w:color="auto" w:sz="4" w:space="0"/>
              <w:left w:val="single" w:color="auto" w:sz="4" w:space="0"/>
              <w:bottom w:val="single" w:color="auto" w:sz="4" w:space="0"/>
            </w:tcBorders>
          </w:tcPr>
          <w:p w:rsidR="004D2362" w:rsidP="004D2362" w:rsidRDefault="004D2362" w14:paraId="05B52CDC" w14:textId="7608D66D">
            <w:pPr>
              <w:widowControl/>
            </w:pPr>
            <w:r>
              <w:t xml:space="preserve"> $</w:t>
            </w:r>
            <w:r w:rsidR="00357E97">
              <w:t>6</w:t>
            </w:r>
            <w:r w:rsidR="00750307">
              <w:t>34</w:t>
            </w:r>
          </w:p>
        </w:tc>
      </w:tr>
      <w:tr w:rsidRPr="00D3729A" w:rsidR="00101297" w:rsidTr="004A03F1" w14:paraId="4466002C" w14:textId="77777777">
        <w:tc>
          <w:tcPr>
            <w:tcW w:w="3055" w:type="dxa"/>
            <w:tcBorders>
              <w:top w:val="single" w:color="auto" w:sz="4" w:space="0"/>
              <w:left w:val="single" w:color="auto" w:sz="4" w:space="0"/>
              <w:bottom w:val="single" w:color="auto" w:sz="4" w:space="0"/>
              <w:right w:val="single" w:color="auto" w:sz="4" w:space="0"/>
            </w:tcBorders>
          </w:tcPr>
          <w:p w:rsidRPr="00915763" w:rsidR="00101297" w:rsidP="008F7093" w:rsidRDefault="00101297" w14:paraId="248EC821" w14:textId="77777777">
            <w:pPr>
              <w:widowControl/>
              <w:rPr>
                <w:b/>
              </w:rPr>
            </w:pPr>
            <w:r w:rsidRPr="00915763">
              <w:rPr>
                <w:b/>
              </w:rPr>
              <w:t>Total</w:t>
            </w:r>
          </w:p>
        </w:tc>
        <w:tc>
          <w:tcPr>
            <w:tcW w:w="2107" w:type="dxa"/>
            <w:tcBorders>
              <w:top w:val="single" w:color="auto" w:sz="4" w:space="0"/>
              <w:left w:val="single" w:color="auto" w:sz="4" w:space="0"/>
              <w:bottom w:val="single" w:color="auto" w:sz="4" w:space="0"/>
              <w:right w:val="single" w:color="auto" w:sz="4" w:space="0"/>
            </w:tcBorders>
          </w:tcPr>
          <w:p w:rsidRPr="00E35911" w:rsidR="00101297" w:rsidP="008F7093" w:rsidRDefault="00101297" w14:paraId="14A04E24" w14:textId="77777777">
            <w:pPr>
              <w:widowControl/>
              <w:rPr>
                <w:b/>
                <w:highlight w:val="yellow"/>
              </w:rPr>
            </w:pPr>
          </w:p>
        </w:tc>
        <w:tc>
          <w:tcPr>
            <w:tcW w:w="1163" w:type="dxa"/>
            <w:tcBorders>
              <w:top w:val="single" w:color="auto" w:sz="4" w:space="0"/>
              <w:left w:val="single" w:color="auto" w:sz="4" w:space="0"/>
              <w:bottom w:val="single" w:color="auto" w:sz="4" w:space="0"/>
              <w:right w:val="single" w:color="auto" w:sz="4" w:space="0"/>
            </w:tcBorders>
          </w:tcPr>
          <w:p w:rsidRPr="00E35911" w:rsidR="00101297" w:rsidP="008F7093" w:rsidRDefault="00101297" w14:paraId="64E27EBD" w14:textId="77777777">
            <w:pPr>
              <w:widowControl/>
              <w:rPr>
                <w:b/>
                <w:highlight w:val="yellow"/>
              </w:rPr>
            </w:pPr>
          </w:p>
        </w:tc>
        <w:tc>
          <w:tcPr>
            <w:tcW w:w="1440" w:type="dxa"/>
            <w:tcBorders>
              <w:top w:val="single" w:color="auto" w:sz="4" w:space="0"/>
              <w:left w:val="single" w:color="auto" w:sz="4" w:space="0"/>
              <w:bottom w:val="single" w:color="auto" w:sz="4" w:space="0"/>
              <w:right w:val="single" w:color="auto" w:sz="4" w:space="0"/>
            </w:tcBorders>
            <w:vAlign w:val="center"/>
          </w:tcPr>
          <w:p w:rsidRPr="00E35911" w:rsidR="00101297" w:rsidP="008F7093" w:rsidRDefault="00101297" w14:paraId="6024F352" w14:textId="77777777">
            <w:pPr>
              <w:widowControl/>
              <w:jc w:val="right"/>
              <w:rPr>
                <w:b/>
                <w:highlight w:val="yellow"/>
              </w:rPr>
            </w:pPr>
          </w:p>
        </w:tc>
        <w:tc>
          <w:tcPr>
            <w:tcW w:w="1530" w:type="dxa"/>
            <w:tcBorders>
              <w:top w:val="single" w:color="auto" w:sz="4" w:space="0"/>
              <w:left w:val="single" w:color="auto" w:sz="4" w:space="0"/>
              <w:bottom w:val="single" w:color="auto" w:sz="4" w:space="0"/>
            </w:tcBorders>
            <w:vAlign w:val="center"/>
          </w:tcPr>
          <w:p w:rsidRPr="00D3729A" w:rsidR="00101297" w:rsidP="008D0ABA" w:rsidRDefault="00101297" w14:paraId="049788C1" w14:textId="2823C20D">
            <w:pPr>
              <w:widowControl/>
              <w:rPr>
                <w:b/>
              </w:rPr>
            </w:pPr>
            <w:r w:rsidRPr="00E82EE7">
              <w:rPr>
                <w:b/>
              </w:rPr>
              <w:t>$</w:t>
            </w:r>
            <w:r w:rsidR="00357E97">
              <w:rPr>
                <w:b/>
              </w:rPr>
              <w:t>21,7</w:t>
            </w:r>
            <w:r w:rsidR="00750307">
              <w:rPr>
                <w:b/>
              </w:rPr>
              <w:t>54</w:t>
            </w:r>
          </w:p>
        </w:tc>
      </w:tr>
    </w:tbl>
    <w:p w:rsidR="008F7093" w:rsidP="008F7093" w:rsidRDefault="008F7093" w14:paraId="54F90A41" w14:textId="77777777"/>
    <w:p w:rsidRPr="00C03379" w:rsidR="008F7093" w:rsidP="008F7093" w:rsidRDefault="008F7093" w14:paraId="710B5579" w14:textId="77777777">
      <w:pPr>
        <w:spacing w:after="120"/>
        <w:rPr>
          <w:b/>
        </w:rPr>
      </w:pPr>
      <w:r w:rsidRPr="00C03379">
        <w:rPr>
          <w:b/>
        </w:rPr>
        <w:t>13. Estimates of Other Total Annual Cost Burden to Respondents or Record Keepers</w:t>
      </w:r>
    </w:p>
    <w:p w:rsidR="00B32087" w:rsidP="008F7093" w:rsidRDefault="005031D3" w14:paraId="091A0F39" w14:textId="2CFB77B2">
      <w:pPr>
        <w:spacing w:after="120"/>
      </w:pPr>
      <w:r w:rsidRPr="005031D3">
        <w:t>There are no other costs to respondents associated with this proposed collection of information.</w:t>
      </w:r>
    </w:p>
    <w:p w:rsidRPr="00C03379" w:rsidR="008F7093" w:rsidP="008F7093" w:rsidRDefault="008F7093" w14:paraId="6C6126B3" w14:textId="63DFA669">
      <w:pPr>
        <w:spacing w:after="120"/>
        <w:rPr>
          <w:b/>
        </w:rPr>
      </w:pPr>
      <w:r w:rsidRPr="00C03379">
        <w:rPr>
          <w:b/>
        </w:rPr>
        <w:t>14. Annualized Cost to the Government</w:t>
      </w:r>
    </w:p>
    <w:p w:rsidRPr="00091161" w:rsidR="005031D3" w:rsidP="005031D3" w:rsidRDefault="005A13A1" w14:paraId="25037E47" w14:textId="35D7B609">
      <w:pPr>
        <w:spacing w:after="120"/>
      </w:pPr>
      <w:r w:rsidRPr="00091161">
        <w:t xml:space="preserve">The annualized cost to the government is </w:t>
      </w:r>
      <w:r w:rsidRPr="00091161" w:rsidR="009E1CF2">
        <w:t>$</w:t>
      </w:r>
      <w:r w:rsidR="00091161">
        <w:t>565,000</w:t>
      </w:r>
      <w:r w:rsidRPr="00091161">
        <w:t xml:space="preserve">. </w:t>
      </w:r>
    </w:p>
    <w:p w:rsidRPr="00091161" w:rsidR="00F07D99" w:rsidP="005031D3" w:rsidRDefault="00F07D99" w14:paraId="7B75F44D" w14:textId="11DB7ACE">
      <w:pPr>
        <w:spacing w:after="120"/>
      </w:pPr>
      <w:r w:rsidRPr="00091161">
        <w:rPr>
          <w:b/>
        </w:rPr>
        <w:t>Table B.</w:t>
      </w:r>
      <w:r w:rsidRPr="00091161" w:rsidR="00DD2F26">
        <w:rPr>
          <w:b/>
        </w:rPr>
        <w:t>14</w:t>
      </w:r>
      <w:r w:rsidRPr="00091161">
        <w:rPr>
          <w:b/>
        </w:rPr>
        <w:t>:</w:t>
      </w:r>
      <w:r w:rsidRPr="00091161">
        <w:t xml:space="preserve"> </w:t>
      </w:r>
      <w:r w:rsidRPr="00091161" w:rsidR="00DD2F26">
        <w:rPr>
          <w:b/>
        </w:rPr>
        <w:t xml:space="preserve">MMP Facility Survey </w:t>
      </w:r>
      <w:r w:rsidRPr="00091161">
        <w:rPr>
          <w:b/>
        </w:rPr>
        <w:t>Estimated Annualized</w:t>
      </w: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762"/>
        <w:gridCol w:w="5618"/>
        <w:gridCol w:w="2088"/>
      </w:tblGrid>
      <w:tr w:rsidRPr="00091161" w:rsidR="005031D3" w:rsidTr="00192F4A" w14:paraId="0392C340" w14:textId="77777777">
        <w:tc>
          <w:tcPr>
            <w:tcW w:w="1762" w:type="dxa"/>
          </w:tcPr>
          <w:p w:rsidRPr="00091161" w:rsidR="005031D3" w:rsidP="005031D3" w:rsidRDefault="005031D3" w14:paraId="12102FC7" w14:textId="77777777">
            <w:pPr>
              <w:spacing w:after="120"/>
              <w:rPr>
                <w:b/>
                <w:bCs/>
              </w:rPr>
            </w:pPr>
            <w:bookmarkStart w:name="_Hlk37333027" w:id="9"/>
            <w:r w:rsidRPr="00091161">
              <w:rPr>
                <w:b/>
                <w:bCs/>
              </w:rPr>
              <w:t>Expense Type</w:t>
            </w:r>
          </w:p>
        </w:tc>
        <w:tc>
          <w:tcPr>
            <w:tcW w:w="5618" w:type="dxa"/>
          </w:tcPr>
          <w:p w:rsidRPr="00091161" w:rsidR="005031D3" w:rsidP="005031D3" w:rsidRDefault="005031D3" w14:paraId="1205B1CC" w14:textId="77777777">
            <w:pPr>
              <w:spacing w:after="120"/>
              <w:rPr>
                <w:b/>
              </w:rPr>
            </w:pPr>
            <w:r w:rsidRPr="00091161">
              <w:rPr>
                <w:b/>
                <w:bCs/>
              </w:rPr>
              <w:t>Expense Explanation</w:t>
            </w:r>
          </w:p>
        </w:tc>
        <w:tc>
          <w:tcPr>
            <w:tcW w:w="2088" w:type="dxa"/>
          </w:tcPr>
          <w:p w:rsidRPr="00091161" w:rsidR="005031D3" w:rsidP="005031D3" w:rsidRDefault="005031D3" w14:paraId="7F82A40A" w14:textId="77777777">
            <w:pPr>
              <w:spacing w:after="120"/>
              <w:rPr>
                <w:b/>
              </w:rPr>
            </w:pPr>
          </w:p>
          <w:p w:rsidRPr="00091161" w:rsidR="005031D3" w:rsidP="005031D3" w:rsidRDefault="005031D3" w14:paraId="51DC1808" w14:textId="77777777">
            <w:pPr>
              <w:spacing w:after="120"/>
              <w:rPr>
                <w:b/>
              </w:rPr>
            </w:pPr>
            <w:r w:rsidRPr="00091161">
              <w:rPr>
                <w:b/>
                <w:bCs/>
              </w:rPr>
              <w:t>Annual Costs (dollars)</w:t>
            </w:r>
          </w:p>
        </w:tc>
      </w:tr>
      <w:tr w:rsidRPr="00091161" w:rsidR="005031D3" w:rsidTr="00192F4A" w14:paraId="73269A31" w14:textId="77777777">
        <w:tc>
          <w:tcPr>
            <w:tcW w:w="1762" w:type="dxa"/>
          </w:tcPr>
          <w:p w:rsidRPr="00091161" w:rsidR="005031D3" w:rsidP="005031D3" w:rsidRDefault="005031D3" w14:paraId="058D23C7" w14:textId="77777777">
            <w:pPr>
              <w:spacing w:after="120"/>
            </w:pPr>
            <w:r w:rsidRPr="00091161">
              <w:t>Direct Costs to the Federal Government</w:t>
            </w:r>
          </w:p>
        </w:tc>
        <w:tc>
          <w:tcPr>
            <w:tcW w:w="5618" w:type="dxa"/>
          </w:tcPr>
          <w:p w:rsidRPr="00091161" w:rsidR="005031D3" w:rsidP="005031D3" w:rsidRDefault="005031D3" w14:paraId="12A24BC2" w14:textId="21682A20">
            <w:pPr>
              <w:spacing w:after="120"/>
            </w:pPr>
            <w:r w:rsidRPr="00091161">
              <w:t xml:space="preserve">MMP Facility Survey– Personnel    </w:t>
            </w:r>
          </w:p>
          <w:p w:rsidRPr="00091161" w:rsidR="005031D3" w:rsidP="005031D3" w:rsidRDefault="005031D3" w14:paraId="7741095F" w14:textId="77777777">
            <w:pPr>
              <w:spacing w:after="120"/>
            </w:pPr>
            <w:bookmarkStart w:name="OLE_LINK1" w:id="10"/>
            <w:bookmarkStart w:name="OLE_LINK2" w:id="11"/>
          </w:p>
          <w:p w:rsidRPr="00091161" w:rsidR="005031D3" w:rsidP="005031D3" w:rsidRDefault="005031D3" w14:paraId="15116EAF" w14:textId="7ECC4726">
            <w:pPr>
              <w:spacing w:after="120"/>
            </w:pPr>
            <w:r w:rsidRPr="00091161">
              <w:t xml:space="preserve">Epidemiologist-14           1 </w:t>
            </w:r>
            <w:r w:rsidRPr="00091161" w:rsidR="00CA1A41">
              <w:t>2</w:t>
            </w:r>
            <w:r w:rsidRPr="00091161">
              <w:t xml:space="preserve">0%  </w:t>
            </w:r>
          </w:p>
          <w:p w:rsidRPr="00091161" w:rsidR="005031D3" w:rsidP="005031D3" w:rsidRDefault="005031D3" w14:paraId="58CFFC13" w14:textId="0DF40301">
            <w:pPr>
              <w:spacing w:after="120"/>
            </w:pPr>
            <w:r w:rsidRPr="00091161">
              <w:t xml:space="preserve">Epidemiologist-14           1 </w:t>
            </w:r>
            <w:r w:rsidRPr="00091161" w:rsidR="00CA1A41">
              <w:t>2</w:t>
            </w:r>
            <w:r w:rsidRPr="00091161">
              <w:t xml:space="preserve">0%  </w:t>
            </w:r>
          </w:p>
          <w:p w:rsidRPr="00091161" w:rsidR="009E1CF2" w:rsidP="005031D3" w:rsidRDefault="009E1CF2" w14:paraId="22A0B717" w14:textId="347ACDAB">
            <w:pPr>
              <w:spacing w:after="120"/>
            </w:pPr>
            <w:r w:rsidRPr="00091161">
              <w:t>Nurse Consultant</w:t>
            </w:r>
            <w:r w:rsidR="00091161">
              <w:t xml:space="preserve">-13 </w:t>
            </w:r>
            <w:r w:rsidRPr="00091161">
              <w:t xml:space="preserve">       1 </w:t>
            </w:r>
            <w:r w:rsidRPr="00091161" w:rsidR="00CA1A41">
              <w:t>20</w:t>
            </w:r>
            <w:r w:rsidRPr="00091161" w:rsidR="00C73EF0">
              <w:t>%</w:t>
            </w:r>
          </w:p>
          <w:p w:rsidRPr="00091161" w:rsidR="005031D3" w:rsidP="005031D3" w:rsidRDefault="009F6505" w14:paraId="3E065033" w14:textId="25A14530">
            <w:pPr>
              <w:spacing w:after="120"/>
            </w:pPr>
            <w:r w:rsidRPr="00091161">
              <w:t>Epidemiologist-13</w:t>
            </w:r>
            <w:r w:rsidRPr="00091161" w:rsidR="005031D3">
              <w:t xml:space="preserve">    </w:t>
            </w:r>
            <w:r w:rsidRPr="00091161">
              <w:t xml:space="preserve">       </w:t>
            </w:r>
            <w:r w:rsidRPr="00091161" w:rsidR="005031D3">
              <w:t xml:space="preserve">1 10%  </w:t>
            </w:r>
          </w:p>
          <w:p w:rsidRPr="00091161" w:rsidR="005031D3" w:rsidP="005031D3" w:rsidRDefault="005031D3" w14:paraId="133F9291" w14:textId="0180623F">
            <w:pPr>
              <w:spacing w:after="120"/>
            </w:pPr>
            <w:r w:rsidRPr="00091161">
              <w:t xml:space="preserve">Data Manager                </w:t>
            </w:r>
            <w:r w:rsidRPr="00091161" w:rsidR="009F6505">
              <w:t xml:space="preserve">  </w:t>
            </w:r>
            <w:r w:rsidRPr="00091161">
              <w:t xml:space="preserve">1 10% </w:t>
            </w:r>
          </w:p>
          <w:bookmarkEnd w:id="10"/>
          <w:bookmarkEnd w:id="11"/>
          <w:p w:rsidRPr="00091161" w:rsidR="005031D3" w:rsidP="005031D3" w:rsidRDefault="005031D3" w14:paraId="08E67695" w14:textId="77777777">
            <w:pPr>
              <w:spacing w:after="120"/>
            </w:pPr>
          </w:p>
          <w:p w:rsidRPr="00091161" w:rsidR="005031D3" w:rsidP="005031D3" w:rsidRDefault="005031D3" w14:paraId="0C5FE48F" w14:textId="77777777">
            <w:pPr>
              <w:spacing w:after="120"/>
            </w:pPr>
          </w:p>
        </w:tc>
        <w:tc>
          <w:tcPr>
            <w:tcW w:w="2088" w:type="dxa"/>
          </w:tcPr>
          <w:p w:rsidRPr="00091161" w:rsidR="005031D3" w:rsidP="005031D3" w:rsidRDefault="005031D3" w14:paraId="55CFFECA" w14:textId="77777777">
            <w:pPr>
              <w:spacing w:after="120"/>
            </w:pPr>
          </w:p>
          <w:p w:rsidRPr="00091161" w:rsidR="005031D3" w:rsidP="005031D3" w:rsidRDefault="005031D3" w14:paraId="276E781B" w14:textId="77777777">
            <w:pPr>
              <w:spacing w:after="120"/>
            </w:pPr>
          </w:p>
          <w:p w:rsidRPr="00091161" w:rsidR="005031D3" w:rsidP="005031D3" w:rsidRDefault="005031D3" w14:paraId="54026CCA" w14:textId="38CAEE71">
            <w:pPr>
              <w:spacing w:after="120"/>
            </w:pPr>
            <w:r w:rsidRPr="00091161">
              <w:t>$</w:t>
            </w:r>
            <w:r w:rsidR="00091161">
              <w:t>38,500</w:t>
            </w:r>
          </w:p>
          <w:p w:rsidRPr="00091161" w:rsidR="005031D3" w:rsidP="005031D3" w:rsidRDefault="005031D3" w14:paraId="7C145812" w14:textId="6B9F2ADE">
            <w:pPr>
              <w:spacing w:after="120"/>
            </w:pPr>
            <w:r w:rsidRPr="00091161">
              <w:t>$</w:t>
            </w:r>
            <w:r w:rsidR="00091161">
              <w:t>29,500</w:t>
            </w:r>
          </w:p>
          <w:p w:rsidRPr="00091161" w:rsidR="00C73EF0" w:rsidP="005031D3" w:rsidRDefault="00091161" w14:paraId="2802FC2C" w14:textId="666D6012">
            <w:pPr>
              <w:spacing w:after="120"/>
            </w:pPr>
            <w:r>
              <w:t>$22,000</w:t>
            </w:r>
          </w:p>
          <w:p w:rsidRPr="00091161" w:rsidR="005031D3" w:rsidP="005031D3" w:rsidRDefault="005031D3" w14:paraId="3383B0D0" w14:textId="52364488">
            <w:pPr>
              <w:spacing w:after="120"/>
            </w:pPr>
            <w:r w:rsidRPr="00091161">
              <w:t>$</w:t>
            </w:r>
            <w:r w:rsidR="00091161">
              <w:t>11,000</w:t>
            </w:r>
          </w:p>
          <w:p w:rsidRPr="00091161" w:rsidR="005031D3" w:rsidP="005031D3" w:rsidRDefault="005031D3" w14:paraId="5E22E238" w14:textId="3972F46D">
            <w:pPr>
              <w:spacing w:after="120"/>
            </w:pPr>
            <w:r w:rsidRPr="00091161">
              <w:t>$</w:t>
            </w:r>
            <w:r w:rsidR="00091161">
              <w:t>11,000</w:t>
            </w:r>
          </w:p>
          <w:p w:rsidRPr="00091161" w:rsidR="005031D3" w:rsidP="005031D3" w:rsidRDefault="005031D3" w14:paraId="62E361BC" w14:textId="77777777">
            <w:pPr>
              <w:spacing w:after="120"/>
            </w:pPr>
          </w:p>
          <w:p w:rsidRPr="00091161" w:rsidR="005031D3" w:rsidP="005031D3" w:rsidRDefault="005031D3" w14:paraId="48294AC7" w14:textId="77777777">
            <w:pPr>
              <w:spacing w:after="120"/>
            </w:pPr>
          </w:p>
        </w:tc>
      </w:tr>
      <w:tr w:rsidRPr="00091161" w:rsidR="005031D3" w:rsidTr="00192F4A" w14:paraId="44ABE2C1" w14:textId="77777777">
        <w:tc>
          <w:tcPr>
            <w:tcW w:w="1762" w:type="dxa"/>
          </w:tcPr>
          <w:p w:rsidRPr="00091161" w:rsidR="005031D3" w:rsidP="005031D3" w:rsidRDefault="005031D3" w14:paraId="2AF64B34" w14:textId="77777777">
            <w:pPr>
              <w:spacing w:after="120"/>
            </w:pPr>
          </w:p>
        </w:tc>
        <w:tc>
          <w:tcPr>
            <w:tcW w:w="5618" w:type="dxa"/>
          </w:tcPr>
          <w:p w:rsidRPr="00091161" w:rsidR="005031D3" w:rsidP="005031D3" w:rsidRDefault="005031D3" w14:paraId="45AFD80A" w14:textId="77777777">
            <w:pPr>
              <w:spacing w:after="120"/>
            </w:pPr>
            <w:r w:rsidRPr="00091161">
              <w:t>Total MMP Provider Survey Personnel</w:t>
            </w:r>
          </w:p>
        </w:tc>
        <w:tc>
          <w:tcPr>
            <w:tcW w:w="2088" w:type="dxa"/>
          </w:tcPr>
          <w:p w:rsidRPr="00091161" w:rsidR="005031D3" w:rsidDel="00031AE0" w:rsidP="005031D3" w:rsidRDefault="005031D3" w14:paraId="05FFE2C9" w14:textId="17C589E6">
            <w:pPr>
              <w:spacing w:after="120"/>
            </w:pPr>
            <w:r w:rsidRPr="00091161">
              <w:t>$</w:t>
            </w:r>
            <w:r w:rsidR="00091161">
              <w:t>112,000</w:t>
            </w:r>
          </w:p>
        </w:tc>
      </w:tr>
      <w:tr w:rsidRPr="00091161" w:rsidR="005031D3" w:rsidTr="00192F4A" w14:paraId="52D9CAC7" w14:textId="77777777">
        <w:tc>
          <w:tcPr>
            <w:tcW w:w="1762" w:type="dxa"/>
          </w:tcPr>
          <w:p w:rsidRPr="00091161" w:rsidR="005031D3" w:rsidP="005031D3" w:rsidRDefault="005031D3" w14:paraId="2235BC92" w14:textId="77777777">
            <w:pPr>
              <w:spacing w:after="120"/>
            </w:pPr>
            <w:r w:rsidRPr="00091161">
              <w:lastRenderedPageBreak/>
              <w:t xml:space="preserve">Contractor and other Expenses </w:t>
            </w:r>
          </w:p>
        </w:tc>
        <w:tc>
          <w:tcPr>
            <w:tcW w:w="5618" w:type="dxa"/>
          </w:tcPr>
          <w:p w:rsidRPr="00091161" w:rsidR="005031D3" w:rsidP="005031D3" w:rsidRDefault="005031D3" w14:paraId="028FF4E6" w14:textId="77777777">
            <w:pPr>
              <w:spacing w:after="120"/>
            </w:pPr>
          </w:p>
        </w:tc>
        <w:tc>
          <w:tcPr>
            <w:tcW w:w="2088" w:type="dxa"/>
          </w:tcPr>
          <w:p w:rsidRPr="00091161" w:rsidR="005031D3" w:rsidP="005031D3" w:rsidRDefault="005031D3" w14:paraId="67B2D672" w14:textId="2B7BF6D1">
            <w:pPr>
              <w:spacing w:after="120"/>
            </w:pPr>
            <w:r w:rsidRPr="00091161">
              <w:t>$</w:t>
            </w:r>
            <w:r w:rsidRPr="00091161" w:rsidR="009E1CF2">
              <w:t>453</w:t>
            </w:r>
            <w:r w:rsidRPr="00091161">
              <w:t>,</w:t>
            </w:r>
            <w:r w:rsidRPr="00091161" w:rsidR="009E1CF2">
              <w:t>000</w:t>
            </w:r>
          </w:p>
        </w:tc>
      </w:tr>
      <w:tr w:rsidRPr="005031D3" w:rsidR="005031D3" w:rsidTr="00192F4A" w14:paraId="4741515D" w14:textId="77777777">
        <w:tc>
          <w:tcPr>
            <w:tcW w:w="1762" w:type="dxa"/>
          </w:tcPr>
          <w:p w:rsidRPr="00091161" w:rsidR="005031D3" w:rsidP="005031D3" w:rsidRDefault="005031D3" w14:paraId="6046179E" w14:textId="77777777">
            <w:pPr>
              <w:spacing w:after="120"/>
            </w:pPr>
          </w:p>
        </w:tc>
        <w:tc>
          <w:tcPr>
            <w:tcW w:w="5618" w:type="dxa"/>
          </w:tcPr>
          <w:p w:rsidRPr="00091161" w:rsidR="005031D3" w:rsidP="005031D3" w:rsidRDefault="005031D3" w14:paraId="7C04E3E2" w14:textId="3DF37490">
            <w:pPr>
              <w:spacing w:after="120"/>
              <w:jc w:val="right"/>
            </w:pPr>
            <w:r w:rsidRPr="00091161">
              <w:t>TOTAL COST TO THE GOVERNMENT</w:t>
            </w:r>
          </w:p>
        </w:tc>
        <w:tc>
          <w:tcPr>
            <w:tcW w:w="2088" w:type="dxa"/>
          </w:tcPr>
          <w:p w:rsidRPr="005031D3" w:rsidR="005031D3" w:rsidP="005031D3" w:rsidRDefault="005031D3" w14:paraId="62A74CFC" w14:textId="67CF2D72">
            <w:pPr>
              <w:spacing w:after="120"/>
            </w:pPr>
            <w:r w:rsidRPr="00091161">
              <w:t>$</w:t>
            </w:r>
            <w:r w:rsidR="00091161">
              <w:t>565,000</w:t>
            </w:r>
          </w:p>
        </w:tc>
      </w:tr>
    </w:tbl>
    <w:bookmarkEnd w:id="9"/>
    <w:p w:rsidRPr="005031D3" w:rsidR="005031D3" w:rsidP="005031D3" w:rsidRDefault="005031D3" w14:paraId="08450C56" w14:textId="77777777">
      <w:pPr>
        <w:spacing w:after="120"/>
      </w:pPr>
      <w:r w:rsidRPr="005031D3">
        <w:t xml:space="preserve"> </w:t>
      </w:r>
    </w:p>
    <w:p w:rsidRPr="005031D3" w:rsidR="005031D3" w:rsidP="005031D3" w:rsidRDefault="005031D3" w14:paraId="5BF70320" w14:textId="77777777">
      <w:pPr>
        <w:spacing w:after="120"/>
      </w:pPr>
    </w:p>
    <w:p w:rsidRPr="00C03379" w:rsidR="008F7093" w:rsidP="008F7093" w:rsidRDefault="008F7093" w14:paraId="680203CD" w14:textId="77777777">
      <w:pPr>
        <w:spacing w:after="120"/>
        <w:rPr>
          <w:b/>
        </w:rPr>
      </w:pPr>
      <w:r w:rsidRPr="00C03379">
        <w:rPr>
          <w:b/>
        </w:rPr>
        <w:t>15. Explanation for Program Changes or Adjustments</w:t>
      </w:r>
    </w:p>
    <w:p w:rsidR="008F7093" w:rsidP="008F7093" w:rsidRDefault="009354AF" w14:paraId="3058BE25" w14:textId="5F365546">
      <w:pPr>
        <w:spacing w:after="120"/>
      </w:pPr>
      <w:r w:rsidRPr="009354AF">
        <w:t>This is a new data/information collection</w:t>
      </w:r>
      <w:r w:rsidR="007204DC">
        <w:t xml:space="preserve">. </w:t>
      </w:r>
    </w:p>
    <w:p w:rsidR="003374A0" w:rsidP="008F7093" w:rsidRDefault="003374A0" w14:paraId="0B1EEFF3" w14:textId="77777777">
      <w:pPr>
        <w:spacing w:after="120"/>
        <w:rPr>
          <w:b/>
        </w:rPr>
      </w:pPr>
    </w:p>
    <w:p w:rsidRPr="00C03379" w:rsidR="008F7093" w:rsidP="008F7093" w:rsidRDefault="008F7093" w14:paraId="63988A4A" w14:textId="39DDC016">
      <w:pPr>
        <w:spacing w:after="120"/>
        <w:rPr>
          <w:b/>
        </w:rPr>
      </w:pPr>
      <w:r w:rsidRPr="00C03379">
        <w:rPr>
          <w:b/>
        </w:rPr>
        <w:t>16. Plans for Tabulation and Publication and Project Time Schedule</w:t>
      </w:r>
    </w:p>
    <w:p w:rsidR="008F7093" w:rsidP="008F7093" w:rsidRDefault="003374A0" w14:paraId="3F341C22" w14:textId="462BBC8F">
      <w:pPr>
        <w:spacing w:after="120"/>
      </w:pPr>
      <w:r w:rsidRPr="003374A0">
        <w:t xml:space="preserve">All data collection will be completed during the </w:t>
      </w:r>
      <w:r w:rsidR="00A54FC4">
        <w:t>7</w:t>
      </w:r>
      <w:r w:rsidRPr="003374A0">
        <w:t xml:space="preserve"> month period after OMB approval.</w:t>
      </w:r>
      <w:r w:rsidR="00E00177">
        <w:t xml:space="preserve"> </w:t>
      </w:r>
      <w:r w:rsidR="00A54FC4">
        <w:t xml:space="preserve">Data will be disseminated in the form of reports, presentations, and publications. Because the MMP Facility Survey </w:t>
      </w:r>
      <w:r w:rsidR="005037D9">
        <w:t xml:space="preserve">will solicit participation from a census of facilities, no complex analytical techniques will be used. </w:t>
      </w:r>
      <w:r w:rsidR="008F7093">
        <w:t xml:space="preserve">  </w:t>
      </w:r>
    </w:p>
    <w:p w:rsidRPr="00D36D3F" w:rsidR="00F02654" w:rsidP="008F7093" w:rsidRDefault="00D36D3F" w14:paraId="4D281BDE" w14:textId="11E205D0">
      <w:pPr>
        <w:spacing w:after="120"/>
        <w:rPr>
          <w:b/>
        </w:rPr>
      </w:pPr>
      <w:r>
        <w:rPr>
          <w:b/>
        </w:rPr>
        <w:t xml:space="preserve">Table </w:t>
      </w:r>
      <w:r w:rsidRPr="00D36D3F">
        <w:rPr>
          <w:b/>
        </w:rPr>
        <w:t>A.16.1</w:t>
      </w:r>
      <w:r>
        <w:rPr>
          <w:b/>
        </w:rPr>
        <w:t>:</w:t>
      </w:r>
      <w:r w:rsidRPr="00D36D3F">
        <w:rPr>
          <w:b/>
        </w:rPr>
        <w:t xml:space="preserve"> Project Time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09"/>
        <w:gridCol w:w="4159"/>
      </w:tblGrid>
      <w:tr w:rsidRPr="00D3729A" w:rsidR="008F7093" w:rsidTr="003374A0" w14:paraId="6A28B5C1" w14:textId="77777777">
        <w:tc>
          <w:tcPr>
            <w:tcW w:w="4409" w:type="dxa"/>
          </w:tcPr>
          <w:p w:rsidRPr="00F8468D" w:rsidR="008F7093" w:rsidP="00F8468D" w:rsidRDefault="008F7093" w14:paraId="6B609743" w14:textId="77777777">
            <w:pPr>
              <w:jc w:val="center"/>
              <w:rPr>
                <w:b/>
              </w:rPr>
            </w:pPr>
            <w:r w:rsidRPr="00F8468D">
              <w:rPr>
                <w:b/>
              </w:rPr>
              <w:t>Activity</w:t>
            </w:r>
          </w:p>
        </w:tc>
        <w:tc>
          <w:tcPr>
            <w:tcW w:w="4159" w:type="dxa"/>
          </w:tcPr>
          <w:p w:rsidRPr="00F8468D" w:rsidR="008F7093" w:rsidP="00F8468D" w:rsidRDefault="008F7093" w14:paraId="21378652" w14:textId="77777777">
            <w:pPr>
              <w:jc w:val="center"/>
              <w:rPr>
                <w:b/>
              </w:rPr>
            </w:pPr>
            <w:r w:rsidRPr="00F8468D">
              <w:rPr>
                <w:b/>
              </w:rPr>
              <w:t>Time Schedule</w:t>
            </w:r>
          </w:p>
        </w:tc>
      </w:tr>
      <w:tr w:rsidRPr="0093116C" w:rsidR="003374A0" w:rsidTr="003374A0" w14:paraId="0072A5C1" w14:textId="77777777">
        <w:tc>
          <w:tcPr>
            <w:tcW w:w="4409" w:type="dxa"/>
            <w:tcBorders>
              <w:top w:val="single" w:color="auto" w:sz="4" w:space="0"/>
              <w:left w:val="single" w:color="auto" w:sz="4" w:space="0"/>
              <w:bottom w:val="single" w:color="auto" w:sz="4" w:space="0"/>
              <w:right w:val="single" w:color="auto" w:sz="4" w:space="0"/>
            </w:tcBorders>
          </w:tcPr>
          <w:p w:rsidRPr="003374A0" w:rsidR="003374A0" w:rsidP="00192F4A" w:rsidRDefault="003374A0" w14:paraId="2A0446EC" w14:textId="77777777">
            <w:r w:rsidRPr="003374A0">
              <w:t>Survey distribution begins</w:t>
            </w:r>
          </w:p>
        </w:tc>
        <w:tc>
          <w:tcPr>
            <w:tcW w:w="4159" w:type="dxa"/>
            <w:tcBorders>
              <w:top w:val="single" w:color="auto" w:sz="4" w:space="0"/>
              <w:left w:val="single" w:color="auto" w:sz="4" w:space="0"/>
              <w:bottom w:val="single" w:color="auto" w:sz="4" w:space="0"/>
              <w:right w:val="single" w:color="auto" w:sz="4" w:space="0"/>
            </w:tcBorders>
          </w:tcPr>
          <w:p w:rsidRPr="003374A0" w:rsidR="003374A0" w:rsidP="00192F4A" w:rsidRDefault="003374A0" w14:paraId="0121958B" w14:textId="77777777">
            <w:r w:rsidRPr="003374A0">
              <w:t>Immediately after OMB approval</w:t>
            </w:r>
          </w:p>
        </w:tc>
      </w:tr>
      <w:tr w:rsidRPr="0093116C" w:rsidR="003374A0" w:rsidTr="003374A0" w14:paraId="518FBCED" w14:textId="77777777">
        <w:tc>
          <w:tcPr>
            <w:tcW w:w="4409" w:type="dxa"/>
            <w:tcBorders>
              <w:top w:val="single" w:color="auto" w:sz="4" w:space="0"/>
              <w:left w:val="single" w:color="auto" w:sz="4" w:space="0"/>
              <w:bottom w:val="single" w:color="auto" w:sz="4" w:space="0"/>
              <w:right w:val="single" w:color="auto" w:sz="4" w:space="0"/>
            </w:tcBorders>
          </w:tcPr>
          <w:p w:rsidRPr="003374A0" w:rsidR="003374A0" w:rsidP="00192F4A" w:rsidRDefault="003374A0" w14:paraId="494D8FB1" w14:textId="77777777">
            <w:r w:rsidRPr="003374A0">
              <w:t xml:space="preserve">Follow-up communication to non-respondents </w:t>
            </w:r>
          </w:p>
        </w:tc>
        <w:tc>
          <w:tcPr>
            <w:tcW w:w="4159" w:type="dxa"/>
            <w:tcBorders>
              <w:top w:val="single" w:color="auto" w:sz="4" w:space="0"/>
              <w:left w:val="single" w:color="auto" w:sz="4" w:space="0"/>
              <w:bottom w:val="single" w:color="auto" w:sz="4" w:space="0"/>
              <w:right w:val="single" w:color="auto" w:sz="4" w:space="0"/>
            </w:tcBorders>
          </w:tcPr>
          <w:p w:rsidRPr="003374A0" w:rsidR="003374A0" w:rsidP="00192F4A" w:rsidRDefault="003374A0" w14:paraId="3F8E4F94" w14:textId="51D3C1FC">
            <w:r w:rsidRPr="003374A0">
              <w:t xml:space="preserve">within </w:t>
            </w:r>
            <w:r w:rsidR="001241F6">
              <w:t>1</w:t>
            </w:r>
            <w:r w:rsidRPr="003374A0">
              <w:t xml:space="preserve"> month of OMB approval</w:t>
            </w:r>
          </w:p>
        </w:tc>
      </w:tr>
      <w:tr w:rsidRPr="0093116C" w:rsidR="003374A0" w:rsidTr="003374A0" w14:paraId="2FC3AEEA" w14:textId="77777777">
        <w:tc>
          <w:tcPr>
            <w:tcW w:w="4409" w:type="dxa"/>
            <w:tcBorders>
              <w:top w:val="single" w:color="auto" w:sz="4" w:space="0"/>
              <w:left w:val="single" w:color="auto" w:sz="4" w:space="0"/>
              <w:bottom w:val="single" w:color="auto" w:sz="4" w:space="0"/>
              <w:right w:val="single" w:color="auto" w:sz="4" w:space="0"/>
            </w:tcBorders>
          </w:tcPr>
          <w:p w:rsidRPr="003374A0" w:rsidR="003374A0" w:rsidP="00192F4A" w:rsidRDefault="003374A0" w14:paraId="124FB9F9" w14:textId="77777777">
            <w:r w:rsidRPr="003374A0">
              <w:t>Data collection completed</w:t>
            </w:r>
          </w:p>
        </w:tc>
        <w:tc>
          <w:tcPr>
            <w:tcW w:w="4159" w:type="dxa"/>
            <w:tcBorders>
              <w:top w:val="single" w:color="auto" w:sz="4" w:space="0"/>
              <w:left w:val="single" w:color="auto" w:sz="4" w:space="0"/>
              <w:bottom w:val="single" w:color="auto" w:sz="4" w:space="0"/>
              <w:right w:val="single" w:color="auto" w:sz="4" w:space="0"/>
            </w:tcBorders>
          </w:tcPr>
          <w:p w:rsidRPr="003374A0" w:rsidR="003374A0" w:rsidP="00192F4A" w:rsidRDefault="001241F6" w14:paraId="179E5230" w14:textId="78F9315F">
            <w:r>
              <w:t>2</w:t>
            </w:r>
            <w:r w:rsidRPr="003374A0" w:rsidR="003374A0">
              <w:t xml:space="preserve"> months after OMB approval</w:t>
            </w:r>
          </w:p>
        </w:tc>
      </w:tr>
      <w:tr w:rsidRPr="0093116C" w:rsidR="003374A0" w:rsidTr="003374A0" w14:paraId="4884762C" w14:textId="77777777">
        <w:tc>
          <w:tcPr>
            <w:tcW w:w="4409" w:type="dxa"/>
            <w:tcBorders>
              <w:top w:val="single" w:color="auto" w:sz="4" w:space="0"/>
              <w:left w:val="single" w:color="auto" w:sz="4" w:space="0"/>
              <w:bottom w:val="single" w:color="auto" w:sz="4" w:space="0"/>
              <w:right w:val="single" w:color="auto" w:sz="4" w:space="0"/>
            </w:tcBorders>
          </w:tcPr>
          <w:p w:rsidRPr="003374A0" w:rsidR="003374A0" w:rsidDel="0001420D" w:rsidP="00192F4A" w:rsidRDefault="003374A0" w14:paraId="011A18AF" w14:textId="77777777">
            <w:r w:rsidRPr="003374A0">
              <w:t>Verify completeness of data</w:t>
            </w:r>
          </w:p>
        </w:tc>
        <w:tc>
          <w:tcPr>
            <w:tcW w:w="4159" w:type="dxa"/>
            <w:tcBorders>
              <w:top w:val="single" w:color="auto" w:sz="4" w:space="0"/>
              <w:left w:val="single" w:color="auto" w:sz="4" w:space="0"/>
              <w:bottom w:val="single" w:color="auto" w:sz="4" w:space="0"/>
              <w:right w:val="single" w:color="auto" w:sz="4" w:space="0"/>
            </w:tcBorders>
          </w:tcPr>
          <w:p w:rsidRPr="003374A0" w:rsidR="003374A0" w:rsidDel="0001420D" w:rsidP="00192F4A" w:rsidRDefault="001241F6" w14:paraId="6131A499" w14:textId="00F21871">
            <w:r>
              <w:t>4</w:t>
            </w:r>
            <w:r w:rsidRPr="003374A0" w:rsidR="003374A0">
              <w:t xml:space="preserve"> months after OMB approval</w:t>
            </w:r>
          </w:p>
        </w:tc>
      </w:tr>
      <w:tr w:rsidRPr="0093116C" w:rsidR="003374A0" w:rsidTr="003374A0" w14:paraId="13B4865F" w14:textId="77777777">
        <w:tc>
          <w:tcPr>
            <w:tcW w:w="4409" w:type="dxa"/>
            <w:tcBorders>
              <w:top w:val="single" w:color="auto" w:sz="4" w:space="0"/>
              <w:left w:val="single" w:color="auto" w:sz="4" w:space="0"/>
              <w:bottom w:val="single" w:color="auto" w:sz="4" w:space="0"/>
              <w:right w:val="single" w:color="auto" w:sz="4" w:space="0"/>
            </w:tcBorders>
          </w:tcPr>
          <w:p w:rsidRPr="003374A0" w:rsidR="003374A0" w:rsidP="00192F4A" w:rsidRDefault="003374A0" w14:paraId="1CB64D34" w14:textId="77777777">
            <w:r w:rsidRPr="003374A0">
              <w:t>Clean data entry errors</w:t>
            </w:r>
          </w:p>
        </w:tc>
        <w:tc>
          <w:tcPr>
            <w:tcW w:w="4159" w:type="dxa"/>
            <w:tcBorders>
              <w:top w:val="single" w:color="auto" w:sz="4" w:space="0"/>
              <w:left w:val="single" w:color="auto" w:sz="4" w:space="0"/>
              <w:bottom w:val="single" w:color="auto" w:sz="4" w:space="0"/>
              <w:right w:val="single" w:color="auto" w:sz="4" w:space="0"/>
            </w:tcBorders>
          </w:tcPr>
          <w:p w:rsidRPr="003374A0" w:rsidR="003374A0" w:rsidP="00192F4A" w:rsidRDefault="001241F6" w14:paraId="18BC87DA" w14:textId="15871E5A">
            <w:r>
              <w:t xml:space="preserve">5 </w:t>
            </w:r>
            <w:r w:rsidRPr="003374A0" w:rsidR="003374A0">
              <w:t>months after OMB approval</w:t>
            </w:r>
          </w:p>
        </w:tc>
      </w:tr>
      <w:tr w:rsidRPr="0093116C" w:rsidR="003374A0" w:rsidTr="003374A0" w14:paraId="4331A99F" w14:textId="77777777">
        <w:tc>
          <w:tcPr>
            <w:tcW w:w="4409" w:type="dxa"/>
            <w:tcBorders>
              <w:top w:val="single" w:color="auto" w:sz="4" w:space="0"/>
              <w:left w:val="single" w:color="auto" w:sz="4" w:space="0"/>
              <w:bottom w:val="single" w:color="auto" w:sz="4" w:space="0"/>
              <w:right w:val="single" w:color="auto" w:sz="4" w:space="0"/>
            </w:tcBorders>
          </w:tcPr>
          <w:p w:rsidRPr="003374A0" w:rsidR="003374A0" w:rsidP="00192F4A" w:rsidRDefault="003374A0" w14:paraId="0F93ABA1" w14:textId="77777777">
            <w:r w:rsidRPr="003374A0">
              <w:t>Analyze data files for quality assurance</w:t>
            </w:r>
          </w:p>
        </w:tc>
        <w:tc>
          <w:tcPr>
            <w:tcW w:w="4159" w:type="dxa"/>
            <w:tcBorders>
              <w:top w:val="single" w:color="auto" w:sz="4" w:space="0"/>
              <w:left w:val="single" w:color="auto" w:sz="4" w:space="0"/>
              <w:bottom w:val="single" w:color="auto" w:sz="4" w:space="0"/>
              <w:right w:val="single" w:color="auto" w:sz="4" w:space="0"/>
            </w:tcBorders>
          </w:tcPr>
          <w:p w:rsidRPr="003374A0" w:rsidR="003374A0" w:rsidP="00192F4A" w:rsidRDefault="001241F6" w14:paraId="2F2BED0C" w14:textId="621E5A34">
            <w:r>
              <w:t>6</w:t>
            </w:r>
            <w:r w:rsidRPr="003374A0" w:rsidR="003374A0">
              <w:t xml:space="preserve"> months after OMB approval</w:t>
            </w:r>
          </w:p>
        </w:tc>
      </w:tr>
      <w:tr w:rsidRPr="0093116C" w:rsidR="003374A0" w:rsidTr="003374A0" w14:paraId="48B49533" w14:textId="77777777">
        <w:tc>
          <w:tcPr>
            <w:tcW w:w="4409" w:type="dxa"/>
            <w:tcBorders>
              <w:top w:val="single" w:color="auto" w:sz="4" w:space="0"/>
              <w:left w:val="single" w:color="auto" w:sz="4" w:space="0"/>
              <w:bottom w:val="single" w:color="auto" w:sz="4" w:space="0"/>
              <w:right w:val="single" w:color="auto" w:sz="4" w:space="0"/>
            </w:tcBorders>
          </w:tcPr>
          <w:p w:rsidRPr="003374A0" w:rsidR="003374A0" w:rsidP="00192F4A" w:rsidRDefault="003374A0" w14:paraId="6344FE71" w14:textId="77777777">
            <w:r w:rsidRPr="003374A0">
              <w:t>Transfer final dataset to CDC</w:t>
            </w:r>
          </w:p>
        </w:tc>
        <w:tc>
          <w:tcPr>
            <w:tcW w:w="4159" w:type="dxa"/>
            <w:tcBorders>
              <w:top w:val="single" w:color="auto" w:sz="4" w:space="0"/>
              <w:left w:val="single" w:color="auto" w:sz="4" w:space="0"/>
              <w:bottom w:val="single" w:color="auto" w:sz="4" w:space="0"/>
              <w:right w:val="single" w:color="auto" w:sz="4" w:space="0"/>
            </w:tcBorders>
          </w:tcPr>
          <w:p w:rsidRPr="003374A0" w:rsidR="003374A0" w:rsidP="00192F4A" w:rsidRDefault="001241F6" w14:paraId="68E23267" w14:textId="1F9A6EC7">
            <w:r>
              <w:t>7</w:t>
            </w:r>
            <w:r w:rsidRPr="003374A0" w:rsidR="003374A0">
              <w:t xml:space="preserve"> months after OMB approval</w:t>
            </w:r>
          </w:p>
        </w:tc>
      </w:tr>
      <w:tr w:rsidRPr="0093116C" w:rsidR="00E54B7A" w:rsidTr="003374A0" w14:paraId="0C81892F" w14:textId="77777777">
        <w:tc>
          <w:tcPr>
            <w:tcW w:w="4409" w:type="dxa"/>
            <w:tcBorders>
              <w:top w:val="single" w:color="auto" w:sz="4" w:space="0"/>
              <w:left w:val="single" w:color="auto" w:sz="4" w:space="0"/>
              <w:bottom w:val="single" w:color="auto" w:sz="4" w:space="0"/>
              <w:right w:val="single" w:color="auto" w:sz="4" w:space="0"/>
            </w:tcBorders>
          </w:tcPr>
          <w:p w:rsidRPr="003374A0" w:rsidR="00E54B7A" w:rsidP="00192F4A" w:rsidRDefault="00E54B7A" w14:paraId="7171ADB8" w14:textId="7277C3B3">
            <w:r>
              <w:t>Final report completed</w:t>
            </w:r>
          </w:p>
        </w:tc>
        <w:tc>
          <w:tcPr>
            <w:tcW w:w="4159" w:type="dxa"/>
            <w:tcBorders>
              <w:top w:val="single" w:color="auto" w:sz="4" w:space="0"/>
              <w:left w:val="single" w:color="auto" w:sz="4" w:space="0"/>
              <w:bottom w:val="single" w:color="auto" w:sz="4" w:space="0"/>
              <w:right w:val="single" w:color="auto" w:sz="4" w:space="0"/>
            </w:tcBorders>
          </w:tcPr>
          <w:p w:rsidR="00E54B7A" w:rsidP="00192F4A" w:rsidRDefault="00DB325A" w14:paraId="312250C6" w14:textId="7B666488">
            <w:r>
              <w:t>12 months after OMB approval</w:t>
            </w:r>
          </w:p>
        </w:tc>
      </w:tr>
    </w:tbl>
    <w:p w:rsidR="008F7093" w:rsidP="008F7093" w:rsidRDefault="008F7093" w14:paraId="3E19472D" w14:textId="77777777">
      <w:pPr>
        <w:spacing w:after="120"/>
      </w:pPr>
    </w:p>
    <w:p w:rsidRPr="00C03379" w:rsidR="008F7093" w:rsidP="008F7093" w:rsidRDefault="008F7093" w14:paraId="6ACC679B" w14:textId="77777777">
      <w:pPr>
        <w:spacing w:after="120"/>
        <w:rPr>
          <w:b/>
        </w:rPr>
      </w:pPr>
      <w:r w:rsidRPr="00C03379">
        <w:rPr>
          <w:b/>
        </w:rPr>
        <w:t>17. Reason(s) Display of OMB Expiration Date is Inappropriate</w:t>
      </w:r>
    </w:p>
    <w:p w:rsidR="008F7093" w:rsidP="008F7093" w:rsidRDefault="008F7093" w14:paraId="3EAF927B" w14:textId="5DD7F5A5">
      <w:pPr>
        <w:spacing w:after="120"/>
      </w:pPr>
      <w:r>
        <w:t>No exemption is sought.</w:t>
      </w:r>
      <w:r w:rsidR="00566E93">
        <w:t xml:space="preserve"> The display of the OMB expiration date is not inappropriate. </w:t>
      </w:r>
    </w:p>
    <w:p w:rsidR="00896CAF" w:rsidP="008F7093" w:rsidRDefault="00896CAF" w14:paraId="40F7A0B2" w14:textId="77777777">
      <w:pPr>
        <w:spacing w:after="120"/>
      </w:pPr>
    </w:p>
    <w:p w:rsidR="008F7093" w:rsidP="008F7093" w:rsidRDefault="008F7093" w14:paraId="5CD2075F" w14:textId="77777777">
      <w:pPr>
        <w:spacing w:after="120"/>
        <w:rPr>
          <w:b/>
        </w:rPr>
      </w:pPr>
      <w:r w:rsidRPr="00C03379">
        <w:rPr>
          <w:b/>
        </w:rPr>
        <w:t>18. Exceptions to Certification for Paperwork Reduction Act Submissions</w:t>
      </w:r>
    </w:p>
    <w:p w:rsidRPr="00023634" w:rsidR="00296D33" w:rsidP="00023634" w:rsidRDefault="00FF0AD7" w14:paraId="0071A58D" w14:textId="3CE7FC98">
      <w:pPr>
        <w:spacing w:after="120"/>
      </w:pPr>
      <w:r>
        <w:t>There are no</w:t>
      </w:r>
      <w:r w:rsidRPr="00273CFD" w:rsidR="008F7093">
        <w:t xml:space="preserve"> exceptions</w:t>
      </w:r>
      <w:r>
        <w:t xml:space="preserve"> to the certification</w:t>
      </w:r>
      <w:r w:rsidRPr="00273CFD" w:rsidR="008F7093">
        <w:t xml:space="preserve"> included in this request.</w:t>
      </w:r>
      <w:r w:rsidRPr="00CA4058" w:rsidR="00023634">
        <w:rPr>
          <w:rFonts w:ascii="Courier New" w:hAnsi="Courier New" w:cs="Courier New"/>
        </w:rPr>
        <w:t xml:space="preserve"> </w:t>
      </w:r>
    </w:p>
    <w:p w:rsidRPr="008F7093" w:rsidR="00296D33" w:rsidP="008F7093" w:rsidRDefault="00296D33" w14:paraId="22E8C421" w14:textId="77777777">
      <w:pPr>
        <w:spacing w:after="120"/>
        <w:rPr>
          <w:b/>
        </w:rPr>
      </w:pPr>
    </w:p>
    <w:sectPr w:rsidRPr="008F7093" w:rsidR="00296D33" w:rsidSect="00D6217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535F3" w14:textId="77777777" w:rsidR="005242A2" w:rsidRDefault="005242A2" w:rsidP="00A0465C">
      <w:r>
        <w:separator/>
      </w:r>
    </w:p>
  </w:endnote>
  <w:endnote w:type="continuationSeparator" w:id="0">
    <w:p w14:paraId="653CFA8B" w14:textId="77777777" w:rsidR="005242A2" w:rsidRDefault="005242A2" w:rsidP="00A0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60B3C" w14:textId="77777777" w:rsidR="004D2362" w:rsidRDefault="004D2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4D3A3" w14:textId="4964299E" w:rsidR="005F2936" w:rsidRDefault="005F2936">
    <w:pPr>
      <w:pStyle w:val="Footer"/>
      <w:jc w:val="center"/>
    </w:pPr>
    <w:r>
      <w:fldChar w:fldCharType="begin"/>
    </w:r>
    <w:r>
      <w:instrText xml:space="preserve"> PAGE   \* MERGEFORMAT </w:instrText>
    </w:r>
    <w:r>
      <w:fldChar w:fldCharType="separate"/>
    </w:r>
    <w:r w:rsidR="008D0ABA">
      <w:rPr>
        <w:noProof/>
      </w:rPr>
      <w:t>12</w:t>
    </w:r>
    <w:r>
      <w:rPr>
        <w:noProof/>
      </w:rPr>
      <w:fldChar w:fldCharType="end"/>
    </w:r>
  </w:p>
  <w:p w14:paraId="1197E37E" w14:textId="77777777" w:rsidR="005F2936" w:rsidRDefault="005F2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96BAE" w14:textId="77777777" w:rsidR="004D2362" w:rsidRDefault="004D2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8C0FD" w14:textId="77777777" w:rsidR="005242A2" w:rsidRDefault="005242A2" w:rsidP="00A0465C">
      <w:r>
        <w:separator/>
      </w:r>
    </w:p>
  </w:footnote>
  <w:footnote w:type="continuationSeparator" w:id="0">
    <w:p w14:paraId="3135E6CF" w14:textId="77777777" w:rsidR="005242A2" w:rsidRDefault="005242A2" w:rsidP="00A0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65A73" w14:textId="77777777" w:rsidR="004D2362" w:rsidRDefault="004D2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8F9C6" w14:textId="77777777" w:rsidR="004D2362" w:rsidRDefault="004D2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DB87D" w14:textId="77777777" w:rsidR="004D2362" w:rsidRDefault="004D2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F345C"/>
    <w:multiLevelType w:val="hybridMultilevel"/>
    <w:tmpl w:val="C27E0798"/>
    <w:lvl w:ilvl="0" w:tplc="1EEA4AA2">
      <w:start w:val="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6FB598B"/>
    <w:multiLevelType w:val="hybridMultilevel"/>
    <w:tmpl w:val="05E0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A5426"/>
    <w:multiLevelType w:val="hybridMultilevel"/>
    <w:tmpl w:val="05E0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43D5E"/>
    <w:multiLevelType w:val="hybridMultilevel"/>
    <w:tmpl w:val="0E06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739DE"/>
    <w:multiLevelType w:val="hybridMultilevel"/>
    <w:tmpl w:val="A9E402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97901"/>
    <w:multiLevelType w:val="hybridMultilevel"/>
    <w:tmpl w:val="3B7EA7B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4562A"/>
    <w:multiLevelType w:val="hybridMultilevel"/>
    <w:tmpl w:val="7A521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30318E"/>
    <w:multiLevelType w:val="hybridMultilevel"/>
    <w:tmpl w:val="B28C1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F4DE9"/>
    <w:multiLevelType w:val="hybridMultilevel"/>
    <w:tmpl w:val="A92458FC"/>
    <w:lvl w:ilvl="0" w:tplc="1EEA4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06BE2"/>
    <w:multiLevelType w:val="hybridMultilevel"/>
    <w:tmpl w:val="01A6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77C4D"/>
    <w:multiLevelType w:val="hybridMultilevel"/>
    <w:tmpl w:val="4C9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6762C"/>
    <w:multiLevelType w:val="hybridMultilevel"/>
    <w:tmpl w:val="D7461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D21D3"/>
    <w:multiLevelType w:val="hybridMultilevel"/>
    <w:tmpl w:val="C9EE6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6"/>
  </w:num>
  <w:num w:numId="5">
    <w:abstractNumId w:val="11"/>
  </w:num>
  <w:num w:numId="6">
    <w:abstractNumId w:val="3"/>
  </w:num>
  <w:num w:numId="7">
    <w:abstractNumId w:val="4"/>
  </w:num>
  <w:num w:numId="8">
    <w:abstractNumId w:val="0"/>
  </w:num>
  <w:num w:numId="9">
    <w:abstractNumId w:val="8"/>
  </w:num>
  <w:num w:numId="10">
    <w:abstractNumId w:val="12"/>
  </w:num>
  <w:num w:numId="11">
    <w:abstractNumId w:val="13"/>
  </w:num>
  <w:num w:numId="12">
    <w:abstractNumId w:val="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wMTI1MjO3MDI2sTBX0lEKTi0uzszPAykwrwUAyIYOSywAAAA="/>
  </w:docVars>
  <w:rsids>
    <w:rsidRoot w:val="008F7093"/>
    <w:rsid w:val="00001576"/>
    <w:rsid w:val="000053AE"/>
    <w:rsid w:val="00014A6E"/>
    <w:rsid w:val="00015C05"/>
    <w:rsid w:val="00023510"/>
    <w:rsid w:val="00023634"/>
    <w:rsid w:val="0002525D"/>
    <w:rsid w:val="00026414"/>
    <w:rsid w:val="00031002"/>
    <w:rsid w:val="00031875"/>
    <w:rsid w:val="00033067"/>
    <w:rsid w:val="0004131B"/>
    <w:rsid w:val="0004467E"/>
    <w:rsid w:val="00051FF6"/>
    <w:rsid w:val="0005482B"/>
    <w:rsid w:val="0005489B"/>
    <w:rsid w:val="000579C8"/>
    <w:rsid w:val="000602D1"/>
    <w:rsid w:val="00060B52"/>
    <w:rsid w:val="0007088C"/>
    <w:rsid w:val="00071F43"/>
    <w:rsid w:val="00075D8F"/>
    <w:rsid w:val="00076580"/>
    <w:rsid w:val="000765DA"/>
    <w:rsid w:val="00081C54"/>
    <w:rsid w:val="00085C7F"/>
    <w:rsid w:val="00091161"/>
    <w:rsid w:val="00095603"/>
    <w:rsid w:val="000A34FC"/>
    <w:rsid w:val="000B1152"/>
    <w:rsid w:val="000C10CC"/>
    <w:rsid w:val="000C18B8"/>
    <w:rsid w:val="000C2426"/>
    <w:rsid w:val="000C30F8"/>
    <w:rsid w:val="000C3EF3"/>
    <w:rsid w:val="000C7560"/>
    <w:rsid w:val="000D4C2E"/>
    <w:rsid w:val="000E09E3"/>
    <w:rsid w:val="00101297"/>
    <w:rsid w:val="00110461"/>
    <w:rsid w:val="00111F6F"/>
    <w:rsid w:val="00114476"/>
    <w:rsid w:val="00114947"/>
    <w:rsid w:val="0012083D"/>
    <w:rsid w:val="00121A20"/>
    <w:rsid w:val="001241F6"/>
    <w:rsid w:val="00127C03"/>
    <w:rsid w:val="0014098B"/>
    <w:rsid w:val="00143948"/>
    <w:rsid w:val="00143BFE"/>
    <w:rsid w:val="00154F0B"/>
    <w:rsid w:val="0016112E"/>
    <w:rsid w:val="00161B88"/>
    <w:rsid w:val="001639DE"/>
    <w:rsid w:val="001657BA"/>
    <w:rsid w:val="001723B4"/>
    <w:rsid w:val="00174E81"/>
    <w:rsid w:val="00175CC7"/>
    <w:rsid w:val="0018359D"/>
    <w:rsid w:val="00184F3D"/>
    <w:rsid w:val="001853B5"/>
    <w:rsid w:val="00192A36"/>
    <w:rsid w:val="001A2039"/>
    <w:rsid w:val="001A5849"/>
    <w:rsid w:val="001A5C4D"/>
    <w:rsid w:val="001B6881"/>
    <w:rsid w:val="001C2BBA"/>
    <w:rsid w:val="001C7B5B"/>
    <w:rsid w:val="001D211C"/>
    <w:rsid w:val="001E07B4"/>
    <w:rsid w:val="001E10B3"/>
    <w:rsid w:val="00200C5D"/>
    <w:rsid w:val="0020265A"/>
    <w:rsid w:val="00212A5C"/>
    <w:rsid w:val="00221076"/>
    <w:rsid w:val="002213EE"/>
    <w:rsid w:val="00223780"/>
    <w:rsid w:val="00236A2B"/>
    <w:rsid w:val="002443AE"/>
    <w:rsid w:val="0024570B"/>
    <w:rsid w:val="002470EF"/>
    <w:rsid w:val="00262686"/>
    <w:rsid w:val="002666F3"/>
    <w:rsid w:val="0027485F"/>
    <w:rsid w:val="00276C6A"/>
    <w:rsid w:val="00296D33"/>
    <w:rsid w:val="002A6ABF"/>
    <w:rsid w:val="002A7DD9"/>
    <w:rsid w:val="002B0014"/>
    <w:rsid w:val="002B3C01"/>
    <w:rsid w:val="002B4F28"/>
    <w:rsid w:val="002C3181"/>
    <w:rsid w:val="002D1FD9"/>
    <w:rsid w:val="002E29B6"/>
    <w:rsid w:val="002E2AE2"/>
    <w:rsid w:val="002F0C26"/>
    <w:rsid w:val="002F7E93"/>
    <w:rsid w:val="003046E6"/>
    <w:rsid w:val="003215CD"/>
    <w:rsid w:val="00321B85"/>
    <w:rsid w:val="00327417"/>
    <w:rsid w:val="003374A0"/>
    <w:rsid w:val="003400D1"/>
    <w:rsid w:val="00341295"/>
    <w:rsid w:val="003448DC"/>
    <w:rsid w:val="003457BC"/>
    <w:rsid w:val="00347302"/>
    <w:rsid w:val="0034790B"/>
    <w:rsid w:val="00352527"/>
    <w:rsid w:val="00356650"/>
    <w:rsid w:val="00357E97"/>
    <w:rsid w:val="00365124"/>
    <w:rsid w:val="003673B1"/>
    <w:rsid w:val="00374754"/>
    <w:rsid w:val="00374B16"/>
    <w:rsid w:val="0038022D"/>
    <w:rsid w:val="00383FE5"/>
    <w:rsid w:val="00387095"/>
    <w:rsid w:val="003945EE"/>
    <w:rsid w:val="00395C35"/>
    <w:rsid w:val="003A55DD"/>
    <w:rsid w:val="003A622A"/>
    <w:rsid w:val="003B13C6"/>
    <w:rsid w:val="003C40F5"/>
    <w:rsid w:val="003D3A7C"/>
    <w:rsid w:val="003D4653"/>
    <w:rsid w:val="0040642D"/>
    <w:rsid w:val="0041654F"/>
    <w:rsid w:val="0043077A"/>
    <w:rsid w:val="00431F73"/>
    <w:rsid w:val="00441F34"/>
    <w:rsid w:val="00443001"/>
    <w:rsid w:val="00446D47"/>
    <w:rsid w:val="00446DA1"/>
    <w:rsid w:val="00457113"/>
    <w:rsid w:val="00466408"/>
    <w:rsid w:val="004677F8"/>
    <w:rsid w:val="00471F98"/>
    <w:rsid w:val="00477102"/>
    <w:rsid w:val="0048711E"/>
    <w:rsid w:val="00487864"/>
    <w:rsid w:val="00490769"/>
    <w:rsid w:val="00497F31"/>
    <w:rsid w:val="004A03F1"/>
    <w:rsid w:val="004A4602"/>
    <w:rsid w:val="004A4646"/>
    <w:rsid w:val="004B2803"/>
    <w:rsid w:val="004C762C"/>
    <w:rsid w:val="004D0392"/>
    <w:rsid w:val="004D2362"/>
    <w:rsid w:val="004D3FBB"/>
    <w:rsid w:val="004D6205"/>
    <w:rsid w:val="004D6279"/>
    <w:rsid w:val="004D67F8"/>
    <w:rsid w:val="004D7169"/>
    <w:rsid w:val="005031D3"/>
    <w:rsid w:val="005037D9"/>
    <w:rsid w:val="005041EB"/>
    <w:rsid w:val="0051106E"/>
    <w:rsid w:val="00515A39"/>
    <w:rsid w:val="0052251A"/>
    <w:rsid w:val="005242A2"/>
    <w:rsid w:val="00526111"/>
    <w:rsid w:val="00532801"/>
    <w:rsid w:val="00533E7B"/>
    <w:rsid w:val="00535039"/>
    <w:rsid w:val="00541B7B"/>
    <w:rsid w:val="00545656"/>
    <w:rsid w:val="005470A0"/>
    <w:rsid w:val="00547B72"/>
    <w:rsid w:val="00550C51"/>
    <w:rsid w:val="00555A33"/>
    <w:rsid w:val="0056256B"/>
    <w:rsid w:val="00566E93"/>
    <w:rsid w:val="0057526F"/>
    <w:rsid w:val="0058358E"/>
    <w:rsid w:val="005A0C99"/>
    <w:rsid w:val="005A13A1"/>
    <w:rsid w:val="005A2C81"/>
    <w:rsid w:val="005A3481"/>
    <w:rsid w:val="005B3E8C"/>
    <w:rsid w:val="005D105D"/>
    <w:rsid w:val="005E3496"/>
    <w:rsid w:val="005E55E7"/>
    <w:rsid w:val="005E58D7"/>
    <w:rsid w:val="005E7D28"/>
    <w:rsid w:val="005F0E50"/>
    <w:rsid w:val="005F238F"/>
    <w:rsid w:val="005F2936"/>
    <w:rsid w:val="006007FD"/>
    <w:rsid w:val="0060151C"/>
    <w:rsid w:val="00625815"/>
    <w:rsid w:val="006322AF"/>
    <w:rsid w:val="00635023"/>
    <w:rsid w:val="00637678"/>
    <w:rsid w:val="00640068"/>
    <w:rsid w:val="00651CF4"/>
    <w:rsid w:val="00652BFC"/>
    <w:rsid w:val="00664A46"/>
    <w:rsid w:val="00665453"/>
    <w:rsid w:val="00670F97"/>
    <w:rsid w:val="006841DA"/>
    <w:rsid w:val="00684F65"/>
    <w:rsid w:val="00687212"/>
    <w:rsid w:val="006969EA"/>
    <w:rsid w:val="006A0CA2"/>
    <w:rsid w:val="006A44FF"/>
    <w:rsid w:val="006A70BA"/>
    <w:rsid w:val="006A712F"/>
    <w:rsid w:val="006C0A80"/>
    <w:rsid w:val="006C1DD1"/>
    <w:rsid w:val="006C57DF"/>
    <w:rsid w:val="006C7B42"/>
    <w:rsid w:val="006D49A1"/>
    <w:rsid w:val="006D5D27"/>
    <w:rsid w:val="006E27B9"/>
    <w:rsid w:val="006F0A7A"/>
    <w:rsid w:val="006F1298"/>
    <w:rsid w:val="006F3286"/>
    <w:rsid w:val="006F3C33"/>
    <w:rsid w:val="00710C48"/>
    <w:rsid w:val="00711CE0"/>
    <w:rsid w:val="007138B0"/>
    <w:rsid w:val="007148BF"/>
    <w:rsid w:val="007204DC"/>
    <w:rsid w:val="0072256F"/>
    <w:rsid w:val="00726879"/>
    <w:rsid w:val="00742A30"/>
    <w:rsid w:val="00750307"/>
    <w:rsid w:val="0075200E"/>
    <w:rsid w:val="007562E6"/>
    <w:rsid w:val="007703A9"/>
    <w:rsid w:val="00771AE3"/>
    <w:rsid w:val="00772E30"/>
    <w:rsid w:val="00773266"/>
    <w:rsid w:val="00784E20"/>
    <w:rsid w:val="00787946"/>
    <w:rsid w:val="00795C70"/>
    <w:rsid w:val="0079723E"/>
    <w:rsid w:val="007B116B"/>
    <w:rsid w:val="007B6AC6"/>
    <w:rsid w:val="007D1904"/>
    <w:rsid w:val="007D1A44"/>
    <w:rsid w:val="007D3023"/>
    <w:rsid w:val="007D75FB"/>
    <w:rsid w:val="007E5F63"/>
    <w:rsid w:val="0080164B"/>
    <w:rsid w:val="008028CE"/>
    <w:rsid w:val="00812A2C"/>
    <w:rsid w:val="00815A70"/>
    <w:rsid w:val="0081790F"/>
    <w:rsid w:val="00832E30"/>
    <w:rsid w:val="00833C54"/>
    <w:rsid w:val="008356F4"/>
    <w:rsid w:val="00841BDB"/>
    <w:rsid w:val="00841D4F"/>
    <w:rsid w:val="00842CE1"/>
    <w:rsid w:val="00871A70"/>
    <w:rsid w:val="00872D93"/>
    <w:rsid w:val="00875B0B"/>
    <w:rsid w:val="00875B5A"/>
    <w:rsid w:val="00877E41"/>
    <w:rsid w:val="00882EA7"/>
    <w:rsid w:val="00895060"/>
    <w:rsid w:val="0089658A"/>
    <w:rsid w:val="00896CAF"/>
    <w:rsid w:val="008A1722"/>
    <w:rsid w:val="008A346B"/>
    <w:rsid w:val="008A4D9E"/>
    <w:rsid w:val="008A7B72"/>
    <w:rsid w:val="008B0CD1"/>
    <w:rsid w:val="008B4363"/>
    <w:rsid w:val="008B4AD9"/>
    <w:rsid w:val="008C4A8A"/>
    <w:rsid w:val="008D0ABA"/>
    <w:rsid w:val="008D7BE3"/>
    <w:rsid w:val="008F1448"/>
    <w:rsid w:val="008F6833"/>
    <w:rsid w:val="008F7093"/>
    <w:rsid w:val="008F7F0D"/>
    <w:rsid w:val="00902C48"/>
    <w:rsid w:val="00903184"/>
    <w:rsid w:val="0090401B"/>
    <w:rsid w:val="00904FE1"/>
    <w:rsid w:val="00906178"/>
    <w:rsid w:val="00915763"/>
    <w:rsid w:val="00931405"/>
    <w:rsid w:val="00933758"/>
    <w:rsid w:val="009354AF"/>
    <w:rsid w:val="009413D4"/>
    <w:rsid w:val="00971C63"/>
    <w:rsid w:val="009807E0"/>
    <w:rsid w:val="009844D4"/>
    <w:rsid w:val="009A36D5"/>
    <w:rsid w:val="009A44A5"/>
    <w:rsid w:val="009A5BF8"/>
    <w:rsid w:val="009B7D49"/>
    <w:rsid w:val="009C1EAD"/>
    <w:rsid w:val="009D0108"/>
    <w:rsid w:val="009D111C"/>
    <w:rsid w:val="009D2735"/>
    <w:rsid w:val="009D5168"/>
    <w:rsid w:val="009D6860"/>
    <w:rsid w:val="009E1CF2"/>
    <w:rsid w:val="009E6563"/>
    <w:rsid w:val="009F2C42"/>
    <w:rsid w:val="009F6505"/>
    <w:rsid w:val="00A0465C"/>
    <w:rsid w:val="00A05883"/>
    <w:rsid w:val="00A128B7"/>
    <w:rsid w:val="00A14FA6"/>
    <w:rsid w:val="00A27C7C"/>
    <w:rsid w:val="00A37233"/>
    <w:rsid w:val="00A374F8"/>
    <w:rsid w:val="00A41145"/>
    <w:rsid w:val="00A41881"/>
    <w:rsid w:val="00A444A2"/>
    <w:rsid w:val="00A54FC4"/>
    <w:rsid w:val="00A56B4F"/>
    <w:rsid w:val="00A638B3"/>
    <w:rsid w:val="00A725B9"/>
    <w:rsid w:val="00A858C8"/>
    <w:rsid w:val="00A927A8"/>
    <w:rsid w:val="00AA5ED0"/>
    <w:rsid w:val="00AB3DD3"/>
    <w:rsid w:val="00AC4889"/>
    <w:rsid w:val="00AD6E7F"/>
    <w:rsid w:val="00AE1B2A"/>
    <w:rsid w:val="00AE1D3F"/>
    <w:rsid w:val="00AE349D"/>
    <w:rsid w:val="00AE63F8"/>
    <w:rsid w:val="00AF5CCF"/>
    <w:rsid w:val="00B076AF"/>
    <w:rsid w:val="00B16E1B"/>
    <w:rsid w:val="00B30523"/>
    <w:rsid w:val="00B32087"/>
    <w:rsid w:val="00B33DBD"/>
    <w:rsid w:val="00B36790"/>
    <w:rsid w:val="00B4073C"/>
    <w:rsid w:val="00B407C2"/>
    <w:rsid w:val="00B413AB"/>
    <w:rsid w:val="00B42177"/>
    <w:rsid w:val="00B462CE"/>
    <w:rsid w:val="00B5407E"/>
    <w:rsid w:val="00B56CB1"/>
    <w:rsid w:val="00B61D8F"/>
    <w:rsid w:val="00B70A4A"/>
    <w:rsid w:val="00B723D4"/>
    <w:rsid w:val="00B7319B"/>
    <w:rsid w:val="00B8024A"/>
    <w:rsid w:val="00B84EA0"/>
    <w:rsid w:val="00B85585"/>
    <w:rsid w:val="00B8642C"/>
    <w:rsid w:val="00BA4539"/>
    <w:rsid w:val="00BA5994"/>
    <w:rsid w:val="00BA5C5E"/>
    <w:rsid w:val="00BA5CE9"/>
    <w:rsid w:val="00BB3940"/>
    <w:rsid w:val="00BC20BB"/>
    <w:rsid w:val="00BD68E3"/>
    <w:rsid w:val="00BD6CD3"/>
    <w:rsid w:val="00BE4081"/>
    <w:rsid w:val="00BE5CA3"/>
    <w:rsid w:val="00BF17FD"/>
    <w:rsid w:val="00BF2B57"/>
    <w:rsid w:val="00BF50A3"/>
    <w:rsid w:val="00BF6A8A"/>
    <w:rsid w:val="00C1386C"/>
    <w:rsid w:val="00C242A4"/>
    <w:rsid w:val="00C271F1"/>
    <w:rsid w:val="00C373CA"/>
    <w:rsid w:val="00C51A13"/>
    <w:rsid w:val="00C57899"/>
    <w:rsid w:val="00C70D45"/>
    <w:rsid w:val="00C73EF0"/>
    <w:rsid w:val="00C76FCE"/>
    <w:rsid w:val="00C84F4C"/>
    <w:rsid w:val="00C875D9"/>
    <w:rsid w:val="00C920B9"/>
    <w:rsid w:val="00C94396"/>
    <w:rsid w:val="00CA1A41"/>
    <w:rsid w:val="00CC133C"/>
    <w:rsid w:val="00CD0CED"/>
    <w:rsid w:val="00CD3002"/>
    <w:rsid w:val="00CE7D87"/>
    <w:rsid w:val="00CF2AF9"/>
    <w:rsid w:val="00D142B0"/>
    <w:rsid w:val="00D2241B"/>
    <w:rsid w:val="00D32D31"/>
    <w:rsid w:val="00D3320C"/>
    <w:rsid w:val="00D33630"/>
    <w:rsid w:val="00D36D3F"/>
    <w:rsid w:val="00D55C81"/>
    <w:rsid w:val="00D62179"/>
    <w:rsid w:val="00D6492D"/>
    <w:rsid w:val="00D66E9D"/>
    <w:rsid w:val="00D716BD"/>
    <w:rsid w:val="00D770A4"/>
    <w:rsid w:val="00D83A85"/>
    <w:rsid w:val="00D8741F"/>
    <w:rsid w:val="00D90079"/>
    <w:rsid w:val="00D94550"/>
    <w:rsid w:val="00D97D13"/>
    <w:rsid w:val="00DA01F5"/>
    <w:rsid w:val="00DA3CAB"/>
    <w:rsid w:val="00DA5897"/>
    <w:rsid w:val="00DB325A"/>
    <w:rsid w:val="00DB414B"/>
    <w:rsid w:val="00DB661B"/>
    <w:rsid w:val="00DC05BC"/>
    <w:rsid w:val="00DC54EC"/>
    <w:rsid w:val="00DD2F26"/>
    <w:rsid w:val="00DD5FC1"/>
    <w:rsid w:val="00DE0601"/>
    <w:rsid w:val="00DE66EC"/>
    <w:rsid w:val="00DF2ACD"/>
    <w:rsid w:val="00E00177"/>
    <w:rsid w:val="00E0362B"/>
    <w:rsid w:val="00E218B0"/>
    <w:rsid w:val="00E23CE6"/>
    <w:rsid w:val="00E25983"/>
    <w:rsid w:val="00E26D8D"/>
    <w:rsid w:val="00E272AE"/>
    <w:rsid w:val="00E308F4"/>
    <w:rsid w:val="00E33C1B"/>
    <w:rsid w:val="00E33D43"/>
    <w:rsid w:val="00E35911"/>
    <w:rsid w:val="00E35C07"/>
    <w:rsid w:val="00E411DA"/>
    <w:rsid w:val="00E4203F"/>
    <w:rsid w:val="00E44633"/>
    <w:rsid w:val="00E51C21"/>
    <w:rsid w:val="00E54B7A"/>
    <w:rsid w:val="00E602D9"/>
    <w:rsid w:val="00E752A5"/>
    <w:rsid w:val="00E804A8"/>
    <w:rsid w:val="00E8247F"/>
    <w:rsid w:val="00E82EE7"/>
    <w:rsid w:val="00E85755"/>
    <w:rsid w:val="00E94919"/>
    <w:rsid w:val="00EA61C9"/>
    <w:rsid w:val="00EB4E14"/>
    <w:rsid w:val="00EC0893"/>
    <w:rsid w:val="00EC7736"/>
    <w:rsid w:val="00EE0D87"/>
    <w:rsid w:val="00EE7A07"/>
    <w:rsid w:val="00F02654"/>
    <w:rsid w:val="00F03ECD"/>
    <w:rsid w:val="00F07D99"/>
    <w:rsid w:val="00F1530D"/>
    <w:rsid w:val="00F15726"/>
    <w:rsid w:val="00F174E0"/>
    <w:rsid w:val="00F214F5"/>
    <w:rsid w:val="00F30213"/>
    <w:rsid w:val="00F35464"/>
    <w:rsid w:val="00F40732"/>
    <w:rsid w:val="00F42080"/>
    <w:rsid w:val="00F74C16"/>
    <w:rsid w:val="00F819DA"/>
    <w:rsid w:val="00F819FE"/>
    <w:rsid w:val="00F8468D"/>
    <w:rsid w:val="00F90780"/>
    <w:rsid w:val="00F9154D"/>
    <w:rsid w:val="00F96CC2"/>
    <w:rsid w:val="00FA301E"/>
    <w:rsid w:val="00FA44B1"/>
    <w:rsid w:val="00FA6B60"/>
    <w:rsid w:val="00FC6AE3"/>
    <w:rsid w:val="00FD16AC"/>
    <w:rsid w:val="00FD7CCF"/>
    <w:rsid w:val="00FE2443"/>
    <w:rsid w:val="00FE2495"/>
    <w:rsid w:val="00FF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B3A36A7"/>
  <w15:docId w15:val="{FD894BCB-6592-455B-8845-33378531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uiPriority w:val="39"/>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link w:val="ListParagraphChar"/>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 w:type="character" w:customStyle="1" w:styleId="ListParagraphChar">
    <w:name w:val="List Paragraph Char"/>
    <w:link w:val="ListParagraph"/>
    <w:uiPriority w:val="34"/>
    <w:locked/>
    <w:rsid w:val="00F174E0"/>
    <w:rPr>
      <w:sz w:val="24"/>
      <w:szCs w:val="24"/>
    </w:rPr>
  </w:style>
  <w:style w:type="character" w:customStyle="1" w:styleId="Footer1">
    <w:name w:val="Footer1"/>
    <w:rsid w:val="003C40F5"/>
  </w:style>
  <w:style w:type="character" w:styleId="FollowedHyperlink">
    <w:name w:val="FollowedHyperlink"/>
    <w:basedOn w:val="DefaultParagraphFont"/>
    <w:semiHidden/>
    <w:unhideWhenUsed/>
    <w:rsid w:val="00E30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8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26C16-1AC9-4A05-AB2B-8BF4950A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2794</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19309</CharactersWithSpaces>
  <SharedDoc>false</SharedDoc>
  <HLinks>
    <vt:vector size="24" baseType="variant">
      <vt:variant>
        <vt:i4>3670113</vt:i4>
      </vt:variant>
      <vt:variant>
        <vt:i4>9</vt:i4>
      </vt:variant>
      <vt:variant>
        <vt:i4>0</vt:i4>
      </vt:variant>
      <vt:variant>
        <vt:i4>5</vt:i4>
      </vt:variant>
      <vt:variant>
        <vt:lpwstr>http://www.opm.gov/</vt:lpwstr>
      </vt:variant>
      <vt:variant>
        <vt:lpwstr/>
      </vt:variant>
      <vt:variant>
        <vt:i4>3276926</vt:i4>
      </vt:variant>
      <vt:variant>
        <vt:i4>6</vt:i4>
      </vt:variant>
      <vt:variant>
        <vt:i4>0</vt:i4>
      </vt:variant>
      <vt:variant>
        <vt:i4>5</vt:i4>
      </vt:variant>
      <vt:variant>
        <vt:lpwstr>http://www.dol.gov/</vt:lpwstr>
      </vt:variant>
      <vt:variant>
        <vt:lpwstr/>
      </vt:variant>
      <vt:variant>
        <vt:i4>5570619</vt:i4>
      </vt:variant>
      <vt:variant>
        <vt:i4>3</vt:i4>
      </vt:variant>
      <vt:variant>
        <vt:i4>0</vt:i4>
      </vt:variant>
      <vt:variant>
        <vt:i4>5</vt:i4>
      </vt:variant>
      <vt:variant>
        <vt:lpwstr>http://www.cdc.gov/nchstp/tb/pubs/PDF/ARPEs_manual.pdf</vt:lpwstr>
      </vt:variant>
      <vt:variant>
        <vt:lpwstr/>
      </vt:variant>
      <vt:variant>
        <vt:i4>3211350</vt:i4>
      </vt:variant>
      <vt:variant>
        <vt:i4>0</vt:i4>
      </vt:variant>
      <vt:variant>
        <vt:i4>0</vt:i4>
      </vt:variant>
      <vt:variant>
        <vt:i4>5</vt:i4>
      </vt:variant>
      <vt:variant>
        <vt:lpwstr>http://www.cdc.gov/tb/publications/PDF/ARPEs_manualsm1.pdf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Macaluso, Renita (CDC/DDPHSS/OS/OSI)</cp:lastModifiedBy>
  <cp:revision>6</cp:revision>
  <dcterms:created xsi:type="dcterms:W3CDTF">2021-01-12T20:39:00Z</dcterms:created>
  <dcterms:modified xsi:type="dcterms:W3CDTF">2021-02-01T21:40:00Z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2020-11-12T20:16:29Z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741bd343-6453-4fd4-9bfd-e4571a94c28c</vt:lpwstr>
  </property>
  <property fmtid="{D5CDD505-2E9C-101B-9397-08002B2CF9AE}" pid="8" name="MSIP_Label_7b94a7b8-f06c-4dfe-bdcc-9b548fd58c31_ContentBits">
    <vt:lpwstr>0</vt:lpwstr>
  </property>
</Properties>
</file>