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051A" w:rsidR="005B6ADB" w:rsidP="005375A8" w:rsidRDefault="001C5341">
      <w:pPr>
        <w:tabs>
          <w:tab w:val="center" w:pos="4680"/>
        </w:tabs>
        <w:jc w:val="center"/>
        <w:rPr>
          <w:rFonts w:ascii="Times New Roman" w:hAnsi="Times New Roman"/>
          <w:szCs w:val="24"/>
        </w:rPr>
      </w:pPr>
      <w:r w:rsidRPr="0084051A">
        <w:rPr>
          <w:rFonts w:ascii="Times New Roman" w:hAnsi="Times New Roman"/>
          <w:szCs w:val="24"/>
        </w:rPr>
        <w:t>SUPPORTING STATEMENT</w:t>
      </w:r>
    </w:p>
    <w:p w:rsidRPr="0084051A" w:rsidR="0084051A" w:rsidP="0084051A" w:rsidRDefault="0084051A">
      <w:pPr>
        <w:tabs>
          <w:tab w:val="center" w:pos="4680"/>
        </w:tabs>
        <w:jc w:val="center"/>
        <w:rPr>
          <w:rFonts w:ascii="Times New Roman" w:hAnsi="Times New Roman"/>
          <w:szCs w:val="24"/>
        </w:rPr>
      </w:pPr>
      <w:r w:rsidRPr="0084051A">
        <w:rPr>
          <w:rFonts w:ascii="Times New Roman" w:hAnsi="Times New Roman"/>
          <w:szCs w:val="24"/>
        </w:rPr>
        <w:t xml:space="preserve">Industrial Banks and Industrial Loan Companies </w:t>
      </w:r>
    </w:p>
    <w:p w:rsidRPr="0084051A" w:rsidR="008C29DB" w:rsidP="0084051A" w:rsidRDefault="00175B53">
      <w:pPr>
        <w:tabs>
          <w:tab w:val="center" w:pos="4680"/>
        </w:tabs>
        <w:jc w:val="center"/>
        <w:rPr>
          <w:rFonts w:ascii="Times New Roman" w:hAnsi="Times New Roman"/>
          <w:szCs w:val="24"/>
        </w:rPr>
      </w:pPr>
      <w:r w:rsidRPr="0084051A">
        <w:rPr>
          <w:rFonts w:ascii="Times New Roman" w:hAnsi="Times New Roman"/>
          <w:szCs w:val="24"/>
        </w:rPr>
        <w:t xml:space="preserve">(OMB Control No. </w:t>
      </w:r>
      <w:r w:rsidRPr="0084051A" w:rsidR="008C29DB">
        <w:rPr>
          <w:rFonts w:ascii="Times New Roman" w:hAnsi="Times New Roman"/>
          <w:szCs w:val="24"/>
        </w:rPr>
        <w:t>3064-NEW</w:t>
      </w:r>
      <w:r w:rsidRPr="0084051A">
        <w:rPr>
          <w:rFonts w:ascii="Times New Roman" w:hAnsi="Times New Roman"/>
          <w:szCs w:val="24"/>
        </w:rPr>
        <w:t>)</w:t>
      </w:r>
    </w:p>
    <w:p w:rsidRPr="0084051A" w:rsidR="005B6ADB" w:rsidP="005375A8" w:rsidRDefault="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Pr="0084051A" w:rsidR="005B6ADB" w:rsidP="005375A8" w:rsidRDefault="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84051A">
        <w:rPr>
          <w:rFonts w:ascii="Times New Roman" w:hAnsi="Times New Roman"/>
          <w:szCs w:val="24"/>
          <w:u w:val="single"/>
        </w:rPr>
        <w:t>INTRODUCTION</w:t>
      </w:r>
    </w:p>
    <w:p w:rsidRPr="0084051A" w:rsidR="005B6ADB" w:rsidP="005375A8" w:rsidRDefault="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Pr="0084051A" w:rsidR="005B6ADB" w:rsidP="0084051A" w:rsidRDefault="00175B53">
      <w:pPr>
        <w:ind w:firstLine="720"/>
        <w:rPr>
          <w:rFonts w:ascii="Times New Roman" w:hAnsi="Times New Roman"/>
          <w:szCs w:val="24"/>
        </w:rPr>
      </w:pPr>
      <w:r w:rsidRPr="0084051A">
        <w:rPr>
          <w:rFonts w:ascii="Times New Roman" w:hAnsi="Times New Roman"/>
          <w:szCs w:val="24"/>
        </w:rPr>
        <w:t>The</w:t>
      </w:r>
      <w:r w:rsidRPr="0084051A" w:rsidR="002D28D0">
        <w:rPr>
          <w:rFonts w:ascii="Times New Roman" w:hAnsi="Times New Roman"/>
          <w:szCs w:val="24"/>
        </w:rPr>
        <w:t xml:space="preserve"> Federal Deposit Insurance Corporation</w:t>
      </w:r>
      <w:r w:rsidRPr="0084051A">
        <w:rPr>
          <w:rFonts w:ascii="Times New Roman" w:hAnsi="Times New Roman"/>
          <w:szCs w:val="24"/>
        </w:rPr>
        <w:t xml:space="preserve"> </w:t>
      </w:r>
      <w:r w:rsidRPr="0084051A" w:rsidR="002D28D0">
        <w:rPr>
          <w:rFonts w:ascii="Times New Roman" w:hAnsi="Times New Roman"/>
          <w:szCs w:val="24"/>
        </w:rPr>
        <w:t>(</w:t>
      </w:r>
      <w:r w:rsidRPr="0084051A">
        <w:rPr>
          <w:rFonts w:ascii="Times New Roman" w:hAnsi="Times New Roman"/>
          <w:szCs w:val="24"/>
        </w:rPr>
        <w:t>FDIC</w:t>
      </w:r>
      <w:r w:rsidRPr="0084051A" w:rsidR="002D28D0">
        <w:rPr>
          <w:rFonts w:ascii="Times New Roman" w:hAnsi="Times New Roman"/>
          <w:szCs w:val="24"/>
        </w:rPr>
        <w:t>)</w:t>
      </w:r>
      <w:r w:rsidRPr="0084051A">
        <w:rPr>
          <w:rFonts w:ascii="Times New Roman" w:hAnsi="Times New Roman"/>
          <w:szCs w:val="24"/>
        </w:rPr>
        <w:t xml:space="preserve"> is requesting approval from the</w:t>
      </w:r>
      <w:r w:rsidRPr="0084051A" w:rsidR="0084051A">
        <w:rPr>
          <w:rFonts w:ascii="Times New Roman" w:hAnsi="Times New Roman"/>
          <w:szCs w:val="24"/>
        </w:rPr>
        <w:t xml:space="preserve"> Office of Management and Budget</w:t>
      </w:r>
      <w:r w:rsidRPr="0084051A">
        <w:rPr>
          <w:rFonts w:ascii="Times New Roman" w:hAnsi="Times New Roman"/>
          <w:szCs w:val="24"/>
        </w:rPr>
        <w:t xml:space="preserve"> </w:t>
      </w:r>
      <w:r w:rsidRPr="0084051A" w:rsidR="0084051A">
        <w:rPr>
          <w:rFonts w:ascii="Times New Roman" w:hAnsi="Times New Roman"/>
          <w:szCs w:val="24"/>
        </w:rPr>
        <w:t>(</w:t>
      </w:r>
      <w:r w:rsidRPr="0084051A">
        <w:rPr>
          <w:rFonts w:ascii="Times New Roman" w:hAnsi="Times New Roman"/>
          <w:szCs w:val="24"/>
        </w:rPr>
        <w:t>OMB</w:t>
      </w:r>
      <w:r w:rsidRPr="0084051A" w:rsidR="0084051A">
        <w:rPr>
          <w:rFonts w:ascii="Times New Roman" w:hAnsi="Times New Roman"/>
          <w:szCs w:val="24"/>
        </w:rPr>
        <w:t>)</w:t>
      </w:r>
      <w:r w:rsidRPr="0084051A">
        <w:rPr>
          <w:rFonts w:ascii="Times New Roman" w:hAnsi="Times New Roman"/>
          <w:szCs w:val="24"/>
        </w:rPr>
        <w:t xml:space="preserve"> to establish a new information collection comprised of reporting </w:t>
      </w:r>
      <w:r w:rsidRPr="0084051A" w:rsidR="0084051A">
        <w:rPr>
          <w:rFonts w:ascii="Times New Roman" w:hAnsi="Times New Roman"/>
          <w:szCs w:val="24"/>
        </w:rPr>
        <w:t xml:space="preserve">and recordkeeping </w:t>
      </w:r>
      <w:r w:rsidRPr="0084051A">
        <w:rPr>
          <w:rFonts w:ascii="Times New Roman" w:hAnsi="Times New Roman"/>
          <w:szCs w:val="24"/>
        </w:rPr>
        <w:t>requirements contained in a notice of proposed rulemaking on</w:t>
      </w:r>
      <w:r w:rsidRPr="0084051A" w:rsidR="005B6ADB">
        <w:rPr>
          <w:rFonts w:ascii="Times New Roman" w:hAnsi="Times New Roman"/>
          <w:szCs w:val="24"/>
        </w:rPr>
        <w:t xml:space="preserve"> “</w:t>
      </w:r>
      <w:r w:rsidRPr="0084051A" w:rsidR="0084051A">
        <w:rPr>
          <w:rFonts w:ascii="Times New Roman" w:hAnsi="Times New Roman"/>
          <w:szCs w:val="24"/>
        </w:rPr>
        <w:t>Parent Companies of Industrial Banks and Industrial Loan Companies</w:t>
      </w:r>
      <w:r w:rsidRPr="0084051A" w:rsidR="00D826FD">
        <w:rPr>
          <w:rFonts w:ascii="Times New Roman" w:hAnsi="Times New Roman"/>
          <w:szCs w:val="24"/>
        </w:rPr>
        <w:t>.</w:t>
      </w:r>
      <w:r w:rsidRPr="0084051A" w:rsidR="005B6ADB">
        <w:rPr>
          <w:rFonts w:ascii="Times New Roman" w:hAnsi="Times New Roman"/>
          <w:szCs w:val="24"/>
        </w:rPr>
        <w:t xml:space="preserve">” </w:t>
      </w:r>
      <w:r w:rsidRPr="0084051A" w:rsidR="00D826FD">
        <w:rPr>
          <w:rFonts w:ascii="Times New Roman" w:hAnsi="Times New Roman"/>
          <w:szCs w:val="24"/>
        </w:rPr>
        <w:t xml:space="preserve">The proposal seeks to </w:t>
      </w:r>
      <w:r w:rsidRPr="0084051A" w:rsidR="0084051A">
        <w:rPr>
          <w:rFonts w:ascii="Times New Roman" w:hAnsi="Times New Roman"/>
          <w:szCs w:val="24"/>
        </w:rPr>
        <w:t>impose reporting and recordkeeping requirements under the Paperwork Reduction Act (PRA),</w:t>
      </w:r>
      <w:r w:rsidRPr="0084051A" w:rsidR="0084051A">
        <w:rPr>
          <w:rFonts w:ascii="Times New Roman" w:hAnsi="Times New Roman"/>
          <w:szCs w:val="24"/>
          <w:vertAlign w:val="superscript"/>
        </w:rPr>
        <w:footnoteReference w:id="1"/>
      </w:r>
      <w:r w:rsidRPr="0084051A" w:rsidR="0084051A">
        <w:rPr>
          <w:rFonts w:ascii="Times New Roman" w:hAnsi="Times New Roman"/>
          <w:szCs w:val="24"/>
        </w:rPr>
        <w:t xml:space="preserve"> for each industrial bank subject to the rule and its Covered Company, as such term is defined in 12 CFR section 354.2. </w:t>
      </w:r>
      <w:r w:rsidR="00953166">
        <w:rPr>
          <w:rFonts w:ascii="Times New Roman" w:hAnsi="Times New Roman"/>
          <w:szCs w:val="24"/>
        </w:rPr>
        <w:t xml:space="preserve"> </w:t>
      </w:r>
      <w:r w:rsidRPr="0084051A" w:rsidR="00D826FD">
        <w:rPr>
          <w:rFonts w:ascii="Times New Roman" w:hAnsi="Times New Roman"/>
          <w:szCs w:val="24"/>
        </w:rPr>
        <w:t>As a result, the FDIC is requesting approval from the OMB and asks that the OMB assign an OMB control number.</w:t>
      </w:r>
    </w:p>
    <w:p w:rsidRPr="0084051A" w:rsidR="005B6ADB" w:rsidP="005375A8" w:rsidRDefault="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Pr="0084051A" w:rsidR="005B6ADB" w:rsidP="005375A8" w:rsidRDefault="005B6ADB">
      <w:pPr>
        <w:pStyle w:val="ListParagraph"/>
        <w:numPr>
          <w:ilvl w:val="0"/>
          <w:numId w:val="2"/>
        </w:numPr>
        <w:rPr>
          <w:rFonts w:ascii="Times New Roman" w:hAnsi="Times New Roman"/>
          <w:szCs w:val="24"/>
        </w:rPr>
      </w:pPr>
      <w:r w:rsidRPr="0084051A">
        <w:rPr>
          <w:rFonts w:ascii="Times New Roman" w:hAnsi="Times New Roman"/>
          <w:szCs w:val="24"/>
          <w:u w:val="single"/>
        </w:rPr>
        <w:t>JUSTIFICATION</w:t>
      </w:r>
    </w:p>
    <w:p w:rsidRPr="0084051A" w:rsidR="005B6ADB" w:rsidP="005375A8" w:rsidRDefault="005B6ADB">
      <w:pPr>
        <w:rPr>
          <w:rFonts w:ascii="Times New Roman" w:hAnsi="Times New Roman"/>
          <w:i/>
          <w:szCs w:val="24"/>
        </w:rPr>
      </w:pPr>
    </w:p>
    <w:p w:rsidRPr="0084051A" w:rsidR="00274C31" w:rsidP="00274C31" w:rsidRDefault="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Circumstances that make the collection necessary:</w:t>
      </w:r>
    </w:p>
    <w:p w:rsidRPr="0084051A" w:rsidR="005B6ADB" w:rsidP="005375A8" w:rsidRDefault="005B6ADB">
      <w:pPr>
        <w:rPr>
          <w:rFonts w:ascii="Times New Roman" w:hAnsi="Times New Roman"/>
          <w:i/>
          <w:szCs w:val="24"/>
        </w:rPr>
      </w:pPr>
    </w:p>
    <w:p w:rsidRPr="0084051A" w:rsidR="00454E22" w:rsidP="0084051A" w:rsidRDefault="0084051A">
      <w:pPr>
        <w:pStyle w:val="BodyText"/>
        <w:spacing w:after="0"/>
        <w:ind w:left="1080" w:right="374"/>
        <w:rPr>
          <w:rFonts w:ascii="Times New Roman" w:hAnsi="Times New Roman"/>
          <w:szCs w:val="24"/>
        </w:rPr>
      </w:pPr>
      <w:r w:rsidRPr="0084051A">
        <w:rPr>
          <w:rFonts w:ascii="Times New Roman" w:hAnsi="Times New Roman"/>
          <w:szCs w:val="24"/>
        </w:rPr>
        <w:t>Given the continuing evolution in the use of the industrial bank charter, the unique nature of applications seeking to establish de novo industrial banks, and the legitimate considerations raised by interested parties—both in support of and opposed to the industrial bank charter—the FDIC believes a rule formalizing and strengthening the FDIC’s existing supervisory processes and policies that apply to parent companies of industrial banks that are not subject to Federal consolidated supervision is timely and appropriate. The proposed rule</w:t>
      </w:r>
      <w:r>
        <w:rPr>
          <w:rFonts w:ascii="Times New Roman" w:hAnsi="Times New Roman"/>
          <w:szCs w:val="24"/>
        </w:rPr>
        <w:t xml:space="preserve"> and the information collected under the proposed rule</w:t>
      </w:r>
      <w:r w:rsidRPr="0084051A">
        <w:rPr>
          <w:rFonts w:ascii="Times New Roman" w:hAnsi="Times New Roman"/>
          <w:szCs w:val="24"/>
        </w:rPr>
        <w:t xml:space="preserve"> would provide interested parties with transparency regarding the FDIC’s practices when making determinations on filings involving industrial banks. </w:t>
      </w:r>
    </w:p>
    <w:p w:rsidRPr="0084051A" w:rsidR="00454E22" w:rsidP="00274C31" w:rsidRDefault="00454E22">
      <w:pPr>
        <w:pStyle w:val="BodyText"/>
        <w:spacing w:after="0"/>
        <w:ind w:left="1320"/>
        <w:rPr>
          <w:rFonts w:ascii="Times New Roman" w:hAnsi="Times New Roman"/>
          <w:szCs w:val="24"/>
        </w:rPr>
      </w:pPr>
    </w:p>
    <w:p w:rsidRPr="0084051A" w:rsidR="00274C31" w:rsidP="00274C31" w:rsidRDefault="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 xml:space="preserve">Use of the information: </w:t>
      </w:r>
    </w:p>
    <w:p w:rsidRPr="0084051A" w:rsidR="005B6ADB" w:rsidP="005375A8" w:rsidRDefault="005B6ADB">
      <w:pPr>
        <w:rPr>
          <w:rFonts w:ascii="Times New Roman" w:hAnsi="Times New Roman"/>
          <w:szCs w:val="24"/>
        </w:rPr>
      </w:pPr>
    </w:p>
    <w:p w:rsidRPr="0084051A" w:rsidR="00E305AF" w:rsidP="00953166" w:rsidRDefault="00953166">
      <w:pPr>
        <w:pStyle w:val="BodyText"/>
        <w:spacing w:after="0"/>
        <w:ind w:left="1080"/>
        <w:rPr>
          <w:rFonts w:ascii="Times New Roman" w:hAnsi="Times New Roman"/>
          <w:szCs w:val="24"/>
        </w:rPr>
      </w:pPr>
      <w:r>
        <w:rPr>
          <w:rFonts w:ascii="Times New Roman" w:hAnsi="Times New Roman"/>
          <w:szCs w:val="24"/>
        </w:rPr>
        <w:t>E</w:t>
      </w:r>
      <w:r w:rsidRPr="0084051A">
        <w:rPr>
          <w:rFonts w:ascii="Times New Roman" w:hAnsi="Times New Roman"/>
          <w:szCs w:val="24"/>
        </w:rPr>
        <w:t xml:space="preserve">ach industrial bank, and each Covered Company that directly or indirectly controls the industrial bank, must (i) agree to furnish the FDIC an initial listing, with annual updates, of all of the company’s subsidiaries, (ii) submit to the FDIC an annual report on the Covered Company and its subsidiaries, and such other reports as the FDIC may request, (iii) maintain such records as the FDIC deems necessary to assess the risks to the industrial bank and to the </w:t>
      </w:r>
      <w:r>
        <w:rPr>
          <w:rFonts w:ascii="Times New Roman" w:hAnsi="Times New Roman"/>
          <w:szCs w:val="24"/>
        </w:rPr>
        <w:t>Deposit Insurance Fund (</w:t>
      </w:r>
      <w:r w:rsidRPr="0084051A">
        <w:rPr>
          <w:rFonts w:ascii="Times New Roman" w:hAnsi="Times New Roman"/>
          <w:szCs w:val="24"/>
        </w:rPr>
        <w:t>DIF</w:t>
      </w:r>
      <w:r>
        <w:rPr>
          <w:rFonts w:ascii="Times New Roman" w:hAnsi="Times New Roman"/>
          <w:szCs w:val="24"/>
        </w:rPr>
        <w:t>)</w:t>
      </w:r>
      <w:r w:rsidRPr="0084051A">
        <w:rPr>
          <w:rFonts w:ascii="Times New Roman" w:hAnsi="Times New Roman"/>
          <w:szCs w:val="24"/>
        </w:rPr>
        <w:t xml:space="preserve">, and (iv) in the event that the FDIC has concerns about a complex organizational structure, the FDIC may condition the approval of an application or the nonobjection to a notice—in each case that would result in an industrial bank being controlled, directly or indirectly, by a Covered Company—on the Covered Company and industrial bank to commit to providing to the FDIC, and thereafter adopting and implementing, a contingency plan that sets forth, at a minimum, one or more strategies for the orderly wind-down of such industrial bank, without the need for the appointment of a receiver or </w:t>
      </w:r>
      <w:r w:rsidRPr="0084051A">
        <w:rPr>
          <w:rFonts w:ascii="Times New Roman" w:hAnsi="Times New Roman"/>
          <w:szCs w:val="24"/>
        </w:rPr>
        <w:lastRenderedPageBreak/>
        <w:t xml:space="preserve">conservator.  </w:t>
      </w:r>
    </w:p>
    <w:p w:rsidRPr="0084051A" w:rsidR="00274C31" w:rsidP="00274C31" w:rsidRDefault="00274C31">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Consideration of the use of improved information technology:</w:t>
      </w:r>
    </w:p>
    <w:p w:rsidRPr="0084051A" w:rsidR="005B6ADB" w:rsidP="005375A8" w:rsidRDefault="005B6ADB">
      <w:pPr>
        <w:rPr>
          <w:rFonts w:ascii="Times New Roman" w:hAnsi="Times New Roman"/>
          <w:szCs w:val="24"/>
        </w:rPr>
      </w:pPr>
    </w:p>
    <w:p w:rsidRPr="0084051A" w:rsidR="005B6ADB" w:rsidP="00274C31" w:rsidRDefault="00A858F0">
      <w:pPr>
        <w:ind w:left="1080"/>
        <w:rPr>
          <w:rFonts w:ascii="Times New Roman" w:hAnsi="Times New Roman"/>
          <w:szCs w:val="24"/>
        </w:rPr>
      </w:pPr>
      <w:r w:rsidRPr="0084051A">
        <w:rPr>
          <w:rFonts w:ascii="Times New Roman" w:hAnsi="Times New Roman"/>
          <w:szCs w:val="24"/>
        </w:rPr>
        <w:t>Covered companies</w:t>
      </w:r>
      <w:r w:rsidRPr="0084051A" w:rsidR="0027282C">
        <w:rPr>
          <w:rFonts w:ascii="Times New Roman" w:hAnsi="Times New Roman"/>
          <w:szCs w:val="24"/>
        </w:rPr>
        <w:t xml:space="preserve"> may use technology to the extent feasible and/or desirable or appropria</w:t>
      </w:r>
      <w:r w:rsidRPr="0084051A">
        <w:rPr>
          <w:rFonts w:ascii="Times New Roman" w:hAnsi="Times New Roman"/>
          <w:szCs w:val="24"/>
        </w:rPr>
        <w:t>te to make the required reports.</w:t>
      </w:r>
    </w:p>
    <w:p w:rsidRPr="0084051A" w:rsidR="008D0DCF" w:rsidP="005375A8" w:rsidRDefault="008D0DCF">
      <w:pPr>
        <w:ind w:firstLine="720"/>
        <w:rPr>
          <w:rFonts w:ascii="Times New Roman" w:hAnsi="Times New Roman"/>
          <w:szCs w:val="24"/>
        </w:rPr>
      </w:pPr>
    </w:p>
    <w:p w:rsidRPr="0084051A" w:rsidR="005B6ADB" w:rsidP="00274C31" w:rsidRDefault="00274C31">
      <w:pPr>
        <w:pStyle w:val="BodyTextIndent"/>
        <w:numPr>
          <w:ilvl w:val="1"/>
          <w:numId w:val="4"/>
        </w:numPr>
        <w:rPr>
          <w:szCs w:val="24"/>
        </w:rPr>
      </w:pPr>
      <w:r w:rsidRPr="0084051A">
        <w:rPr>
          <w:szCs w:val="24"/>
          <w:u w:val="single"/>
        </w:rPr>
        <w:t>Effort to identify duplication:</w:t>
      </w:r>
    </w:p>
    <w:p w:rsidRPr="0084051A" w:rsidR="00274C31" w:rsidP="00A858F0" w:rsidRDefault="00274C31">
      <w:pPr>
        <w:pStyle w:val="BodyTextIndent"/>
        <w:rPr>
          <w:szCs w:val="24"/>
        </w:rPr>
      </w:pPr>
    </w:p>
    <w:p w:rsidRPr="0084051A" w:rsidR="00FF765D" w:rsidP="00274C31" w:rsidRDefault="00A858F0">
      <w:pPr>
        <w:pStyle w:val="BodyTextIndent"/>
        <w:ind w:left="1080"/>
        <w:rPr>
          <w:szCs w:val="24"/>
        </w:rPr>
      </w:pPr>
      <w:r w:rsidRPr="0084051A">
        <w:rPr>
          <w:szCs w:val="24"/>
        </w:rPr>
        <w:t xml:space="preserve">No other federal law mandates these reporting requirements and therefore the reporting requirements are </w:t>
      </w:r>
      <w:r w:rsidRPr="0084051A" w:rsidR="00710E54">
        <w:rPr>
          <w:szCs w:val="24"/>
        </w:rPr>
        <w:t>not otherwise duplicated.</w:t>
      </w:r>
    </w:p>
    <w:p w:rsidRPr="0084051A" w:rsidR="008D0DCF" w:rsidP="005375A8" w:rsidRDefault="008D0DCF">
      <w:pPr>
        <w:widowControl/>
        <w:ind w:firstLine="720"/>
        <w:rPr>
          <w:rFonts w:ascii="Times New Roman" w:hAnsi="Times New Roman"/>
          <w:szCs w:val="24"/>
        </w:rPr>
      </w:pPr>
    </w:p>
    <w:p w:rsidRPr="0084051A" w:rsidR="00070B92" w:rsidP="00274C31" w:rsidRDefault="00274C31">
      <w:pPr>
        <w:pStyle w:val="BodyTextIndent"/>
        <w:numPr>
          <w:ilvl w:val="1"/>
          <w:numId w:val="4"/>
        </w:numPr>
        <w:rPr>
          <w:szCs w:val="24"/>
        </w:rPr>
      </w:pPr>
      <w:r w:rsidRPr="0084051A">
        <w:rPr>
          <w:szCs w:val="24"/>
          <w:u w:val="single"/>
        </w:rPr>
        <w:t xml:space="preserve">Methods used to minimize burden if the collection has a significant impact on </w:t>
      </w:r>
      <w:r w:rsidRPr="0084051A" w:rsidR="00953166">
        <w:rPr>
          <w:szCs w:val="24"/>
          <w:u w:val="single"/>
        </w:rPr>
        <w:t>a substantial</w:t>
      </w:r>
      <w:r w:rsidRPr="0084051A">
        <w:rPr>
          <w:szCs w:val="24"/>
          <w:u w:val="single"/>
        </w:rPr>
        <w:t xml:space="preserve"> number of small entities:</w:t>
      </w:r>
    </w:p>
    <w:p w:rsidRPr="0084051A" w:rsidR="00274C31" w:rsidP="00274C31" w:rsidRDefault="00274C31">
      <w:pPr>
        <w:pStyle w:val="BodyTextIndent"/>
        <w:ind w:left="1080"/>
        <w:rPr>
          <w:szCs w:val="24"/>
        </w:rPr>
      </w:pPr>
    </w:p>
    <w:p w:rsidRPr="0084051A" w:rsidR="00702615" w:rsidP="00953166" w:rsidRDefault="00702615">
      <w:pPr>
        <w:widowControl/>
        <w:ind w:left="1080"/>
        <w:rPr>
          <w:rFonts w:ascii="Times New Roman" w:hAnsi="Times New Roman" w:eastAsia="Calibri"/>
          <w:snapToGrid/>
          <w:color w:val="1F497D"/>
          <w:szCs w:val="24"/>
        </w:rPr>
      </w:pPr>
      <w:r w:rsidRPr="0084051A">
        <w:rPr>
          <w:rFonts w:ascii="Times New Roman" w:hAnsi="Times New Roman" w:eastAsia="Calibri"/>
          <w:snapToGrid/>
          <w:szCs w:val="24"/>
        </w:rPr>
        <w:t xml:space="preserve">This proposal will not have a significant impact on a substantial number of small entities.  </w:t>
      </w:r>
      <w:r w:rsidRPr="00953166" w:rsidR="00953166">
        <w:rPr>
          <w:rFonts w:ascii="Times New Roman" w:hAnsi="Times New Roman"/>
          <w:szCs w:val="24"/>
        </w:rPr>
        <w:t>As of Septemb</w:t>
      </w:r>
      <w:r w:rsidR="00953166">
        <w:rPr>
          <w:rFonts w:ascii="Times New Roman" w:hAnsi="Times New Roman"/>
          <w:szCs w:val="24"/>
        </w:rPr>
        <w:t>er 30, 2019, the FDIC supervised</w:t>
      </w:r>
      <w:r w:rsidRPr="00953166" w:rsidR="00953166">
        <w:rPr>
          <w:rFonts w:ascii="Times New Roman" w:hAnsi="Times New Roman"/>
          <w:szCs w:val="24"/>
        </w:rPr>
        <w:t xml:space="preserve"> 3,390 institutions, of which 2,662 are defined as small institutions by the terms of the RFA.  Of these 3,390 institutions, 23 are industrial banks.</w:t>
      </w:r>
      <w:r w:rsidR="00953166">
        <w:rPr>
          <w:rFonts w:ascii="Times New Roman" w:hAnsi="Times New Roman"/>
          <w:szCs w:val="24"/>
        </w:rPr>
        <w:t xml:space="preserve">  </w:t>
      </w:r>
      <w:r w:rsidRPr="00953166" w:rsidR="00953166">
        <w:rPr>
          <w:rFonts w:ascii="Times New Roman" w:hAnsi="Times New Roman"/>
          <w:szCs w:val="24"/>
        </w:rPr>
        <w:t xml:space="preserve">Of the 23 existing industrial banks, eight reported total assets less than $600 million, indicating that they could be small entities. </w:t>
      </w:r>
      <w:r w:rsidR="00953166">
        <w:rPr>
          <w:rFonts w:ascii="Times New Roman" w:hAnsi="Times New Roman"/>
          <w:szCs w:val="24"/>
        </w:rPr>
        <w:t xml:space="preserve"> </w:t>
      </w:r>
      <w:r w:rsidRPr="00953166" w:rsidR="00953166">
        <w:rPr>
          <w:rFonts w:ascii="Times New Roman" w:hAnsi="Times New Roman"/>
          <w:szCs w:val="24"/>
        </w:rPr>
        <w:t xml:space="preserve">Of the eight industrial banks that reported total assets less than $600 million, the FDIC was able to determine that three of these potentially small industrial banks were owned by holding companies which were not small </w:t>
      </w:r>
      <w:r w:rsidR="00953166">
        <w:rPr>
          <w:rFonts w:ascii="Times New Roman" w:hAnsi="Times New Roman"/>
          <w:szCs w:val="24"/>
        </w:rPr>
        <w:t>entities</w:t>
      </w:r>
      <w:r w:rsidRPr="00953166" w:rsidR="00953166">
        <w:rPr>
          <w:rFonts w:ascii="Times New Roman" w:hAnsi="Times New Roman"/>
          <w:szCs w:val="24"/>
        </w:rPr>
        <w:t>. However, the FDIC currently lacks information necessary to determine whether the remaining five industrial banks are small. Therefore, of the 23 existing industrial banks, 18 are not small entities for purposes of the RFA, but no more than five, or about 22 percent, may be small entities.</w:t>
      </w:r>
      <w:r w:rsidR="00953166">
        <w:rPr>
          <w:rFonts w:ascii="Times New Roman" w:hAnsi="Times New Roman"/>
          <w:szCs w:val="24"/>
        </w:rPr>
        <w:t xml:space="preserve">  A</w:t>
      </w:r>
      <w:r w:rsidRPr="00953166" w:rsidR="00953166">
        <w:rPr>
          <w:rFonts w:ascii="Times New Roman" w:hAnsi="Times New Roman"/>
          <w:szCs w:val="24"/>
        </w:rPr>
        <w:t xml:space="preserve">dditionally, the FDIC received three change in control notices relating to industrial banks since 2010. Of those three, only one was from an industrial bank that could possibly be small </w:t>
      </w:r>
      <w:r w:rsidR="00953166">
        <w:rPr>
          <w:rFonts w:ascii="Times New Roman" w:hAnsi="Times New Roman"/>
          <w:szCs w:val="24"/>
        </w:rPr>
        <w:t>entity</w:t>
      </w:r>
      <w:r w:rsidRPr="00953166" w:rsidR="00953166">
        <w:rPr>
          <w:rFonts w:ascii="Times New Roman" w:hAnsi="Times New Roman"/>
          <w:szCs w:val="24"/>
        </w:rPr>
        <w:t>. Therefore, given that no more than five of the 23 existing industrial banks are small entities, and that no more than one change in control notice received by the FDIC since 2010 may be from a small entity, the FDIC believes the aspects of the proposal relating to change in control notices or merger applications involving industrial banks is not likely to affect a substantial number of small entities among existing industrial banks.</w:t>
      </w:r>
    </w:p>
    <w:p w:rsidRPr="0084051A" w:rsidR="00702615" w:rsidP="00070B92" w:rsidRDefault="00702615">
      <w:pPr>
        <w:pStyle w:val="BodyTextIndent"/>
        <w:rPr>
          <w:szCs w:val="24"/>
        </w:rPr>
      </w:pPr>
    </w:p>
    <w:p w:rsidRPr="0084051A" w:rsidR="00274C31" w:rsidP="00274C31" w:rsidRDefault="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Consequences to the Federal program if the collection were conducted less frequently:</w:t>
      </w:r>
    </w:p>
    <w:p w:rsidRPr="0084051A" w:rsidR="005B6ADB" w:rsidP="005375A8" w:rsidRDefault="005B6ADB">
      <w:pPr>
        <w:rPr>
          <w:rFonts w:ascii="Times New Roman" w:hAnsi="Times New Roman"/>
          <w:szCs w:val="24"/>
        </w:rPr>
      </w:pPr>
    </w:p>
    <w:p w:rsidRPr="0084051A" w:rsidR="00FE2F13" w:rsidP="00274C31" w:rsidRDefault="00953166">
      <w:pPr>
        <w:pStyle w:val="BodyTextIndent"/>
        <w:ind w:left="1080"/>
        <w:rPr>
          <w:szCs w:val="24"/>
        </w:rPr>
      </w:pPr>
      <w:r>
        <w:t xml:space="preserve">Given the continuing evolution of the industrial bank charter, the utility of codifying certain supervisory requirements for industrial banks, the nature of entities interested in de novo industrial banks, the statutory changes enacted in the Dodd Frank Wall Street Reform and Consumer Protection Act (Dodd-Frank Act) that clearly address the source of financial strength obligations of any company that controls an industrial bank, as well as the legitimate considerations raised by interested parties, the FDIC believes a rule is appropriate to provide necessary transparency for market participants. Through the proposed rule, the FDIC would formalize its framework to supervise industrial banks and mitigate risk to the DIF that may otherwise be presented in the absence of Federal consolidated supervision of an industrial bank and </w:t>
      </w:r>
      <w:r>
        <w:lastRenderedPageBreak/>
        <w:t>its parent company</w:t>
      </w:r>
      <w:r w:rsidRPr="0084051A" w:rsidR="00FE2F13">
        <w:rPr>
          <w:szCs w:val="24"/>
        </w:rPr>
        <w:t xml:space="preserve">. </w:t>
      </w:r>
    </w:p>
    <w:p w:rsidRPr="0084051A" w:rsidR="005B6ADB" w:rsidP="005375A8" w:rsidRDefault="005B6ADB">
      <w:pPr>
        <w:pStyle w:val="BodyTextIndent"/>
        <w:ind w:left="0" w:firstLine="720"/>
        <w:rPr>
          <w:szCs w:val="24"/>
        </w:rPr>
      </w:pPr>
    </w:p>
    <w:p w:rsidRPr="0084051A" w:rsidR="00274C31" w:rsidP="00274C31" w:rsidRDefault="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Special circumstances necessitating collection inconsistent with 5 CFR 1320.5(d)(2):</w:t>
      </w:r>
    </w:p>
    <w:p w:rsidRPr="0084051A" w:rsidR="005B6ADB" w:rsidP="005375A8" w:rsidRDefault="005B6ADB">
      <w:pPr>
        <w:rPr>
          <w:rFonts w:ascii="Times New Roman" w:hAnsi="Times New Roman"/>
          <w:szCs w:val="24"/>
        </w:rPr>
      </w:pPr>
    </w:p>
    <w:p w:rsidRPr="0084051A" w:rsidR="00274C31" w:rsidP="00274C31" w:rsidRDefault="00274C3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84051A">
        <w:rPr>
          <w:rFonts w:ascii="Times New Roman" w:hAnsi="Times New Roman"/>
          <w:szCs w:val="24"/>
        </w:rPr>
        <w:t>None. This information collection is conducted in accordance with the guidelines in 5 CFR 1320.5(d)(2).</w:t>
      </w:r>
    </w:p>
    <w:p w:rsidRPr="0084051A" w:rsidR="005B6ADB" w:rsidP="005375A8" w:rsidRDefault="005B6ADB">
      <w:pPr>
        <w:rPr>
          <w:rFonts w:ascii="Times New Roman" w:hAnsi="Times New Roman"/>
          <w:szCs w:val="24"/>
        </w:rPr>
      </w:pPr>
    </w:p>
    <w:p w:rsidRPr="0084051A" w:rsidR="00274C31" w:rsidP="00274C31" w:rsidRDefault="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Efforts to consult with persons outside the agency:</w:t>
      </w:r>
    </w:p>
    <w:p w:rsidRPr="0084051A" w:rsidR="005B6ADB" w:rsidP="005375A8" w:rsidRDefault="005B6ADB">
      <w:pPr>
        <w:rPr>
          <w:rFonts w:ascii="Times New Roman" w:hAnsi="Times New Roman"/>
          <w:szCs w:val="24"/>
        </w:rPr>
      </w:pPr>
    </w:p>
    <w:p w:rsidRPr="0084051A" w:rsidR="005B6ADB" w:rsidP="00274C31" w:rsidRDefault="00473580">
      <w:pPr>
        <w:pStyle w:val="BodyTextIndent"/>
        <w:ind w:left="1080"/>
        <w:rPr>
          <w:szCs w:val="24"/>
        </w:rPr>
      </w:pPr>
      <w:r w:rsidRPr="0084051A">
        <w:rPr>
          <w:szCs w:val="24"/>
        </w:rPr>
        <w:t xml:space="preserve">On </w:t>
      </w:r>
      <w:r w:rsidR="00A370F0">
        <w:rPr>
          <w:szCs w:val="24"/>
        </w:rPr>
        <w:t>March 31, 2020</w:t>
      </w:r>
      <w:r w:rsidRPr="0084051A">
        <w:rPr>
          <w:szCs w:val="24"/>
        </w:rPr>
        <w:t>, t</w:t>
      </w:r>
      <w:r w:rsidRPr="0084051A" w:rsidR="005B6ADB">
        <w:rPr>
          <w:szCs w:val="24"/>
        </w:rPr>
        <w:t xml:space="preserve">he FDIC </w:t>
      </w:r>
      <w:r w:rsidRPr="0084051A">
        <w:rPr>
          <w:szCs w:val="24"/>
        </w:rPr>
        <w:t>has issued a N</w:t>
      </w:r>
      <w:r w:rsidRPr="0084051A" w:rsidR="005B6ADB">
        <w:rPr>
          <w:szCs w:val="24"/>
        </w:rPr>
        <w:t xml:space="preserve">otice of Proposed Rulemaking in the Federal Register </w:t>
      </w:r>
      <w:r w:rsidRPr="0084051A">
        <w:rPr>
          <w:szCs w:val="24"/>
        </w:rPr>
        <w:t>(</w:t>
      </w:r>
      <w:r w:rsidR="00A370F0">
        <w:rPr>
          <w:szCs w:val="24"/>
        </w:rPr>
        <w:t>85 FR 17771</w:t>
      </w:r>
      <w:r w:rsidRPr="0084051A">
        <w:rPr>
          <w:szCs w:val="24"/>
        </w:rPr>
        <w:t xml:space="preserve">) </w:t>
      </w:r>
      <w:r w:rsidRPr="0084051A" w:rsidR="005B6ADB">
        <w:rPr>
          <w:szCs w:val="24"/>
        </w:rPr>
        <w:t xml:space="preserve">seeking comment on </w:t>
      </w:r>
      <w:r w:rsidRPr="0084051A">
        <w:rPr>
          <w:szCs w:val="24"/>
        </w:rPr>
        <w:t xml:space="preserve">the reporting requirements under the PRA.  </w:t>
      </w:r>
      <w:r w:rsidRPr="0084051A" w:rsidR="00EB2629">
        <w:rPr>
          <w:szCs w:val="24"/>
        </w:rPr>
        <w:t xml:space="preserve">The FDIC </w:t>
      </w:r>
      <w:r w:rsidRPr="0084051A">
        <w:rPr>
          <w:szCs w:val="24"/>
        </w:rPr>
        <w:t>will consider any received during the comment when finalizing the Rule</w:t>
      </w:r>
      <w:r w:rsidRPr="0084051A" w:rsidR="00EB2629">
        <w:rPr>
          <w:szCs w:val="24"/>
        </w:rPr>
        <w:t>.</w:t>
      </w:r>
    </w:p>
    <w:p w:rsidRPr="0084051A" w:rsidR="005B6ADB" w:rsidP="005375A8" w:rsidRDefault="005B6ADB">
      <w:pPr>
        <w:ind w:left="1440"/>
        <w:rPr>
          <w:rFonts w:ascii="Times New Roman" w:hAnsi="Times New Roman"/>
          <w:szCs w:val="24"/>
        </w:rPr>
      </w:pPr>
    </w:p>
    <w:p w:rsidRPr="0084051A" w:rsidR="00274C31" w:rsidP="00274C31" w:rsidRDefault="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Payment or gift to respondents:</w:t>
      </w:r>
    </w:p>
    <w:p w:rsidRPr="0084051A" w:rsidR="005B6ADB" w:rsidP="005375A8" w:rsidRDefault="005B6ADB">
      <w:pPr>
        <w:rPr>
          <w:rFonts w:ascii="Times New Roman" w:hAnsi="Times New Roman"/>
          <w:szCs w:val="24"/>
        </w:rPr>
      </w:pPr>
    </w:p>
    <w:p w:rsidRPr="0084051A" w:rsidR="005B6ADB" w:rsidP="00274C31" w:rsidRDefault="00274C31">
      <w:pPr>
        <w:ind w:left="360" w:firstLine="720"/>
        <w:rPr>
          <w:rFonts w:ascii="Times New Roman" w:hAnsi="Times New Roman"/>
          <w:szCs w:val="24"/>
        </w:rPr>
      </w:pPr>
      <w:r w:rsidRPr="0084051A">
        <w:rPr>
          <w:rFonts w:ascii="Times New Roman" w:hAnsi="Times New Roman"/>
          <w:szCs w:val="24"/>
        </w:rPr>
        <w:t>None</w:t>
      </w:r>
      <w:r w:rsidRPr="0084051A" w:rsidR="005B6ADB">
        <w:rPr>
          <w:rFonts w:ascii="Times New Roman" w:hAnsi="Times New Roman"/>
          <w:szCs w:val="24"/>
        </w:rPr>
        <w:t>.</w:t>
      </w:r>
    </w:p>
    <w:p w:rsidRPr="0084051A" w:rsidR="005B6ADB" w:rsidP="005375A8" w:rsidRDefault="005B6ADB">
      <w:pPr>
        <w:rPr>
          <w:rFonts w:ascii="Times New Roman" w:hAnsi="Times New Roman"/>
          <w:szCs w:val="24"/>
        </w:rPr>
      </w:pPr>
    </w:p>
    <w:p w:rsidRPr="0084051A" w:rsidR="00473580" w:rsidP="00274C31" w:rsidRDefault="00473580">
      <w:pPr>
        <w:pStyle w:val="ListParagraph"/>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Any assurance of confidentiality:</w:t>
      </w:r>
      <w:r w:rsidRPr="0084051A">
        <w:rPr>
          <w:rFonts w:ascii="Times New Roman" w:hAnsi="Times New Roman"/>
          <w:szCs w:val="24"/>
        </w:rPr>
        <w:tab/>
      </w:r>
    </w:p>
    <w:p w:rsidRPr="0084051A" w:rsidR="00473580" w:rsidP="00473580" w:rsidRDefault="0047358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473580" w:rsidP="00274C31" w:rsidRDefault="0047358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84051A">
        <w:rPr>
          <w:rFonts w:ascii="Times New Roman" w:hAnsi="Times New Roman"/>
          <w:szCs w:val="24"/>
        </w:rPr>
        <w:t>Information collected is kept private to the extent allowed by law. All required records are subject to the confidentiality requirements of the Privacy Act.  In addition, any information deemed to be of a confidential nature is exempt from public disclosure in accordance with the provisions of the Freedom of Information Act (5 U.S.C. 552).</w:t>
      </w:r>
    </w:p>
    <w:p w:rsidRPr="0084051A" w:rsidR="00EB2629" w:rsidP="00473580" w:rsidRDefault="00EB2629">
      <w:pPr>
        <w:ind w:left="840" w:hanging="120"/>
        <w:rPr>
          <w:rFonts w:ascii="Times New Roman" w:hAnsi="Times New Roman"/>
          <w:szCs w:val="24"/>
        </w:rPr>
      </w:pPr>
    </w:p>
    <w:p w:rsidRPr="0084051A" w:rsidR="00274C31" w:rsidP="00274C31" w:rsidRDefault="00274C31">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Justification for questions of a sensitive nature:</w:t>
      </w:r>
    </w:p>
    <w:p w:rsidRPr="0084051A" w:rsidR="005B6ADB" w:rsidP="005375A8" w:rsidRDefault="005B6ADB">
      <w:pPr>
        <w:rPr>
          <w:rFonts w:ascii="Times New Roman" w:hAnsi="Times New Roman"/>
          <w:szCs w:val="24"/>
        </w:rPr>
      </w:pPr>
    </w:p>
    <w:p w:rsidRPr="0084051A" w:rsidR="00274C31" w:rsidP="00274C31" w:rsidRDefault="00274C31">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84051A">
        <w:rPr>
          <w:rFonts w:ascii="Times New Roman" w:hAnsi="Times New Roman"/>
          <w:szCs w:val="24"/>
        </w:rPr>
        <w:t>No questions of a sensitive nature are included in the collection.</w:t>
      </w:r>
    </w:p>
    <w:p w:rsidRPr="0084051A" w:rsidR="005B6ADB" w:rsidP="002533DD" w:rsidRDefault="0074532A">
      <w:pPr>
        <w:widowControl/>
        <w:rPr>
          <w:rFonts w:ascii="Times New Roman" w:hAnsi="Times New Roman"/>
          <w:szCs w:val="24"/>
        </w:rPr>
      </w:pPr>
      <w:r w:rsidRPr="0084051A">
        <w:rPr>
          <w:rFonts w:ascii="Times New Roman" w:hAnsi="Times New Roman"/>
          <w:szCs w:val="24"/>
        </w:rPr>
        <w:br w:type="page"/>
      </w:r>
      <w:r w:rsidRPr="0084051A" w:rsidR="00274C31">
        <w:rPr>
          <w:rFonts w:ascii="Times New Roman" w:hAnsi="Times New Roman"/>
          <w:szCs w:val="24"/>
          <w:u w:val="single"/>
        </w:rPr>
        <w:lastRenderedPageBreak/>
        <w:t>Estimate of Hour Burden:</w:t>
      </w:r>
      <w:r w:rsidRPr="0084051A" w:rsidR="005B6ADB">
        <w:rPr>
          <w:rFonts w:ascii="Times New Roman" w:hAnsi="Times New Roman"/>
          <w:szCs w:val="24"/>
        </w:rPr>
        <w:tab/>
      </w:r>
    </w:p>
    <w:p w:rsidRPr="0084051A" w:rsidR="005B6ADB" w:rsidP="005375A8" w:rsidRDefault="005B6ADB">
      <w:pPr>
        <w:rPr>
          <w:rFonts w:ascii="Times New Roman" w:hAnsi="Times New Roman"/>
          <w:szCs w:val="24"/>
        </w:rPr>
      </w:pPr>
      <w:r w:rsidRPr="0084051A">
        <w:rPr>
          <w:rFonts w:ascii="Times New Roman" w:hAnsi="Times New Roman"/>
          <w:szCs w:val="24"/>
        </w:rPr>
        <w:tab/>
      </w:r>
    </w:p>
    <w:p w:rsidR="005C2F8B" w:rsidP="0074532A" w:rsidRDefault="005C2F8B">
      <w:pPr>
        <w:ind w:left="1080"/>
        <w:rPr>
          <w:rFonts w:ascii="Times New Roman" w:hAnsi="Times New Roman"/>
          <w:szCs w:val="24"/>
        </w:rPr>
      </w:pPr>
      <w:r w:rsidRPr="0084051A">
        <w:rPr>
          <w:rFonts w:ascii="Times New Roman" w:hAnsi="Times New Roman"/>
          <w:szCs w:val="24"/>
        </w:rPr>
        <w:t xml:space="preserve">The </w:t>
      </w:r>
      <w:r w:rsidRPr="0084051A" w:rsidR="002E6D2E">
        <w:rPr>
          <w:rFonts w:ascii="Times New Roman" w:hAnsi="Times New Roman"/>
          <w:szCs w:val="24"/>
        </w:rPr>
        <w:t xml:space="preserve">FDIC’s </w:t>
      </w:r>
      <w:r w:rsidRPr="0084051A">
        <w:rPr>
          <w:rFonts w:ascii="Times New Roman" w:hAnsi="Times New Roman"/>
          <w:szCs w:val="24"/>
        </w:rPr>
        <w:t xml:space="preserve">estimated burden for the respondents </w:t>
      </w:r>
      <w:r w:rsidRPr="0084051A" w:rsidR="0074532A">
        <w:rPr>
          <w:rFonts w:ascii="Times New Roman" w:hAnsi="Times New Roman"/>
          <w:szCs w:val="24"/>
        </w:rPr>
        <w:t>for complying with</w:t>
      </w:r>
      <w:r w:rsidRPr="0084051A">
        <w:rPr>
          <w:rFonts w:ascii="Times New Roman" w:hAnsi="Times New Roman"/>
          <w:szCs w:val="24"/>
        </w:rPr>
        <w:t xml:space="preserve"> the collection of </w:t>
      </w:r>
      <w:r w:rsidRPr="0084051A" w:rsidR="0074532A">
        <w:rPr>
          <w:rFonts w:ascii="Times New Roman" w:hAnsi="Times New Roman"/>
          <w:szCs w:val="24"/>
        </w:rPr>
        <w:t xml:space="preserve">  </w:t>
      </w:r>
      <w:r w:rsidRPr="0084051A">
        <w:rPr>
          <w:rFonts w:ascii="Times New Roman" w:hAnsi="Times New Roman"/>
          <w:szCs w:val="24"/>
        </w:rPr>
        <w:t xml:space="preserve">information is </w:t>
      </w:r>
      <w:r w:rsidR="00A370F0">
        <w:rPr>
          <w:rFonts w:ascii="Times New Roman" w:hAnsi="Times New Roman"/>
          <w:szCs w:val="24"/>
        </w:rPr>
        <w:t>457</w:t>
      </w:r>
      <w:r w:rsidRPr="0084051A">
        <w:rPr>
          <w:rFonts w:ascii="Times New Roman" w:hAnsi="Times New Roman"/>
          <w:szCs w:val="24"/>
        </w:rPr>
        <w:t xml:space="preserve"> hours. </w:t>
      </w:r>
    </w:p>
    <w:p w:rsidR="00A370F0" w:rsidP="00A370F0" w:rsidRDefault="00A370F0">
      <w:pPr>
        <w:rPr>
          <w:rFonts w:ascii="Times New Roman" w:hAnsi="Times New Roman"/>
          <w:szCs w:val="24"/>
        </w:rPr>
      </w:pPr>
    </w:p>
    <w:tbl>
      <w:tblPr>
        <w:tblW w:w="5275" w:type="pct"/>
        <w:jc w:val="center"/>
        <w:tblLayout w:type="fixed"/>
        <w:tblLook w:val="04A0" w:firstRow="1" w:lastRow="0" w:firstColumn="1" w:lastColumn="0" w:noHBand="0" w:noVBand="1"/>
      </w:tblPr>
      <w:tblGrid>
        <w:gridCol w:w="2404"/>
        <w:gridCol w:w="984"/>
        <w:gridCol w:w="1131"/>
        <w:gridCol w:w="1234"/>
        <w:gridCol w:w="1117"/>
        <w:gridCol w:w="996"/>
        <w:gridCol w:w="1020"/>
        <w:gridCol w:w="978"/>
      </w:tblGrid>
      <w:tr w:rsidRPr="000D5846" w:rsidR="00A370F0" w:rsidTr="00717B8B">
        <w:trPr>
          <w:trHeight w:val="262"/>
          <w:jc w:val="center"/>
        </w:trPr>
        <w:tc>
          <w:tcPr>
            <w:tcW w:w="9104" w:type="dxa"/>
            <w:gridSpan w:val="8"/>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b/>
                <w:bCs/>
                <w:color w:val="000000"/>
                <w:sz w:val="16"/>
                <w:szCs w:val="16"/>
              </w:rPr>
            </w:pPr>
            <w:r w:rsidRPr="000D5846">
              <w:rPr>
                <w:rFonts w:ascii="Times New Roman" w:hAnsi="Times New Roman"/>
                <w:b/>
                <w:bCs/>
                <w:color w:val="000000"/>
                <w:sz w:val="16"/>
                <w:szCs w:val="16"/>
              </w:rPr>
              <w:t>Summary of Annual Burden and Internal Cost</w:t>
            </w:r>
          </w:p>
        </w:tc>
      </w:tr>
      <w:tr w:rsidRPr="000D5846" w:rsidR="00A370F0" w:rsidTr="00717B8B">
        <w:trPr>
          <w:trHeight w:val="559"/>
          <w:jc w:val="center"/>
        </w:trPr>
        <w:tc>
          <w:tcPr>
            <w:tcW w:w="2219" w:type="dxa"/>
            <w:tcBorders>
              <w:top w:val="nil"/>
              <w:left w:val="single" w:color="auto" w:sz="4" w:space="0"/>
              <w:bottom w:val="single" w:color="auto" w:sz="4" w:space="0"/>
              <w:right w:val="single" w:color="auto" w:sz="4" w:space="0"/>
            </w:tcBorders>
            <w:shd w:val="clear" w:color="auto" w:fill="auto"/>
            <w:noWrap/>
            <w:vAlign w:val="bottom"/>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 </w:t>
            </w:r>
          </w:p>
        </w:tc>
        <w:tc>
          <w:tcPr>
            <w:tcW w:w="908"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Type of Burden</w:t>
            </w:r>
          </w:p>
        </w:tc>
        <w:tc>
          <w:tcPr>
            <w:tcW w:w="1044"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Obligation to Respond</w:t>
            </w:r>
          </w:p>
        </w:tc>
        <w:tc>
          <w:tcPr>
            <w:tcW w:w="113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Estimated Number of Respondents</w:t>
            </w:r>
          </w:p>
        </w:tc>
        <w:tc>
          <w:tcPr>
            <w:tcW w:w="103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Estimated Frequency of Responses</w:t>
            </w:r>
          </w:p>
        </w:tc>
        <w:tc>
          <w:tcPr>
            <w:tcW w:w="91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Estimated Time per Response</w:t>
            </w:r>
          </w:p>
        </w:tc>
        <w:tc>
          <w:tcPr>
            <w:tcW w:w="94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Frequency of Response</w:t>
            </w:r>
          </w:p>
        </w:tc>
        <w:tc>
          <w:tcPr>
            <w:tcW w:w="89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Total Annual Estimated Burden</w:t>
            </w:r>
          </w:p>
        </w:tc>
      </w:tr>
      <w:tr w:rsidRPr="000D5846" w:rsidR="00A370F0" w:rsidTr="00717B8B">
        <w:trPr>
          <w:trHeight w:val="186"/>
          <w:jc w:val="center"/>
        </w:trPr>
        <w:tc>
          <w:tcPr>
            <w:tcW w:w="2219" w:type="dxa"/>
            <w:tcBorders>
              <w:top w:val="nil"/>
              <w:left w:val="single" w:color="auto" w:sz="4" w:space="0"/>
              <w:bottom w:val="single" w:color="auto" w:sz="4" w:space="0"/>
              <w:right w:val="single" w:color="auto" w:sz="4" w:space="0"/>
            </w:tcBorders>
            <w:shd w:val="clear" w:color="auto" w:fill="auto"/>
            <w:vAlign w:val="center"/>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Initial listing of all of the company’s subsidiaries</w:t>
            </w:r>
          </w:p>
        </w:tc>
        <w:tc>
          <w:tcPr>
            <w:tcW w:w="908"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Reporting</w:t>
            </w:r>
          </w:p>
        </w:tc>
        <w:tc>
          <w:tcPr>
            <w:tcW w:w="1044"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Mandatory</w:t>
            </w:r>
          </w:p>
        </w:tc>
        <w:tc>
          <w:tcPr>
            <w:tcW w:w="113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p>
        </w:tc>
        <w:tc>
          <w:tcPr>
            <w:tcW w:w="103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1.00</w:t>
            </w:r>
          </w:p>
        </w:tc>
        <w:tc>
          <w:tcPr>
            <w:tcW w:w="91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4</w:t>
            </w:r>
          </w:p>
        </w:tc>
        <w:tc>
          <w:tcPr>
            <w:tcW w:w="94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One Time</w:t>
            </w:r>
          </w:p>
        </w:tc>
        <w:tc>
          <w:tcPr>
            <w:tcW w:w="89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16</w:t>
            </w:r>
          </w:p>
        </w:tc>
      </w:tr>
      <w:tr w:rsidRPr="000D5846" w:rsidR="00A370F0" w:rsidTr="00717B8B">
        <w:trPr>
          <w:trHeight w:val="373"/>
          <w:jc w:val="center"/>
        </w:trPr>
        <w:tc>
          <w:tcPr>
            <w:tcW w:w="2219" w:type="dxa"/>
            <w:tcBorders>
              <w:top w:val="nil"/>
              <w:left w:val="single" w:color="auto" w:sz="4" w:space="0"/>
              <w:bottom w:val="single" w:color="auto" w:sz="4" w:space="0"/>
              <w:right w:val="single" w:color="auto" w:sz="4" w:space="0"/>
            </w:tcBorders>
            <w:shd w:val="clear" w:color="auto" w:fill="auto"/>
            <w:vAlign w:val="center"/>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Annual update of listing of all of the company’s subsidiaries</w:t>
            </w:r>
          </w:p>
        </w:tc>
        <w:tc>
          <w:tcPr>
            <w:tcW w:w="908"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Reporting</w:t>
            </w:r>
          </w:p>
        </w:tc>
        <w:tc>
          <w:tcPr>
            <w:tcW w:w="1044"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Mandatory</w:t>
            </w:r>
          </w:p>
        </w:tc>
        <w:tc>
          <w:tcPr>
            <w:tcW w:w="113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p>
        </w:tc>
        <w:tc>
          <w:tcPr>
            <w:tcW w:w="103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1.00</w:t>
            </w:r>
          </w:p>
        </w:tc>
        <w:tc>
          <w:tcPr>
            <w:tcW w:w="91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p>
        </w:tc>
        <w:tc>
          <w:tcPr>
            <w:tcW w:w="94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Annual</w:t>
            </w:r>
          </w:p>
        </w:tc>
        <w:tc>
          <w:tcPr>
            <w:tcW w:w="89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16</w:t>
            </w:r>
          </w:p>
        </w:tc>
      </w:tr>
      <w:tr w:rsidRPr="000D5846" w:rsidR="00A370F0" w:rsidTr="00717B8B">
        <w:trPr>
          <w:trHeight w:val="559"/>
          <w:jc w:val="center"/>
        </w:trPr>
        <w:tc>
          <w:tcPr>
            <w:tcW w:w="2219" w:type="dxa"/>
            <w:tcBorders>
              <w:top w:val="nil"/>
              <w:left w:val="single" w:color="auto" w:sz="4" w:space="0"/>
              <w:bottom w:val="single" w:color="auto" w:sz="4" w:space="0"/>
              <w:right w:val="single" w:color="auto" w:sz="4" w:space="0"/>
            </w:tcBorders>
            <w:shd w:val="clear" w:color="auto" w:fill="auto"/>
            <w:vAlign w:val="center"/>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Annual report on the Covered Company and its subsidiaries, and such other reports as the FDIC may request</w:t>
            </w:r>
          </w:p>
        </w:tc>
        <w:tc>
          <w:tcPr>
            <w:tcW w:w="908"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Reporting</w:t>
            </w:r>
          </w:p>
        </w:tc>
        <w:tc>
          <w:tcPr>
            <w:tcW w:w="1044"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Mandatory</w:t>
            </w:r>
          </w:p>
        </w:tc>
        <w:tc>
          <w:tcPr>
            <w:tcW w:w="113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p>
        </w:tc>
        <w:tc>
          <w:tcPr>
            <w:tcW w:w="103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1.00</w:t>
            </w:r>
          </w:p>
        </w:tc>
        <w:tc>
          <w:tcPr>
            <w:tcW w:w="91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10</w:t>
            </w:r>
          </w:p>
        </w:tc>
        <w:tc>
          <w:tcPr>
            <w:tcW w:w="94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Annual</w:t>
            </w:r>
          </w:p>
        </w:tc>
        <w:tc>
          <w:tcPr>
            <w:tcW w:w="89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r w:rsidRPr="000D5846">
              <w:rPr>
                <w:rFonts w:ascii="Times New Roman" w:hAnsi="Times New Roman"/>
                <w:color w:val="000000"/>
                <w:sz w:val="16"/>
                <w:szCs w:val="16"/>
              </w:rPr>
              <w:t>0</w:t>
            </w:r>
          </w:p>
        </w:tc>
      </w:tr>
      <w:tr w:rsidRPr="000D5846" w:rsidR="00A370F0" w:rsidTr="00717B8B">
        <w:trPr>
          <w:trHeight w:val="373"/>
          <w:jc w:val="center"/>
        </w:trPr>
        <w:tc>
          <w:tcPr>
            <w:tcW w:w="2219" w:type="dxa"/>
            <w:tcBorders>
              <w:top w:val="nil"/>
              <w:left w:val="single" w:color="auto" w:sz="4" w:space="0"/>
              <w:bottom w:val="single" w:color="auto" w:sz="4" w:space="0"/>
              <w:right w:val="single" w:color="auto" w:sz="4" w:space="0"/>
            </w:tcBorders>
            <w:shd w:val="clear" w:color="auto" w:fill="auto"/>
            <w:vAlign w:val="center"/>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Maintain records to assess the risks to the industrial bank and to the DIF</w:t>
            </w:r>
          </w:p>
        </w:tc>
        <w:tc>
          <w:tcPr>
            <w:tcW w:w="908"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Recordkeeping</w:t>
            </w:r>
          </w:p>
        </w:tc>
        <w:tc>
          <w:tcPr>
            <w:tcW w:w="1044"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Mandatory</w:t>
            </w:r>
          </w:p>
        </w:tc>
        <w:tc>
          <w:tcPr>
            <w:tcW w:w="113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p>
        </w:tc>
        <w:tc>
          <w:tcPr>
            <w:tcW w:w="103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1.00</w:t>
            </w:r>
          </w:p>
        </w:tc>
        <w:tc>
          <w:tcPr>
            <w:tcW w:w="91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1</w:t>
            </w:r>
            <w:r w:rsidRPr="000D5846">
              <w:rPr>
                <w:rFonts w:ascii="Times New Roman" w:hAnsi="Times New Roman"/>
                <w:color w:val="000000"/>
                <w:sz w:val="16"/>
                <w:szCs w:val="16"/>
              </w:rPr>
              <w:t>0</w:t>
            </w:r>
          </w:p>
        </w:tc>
        <w:tc>
          <w:tcPr>
            <w:tcW w:w="94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Annual</w:t>
            </w:r>
          </w:p>
        </w:tc>
        <w:tc>
          <w:tcPr>
            <w:tcW w:w="89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w:t>
            </w:r>
            <w:r w:rsidRPr="000D5846">
              <w:rPr>
                <w:rFonts w:ascii="Times New Roman" w:hAnsi="Times New Roman"/>
                <w:color w:val="000000"/>
                <w:sz w:val="16"/>
                <w:szCs w:val="16"/>
              </w:rPr>
              <w:t>0</w:t>
            </w:r>
          </w:p>
        </w:tc>
      </w:tr>
      <w:tr w:rsidRPr="000D5846" w:rsidR="00A370F0" w:rsidTr="00717B8B">
        <w:trPr>
          <w:trHeight w:val="186"/>
          <w:jc w:val="center"/>
        </w:trPr>
        <w:tc>
          <w:tcPr>
            <w:tcW w:w="2219" w:type="dxa"/>
            <w:tcBorders>
              <w:top w:val="nil"/>
              <w:left w:val="single" w:color="auto" w:sz="4" w:space="0"/>
              <w:bottom w:val="single" w:color="auto" w:sz="4" w:space="0"/>
              <w:right w:val="single" w:color="auto" w:sz="4" w:space="0"/>
            </w:tcBorders>
            <w:shd w:val="clear" w:color="auto" w:fill="auto"/>
            <w:vAlign w:val="center"/>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 xml:space="preserve">Contingency Plan </w:t>
            </w:r>
          </w:p>
        </w:tc>
        <w:tc>
          <w:tcPr>
            <w:tcW w:w="908"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Reporting</w:t>
            </w:r>
          </w:p>
        </w:tc>
        <w:tc>
          <w:tcPr>
            <w:tcW w:w="1044"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Mandatory</w:t>
            </w:r>
          </w:p>
        </w:tc>
        <w:tc>
          <w:tcPr>
            <w:tcW w:w="113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1</w:t>
            </w:r>
          </w:p>
        </w:tc>
        <w:tc>
          <w:tcPr>
            <w:tcW w:w="103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1.00</w:t>
            </w:r>
          </w:p>
        </w:tc>
        <w:tc>
          <w:tcPr>
            <w:tcW w:w="91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345</w:t>
            </w:r>
          </w:p>
        </w:tc>
        <w:tc>
          <w:tcPr>
            <w:tcW w:w="941"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On Occasion</w:t>
            </w:r>
          </w:p>
        </w:tc>
        <w:tc>
          <w:tcPr>
            <w:tcW w:w="899" w:type="dxa"/>
            <w:tcBorders>
              <w:top w:val="nil"/>
              <w:left w:val="nil"/>
              <w:bottom w:val="single" w:color="auto" w:sz="4" w:space="0"/>
              <w:right w:val="single" w:color="auto" w:sz="4" w:space="0"/>
            </w:tcBorders>
            <w:shd w:val="clear" w:color="auto" w:fill="auto"/>
            <w:vAlign w:val="center"/>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345</w:t>
            </w:r>
          </w:p>
        </w:tc>
      </w:tr>
      <w:tr w:rsidRPr="000D5846" w:rsidR="00A370F0" w:rsidTr="00717B8B">
        <w:trPr>
          <w:trHeight w:val="186"/>
          <w:jc w:val="center"/>
        </w:trPr>
        <w:tc>
          <w:tcPr>
            <w:tcW w:w="2219" w:type="dxa"/>
            <w:tcBorders>
              <w:top w:val="nil"/>
              <w:left w:val="single" w:color="auto" w:sz="4" w:space="0"/>
              <w:bottom w:val="single" w:color="auto" w:sz="4" w:space="0"/>
              <w:right w:val="single" w:color="auto" w:sz="4" w:space="0"/>
            </w:tcBorders>
            <w:shd w:val="clear" w:color="auto" w:fill="auto"/>
            <w:vAlign w:val="bottom"/>
            <w:hideMark/>
          </w:tcPr>
          <w:p w:rsidRPr="000D5846" w:rsidR="00A370F0" w:rsidP="00717B8B" w:rsidRDefault="00A370F0">
            <w:pPr>
              <w:jc w:val="right"/>
              <w:rPr>
                <w:rFonts w:ascii="Times New Roman" w:hAnsi="Times New Roman"/>
                <w:b/>
                <w:bCs/>
                <w:color w:val="000000"/>
                <w:sz w:val="16"/>
                <w:szCs w:val="16"/>
              </w:rPr>
            </w:pPr>
            <w:r w:rsidRPr="000D5846">
              <w:rPr>
                <w:rFonts w:ascii="Times New Roman" w:hAnsi="Times New Roman"/>
                <w:b/>
                <w:bCs/>
                <w:color w:val="000000"/>
                <w:sz w:val="16"/>
                <w:szCs w:val="16"/>
              </w:rPr>
              <w:t>TOTAL HOURLY BURDEN</w:t>
            </w:r>
          </w:p>
        </w:tc>
        <w:tc>
          <w:tcPr>
            <w:tcW w:w="908" w:type="dxa"/>
            <w:tcBorders>
              <w:top w:val="nil"/>
              <w:left w:val="nil"/>
              <w:bottom w:val="single" w:color="auto" w:sz="4" w:space="0"/>
              <w:right w:val="single" w:color="auto" w:sz="4" w:space="0"/>
            </w:tcBorders>
            <w:shd w:val="clear" w:color="auto" w:fill="auto"/>
            <w:vAlign w:val="bottom"/>
            <w:hideMark/>
          </w:tcPr>
          <w:p w:rsidRPr="000D5846" w:rsidR="00A370F0" w:rsidP="00717B8B" w:rsidRDefault="00A370F0">
            <w:pPr>
              <w:rPr>
                <w:rFonts w:ascii="Times New Roman" w:hAnsi="Times New Roman"/>
                <w:color w:val="000000"/>
                <w:sz w:val="16"/>
                <w:szCs w:val="16"/>
              </w:rPr>
            </w:pPr>
            <w:r w:rsidRPr="000D5846">
              <w:rPr>
                <w:rFonts w:ascii="Times New Roman" w:hAnsi="Times New Roman"/>
                <w:color w:val="000000"/>
                <w:sz w:val="16"/>
                <w:szCs w:val="16"/>
              </w:rPr>
              <w:t> </w:t>
            </w:r>
          </w:p>
        </w:tc>
        <w:tc>
          <w:tcPr>
            <w:tcW w:w="1044" w:type="dxa"/>
            <w:tcBorders>
              <w:top w:val="nil"/>
              <w:left w:val="nil"/>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 </w:t>
            </w:r>
          </w:p>
        </w:tc>
        <w:tc>
          <w:tcPr>
            <w:tcW w:w="1139" w:type="dxa"/>
            <w:tcBorders>
              <w:top w:val="nil"/>
              <w:left w:val="nil"/>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 </w:t>
            </w:r>
          </w:p>
        </w:tc>
        <w:tc>
          <w:tcPr>
            <w:tcW w:w="1031" w:type="dxa"/>
            <w:tcBorders>
              <w:top w:val="nil"/>
              <w:left w:val="nil"/>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 </w:t>
            </w:r>
          </w:p>
        </w:tc>
        <w:tc>
          <w:tcPr>
            <w:tcW w:w="941" w:type="dxa"/>
            <w:tcBorders>
              <w:top w:val="nil"/>
              <w:left w:val="nil"/>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color w:val="000000"/>
                <w:sz w:val="16"/>
                <w:szCs w:val="16"/>
              </w:rPr>
            </w:pPr>
            <w:r w:rsidRPr="000D5846">
              <w:rPr>
                <w:rFonts w:ascii="Times New Roman" w:hAnsi="Times New Roman"/>
                <w:color w:val="000000"/>
                <w:sz w:val="16"/>
                <w:szCs w:val="16"/>
              </w:rPr>
              <w:t> </w:t>
            </w:r>
          </w:p>
        </w:tc>
        <w:tc>
          <w:tcPr>
            <w:tcW w:w="899" w:type="dxa"/>
            <w:tcBorders>
              <w:top w:val="nil"/>
              <w:left w:val="nil"/>
              <w:bottom w:val="single" w:color="auto" w:sz="4" w:space="0"/>
              <w:right w:val="single" w:color="auto" w:sz="4" w:space="0"/>
            </w:tcBorders>
            <w:shd w:val="clear" w:color="auto" w:fill="auto"/>
            <w:noWrap/>
            <w:vAlign w:val="bottom"/>
            <w:hideMark/>
          </w:tcPr>
          <w:p w:rsidRPr="000D5846" w:rsidR="00A370F0" w:rsidP="00717B8B" w:rsidRDefault="00A370F0">
            <w:pPr>
              <w:jc w:val="center"/>
              <w:rPr>
                <w:rFonts w:ascii="Times New Roman" w:hAnsi="Times New Roman"/>
                <w:color w:val="000000"/>
                <w:sz w:val="16"/>
                <w:szCs w:val="16"/>
              </w:rPr>
            </w:pPr>
            <w:r>
              <w:rPr>
                <w:rFonts w:ascii="Times New Roman" w:hAnsi="Times New Roman"/>
                <w:color w:val="000000"/>
                <w:sz w:val="16"/>
                <w:szCs w:val="16"/>
              </w:rPr>
              <w:t>457</w:t>
            </w:r>
            <w:r w:rsidRPr="000D5846">
              <w:rPr>
                <w:rFonts w:ascii="Times New Roman" w:hAnsi="Times New Roman"/>
                <w:color w:val="000000"/>
                <w:sz w:val="16"/>
                <w:szCs w:val="16"/>
              </w:rPr>
              <w:t xml:space="preserve"> hours</w:t>
            </w:r>
          </w:p>
        </w:tc>
      </w:tr>
    </w:tbl>
    <w:p w:rsidR="00A370F0" w:rsidP="00A370F0" w:rsidRDefault="00A370F0">
      <w:pPr>
        <w:rPr>
          <w:rFonts w:ascii="Times New Roman" w:hAnsi="Times New Roman"/>
          <w:szCs w:val="24"/>
        </w:rPr>
      </w:pPr>
    </w:p>
    <w:p w:rsidRPr="0084051A" w:rsidR="00A370F0" w:rsidP="00A370F0" w:rsidRDefault="00A370F0">
      <w:pPr>
        <w:jc w:val="center"/>
        <w:rPr>
          <w:rFonts w:ascii="Times New Roman" w:hAnsi="Times New Roman"/>
          <w:szCs w:val="24"/>
        </w:rPr>
      </w:pPr>
      <w:r>
        <w:rPr>
          <w:rFonts w:ascii="Times New Roman" w:hAnsi="Times New Roman"/>
          <w:szCs w:val="24"/>
        </w:rPr>
        <w:t>Estimated hourly cost is 457 hours x $94.15</w:t>
      </w:r>
      <w:bookmarkStart w:name="_GoBack" w:id="0"/>
      <w:bookmarkEnd w:id="0"/>
      <w:r>
        <w:rPr>
          <w:rFonts w:ascii="Times New Roman" w:hAnsi="Times New Roman"/>
          <w:szCs w:val="24"/>
        </w:rPr>
        <w:t xml:space="preserve"> = $43,026.55.</w:t>
      </w:r>
    </w:p>
    <w:p w:rsidRPr="0084051A" w:rsidR="005C2F8B" w:rsidP="0074532A" w:rsidRDefault="005C2F8B">
      <w:pPr>
        <w:rPr>
          <w:rFonts w:ascii="Times New Roman" w:hAnsi="Times New Roman"/>
          <w:szCs w:val="24"/>
        </w:rPr>
      </w:pPr>
    </w:p>
    <w:p w:rsidRPr="0084051A" w:rsidR="00274C31" w:rsidP="00274C31" w:rsidRDefault="00274C31">
      <w:pPr>
        <w:numPr>
          <w:ilvl w:val="1"/>
          <w:numId w:val="4"/>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Estimate of Start-up Costs to Respondents:</w:t>
      </w:r>
    </w:p>
    <w:p w:rsidRPr="0084051A" w:rsidR="00274C31" w:rsidP="00274C31" w:rsidRDefault="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274C31" w:rsidP="00274C31" w:rsidRDefault="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84051A">
        <w:rPr>
          <w:rFonts w:ascii="Times New Roman" w:hAnsi="Times New Roman"/>
          <w:szCs w:val="24"/>
        </w:rPr>
        <w:t>None.</w:t>
      </w:r>
    </w:p>
    <w:p w:rsidRPr="0084051A" w:rsidR="00274C31" w:rsidP="00274C31" w:rsidRDefault="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274C31" w:rsidP="00274C31" w:rsidRDefault="00274C31">
      <w:pPr>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napToGrid/>
          <w:szCs w:val="24"/>
          <w:u w:val="single"/>
        </w:rPr>
        <w:t>Estimate of annualized costs to the government:</w:t>
      </w:r>
    </w:p>
    <w:p w:rsidRPr="0084051A" w:rsidR="00274C31" w:rsidP="00274C31" w:rsidRDefault="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Pr="0084051A" w:rsidR="00274C31" w:rsidP="00274C31" w:rsidRDefault="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84051A">
        <w:rPr>
          <w:rFonts w:ascii="Times New Roman" w:hAnsi="Times New Roman"/>
          <w:szCs w:val="24"/>
        </w:rPr>
        <w:t>None.</w:t>
      </w:r>
    </w:p>
    <w:p w:rsidRPr="0084051A" w:rsidR="00430992" w:rsidP="0074532A" w:rsidRDefault="005B6ADB">
      <w:pPr>
        <w:outlineLvl w:val="0"/>
        <w:rPr>
          <w:rFonts w:ascii="Times New Roman" w:hAnsi="Times New Roman"/>
          <w:szCs w:val="24"/>
        </w:rPr>
      </w:pPr>
      <w:r w:rsidRPr="0084051A">
        <w:rPr>
          <w:rFonts w:ascii="Times New Roman" w:hAnsi="Times New Roman"/>
          <w:szCs w:val="24"/>
        </w:rPr>
        <w:tab/>
      </w:r>
    </w:p>
    <w:p w:rsidRPr="0084051A" w:rsidR="00B26E0C" w:rsidP="00B26E0C" w:rsidRDefault="00B26E0C">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napToGrid/>
          <w:szCs w:val="24"/>
          <w:u w:val="single"/>
        </w:rPr>
        <w:t>Analysis of change in burden:</w:t>
      </w:r>
      <w:r w:rsidRPr="0084051A">
        <w:rPr>
          <w:rFonts w:ascii="Times New Roman" w:hAnsi="Times New Roman"/>
          <w:szCs w:val="24"/>
        </w:rPr>
        <w:tab/>
      </w:r>
    </w:p>
    <w:p w:rsidRPr="0084051A" w:rsidR="0074532A" w:rsidP="0074532A" w:rsidRDefault="0074532A">
      <w:pPr>
        <w:ind w:left="360" w:firstLine="720"/>
        <w:rPr>
          <w:rFonts w:ascii="Times New Roman" w:hAnsi="Times New Roman"/>
          <w:szCs w:val="24"/>
        </w:rPr>
      </w:pPr>
    </w:p>
    <w:p w:rsidRPr="0084051A" w:rsidR="005B6ADB" w:rsidP="0074532A" w:rsidRDefault="0074532A">
      <w:pPr>
        <w:ind w:left="1080"/>
        <w:rPr>
          <w:rFonts w:ascii="Times New Roman" w:hAnsi="Times New Roman"/>
          <w:szCs w:val="24"/>
        </w:rPr>
      </w:pPr>
      <w:r w:rsidRPr="0084051A">
        <w:rPr>
          <w:rFonts w:ascii="Times New Roman" w:hAnsi="Times New Roman"/>
          <w:szCs w:val="24"/>
        </w:rPr>
        <w:t xml:space="preserve">Since this is the first time the FDIC will be submitting an information collection in connection with the </w:t>
      </w:r>
      <w:r w:rsidR="00A370F0">
        <w:rPr>
          <w:rFonts w:ascii="Times New Roman" w:hAnsi="Times New Roman"/>
          <w:szCs w:val="24"/>
        </w:rPr>
        <w:t>proposed rule</w:t>
      </w:r>
      <w:r w:rsidRPr="0084051A">
        <w:rPr>
          <w:rFonts w:ascii="Times New Roman" w:hAnsi="Times New Roman"/>
          <w:szCs w:val="24"/>
        </w:rPr>
        <w:t xml:space="preserve">, </w:t>
      </w:r>
      <w:r w:rsidR="00A370F0">
        <w:rPr>
          <w:rFonts w:ascii="Times New Roman" w:hAnsi="Times New Roman"/>
          <w:szCs w:val="24"/>
        </w:rPr>
        <w:t>there is no change in burden</w:t>
      </w:r>
      <w:r w:rsidRPr="0084051A">
        <w:rPr>
          <w:rFonts w:ascii="Times New Roman" w:hAnsi="Times New Roman"/>
          <w:szCs w:val="24"/>
        </w:rPr>
        <w:t xml:space="preserve">.  </w:t>
      </w:r>
      <w:r w:rsidR="00A370F0">
        <w:rPr>
          <w:rFonts w:ascii="Times New Roman" w:hAnsi="Times New Roman"/>
          <w:szCs w:val="24"/>
        </w:rPr>
        <w:t>However, the burden associated with this new information collection is 457 hours.</w:t>
      </w:r>
    </w:p>
    <w:p w:rsidRPr="0084051A" w:rsidR="005B6ADB" w:rsidP="005375A8" w:rsidRDefault="005B6ADB">
      <w:pPr>
        <w:ind w:left="1440"/>
        <w:rPr>
          <w:rFonts w:ascii="Times New Roman" w:hAnsi="Times New Roman"/>
          <w:szCs w:val="24"/>
        </w:rPr>
      </w:pPr>
    </w:p>
    <w:p w:rsidRPr="0084051A" w:rsidR="0074532A" w:rsidP="0074532A" w:rsidRDefault="0074532A">
      <w:pPr>
        <w:numPr>
          <w:ilvl w:val="1"/>
          <w:numId w:val="4"/>
        </w:numPr>
        <w:tabs>
          <w:tab w:val="left" w:pos="1170"/>
        </w:tabs>
        <w:autoSpaceDE w:val="0"/>
        <w:autoSpaceDN w:val="0"/>
        <w:adjustRightInd w:val="0"/>
        <w:rPr>
          <w:rFonts w:ascii="Times New Roman" w:hAnsi="Times New Roman"/>
          <w:snapToGrid/>
          <w:szCs w:val="24"/>
        </w:rPr>
      </w:pPr>
      <w:r w:rsidRPr="0084051A">
        <w:rPr>
          <w:rFonts w:ascii="Times New Roman" w:hAnsi="Times New Roman"/>
          <w:szCs w:val="24"/>
          <w:u w:val="single"/>
        </w:rPr>
        <w:t>Information regarding collections whose results are planned to be published for statistical use:</w:t>
      </w: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84051A">
        <w:rPr>
          <w:rFonts w:ascii="Times New Roman" w:hAnsi="Times New Roman"/>
          <w:szCs w:val="24"/>
        </w:rPr>
        <w:t>The results of this collection will not be published for statistical use.</w:t>
      </w: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74532A" w:rsidP="0074532A" w:rsidRDefault="0074532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Display of Expiration Date</w:t>
      </w: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74532A" w:rsidP="0074532A" w:rsidRDefault="0074532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84051A">
        <w:rPr>
          <w:rFonts w:ascii="Times New Roman" w:hAnsi="Times New Roman"/>
          <w:szCs w:val="24"/>
        </w:rPr>
        <w:t>This information collection is contained in a regulation.</w:t>
      </w: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74532A" w:rsidP="0074532A" w:rsidRDefault="0074532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Exceptions to Certification Statement</w:t>
      </w: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84051A">
        <w:rPr>
          <w:rFonts w:ascii="Times New Roman" w:hAnsi="Times New Roman"/>
          <w:szCs w:val="24"/>
        </w:rPr>
        <w:lastRenderedPageBreak/>
        <w:t>None.</w:t>
      </w:r>
    </w:p>
    <w:p w:rsidRPr="0084051A" w:rsidR="0074532A" w:rsidP="0074532A" w:rsidRDefault="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Pr="0084051A" w:rsidR="0074532A" w:rsidP="0074532A" w:rsidRDefault="0074532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4051A">
        <w:rPr>
          <w:rFonts w:ascii="Times New Roman" w:hAnsi="Times New Roman"/>
          <w:szCs w:val="24"/>
          <w:u w:val="single"/>
        </w:rPr>
        <w:t>STATISTICAL METHODS</w:t>
      </w:r>
    </w:p>
    <w:p w:rsidRPr="0084051A" w:rsidR="0074532A" w:rsidP="0074532A" w:rsidRDefault="0074532A">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Pr="0084051A" w:rsidR="0074532A" w:rsidP="0074532A" w:rsidRDefault="0074532A">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84051A">
        <w:rPr>
          <w:rFonts w:ascii="Times New Roman" w:hAnsi="Times New Roman"/>
          <w:szCs w:val="24"/>
        </w:rPr>
        <w:t>Statistical methods are not employed in these collections.</w:t>
      </w:r>
    </w:p>
    <w:p w:rsidRPr="0084051A" w:rsidR="00C06831" w:rsidP="005375A8" w:rsidRDefault="00197B69">
      <w:pPr>
        <w:rPr>
          <w:rFonts w:ascii="Times New Roman" w:hAnsi="Times New Roman"/>
          <w:szCs w:val="24"/>
        </w:rPr>
      </w:pPr>
    </w:p>
    <w:sectPr w:rsidRPr="0084051A" w:rsidR="00C06831" w:rsidSect="007453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BAD" w:rsidRDefault="00EF4BAD" w:rsidP="0043292B">
      <w:r>
        <w:separator/>
      </w:r>
    </w:p>
  </w:endnote>
  <w:endnote w:type="continuationSeparator" w:id="0">
    <w:p w:rsidR="00EF4BAD" w:rsidRDefault="00EF4BAD" w:rsidP="0043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9D" w:rsidRDefault="00866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75688"/>
      <w:docPartObj>
        <w:docPartGallery w:val="Page Numbers (Bottom of Page)"/>
        <w:docPartUnique/>
      </w:docPartObj>
    </w:sdtPr>
    <w:sdtEndPr>
      <w:rPr>
        <w:rFonts w:ascii="Times New Roman" w:hAnsi="Times New Roman"/>
        <w:noProof/>
      </w:rPr>
    </w:sdtEndPr>
    <w:sdtContent>
      <w:p w:rsidR="0043292B" w:rsidRPr="0043292B" w:rsidRDefault="0043292B">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197B69">
          <w:rPr>
            <w:rFonts w:ascii="Times New Roman" w:hAnsi="Times New Roman"/>
            <w:noProof/>
          </w:rPr>
          <w:t>3</w:t>
        </w:r>
        <w:r w:rsidRPr="0043292B">
          <w:rPr>
            <w:rFonts w:ascii="Times New Roman" w:hAnsi="Times New Roman"/>
            <w:noProof/>
          </w:rPr>
          <w:fldChar w:fldCharType="end"/>
        </w:r>
      </w:p>
    </w:sdtContent>
  </w:sdt>
  <w:p w:rsidR="0043292B" w:rsidRDefault="00432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9D" w:rsidRDefault="00866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BAD" w:rsidRDefault="00EF4BAD" w:rsidP="0043292B">
      <w:r>
        <w:separator/>
      </w:r>
    </w:p>
  </w:footnote>
  <w:footnote w:type="continuationSeparator" w:id="0">
    <w:p w:rsidR="00EF4BAD" w:rsidRDefault="00EF4BAD" w:rsidP="0043292B">
      <w:r>
        <w:continuationSeparator/>
      </w:r>
    </w:p>
  </w:footnote>
  <w:footnote w:id="1">
    <w:p w:rsidR="0084051A" w:rsidRPr="0084051A" w:rsidRDefault="0084051A" w:rsidP="0084051A">
      <w:pPr>
        <w:pStyle w:val="FootnoteText"/>
        <w:tabs>
          <w:tab w:val="left" w:pos="8640"/>
        </w:tabs>
        <w:rPr>
          <w:rFonts w:ascii="Times New Roman" w:hAnsi="Times New Roman"/>
        </w:rPr>
      </w:pPr>
      <w:r w:rsidRPr="0084051A">
        <w:rPr>
          <w:rStyle w:val="FootnoteReference"/>
          <w:vertAlign w:val="superscript"/>
        </w:rPr>
        <w:footnoteRef/>
      </w:r>
      <w:r w:rsidRPr="0084051A">
        <w:rPr>
          <w:rFonts w:ascii="Times New Roman" w:hAnsi="Times New Roman"/>
        </w:rPr>
        <w:t xml:space="preserve"> 44 U.S.C. 3501 </w:t>
      </w:r>
      <w:r w:rsidRPr="0084051A">
        <w:rPr>
          <w:rFonts w:ascii="Times New Roman" w:hAnsi="Times New Roman"/>
          <w:i/>
        </w:rPr>
        <w:t>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9D" w:rsidRDefault="00866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D1" w:rsidRPr="000C08D1" w:rsidRDefault="000C08D1" w:rsidP="000C08D1">
    <w:pPr>
      <w:pStyle w:val="Header"/>
      <w:jc w:val="center"/>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9D" w:rsidRDefault="00866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A0830"/>
    <w:multiLevelType w:val="hybridMultilevel"/>
    <w:tmpl w:val="894E0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23510F"/>
    <w:multiLevelType w:val="hybridMultilevel"/>
    <w:tmpl w:val="F61E83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E601B9"/>
    <w:multiLevelType w:val="hybridMultilevel"/>
    <w:tmpl w:val="9E14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74D21"/>
    <w:multiLevelType w:val="hybridMultilevel"/>
    <w:tmpl w:val="3670C79C"/>
    <w:lvl w:ilvl="0" w:tplc="CFAC71A6">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A341C8"/>
    <w:multiLevelType w:val="hybridMultilevel"/>
    <w:tmpl w:val="C672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D1888"/>
    <w:multiLevelType w:val="hybridMultilevel"/>
    <w:tmpl w:val="C9AC73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36611"/>
    <w:multiLevelType w:val="hybridMultilevel"/>
    <w:tmpl w:val="ED9E4966"/>
    <w:lvl w:ilvl="0" w:tplc="7D744A88">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DB"/>
    <w:rsid w:val="00014D30"/>
    <w:rsid w:val="00016ADD"/>
    <w:rsid w:val="00070B92"/>
    <w:rsid w:val="00072165"/>
    <w:rsid w:val="000C08D1"/>
    <w:rsid w:val="000E3D3B"/>
    <w:rsid w:val="00140BE0"/>
    <w:rsid w:val="0016381D"/>
    <w:rsid w:val="00175B53"/>
    <w:rsid w:val="00197B69"/>
    <w:rsid w:val="001C5341"/>
    <w:rsid w:val="001E5D60"/>
    <w:rsid w:val="00243FB8"/>
    <w:rsid w:val="002533DD"/>
    <w:rsid w:val="00264A3B"/>
    <w:rsid w:val="0027282C"/>
    <w:rsid w:val="0027402E"/>
    <w:rsid w:val="00274C31"/>
    <w:rsid w:val="002A760B"/>
    <w:rsid w:val="002D28D0"/>
    <w:rsid w:val="002E6D2E"/>
    <w:rsid w:val="00316291"/>
    <w:rsid w:val="00351584"/>
    <w:rsid w:val="00355C17"/>
    <w:rsid w:val="004061A7"/>
    <w:rsid w:val="00430992"/>
    <w:rsid w:val="0043292B"/>
    <w:rsid w:val="00453D9F"/>
    <w:rsid w:val="00454E22"/>
    <w:rsid w:val="0046039D"/>
    <w:rsid w:val="00463EB6"/>
    <w:rsid w:val="00473580"/>
    <w:rsid w:val="00485697"/>
    <w:rsid w:val="005375A8"/>
    <w:rsid w:val="00580133"/>
    <w:rsid w:val="005A74B3"/>
    <w:rsid w:val="005B6ADB"/>
    <w:rsid w:val="005C2F8B"/>
    <w:rsid w:val="005E6DF2"/>
    <w:rsid w:val="006C3580"/>
    <w:rsid w:val="00702615"/>
    <w:rsid w:val="00710E54"/>
    <w:rsid w:val="00741321"/>
    <w:rsid w:val="0074532A"/>
    <w:rsid w:val="007932AB"/>
    <w:rsid w:val="0081291F"/>
    <w:rsid w:val="0084051A"/>
    <w:rsid w:val="00846FAE"/>
    <w:rsid w:val="00862321"/>
    <w:rsid w:val="0086669D"/>
    <w:rsid w:val="00890D39"/>
    <w:rsid w:val="008937B3"/>
    <w:rsid w:val="008C29DB"/>
    <w:rsid w:val="008D0DCF"/>
    <w:rsid w:val="008D51BB"/>
    <w:rsid w:val="00953166"/>
    <w:rsid w:val="0099214F"/>
    <w:rsid w:val="009F14EB"/>
    <w:rsid w:val="00A07788"/>
    <w:rsid w:val="00A23009"/>
    <w:rsid w:val="00A3239E"/>
    <w:rsid w:val="00A370F0"/>
    <w:rsid w:val="00A457EB"/>
    <w:rsid w:val="00A51807"/>
    <w:rsid w:val="00A5713E"/>
    <w:rsid w:val="00A858F0"/>
    <w:rsid w:val="00B26E0C"/>
    <w:rsid w:val="00B36B8D"/>
    <w:rsid w:val="00B41388"/>
    <w:rsid w:val="00BB14E4"/>
    <w:rsid w:val="00BB2BDF"/>
    <w:rsid w:val="00C00193"/>
    <w:rsid w:val="00C26713"/>
    <w:rsid w:val="00CB02E4"/>
    <w:rsid w:val="00D00566"/>
    <w:rsid w:val="00D02292"/>
    <w:rsid w:val="00D826FD"/>
    <w:rsid w:val="00E305AF"/>
    <w:rsid w:val="00E47A76"/>
    <w:rsid w:val="00E96FB5"/>
    <w:rsid w:val="00EB2629"/>
    <w:rsid w:val="00EB35A7"/>
    <w:rsid w:val="00EF4BAD"/>
    <w:rsid w:val="00F64E83"/>
    <w:rsid w:val="00FB45D5"/>
    <w:rsid w:val="00FE2F13"/>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DB"/>
    <w:pPr>
      <w:widowControl w:val="0"/>
    </w:pPr>
    <w:rPr>
      <w:rFonts w:ascii="Courier" w:eastAsia="Times New Roman" w:hAnsi="Courier"/>
      <w:snapToGrid w:val="0"/>
      <w:szCs w:val="20"/>
    </w:rPr>
  </w:style>
  <w:style w:type="paragraph" w:styleId="Heading1">
    <w:name w:val="heading 1"/>
    <w:basedOn w:val="Normal"/>
    <w:link w:val="Heading1Char"/>
    <w:uiPriority w:val="1"/>
    <w:qFormat/>
    <w:rsid w:val="00454E22"/>
    <w:pPr>
      <w:autoSpaceDE w:val="0"/>
      <w:autoSpaceDN w:val="0"/>
      <w:ind w:left="120"/>
      <w:outlineLvl w:val="0"/>
    </w:pPr>
    <w:rPr>
      <w:rFonts w:ascii="Times New Roman" w:hAnsi="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B41388"/>
    <w:rPr>
      <w:rFonts w:ascii="Times New Roman" w:hAnsi="Times New Roman"/>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Char,Fußnote, Char"/>
    <w:basedOn w:val="Normal"/>
    <w:link w:val="FootnoteTextChar"/>
    <w:uiPriority w:val="99"/>
    <w:qFormat/>
    <w:rsid w:val="00B41388"/>
    <w:rPr>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Char Char,Fußnote Char, Ch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E22"/>
    <w:pPr>
      <w:spacing w:after="120"/>
    </w:pPr>
  </w:style>
  <w:style w:type="character" w:customStyle="1" w:styleId="BodyTextChar">
    <w:name w:val="Body Text Char"/>
    <w:basedOn w:val="DefaultParagraphFont"/>
    <w:link w:val="BodyText"/>
    <w:uiPriority w:val="99"/>
    <w:rsid w:val="00454E22"/>
    <w:rPr>
      <w:rFonts w:ascii="Courier" w:eastAsia="Times New Roman" w:hAnsi="Courier"/>
      <w:snapToGrid w:val="0"/>
      <w:szCs w:val="20"/>
    </w:rPr>
  </w:style>
  <w:style w:type="character" w:customStyle="1" w:styleId="Heading1Char">
    <w:name w:val="Heading 1 Char"/>
    <w:basedOn w:val="DefaultParagraphFont"/>
    <w:link w:val="Heading1"/>
    <w:uiPriority w:val="1"/>
    <w:rsid w:val="00454E22"/>
    <w:rPr>
      <w:rFonts w:eastAsia="Times New Roman"/>
      <w:b/>
      <w:bCs/>
      <w:szCs w:val="24"/>
      <w:lang w:bidi="en-US"/>
    </w:rPr>
  </w:style>
  <w:style w:type="paragraph" w:styleId="ListParagraph">
    <w:name w:val="List Paragraph"/>
    <w:basedOn w:val="Normal"/>
    <w:uiPriority w:val="34"/>
    <w:qFormat/>
    <w:rsid w:val="00454E22"/>
    <w:pPr>
      <w:ind w:left="720"/>
      <w:contextualSpacing/>
    </w:pPr>
  </w:style>
  <w:style w:type="paragraph" w:customStyle="1" w:styleId="Default">
    <w:name w:val="Default"/>
    <w:rsid w:val="00070B92"/>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9C32-06F2-45B6-8748-7846FD28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2020-11-13T21:25:00Z</dcterms:created>
  <dcterms:modified xsi:type="dcterms:W3CDTF">2020-11-13T23:28:00Z</dcterms:modified>
</cp:coreProperties>
</file>