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33B5" w:rsidR="009D6B6D" w:rsidP="001D2EC1" w:rsidRDefault="001D2EC1" w14:paraId="26F26F35" w14:textId="45D3D28A">
      <w:pPr>
        <w:widowControl/>
        <w:tabs>
          <w:tab w:val="center" w:pos="5040"/>
        </w:tabs>
        <w:jc w:val="center"/>
        <w:rPr>
          <w:b/>
          <w:sz w:val="26"/>
          <w:szCs w:val="26"/>
        </w:rPr>
      </w:pPr>
      <w:r w:rsidRPr="006D10E1">
        <w:rPr>
          <w:b/>
          <w:sz w:val="26"/>
          <w:szCs w:val="26"/>
        </w:rPr>
        <w:t xml:space="preserve">Supporting Statement </w:t>
      </w:r>
      <w:proofErr w:type="gramStart"/>
      <w:r w:rsidRPr="006D10E1" w:rsidR="00F420FE">
        <w:rPr>
          <w:b/>
          <w:sz w:val="26"/>
          <w:szCs w:val="26"/>
        </w:rPr>
        <w:t>For</w:t>
      </w:r>
      <w:proofErr w:type="gramEnd"/>
      <w:r w:rsidR="00F420FE">
        <w:rPr>
          <w:b/>
          <w:bCs/>
          <w:sz w:val="26"/>
          <w:szCs w:val="26"/>
        </w:rPr>
        <w:t xml:space="preserve"> </w:t>
      </w:r>
      <w:r w:rsidRPr="00F133B5" w:rsidR="00891C89">
        <w:rPr>
          <w:b/>
          <w:bCs/>
          <w:sz w:val="26"/>
          <w:szCs w:val="26"/>
        </w:rPr>
        <w:t xml:space="preserve">FERC Form </w:t>
      </w:r>
      <w:r w:rsidRPr="00F133B5" w:rsidR="00A0462B">
        <w:rPr>
          <w:b/>
          <w:bCs/>
          <w:sz w:val="26"/>
          <w:szCs w:val="26"/>
        </w:rPr>
        <w:t>No</w:t>
      </w:r>
      <w:r w:rsidRPr="00F133B5" w:rsidR="00F420FE">
        <w:rPr>
          <w:b/>
          <w:bCs/>
          <w:sz w:val="26"/>
          <w:szCs w:val="26"/>
        </w:rPr>
        <w:t>. 556</w:t>
      </w:r>
      <w:r w:rsidR="00DA178A">
        <w:rPr>
          <w:b/>
          <w:sz w:val="26"/>
          <w:szCs w:val="26"/>
        </w:rPr>
        <w:t>A</w:t>
      </w:r>
      <w:r w:rsidR="00BA41BB">
        <w:rPr>
          <w:b/>
          <w:sz w:val="26"/>
          <w:szCs w:val="26"/>
        </w:rPr>
        <w:t>,</w:t>
      </w:r>
    </w:p>
    <w:p w:rsidRPr="00F133B5" w:rsidR="00271D15" w:rsidP="001D2EC1" w:rsidRDefault="00F420FE" w14:paraId="3DA10D4F" w14:textId="2D7C5A36">
      <w:pPr>
        <w:widowControl/>
        <w:tabs>
          <w:tab w:val="center" w:pos="5040"/>
        </w:tabs>
        <w:jc w:val="center"/>
        <w:rPr>
          <w:b/>
          <w:sz w:val="26"/>
          <w:szCs w:val="26"/>
          <w:vertAlign w:val="superscript"/>
        </w:rPr>
      </w:pPr>
      <w:r w:rsidRPr="00F133B5">
        <w:rPr>
          <w:b/>
          <w:sz w:val="26"/>
          <w:szCs w:val="26"/>
        </w:rPr>
        <w:t xml:space="preserve">As </w:t>
      </w:r>
      <w:r>
        <w:rPr>
          <w:b/>
          <w:sz w:val="26"/>
          <w:szCs w:val="26"/>
        </w:rPr>
        <w:t xml:space="preserve">Proposed </w:t>
      </w:r>
      <w:proofErr w:type="gramStart"/>
      <w:r w:rsidRPr="00F133B5">
        <w:rPr>
          <w:b/>
          <w:sz w:val="26"/>
          <w:szCs w:val="26"/>
        </w:rPr>
        <w:t>By</w:t>
      </w:r>
      <w:proofErr w:type="gramEnd"/>
      <w:r w:rsidRPr="00F133B5">
        <w:rPr>
          <w:b/>
          <w:sz w:val="26"/>
          <w:szCs w:val="26"/>
        </w:rPr>
        <w:t xml:space="preserve"> </w:t>
      </w:r>
      <w:r w:rsidRPr="00F133B5" w:rsidR="00DD1206">
        <w:rPr>
          <w:b/>
          <w:sz w:val="26"/>
          <w:szCs w:val="26"/>
        </w:rPr>
        <w:t>the</w:t>
      </w:r>
      <w:r w:rsidRPr="00F133B5">
        <w:rPr>
          <w:b/>
          <w:sz w:val="26"/>
          <w:szCs w:val="26"/>
        </w:rPr>
        <w:t xml:space="preserve"> </w:t>
      </w:r>
      <w:r w:rsidR="00A826EA">
        <w:rPr>
          <w:b/>
          <w:sz w:val="26"/>
          <w:szCs w:val="26"/>
        </w:rPr>
        <w:t xml:space="preserve">NOPR </w:t>
      </w:r>
      <w:r w:rsidRPr="00F133B5">
        <w:rPr>
          <w:b/>
          <w:sz w:val="26"/>
          <w:szCs w:val="26"/>
        </w:rPr>
        <w:t xml:space="preserve">In </w:t>
      </w:r>
      <w:r w:rsidRPr="00F133B5" w:rsidR="003A40B3">
        <w:rPr>
          <w:b/>
          <w:sz w:val="26"/>
          <w:szCs w:val="26"/>
        </w:rPr>
        <w:t>Docket No</w:t>
      </w:r>
      <w:r w:rsidR="00B97B58">
        <w:rPr>
          <w:b/>
          <w:sz w:val="26"/>
          <w:szCs w:val="26"/>
        </w:rPr>
        <w:t>s</w:t>
      </w:r>
      <w:r w:rsidRPr="00F133B5" w:rsidR="003A40B3">
        <w:rPr>
          <w:b/>
          <w:sz w:val="26"/>
          <w:szCs w:val="26"/>
        </w:rPr>
        <w:t>. RM</w:t>
      </w:r>
      <w:r w:rsidR="00A826EA">
        <w:rPr>
          <w:b/>
          <w:sz w:val="26"/>
          <w:szCs w:val="26"/>
        </w:rPr>
        <w:t>21-2</w:t>
      </w:r>
      <w:r w:rsidR="00AB75AC">
        <w:rPr>
          <w:b/>
          <w:sz w:val="26"/>
          <w:szCs w:val="26"/>
        </w:rPr>
        <w:t xml:space="preserve"> and RM20-20</w:t>
      </w:r>
    </w:p>
    <w:p w:rsidRPr="00F133B5" w:rsidR="009D6B6D" w:rsidP="001D2EC1" w:rsidRDefault="009D6B6D" w14:paraId="66886D5C" w14:textId="77777777">
      <w:pPr>
        <w:widowControl/>
        <w:tabs>
          <w:tab w:val="center" w:pos="5040"/>
        </w:tabs>
        <w:jc w:val="center"/>
        <w:rPr>
          <w:sz w:val="26"/>
          <w:szCs w:val="26"/>
        </w:rPr>
      </w:pPr>
    </w:p>
    <w:p w:rsidR="00E31794" w:rsidP="00A0462B" w:rsidRDefault="009D6B6D" w14:paraId="74643F8C" w14:textId="4426C138">
      <w:pPr>
        <w:rPr>
          <w:bCs/>
          <w:sz w:val="26"/>
          <w:szCs w:val="26"/>
        </w:rPr>
      </w:pPr>
      <w:r w:rsidRPr="00F133B5">
        <w:rPr>
          <w:bCs/>
          <w:sz w:val="26"/>
          <w:szCs w:val="26"/>
        </w:rPr>
        <w:t xml:space="preserve">The Federal Energy Regulatory Commission (Commission or FERC) requests that the Office of Management and Budget (OMB) review and approve </w:t>
      </w:r>
      <w:r w:rsidRPr="00F133B5" w:rsidR="00E42C8E">
        <w:rPr>
          <w:bCs/>
          <w:sz w:val="26"/>
          <w:szCs w:val="26"/>
        </w:rPr>
        <w:t xml:space="preserve">the </w:t>
      </w:r>
      <w:r w:rsidR="00AB75AC">
        <w:rPr>
          <w:bCs/>
          <w:sz w:val="26"/>
          <w:szCs w:val="26"/>
        </w:rPr>
        <w:t>FERC-556</w:t>
      </w:r>
      <w:r w:rsidR="00DA178A">
        <w:rPr>
          <w:bCs/>
          <w:sz w:val="26"/>
          <w:szCs w:val="26"/>
        </w:rPr>
        <w:t>A</w:t>
      </w:r>
      <w:r w:rsidR="00AB75AC">
        <w:rPr>
          <w:bCs/>
          <w:sz w:val="26"/>
          <w:szCs w:val="26"/>
        </w:rPr>
        <w:t xml:space="preserve"> </w:t>
      </w:r>
      <w:r w:rsidRPr="00F133B5" w:rsidR="00AB75AC">
        <w:rPr>
          <w:bCs/>
          <w:sz w:val="26"/>
          <w:szCs w:val="26"/>
        </w:rPr>
        <w:t>(Certification of Qualifying Facility (QF) Status for a Small Power Production or Cogeneration Facility</w:t>
      </w:r>
      <w:r w:rsidR="00DA178A">
        <w:rPr>
          <w:bCs/>
          <w:sz w:val="26"/>
          <w:szCs w:val="26"/>
        </w:rPr>
        <w:t>,</w:t>
      </w:r>
      <w:r w:rsidR="00BA41BB">
        <w:rPr>
          <w:bCs/>
          <w:sz w:val="26"/>
          <w:szCs w:val="26"/>
        </w:rPr>
        <w:t xml:space="preserve"> </w:t>
      </w:r>
      <w:r w:rsidR="00581D4B">
        <w:rPr>
          <w:bCs/>
          <w:sz w:val="26"/>
          <w:szCs w:val="26"/>
        </w:rPr>
        <w:t>[</w:t>
      </w:r>
      <w:r w:rsidR="00BA41BB">
        <w:rPr>
          <w:bCs/>
          <w:sz w:val="26"/>
          <w:szCs w:val="26"/>
        </w:rPr>
        <w:t>NOPR in RM21-2 &amp; RM20-20</w:t>
      </w:r>
      <w:r w:rsidR="00581D4B">
        <w:rPr>
          <w:bCs/>
          <w:sz w:val="26"/>
          <w:szCs w:val="26"/>
        </w:rPr>
        <w:t>]</w:t>
      </w:r>
      <w:r w:rsidRPr="00DA178A" w:rsidR="00DA178A">
        <w:rPr>
          <w:bCs/>
          <w:sz w:val="26"/>
          <w:szCs w:val="26"/>
        </w:rPr>
        <w:t>)</w:t>
      </w:r>
      <w:r w:rsidRPr="00F133B5" w:rsidR="00DA178A">
        <w:rPr>
          <w:bCs/>
          <w:sz w:val="26"/>
          <w:szCs w:val="26"/>
        </w:rPr>
        <w:t xml:space="preserve"> </w:t>
      </w:r>
      <w:r w:rsidRPr="00F133B5" w:rsidR="00E42C8E">
        <w:rPr>
          <w:bCs/>
          <w:sz w:val="26"/>
          <w:szCs w:val="26"/>
        </w:rPr>
        <w:t xml:space="preserve">as </w:t>
      </w:r>
      <w:r w:rsidR="00AB75AC">
        <w:rPr>
          <w:bCs/>
          <w:sz w:val="26"/>
          <w:szCs w:val="26"/>
        </w:rPr>
        <w:t xml:space="preserve">proposed </w:t>
      </w:r>
      <w:r w:rsidRPr="00F133B5" w:rsidR="00E42C8E">
        <w:rPr>
          <w:bCs/>
          <w:sz w:val="26"/>
          <w:szCs w:val="26"/>
        </w:rPr>
        <w:t xml:space="preserve">by the </w:t>
      </w:r>
      <w:r w:rsidR="00AB75AC">
        <w:rPr>
          <w:bCs/>
          <w:sz w:val="26"/>
          <w:szCs w:val="26"/>
        </w:rPr>
        <w:t>Notice of Proposed Rulemaking (NOPR)</w:t>
      </w:r>
      <w:r w:rsidR="00DD69C5">
        <w:rPr>
          <w:bCs/>
          <w:sz w:val="26"/>
          <w:szCs w:val="26"/>
        </w:rPr>
        <w:t xml:space="preserve"> </w:t>
      </w:r>
      <w:r w:rsidRPr="00F133B5" w:rsidR="00E42C8E">
        <w:rPr>
          <w:bCs/>
          <w:sz w:val="26"/>
          <w:szCs w:val="26"/>
        </w:rPr>
        <w:t>in Docket Nos. RM</w:t>
      </w:r>
      <w:r w:rsidR="00AB75AC">
        <w:rPr>
          <w:bCs/>
          <w:sz w:val="26"/>
          <w:szCs w:val="26"/>
        </w:rPr>
        <w:t>21-2 and RM20-20</w:t>
      </w:r>
      <w:r w:rsidR="000D11B2">
        <w:rPr>
          <w:bCs/>
          <w:sz w:val="26"/>
          <w:szCs w:val="26"/>
        </w:rPr>
        <w:t>.</w:t>
      </w:r>
      <w:r w:rsidR="00171477">
        <w:rPr>
          <w:bCs/>
          <w:sz w:val="26"/>
          <w:szCs w:val="26"/>
        </w:rPr>
        <w:t xml:space="preserve">  </w:t>
      </w:r>
    </w:p>
    <w:p w:rsidR="00BA41BB" w:rsidP="00A0462B" w:rsidRDefault="00BA41BB" w14:paraId="6C1EEE4F" w14:textId="54038131">
      <w:pPr>
        <w:rPr>
          <w:bCs/>
          <w:sz w:val="26"/>
          <w:szCs w:val="26"/>
        </w:rPr>
      </w:pPr>
    </w:p>
    <w:p w:rsidR="00BA41BB" w:rsidP="00BA41BB" w:rsidRDefault="00BA41BB" w14:paraId="5C7C77F8" w14:textId="77777777">
      <w:pPr>
        <w:ind w:left="720"/>
        <w:rPr>
          <w:bCs/>
          <w:sz w:val="26"/>
          <w:szCs w:val="26"/>
        </w:rPr>
      </w:pPr>
      <w:r w:rsidRPr="00FA046F">
        <w:rPr>
          <w:bCs/>
          <w:sz w:val="26"/>
          <w:szCs w:val="26"/>
        </w:rPr>
        <w:t>Th</w:t>
      </w:r>
      <w:r>
        <w:rPr>
          <w:bCs/>
          <w:sz w:val="26"/>
          <w:szCs w:val="26"/>
        </w:rPr>
        <w:t>e</w:t>
      </w:r>
      <w:r w:rsidRPr="00FA046F">
        <w:rPr>
          <w:bCs/>
          <w:sz w:val="26"/>
          <w:szCs w:val="26"/>
        </w:rPr>
        <w:t xml:space="preserve"> NOPR in Docket Nos. RM21-2 and RM20-20 affects the FERC Form No. 556 (OMB Control No. 1902-0075)</w:t>
      </w:r>
      <w:r>
        <w:rPr>
          <w:bCs/>
          <w:sz w:val="26"/>
          <w:szCs w:val="26"/>
        </w:rPr>
        <w:t>, as described in the NOPR</w:t>
      </w:r>
      <w:r w:rsidRPr="00FA046F">
        <w:rPr>
          <w:bCs/>
          <w:sz w:val="26"/>
          <w:szCs w:val="26"/>
        </w:rPr>
        <w:t>.  [FERC-556 is prescribed in 18 CFR Part 292 and 18 CFR 131.80 and has an OMB expiration date of 11/30/2022.]</w:t>
      </w:r>
    </w:p>
    <w:p w:rsidRPr="00FA046F" w:rsidR="00BA41BB" w:rsidP="00BA41BB" w:rsidRDefault="00BA41BB" w14:paraId="2E133A97" w14:textId="77777777">
      <w:pPr>
        <w:ind w:left="720"/>
        <w:rPr>
          <w:bCs/>
          <w:sz w:val="26"/>
          <w:szCs w:val="26"/>
        </w:rPr>
      </w:pPr>
    </w:p>
    <w:p w:rsidRPr="00F133B5" w:rsidR="00BA41BB" w:rsidP="00BA41BB" w:rsidRDefault="00BA41BB" w14:paraId="32BB7000" w14:textId="77F1AA2D">
      <w:pPr>
        <w:ind w:left="720"/>
        <w:rPr>
          <w:bCs/>
          <w:sz w:val="26"/>
          <w:szCs w:val="26"/>
        </w:rPr>
      </w:pPr>
      <w:r w:rsidRPr="00FA046F">
        <w:rPr>
          <w:bCs/>
          <w:sz w:val="26"/>
          <w:szCs w:val="26"/>
        </w:rPr>
        <w:t>As of 11/</w:t>
      </w:r>
      <w:r w:rsidR="00C761DB">
        <w:rPr>
          <w:bCs/>
          <w:sz w:val="26"/>
          <w:szCs w:val="26"/>
        </w:rPr>
        <w:t>19</w:t>
      </w:r>
      <w:r w:rsidRPr="00FA046F">
        <w:rPr>
          <w:bCs/>
          <w:sz w:val="26"/>
          <w:szCs w:val="26"/>
        </w:rPr>
        <w:t xml:space="preserve">/2020, packages for the unrelated Final Rule in </w:t>
      </w:r>
      <w:bookmarkStart w:name="_Hlk55491331" w:id="0"/>
      <w:r w:rsidRPr="00FA046F">
        <w:rPr>
          <w:bCs/>
          <w:sz w:val="26"/>
          <w:szCs w:val="26"/>
        </w:rPr>
        <w:t>Docket Nos. RM19-15 and AD16-16 affecting FERC-556 (ICR 202006-1902-004)</w:t>
      </w:r>
      <w:bookmarkEnd w:id="0"/>
      <w:r w:rsidRPr="00FA046F">
        <w:rPr>
          <w:bCs/>
          <w:sz w:val="26"/>
          <w:szCs w:val="26"/>
        </w:rPr>
        <w:t xml:space="preserve"> [and FERC-912 (ICR 202006-1902-003)</w:t>
      </w:r>
      <w:r>
        <w:rPr>
          <w:bCs/>
          <w:sz w:val="26"/>
          <w:szCs w:val="26"/>
        </w:rPr>
        <w:t>]</w:t>
      </w:r>
      <w:r w:rsidRPr="00FA046F">
        <w:rPr>
          <w:bCs/>
          <w:sz w:val="26"/>
          <w:szCs w:val="26"/>
        </w:rPr>
        <w:t xml:space="preserve"> are still pending OMB review.  Because OMB can only have one item per OMB Control No. pending review at a time, we are submitting this NOPR in Docket Nos. RM21-2 and RM20-20 under interim information collection no. FERC-556A (OMB Control No. 1902-0316) in order to submit it to OMB timely.</w:t>
      </w:r>
      <w:r>
        <w:rPr>
          <w:bCs/>
          <w:sz w:val="26"/>
          <w:szCs w:val="26"/>
        </w:rPr>
        <w:t xml:space="preserve">  Because the proposed components here in FERC-556A should otherwise be in FERC-556, information on FERC-556 is provided</w:t>
      </w:r>
      <w:r w:rsidR="00581D4B">
        <w:rPr>
          <w:bCs/>
          <w:sz w:val="26"/>
          <w:szCs w:val="26"/>
        </w:rPr>
        <w:t xml:space="preserve"> here</w:t>
      </w:r>
      <w:r>
        <w:rPr>
          <w:bCs/>
          <w:sz w:val="26"/>
          <w:szCs w:val="26"/>
        </w:rPr>
        <w:t xml:space="preserve"> as background.</w:t>
      </w:r>
    </w:p>
    <w:p w:rsidRPr="00F133B5" w:rsidR="0002051D" w:rsidP="001D2EC1" w:rsidRDefault="0002051D" w14:paraId="74D764A5" w14:textId="77777777">
      <w:pPr>
        <w:widowControl/>
        <w:rPr>
          <w:sz w:val="26"/>
          <w:szCs w:val="26"/>
        </w:rPr>
      </w:pPr>
    </w:p>
    <w:p w:rsidRPr="00F133B5" w:rsidR="009D6B6D" w:rsidP="0084228E" w:rsidRDefault="009D6B6D" w14:paraId="1B9A6C9E" w14:textId="7DDF3EE7">
      <w:pPr>
        <w:keepNext/>
        <w:widowControl/>
        <w:ind w:left="720" w:hanging="720"/>
        <w:rPr>
          <w:b/>
          <w:sz w:val="26"/>
          <w:szCs w:val="26"/>
        </w:rPr>
      </w:pPr>
      <w:r w:rsidRPr="00F133B5">
        <w:rPr>
          <w:b/>
          <w:sz w:val="26"/>
          <w:szCs w:val="26"/>
        </w:rPr>
        <w:t>1.</w:t>
      </w:r>
      <w:r w:rsidRPr="00F133B5">
        <w:rPr>
          <w:b/>
          <w:sz w:val="26"/>
          <w:szCs w:val="26"/>
        </w:rPr>
        <w:tab/>
        <w:t>CIRCUMSTANCES THAT MAKE THE COLLECTION OF INFORMATION NECESSARY</w:t>
      </w:r>
    </w:p>
    <w:p w:rsidRPr="00F133B5" w:rsidR="009D6B6D" w:rsidP="0084228E" w:rsidRDefault="009D6B6D" w14:paraId="0E45BCA6" w14:textId="77777777">
      <w:pPr>
        <w:keepNext/>
        <w:keepLines/>
        <w:widowControl/>
        <w:rPr>
          <w:b/>
          <w:sz w:val="26"/>
          <w:szCs w:val="26"/>
        </w:rPr>
      </w:pPr>
    </w:p>
    <w:p w:rsidRPr="00F133B5" w:rsidR="005267C7" w:rsidP="005267C7" w:rsidRDefault="00CA5A70" w14:paraId="51FCC61C" w14:textId="45A561C0">
      <w:pPr>
        <w:pStyle w:val="FERCparanumber"/>
        <w:numPr>
          <w:ilvl w:val="0"/>
          <w:numId w:val="0"/>
        </w:numPr>
        <w:rPr>
          <w:szCs w:val="26"/>
        </w:rPr>
      </w:pPr>
      <w:r w:rsidRPr="00F133B5">
        <w:rPr>
          <w:szCs w:val="26"/>
        </w:rPr>
        <w:t>The Public Utility Regulatory Policies Act of 1978 (</w:t>
      </w:r>
      <w:r w:rsidRPr="00F133B5" w:rsidR="00AC158D">
        <w:rPr>
          <w:szCs w:val="26"/>
        </w:rPr>
        <w:t>PURPA</w:t>
      </w:r>
      <w:r w:rsidRPr="00F133B5">
        <w:rPr>
          <w:szCs w:val="26"/>
        </w:rPr>
        <w:t>)</w:t>
      </w:r>
      <w:r w:rsidRPr="00F133B5">
        <w:rPr>
          <w:rStyle w:val="FootnoteReference"/>
          <w:szCs w:val="26"/>
          <w:vertAlign w:val="superscript"/>
        </w:rPr>
        <w:footnoteReference w:id="2"/>
      </w:r>
      <w:r w:rsidRPr="00F133B5" w:rsidR="00AC158D">
        <w:rPr>
          <w:szCs w:val="26"/>
        </w:rPr>
        <w:t xml:space="preserve"> w</w:t>
      </w:r>
      <w:r w:rsidRPr="00F133B5" w:rsidR="005267C7">
        <w:rPr>
          <w:szCs w:val="26"/>
        </w:rPr>
        <w:t xml:space="preserve">as enacted in 1978 as part of a package of legislative proposals intended to reduce the country’s dependence on oil and natural gas, which at the time were in short supply and subject to dramatic price increases.  PURPA sets forth a framework to encourage the development of alternative </w:t>
      </w:r>
      <w:r w:rsidRPr="00F133B5" w:rsidR="005267C7">
        <w:rPr>
          <w:szCs w:val="26"/>
        </w:rPr>
        <w:lastRenderedPageBreak/>
        <w:t xml:space="preserve">generation resources that do not rely on traditional fossil fuels (i.e., oil, natural gas and coal) and cogeneration facilities that make more efficient use of the heat produced from the fossil fuels that were then commonly used in the production of electricity.  </w:t>
      </w:r>
    </w:p>
    <w:p w:rsidRPr="00F133B5" w:rsidR="005267C7" w:rsidP="005267C7" w:rsidRDefault="005267C7" w14:paraId="21935DDB" w14:textId="77777777">
      <w:pPr>
        <w:pStyle w:val="FERCparanumber"/>
        <w:numPr>
          <w:ilvl w:val="0"/>
          <w:numId w:val="0"/>
        </w:numPr>
        <w:rPr>
          <w:szCs w:val="26"/>
        </w:rPr>
      </w:pPr>
    </w:p>
    <w:p w:rsidRPr="00F133B5" w:rsidR="005267C7" w:rsidP="005267C7" w:rsidRDefault="005267C7" w14:paraId="69490480" w14:textId="39C4C0F3">
      <w:pPr>
        <w:pStyle w:val="FERCparanumber"/>
        <w:numPr>
          <w:ilvl w:val="0"/>
          <w:numId w:val="0"/>
        </w:numPr>
        <w:rPr>
          <w:szCs w:val="26"/>
        </w:rPr>
      </w:pPr>
      <w:r w:rsidRPr="00F133B5">
        <w:rPr>
          <w:szCs w:val="26"/>
        </w:rPr>
        <w:t>To accomplish this goal, PURPA section 210(a) directs that the Commission “prescribe, and from time to time thereafter revise, such rules as [the Commission] determines necessary to encourage cogeneration and small power production,” including rules requiring electric utilities to offer to sell electricity to, and purchase electricity from, QFs.  PURPA section 210(f) require</w:t>
      </w:r>
      <w:r w:rsidR="00906F91">
        <w:rPr>
          <w:szCs w:val="26"/>
        </w:rPr>
        <w:t>s</w:t>
      </w:r>
      <w:r w:rsidRPr="00F133B5">
        <w:rPr>
          <w:szCs w:val="26"/>
        </w:rPr>
        <w:t xml:space="preserve"> each state regulatory authority and nonregulated electric utility (together, states) to implement the Commission’s rules.</w:t>
      </w:r>
    </w:p>
    <w:p w:rsidRPr="00F133B5" w:rsidR="005267C7" w:rsidP="005267C7" w:rsidRDefault="005267C7" w14:paraId="4E4BA427" w14:textId="77777777">
      <w:pPr>
        <w:pStyle w:val="FERCparanumber"/>
        <w:numPr>
          <w:ilvl w:val="0"/>
          <w:numId w:val="0"/>
        </w:numPr>
        <w:rPr>
          <w:szCs w:val="26"/>
        </w:rPr>
      </w:pPr>
    </w:p>
    <w:p w:rsidRPr="00F133B5" w:rsidR="005267C7" w:rsidP="000F32D3" w:rsidRDefault="005267C7" w14:paraId="4673F8EC" w14:textId="4F1B1594">
      <w:pPr>
        <w:pStyle w:val="FERCparanumber"/>
        <w:numPr>
          <w:ilvl w:val="0"/>
          <w:numId w:val="0"/>
        </w:numPr>
        <w:rPr>
          <w:szCs w:val="26"/>
        </w:rPr>
      </w:pPr>
      <w:r w:rsidRPr="00F133B5">
        <w:rPr>
          <w:szCs w:val="26"/>
        </w:rPr>
        <w:t xml:space="preserve">In 1980, the Commission issued Order Nos. 69 and 70, which promulgated the required rules that, with limited exceptions, remain in effect today.  </w:t>
      </w:r>
    </w:p>
    <w:p w:rsidRPr="00F133B5" w:rsidR="000F32D3" w:rsidP="00980E8E" w:rsidRDefault="000F32D3" w14:paraId="605E130B" w14:textId="77777777">
      <w:pPr>
        <w:pStyle w:val="FERCparanumber"/>
        <w:numPr>
          <w:ilvl w:val="0"/>
          <w:numId w:val="0"/>
        </w:numPr>
        <w:tabs>
          <w:tab w:val="left" w:pos="720"/>
          <w:tab w:val="left" w:pos="4860"/>
        </w:tabs>
        <w:rPr>
          <w:szCs w:val="26"/>
        </w:rPr>
      </w:pPr>
    </w:p>
    <w:p w:rsidRPr="00F133B5" w:rsidR="009D6B6D" w:rsidP="001D2EC1" w:rsidRDefault="009D6B6D" w14:paraId="23DCEA1D" w14:textId="19067B80">
      <w:pPr>
        <w:pStyle w:val="FERCparanumber"/>
        <w:numPr>
          <w:ilvl w:val="0"/>
          <w:numId w:val="7"/>
        </w:numPr>
        <w:tabs>
          <w:tab w:val="left" w:pos="720"/>
          <w:tab w:val="left" w:pos="4860"/>
        </w:tabs>
        <w:rPr>
          <w:szCs w:val="26"/>
        </w:rPr>
      </w:pPr>
      <w:r w:rsidRPr="00F133B5">
        <w:rPr>
          <w:b/>
          <w:szCs w:val="26"/>
        </w:rPr>
        <w:t>HOW, BY WHOM AND FOR WHAT P</w:t>
      </w:r>
      <w:r w:rsidRPr="00F133B5" w:rsidR="00980E8E">
        <w:rPr>
          <w:b/>
          <w:szCs w:val="26"/>
        </w:rPr>
        <w:t>URPOSE IS THE INFORMATION USED</w:t>
      </w:r>
      <w:r w:rsidRPr="00F133B5" w:rsidR="00C532F1">
        <w:rPr>
          <w:b/>
          <w:szCs w:val="26"/>
        </w:rPr>
        <w:t>,</w:t>
      </w:r>
      <w:r w:rsidRPr="00F133B5" w:rsidR="00980E8E">
        <w:rPr>
          <w:b/>
          <w:szCs w:val="26"/>
        </w:rPr>
        <w:t xml:space="preserve"> AND THE CONSEQUENCES OF NOT COLLECTING THE INFORMATION</w:t>
      </w:r>
    </w:p>
    <w:p w:rsidRPr="00F133B5" w:rsidR="00980E8E" w:rsidP="00980E8E" w:rsidRDefault="00980E8E" w14:paraId="6D0E161A" w14:textId="77777777">
      <w:pPr>
        <w:pStyle w:val="FERCparanumber"/>
        <w:numPr>
          <w:ilvl w:val="0"/>
          <w:numId w:val="0"/>
        </w:numPr>
        <w:tabs>
          <w:tab w:val="left" w:pos="720"/>
          <w:tab w:val="left" w:pos="4860"/>
        </w:tabs>
        <w:rPr>
          <w:b/>
          <w:szCs w:val="26"/>
        </w:rPr>
      </w:pPr>
    </w:p>
    <w:p w:rsidRPr="00F133B5" w:rsidR="00980E8E" w:rsidP="00980E8E" w:rsidRDefault="00980E8E" w14:paraId="5072CCCB" w14:textId="15AAB4A2">
      <w:pPr>
        <w:rPr>
          <w:sz w:val="26"/>
          <w:szCs w:val="26"/>
        </w:rPr>
      </w:pPr>
      <w:r w:rsidRPr="00F133B5">
        <w:rPr>
          <w:sz w:val="26"/>
          <w:szCs w:val="26"/>
        </w:rPr>
        <w:t>The info</w:t>
      </w:r>
      <w:r w:rsidRPr="00F133B5" w:rsidR="008A38B5">
        <w:rPr>
          <w:sz w:val="26"/>
          <w:szCs w:val="26"/>
        </w:rPr>
        <w:t>rmation collected from FERC Form</w:t>
      </w:r>
      <w:r w:rsidR="00B83455">
        <w:rPr>
          <w:sz w:val="26"/>
          <w:szCs w:val="26"/>
        </w:rPr>
        <w:t xml:space="preserve"> No.</w:t>
      </w:r>
      <w:r w:rsidRPr="00F133B5" w:rsidR="008A38B5">
        <w:rPr>
          <w:sz w:val="26"/>
          <w:szCs w:val="26"/>
        </w:rPr>
        <w:t xml:space="preserve"> </w:t>
      </w:r>
      <w:r w:rsidRPr="00F133B5">
        <w:rPr>
          <w:sz w:val="26"/>
          <w:szCs w:val="26"/>
        </w:rPr>
        <w:t xml:space="preserve">556 </w:t>
      </w:r>
      <w:r w:rsidRPr="00D12D9D" w:rsidR="00D12D9D">
        <w:rPr>
          <w:sz w:val="26"/>
          <w:szCs w:val="26"/>
        </w:rPr>
        <w:t>(and the proposed FERC-556A requirements, here)</w:t>
      </w:r>
      <w:r w:rsidR="00D12D9D">
        <w:rPr>
          <w:sz w:val="26"/>
          <w:szCs w:val="26"/>
        </w:rPr>
        <w:t xml:space="preserve"> </w:t>
      </w:r>
      <w:r w:rsidRPr="00F133B5">
        <w:rPr>
          <w:sz w:val="26"/>
          <w:szCs w:val="26"/>
        </w:rPr>
        <w:t>under 18 C</w:t>
      </w:r>
      <w:r w:rsidR="00B83455">
        <w:rPr>
          <w:sz w:val="26"/>
          <w:szCs w:val="26"/>
        </w:rPr>
        <w:t>.</w:t>
      </w:r>
      <w:r w:rsidRPr="00F133B5">
        <w:rPr>
          <w:sz w:val="26"/>
          <w:szCs w:val="26"/>
        </w:rPr>
        <w:t>F</w:t>
      </w:r>
      <w:r w:rsidR="00B83455">
        <w:rPr>
          <w:sz w:val="26"/>
          <w:szCs w:val="26"/>
        </w:rPr>
        <w:t>.</w:t>
      </w:r>
      <w:r w:rsidRPr="00F133B5">
        <w:rPr>
          <w:sz w:val="26"/>
          <w:szCs w:val="26"/>
        </w:rPr>
        <w:t>R</w:t>
      </w:r>
      <w:r w:rsidR="00B83455">
        <w:rPr>
          <w:sz w:val="26"/>
          <w:szCs w:val="26"/>
        </w:rPr>
        <w:t>.</w:t>
      </w:r>
      <w:r w:rsidRPr="00F133B5">
        <w:rPr>
          <w:sz w:val="26"/>
          <w:szCs w:val="26"/>
        </w:rPr>
        <w:t xml:space="preserve"> Part 292 </w:t>
      </w:r>
      <w:r w:rsidRPr="00F133B5" w:rsidR="00CB66C2">
        <w:rPr>
          <w:sz w:val="26"/>
          <w:szCs w:val="26"/>
        </w:rPr>
        <w:t>and 18 C</w:t>
      </w:r>
      <w:r w:rsidR="00CB66C2">
        <w:rPr>
          <w:sz w:val="26"/>
          <w:szCs w:val="26"/>
        </w:rPr>
        <w:t>.</w:t>
      </w:r>
      <w:r w:rsidRPr="00F133B5" w:rsidR="00CB66C2">
        <w:rPr>
          <w:sz w:val="26"/>
          <w:szCs w:val="26"/>
        </w:rPr>
        <w:t>F</w:t>
      </w:r>
      <w:r w:rsidR="00CB66C2">
        <w:rPr>
          <w:sz w:val="26"/>
          <w:szCs w:val="26"/>
        </w:rPr>
        <w:t>.</w:t>
      </w:r>
      <w:r w:rsidRPr="00F133B5" w:rsidR="00CB66C2">
        <w:rPr>
          <w:sz w:val="26"/>
          <w:szCs w:val="26"/>
        </w:rPr>
        <w:t>R</w:t>
      </w:r>
      <w:r w:rsidR="00CB66C2">
        <w:rPr>
          <w:sz w:val="26"/>
          <w:szCs w:val="26"/>
        </w:rPr>
        <w:t>.</w:t>
      </w:r>
      <w:r w:rsidRPr="00F133B5" w:rsidR="00CB66C2">
        <w:rPr>
          <w:sz w:val="26"/>
          <w:szCs w:val="26"/>
        </w:rPr>
        <w:t xml:space="preserve"> </w:t>
      </w:r>
      <w:r w:rsidR="00CB66C2">
        <w:rPr>
          <w:sz w:val="26"/>
          <w:szCs w:val="26"/>
        </w:rPr>
        <w:t>§</w:t>
      </w:r>
      <w:r w:rsidRPr="00F133B5" w:rsidR="00CB66C2">
        <w:rPr>
          <w:sz w:val="26"/>
          <w:szCs w:val="26"/>
        </w:rPr>
        <w:t xml:space="preserve"> 131.80 </w:t>
      </w:r>
      <w:r w:rsidRPr="00F133B5">
        <w:rPr>
          <w:sz w:val="26"/>
          <w:szCs w:val="26"/>
        </w:rPr>
        <w:t xml:space="preserve">is used by the Commission to determine whether a proposed certification for QF status meets the criteria for a qualifying small power production facility or a qualifying cogeneration facility under </w:t>
      </w:r>
      <w:r w:rsidRPr="00F133B5" w:rsidR="00C532F1">
        <w:rPr>
          <w:sz w:val="26"/>
          <w:szCs w:val="26"/>
        </w:rPr>
        <w:t xml:space="preserve">Commission </w:t>
      </w:r>
      <w:r w:rsidRPr="00F133B5">
        <w:rPr>
          <w:sz w:val="26"/>
          <w:szCs w:val="26"/>
        </w:rPr>
        <w:t xml:space="preserve">regulations and is eligible to receive the benefits available to </w:t>
      </w:r>
      <w:r w:rsidRPr="00F133B5" w:rsidR="00C532F1">
        <w:rPr>
          <w:sz w:val="26"/>
          <w:szCs w:val="26"/>
        </w:rPr>
        <w:t xml:space="preserve">a QF </w:t>
      </w:r>
      <w:r w:rsidRPr="00F133B5">
        <w:rPr>
          <w:sz w:val="26"/>
          <w:szCs w:val="26"/>
        </w:rPr>
        <w:t>under PURPA.</w:t>
      </w:r>
    </w:p>
    <w:p w:rsidRPr="00F133B5" w:rsidR="00980E8E" w:rsidP="00980E8E" w:rsidRDefault="00980E8E" w14:paraId="5F277092" w14:textId="77777777">
      <w:pPr>
        <w:rPr>
          <w:sz w:val="26"/>
          <w:szCs w:val="26"/>
        </w:rPr>
      </w:pPr>
    </w:p>
    <w:p w:rsidRPr="00F133B5" w:rsidR="00980E8E" w:rsidP="00980E8E" w:rsidRDefault="00980E8E" w14:paraId="07166F4D" w14:textId="0BE06DA2">
      <w:pPr>
        <w:rPr>
          <w:sz w:val="26"/>
          <w:szCs w:val="26"/>
        </w:rPr>
      </w:pPr>
      <w:r w:rsidRPr="00F133B5">
        <w:rPr>
          <w:sz w:val="26"/>
          <w:szCs w:val="26"/>
        </w:rPr>
        <w:t xml:space="preserve">In order to obtain QF status and obtain PURPA benefits, an </w:t>
      </w:r>
      <w:r w:rsidRPr="00F133B5" w:rsidR="006070B1">
        <w:rPr>
          <w:sz w:val="26"/>
          <w:szCs w:val="26"/>
        </w:rPr>
        <w:t>applicant</w:t>
      </w:r>
      <w:r w:rsidRPr="00F133B5">
        <w:rPr>
          <w:sz w:val="26"/>
          <w:szCs w:val="26"/>
        </w:rPr>
        <w:t xml:space="preserve"> </w:t>
      </w:r>
      <w:r w:rsidR="009A3275">
        <w:rPr>
          <w:sz w:val="26"/>
          <w:szCs w:val="26"/>
        </w:rPr>
        <w:t xml:space="preserve">above 1 MW </w:t>
      </w:r>
      <w:r w:rsidRPr="00F133B5" w:rsidR="00EA592C">
        <w:rPr>
          <w:sz w:val="26"/>
          <w:szCs w:val="26"/>
        </w:rPr>
        <w:t>for QF status</w:t>
      </w:r>
      <w:r w:rsidRPr="00F133B5">
        <w:rPr>
          <w:sz w:val="26"/>
          <w:szCs w:val="26"/>
        </w:rPr>
        <w:t xml:space="preserve"> must follow th</w:t>
      </w:r>
      <w:r w:rsidRPr="00F133B5" w:rsidR="002D5138">
        <w:rPr>
          <w:sz w:val="26"/>
          <w:szCs w:val="26"/>
        </w:rPr>
        <w:t xml:space="preserve">e process indicated in FERC Form </w:t>
      </w:r>
      <w:r w:rsidR="00984153">
        <w:rPr>
          <w:sz w:val="26"/>
          <w:szCs w:val="26"/>
        </w:rPr>
        <w:t xml:space="preserve">No. </w:t>
      </w:r>
      <w:r w:rsidRPr="00F133B5">
        <w:rPr>
          <w:sz w:val="26"/>
          <w:szCs w:val="26"/>
        </w:rPr>
        <w:t xml:space="preserve">556 </w:t>
      </w:r>
      <w:r w:rsidR="00D12D9D">
        <w:rPr>
          <w:sz w:val="26"/>
          <w:szCs w:val="26"/>
        </w:rPr>
        <w:t>(and FERC-556A)</w:t>
      </w:r>
      <w:r w:rsidRPr="00F133B5">
        <w:rPr>
          <w:sz w:val="26"/>
          <w:szCs w:val="26"/>
        </w:rPr>
        <w:t>and select, at its option, either the procedure set forth in 18 C</w:t>
      </w:r>
      <w:r w:rsidR="004129BC">
        <w:rPr>
          <w:sz w:val="26"/>
          <w:szCs w:val="26"/>
        </w:rPr>
        <w:t>.</w:t>
      </w:r>
      <w:r w:rsidRPr="00F133B5">
        <w:rPr>
          <w:sz w:val="26"/>
          <w:szCs w:val="26"/>
        </w:rPr>
        <w:t>F</w:t>
      </w:r>
      <w:r w:rsidR="004129BC">
        <w:rPr>
          <w:sz w:val="26"/>
          <w:szCs w:val="26"/>
        </w:rPr>
        <w:t>.</w:t>
      </w:r>
      <w:r w:rsidRPr="00F133B5">
        <w:rPr>
          <w:sz w:val="26"/>
          <w:szCs w:val="26"/>
        </w:rPr>
        <w:t>R</w:t>
      </w:r>
      <w:r w:rsidR="004129BC">
        <w:rPr>
          <w:sz w:val="26"/>
          <w:szCs w:val="26"/>
        </w:rPr>
        <w:t>.</w:t>
      </w:r>
      <w:r w:rsidRPr="00F133B5">
        <w:rPr>
          <w:sz w:val="26"/>
          <w:szCs w:val="26"/>
        </w:rPr>
        <w:t xml:space="preserve"> </w:t>
      </w:r>
      <w:r w:rsidRPr="00F133B5" w:rsidR="004129BC">
        <w:rPr>
          <w:szCs w:val="26"/>
        </w:rPr>
        <w:t>§</w:t>
      </w:r>
      <w:r w:rsidRPr="00F133B5">
        <w:rPr>
          <w:sz w:val="26"/>
          <w:szCs w:val="26"/>
        </w:rPr>
        <w:t xml:space="preserve"> 292.207(a), which requires the submission to FERC of a self-certification or self-recertification, or the procedure set forth in 18 C</w:t>
      </w:r>
      <w:r w:rsidR="004129BC">
        <w:rPr>
          <w:sz w:val="26"/>
          <w:szCs w:val="26"/>
        </w:rPr>
        <w:t>.</w:t>
      </w:r>
      <w:r w:rsidRPr="00F133B5">
        <w:rPr>
          <w:sz w:val="26"/>
          <w:szCs w:val="26"/>
        </w:rPr>
        <w:t>F</w:t>
      </w:r>
      <w:r w:rsidR="004129BC">
        <w:rPr>
          <w:sz w:val="26"/>
          <w:szCs w:val="26"/>
        </w:rPr>
        <w:t>.</w:t>
      </w:r>
      <w:r w:rsidRPr="00F133B5">
        <w:rPr>
          <w:sz w:val="26"/>
          <w:szCs w:val="26"/>
        </w:rPr>
        <w:t>R</w:t>
      </w:r>
      <w:r w:rsidR="004129BC">
        <w:rPr>
          <w:sz w:val="26"/>
          <w:szCs w:val="26"/>
        </w:rPr>
        <w:t>.</w:t>
      </w:r>
      <w:r w:rsidRPr="00F133B5">
        <w:rPr>
          <w:sz w:val="26"/>
          <w:szCs w:val="26"/>
        </w:rPr>
        <w:t xml:space="preserve"> </w:t>
      </w:r>
      <w:r w:rsidRPr="00F133B5" w:rsidR="00984153">
        <w:rPr>
          <w:szCs w:val="26"/>
        </w:rPr>
        <w:t>§</w:t>
      </w:r>
      <w:r w:rsidR="00984153">
        <w:rPr>
          <w:szCs w:val="26"/>
        </w:rPr>
        <w:t xml:space="preserve"> </w:t>
      </w:r>
      <w:r w:rsidRPr="00F133B5">
        <w:rPr>
          <w:sz w:val="26"/>
          <w:szCs w:val="26"/>
        </w:rPr>
        <w:t>292.207(b), which requires the submission to FERC of an application for Commission certification or recertification.</w:t>
      </w:r>
      <w:r w:rsidRPr="00854BCA" w:rsidR="000F32D3">
        <w:rPr>
          <w:rStyle w:val="FootnoteReference"/>
          <w:sz w:val="26"/>
          <w:szCs w:val="26"/>
          <w:vertAlign w:val="superscript"/>
        </w:rPr>
        <w:footnoteReference w:id="3"/>
      </w:r>
      <w:r w:rsidRPr="00F133B5">
        <w:rPr>
          <w:sz w:val="26"/>
          <w:szCs w:val="26"/>
        </w:rPr>
        <w:t xml:space="preserve">  If FE</w:t>
      </w:r>
      <w:r w:rsidRPr="00F133B5" w:rsidR="002D5138">
        <w:rPr>
          <w:sz w:val="26"/>
          <w:szCs w:val="26"/>
        </w:rPr>
        <w:t xml:space="preserve">RC did not collect the FERC Form </w:t>
      </w:r>
      <w:r w:rsidR="004129BC">
        <w:rPr>
          <w:sz w:val="26"/>
          <w:szCs w:val="26"/>
        </w:rPr>
        <w:t xml:space="preserve">No. </w:t>
      </w:r>
      <w:r w:rsidRPr="00F133B5">
        <w:rPr>
          <w:sz w:val="26"/>
          <w:szCs w:val="26"/>
        </w:rPr>
        <w:t xml:space="preserve">556 </w:t>
      </w:r>
      <w:r w:rsidR="00D12D9D">
        <w:rPr>
          <w:sz w:val="26"/>
          <w:szCs w:val="26"/>
        </w:rPr>
        <w:t xml:space="preserve">(or FERC-556A) </w:t>
      </w:r>
      <w:r w:rsidRPr="00F133B5">
        <w:rPr>
          <w:sz w:val="26"/>
          <w:szCs w:val="26"/>
        </w:rPr>
        <w:t>information, there would be no basis for the Commission to determine whether a facility satisfies the requirements of QF status.</w:t>
      </w:r>
    </w:p>
    <w:p w:rsidRPr="00F133B5" w:rsidR="0062017B" w:rsidP="00980E8E" w:rsidRDefault="0062017B" w14:paraId="164D40C3" w14:textId="14EF6138">
      <w:pPr>
        <w:rPr>
          <w:sz w:val="26"/>
          <w:szCs w:val="26"/>
        </w:rPr>
      </w:pPr>
    </w:p>
    <w:p w:rsidR="007324F2" w:rsidP="00980E8E" w:rsidRDefault="00BB1D9A" w14:paraId="6B05966C" w14:textId="50E05AF4">
      <w:pPr>
        <w:rPr>
          <w:sz w:val="26"/>
          <w:szCs w:val="26"/>
        </w:rPr>
      </w:pPr>
      <w:r w:rsidRPr="00BB1D9A">
        <w:rPr>
          <w:b/>
          <w:bCs/>
          <w:sz w:val="26"/>
          <w:szCs w:val="26"/>
        </w:rPr>
        <w:lastRenderedPageBreak/>
        <w:t>NOPR in RM21-2 and RM20-20.</w:t>
      </w:r>
      <w:r>
        <w:rPr>
          <w:sz w:val="26"/>
          <w:szCs w:val="26"/>
        </w:rPr>
        <w:t xml:space="preserve">  </w:t>
      </w:r>
      <w:r w:rsidRPr="00BB1D9A">
        <w:rPr>
          <w:sz w:val="26"/>
          <w:szCs w:val="26"/>
        </w:rPr>
        <w:t>The FERC Form No. 556 is not being revised</w:t>
      </w:r>
      <w:r>
        <w:rPr>
          <w:sz w:val="26"/>
          <w:szCs w:val="26"/>
        </w:rPr>
        <w:t xml:space="preserve"> in the </w:t>
      </w:r>
      <w:bookmarkStart w:name="_Hlk53747871" w:id="1"/>
      <w:r>
        <w:rPr>
          <w:sz w:val="26"/>
          <w:szCs w:val="26"/>
        </w:rPr>
        <w:t>NOPR</w:t>
      </w:r>
      <w:bookmarkEnd w:id="1"/>
      <w:r w:rsidRPr="00BB1D9A">
        <w:rPr>
          <w:sz w:val="26"/>
          <w:szCs w:val="26"/>
        </w:rPr>
        <w:t xml:space="preserve">, but respondents with Solid Oxide Fuel Cell systems with integrated natural gas reformation equipment who are self-certifying or </w:t>
      </w:r>
      <w:r w:rsidR="005F1BF8">
        <w:rPr>
          <w:sz w:val="26"/>
          <w:szCs w:val="26"/>
        </w:rPr>
        <w:t>applying for</w:t>
      </w:r>
      <w:r w:rsidRPr="00BB1D9A" w:rsidR="005F1BF8">
        <w:rPr>
          <w:sz w:val="26"/>
          <w:szCs w:val="26"/>
        </w:rPr>
        <w:t xml:space="preserve"> </w:t>
      </w:r>
      <w:r w:rsidRPr="00BB1D9A">
        <w:rPr>
          <w:sz w:val="26"/>
          <w:szCs w:val="26"/>
        </w:rPr>
        <w:t>Commission certification as a cogenerator will use the FERC Form No. 556</w:t>
      </w:r>
      <w:r w:rsidR="00D12D9D">
        <w:rPr>
          <w:sz w:val="26"/>
          <w:szCs w:val="26"/>
        </w:rPr>
        <w:t xml:space="preserve"> </w:t>
      </w:r>
      <w:r w:rsidRPr="00D12D9D" w:rsidR="00D12D9D">
        <w:rPr>
          <w:sz w:val="26"/>
          <w:szCs w:val="26"/>
        </w:rPr>
        <w:t>(proposed requirement submitted under FERC-556A, here)</w:t>
      </w:r>
      <w:r w:rsidRPr="00BB1D9A">
        <w:rPr>
          <w:sz w:val="26"/>
          <w:szCs w:val="26"/>
        </w:rPr>
        <w:t>.  On page 8, item 6a of the FERC Form No. 556, those respondents should indicate “Fossil fuel, natural gas (not waste).”</w:t>
      </w:r>
    </w:p>
    <w:p w:rsidRPr="00F133B5" w:rsidR="00BB1D9A" w:rsidP="00980E8E" w:rsidRDefault="00BB1D9A" w14:paraId="3B75B56C" w14:textId="77777777">
      <w:pPr>
        <w:rPr>
          <w:sz w:val="26"/>
          <w:szCs w:val="26"/>
        </w:rPr>
      </w:pPr>
    </w:p>
    <w:p w:rsidRPr="00F133B5" w:rsidR="00980E8E" w:rsidP="005240A1" w:rsidRDefault="00980E8E" w14:paraId="25431655" w14:textId="77777777">
      <w:pPr>
        <w:widowControl/>
        <w:numPr>
          <w:ilvl w:val="0"/>
          <w:numId w:val="7"/>
        </w:numPr>
        <w:rPr>
          <w:sz w:val="26"/>
          <w:szCs w:val="26"/>
        </w:rPr>
      </w:pPr>
      <w:r w:rsidRPr="00F133B5">
        <w:rPr>
          <w:b/>
          <w:sz w:val="26"/>
          <w:szCs w:val="26"/>
        </w:rPr>
        <w:t>DESCRIBE ANY CONSIDERATION OF THE USE OF IMPROVED INFORMATION TECHNOLOGY TO REDUCE BURDEN AND THE TECHNICAL OR LEGAL OBSTACLES TO REDUCING BURDEN</w:t>
      </w:r>
    </w:p>
    <w:p w:rsidRPr="00F133B5" w:rsidR="00980E8E" w:rsidP="00980E8E" w:rsidRDefault="00980E8E" w14:paraId="19BC7148" w14:textId="77777777">
      <w:pPr>
        <w:rPr>
          <w:sz w:val="26"/>
          <w:szCs w:val="26"/>
        </w:rPr>
      </w:pPr>
    </w:p>
    <w:p w:rsidRPr="00F133B5" w:rsidR="009D6B6D" w:rsidP="001D2EC1" w:rsidRDefault="009D6B6D" w14:paraId="6D5285AF" w14:textId="77777777">
      <w:pPr>
        <w:widowControl/>
        <w:rPr>
          <w:sz w:val="26"/>
          <w:szCs w:val="26"/>
        </w:rPr>
      </w:pPr>
      <w:r w:rsidRPr="00F133B5">
        <w:rPr>
          <w:sz w:val="26"/>
          <w:szCs w:val="26"/>
        </w:rPr>
        <w:t>In Order No. 619</w:t>
      </w:r>
      <w:r w:rsidRPr="00F133B5" w:rsidR="00C7666C">
        <w:rPr>
          <w:sz w:val="26"/>
          <w:szCs w:val="26"/>
        </w:rPr>
        <w:t>,</w:t>
      </w:r>
      <w:r w:rsidRPr="00F133B5">
        <w:rPr>
          <w:rStyle w:val="FootnoteReference"/>
          <w:sz w:val="26"/>
          <w:szCs w:val="26"/>
          <w:vertAlign w:val="superscript"/>
        </w:rPr>
        <w:footnoteReference w:id="4"/>
      </w:r>
      <w:r w:rsidRPr="00F133B5">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w:t>
      </w:r>
      <w:r w:rsidRPr="00F133B5" w:rsidR="00E138E1">
        <w:rPr>
          <w:sz w:val="26"/>
          <w:szCs w:val="26"/>
        </w:rPr>
        <w:t>actical, by October 2003.</w:t>
      </w:r>
    </w:p>
    <w:p w:rsidRPr="00F133B5" w:rsidR="009D6B6D" w:rsidP="001D2EC1" w:rsidRDefault="009D6B6D" w14:paraId="11DF8310" w14:textId="77777777">
      <w:pPr>
        <w:widowControl/>
        <w:rPr>
          <w:sz w:val="26"/>
          <w:szCs w:val="26"/>
        </w:rPr>
      </w:pPr>
    </w:p>
    <w:p w:rsidRPr="00F133B5" w:rsidR="009D6B6D" w:rsidP="001D2EC1" w:rsidRDefault="009D6B6D" w14:paraId="46B3B349" w14:textId="4A0E3402">
      <w:pPr>
        <w:rPr>
          <w:sz w:val="26"/>
          <w:szCs w:val="26"/>
        </w:rPr>
      </w:pPr>
      <w:r w:rsidRPr="00F133B5">
        <w:rPr>
          <w:sz w:val="26"/>
          <w:szCs w:val="26"/>
        </w:rPr>
        <w:t xml:space="preserve">FERC has attempted to facilitate </w:t>
      </w:r>
      <w:r w:rsidRPr="00F133B5" w:rsidR="001C1D03">
        <w:rPr>
          <w:sz w:val="26"/>
          <w:szCs w:val="26"/>
        </w:rPr>
        <w:t xml:space="preserve">the process of </w:t>
      </w:r>
      <w:r w:rsidRPr="00F133B5" w:rsidR="00C7666C">
        <w:rPr>
          <w:sz w:val="26"/>
          <w:szCs w:val="26"/>
        </w:rPr>
        <w:t>seeking</w:t>
      </w:r>
      <w:r w:rsidRPr="00F133B5">
        <w:rPr>
          <w:sz w:val="26"/>
          <w:szCs w:val="26"/>
        </w:rPr>
        <w:t xml:space="preserve"> QF status by </w:t>
      </w:r>
      <w:r w:rsidRPr="00F133B5" w:rsidR="00C7666C">
        <w:rPr>
          <w:sz w:val="26"/>
          <w:szCs w:val="26"/>
        </w:rPr>
        <w:t xml:space="preserve">electronically </w:t>
      </w:r>
      <w:r w:rsidRPr="00F133B5">
        <w:rPr>
          <w:sz w:val="26"/>
          <w:szCs w:val="26"/>
        </w:rPr>
        <w:t xml:space="preserve">providing materials to potential small power producers and </w:t>
      </w:r>
      <w:proofErr w:type="spellStart"/>
      <w:r w:rsidRPr="00F133B5">
        <w:rPr>
          <w:sz w:val="26"/>
          <w:szCs w:val="26"/>
        </w:rPr>
        <w:t>cogenerators</w:t>
      </w:r>
      <w:proofErr w:type="spellEnd"/>
      <w:r w:rsidRPr="00F133B5">
        <w:rPr>
          <w:sz w:val="26"/>
          <w:szCs w:val="26"/>
        </w:rPr>
        <w:t xml:space="preserve"> to assist in their preparation of notices of self-certification and applications for </w:t>
      </w:r>
      <w:r w:rsidRPr="00F133B5" w:rsidR="00C7666C">
        <w:rPr>
          <w:sz w:val="26"/>
          <w:szCs w:val="26"/>
        </w:rPr>
        <w:t>Com</w:t>
      </w:r>
      <w:r w:rsidRPr="0084228E" w:rsidR="00C7666C">
        <w:rPr>
          <w:sz w:val="26"/>
          <w:szCs w:val="26"/>
        </w:rPr>
        <w:t xml:space="preserve">mission </w:t>
      </w:r>
      <w:r w:rsidRPr="0084228E" w:rsidR="002D5138">
        <w:rPr>
          <w:sz w:val="26"/>
          <w:szCs w:val="26"/>
        </w:rPr>
        <w:t xml:space="preserve">certification.  FERC Form </w:t>
      </w:r>
      <w:r w:rsidRPr="0084228E" w:rsidR="00857580">
        <w:rPr>
          <w:sz w:val="26"/>
          <w:szCs w:val="26"/>
        </w:rPr>
        <w:t xml:space="preserve">No. </w:t>
      </w:r>
      <w:r w:rsidRPr="0084228E">
        <w:rPr>
          <w:sz w:val="26"/>
          <w:szCs w:val="26"/>
        </w:rPr>
        <w:t xml:space="preserve">556 can be downloaded from FERC’s website at: </w:t>
      </w:r>
      <w:hyperlink w:history="1" r:id="rId13">
        <w:r w:rsidRPr="004F7087" w:rsidR="00A5002D">
          <w:rPr>
            <w:rStyle w:val="Hyperlink"/>
            <w:color w:val="auto"/>
            <w:sz w:val="26"/>
            <w:szCs w:val="26"/>
          </w:rPr>
          <w:t>https://www.ferc.gov/industries-data/electric/general-information/electric-industry-forms</w:t>
        </w:r>
      </w:hyperlink>
      <w:r w:rsidRPr="004F7087">
        <w:rPr>
          <w:sz w:val="26"/>
          <w:szCs w:val="26"/>
        </w:rPr>
        <w:t>.</w:t>
      </w:r>
    </w:p>
    <w:p w:rsidRPr="00F133B5" w:rsidR="009D6B6D" w:rsidP="001D2EC1" w:rsidRDefault="009D6B6D" w14:paraId="76F1D361" w14:textId="77777777">
      <w:pPr>
        <w:rPr>
          <w:sz w:val="26"/>
          <w:szCs w:val="26"/>
        </w:rPr>
      </w:pPr>
    </w:p>
    <w:p w:rsidRPr="00F133B5" w:rsidR="005240A1" w:rsidP="005240A1" w:rsidRDefault="009D6B6D" w14:paraId="3647249A" w14:textId="223D09DC">
      <w:pPr>
        <w:pStyle w:val="FERCparanumber"/>
        <w:numPr>
          <w:ilvl w:val="0"/>
          <w:numId w:val="0"/>
        </w:numPr>
        <w:rPr>
          <w:szCs w:val="26"/>
        </w:rPr>
      </w:pPr>
      <w:r w:rsidRPr="00F133B5">
        <w:rPr>
          <w:szCs w:val="26"/>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w:t>
      </w:r>
      <w:r w:rsidR="00FA741C">
        <w:rPr>
          <w:szCs w:val="26"/>
        </w:rPr>
        <w:t>,</w:t>
      </w:r>
      <w:r w:rsidRPr="00F133B5">
        <w:rPr>
          <w:szCs w:val="26"/>
        </w:rPr>
        <w:t xml:space="preserve"> and less resource-intensive than hard</w:t>
      </w:r>
      <w:r w:rsidRPr="00F133B5" w:rsidR="001E6D2B">
        <w:rPr>
          <w:szCs w:val="26"/>
        </w:rPr>
        <w:t>-</w:t>
      </w:r>
      <w:r w:rsidRPr="00F133B5">
        <w:rPr>
          <w:szCs w:val="26"/>
        </w:rPr>
        <w:t xml:space="preserve">copy filing.  An applicant filing electronically receives an acknowledgement that the Commission has received the application and a docket number for the submittal much more quickly than </w:t>
      </w:r>
      <w:r w:rsidRPr="00F133B5" w:rsidR="00C7666C">
        <w:rPr>
          <w:szCs w:val="26"/>
        </w:rPr>
        <w:t>if</w:t>
      </w:r>
      <w:r w:rsidRPr="00F133B5">
        <w:rPr>
          <w:szCs w:val="26"/>
        </w:rPr>
        <w:t xml:space="preserve"> filing in hard</w:t>
      </w:r>
      <w:r w:rsidRPr="00F133B5" w:rsidR="001E6D2B">
        <w:rPr>
          <w:szCs w:val="26"/>
        </w:rPr>
        <w:t>-</w:t>
      </w:r>
      <w:r w:rsidRPr="00F133B5">
        <w:rPr>
          <w:szCs w:val="26"/>
        </w:rPr>
        <w:t xml:space="preserve">copy format.  Electronic filing has allowed the Commission to electronically process QF applications, reduced required staff resources and human error, and allowed the Commission to identify patterns of reporting errors and noncompliance that would be difficult to detect through manual processing.  Finally, electronic filing of QF applications has facilitated the compilation of QF data.  Requiring applicants to file </w:t>
      </w:r>
      <w:r w:rsidRPr="00F133B5" w:rsidR="001E6D2B">
        <w:rPr>
          <w:szCs w:val="26"/>
        </w:rPr>
        <w:t>electronically</w:t>
      </w:r>
      <w:r w:rsidRPr="00F133B5" w:rsidR="00BF0CFA">
        <w:rPr>
          <w:szCs w:val="26"/>
        </w:rPr>
        <w:t xml:space="preserve"> has made it possible to</w:t>
      </w:r>
      <w:r w:rsidRPr="00F133B5" w:rsidR="00C7666C">
        <w:rPr>
          <w:szCs w:val="26"/>
        </w:rPr>
        <w:t xml:space="preserve"> make </w:t>
      </w:r>
      <w:r w:rsidRPr="00F133B5" w:rsidR="00BF0CFA">
        <w:rPr>
          <w:szCs w:val="26"/>
        </w:rPr>
        <w:t xml:space="preserve">better </w:t>
      </w:r>
      <w:r w:rsidRPr="00F133B5" w:rsidR="00C7666C">
        <w:rPr>
          <w:szCs w:val="26"/>
        </w:rPr>
        <w:t>use of this data</w:t>
      </w:r>
      <w:r w:rsidRPr="00F133B5">
        <w:rPr>
          <w:szCs w:val="26"/>
        </w:rPr>
        <w:t>.</w:t>
      </w:r>
    </w:p>
    <w:p w:rsidRPr="00F133B5" w:rsidR="00B87EAF" w:rsidP="005240A1" w:rsidRDefault="00B87EAF" w14:paraId="3E776B3E" w14:textId="23B94097">
      <w:pPr>
        <w:pStyle w:val="FERCparanumber"/>
        <w:numPr>
          <w:ilvl w:val="0"/>
          <w:numId w:val="0"/>
        </w:numPr>
        <w:rPr>
          <w:szCs w:val="26"/>
        </w:rPr>
      </w:pPr>
    </w:p>
    <w:p w:rsidRPr="00F133B5" w:rsidR="009D6B6D" w:rsidP="005240A1" w:rsidRDefault="009D6B6D" w14:paraId="4C5987BE" w14:textId="77777777">
      <w:pPr>
        <w:pStyle w:val="FERCparanumber"/>
        <w:numPr>
          <w:ilvl w:val="0"/>
          <w:numId w:val="7"/>
        </w:numPr>
        <w:rPr>
          <w:szCs w:val="26"/>
        </w:rPr>
      </w:pPr>
      <w:r w:rsidRPr="00F133B5">
        <w:rPr>
          <w:b/>
          <w:szCs w:val="26"/>
        </w:rPr>
        <w:t xml:space="preserve">DESCRIBE EFFORTS TO IDENTIFY DUPLICATON AND SHOW SPECIFICALLY WHY ANY SIMILAR INFORMATION ALREADY </w:t>
      </w:r>
      <w:r w:rsidRPr="00F133B5">
        <w:rPr>
          <w:b/>
          <w:szCs w:val="26"/>
        </w:rPr>
        <w:lastRenderedPageBreak/>
        <w:t>AVAILABLE CANNOT BE USED OR MODIFIED FOR USE FOR THE PURPOSE(S) DESCRIBED IN INSTRUCTION NO. 2.</w:t>
      </w:r>
    </w:p>
    <w:p w:rsidRPr="00F133B5" w:rsidR="00BD4039" w:rsidP="00BD4039" w:rsidRDefault="00BD4039" w14:paraId="21B95FAA" w14:textId="77777777">
      <w:pPr>
        <w:pStyle w:val="FERCparanumber"/>
        <w:numPr>
          <w:ilvl w:val="0"/>
          <w:numId w:val="0"/>
        </w:numPr>
        <w:rPr>
          <w:b/>
          <w:szCs w:val="26"/>
        </w:rPr>
      </w:pPr>
    </w:p>
    <w:p w:rsidRPr="00F133B5" w:rsidR="00BD4039" w:rsidP="001E55FC" w:rsidRDefault="002D5138" w14:paraId="5F97B5DA" w14:textId="0C70829C">
      <w:pPr>
        <w:widowControl/>
        <w:rPr>
          <w:sz w:val="26"/>
          <w:szCs w:val="26"/>
        </w:rPr>
      </w:pPr>
      <w:r w:rsidRPr="00F133B5">
        <w:rPr>
          <w:sz w:val="26"/>
          <w:szCs w:val="26"/>
        </w:rPr>
        <w:t xml:space="preserve">FERC </w:t>
      </w:r>
      <w:r w:rsidRPr="00F133B5" w:rsidR="00891C89">
        <w:rPr>
          <w:sz w:val="26"/>
          <w:szCs w:val="26"/>
        </w:rPr>
        <w:t>Form</w:t>
      </w:r>
      <w:r w:rsidR="00344825">
        <w:rPr>
          <w:sz w:val="26"/>
          <w:szCs w:val="26"/>
        </w:rPr>
        <w:t xml:space="preserve"> No.</w:t>
      </w:r>
      <w:r w:rsidRPr="00F133B5" w:rsidR="00BD4039">
        <w:rPr>
          <w:sz w:val="26"/>
          <w:szCs w:val="26"/>
        </w:rPr>
        <w:t xml:space="preserve"> 556</w:t>
      </w:r>
      <w:r w:rsidRPr="00F133B5" w:rsidR="00BF0CFA">
        <w:rPr>
          <w:sz w:val="26"/>
          <w:szCs w:val="26"/>
        </w:rPr>
        <w:t xml:space="preserve"> </w:t>
      </w:r>
      <w:r w:rsidRPr="00C338E2" w:rsidR="00C338E2">
        <w:rPr>
          <w:sz w:val="26"/>
          <w:szCs w:val="26"/>
        </w:rPr>
        <w:t xml:space="preserve">(and component in proposed FERC-556A) </w:t>
      </w:r>
      <w:r w:rsidR="00EA3D03">
        <w:rPr>
          <w:sz w:val="26"/>
          <w:szCs w:val="26"/>
        </w:rPr>
        <w:t xml:space="preserve">is a </w:t>
      </w:r>
      <w:r w:rsidRPr="00F133B5" w:rsidR="00BD4039">
        <w:rPr>
          <w:sz w:val="26"/>
          <w:szCs w:val="26"/>
        </w:rPr>
        <w:t xml:space="preserve">necessary information collection for the Commission to remain in compliance with FPA and PURPA mandates. </w:t>
      </w:r>
      <w:r w:rsidRPr="00F133B5" w:rsidR="00007A57">
        <w:rPr>
          <w:sz w:val="26"/>
          <w:szCs w:val="26"/>
        </w:rPr>
        <w:t xml:space="preserve"> </w:t>
      </w:r>
      <w:r w:rsidRPr="00F133B5" w:rsidR="00BD4039">
        <w:rPr>
          <w:sz w:val="26"/>
          <w:szCs w:val="26"/>
        </w:rPr>
        <w:t xml:space="preserve">No similar information is, in fact, publicly available.  There are no other Federal agencies collecting this data, as there are no other Federal agencies responsible for certifying an electric generating facility as a QF and/or allowing a cogenerator or small power producer to determine whether it qualifies for the benefits bestowed by PURPA, including the exemptions from certain provisions of federal and state law.  </w:t>
      </w:r>
    </w:p>
    <w:p w:rsidRPr="00F133B5" w:rsidR="00BD4039" w:rsidP="00BD4039" w:rsidRDefault="00BD4039" w14:paraId="586F3DC8" w14:textId="77777777">
      <w:pPr>
        <w:pStyle w:val="FERCparanumber"/>
        <w:numPr>
          <w:ilvl w:val="0"/>
          <w:numId w:val="0"/>
        </w:numPr>
        <w:rPr>
          <w:szCs w:val="26"/>
        </w:rPr>
      </w:pPr>
    </w:p>
    <w:p w:rsidRPr="00F133B5" w:rsidR="009D6B6D" w:rsidP="005240A1" w:rsidRDefault="009D6B6D" w14:paraId="3EA20BFB" w14:textId="77777777">
      <w:pPr>
        <w:pStyle w:val="FERCparanumber"/>
        <w:numPr>
          <w:ilvl w:val="0"/>
          <w:numId w:val="7"/>
        </w:numPr>
        <w:rPr>
          <w:szCs w:val="26"/>
        </w:rPr>
      </w:pPr>
      <w:r w:rsidRPr="00F133B5">
        <w:rPr>
          <w:b/>
          <w:szCs w:val="26"/>
        </w:rPr>
        <w:t>METHODS USED TO MINIMIZE BURDEN IN COLLECTION OF INFORMATION INVOLVING SMALL ENTITIES</w:t>
      </w:r>
      <w:r w:rsidRPr="00F133B5">
        <w:rPr>
          <w:szCs w:val="26"/>
        </w:rPr>
        <w:t xml:space="preserve"> </w:t>
      </w:r>
    </w:p>
    <w:p w:rsidRPr="00F133B5" w:rsidR="009D6B6D" w:rsidP="006D10E1" w:rsidRDefault="009D6B6D" w14:paraId="69B26C5B" w14:textId="77777777">
      <w:pPr>
        <w:widowControl/>
        <w:rPr>
          <w:sz w:val="26"/>
          <w:szCs w:val="26"/>
        </w:rPr>
      </w:pPr>
    </w:p>
    <w:p w:rsidRPr="00F133B5" w:rsidR="009D6B6D" w:rsidP="001D2EC1" w:rsidRDefault="009D6B6D" w14:paraId="7CF3C688" w14:textId="6F3AF319">
      <w:pPr>
        <w:pStyle w:val="FERCparanumber"/>
        <w:numPr>
          <w:ilvl w:val="0"/>
          <w:numId w:val="0"/>
        </w:numPr>
        <w:tabs>
          <w:tab w:val="left" w:pos="720"/>
        </w:tabs>
        <w:rPr>
          <w:szCs w:val="26"/>
        </w:rPr>
      </w:pPr>
      <w:r w:rsidRPr="00F133B5">
        <w:rPr>
          <w:szCs w:val="26"/>
        </w:rPr>
        <w:t xml:space="preserve">The </w:t>
      </w:r>
      <w:r w:rsidRPr="00F133B5" w:rsidR="002D5138">
        <w:rPr>
          <w:szCs w:val="26"/>
        </w:rPr>
        <w:t xml:space="preserve">FERC Form </w:t>
      </w:r>
      <w:r w:rsidR="00A82D77">
        <w:rPr>
          <w:szCs w:val="26"/>
        </w:rPr>
        <w:t xml:space="preserve">No. </w:t>
      </w:r>
      <w:r w:rsidRPr="00F133B5">
        <w:rPr>
          <w:szCs w:val="26"/>
        </w:rPr>
        <w:t xml:space="preserve">556 </w:t>
      </w:r>
      <w:r w:rsidRPr="00F133B5" w:rsidR="009505F2">
        <w:rPr>
          <w:szCs w:val="26"/>
        </w:rPr>
        <w:t xml:space="preserve">and accompanying instructions </w:t>
      </w:r>
      <w:r w:rsidRPr="00F133B5">
        <w:rPr>
          <w:szCs w:val="26"/>
        </w:rPr>
        <w:t>ha</w:t>
      </w:r>
      <w:r w:rsidRPr="00F133B5" w:rsidR="00162EEC">
        <w:rPr>
          <w:szCs w:val="26"/>
        </w:rPr>
        <w:t>ve</w:t>
      </w:r>
      <w:r w:rsidRPr="00F133B5">
        <w:rPr>
          <w:szCs w:val="26"/>
        </w:rPr>
        <w:t xml:space="preserve"> made it easier for applicants to </w:t>
      </w:r>
      <w:r w:rsidRPr="00F133B5" w:rsidR="009B179D">
        <w:rPr>
          <w:szCs w:val="26"/>
        </w:rPr>
        <w:t xml:space="preserve">file for </w:t>
      </w:r>
      <w:r w:rsidR="003E3ECA">
        <w:rPr>
          <w:szCs w:val="26"/>
        </w:rPr>
        <w:t>QF</w:t>
      </w:r>
      <w:r w:rsidRPr="00F133B5" w:rsidR="009B179D">
        <w:rPr>
          <w:szCs w:val="26"/>
        </w:rPr>
        <w:t xml:space="preserve"> status</w:t>
      </w:r>
      <w:r w:rsidRPr="00F133B5">
        <w:rPr>
          <w:szCs w:val="26"/>
        </w:rPr>
        <w:t xml:space="preserve"> because the form leads applicants step-by-step through the compliance determinations.  Without </w:t>
      </w:r>
      <w:r w:rsidRPr="00F133B5" w:rsidR="009505F2">
        <w:rPr>
          <w:szCs w:val="26"/>
        </w:rPr>
        <w:t>th</w:t>
      </w:r>
      <w:r w:rsidRPr="00F133B5" w:rsidR="009B179D">
        <w:rPr>
          <w:szCs w:val="26"/>
        </w:rPr>
        <w:t>is step-by-step process</w:t>
      </w:r>
      <w:r w:rsidR="00924EA4">
        <w:rPr>
          <w:szCs w:val="26"/>
        </w:rPr>
        <w:t>,</w:t>
      </w:r>
      <w:r w:rsidRPr="00F133B5">
        <w:rPr>
          <w:szCs w:val="26"/>
        </w:rPr>
        <w:t xml:space="preserve"> applicants (particularly small applicants) must independently research the requirements and determine compliance with </w:t>
      </w:r>
      <w:r w:rsidRPr="00F133B5" w:rsidR="009B179D">
        <w:rPr>
          <w:szCs w:val="26"/>
        </w:rPr>
        <w:t>PURPA and the Commission’s regulations</w:t>
      </w:r>
      <w:r w:rsidR="00622C1A">
        <w:rPr>
          <w:szCs w:val="26"/>
        </w:rPr>
        <w:t>.</w:t>
      </w:r>
    </w:p>
    <w:p w:rsidRPr="00F133B5" w:rsidR="009D6B6D" w:rsidP="001D2EC1" w:rsidRDefault="009D6B6D" w14:paraId="2F1449B1" w14:textId="77777777">
      <w:pPr>
        <w:pStyle w:val="FERCparanumber"/>
        <w:numPr>
          <w:ilvl w:val="0"/>
          <w:numId w:val="0"/>
        </w:numPr>
        <w:tabs>
          <w:tab w:val="left" w:pos="720"/>
        </w:tabs>
        <w:rPr>
          <w:szCs w:val="26"/>
        </w:rPr>
      </w:pPr>
    </w:p>
    <w:p w:rsidRPr="00F133B5" w:rsidR="009D6B6D" w:rsidP="00CB66C2" w:rsidRDefault="009D6B6D" w14:paraId="385BCF90" w14:textId="08D7C67D">
      <w:pPr>
        <w:pStyle w:val="FERCparanumber"/>
        <w:widowControl w:val="0"/>
        <w:numPr>
          <w:ilvl w:val="0"/>
          <w:numId w:val="0"/>
        </w:numPr>
        <w:tabs>
          <w:tab w:val="left" w:pos="720"/>
        </w:tabs>
        <w:rPr>
          <w:szCs w:val="26"/>
        </w:rPr>
      </w:pPr>
      <w:r w:rsidRPr="00F133B5">
        <w:rPr>
          <w:szCs w:val="26"/>
        </w:rPr>
        <w:t>The FERC website has a list of frequently asked questions</w:t>
      </w:r>
      <w:r w:rsidRPr="00F133B5">
        <w:rPr>
          <w:szCs w:val="26"/>
          <w:vertAlign w:val="superscript"/>
        </w:rPr>
        <w:t xml:space="preserve"> </w:t>
      </w:r>
      <w:r w:rsidRPr="00F133B5">
        <w:rPr>
          <w:szCs w:val="26"/>
        </w:rPr>
        <w:t>to help filers.</w:t>
      </w:r>
      <w:r w:rsidRPr="00F133B5" w:rsidR="004441C5">
        <w:rPr>
          <w:rStyle w:val="FootnoteReference"/>
          <w:szCs w:val="26"/>
          <w:vertAlign w:val="superscript"/>
        </w:rPr>
        <w:footnoteReference w:id="5"/>
      </w:r>
      <w:r w:rsidRPr="00F133B5">
        <w:rPr>
          <w:szCs w:val="26"/>
        </w:rPr>
        <w:t xml:space="preserve">  It also provides the names and phone numbers of legal and technical staff </w:t>
      </w:r>
      <w:r w:rsidRPr="00F133B5" w:rsidR="001E6D2B">
        <w:rPr>
          <w:szCs w:val="26"/>
        </w:rPr>
        <w:t xml:space="preserve">at FERC that </w:t>
      </w:r>
      <w:r w:rsidRPr="00F133B5">
        <w:rPr>
          <w:szCs w:val="26"/>
        </w:rPr>
        <w:t xml:space="preserve">filers can call directly to get </w:t>
      </w:r>
      <w:r w:rsidRPr="00F133B5" w:rsidR="007D7B85">
        <w:rPr>
          <w:szCs w:val="26"/>
        </w:rPr>
        <w:t xml:space="preserve">answers to </w:t>
      </w:r>
      <w:r w:rsidRPr="00F133B5">
        <w:rPr>
          <w:szCs w:val="26"/>
        </w:rPr>
        <w:t xml:space="preserve">questions </w:t>
      </w:r>
      <w:r w:rsidRPr="00F133B5" w:rsidR="001E6D2B">
        <w:rPr>
          <w:szCs w:val="26"/>
        </w:rPr>
        <w:t>and to receive</w:t>
      </w:r>
      <w:r w:rsidRPr="00F133B5">
        <w:rPr>
          <w:szCs w:val="26"/>
        </w:rPr>
        <w:t xml:space="preserve"> general guidance and information about FERC’s QF program and policies.  The </w:t>
      </w:r>
      <w:r w:rsidR="00782DDB">
        <w:rPr>
          <w:szCs w:val="26"/>
        </w:rPr>
        <w:t xml:space="preserve">FERC </w:t>
      </w:r>
      <w:r w:rsidRPr="00F133B5">
        <w:rPr>
          <w:szCs w:val="26"/>
        </w:rPr>
        <w:t xml:space="preserve">website also </w:t>
      </w:r>
      <w:r w:rsidRPr="00F133B5" w:rsidR="007D7B85">
        <w:rPr>
          <w:szCs w:val="26"/>
        </w:rPr>
        <w:t xml:space="preserve">provides </w:t>
      </w:r>
      <w:r w:rsidRPr="00F133B5">
        <w:rPr>
          <w:szCs w:val="26"/>
        </w:rPr>
        <w:t>email address</w:t>
      </w:r>
      <w:r w:rsidRPr="00F133B5" w:rsidR="00C86599">
        <w:rPr>
          <w:szCs w:val="26"/>
        </w:rPr>
        <w:t>es</w:t>
      </w:r>
      <w:r w:rsidRPr="00F133B5">
        <w:rPr>
          <w:szCs w:val="26"/>
        </w:rPr>
        <w:t xml:space="preserve"> that can be used to submit written questions to FERC technical and legal staff.</w:t>
      </w:r>
    </w:p>
    <w:p w:rsidRPr="00F133B5" w:rsidR="009D6B6D" w:rsidP="001D2EC1" w:rsidRDefault="009D6B6D" w14:paraId="35368CFF" w14:textId="7F93C46F">
      <w:pPr>
        <w:pStyle w:val="FERCparanumber"/>
        <w:numPr>
          <w:ilvl w:val="0"/>
          <w:numId w:val="0"/>
        </w:numPr>
        <w:tabs>
          <w:tab w:val="num" w:pos="720"/>
        </w:tabs>
        <w:rPr>
          <w:szCs w:val="26"/>
        </w:rPr>
      </w:pPr>
    </w:p>
    <w:p w:rsidRPr="00F133B5" w:rsidR="005240A1" w:rsidP="005240A1" w:rsidRDefault="009D6B6D" w14:paraId="08CBE9A2" w14:textId="1DEE03C0">
      <w:pPr>
        <w:pStyle w:val="FERCparanumber"/>
        <w:numPr>
          <w:ilvl w:val="0"/>
          <w:numId w:val="0"/>
        </w:numPr>
        <w:tabs>
          <w:tab w:val="num" w:pos="0"/>
        </w:tabs>
        <w:rPr>
          <w:szCs w:val="26"/>
        </w:rPr>
      </w:pPr>
      <w:r w:rsidRPr="00F133B5">
        <w:rPr>
          <w:szCs w:val="26"/>
        </w:rPr>
        <w:t>Finally, the Commission has exempted applicants for facilities with net power production capacities of 1 MW and smaller from any filing requirement;</w:t>
      </w:r>
      <w:r w:rsidRPr="00F133B5" w:rsidR="0035481D">
        <w:rPr>
          <w:szCs w:val="26"/>
        </w:rPr>
        <w:t xml:space="preserve"> </w:t>
      </w:r>
      <w:r w:rsidR="00924EA4">
        <w:rPr>
          <w:szCs w:val="26"/>
        </w:rPr>
        <w:t xml:space="preserve">thus, </w:t>
      </w:r>
      <w:r w:rsidRPr="00F133B5">
        <w:rPr>
          <w:szCs w:val="26"/>
        </w:rPr>
        <w:t xml:space="preserve">the electronic filing requirement does not apply to these small QFs.  The Commission believes that any applicant for a facility larger than 1 MW </w:t>
      </w:r>
      <w:r w:rsidRPr="00F133B5" w:rsidR="00454D32">
        <w:rPr>
          <w:szCs w:val="26"/>
        </w:rPr>
        <w:t>w</w:t>
      </w:r>
      <w:r w:rsidRPr="00F133B5">
        <w:rPr>
          <w:szCs w:val="26"/>
        </w:rPr>
        <w:t xml:space="preserve">ould have access to the resources needed to </w:t>
      </w:r>
      <w:r w:rsidRPr="00F133B5" w:rsidR="00454D32">
        <w:rPr>
          <w:szCs w:val="26"/>
        </w:rPr>
        <w:t xml:space="preserve">develop and </w:t>
      </w:r>
      <w:r w:rsidRPr="00F133B5" w:rsidR="005240A1">
        <w:rPr>
          <w:szCs w:val="26"/>
        </w:rPr>
        <w:t>make an electronic filing.</w:t>
      </w:r>
    </w:p>
    <w:p w:rsidRPr="00F133B5" w:rsidR="00A52074" w:rsidP="005240A1" w:rsidRDefault="00A52074" w14:paraId="11CE9AE9" w14:textId="77777777">
      <w:pPr>
        <w:pStyle w:val="FERCparanumber"/>
        <w:numPr>
          <w:ilvl w:val="0"/>
          <w:numId w:val="0"/>
        </w:numPr>
        <w:tabs>
          <w:tab w:val="num" w:pos="0"/>
        </w:tabs>
        <w:rPr>
          <w:szCs w:val="26"/>
        </w:rPr>
      </w:pPr>
    </w:p>
    <w:p w:rsidRPr="00F133B5" w:rsidR="009D6B6D" w:rsidP="005240A1" w:rsidRDefault="009D6B6D" w14:paraId="1B557C48" w14:textId="77777777">
      <w:pPr>
        <w:pStyle w:val="FERCparanumber"/>
        <w:numPr>
          <w:ilvl w:val="0"/>
          <w:numId w:val="7"/>
        </w:numPr>
        <w:rPr>
          <w:szCs w:val="26"/>
        </w:rPr>
      </w:pPr>
      <w:r w:rsidRPr="00F133B5">
        <w:rPr>
          <w:b/>
          <w:szCs w:val="26"/>
        </w:rPr>
        <w:t>CONSEQUENCE TO FEDERAL PROGRAM IF COLLECTION WERE CONDUCTED LESS FREQUENTLY</w:t>
      </w:r>
    </w:p>
    <w:p w:rsidRPr="006D10E1" w:rsidR="00BB6095" w:rsidP="00BB6095" w:rsidRDefault="00BB6095" w14:paraId="398D8B95" w14:textId="77777777">
      <w:pPr>
        <w:pStyle w:val="FERCparanumber"/>
        <w:numPr>
          <w:ilvl w:val="0"/>
          <w:numId w:val="0"/>
        </w:numPr>
        <w:rPr>
          <w:szCs w:val="26"/>
        </w:rPr>
      </w:pPr>
    </w:p>
    <w:p w:rsidRPr="00F133B5" w:rsidR="00BB6095" w:rsidP="00BB6095" w:rsidRDefault="00BB6095" w14:paraId="06309A2A" w14:textId="17AF41AD">
      <w:pPr>
        <w:widowControl/>
        <w:rPr>
          <w:sz w:val="26"/>
          <w:szCs w:val="26"/>
        </w:rPr>
      </w:pPr>
      <w:r w:rsidRPr="00F133B5">
        <w:rPr>
          <w:sz w:val="26"/>
          <w:szCs w:val="26"/>
        </w:rPr>
        <w:t>Applic</w:t>
      </w:r>
      <w:r w:rsidRPr="00F133B5" w:rsidR="002D5138">
        <w:rPr>
          <w:sz w:val="26"/>
          <w:szCs w:val="26"/>
        </w:rPr>
        <w:t xml:space="preserve">ants submit an initial </w:t>
      </w:r>
      <w:r w:rsidRPr="00C72BB5" w:rsidR="00C72BB5">
        <w:rPr>
          <w:sz w:val="26"/>
          <w:szCs w:val="26"/>
        </w:rPr>
        <w:t xml:space="preserve">FERC Form No. 556 </w:t>
      </w:r>
      <w:r w:rsidRPr="00F133B5">
        <w:rPr>
          <w:sz w:val="26"/>
          <w:szCs w:val="26"/>
        </w:rPr>
        <w:t xml:space="preserve">and additional </w:t>
      </w:r>
      <w:r w:rsidRPr="00F133B5" w:rsidR="009B3F20">
        <w:rPr>
          <w:sz w:val="26"/>
          <w:szCs w:val="26"/>
        </w:rPr>
        <w:t xml:space="preserve">forms </w:t>
      </w:r>
      <w:r w:rsidRPr="00F133B5">
        <w:rPr>
          <w:sz w:val="26"/>
          <w:szCs w:val="26"/>
        </w:rPr>
        <w:t xml:space="preserve">for any changes in </w:t>
      </w:r>
      <w:r w:rsidR="003E3ECA">
        <w:rPr>
          <w:sz w:val="26"/>
          <w:szCs w:val="26"/>
        </w:rPr>
        <w:t>QF</w:t>
      </w:r>
      <w:r w:rsidR="00924E5F">
        <w:rPr>
          <w:sz w:val="26"/>
          <w:szCs w:val="26"/>
        </w:rPr>
        <w:t xml:space="preserve"> </w:t>
      </w:r>
      <w:r w:rsidRPr="00F133B5">
        <w:rPr>
          <w:sz w:val="26"/>
          <w:szCs w:val="26"/>
        </w:rPr>
        <w:t>status criteria.  If the information were not collected</w:t>
      </w:r>
      <w:r w:rsidR="006A6352">
        <w:rPr>
          <w:sz w:val="26"/>
          <w:szCs w:val="26"/>
        </w:rPr>
        <w:t xml:space="preserve"> </w:t>
      </w:r>
      <w:r w:rsidRPr="00F133B5" w:rsidR="009716B4">
        <w:rPr>
          <w:sz w:val="26"/>
          <w:szCs w:val="26"/>
        </w:rPr>
        <w:t>and kept up</w:t>
      </w:r>
      <w:r w:rsidRPr="00F133B5" w:rsidR="00870BDB">
        <w:rPr>
          <w:sz w:val="26"/>
          <w:szCs w:val="26"/>
        </w:rPr>
        <w:t>-</w:t>
      </w:r>
      <w:r w:rsidRPr="00F133B5" w:rsidR="009716B4">
        <w:rPr>
          <w:sz w:val="26"/>
          <w:szCs w:val="26"/>
        </w:rPr>
        <w:t>to</w:t>
      </w:r>
      <w:r w:rsidRPr="00F133B5" w:rsidR="00870BDB">
        <w:rPr>
          <w:sz w:val="26"/>
          <w:szCs w:val="26"/>
        </w:rPr>
        <w:t>-</w:t>
      </w:r>
      <w:r w:rsidRPr="00F133B5" w:rsidR="009716B4">
        <w:rPr>
          <w:sz w:val="26"/>
          <w:szCs w:val="26"/>
        </w:rPr>
        <w:t>date</w:t>
      </w:r>
      <w:r w:rsidR="00957FC9">
        <w:rPr>
          <w:sz w:val="26"/>
          <w:szCs w:val="26"/>
        </w:rPr>
        <w:t xml:space="preserve">, </w:t>
      </w:r>
      <w:r w:rsidR="00957FC9">
        <w:rPr>
          <w:sz w:val="26"/>
          <w:szCs w:val="26"/>
        </w:rPr>
        <w:lastRenderedPageBreak/>
        <w:t xml:space="preserve">or </w:t>
      </w:r>
      <w:r w:rsidRPr="00F133B5" w:rsidR="009716B4">
        <w:rPr>
          <w:sz w:val="26"/>
          <w:szCs w:val="26"/>
        </w:rPr>
        <w:t xml:space="preserve">if any changes that affect the </w:t>
      </w:r>
      <w:r w:rsidR="003E3ECA">
        <w:rPr>
          <w:sz w:val="26"/>
          <w:szCs w:val="26"/>
        </w:rPr>
        <w:t>QF</w:t>
      </w:r>
      <w:r w:rsidRPr="00F133B5" w:rsidR="009716B4">
        <w:rPr>
          <w:sz w:val="26"/>
          <w:szCs w:val="26"/>
        </w:rPr>
        <w:t xml:space="preserve"> status occur</w:t>
      </w:r>
      <w:r w:rsidR="00957FC9">
        <w:rPr>
          <w:sz w:val="26"/>
          <w:szCs w:val="26"/>
        </w:rPr>
        <w:t>,</w:t>
      </w:r>
      <w:r w:rsidRPr="00F133B5">
        <w:rPr>
          <w:sz w:val="26"/>
          <w:szCs w:val="26"/>
        </w:rPr>
        <w:t xml:space="preserve"> the Commission would be unable to certify the facility as a QF, and the cogenerator or small power producer would be unable to determine whether it qualifies for the benefits bestowed by PURPA, including the exemptions from certain provisions of Federal and state law.</w:t>
      </w:r>
    </w:p>
    <w:p w:rsidRPr="00F133B5" w:rsidR="008156FB" w:rsidP="00BB6095" w:rsidRDefault="008156FB" w14:paraId="46D44FD3" w14:textId="1420A717">
      <w:pPr>
        <w:widowControl/>
        <w:rPr>
          <w:sz w:val="26"/>
          <w:szCs w:val="26"/>
        </w:rPr>
      </w:pPr>
    </w:p>
    <w:p w:rsidRPr="00F133B5" w:rsidR="00BB6095" w:rsidP="005240A1" w:rsidRDefault="00BB6095" w14:paraId="67BDA109" w14:textId="414C7D86">
      <w:pPr>
        <w:pStyle w:val="FERCparanumber"/>
        <w:numPr>
          <w:ilvl w:val="0"/>
          <w:numId w:val="7"/>
        </w:numPr>
        <w:rPr>
          <w:szCs w:val="26"/>
        </w:rPr>
      </w:pPr>
      <w:r w:rsidRPr="00F133B5">
        <w:rPr>
          <w:b/>
          <w:szCs w:val="26"/>
        </w:rPr>
        <w:t>EXPLAIN ANY SPECIAL CIRCUMSTANCES RELATING TO THE INFORMATION</w:t>
      </w:r>
    </w:p>
    <w:p w:rsidRPr="00F133B5" w:rsidR="00BB6095" w:rsidP="00BB6095" w:rsidRDefault="00BB6095" w14:paraId="70D7B98C" w14:textId="77777777">
      <w:pPr>
        <w:pStyle w:val="FERCparanumber"/>
        <w:numPr>
          <w:ilvl w:val="0"/>
          <w:numId w:val="0"/>
        </w:numPr>
        <w:rPr>
          <w:b/>
          <w:szCs w:val="26"/>
        </w:rPr>
      </w:pPr>
    </w:p>
    <w:p w:rsidRPr="00F133B5" w:rsidR="00BB6095" w:rsidP="00BB6095" w:rsidRDefault="00A735D0" w14:paraId="1EF6238D" w14:textId="77777777">
      <w:pPr>
        <w:rPr>
          <w:sz w:val="26"/>
          <w:szCs w:val="26"/>
        </w:rPr>
      </w:pPr>
      <w:r w:rsidRPr="00F133B5">
        <w:rPr>
          <w:sz w:val="26"/>
          <w:szCs w:val="26"/>
        </w:rPr>
        <w:t>There are no special circumstances</w:t>
      </w:r>
      <w:r w:rsidRPr="00F133B5" w:rsidR="00BB6095">
        <w:rPr>
          <w:sz w:val="26"/>
          <w:szCs w:val="26"/>
        </w:rPr>
        <w:t xml:space="preserve">.  </w:t>
      </w:r>
    </w:p>
    <w:p w:rsidRPr="00F133B5" w:rsidR="00BB6095" w:rsidP="00BB6095" w:rsidRDefault="00BB6095" w14:paraId="63BE9D14" w14:textId="77777777">
      <w:pPr>
        <w:pStyle w:val="FERCparanumber"/>
        <w:numPr>
          <w:ilvl w:val="0"/>
          <w:numId w:val="0"/>
        </w:numPr>
        <w:rPr>
          <w:szCs w:val="26"/>
        </w:rPr>
      </w:pPr>
    </w:p>
    <w:p w:rsidRPr="00F133B5" w:rsidR="009D6B6D" w:rsidP="001D2EC1" w:rsidRDefault="00BB6095" w14:paraId="229D05B3" w14:textId="77777777">
      <w:pPr>
        <w:pStyle w:val="FERCparanumber"/>
        <w:numPr>
          <w:ilvl w:val="0"/>
          <w:numId w:val="7"/>
        </w:numPr>
        <w:rPr>
          <w:szCs w:val="26"/>
        </w:rPr>
      </w:pPr>
      <w:r w:rsidRPr="00F133B5">
        <w:rPr>
          <w:b/>
          <w:szCs w:val="26"/>
        </w:rPr>
        <w:t>DESCRIBE EFFORTS TO CONSULT OUTSIDE THE AGENCY: SUMMARIZE PUBLIC COMMENTS AND THE AGENCY’S RESPONSE TO THESE COMMENTS</w:t>
      </w:r>
    </w:p>
    <w:p w:rsidRPr="00F133B5" w:rsidR="00BB6095" w:rsidP="00BB6095" w:rsidRDefault="00BB6095" w14:paraId="7CF05A0C" w14:textId="77777777">
      <w:pPr>
        <w:pStyle w:val="FERCparanumber"/>
        <w:numPr>
          <w:ilvl w:val="0"/>
          <w:numId w:val="0"/>
        </w:numPr>
        <w:rPr>
          <w:b/>
          <w:szCs w:val="26"/>
        </w:rPr>
      </w:pPr>
    </w:p>
    <w:p w:rsidRPr="00F133B5" w:rsidR="00BB6095" w:rsidP="00BB6095" w:rsidRDefault="00436890" w14:paraId="2BBB7D24" w14:textId="397735FB">
      <w:pPr>
        <w:pStyle w:val="FERCparanumber"/>
        <w:numPr>
          <w:ilvl w:val="0"/>
          <w:numId w:val="0"/>
        </w:numPr>
        <w:rPr>
          <w:szCs w:val="26"/>
        </w:rPr>
      </w:pPr>
      <w:r w:rsidRPr="00F133B5">
        <w:rPr>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 of data.  The NOPR (issued </w:t>
      </w:r>
      <w:r w:rsidR="009322FC">
        <w:rPr>
          <w:szCs w:val="26"/>
        </w:rPr>
        <w:t>10/15/2020</w:t>
      </w:r>
      <w:r w:rsidRPr="00F133B5">
        <w:rPr>
          <w:szCs w:val="26"/>
        </w:rPr>
        <w:t xml:space="preserve">) </w:t>
      </w:r>
      <w:r w:rsidR="009A3275">
        <w:rPr>
          <w:szCs w:val="26"/>
        </w:rPr>
        <w:t>was</w:t>
      </w:r>
      <w:r w:rsidRPr="00F133B5" w:rsidR="009322FC">
        <w:rPr>
          <w:szCs w:val="26"/>
        </w:rPr>
        <w:t xml:space="preserve"> </w:t>
      </w:r>
      <w:r w:rsidRPr="00F133B5">
        <w:rPr>
          <w:szCs w:val="26"/>
        </w:rPr>
        <w:t>published in the Federal Register</w:t>
      </w:r>
      <w:r w:rsidR="009A3275">
        <w:rPr>
          <w:szCs w:val="26"/>
        </w:rPr>
        <w:t xml:space="preserve"> on 10/26/2020 (85 FR </w:t>
      </w:r>
      <w:r w:rsidRPr="009A3275" w:rsidR="009A3275">
        <w:rPr>
          <w:szCs w:val="26"/>
        </w:rPr>
        <w:t>67699</w:t>
      </w:r>
      <w:r w:rsidR="009A3275">
        <w:rPr>
          <w:szCs w:val="26"/>
        </w:rPr>
        <w:t>)</w:t>
      </w:r>
      <w:r w:rsidRPr="00F133B5">
        <w:rPr>
          <w:szCs w:val="26"/>
        </w:rPr>
        <w:t>.</w:t>
      </w:r>
      <w:r w:rsidRPr="00AE54BC" w:rsidR="008514B1">
        <w:rPr>
          <w:rStyle w:val="FootnoteReference"/>
          <w:szCs w:val="26"/>
          <w:vertAlign w:val="superscript"/>
        </w:rPr>
        <w:footnoteReference w:id="6"/>
      </w:r>
      <w:r w:rsidRPr="00AE54BC">
        <w:rPr>
          <w:szCs w:val="26"/>
          <w:vertAlign w:val="superscript"/>
        </w:rPr>
        <w:t xml:space="preserve"> </w:t>
      </w:r>
      <w:r w:rsidRPr="00F133B5">
        <w:rPr>
          <w:szCs w:val="26"/>
        </w:rPr>
        <w:t xml:space="preserve">  </w:t>
      </w:r>
    </w:p>
    <w:p w:rsidRPr="0086028D" w:rsidR="00ED29B5" w:rsidP="006A7C95" w:rsidRDefault="00ED29B5" w14:paraId="27BD47F0" w14:textId="52A5CED2">
      <w:pPr>
        <w:pStyle w:val="FERCparanumber"/>
        <w:numPr>
          <w:ilvl w:val="0"/>
          <w:numId w:val="0"/>
        </w:numPr>
        <w:rPr>
          <w:szCs w:val="26"/>
        </w:rPr>
      </w:pPr>
    </w:p>
    <w:p w:rsidRPr="008232C3" w:rsidR="009D6B6D" w:rsidP="001D2EC1" w:rsidRDefault="00BB6095" w14:paraId="26B16004" w14:textId="77777777">
      <w:pPr>
        <w:pStyle w:val="FERCparanumber"/>
        <w:numPr>
          <w:ilvl w:val="0"/>
          <w:numId w:val="7"/>
        </w:numPr>
        <w:rPr>
          <w:szCs w:val="26"/>
        </w:rPr>
      </w:pPr>
      <w:r w:rsidRPr="0086028D">
        <w:rPr>
          <w:b/>
          <w:szCs w:val="26"/>
        </w:rPr>
        <w:t>EXPLAIN ANY PAYMENT OR GIFTS TO RESPONDENTS</w:t>
      </w:r>
    </w:p>
    <w:p w:rsidRPr="008232C3" w:rsidR="00BB6095" w:rsidP="00BB6095" w:rsidRDefault="00BB6095" w14:paraId="7DBD408E" w14:textId="77777777">
      <w:pPr>
        <w:pStyle w:val="FERCparanumber"/>
        <w:numPr>
          <w:ilvl w:val="0"/>
          <w:numId w:val="0"/>
        </w:numPr>
        <w:rPr>
          <w:b/>
          <w:szCs w:val="26"/>
        </w:rPr>
      </w:pPr>
    </w:p>
    <w:p w:rsidR="00BB6095" w:rsidP="0032547E" w:rsidRDefault="00BB6095" w14:paraId="412AE918" w14:textId="1568F5DC">
      <w:pPr>
        <w:widowControl/>
        <w:rPr>
          <w:sz w:val="26"/>
          <w:szCs w:val="26"/>
        </w:rPr>
      </w:pPr>
      <w:r w:rsidRPr="008232C3">
        <w:rPr>
          <w:sz w:val="26"/>
          <w:szCs w:val="26"/>
        </w:rPr>
        <w:t>There are no payments or gifts to respondents.</w:t>
      </w:r>
    </w:p>
    <w:p w:rsidRPr="0032547E" w:rsidR="00071E76" w:rsidP="0032547E" w:rsidRDefault="00071E76" w14:paraId="76ACA8A6" w14:textId="77777777">
      <w:pPr>
        <w:widowControl/>
        <w:rPr>
          <w:sz w:val="26"/>
          <w:szCs w:val="26"/>
        </w:rPr>
      </w:pPr>
    </w:p>
    <w:p w:rsidRPr="008232C3" w:rsidR="009D6B6D" w:rsidP="001D2EC1" w:rsidRDefault="00BB6095" w14:paraId="263D2160" w14:textId="77777777">
      <w:pPr>
        <w:pStyle w:val="FERCparanumber"/>
        <w:numPr>
          <w:ilvl w:val="0"/>
          <w:numId w:val="7"/>
        </w:numPr>
        <w:rPr>
          <w:szCs w:val="26"/>
        </w:rPr>
      </w:pPr>
      <w:r w:rsidRPr="008232C3">
        <w:rPr>
          <w:b/>
          <w:szCs w:val="26"/>
        </w:rPr>
        <w:t>DESCRIBE ANY ASSURANCE OF CONFIDENTIALITY PROVIDED TO RESPONDENTS</w:t>
      </w:r>
    </w:p>
    <w:p w:rsidR="00BB6095" w:rsidP="0009709D" w:rsidRDefault="00BB6095" w14:paraId="3784C8E1" w14:textId="77777777">
      <w:pPr>
        <w:pStyle w:val="FERCparanumber"/>
        <w:widowControl w:val="0"/>
        <w:numPr>
          <w:ilvl w:val="0"/>
          <w:numId w:val="0"/>
        </w:numPr>
        <w:rPr>
          <w:szCs w:val="26"/>
        </w:rPr>
      </w:pPr>
    </w:p>
    <w:p w:rsidRPr="008232C3" w:rsidR="00BB6095" w:rsidP="00731740" w:rsidRDefault="008333BB" w14:paraId="42E9CED4" w14:textId="0E6D12EC">
      <w:pPr>
        <w:pStyle w:val="FERCparanumber"/>
        <w:widowControl w:val="0"/>
        <w:numPr>
          <w:ilvl w:val="0"/>
          <w:numId w:val="0"/>
        </w:numPr>
        <w:rPr>
          <w:szCs w:val="26"/>
        </w:rPr>
      </w:pPr>
      <w:r w:rsidRPr="008232C3">
        <w:rPr>
          <w:szCs w:val="26"/>
        </w:rPr>
        <w:t xml:space="preserve">The Commission does not consider the information collected in </w:t>
      </w:r>
      <w:r w:rsidR="00C76F75">
        <w:rPr>
          <w:szCs w:val="26"/>
        </w:rPr>
        <w:t xml:space="preserve">FERC </w:t>
      </w:r>
      <w:r w:rsidRPr="008232C3" w:rsidR="00D97701">
        <w:rPr>
          <w:szCs w:val="26"/>
        </w:rPr>
        <w:t>F</w:t>
      </w:r>
      <w:r w:rsidRPr="008232C3" w:rsidR="00EE3697">
        <w:rPr>
          <w:szCs w:val="26"/>
        </w:rPr>
        <w:t xml:space="preserve">orm </w:t>
      </w:r>
      <w:r w:rsidR="00682D36">
        <w:rPr>
          <w:szCs w:val="26"/>
        </w:rPr>
        <w:t>No.</w:t>
      </w:r>
      <w:r w:rsidRPr="008232C3" w:rsidR="00EE3697">
        <w:rPr>
          <w:szCs w:val="26"/>
        </w:rPr>
        <w:t xml:space="preserve"> </w:t>
      </w:r>
      <w:r w:rsidRPr="008232C3" w:rsidR="00D97701">
        <w:rPr>
          <w:szCs w:val="26"/>
        </w:rPr>
        <w:t>556</w:t>
      </w:r>
      <w:r w:rsidRPr="008232C3">
        <w:rPr>
          <w:szCs w:val="26"/>
        </w:rPr>
        <w:t xml:space="preserve"> </w:t>
      </w:r>
      <w:r w:rsidR="00D422B0">
        <w:rPr>
          <w:szCs w:val="26"/>
        </w:rPr>
        <w:t xml:space="preserve">(or proposed FERC-556A) </w:t>
      </w:r>
      <w:r w:rsidRPr="008232C3">
        <w:rPr>
          <w:szCs w:val="26"/>
        </w:rPr>
        <w:t>to be confidential.  However, the Commission will consider specific requests for confidential treatment (e.g.</w:t>
      </w:r>
      <w:r w:rsidR="00804897">
        <w:rPr>
          <w:szCs w:val="26"/>
        </w:rPr>
        <w:t>,</w:t>
      </w:r>
      <w:r w:rsidRPr="008232C3">
        <w:rPr>
          <w:szCs w:val="26"/>
        </w:rPr>
        <w:t xml:space="preserve"> Critical Energy/Electric Infrastructure </w:t>
      </w:r>
      <w:r w:rsidR="0009709D">
        <w:rPr>
          <w:szCs w:val="26"/>
        </w:rPr>
        <w:t>I</w:t>
      </w:r>
      <w:r w:rsidRPr="008232C3">
        <w:rPr>
          <w:szCs w:val="26"/>
        </w:rPr>
        <w:t xml:space="preserve">nformation </w:t>
      </w:r>
      <w:r w:rsidR="00682D36">
        <w:rPr>
          <w:szCs w:val="26"/>
        </w:rPr>
        <w:t>(</w:t>
      </w:r>
      <w:r w:rsidRPr="008232C3">
        <w:rPr>
          <w:szCs w:val="26"/>
        </w:rPr>
        <w:t>CEII</w:t>
      </w:r>
      <w:r w:rsidR="00682D36">
        <w:rPr>
          <w:szCs w:val="26"/>
        </w:rPr>
        <w:t>)</w:t>
      </w:r>
      <w:r w:rsidRPr="008232C3">
        <w:rPr>
          <w:szCs w:val="26"/>
        </w:rPr>
        <w:t xml:space="preserve"> or non-public)</w:t>
      </w:r>
      <w:r w:rsidR="00011977">
        <w:rPr>
          <w:szCs w:val="26"/>
        </w:rPr>
        <w:t xml:space="preserve"> t</w:t>
      </w:r>
      <w:r w:rsidRPr="008232C3">
        <w:rPr>
          <w:szCs w:val="26"/>
        </w:rPr>
        <w:t>o the extent permitted by law.</w:t>
      </w:r>
      <w:r w:rsidRPr="008232C3">
        <w:rPr>
          <w:rStyle w:val="FootnoteReference"/>
          <w:szCs w:val="26"/>
          <w:vertAlign w:val="superscript"/>
        </w:rPr>
        <w:footnoteReference w:id="7"/>
      </w:r>
      <w:r w:rsidRPr="008232C3">
        <w:rPr>
          <w:szCs w:val="26"/>
        </w:rPr>
        <w:t xml:space="preserve">  The Commission will review each request for confidential treatment on a case-by-case basis.</w:t>
      </w:r>
    </w:p>
    <w:p w:rsidRPr="008232C3" w:rsidR="008333BB" w:rsidP="00BB6095" w:rsidRDefault="008333BB" w14:paraId="463BB203" w14:textId="2BD7401D">
      <w:pPr>
        <w:pStyle w:val="FERCparanumber"/>
        <w:numPr>
          <w:ilvl w:val="0"/>
          <w:numId w:val="0"/>
        </w:numPr>
        <w:rPr>
          <w:szCs w:val="26"/>
        </w:rPr>
      </w:pPr>
    </w:p>
    <w:p w:rsidRPr="008232C3" w:rsidR="009D6B6D" w:rsidP="00537680" w:rsidRDefault="00BB6095" w14:paraId="725D48C8" w14:textId="77777777">
      <w:pPr>
        <w:pStyle w:val="FERCparanumber"/>
        <w:keepLines/>
        <w:numPr>
          <w:ilvl w:val="0"/>
          <w:numId w:val="7"/>
        </w:numPr>
        <w:rPr>
          <w:szCs w:val="26"/>
        </w:rPr>
      </w:pPr>
      <w:r w:rsidRPr="008232C3">
        <w:rPr>
          <w:b/>
          <w:szCs w:val="26"/>
        </w:rPr>
        <w:lastRenderedPageBreak/>
        <w:t>PROVIDE ADDITIONAL JUSTIFICATION FOR ANY QUESTIONS OF A SENSITIVE NATURE</w:t>
      </w:r>
      <w:r w:rsidRPr="008232C3" w:rsidR="00316F67">
        <w:rPr>
          <w:b/>
          <w:szCs w:val="26"/>
        </w:rPr>
        <w:t>, SUCH AS SEXUAL BEHAVIOR AND ATTITUDES, RELIGIOUS BELIEFS, AND OTHER MATTERS THAT ARE COMMONLY CONSIDERED PRIVATE</w:t>
      </w:r>
    </w:p>
    <w:p w:rsidRPr="006A7C95" w:rsidR="00BB6095" w:rsidP="00BB6095" w:rsidRDefault="00BB6095" w14:paraId="7FBE0522" w14:textId="77777777">
      <w:pPr>
        <w:pStyle w:val="FERCparanumber"/>
        <w:numPr>
          <w:ilvl w:val="0"/>
          <w:numId w:val="0"/>
        </w:numPr>
        <w:rPr>
          <w:b/>
          <w:szCs w:val="26"/>
        </w:rPr>
      </w:pPr>
    </w:p>
    <w:p w:rsidRPr="008232C3" w:rsidR="00BB6095" w:rsidP="0093505E" w:rsidRDefault="00BB6095" w14:paraId="37D7D985" w14:textId="0CB1C811">
      <w:pPr>
        <w:widowControl/>
        <w:tabs>
          <w:tab w:val="right" w:pos="9360"/>
        </w:tabs>
        <w:rPr>
          <w:b/>
          <w:sz w:val="26"/>
          <w:szCs w:val="26"/>
        </w:rPr>
      </w:pPr>
      <w:r w:rsidRPr="008232C3">
        <w:rPr>
          <w:sz w:val="26"/>
          <w:szCs w:val="26"/>
        </w:rPr>
        <w:t xml:space="preserve">There are no questions of a sensitive nature.  </w:t>
      </w:r>
      <w:r w:rsidR="0093505E">
        <w:rPr>
          <w:sz w:val="26"/>
          <w:szCs w:val="26"/>
        </w:rPr>
        <w:tab/>
      </w:r>
    </w:p>
    <w:p w:rsidRPr="008232C3" w:rsidR="00BB6095" w:rsidP="00BB6095" w:rsidRDefault="00BB6095" w14:paraId="6EC09A02" w14:textId="77777777">
      <w:pPr>
        <w:pStyle w:val="FERCparanumber"/>
        <w:numPr>
          <w:ilvl w:val="0"/>
          <w:numId w:val="0"/>
        </w:numPr>
        <w:rPr>
          <w:szCs w:val="26"/>
        </w:rPr>
      </w:pPr>
    </w:p>
    <w:p w:rsidRPr="008232C3" w:rsidR="00BB6095" w:rsidP="001D2EC1" w:rsidRDefault="00BB6095" w14:paraId="6DE11EA2" w14:textId="77777777">
      <w:pPr>
        <w:pStyle w:val="FERCparanumber"/>
        <w:numPr>
          <w:ilvl w:val="0"/>
          <w:numId w:val="7"/>
        </w:numPr>
        <w:rPr>
          <w:szCs w:val="26"/>
        </w:rPr>
      </w:pPr>
      <w:r w:rsidRPr="008232C3">
        <w:rPr>
          <w:b/>
          <w:szCs w:val="26"/>
        </w:rPr>
        <w:t xml:space="preserve">ESTIMATED BURDEN </w:t>
      </w:r>
      <w:r w:rsidRPr="008232C3" w:rsidR="00677FF7">
        <w:rPr>
          <w:b/>
          <w:szCs w:val="26"/>
        </w:rPr>
        <w:t xml:space="preserve">FOR </w:t>
      </w:r>
      <w:r w:rsidRPr="008232C3">
        <w:rPr>
          <w:b/>
          <w:szCs w:val="26"/>
        </w:rPr>
        <w:t>COLLECTION OF INFORMATION</w:t>
      </w:r>
    </w:p>
    <w:p w:rsidRPr="006A7C95" w:rsidR="000A3061" w:rsidP="00BB6095" w:rsidRDefault="000A3061" w14:paraId="6BA315FF" w14:textId="323B1ABB">
      <w:pPr>
        <w:widowControl/>
        <w:rPr>
          <w:sz w:val="26"/>
          <w:szCs w:val="26"/>
        </w:rPr>
      </w:pPr>
    </w:p>
    <w:p w:rsidRPr="008232C3" w:rsidR="005F7129" w:rsidP="002D68D0" w:rsidRDefault="005F7129" w14:paraId="5962D317" w14:textId="542BAC3F">
      <w:pPr>
        <w:pStyle w:val="FERCparanumber"/>
        <w:numPr>
          <w:ilvl w:val="0"/>
          <w:numId w:val="0"/>
        </w:numPr>
        <w:ind w:left="72"/>
        <w:rPr>
          <w:szCs w:val="26"/>
        </w:rPr>
      </w:pPr>
      <w:bookmarkStart w:name="_Hlk19625702" w:id="2"/>
      <w:r w:rsidRPr="008232C3">
        <w:rPr>
          <w:szCs w:val="26"/>
        </w:rPr>
        <w:t xml:space="preserve">The </w:t>
      </w:r>
      <w:r w:rsidR="00265A17">
        <w:rPr>
          <w:szCs w:val="26"/>
        </w:rPr>
        <w:t>estimates for the proposed</w:t>
      </w:r>
      <w:r w:rsidRPr="008232C3" w:rsidR="00265A17">
        <w:rPr>
          <w:szCs w:val="26"/>
        </w:rPr>
        <w:t xml:space="preserve"> </w:t>
      </w:r>
      <w:r w:rsidRPr="008232C3">
        <w:rPr>
          <w:szCs w:val="26"/>
        </w:rPr>
        <w:t xml:space="preserve">changes </w:t>
      </w:r>
      <w:r w:rsidR="00E41022">
        <w:rPr>
          <w:szCs w:val="26"/>
        </w:rPr>
        <w:t>to FERC-556 in</w:t>
      </w:r>
      <w:r w:rsidRPr="008232C3" w:rsidR="00F82E03">
        <w:rPr>
          <w:szCs w:val="26"/>
        </w:rPr>
        <w:t xml:space="preserve"> </w:t>
      </w:r>
      <w:r w:rsidRPr="008232C3">
        <w:rPr>
          <w:szCs w:val="26"/>
        </w:rPr>
        <w:t xml:space="preserve">the </w:t>
      </w:r>
      <w:r w:rsidR="00E41022">
        <w:rPr>
          <w:szCs w:val="26"/>
        </w:rPr>
        <w:t>NOPR</w:t>
      </w:r>
      <w:r w:rsidRPr="008232C3">
        <w:rPr>
          <w:szCs w:val="26"/>
        </w:rPr>
        <w:t xml:space="preserve"> in Docket Nos</w:t>
      </w:r>
      <w:r w:rsidR="006816BF">
        <w:rPr>
          <w:szCs w:val="26"/>
        </w:rPr>
        <w:t>.</w:t>
      </w:r>
      <w:r w:rsidRPr="008232C3">
        <w:rPr>
          <w:szCs w:val="26"/>
        </w:rPr>
        <w:t xml:space="preserve"> </w:t>
      </w:r>
      <w:bookmarkStart w:name="_GoBack" w:id="3"/>
      <w:bookmarkEnd w:id="3"/>
      <w:r w:rsidRPr="008232C3">
        <w:rPr>
          <w:szCs w:val="26"/>
        </w:rPr>
        <w:t>RM</w:t>
      </w:r>
      <w:r w:rsidR="00E41022">
        <w:rPr>
          <w:szCs w:val="26"/>
        </w:rPr>
        <w:t>21-2</w:t>
      </w:r>
      <w:r w:rsidRPr="008232C3">
        <w:rPr>
          <w:szCs w:val="26"/>
        </w:rPr>
        <w:t xml:space="preserve"> and </w:t>
      </w:r>
      <w:r w:rsidR="00E41022">
        <w:rPr>
          <w:szCs w:val="26"/>
        </w:rPr>
        <w:t>RM20-20</w:t>
      </w:r>
      <w:r w:rsidRPr="008232C3">
        <w:rPr>
          <w:szCs w:val="26"/>
        </w:rPr>
        <w:t xml:space="preserve"> follow.</w:t>
      </w:r>
      <w:r w:rsidRPr="00B54827" w:rsidR="00265A17">
        <w:rPr>
          <w:rStyle w:val="FootnoteReference"/>
          <w:szCs w:val="26"/>
          <w:vertAlign w:val="superscript"/>
        </w:rPr>
        <w:footnoteReference w:id="8"/>
      </w:r>
    </w:p>
    <w:p w:rsidR="00F10FF9" w:rsidRDefault="00F10FF9" w14:paraId="704E2851" w14:textId="7BCE94CC"/>
    <w:tbl>
      <w:tblPr>
        <w:tblpPr w:leftFromText="180" w:rightFromText="180" w:vertAnchor="text" w:horzAnchor="margin" w:tblpXSpec="center" w:tblpY="55"/>
        <w:tblW w:w="57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183"/>
        <w:gridCol w:w="1338"/>
        <w:gridCol w:w="1247"/>
        <w:gridCol w:w="1174"/>
        <w:gridCol w:w="1522"/>
        <w:gridCol w:w="1440"/>
        <w:gridCol w:w="1291"/>
      </w:tblGrid>
      <w:tr w:rsidRPr="0093505E" w:rsidR="00E41022" w:rsidTr="00AB4574" w14:paraId="27D81420" w14:textId="77777777">
        <w:trPr>
          <w:cantSplit/>
        </w:trPr>
        <w:tc>
          <w:tcPr>
            <w:tcW w:w="5000" w:type="pct"/>
            <w:gridSpan w:val="8"/>
            <w:shd w:val="clear" w:color="auto" w:fill="D9D9D9"/>
            <w:vAlign w:val="center"/>
            <w:hideMark/>
          </w:tcPr>
          <w:p w:rsidRPr="0093505E" w:rsidR="00BB7AA6" w:rsidP="00B54827" w:rsidRDefault="00E41022" w14:paraId="74ED5140" w14:textId="396CFCB0">
            <w:pPr>
              <w:jc w:val="center"/>
              <w:rPr>
                <w:rFonts w:eastAsia="Calibri"/>
                <w:b/>
                <w:sz w:val="20"/>
                <w:szCs w:val="20"/>
              </w:rPr>
            </w:pPr>
            <w:r w:rsidRPr="0093505E">
              <w:rPr>
                <w:b/>
                <w:sz w:val="20"/>
                <w:szCs w:val="20"/>
              </w:rPr>
              <w:lastRenderedPageBreak/>
              <w:t>FERC-556</w:t>
            </w:r>
            <w:r w:rsidRPr="0093505E" w:rsidR="00D422B0">
              <w:rPr>
                <w:b/>
                <w:sz w:val="20"/>
                <w:szCs w:val="20"/>
              </w:rPr>
              <w:t>A</w:t>
            </w:r>
            <w:r w:rsidRPr="0093505E">
              <w:rPr>
                <w:b/>
                <w:sz w:val="20"/>
                <w:szCs w:val="20"/>
              </w:rPr>
              <w:t xml:space="preserve">, </w:t>
            </w:r>
            <w:r w:rsidRPr="0093505E">
              <w:rPr>
                <w:rFonts w:eastAsia="Calibri"/>
                <w:b/>
                <w:sz w:val="20"/>
                <w:szCs w:val="20"/>
              </w:rPr>
              <w:t xml:space="preserve">Certification of Qualifying Facility Status for a Small Power Production or Cogeneration Facility, </w:t>
            </w:r>
          </w:p>
          <w:p w:rsidRPr="0093505E" w:rsidR="00E41022" w:rsidP="00B54827" w:rsidRDefault="00D422B0" w14:paraId="435826DF" w14:textId="2D5EB780">
            <w:pPr>
              <w:jc w:val="center"/>
              <w:rPr>
                <w:b/>
                <w:sz w:val="20"/>
                <w:szCs w:val="20"/>
              </w:rPr>
            </w:pPr>
            <w:r w:rsidRPr="0093505E">
              <w:rPr>
                <w:b/>
                <w:sz w:val="20"/>
                <w:szCs w:val="20"/>
              </w:rPr>
              <w:t xml:space="preserve">Estimates </w:t>
            </w:r>
            <w:r w:rsidRPr="0093505E" w:rsidR="00E41022">
              <w:rPr>
                <w:b/>
                <w:sz w:val="20"/>
                <w:szCs w:val="20"/>
              </w:rPr>
              <w:t>Due to NOPR in Docket Nos. RM21-2-000 and RM20-20-000</w:t>
            </w:r>
            <w:r w:rsidRPr="0093505E" w:rsidR="00E41022">
              <w:rPr>
                <w:b/>
                <w:sz w:val="20"/>
                <w:szCs w:val="20"/>
                <w:vertAlign w:val="superscript"/>
              </w:rPr>
              <w:footnoteReference w:id="9"/>
            </w:r>
          </w:p>
        </w:tc>
      </w:tr>
      <w:tr w:rsidRPr="0093505E" w:rsidR="00582FD7" w:rsidTr="00AB4574" w14:paraId="2811F730" w14:textId="77777777">
        <w:trPr>
          <w:cantSplit/>
        </w:trPr>
        <w:tc>
          <w:tcPr>
            <w:tcW w:w="747" w:type="pct"/>
            <w:shd w:val="clear" w:color="auto" w:fill="D9D9D9"/>
            <w:vAlign w:val="bottom"/>
            <w:hideMark/>
          </w:tcPr>
          <w:p w:rsidRPr="0093505E" w:rsidR="00E41022" w:rsidP="00201B53" w:rsidRDefault="00E41022" w14:paraId="2788E4AC" w14:textId="77777777">
            <w:pPr>
              <w:jc w:val="center"/>
              <w:rPr>
                <w:b/>
                <w:sz w:val="20"/>
                <w:szCs w:val="20"/>
              </w:rPr>
            </w:pPr>
            <w:r w:rsidRPr="0093505E">
              <w:rPr>
                <w:b/>
                <w:sz w:val="20"/>
                <w:szCs w:val="20"/>
              </w:rPr>
              <w:t>Facility Type</w:t>
            </w:r>
          </w:p>
        </w:tc>
        <w:tc>
          <w:tcPr>
            <w:tcW w:w="547" w:type="pct"/>
            <w:shd w:val="clear" w:color="auto" w:fill="D9D9D9"/>
            <w:vAlign w:val="bottom"/>
            <w:hideMark/>
          </w:tcPr>
          <w:p w:rsidRPr="0093505E" w:rsidR="00E41022" w:rsidP="00201B53" w:rsidRDefault="00E41022" w14:paraId="49B9542E" w14:textId="77777777">
            <w:pPr>
              <w:jc w:val="center"/>
              <w:rPr>
                <w:b/>
                <w:sz w:val="20"/>
                <w:szCs w:val="20"/>
              </w:rPr>
            </w:pPr>
            <w:r w:rsidRPr="0093505E">
              <w:rPr>
                <w:b/>
                <w:sz w:val="20"/>
                <w:szCs w:val="20"/>
              </w:rPr>
              <w:t>Filing Type</w:t>
            </w:r>
          </w:p>
        </w:tc>
        <w:tc>
          <w:tcPr>
            <w:tcW w:w="619" w:type="pct"/>
            <w:shd w:val="clear" w:color="auto" w:fill="D9D9D9"/>
            <w:vAlign w:val="bottom"/>
            <w:hideMark/>
          </w:tcPr>
          <w:p w:rsidRPr="0093505E" w:rsidR="00E41022" w:rsidP="00201B53" w:rsidRDefault="00E41022" w14:paraId="65DF3D4E" w14:textId="77777777">
            <w:pPr>
              <w:jc w:val="center"/>
              <w:rPr>
                <w:b/>
                <w:sz w:val="20"/>
                <w:szCs w:val="20"/>
              </w:rPr>
            </w:pPr>
            <w:r w:rsidRPr="0093505E">
              <w:rPr>
                <w:b/>
                <w:sz w:val="20"/>
                <w:szCs w:val="20"/>
              </w:rPr>
              <w:t>Number of Respondents</w:t>
            </w:r>
            <w:r w:rsidRPr="0093505E">
              <w:rPr>
                <w:b/>
                <w:sz w:val="20"/>
                <w:szCs w:val="20"/>
              </w:rPr>
              <w:br/>
              <w:t>(1)</w:t>
            </w:r>
          </w:p>
        </w:tc>
        <w:tc>
          <w:tcPr>
            <w:tcW w:w="577" w:type="pct"/>
            <w:shd w:val="clear" w:color="auto" w:fill="D9D9D9"/>
            <w:vAlign w:val="bottom"/>
            <w:hideMark/>
          </w:tcPr>
          <w:p w:rsidRPr="0093505E" w:rsidR="00E41022" w:rsidP="00201B53" w:rsidRDefault="00E41022" w14:paraId="403FB5F3" w14:textId="77777777">
            <w:pPr>
              <w:jc w:val="center"/>
              <w:rPr>
                <w:b/>
                <w:sz w:val="20"/>
                <w:szCs w:val="20"/>
              </w:rPr>
            </w:pPr>
            <w:r w:rsidRPr="0093505E">
              <w:rPr>
                <w:b/>
                <w:sz w:val="20"/>
                <w:szCs w:val="20"/>
              </w:rPr>
              <w:t>Annual Number of Responses per Respondent</w:t>
            </w:r>
          </w:p>
          <w:p w:rsidRPr="0093505E" w:rsidR="00E41022" w:rsidP="00201B53" w:rsidRDefault="00E41022" w14:paraId="6733F23B" w14:textId="77777777">
            <w:pPr>
              <w:jc w:val="center"/>
              <w:rPr>
                <w:b/>
                <w:sz w:val="20"/>
                <w:szCs w:val="20"/>
              </w:rPr>
            </w:pPr>
            <w:r w:rsidRPr="0093505E">
              <w:rPr>
                <w:b/>
                <w:sz w:val="20"/>
                <w:szCs w:val="20"/>
              </w:rPr>
              <w:t>(2)</w:t>
            </w:r>
          </w:p>
        </w:tc>
        <w:tc>
          <w:tcPr>
            <w:tcW w:w="543" w:type="pct"/>
            <w:shd w:val="clear" w:color="auto" w:fill="D9D9D9"/>
            <w:vAlign w:val="bottom"/>
            <w:hideMark/>
          </w:tcPr>
          <w:p w:rsidRPr="0093505E" w:rsidR="00E41022" w:rsidP="00201B53" w:rsidRDefault="00E41022" w14:paraId="4EE0C229" w14:textId="77777777">
            <w:pPr>
              <w:jc w:val="center"/>
              <w:rPr>
                <w:b/>
                <w:sz w:val="20"/>
                <w:szCs w:val="20"/>
              </w:rPr>
            </w:pPr>
            <w:r w:rsidRPr="0093505E">
              <w:rPr>
                <w:b/>
                <w:sz w:val="20"/>
                <w:szCs w:val="20"/>
              </w:rPr>
              <w:t>Total Number of Responses (1)*(2)=(3)</w:t>
            </w:r>
          </w:p>
        </w:tc>
        <w:tc>
          <w:tcPr>
            <w:tcW w:w="704" w:type="pct"/>
            <w:shd w:val="clear" w:color="auto" w:fill="D9D9D9"/>
            <w:vAlign w:val="bottom"/>
            <w:hideMark/>
          </w:tcPr>
          <w:p w:rsidRPr="0093505E" w:rsidR="00E41022" w:rsidP="00201B53" w:rsidRDefault="00E41022" w14:paraId="1F857AFC" w14:textId="77777777">
            <w:pPr>
              <w:jc w:val="center"/>
              <w:rPr>
                <w:b/>
                <w:sz w:val="20"/>
                <w:szCs w:val="20"/>
              </w:rPr>
            </w:pPr>
            <w:r w:rsidRPr="0093505E">
              <w:rPr>
                <w:b/>
                <w:sz w:val="20"/>
                <w:szCs w:val="20"/>
              </w:rPr>
              <w:t>Average Burden Hours &amp; Cost Per Response</w:t>
            </w:r>
            <w:r w:rsidRPr="0093505E" w:rsidDel="008F4A1E">
              <w:rPr>
                <w:b/>
                <w:sz w:val="20"/>
                <w:szCs w:val="20"/>
              </w:rPr>
              <w:t xml:space="preserve"> </w:t>
            </w:r>
            <w:r w:rsidRPr="0093505E">
              <w:rPr>
                <w:b/>
                <w:sz w:val="20"/>
                <w:szCs w:val="20"/>
              </w:rPr>
              <w:t>(4)</w:t>
            </w:r>
          </w:p>
        </w:tc>
        <w:tc>
          <w:tcPr>
            <w:tcW w:w="666" w:type="pct"/>
            <w:shd w:val="clear" w:color="auto" w:fill="D9D9D9"/>
            <w:vAlign w:val="bottom"/>
            <w:hideMark/>
          </w:tcPr>
          <w:p w:rsidRPr="0093505E" w:rsidR="00E41022" w:rsidP="00201B53" w:rsidRDefault="00E41022" w14:paraId="5ECBD216" w14:textId="77777777">
            <w:pPr>
              <w:jc w:val="center"/>
              <w:rPr>
                <w:b/>
                <w:sz w:val="20"/>
                <w:szCs w:val="20"/>
              </w:rPr>
            </w:pPr>
            <w:r w:rsidRPr="0093505E">
              <w:rPr>
                <w:b/>
                <w:sz w:val="20"/>
                <w:szCs w:val="20"/>
              </w:rPr>
              <w:t>Total Annual Burden Hours &amp; Total Annual Cost</w:t>
            </w:r>
          </w:p>
          <w:p w:rsidRPr="0093505E" w:rsidR="00E41022" w:rsidP="00201B53" w:rsidRDefault="00E41022" w14:paraId="4C478D34" w14:textId="77777777">
            <w:pPr>
              <w:jc w:val="center"/>
              <w:rPr>
                <w:b/>
                <w:sz w:val="20"/>
                <w:szCs w:val="20"/>
              </w:rPr>
            </w:pPr>
            <w:r w:rsidRPr="0093505E">
              <w:rPr>
                <w:b/>
                <w:sz w:val="20"/>
                <w:szCs w:val="20"/>
              </w:rPr>
              <w:t>(3)*(4)=(5)</w:t>
            </w:r>
          </w:p>
        </w:tc>
        <w:tc>
          <w:tcPr>
            <w:tcW w:w="597" w:type="pct"/>
            <w:shd w:val="clear" w:color="auto" w:fill="D9D9D9"/>
            <w:vAlign w:val="bottom"/>
            <w:hideMark/>
          </w:tcPr>
          <w:p w:rsidRPr="0093505E" w:rsidR="00E41022" w:rsidP="00201B53" w:rsidRDefault="00E41022" w14:paraId="7000DD5A" w14:textId="77777777">
            <w:pPr>
              <w:jc w:val="center"/>
              <w:rPr>
                <w:b/>
                <w:sz w:val="20"/>
                <w:szCs w:val="20"/>
              </w:rPr>
            </w:pPr>
            <w:r w:rsidRPr="0093505E">
              <w:rPr>
                <w:b/>
                <w:sz w:val="20"/>
                <w:szCs w:val="20"/>
              </w:rPr>
              <w:t>Annual Cost per Respondent</w:t>
            </w:r>
          </w:p>
          <w:p w:rsidRPr="0093505E" w:rsidR="00E41022" w:rsidP="00201B53" w:rsidRDefault="00E41022" w14:paraId="6C38C140" w14:textId="77777777">
            <w:pPr>
              <w:jc w:val="center"/>
              <w:rPr>
                <w:b/>
                <w:sz w:val="20"/>
                <w:szCs w:val="20"/>
              </w:rPr>
            </w:pPr>
            <w:r w:rsidRPr="0093505E">
              <w:rPr>
                <w:b/>
                <w:sz w:val="20"/>
                <w:szCs w:val="20"/>
              </w:rPr>
              <w:t>($)</w:t>
            </w:r>
          </w:p>
          <w:p w:rsidRPr="0093505E" w:rsidR="00E41022" w:rsidP="00201B53" w:rsidRDefault="00E41022" w14:paraId="585AA252" w14:textId="77777777">
            <w:pPr>
              <w:jc w:val="center"/>
              <w:rPr>
                <w:b/>
                <w:sz w:val="20"/>
                <w:szCs w:val="20"/>
              </w:rPr>
            </w:pPr>
            <w:r w:rsidRPr="0093505E">
              <w:rPr>
                <w:b/>
                <w:sz w:val="20"/>
                <w:szCs w:val="20"/>
              </w:rPr>
              <w:t>(5)÷(1)</w:t>
            </w:r>
          </w:p>
        </w:tc>
      </w:tr>
      <w:tr w:rsidRPr="0093505E" w:rsidR="00582FD7" w:rsidTr="00AB4574" w14:paraId="54292DBD" w14:textId="77777777">
        <w:trPr>
          <w:cantSplit/>
          <w:trHeight w:val="1134"/>
        </w:trPr>
        <w:tc>
          <w:tcPr>
            <w:tcW w:w="747" w:type="pct"/>
            <w:shd w:val="clear" w:color="auto" w:fill="FFFFFF"/>
            <w:vAlign w:val="center"/>
          </w:tcPr>
          <w:p w:rsidRPr="0093505E" w:rsidR="00E41022" w:rsidP="00201B53" w:rsidRDefault="00E41022" w14:paraId="5444A648" w14:textId="77777777">
            <w:pPr>
              <w:rPr>
                <w:b/>
                <w:sz w:val="20"/>
                <w:szCs w:val="20"/>
              </w:rPr>
            </w:pPr>
            <w:bookmarkStart w:name="_Hlk52965114" w:id="5"/>
            <w:r w:rsidRPr="0093505E">
              <w:rPr>
                <w:sz w:val="20"/>
                <w:szCs w:val="20"/>
              </w:rPr>
              <w:t>Cogeneration Facility ≤ 1 MW</w:t>
            </w:r>
            <w:r w:rsidRPr="0093505E">
              <w:rPr>
                <w:b/>
                <w:sz w:val="20"/>
                <w:szCs w:val="20"/>
                <w:vertAlign w:val="superscript"/>
              </w:rPr>
              <w:footnoteReference w:id="10"/>
            </w:r>
          </w:p>
        </w:tc>
        <w:tc>
          <w:tcPr>
            <w:tcW w:w="547" w:type="pct"/>
            <w:shd w:val="clear" w:color="auto" w:fill="FFFFFF"/>
            <w:vAlign w:val="center"/>
          </w:tcPr>
          <w:p w:rsidRPr="0093505E" w:rsidR="00E41022" w:rsidP="00201B53" w:rsidRDefault="00E41022" w14:paraId="68ABFAAF" w14:textId="77777777">
            <w:pPr>
              <w:rPr>
                <w:b/>
                <w:sz w:val="20"/>
                <w:szCs w:val="20"/>
              </w:rPr>
            </w:pPr>
            <w:r w:rsidRPr="0093505E">
              <w:rPr>
                <w:sz w:val="20"/>
                <w:szCs w:val="20"/>
              </w:rPr>
              <w:t>Self-certification</w:t>
            </w:r>
          </w:p>
        </w:tc>
        <w:tc>
          <w:tcPr>
            <w:tcW w:w="619" w:type="pct"/>
            <w:shd w:val="clear" w:color="auto" w:fill="FFFFFF"/>
            <w:vAlign w:val="center"/>
          </w:tcPr>
          <w:p w:rsidRPr="0093505E" w:rsidR="00E41022" w:rsidP="00201B53" w:rsidRDefault="00E41022" w14:paraId="28BD064F" w14:textId="77777777">
            <w:pPr>
              <w:jc w:val="right"/>
              <w:rPr>
                <w:b/>
                <w:sz w:val="20"/>
                <w:szCs w:val="20"/>
              </w:rPr>
            </w:pPr>
            <w:r w:rsidRPr="0093505E">
              <w:rPr>
                <w:sz w:val="20"/>
                <w:szCs w:val="20"/>
              </w:rPr>
              <w:t>5</w:t>
            </w:r>
          </w:p>
        </w:tc>
        <w:tc>
          <w:tcPr>
            <w:tcW w:w="577" w:type="pct"/>
            <w:shd w:val="clear" w:color="auto" w:fill="FFFFFF"/>
            <w:vAlign w:val="center"/>
          </w:tcPr>
          <w:p w:rsidRPr="0093505E" w:rsidR="00E41022" w:rsidP="00201B53" w:rsidRDefault="00E41022" w14:paraId="76A7CC67" w14:textId="77777777">
            <w:pPr>
              <w:jc w:val="right"/>
              <w:rPr>
                <w:b/>
                <w:sz w:val="20"/>
                <w:szCs w:val="20"/>
              </w:rPr>
            </w:pPr>
            <w:r w:rsidRPr="0093505E">
              <w:rPr>
                <w:sz w:val="20"/>
                <w:szCs w:val="20"/>
              </w:rPr>
              <w:t>600</w:t>
            </w:r>
            <w:r w:rsidRPr="0093505E">
              <w:rPr>
                <w:rStyle w:val="FootnoteReference"/>
                <w:sz w:val="20"/>
                <w:szCs w:val="20"/>
                <w:vertAlign w:val="superscript"/>
              </w:rPr>
              <w:footnoteReference w:id="11"/>
            </w:r>
          </w:p>
        </w:tc>
        <w:tc>
          <w:tcPr>
            <w:tcW w:w="543" w:type="pct"/>
            <w:shd w:val="clear" w:color="auto" w:fill="FFFFFF"/>
            <w:vAlign w:val="center"/>
          </w:tcPr>
          <w:p w:rsidRPr="0093505E" w:rsidR="00E41022" w:rsidP="00201B53" w:rsidRDefault="00E41022" w14:paraId="1E59851B" w14:textId="77777777">
            <w:pPr>
              <w:jc w:val="right"/>
              <w:rPr>
                <w:b/>
                <w:sz w:val="20"/>
                <w:szCs w:val="20"/>
              </w:rPr>
            </w:pPr>
            <w:r w:rsidRPr="0093505E">
              <w:rPr>
                <w:sz w:val="20"/>
                <w:szCs w:val="20"/>
              </w:rPr>
              <w:t>3,000</w:t>
            </w:r>
          </w:p>
        </w:tc>
        <w:tc>
          <w:tcPr>
            <w:tcW w:w="704" w:type="pct"/>
            <w:shd w:val="clear" w:color="auto" w:fill="FFFFFF"/>
            <w:vAlign w:val="center"/>
          </w:tcPr>
          <w:p w:rsidRPr="0093505E" w:rsidR="00681C5A" w:rsidP="00B54827" w:rsidRDefault="00E41022" w14:paraId="011FCD94" w14:textId="77777777">
            <w:pPr>
              <w:jc w:val="right"/>
              <w:rPr>
                <w:sz w:val="20"/>
                <w:szCs w:val="20"/>
              </w:rPr>
            </w:pPr>
            <w:r w:rsidRPr="0093505E">
              <w:rPr>
                <w:sz w:val="20"/>
                <w:szCs w:val="20"/>
              </w:rPr>
              <w:t>1.5 hrs.;</w:t>
            </w:r>
          </w:p>
          <w:p w:rsidRPr="0093505E" w:rsidR="00E41022" w:rsidP="00B54827" w:rsidRDefault="00E41022" w14:paraId="12EA933B" w14:textId="1F61AC68">
            <w:pPr>
              <w:jc w:val="right"/>
              <w:rPr>
                <w:sz w:val="20"/>
                <w:szCs w:val="20"/>
              </w:rPr>
            </w:pPr>
            <w:r w:rsidRPr="0093505E">
              <w:rPr>
                <w:sz w:val="20"/>
                <w:szCs w:val="20"/>
              </w:rPr>
              <w:t>$124.50</w:t>
            </w:r>
          </w:p>
        </w:tc>
        <w:tc>
          <w:tcPr>
            <w:tcW w:w="666" w:type="pct"/>
            <w:shd w:val="clear" w:color="auto" w:fill="FFFFFF"/>
            <w:vAlign w:val="center"/>
          </w:tcPr>
          <w:p w:rsidRPr="0093505E" w:rsidR="00681C5A" w:rsidP="00B54827" w:rsidRDefault="00E41022" w14:paraId="4DE6CE64" w14:textId="77777777">
            <w:pPr>
              <w:jc w:val="right"/>
              <w:rPr>
                <w:sz w:val="20"/>
                <w:szCs w:val="20"/>
              </w:rPr>
            </w:pPr>
            <w:r w:rsidRPr="0093505E">
              <w:rPr>
                <w:sz w:val="20"/>
                <w:szCs w:val="20"/>
              </w:rPr>
              <w:t>4,500 hrs.;</w:t>
            </w:r>
          </w:p>
          <w:p w:rsidRPr="0093505E" w:rsidR="00E41022" w:rsidP="00B54827" w:rsidRDefault="00E41022" w14:paraId="5958D325" w14:textId="0D27E0C6">
            <w:pPr>
              <w:jc w:val="right"/>
              <w:rPr>
                <w:sz w:val="20"/>
                <w:szCs w:val="20"/>
              </w:rPr>
            </w:pPr>
            <w:r w:rsidRPr="0093505E">
              <w:rPr>
                <w:sz w:val="20"/>
                <w:szCs w:val="20"/>
              </w:rPr>
              <w:t>$373,500</w:t>
            </w:r>
          </w:p>
        </w:tc>
        <w:tc>
          <w:tcPr>
            <w:tcW w:w="597" w:type="pct"/>
            <w:shd w:val="clear" w:color="auto" w:fill="FFFFFF"/>
            <w:vAlign w:val="center"/>
          </w:tcPr>
          <w:p w:rsidRPr="0093505E" w:rsidR="00E41022" w:rsidP="00201B53" w:rsidRDefault="00E41022" w14:paraId="3FA91220" w14:textId="77777777">
            <w:pPr>
              <w:jc w:val="right"/>
              <w:rPr>
                <w:sz w:val="20"/>
                <w:szCs w:val="20"/>
              </w:rPr>
            </w:pPr>
            <w:r w:rsidRPr="0093505E" w:rsidDel="00396C93">
              <w:rPr>
                <w:sz w:val="20"/>
                <w:szCs w:val="20"/>
              </w:rPr>
              <w:t xml:space="preserve"> </w:t>
            </w:r>
            <w:r w:rsidRPr="0093505E">
              <w:rPr>
                <w:sz w:val="20"/>
                <w:szCs w:val="20"/>
              </w:rPr>
              <w:t>$74,700</w:t>
            </w:r>
          </w:p>
        </w:tc>
      </w:tr>
      <w:tr w:rsidRPr="0093505E" w:rsidR="00B54827" w:rsidTr="00AB4574" w14:paraId="3A396FEA" w14:textId="77777777">
        <w:trPr>
          <w:cantSplit/>
        </w:trPr>
        <w:tc>
          <w:tcPr>
            <w:tcW w:w="747" w:type="pct"/>
            <w:vAlign w:val="center"/>
            <w:hideMark/>
          </w:tcPr>
          <w:p w:rsidRPr="0093505E" w:rsidR="00E41022" w:rsidP="00201B53" w:rsidRDefault="00E41022" w14:paraId="4ACC9CE0" w14:textId="77777777">
            <w:pPr>
              <w:rPr>
                <w:sz w:val="20"/>
                <w:szCs w:val="20"/>
              </w:rPr>
            </w:pPr>
            <w:r w:rsidRPr="0093505E">
              <w:rPr>
                <w:sz w:val="20"/>
                <w:szCs w:val="20"/>
              </w:rPr>
              <w:t>Cogeneration Facility &gt; 1 MW</w:t>
            </w:r>
          </w:p>
        </w:tc>
        <w:tc>
          <w:tcPr>
            <w:tcW w:w="547" w:type="pct"/>
            <w:vAlign w:val="center"/>
            <w:hideMark/>
          </w:tcPr>
          <w:p w:rsidRPr="0093505E" w:rsidR="00E41022" w:rsidP="00201B53" w:rsidRDefault="00E41022" w14:paraId="26AB28D3" w14:textId="77777777">
            <w:pPr>
              <w:rPr>
                <w:sz w:val="20"/>
                <w:szCs w:val="20"/>
              </w:rPr>
            </w:pPr>
            <w:r w:rsidRPr="0093505E">
              <w:rPr>
                <w:sz w:val="20"/>
                <w:szCs w:val="20"/>
              </w:rPr>
              <w:t>Self-certification</w:t>
            </w:r>
          </w:p>
        </w:tc>
        <w:tc>
          <w:tcPr>
            <w:tcW w:w="619" w:type="pct"/>
            <w:vAlign w:val="center"/>
          </w:tcPr>
          <w:p w:rsidRPr="0093505E" w:rsidR="00E41022" w:rsidP="00201B53" w:rsidRDefault="00E41022" w14:paraId="0F49EC44" w14:textId="77777777">
            <w:pPr>
              <w:jc w:val="right"/>
              <w:rPr>
                <w:sz w:val="20"/>
                <w:szCs w:val="20"/>
              </w:rPr>
            </w:pPr>
            <w:r w:rsidRPr="0093505E">
              <w:rPr>
                <w:sz w:val="20"/>
                <w:szCs w:val="20"/>
              </w:rPr>
              <w:t>5</w:t>
            </w:r>
            <w:r w:rsidRPr="0093505E" w:rsidDel="00F739E1">
              <w:rPr>
                <w:sz w:val="20"/>
                <w:szCs w:val="20"/>
              </w:rPr>
              <w:t xml:space="preserve"> </w:t>
            </w:r>
          </w:p>
        </w:tc>
        <w:tc>
          <w:tcPr>
            <w:tcW w:w="577" w:type="pct"/>
            <w:vAlign w:val="center"/>
            <w:hideMark/>
          </w:tcPr>
          <w:p w:rsidRPr="0093505E" w:rsidR="00E41022" w:rsidP="00201B53" w:rsidRDefault="00E41022" w14:paraId="21F9965E" w14:textId="77777777">
            <w:pPr>
              <w:jc w:val="right"/>
              <w:rPr>
                <w:sz w:val="20"/>
                <w:szCs w:val="20"/>
              </w:rPr>
            </w:pPr>
            <w:r w:rsidRPr="0093505E">
              <w:rPr>
                <w:sz w:val="20"/>
                <w:szCs w:val="20"/>
              </w:rPr>
              <w:t>20</w:t>
            </w:r>
            <w:r w:rsidRPr="0093505E" w:rsidDel="00F739E1">
              <w:rPr>
                <w:sz w:val="20"/>
                <w:szCs w:val="20"/>
              </w:rPr>
              <w:t xml:space="preserve"> </w:t>
            </w:r>
          </w:p>
        </w:tc>
        <w:tc>
          <w:tcPr>
            <w:tcW w:w="543" w:type="pct"/>
            <w:vAlign w:val="center"/>
            <w:hideMark/>
          </w:tcPr>
          <w:p w:rsidRPr="0093505E" w:rsidR="00E41022" w:rsidP="00201B53" w:rsidRDefault="00E41022" w14:paraId="7F0A4752" w14:textId="77777777">
            <w:pPr>
              <w:jc w:val="right"/>
              <w:rPr>
                <w:sz w:val="20"/>
                <w:szCs w:val="20"/>
              </w:rPr>
            </w:pPr>
            <w:r w:rsidRPr="0093505E">
              <w:rPr>
                <w:sz w:val="20"/>
                <w:szCs w:val="20"/>
              </w:rPr>
              <w:t>100</w:t>
            </w:r>
          </w:p>
        </w:tc>
        <w:tc>
          <w:tcPr>
            <w:tcW w:w="704" w:type="pct"/>
            <w:vAlign w:val="center"/>
            <w:hideMark/>
          </w:tcPr>
          <w:p w:rsidRPr="0093505E" w:rsidR="00681C5A" w:rsidP="00201B53" w:rsidRDefault="00E41022" w14:paraId="622EA2AD" w14:textId="77777777">
            <w:pPr>
              <w:jc w:val="right"/>
              <w:rPr>
                <w:sz w:val="20"/>
                <w:szCs w:val="20"/>
              </w:rPr>
            </w:pPr>
            <w:r w:rsidRPr="0093505E">
              <w:rPr>
                <w:sz w:val="20"/>
                <w:szCs w:val="20"/>
              </w:rPr>
              <w:t>1.5 hrs.;</w:t>
            </w:r>
          </w:p>
          <w:p w:rsidRPr="0093505E" w:rsidR="00E41022" w:rsidP="00201B53" w:rsidRDefault="00E41022" w14:paraId="485F1750" w14:textId="519F2A82">
            <w:pPr>
              <w:jc w:val="right"/>
              <w:rPr>
                <w:sz w:val="20"/>
                <w:szCs w:val="20"/>
              </w:rPr>
            </w:pPr>
            <w:r w:rsidRPr="0093505E">
              <w:rPr>
                <w:sz w:val="20"/>
                <w:szCs w:val="20"/>
              </w:rPr>
              <w:t>$124.50</w:t>
            </w:r>
          </w:p>
        </w:tc>
        <w:tc>
          <w:tcPr>
            <w:tcW w:w="666" w:type="pct"/>
            <w:vAlign w:val="center"/>
            <w:hideMark/>
          </w:tcPr>
          <w:p w:rsidRPr="0093505E" w:rsidR="00681C5A" w:rsidP="00B54827" w:rsidRDefault="00E41022" w14:paraId="78CFD49A" w14:textId="77777777">
            <w:pPr>
              <w:jc w:val="right"/>
              <w:rPr>
                <w:sz w:val="20"/>
                <w:szCs w:val="20"/>
              </w:rPr>
            </w:pPr>
            <w:r w:rsidRPr="0093505E">
              <w:rPr>
                <w:sz w:val="20"/>
                <w:szCs w:val="20"/>
              </w:rPr>
              <w:t>1,500 hrs.;</w:t>
            </w:r>
          </w:p>
          <w:p w:rsidRPr="0093505E" w:rsidR="00E41022" w:rsidP="00B54827" w:rsidRDefault="00E41022" w14:paraId="550A20A8" w14:textId="187C6F8B">
            <w:pPr>
              <w:jc w:val="right"/>
              <w:rPr>
                <w:sz w:val="20"/>
                <w:szCs w:val="20"/>
              </w:rPr>
            </w:pPr>
            <w:r w:rsidRPr="0093505E">
              <w:rPr>
                <w:sz w:val="20"/>
                <w:szCs w:val="20"/>
              </w:rPr>
              <w:t>$12,450</w:t>
            </w:r>
            <w:r w:rsidRPr="0093505E" w:rsidDel="00F739E1">
              <w:rPr>
                <w:sz w:val="20"/>
                <w:szCs w:val="20"/>
              </w:rPr>
              <w:t xml:space="preserve"> </w:t>
            </w:r>
          </w:p>
        </w:tc>
        <w:tc>
          <w:tcPr>
            <w:tcW w:w="597" w:type="pct"/>
            <w:vAlign w:val="center"/>
          </w:tcPr>
          <w:p w:rsidRPr="0093505E" w:rsidR="00E41022" w:rsidP="00201B53" w:rsidRDefault="00E41022" w14:paraId="00939EA2" w14:textId="77777777">
            <w:pPr>
              <w:jc w:val="right"/>
              <w:rPr>
                <w:sz w:val="20"/>
                <w:szCs w:val="20"/>
              </w:rPr>
            </w:pPr>
            <w:r w:rsidRPr="0093505E">
              <w:rPr>
                <w:sz w:val="20"/>
                <w:szCs w:val="20"/>
              </w:rPr>
              <w:t>$2,490</w:t>
            </w:r>
          </w:p>
        </w:tc>
      </w:tr>
      <w:bookmarkEnd w:id="5"/>
      <w:tr w:rsidRPr="0093505E" w:rsidR="00B54827" w:rsidTr="00AB4574" w14:paraId="4CD7F7BB" w14:textId="77777777">
        <w:trPr>
          <w:cantSplit/>
          <w:trHeight w:val="530"/>
        </w:trPr>
        <w:tc>
          <w:tcPr>
            <w:tcW w:w="747" w:type="pct"/>
            <w:vAlign w:val="center"/>
            <w:hideMark/>
          </w:tcPr>
          <w:p w:rsidRPr="0093505E" w:rsidR="00E41022" w:rsidP="00201B53" w:rsidRDefault="00E41022" w14:paraId="48872D4A" w14:textId="77777777">
            <w:pPr>
              <w:rPr>
                <w:sz w:val="20"/>
                <w:szCs w:val="20"/>
              </w:rPr>
            </w:pPr>
            <w:r w:rsidRPr="0093505E">
              <w:rPr>
                <w:sz w:val="20"/>
                <w:szCs w:val="20"/>
              </w:rPr>
              <w:t>Cogeneration Facility &gt; 1 MW</w:t>
            </w:r>
          </w:p>
        </w:tc>
        <w:tc>
          <w:tcPr>
            <w:tcW w:w="547" w:type="pct"/>
            <w:vAlign w:val="center"/>
            <w:hideMark/>
          </w:tcPr>
          <w:p w:rsidRPr="0093505E" w:rsidR="00E41022" w:rsidP="00201B53" w:rsidRDefault="00E41022" w14:paraId="04E1478E" w14:textId="77777777">
            <w:pPr>
              <w:rPr>
                <w:sz w:val="20"/>
                <w:szCs w:val="20"/>
              </w:rPr>
            </w:pPr>
            <w:r w:rsidRPr="0093505E">
              <w:rPr>
                <w:sz w:val="20"/>
                <w:szCs w:val="20"/>
              </w:rPr>
              <w:t>Application for FERC certification</w:t>
            </w:r>
          </w:p>
        </w:tc>
        <w:tc>
          <w:tcPr>
            <w:tcW w:w="619" w:type="pct"/>
            <w:vAlign w:val="center"/>
            <w:hideMark/>
          </w:tcPr>
          <w:p w:rsidRPr="0093505E" w:rsidR="00E41022" w:rsidP="00201B53" w:rsidRDefault="00E41022" w14:paraId="5182B3A1" w14:textId="77777777">
            <w:pPr>
              <w:jc w:val="right"/>
              <w:rPr>
                <w:sz w:val="20"/>
                <w:szCs w:val="20"/>
              </w:rPr>
            </w:pPr>
            <w:r w:rsidRPr="0093505E">
              <w:rPr>
                <w:sz w:val="20"/>
                <w:szCs w:val="20"/>
              </w:rPr>
              <w:t>5</w:t>
            </w:r>
            <w:r w:rsidRPr="0093505E" w:rsidDel="00F739E1">
              <w:rPr>
                <w:sz w:val="20"/>
                <w:szCs w:val="20"/>
              </w:rPr>
              <w:t xml:space="preserve"> </w:t>
            </w:r>
          </w:p>
        </w:tc>
        <w:tc>
          <w:tcPr>
            <w:tcW w:w="577" w:type="pct"/>
            <w:vAlign w:val="center"/>
          </w:tcPr>
          <w:p w:rsidRPr="0093505E" w:rsidR="00E41022" w:rsidP="00201B53" w:rsidRDefault="00E41022" w14:paraId="1E32054D" w14:textId="77777777">
            <w:pPr>
              <w:jc w:val="right"/>
              <w:rPr>
                <w:sz w:val="20"/>
                <w:szCs w:val="20"/>
              </w:rPr>
            </w:pPr>
            <w:r w:rsidRPr="0093505E">
              <w:rPr>
                <w:sz w:val="20"/>
                <w:szCs w:val="20"/>
              </w:rPr>
              <w:t>1</w:t>
            </w:r>
          </w:p>
        </w:tc>
        <w:tc>
          <w:tcPr>
            <w:tcW w:w="543" w:type="pct"/>
            <w:vAlign w:val="center"/>
          </w:tcPr>
          <w:p w:rsidRPr="0093505E" w:rsidR="00E41022" w:rsidP="00201B53" w:rsidRDefault="00E41022" w14:paraId="00021E56" w14:textId="77777777">
            <w:pPr>
              <w:jc w:val="right"/>
              <w:rPr>
                <w:sz w:val="20"/>
                <w:szCs w:val="20"/>
              </w:rPr>
            </w:pPr>
            <w:r w:rsidRPr="0093505E">
              <w:rPr>
                <w:sz w:val="20"/>
                <w:szCs w:val="20"/>
              </w:rPr>
              <w:t>5</w:t>
            </w:r>
          </w:p>
        </w:tc>
        <w:tc>
          <w:tcPr>
            <w:tcW w:w="704" w:type="pct"/>
            <w:vAlign w:val="center"/>
            <w:hideMark/>
          </w:tcPr>
          <w:p w:rsidRPr="0093505E" w:rsidR="00E41022" w:rsidP="00201B53" w:rsidRDefault="00E41022" w14:paraId="6C528808" w14:textId="77777777">
            <w:pPr>
              <w:jc w:val="right"/>
              <w:rPr>
                <w:sz w:val="20"/>
                <w:szCs w:val="20"/>
              </w:rPr>
            </w:pPr>
            <w:r w:rsidRPr="0093505E">
              <w:rPr>
                <w:sz w:val="20"/>
                <w:szCs w:val="20"/>
              </w:rPr>
              <w:t>50 hrs.;</w:t>
            </w:r>
          </w:p>
          <w:p w:rsidRPr="0093505E" w:rsidR="00E41022" w:rsidP="00201B53" w:rsidRDefault="00E41022" w14:paraId="35397CFD" w14:textId="77777777">
            <w:pPr>
              <w:jc w:val="right"/>
              <w:rPr>
                <w:sz w:val="20"/>
                <w:szCs w:val="20"/>
              </w:rPr>
            </w:pPr>
            <w:r w:rsidRPr="0093505E">
              <w:rPr>
                <w:sz w:val="20"/>
                <w:szCs w:val="20"/>
              </w:rPr>
              <w:t>$4,150</w:t>
            </w:r>
          </w:p>
        </w:tc>
        <w:tc>
          <w:tcPr>
            <w:tcW w:w="666" w:type="pct"/>
            <w:vAlign w:val="center"/>
            <w:hideMark/>
          </w:tcPr>
          <w:p w:rsidRPr="0093505E" w:rsidR="00681C5A" w:rsidP="00B54827" w:rsidRDefault="00E41022" w14:paraId="1F14BA34" w14:textId="77777777">
            <w:pPr>
              <w:jc w:val="right"/>
              <w:rPr>
                <w:sz w:val="20"/>
                <w:szCs w:val="20"/>
              </w:rPr>
            </w:pPr>
            <w:r w:rsidRPr="0093505E">
              <w:rPr>
                <w:sz w:val="20"/>
                <w:szCs w:val="20"/>
              </w:rPr>
              <w:t>250 hrs.;</w:t>
            </w:r>
          </w:p>
          <w:p w:rsidRPr="0093505E" w:rsidR="00E41022" w:rsidP="00B54827" w:rsidRDefault="00E41022" w14:paraId="44F881E3" w14:textId="703E3F71">
            <w:pPr>
              <w:jc w:val="right"/>
              <w:rPr>
                <w:sz w:val="20"/>
                <w:szCs w:val="20"/>
              </w:rPr>
            </w:pPr>
            <w:r w:rsidRPr="0093505E">
              <w:rPr>
                <w:sz w:val="20"/>
                <w:szCs w:val="20"/>
              </w:rPr>
              <w:t>$20,750</w:t>
            </w:r>
          </w:p>
        </w:tc>
        <w:tc>
          <w:tcPr>
            <w:tcW w:w="597" w:type="pct"/>
            <w:vAlign w:val="center"/>
            <w:hideMark/>
          </w:tcPr>
          <w:p w:rsidRPr="0093505E" w:rsidR="00E41022" w:rsidP="00201B53" w:rsidRDefault="00E41022" w14:paraId="0C9BB769" w14:textId="77777777">
            <w:pPr>
              <w:jc w:val="right"/>
              <w:rPr>
                <w:sz w:val="20"/>
                <w:szCs w:val="20"/>
              </w:rPr>
            </w:pPr>
            <w:r w:rsidRPr="0093505E">
              <w:rPr>
                <w:sz w:val="20"/>
                <w:szCs w:val="20"/>
              </w:rPr>
              <w:t>$4,150</w:t>
            </w:r>
          </w:p>
        </w:tc>
      </w:tr>
      <w:tr w:rsidRPr="00B54827" w:rsidR="00582FD7" w:rsidTr="00AB4574" w14:paraId="18694B21" w14:textId="77777777">
        <w:trPr>
          <w:cantSplit/>
        </w:trPr>
        <w:tc>
          <w:tcPr>
            <w:tcW w:w="747" w:type="pct"/>
            <w:vAlign w:val="center"/>
          </w:tcPr>
          <w:p w:rsidRPr="0093505E" w:rsidR="00E41022" w:rsidP="00201B53" w:rsidRDefault="00E41022" w14:paraId="1447B0CE" w14:textId="47517E63">
            <w:pPr>
              <w:rPr>
                <w:b/>
                <w:sz w:val="20"/>
                <w:szCs w:val="20"/>
              </w:rPr>
            </w:pPr>
            <w:r w:rsidRPr="0093505E">
              <w:rPr>
                <w:b/>
                <w:sz w:val="20"/>
                <w:szCs w:val="20"/>
              </w:rPr>
              <w:t>FERC-556</w:t>
            </w:r>
            <w:r w:rsidRPr="0093505E" w:rsidR="00C722F7">
              <w:rPr>
                <w:b/>
                <w:sz w:val="20"/>
                <w:szCs w:val="20"/>
              </w:rPr>
              <w:t>A</w:t>
            </w:r>
            <w:r w:rsidRPr="0093505E">
              <w:rPr>
                <w:b/>
                <w:sz w:val="20"/>
                <w:szCs w:val="20"/>
              </w:rPr>
              <w:t>, TOTAL ADDITIONAL BURDEN AND COST DUE TO NOPR</w:t>
            </w:r>
            <w:r w:rsidRPr="0093505E" w:rsidR="00E10F08">
              <w:rPr>
                <w:b/>
                <w:sz w:val="20"/>
                <w:szCs w:val="20"/>
              </w:rPr>
              <w:t xml:space="preserve"> IN RM21-2 AND </w:t>
            </w:r>
            <w:r w:rsidRPr="0093505E">
              <w:rPr>
                <w:b/>
                <w:sz w:val="20"/>
                <w:szCs w:val="20"/>
              </w:rPr>
              <w:t>RM20-20</w:t>
            </w:r>
          </w:p>
        </w:tc>
        <w:tc>
          <w:tcPr>
            <w:tcW w:w="547" w:type="pct"/>
            <w:vAlign w:val="center"/>
          </w:tcPr>
          <w:p w:rsidRPr="0093505E" w:rsidR="00E41022" w:rsidP="00201B53" w:rsidRDefault="00E41022" w14:paraId="1D568995" w14:textId="77777777">
            <w:pPr>
              <w:rPr>
                <w:b/>
                <w:sz w:val="20"/>
                <w:szCs w:val="20"/>
              </w:rPr>
            </w:pPr>
          </w:p>
        </w:tc>
        <w:tc>
          <w:tcPr>
            <w:tcW w:w="619" w:type="pct"/>
            <w:vAlign w:val="center"/>
          </w:tcPr>
          <w:p w:rsidRPr="0093505E" w:rsidR="00E41022" w:rsidP="00201B53" w:rsidRDefault="00E41022" w14:paraId="1BE8DC31" w14:textId="77777777">
            <w:pPr>
              <w:jc w:val="right"/>
              <w:rPr>
                <w:b/>
                <w:sz w:val="20"/>
                <w:szCs w:val="20"/>
              </w:rPr>
            </w:pPr>
            <w:r w:rsidRPr="0093505E">
              <w:rPr>
                <w:b/>
                <w:sz w:val="20"/>
                <w:szCs w:val="20"/>
              </w:rPr>
              <w:t>15</w:t>
            </w:r>
          </w:p>
        </w:tc>
        <w:tc>
          <w:tcPr>
            <w:tcW w:w="577" w:type="pct"/>
            <w:shd w:val="clear" w:color="auto" w:fill="BFBFBF"/>
            <w:vAlign w:val="center"/>
          </w:tcPr>
          <w:p w:rsidRPr="0093505E" w:rsidR="00E41022" w:rsidP="00201B53" w:rsidRDefault="00E41022" w14:paraId="4F540D14" w14:textId="77777777">
            <w:pPr>
              <w:jc w:val="right"/>
              <w:rPr>
                <w:b/>
                <w:sz w:val="20"/>
                <w:szCs w:val="20"/>
              </w:rPr>
            </w:pPr>
          </w:p>
        </w:tc>
        <w:tc>
          <w:tcPr>
            <w:tcW w:w="543" w:type="pct"/>
            <w:vAlign w:val="center"/>
          </w:tcPr>
          <w:p w:rsidRPr="0093505E" w:rsidR="00E41022" w:rsidP="00201B53" w:rsidRDefault="00E41022" w14:paraId="6686AAD4" w14:textId="77777777">
            <w:pPr>
              <w:jc w:val="right"/>
              <w:rPr>
                <w:b/>
                <w:sz w:val="20"/>
                <w:szCs w:val="20"/>
              </w:rPr>
            </w:pPr>
            <w:r w:rsidRPr="0093505E">
              <w:rPr>
                <w:b/>
                <w:sz w:val="20"/>
                <w:szCs w:val="20"/>
              </w:rPr>
              <w:t>3,105</w:t>
            </w:r>
          </w:p>
        </w:tc>
        <w:tc>
          <w:tcPr>
            <w:tcW w:w="704" w:type="pct"/>
            <w:shd w:val="clear" w:color="auto" w:fill="BFBFBF"/>
            <w:vAlign w:val="center"/>
          </w:tcPr>
          <w:p w:rsidRPr="0093505E" w:rsidR="00E41022" w:rsidP="00201B53" w:rsidRDefault="00E41022" w14:paraId="57547CCD" w14:textId="77777777">
            <w:pPr>
              <w:jc w:val="right"/>
              <w:rPr>
                <w:b/>
                <w:sz w:val="20"/>
                <w:szCs w:val="20"/>
              </w:rPr>
            </w:pPr>
          </w:p>
        </w:tc>
        <w:tc>
          <w:tcPr>
            <w:tcW w:w="666" w:type="pct"/>
            <w:vAlign w:val="center"/>
          </w:tcPr>
          <w:p w:rsidRPr="0093505E" w:rsidR="00681C5A" w:rsidP="00201B53" w:rsidRDefault="00E41022" w14:paraId="27F6B0DC" w14:textId="77777777">
            <w:pPr>
              <w:jc w:val="right"/>
              <w:rPr>
                <w:b/>
                <w:sz w:val="20"/>
                <w:szCs w:val="20"/>
              </w:rPr>
            </w:pPr>
            <w:r w:rsidRPr="0093505E">
              <w:rPr>
                <w:b/>
                <w:sz w:val="20"/>
                <w:szCs w:val="20"/>
              </w:rPr>
              <w:t>6,250 hrs.;</w:t>
            </w:r>
          </w:p>
          <w:p w:rsidRPr="0093505E" w:rsidR="00E41022" w:rsidP="00201B53" w:rsidRDefault="00E41022" w14:paraId="6993910A" w14:textId="1033A2BC">
            <w:pPr>
              <w:jc w:val="right"/>
              <w:rPr>
                <w:b/>
                <w:sz w:val="20"/>
                <w:szCs w:val="20"/>
              </w:rPr>
            </w:pPr>
            <w:r w:rsidRPr="0093505E">
              <w:rPr>
                <w:b/>
                <w:sz w:val="20"/>
                <w:szCs w:val="20"/>
              </w:rPr>
              <w:t>$406,700</w:t>
            </w:r>
          </w:p>
        </w:tc>
        <w:tc>
          <w:tcPr>
            <w:tcW w:w="597" w:type="pct"/>
            <w:shd w:val="clear" w:color="auto" w:fill="BFBFBF"/>
            <w:vAlign w:val="center"/>
          </w:tcPr>
          <w:p w:rsidRPr="00AE54BC" w:rsidR="00E41022" w:rsidP="00201B53" w:rsidRDefault="00E41022" w14:paraId="5D301382" w14:textId="77777777">
            <w:pPr>
              <w:jc w:val="right"/>
              <w:rPr>
                <w:b/>
                <w:sz w:val="20"/>
                <w:szCs w:val="20"/>
              </w:rPr>
            </w:pPr>
          </w:p>
        </w:tc>
      </w:tr>
    </w:tbl>
    <w:p w:rsidRPr="008232C3" w:rsidR="00E41022" w:rsidP="006A7C95" w:rsidRDefault="00E41022" w14:paraId="73F40E16" w14:textId="23349A4B">
      <w:pPr>
        <w:pStyle w:val="FERCparanumber"/>
        <w:numPr>
          <w:ilvl w:val="0"/>
          <w:numId w:val="0"/>
        </w:numPr>
        <w:rPr>
          <w:szCs w:val="26"/>
        </w:rPr>
      </w:pPr>
    </w:p>
    <w:bookmarkEnd w:id="2"/>
    <w:p w:rsidRPr="008232C3" w:rsidR="009D6B6D" w:rsidP="00400079" w:rsidRDefault="00BB6095" w14:paraId="4C6B9227" w14:textId="77777777">
      <w:pPr>
        <w:pStyle w:val="FERCparanumber"/>
        <w:keepLines/>
        <w:numPr>
          <w:ilvl w:val="0"/>
          <w:numId w:val="7"/>
        </w:numPr>
        <w:rPr>
          <w:szCs w:val="26"/>
        </w:rPr>
      </w:pPr>
      <w:r w:rsidRPr="008232C3">
        <w:rPr>
          <w:b/>
          <w:szCs w:val="26"/>
        </w:rPr>
        <w:t>ESTIMATE OF THE TOTAL ANNUAL COST BURDEN TO RESPONDENTS</w:t>
      </w:r>
    </w:p>
    <w:p w:rsidRPr="008232C3" w:rsidR="00EF40FF" w:rsidP="00400079" w:rsidRDefault="00EF40FF" w14:paraId="55D2BF3A" w14:textId="77777777">
      <w:pPr>
        <w:pStyle w:val="FERCparanumber"/>
        <w:keepLines/>
        <w:numPr>
          <w:ilvl w:val="0"/>
          <w:numId w:val="0"/>
        </w:numPr>
        <w:rPr>
          <w:b/>
          <w:szCs w:val="26"/>
        </w:rPr>
      </w:pPr>
    </w:p>
    <w:p w:rsidRPr="008232C3" w:rsidR="00432DA3" w:rsidP="00CB461D" w:rsidRDefault="00432DA3" w14:paraId="10FF04D7" w14:textId="73D3F344">
      <w:pPr>
        <w:rPr>
          <w:sz w:val="26"/>
          <w:szCs w:val="26"/>
        </w:rPr>
      </w:pPr>
      <w:r w:rsidRPr="008232C3">
        <w:rPr>
          <w:sz w:val="26"/>
          <w:szCs w:val="26"/>
        </w:rPr>
        <w:lastRenderedPageBreak/>
        <w:t xml:space="preserve">There are no non-labor start-up costs. </w:t>
      </w:r>
      <w:r w:rsidR="00090437">
        <w:rPr>
          <w:sz w:val="26"/>
          <w:szCs w:val="26"/>
        </w:rPr>
        <w:t xml:space="preserve"> </w:t>
      </w:r>
      <w:r w:rsidRPr="008232C3">
        <w:rPr>
          <w:sz w:val="26"/>
          <w:szCs w:val="26"/>
        </w:rPr>
        <w:t>All costs are related to burden hours and are addressed in Questions #12 and #15.</w:t>
      </w:r>
    </w:p>
    <w:p w:rsidRPr="008232C3" w:rsidR="00EF40FF" w:rsidP="00EF40FF" w:rsidRDefault="00EF40FF" w14:paraId="22696DBF" w14:textId="77777777">
      <w:pPr>
        <w:pStyle w:val="FERCparanumber"/>
        <w:numPr>
          <w:ilvl w:val="0"/>
          <w:numId w:val="0"/>
        </w:numPr>
        <w:rPr>
          <w:szCs w:val="26"/>
        </w:rPr>
      </w:pPr>
    </w:p>
    <w:p w:rsidRPr="008232C3" w:rsidR="00EF40FF" w:rsidP="001D2EC1" w:rsidRDefault="00EF40FF" w14:paraId="41A3F05C" w14:textId="0CC7985F">
      <w:pPr>
        <w:pStyle w:val="FERCparanumber"/>
        <w:numPr>
          <w:ilvl w:val="0"/>
          <w:numId w:val="7"/>
        </w:numPr>
        <w:rPr>
          <w:b/>
          <w:szCs w:val="26"/>
        </w:rPr>
      </w:pPr>
      <w:r w:rsidRPr="008232C3">
        <w:rPr>
          <w:b/>
          <w:szCs w:val="26"/>
        </w:rPr>
        <w:t>ESTIMATED ANNUALIZED COST TO FEDERAL GOVERNMENT</w:t>
      </w:r>
    </w:p>
    <w:p w:rsidRPr="008232C3" w:rsidR="00EF40FF" w:rsidP="00EF40FF" w:rsidRDefault="00EF40FF" w14:paraId="4948C732" w14:textId="77777777">
      <w:pPr>
        <w:pStyle w:val="FERCparanumber"/>
        <w:numPr>
          <w:ilvl w:val="0"/>
          <w:numId w:val="0"/>
        </w:numPr>
        <w:rPr>
          <w:b/>
          <w:szCs w:val="26"/>
        </w:rPr>
      </w:pPr>
    </w:p>
    <w:p w:rsidRPr="008232C3" w:rsidR="00677FF7" w:rsidP="00677FF7" w:rsidRDefault="00677FF7" w14:paraId="080EB7D6" w14:textId="6364461C">
      <w:pPr>
        <w:rPr>
          <w:strike/>
          <w:sz w:val="26"/>
          <w:szCs w:val="26"/>
        </w:rPr>
      </w:pPr>
      <w:r w:rsidRPr="008232C3">
        <w:rPr>
          <w:sz w:val="26"/>
          <w:szCs w:val="26"/>
        </w:rPr>
        <w:t xml:space="preserve">The estimate of the cost for </w:t>
      </w:r>
      <w:r w:rsidR="00DC6B39">
        <w:rPr>
          <w:sz w:val="26"/>
          <w:szCs w:val="26"/>
        </w:rPr>
        <w:t>“</w:t>
      </w:r>
      <w:r w:rsidRPr="008232C3">
        <w:rPr>
          <w:sz w:val="26"/>
          <w:szCs w:val="26"/>
        </w:rPr>
        <w:t>analysis and processing of filings</w:t>
      </w:r>
      <w:r w:rsidR="00DC6B39">
        <w:rPr>
          <w:sz w:val="26"/>
          <w:szCs w:val="26"/>
        </w:rPr>
        <w:t>”</w:t>
      </w:r>
      <w:r w:rsidRPr="008232C3">
        <w:rPr>
          <w:rStyle w:val="FootnoteReference"/>
          <w:sz w:val="26"/>
          <w:szCs w:val="26"/>
          <w:vertAlign w:val="superscript"/>
        </w:rPr>
        <w:footnoteReference w:id="12"/>
      </w:r>
      <w:r w:rsidRPr="008232C3">
        <w:rPr>
          <w:sz w:val="26"/>
          <w:szCs w:val="26"/>
          <w:vertAlign w:val="superscript"/>
        </w:rPr>
        <w:t xml:space="preserve"> </w:t>
      </w:r>
      <w:r w:rsidRPr="008232C3">
        <w:rPr>
          <w:sz w:val="26"/>
          <w:szCs w:val="26"/>
        </w:rPr>
        <w:t xml:space="preserve">is based on salaries and benefits for professional and clerical support.  This estimated cost represents staff analysis, decision-making, and review of any actual filings submitted in response to the information collection.  </w:t>
      </w:r>
      <w:r w:rsidR="00BA0ED1">
        <w:rPr>
          <w:sz w:val="26"/>
          <w:szCs w:val="26"/>
        </w:rPr>
        <w:t>There are also some IT development costs.</w:t>
      </w:r>
    </w:p>
    <w:p w:rsidRPr="008232C3" w:rsidR="00677FF7" w:rsidP="00677FF7" w:rsidRDefault="00677FF7" w14:paraId="37AF4B15" w14:textId="77777777">
      <w:pPr>
        <w:rPr>
          <w:strike/>
          <w:sz w:val="26"/>
          <w:szCs w:val="26"/>
        </w:rPr>
      </w:pPr>
    </w:p>
    <w:p w:rsidRPr="008232C3" w:rsidR="00677FF7" w:rsidP="00677FF7" w:rsidRDefault="00357EC7" w14:paraId="5AE04343" w14:textId="52214CEF">
      <w:pPr>
        <w:rPr>
          <w:sz w:val="26"/>
          <w:szCs w:val="26"/>
        </w:rPr>
      </w:pPr>
      <w:r w:rsidRPr="008232C3">
        <w:rPr>
          <w:sz w:val="26"/>
          <w:szCs w:val="26"/>
        </w:rPr>
        <w:t xml:space="preserve">The </w:t>
      </w:r>
      <w:r w:rsidRPr="008232C3" w:rsidR="00677FF7">
        <w:rPr>
          <w:sz w:val="26"/>
          <w:szCs w:val="26"/>
        </w:rPr>
        <w:t>PRA Administrative Cost</w:t>
      </w:r>
      <w:r w:rsidRPr="008232C3" w:rsidR="00D92AA9">
        <w:rPr>
          <w:rStyle w:val="FootnoteReference"/>
          <w:sz w:val="26"/>
          <w:szCs w:val="26"/>
          <w:vertAlign w:val="superscript"/>
        </w:rPr>
        <w:footnoteReference w:id="13"/>
      </w:r>
      <w:r w:rsidRPr="008232C3" w:rsidR="00677FF7">
        <w:rPr>
          <w:sz w:val="26"/>
          <w:szCs w:val="26"/>
          <w:vertAlign w:val="superscript"/>
        </w:rPr>
        <w:t xml:space="preserve"> </w:t>
      </w:r>
      <w:r w:rsidRPr="008232C3" w:rsidR="00677FF7">
        <w:rPr>
          <w:sz w:val="26"/>
          <w:szCs w:val="26"/>
        </w:rPr>
        <w:t>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C6278A" w:rsidR="00EF40FF" w:rsidP="006A7C95" w:rsidRDefault="00EF40FF" w14:paraId="68814AFD" w14:textId="77777777">
      <w:pPr>
        <w:rPr>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2"/>
        <w:gridCol w:w="2994"/>
        <w:gridCol w:w="3774"/>
      </w:tblGrid>
      <w:tr w:rsidRPr="000F32D3" w:rsidR="000F32D3" w:rsidTr="00AE54BC" w14:paraId="33F6A41D" w14:textId="77777777">
        <w:tc>
          <w:tcPr>
            <w:tcW w:w="1381" w:type="pct"/>
            <w:shd w:val="clear" w:color="auto" w:fill="D9D9D9"/>
            <w:vAlign w:val="center"/>
          </w:tcPr>
          <w:p w:rsidRPr="008232C3" w:rsidR="00EF40FF" w:rsidP="00B74468" w:rsidRDefault="00274833" w14:paraId="4326AA18" w14:textId="2D20A176">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 xml:space="preserve">FERC-556A in NOPR in </w:t>
            </w:r>
            <w:r w:rsidRPr="00274833">
              <w:rPr>
                <w:rFonts w:ascii="Times New Roman" w:hAnsi="Times New Roman"/>
                <w:b/>
                <w:sz w:val="26"/>
                <w:szCs w:val="26"/>
              </w:rPr>
              <w:t>RM21-2 and RM20-20</w:t>
            </w:r>
          </w:p>
        </w:tc>
        <w:tc>
          <w:tcPr>
            <w:tcW w:w="1601" w:type="pct"/>
            <w:shd w:val="clear" w:color="auto" w:fill="D9D9D9"/>
            <w:vAlign w:val="center"/>
          </w:tcPr>
          <w:p w:rsidRPr="008232C3" w:rsidR="00EF40FF" w:rsidP="00475BA5" w:rsidRDefault="00EF40FF" w14:paraId="3D5840EC" w14:textId="23C7A216">
            <w:pPr>
              <w:pStyle w:val="ListParagraph"/>
              <w:spacing w:after="0" w:line="240" w:lineRule="auto"/>
              <w:ind w:left="0"/>
              <w:jc w:val="center"/>
              <w:rPr>
                <w:rFonts w:ascii="Times New Roman" w:hAnsi="Times New Roman"/>
                <w:b/>
                <w:sz w:val="26"/>
                <w:szCs w:val="26"/>
              </w:rPr>
            </w:pPr>
            <w:r w:rsidRPr="008232C3">
              <w:rPr>
                <w:rFonts w:ascii="Times New Roman" w:hAnsi="Times New Roman"/>
                <w:b/>
                <w:sz w:val="26"/>
                <w:szCs w:val="26"/>
              </w:rPr>
              <w:t xml:space="preserve">Number of </w:t>
            </w:r>
            <w:r w:rsidRPr="008232C3" w:rsidR="0062579C">
              <w:rPr>
                <w:rFonts w:ascii="Times New Roman" w:hAnsi="Times New Roman"/>
                <w:b/>
                <w:sz w:val="26"/>
                <w:szCs w:val="26"/>
              </w:rPr>
              <w:t xml:space="preserve">Federal </w:t>
            </w:r>
            <w:r w:rsidRPr="008232C3">
              <w:rPr>
                <w:rFonts w:ascii="Times New Roman" w:hAnsi="Times New Roman"/>
                <w:b/>
                <w:sz w:val="26"/>
                <w:szCs w:val="26"/>
              </w:rPr>
              <w:t>Employees (FTE)</w:t>
            </w:r>
          </w:p>
        </w:tc>
        <w:tc>
          <w:tcPr>
            <w:tcW w:w="2018" w:type="pct"/>
            <w:shd w:val="clear" w:color="auto" w:fill="D9D9D9"/>
            <w:vAlign w:val="center"/>
          </w:tcPr>
          <w:p w:rsidRPr="008232C3" w:rsidR="00EF40FF" w:rsidP="00475BA5" w:rsidRDefault="00EF40FF" w14:paraId="7DBF6E47" w14:textId="77777777">
            <w:pPr>
              <w:pStyle w:val="ListParagraph"/>
              <w:spacing w:after="0" w:line="240" w:lineRule="auto"/>
              <w:ind w:left="0"/>
              <w:jc w:val="center"/>
              <w:rPr>
                <w:rFonts w:ascii="Times New Roman" w:hAnsi="Times New Roman"/>
                <w:b/>
                <w:sz w:val="26"/>
                <w:szCs w:val="26"/>
              </w:rPr>
            </w:pPr>
            <w:r w:rsidRPr="008232C3">
              <w:rPr>
                <w:rFonts w:ascii="Times New Roman" w:hAnsi="Times New Roman"/>
                <w:b/>
                <w:sz w:val="26"/>
                <w:szCs w:val="26"/>
              </w:rPr>
              <w:t>Estimated Annual Federal Cost</w:t>
            </w:r>
          </w:p>
        </w:tc>
      </w:tr>
      <w:tr w:rsidRPr="000F32D3" w:rsidR="000F32D3" w:rsidTr="00AE54BC" w14:paraId="7167D419" w14:textId="77777777">
        <w:tc>
          <w:tcPr>
            <w:tcW w:w="1381" w:type="pct"/>
            <w:shd w:val="clear" w:color="auto" w:fill="auto"/>
            <w:vAlign w:val="center"/>
          </w:tcPr>
          <w:p w:rsidRPr="008232C3" w:rsidR="00EF40FF" w:rsidP="00475BA5" w:rsidRDefault="00EF40FF" w14:paraId="1802AC01" w14:textId="424968AF">
            <w:pPr>
              <w:pStyle w:val="ListParagraph"/>
              <w:spacing w:after="0" w:line="240" w:lineRule="auto"/>
              <w:ind w:left="0"/>
              <w:rPr>
                <w:rFonts w:ascii="Times New Roman" w:hAnsi="Times New Roman"/>
                <w:sz w:val="26"/>
                <w:szCs w:val="26"/>
              </w:rPr>
            </w:pPr>
            <w:r w:rsidRPr="008232C3">
              <w:rPr>
                <w:rFonts w:ascii="Times New Roman" w:hAnsi="Times New Roman"/>
                <w:sz w:val="26"/>
                <w:szCs w:val="26"/>
              </w:rPr>
              <w:t>Analysis and Processing of Filings</w:t>
            </w:r>
          </w:p>
        </w:tc>
        <w:tc>
          <w:tcPr>
            <w:tcW w:w="1601" w:type="pct"/>
            <w:tcBorders>
              <w:bottom w:val="single" w:color="auto" w:sz="4" w:space="0"/>
            </w:tcBorders>
            <w:shd w:val="clear" w:color="auto" w:fill="auto"/>
            <w:vAlign w:val="center"/>
          </w:tcPr>
          <w:p w:rsidRPr="008232C3" w:rsidR="00EF40FF" w:rsidP="00475BA5" w:rsidRDefault="00274833" w14:paraId="398D5012" w14:textId="3BB4B324">
            <w:pPr>
              <w:pStyle w:val="ListParagraph"/>
              <w:spacing w:after="0" w:line="240" w:lineRule="auto"/>
              <w:ind w:left="0"/>
              <w:jc w:val="right"/>
              <w:rPr>
                <w:rFonts w:ascii="Times New Roman" w:hAnsi="Times New Roman"/>
                <w:sz w:val="26"/>
                <w:szCs w:val="26"/>
                <w:highlight w:val="yellow"/>
              </w:rPr>
            </w:pPr>
            <w:r>
              <w:rPr>
                <w:rFonts w:ascii="Times New Roman" w:hAnsi="Times New Roman"/>
                <w:sz w:val="26"/>
                <w:szCs w:val="26"/>
              </w:rPr>
              <w:t>1</w:t>
            </w:r>
            <w:r w:rsidRPr="008232C3" w:rsidR="00486BAD">
              <w:rPr>
                <w:rStyle w:val="FootnoteReference"/>
                <w:rFonts w:ascii="Times New Roman" w:hAnsi="Times New Roman"/>
                <w:sz w:val="26"/>
                <w:szCs w:val="26"/>
                <w:vertAlign w:val="superscript"/>
              </w:rPr>
              <w:footnoteReference w:id="14"/>
            </w:r>
          </w:p>
        </w:tc>
        <w:tc>
          <w:tcPr>
            <w:tcW w:w="2018" w:type="pct"/>
            <w:shd w:val="clear" w:color="auto" w:fill="auto"/>
            <w:vAlign w:val="center"/>
          </w:tcPr>
          <w:p w:rsidRPr="008232C3" w:rsidR="00EF40FF" w:rsidP="00CE3289" w:rsidRDefault="00C553DF" w14:paraId="7D4594BB" w14:textId="42EF7FCF">
            <w:pPr>
              <w:pStyle w:val="ListParagraph"/>
              <w:spacing w:after="0" w:line="240" w:lineRule="auto"/>
              <w:ind w:left="0"/>
              <w:jc w:val="right"/>
              <w:rPr>
                <w:rFonts w:ascii="Times New Roman" w:hAnsi="Times New Roman"/>
                <w:sz w:val="26"/>
                <w:szCs w:val="26"/>
              </w:rPr>
            </w:pPr>
            <w:r w:rsidRPr="008232C3">
              <w:rPr>
                <w:rFonts w:ascii="Times New Roman" w:hAnsi="Times New Roman"/>
                <w:sz w:val="26"/>
                <w:szCs w:val="26"/>
              </w:rPr>
              <w:t>$</w:t>
            </w:r>
            <w:r w:rsidR="00274833">
              <w:rPr>
                <w:rFonts w:ascii="Times New Roman" w:hAnsi="Times New Roman"/>
                <w:sz w:val="26"/>
                <w:szCs w:val="26"/>
              </w:rPr>
              <w:t>172,329</w:t>
            </w:r>
          </w:p>
        </w:tc>
      </w:tr>
      <w:tr w:rsidRPr="000F32D3" w:rsidR="000F32D3" w:rsidTr="00AE54BC" w14:paraId="761AB83C" w14:textId="77777777">
        <w:tc>
          <w:tcPr>
            <w:tcW w:w="1381" w:type="pct"/>
            <w:shd w:val="clear" w:color="auto" w:fill="auto"/>
            <w:vAlign w:val="center"/>
          </w:tcPr>
          <w:p w:rsidRPr="008232C3" w:rsidR="00EF40FF" w:rsidP="00357EC7" w:rsidRDefault="00EF40FF" w14:paraId="3740C130" w14:textId="380F5CCA">
            <w:pPr>
              <w:pStyle w:val="ListParagraph"/>
              <w:spacing w:after="0" w:line="240" w:lineRule="auto"/>
              <w:ind w:left="0"/>
              <w:rPr>
                <w:rFonts w:ascii="Times New Roman" w:hAnsi="Times New Roman"/>
                <w:sz w:val="26"/>
                <w:szCs w:val="26"/>
              </w:rPr>
            </w:pPr>
            <w:r w:rsidRPr="008232C3">
              <w:rPr>
                <w:rFonts w:ascii="Times New Roman" w:hAnsi="Times New Roman"/>
                <w:sz w:val="26"/>
                <w:szCs w:val="26"/>
              </w:rPr>
              <w:t>PRA Administrative Cost</w:t>
            </w:r>
          </w:p>
        </w:tc>
        <w:tc>
          <w:tcPr>
            <w:tcW w:w="1601" w:type="pct"/>
            <w:shd w:val="clear" w:color="auto" w:fill="D9D9D9" w:themeFill="background1" w:themeFillShade="D9"/>
            <w:vAlign w:val="center"/>
          </w:tcPr>
          <w:p w:rsidRPr="008232C3" w:rsidR="00EF40FF" w:rsidP="00475BA5" w:rsidRDefault="00EF40FF" w14:paraId="4A401CE3" w14:textId="77777777">
            <w:pPr>
              <w:pStyle w:val="ListParagraph"/>
              <w:spacing w:after="0" w:line="240" w:lineRule="auto"/>
              <w:ind w:left="0"/>
              <w:jc w:val="right"/>
              <w:rPr>
                <w:rFonts w:ascii="Times New Roman" w:hAnsi="Times New Roman"/>
                <w:b/>
                <w:sz w:val="26"/>
                <w:szCs w:val="26"/>
              </w:rPr>
            </w:pPr>
          </w:p>
        </w:tc>
        <w:tc>
          <w:tcPr>
            <w:tcW w:w="2018" w:type="pct"/>
            <w:shd w:val="clear" w:color="auto" w:fill="auto"/>
            <w:vAlign w:val="center"/>
          </w:tcPr>
          <w:p w:rsidRPr="008232C3" w:rsidR="00EF40FF" w:rsidP="00957296" w:rsidRDefault="00432DA3" w14:paraId="18A11120" w14:textId="54F917B6">
            <w:pPr>
              <w:pStyle w:val="ListParagraph"/>
              <w:spacing w:after="0" w:line="240" w:lineRule="auto"/>
              <w:ind w:left="0"/>
              <w:jc w:val="right"/>
              <w:rPr>
                <w:rFonts w:ascii="Times New Roman" w:hAnsi="Times New Roman"/>
                <w:sz w:val="26"/>
                <w:szCs w:val="26"/>
              </w:rPr>
            </w:pPr>
            <w:r w:rsidRPr="008232C3">
              <w:rPr>
                <w:rFonts w:ascii="Times New Roman" w:hAnsi="Times New Roman"/>
                <w:sz w:val="26"/>
                <w:szCs w:val="26"/>
              </w:rPr>
              <w:t>$</w:t>
            </w:r>
            <w:r w:rsidRPr="008232C3" w:rsidR="00E177FB">
              <w:rPr>
                <w:rFonts w:ascii="Times New Roman" w:hAnsi="Times New Roman"/>
                <w:sz w:val="26"/>
                <w:szCs w:val="26"/>
              </w:rPr>
              <w:t>6,475</w:t>
            </w:r>
          </w:p>
        </w:tc>
      </w:tr>
      <w:tr w:rsidRPr="000F32D3" w:rsidR="000F32D3" w:rsidTr="00AA5172" w14:paraId="79646FA5" w14:textId="77777777">
        <w:tc>
          <w:tcPr>
            <w:tcW w:w="1381" w:type="pct"/>
            <w:tcBorders>
              <w:bottom w:val="single" w:color="auto" w:sz="4" w:space="0"/>
            </w:tcBorders>
            <w:shd w:val="clear" w:color="auto" w:fill="auto"/>
            <w:vAlign w:val="center"/>
          </w:tcPr>
          <w:p w:rsidRPr="00AE54BC" w:rsidR="00EF40FF" w:rsidP="00475BA5" w:rsidRDefault="00EF40FF" w14:paraId="7A1ADE2A" w14:textId="130837E6">
            <w:pPr>
              <w:pStyle w:val="ListParagraph"/>
              <w:spacing w:after="0" w:line="240" w:lineRule="auto"/>
              <w:ind w:left="0"/>
              <w:rPr>
                <w:rFonts w:ascii="Times New Roman" w:hAnsi="Times New Roman"/>
                <w:b/>
                <w:bCs/>
                <w:sz w:val="26"/>
                <w:szCs w:val="26"/>
              </w:rPr>
            </w:pPr>
            <w:r w:rsidRPr="00AE54BC">
              <w:rPr>
                <w:rFonts w:ascii="Times New Roman" w:hAnsi="Times New Roman"/>
                <w:b/>
                <w:bCs/>
                <w:sz w:val="26"/>
                <w:szCs w:val="26"/>
              </w:rPr>
              <w:t>Total</w:t>
            </w:r>
            <w:r w:rsidRPr="00AE54BC" w:rsidR="00C553DF">
              <w:rPr>
                <w:rFonts w:ascii="Times New Roman" w:hAnsi="Times New Roman"/>
                <w:b/>
                <w:bCs/>
                <w:sz w:val="26"/>
                <w:szCs w:val="26"/>
              </w:rPr>
              <w:t xml:space="preserve"> for FERC-556</w:t>
            </w:r>
            <w:r w:rsidRPr="00AE54BC" w:rsidR="00274833">
              <w:rPr>
                <w:rFonts w:ascii="Times New Roman" w:hAnsi="Times New Roman"/>
                <w:b/>
                <w:bCs/>
                <w:sz w:val="26"/>
                <w:szCs w:val="26"/>
              </w:rPr>
              <w:t>A</w:t>
            </w:r>
          </w:p>
        </w:tc>
        <w:tc>
          <w:tcPr>
            <w:tcW w:w="1601" w:type="pct"/>
            <w:tcBorders>
              <w:bottom w:val="single" w:color="auto" w:sz="4" w:space="0"/>
            </w:tcBorders>
            <w:shd w:val="clear" w:color="auto" w:fill="D9D9D9" w:themeFill="background1" w:themeFillShade="D9"/>
            <w:vAlign w:val="center"/>
          </w:tcPr>
          <w:p w:rsidRPr="008232C3" w:rsidR="00EF40FF" w:rsidP="00475BA5" w:rsidRDefault="00EF40FF" w14:paraId="73C9E193" w14:textId="77777777">
            <w:pPr>
              <w:pStyle w:val="ListParagraph"/>
              <w:spacing w:after="0" w:line="240" w:lineRule="auto"/>
              <w:ind w:left="0"/>
              <w:jc w:val="right"/>
              <w:rPr>
                <w:rFonts w:ascii="Times New Roman" w:hAnsi="Times New Roman"/>
                <w:b/>
                <w:sz w:val="26"/>
                <w:szCs w:val="26"/>
              </w:rPr>
            </w:pPr>
          </w:p>
        </w:tc>
        <w:tc>
          <w:tcPr>
            <w:tcW w:w="2018" w:type="pct"/>
            <w:tcBorders>
              <w:bottom w:val="single" w:color="auto" w:sz="4" w:space="0"/>
            </w:tcBorders>
            <w:shd w:val="clear" w:color="auto" w:fill="auto"/>
            <w:vAlign w:val="center"/>
          </w:tcPr>
          <w:p w:rsidRPr="00E62638" w:rsidR="00EF40FF" w:rsidP="00CE3289" w:rsidRDefault="00861DE3" w14:paraId="22DFA908" w14:textId="3F1A90CA">
            <w:pPr>
              <w:pStyle w:val="ListParagraph"/>
              <w:spacing w:after="0" w:line="240" w:lineRule="auto"/>
              <w:ind w:left="0"/>
              <w:jc w:val="right"/>
              <w:rPr>
                <w:rFonts w:ascii="Times New Roman" w:hAnsi="Times New Roman"/>
                <w:sz w:val="26"/>
                <w:szCs w:val="26"/>
              </w:rPr>
            </w:pPr>
            <w:r w:rsidRPr="00E62638">
              <w:rPr>
                <w:rFonts w:ascii="Times New Roman" w:hAnsi="Times New Roman"/>
                <w:sz w:val="26"/>
                <w:szCs w:val="26"/>
              </w:rPr>
              <w:t>$</w:t>
            </w:r>
            <w:r w:rsidR="00274833">
              <w:rPr>
                <w:rFonts w:ascii="Times New Roman" w:hAnsi="Times New Roman"/>
                <w:sz w:val="26"/>
                <w:szCs w:val="26"/>
              </w:rPr>
              <w:t>178,804</w:t>
            </w:r>
          </w:p>
        </w:tc>
      </w:tr>
    </w:tbl>
    <w:p w:rsidRPr="0061153D" w:rsidR="00EF40FF" w:rsidP="00854BCA" w:rsidRDefault="00EF40FF" w14:paraId="1D1C01AF" w14:textId="77777777">
      <w:pPr>
        <w:rPr>
          <w:b/>
          <w:sz w:val="26"/>
          <w:szCs w:val="26"/>
        </w:rPr>
      </w:pPr>
    </w:p>
    <w:p w:rsidRPr="008232C3" w:rsidR="00EF40FF" w:rsidP="001D2EC1" w:rsidRDefault="00EF40FF" w14:paraId="56794A0D" w14:textId="08154129">
      <w:pPr>
        <w:pStyle w:val="FERCparanumber"/>
        <w:numPr>
          <w:ilvl w:val="0"/>
          <w:numId w:val="7"/>
        </w:numPr>
        <w:rPr>
          <w:b/>
          <w:szCs w:val="26"/>
        </w:rPr>
      </w:pPr>
      <w:r w:rsidRPr="008232C3">
        <w:rPr>
          <w:b/>
          <w:szCs w:val="26"/>
        </w:rPr>
        <w:t>REASONS FOR CHANGES IN BURDEN INCLUDING THE NEED FOR ANY INCREASE</w:t>
      </w:r>
      <w:r w:rsidRPr="008232C3" w:rsidR="00486BAD">
        <w:rPr>
          <w:b/>
          <w:szCs w:val="26"/>
        </w:rPr>
        <w:t xml:space="preserve"> </w:t>
      </w:r>
    </w:p>
    <w:p w:rsidRPr="008232C3" w:rsidR="00DB0BBD" w:rsidP="00EF40FF" w:rsidRDefault="00DB0BBD" w14:paraId="4B5387E0" w14:textId="77777777">
      <w:pPr>
        <w:pStyle w:val="FERCparanumber"/>
        <w:numPr>
          <w:ilvl w:val="0"/>
          <w:numId w:val="0"/>
        </w:numPr>
        <w:rPr>
          <w:szCs w:val="26"/>
        </w:rPr>
      </w:pPr>
    </w:p>
    <w:p w:rsidRPr="008232C3" w:rsidR="00DB0BBD" w:rsidP="00A7466B" w:rsidRDefault="001E4590" w14:paraId="685B39B9" w14:textId="25A975BD">
      <w:pPr>
        <w:pStyle w:val="FERCparanumber"/>
        <w:numPr>
          <w:ilvl w:val="0"/>
          <w:numId w:val="0"/>
        </w:numPr>
        <w:rPr>
          <w:szCs w:val="26"/>
        </w:rPr>
      </w:pPr>
      <w:r w:rsidRPr="008232C3">
        <w:rPr>
          <w:szCs w:val="26"/>
        </w:rPr>
        <w:t>In the</w:t>
      </w:r>
      <w:r w:rsidR="00ED1C12">
        <w:rPr>
          <w:szCs w:val="26"/>
        </w:rPr>
        <w:t xml:space="preserve"> </w:t>
      </w:r>
      <w:r w:rsidR="0066285C">
        <w:rPr>
          <w:szCs w:val="26"/>
        </w:rPr>
        <w:t xml:space="preserve">NOPR </w:t>
      </w:r>
      <w:r w:rsidRPr="008232C3" w:rsidR="00823111">
        <w:rPr>
          <w:szCs w:val="26"/>
        </w:rPr>
        <w:t xml:space="preserve">in Docket Nos. </w:t>
      </w:r>
      <w:r w:rsidRPr="0066285C" w:rsidR="0066285C">
        <w:rPr>
          <w:szCs w:val="26"/>
        </w:rPr>
        <w:t>RM21-2 and RM20-20</w:t>
      </w:r>
      <w:r w:rsidRPr="008232C3">
        <w:rPr>
          <w:szCs w:val="26"/>
        </w:rPr>
        <w:t>, t</w:t>
      </w:r>
      <w:r w:rsidRPr="008232C3" w:rsidR="00DB0BBD">
        <w:rPr>
          <w:szCs w:val="26"/>
        </w:rPr>
        <w:t xml:space="preserve">he Commission </w:t>
      </w:r>
      <w:r w:rsidR="0066285C">
        <w:rPr>
          <w:szCs w:val="26"/>
        </w:rPr>
        <w:t xml:space="preserve">proposes </w:t>
      </w:r>
      <w:r w:rsidR="00110B05">
        <w:rPr>
          <w:szCs w:val="26"/>
        </w:rPr>
        <w:t>no</w:t>
      </w:r>
      <w:r w:rsidRPr="008232C3" w:rsidR="00DB0BBD">
        <w:rPr>
          <w:szCs w:val="26"/>
        </w:rPr>
        <w:t xml:space="preserve"> changes to the FERC Form </w:t>
      </w:r>
      <w:proofErr w:type="gramStart"/>
      <w:r w:rsidRPr="008232C3" w:rsidR="00DB0BBD">
        <w:rPr>
          <w:szCs w:val="26"/>
        </w:rPr>
        <w:t>No. 556</w:t>
      </w:r>
      <w:r w:rsidR="00110B05">
        <w:rPr>
          <w:szCs w:val="26"/>
        </w:rPr>
        <w:t>, but</w:t>
      </w:r>
      <w:proofErr w:type="gramEnd"/>
      <w:r w:rsidR="00110B05">
        <w:rPr>
          <w:szCs w:val="26"/>
        </w:rPr>
        <w:t xml:space="preserve"> proposes revising its </w:t>
      </w:r>
      <w:r w:rsidR="001A68DC">
        <w:rPr>
          <w:szCs w:val="26"/>
        </w:rPr>
        <w:t xml:space="preserve">PURPA </w:t>
      </w:r>
      <w:r w:rsidR="00110B05">
        <w:rPr>
          <w:szCs w:val="26"/>
        </w:rPr>
        <w:t xml:space="preserve">regulations to allow more entities to use the </w:t>
      </w:r>
      <w:r w:rsidR="00BB7AA6">
        <w:rPr>
          <w:szCs w:val="26"/>
        </w:rPr>
        <w:t xml:space="preserve">FERC </w:t>
      </w:r>
      <w:r w:rsidR="00110B05">
        <w:rPr>
          <w:szCs w:val="26"/>
        </w:rPr>
        <w:t>Form No. 556</w:t>
      </w:r>
      <w:r w:rsidRPr="008232C3" w:rsidR="00823111">
        <w:rPr>
          <w:szCs w:val="26"/>
        </w:rPr>
        <w:t>.</w:t>
      </w:r>
      <w:r w:rsidR="00C722F7">
        <w:rPr>
          <w:szCs w:val="26"/>
        </w:rPr>
        <w:t xml:space="preserve">  The related estimates are provided below for this submittal under FERC-556A.</w:t>
      </w:r>
    </w:p>
    <w:p w:rsidRPr="008232C3" w:rsidR="00E10B0F" w:rsidP="00BE2659" w:rsidRDefault="00E10B0F" w14:paraId="6E843E0B" w14:textId="77777777">
      <w:pPr>
        <w:pStyle w:val="FERCparanumber"/>
        <w:numPr>
          <w:ilvl w:val="0"/>
          <w:numId w:val="0"/>
        </w:numPr>
        <w:rPr>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0"/>
        <w:gridCol w:w="1285"/>
        <w:gridCol w:w="1451"/>
        <w:gridCol w:w="1879"/>
        <w:gridCol w:w="1975"/>
      </w:tblGrid>
      <w:tr w:rsidRPr="008232C3" w:rsidR="00F133B5" w:rsidTr="00140474" w14:paraId="79042EDE" w14:textId="77777777">
        <w:trPr>
          <w:trHeight w:val="870"/>
        </w:trPr>
        <w:tc>
          <w:tcPr>
            <w:tcW w:w="1476" w:type="pct"/>
            <w:shd w:val="clear" w:color="auto" w:fill="D9D9D9"/>
            <w:vAlign w:val="bottom"/>
          </w:tcPr>
          <w:p w:rsidRPr="008232C3" w:rsidR="00EF40FF" w:rsidP="00475BA5" w:rsidRDefault="00274833" w14:paraId="6233FC76" w14:textId="507B6F57">
            <w:pPr>
              <w:jc w:val="center"/>
              <w:rPr>
                <w:b/>
                <w:sz w:val="26"/>
                <w:szCs w:val="26"/>
              </w:rPr>
            </w:pPr>
            <w:r>
              <w:rPr>
                <w:b/>
                <w:sz w:val="26"/>
                <w:szCs w:val="26"/>
              </w:rPr>
              <w:t>FERC-556A</w:t>
            </w:r>
          </w:p>
        </w:tc>
        <w:tc>
          <w:tcPr>
            <w:tcW w:w="687" w:type="pct"/>
            <w:shd w:val="clear" w:color="auto" w:fill="D9D9D9"/>
            <w:vAlign w:val="bottom"/>
          </w:tcPr>
          <w:p w:rsidRPr="008232C3" w:rsidR="00EF40FF" w:rsidP="00475BA5" w:rsidRDefault="00EF40FF" w14:paraId="7F692C74" w14:textId="77777777">
            <w:pPr>
              <w:jc w:val="center"/>
              <w:rPr>
                <w:b/>
                <w:sz w:val="26"/>
                <w:szCs w:val="26"/>
              </w:rPr>
            </w:pPr>
            <w:r w:rsidRPr="008232C3">
              <w:rPr>
                <w:b/>
                <w:sz w:val="26"/>
                <w:szCs w:val="26"/>
              </w:rPr>
              <w:t>Total Request</w:t>
            </w:r>
          </w:p>
        </w:tc>
        <w:tc>
          <w:tcPr>
            <w:tcW w:w="776" w:type="pct"/>
            <w:shd w:val="clear" w:color="auto" w:fill="D9D9D9"/>
            <w:vAlign w:val="bottom"/>
          </w:tcPr>
          <w:p w:rsidRPr="008232C3" w:rsidR="00EF40FF" w:rsidP="00475BA5" w:rsidRDefault="00EF40FF" w14:paraId="00DB6C6F" w14:textId="09331B94">
            <w:pPr>
              <w:jc w:val="center"/>
              <w:rPr>
                <w:b/>
                <w:sz w:val="26"/>
                <w:szCs w:val="26"/>
              </w:rPr>
            </w:pPr>
            <w:r w:rsidRPr="008232C3">
              <w:rPr>
                <w:b/>
                <w:sz w:val="26"/>
                <w:szCs w:val="26"/>
              </w:rPr>
              <w:t>Previously Approved</w:t>
            </w:r>
          </w:p>
        </w:tc>
        <w:tc>
          <w:tcPr>
            <w:tcW w:w="1005" w:type="pct"/>
            <w:shd w:val="clear" w:color="auto" w:fill="D9D9D9"/>
            <w:vAlign w:val="bottom"/>
          </w:tcPr>
          <w:p w:rsidRPr="008232C3" w:rsidR="00EF40FF" w:rsidP="00475BA5" w:rsidRDefault="00EF40FF" w14:paraId="7CDB8F66" w14:textId="60A7AFC5">
            <w:pPr>
              <w:jc w:val="center"/>
              <w:rPr>
                <w:b/>
                <w:sz w:val="26"/>
                <w:szCs w:val="26"/>
              </w:rPr>
            </w:pPr>
            <w:r w:rsidRPr="008232C3">
              <w:rPr>
                <w:b/>
                <w:sz w:val="26"/>
                <w:szCs w:val="26"/>
              </w:rPr>
              <w:t xml:space="preserve">Change </w:t>
            </w:r>
            <w:r w:rsidR="006F1FA9">
              <w:rPr>
                <w:b/>
                <w:sz w:val="26"/>
                <w:szCs w:val="26"/>
              </w:rPr>
              <w:t>D</w:t>
            </w:r>
            <w:r w:rsidRPr="008232C3">
              <w:rPr>
                <w:b/>
                <w:sz w:val="26"/>
                <w:szCs w:val="26"/>
              </w:rPr>
              <w:t>ue to Adjustment in Estimate</w:t>
            </w:r>
          </w:p>
        </w:tc>
        <w:tc>
          <w:tcPr>
            <w:tcW w:w="1056" w:type="pct"/>
            <w:shd w:val="clear" w:color="auto" w:fill="D9D9D9"/>
            <w:vAlign w:val="bottom"/>
          </w:tcPr>
          <w:p w:rsidRPr="008232C3" w:rsidR="00EF40FF" w:rsidP="00475BA5" w:rsidRDefault="00EF40FF" w14:paraId="0E193B4A" w14:textId="08B5A2E8">
            <w:pPr>
              <w:jc w:val="center"/>
              <w:rPr>
                <w:b/>
                <w:sz w:val="26"/>
                <w:szCs w:val="26"/>
              </w:rPr>
            </w:pPr>
            <w:r w:rsidRPr="008232C3">
              <w:rPr>
                <w:b/>
                <w:sz w:val="26"/>
                <w:szCs w:val="26"/>
              </w:rPr>
              <w:t>Change Due to Agency Discretion</w:t>
            </w:r>
          </w:p>
        </w:tc>
      </w:tr>
      <w:tr w:rsidRPr="008232C3" w:rsidR="00F133B5" w:rsidTr="00140474" w14:paraId="468BFB58" w14:textId="77777777">
        <w:trPr>
          <w:trHeight w:val="591"/>
        </w:trPr>
        <w:tc>
          <w:tcPr>
            <w:tcW w:w="1476" w:type="pct"/>
            <w:shd w:val="clear" w:color="auto" w:fill="auto"/>
          </w:tcPr>
          <w:p w:rsidRPr="008232C3" w:rsidR="00EF40FF" w:rsidP="00A7466B" w:rsidRDefault="00EF40FF" w14:paraId="3086E233" w14:textId="77777777">
            <w:pPr>
              <w:rPr>
                <w:sz w:val="26"/>
                <w:szCs w:val="26"/>
              </w:rPr>
            </w:pPr>
            <w:r w:rsidRPr="008232C3">
              <w:rPr>
                <w:sz w:val="26"/>
                <w:szCs w:val="26"/>
              </w:rPr>
              <w:t>Annual Number of Responses</w:t>
            </w:r>
          </w:p>
        </w:tc>
        <w:tc>
          <w:tcPr>
            <w:tcW w:w="687" w:type="pct"/>
            <w:shd w:val="clear" w:color="auto" w:fill="auto"/>
            <w:vAlign w:val="center"/>
          </w:tcPr>
          <w:p w:rsidRPr="00C722F7" w:rsidR="00EF40FF" w:rsidP="00475BA5" w:rsidRDefault="00C722F7" w14:paraId="41A09991" w14:textId="5FE0C312">
            <w:pPr>
              <w:jc w:val="right"/>
              <w:rPr>
                <w:sz w:val="26"/>
                <w:szCs w:val="26"/>
              </w:rPr>
            </w:pPr>
            <w:r w:rsidRPr="00C722F7">
              <w:rPr>
                <w:sz w:val="26"/>
                <w:szCs w:val="26"/>
              </w:rPr>
              <w:t>3,105</w:t>
            </w:r>
          </w:p>
        </w:tc>
        <w:tc>
          <w:tcPr>
            <w:tcW w:w="776" w:type="pct"/>
            <w:shd w:val="clear" w:color="auto" w:fill="auto"/>
            <w:vAlign w:val="center"/>
          </w:tcPr>
          <w:p w:rsidRPr="008232C3" w:rsidR="00EF40FF" w:rsidP="00475BA5" w:rsidRDefault="00C722F7" w14:paraId="49301DC0" w14:textId="4CA87117">
            <w:pPr>
              <w:jc w:val="right"/>
              <w:rPr>
                <w:sz w:val="26"/>
                <w:szCs w:val="26"/>
              </w:rPr>
            </w:pPr>
            <w:r>
              <w:rPr>
                <w:sz w:val="26"/>
                <w:szCs w:val="26"/>
              </w:rPr>
              <w:t>0</w:t>
            </w:r>
          </w:p>
        </w:tc>
        <w:tc>
          <w:tcPr>
            <w:tcW w:w="1005" w:type="pct"/>
            <w:shd w:val="clear" w:color="auto" w:fill="auto"/>
            <w:vAlign w:val="center"/>
          </w:tcPr>
          <w:p w:rsidRPr="008232C3" w:rsidR="00EF40FF" w:rsidP="00475BA5" w:rsidRDefault="006540CB" w14:paraId="55F232EE" w14:textId="7C600DA9">
            <w:pPr>
              <w:jc w:val="right"/>
              <w:rPr>
                <w:sz w:val="26"/>
                <w:szCs w:val="26"/>
              </w:rPr>
            </w:pPr>
            <w:r w:rsidRPr="00866974">
              <w:rPr>
                <w:sz w:val="26"/>
                <w:szCs w:val="26"/>
              </w:rPr>
              <w:t>0</w:t>
            </w:r>
          </w:p>
        </w:tc>
        <w:tc>
          <w:tcPr>
            <w:tcW w:w="1056" w:type="pct"/>
            <w:shd w:val="clear" w:color="auto" w:fill="auto"/>
            <w:vAlign w:val="center"/>
          </w:tcPr>
          <w:p w:rsidRPr="008232C3" w:rsidR="00EF40FF" w:rsidP="00475BA5" w:rsidRDefault="0052379F" w14:paraId="4798A8AE" w14:textId="75075A3E">
            <w:pPr>
              <w:jc w:val="right"/>
              <w:rPr>
                <w:sz w:val="26"/>
                <w:szCs w:val="26"/>
              </w:rPr>
            </w:pPr>
            <w:r>
              <w:rPr>
                <w:sz w:val="26"/>
                <w:szCs w:val="26"/>
              </w:rPr>
              <w:t>3,105</w:t>
            </w:r>
          </w:p>
        </w:tc>
      </w:tr>
      <w:tr w:rsidRPr="0093505E" w:rsidR="00F133B5" w:rsidTr="00140474" w14:paraId="13998FED" w14:textId="77777777">
        <w:trPr>
          <w:trHeight w:val="575"/>
        </w:trPr>
        <w:tc>
          <w:tcPr>
            <w:tcW w:w="1476" w:type="pct"/>
            <w:shd w:val="clear" w:color="auto" w:fill="auto"/>
          </w:tcPr>
          <w:p w:rsidRPr="008232C3" w:rsidR="00EF40FF" w:rsidP="00A7466B" w:rsidRDefault="00EF40FF" w14:paraId="03363A89" w14:textId="77777777">
            <w:pPr>
              <w:rPr>
                <w:sz w:val="26"/>
                <w:szCs w:val="26"/>
              </w:rPr>
            </w:pPr>
            <w:r w:rsidRPr="008232C3">
              <w:rPr>
                <w:sz w:val="26"/>
                <w:szCs w:val="26"/>
              </w:rPr>
              <w:t>Annual Time Burden (Hours)</w:t>
            </w:r>
          </w:p>
        </w:tc>
        <w:tc>
          <w:tcPr>
            <w:tcW w:w="687" w:type="pct"/>
            <w:shd w:val="clear" w:color="auto" w:fill="auto"/>
            <w:vAlign w:val="center"/>
          </w:tcPr>
          <w:p w:rsidRPr="00C722F7" w:rsidR="00EF40FF" w:rsidP="00475BA5" w:rsidRDefault="00C722F7" w14:paraId="52704BE5" w14:textId="361DE307">
            <w:pPr>
              <w:jc w:val="right"/>
              <w:rPr>
                <w:sz w:val="26"/>
                <w:szCs w:val="26"/>
              </w:rPr>
            </w:pPr>
            <w:r w:rsidRPr="00C722F7">
              <w:rPr>
                <w:sz w:val="26"/>
                <w:szCs w:val="26"/>
              </w:rPr>
              <w:t>6,250</w:t>
            </w:r>
          </w:p>
        </w:tc>
        <w:tc>
          <w:tcPr>
            <w:tcW w:w="776" w:type="pct"/>
            <w:shd w:val="clear" w:color="auto" w:fill="auto"/>
            <w:vAlign w:val="center"/>
          </w:tcPr>
          <w:p w:rsidRPr="008232C3" w:rsidR="00EF40FF" w:rsidP="00475BA5" w:rsidRDefault="00C722F7" w14:paraId="391C7DE4" w14:textId="339B499A">
            <w:pPr>
              <w:jc w:val="right"/>
              <w:rPr>
                <w:sz w:val="26"/>
                <w:szCs w:val="26"/>
              </w:rPr>
            </w:pPr>
            <w:r>
              <w:rPr>
                <w:sz w:val="26"/>
                <w:szCs w:val="26"/>
              </w:rPr>
              <w:t>0</w:t>
            </w:r>
          </w:p>
        </w:tc>
        <w:tc>
          <w:tcPr>
            <w:tcW w:w="1005" w:type="pct"/>
            <w:shd w:val="clear" w:color="auto" w:fill="auto"/>
            <w:vAlign w:val="center"/>
          </w:tcPr>
          <w:p w:rsidRPr="008232C3" w:rsidR="00EF40FF" w:rsidP="00475BA5" w:rsidRDefault="006540CB" w14:paraId="15165B50" w14:textId="3F88ED21">
            <w:pPr>
              <w:jc w:val="right"/>
              <w:rPr>
                <w:sz w:val="26"/>
                <w:szCs w:val="26"/>
              </w:rPr>
            </w:pPr>
            <w:r w:rsidRPr="00866974">
              <w:rPr>
                <w:sz w:val="26"/>
                <w:szCs w:val="26"/>
              </w:rPr>
              <w:t>0</w:t>
            </w:r>
          </w:p>
        </w:tc>
        <w:tc>
          <w:tcPr>
            <w:tcW w:w="1056" w:type="pct"/>
            <w:shd w:val="clear" w:color="auto" w:fill="auto"/>
            <w:vAlign w:val="center"/>
          </w:tcPr>
          <w:p w:rsidRPr="0093505E" w:rsidR="00EF40FF" w:rsidP="00475BA5" w:rsidRDefault="0052379F" w14:paraId="15B9CA7B" w14:textId="67636C6A">
            <w:pPr>
              <w:jc w:val="right"/>
              <w:rPr>
                <w:sz w:val="26"/>
                <w:szCs w:val="26"/>
              </w:rPr>
            </w:pPr>
            <w:r w:rsidRPr="0093505E">
              <w:rPr>
                <w:sz w:val="26"/>
                <w:szCs w:val="26"/>
              </w:rPr>
              <w:t>6,250</w:t>
            </w:r>
          </w:p>
        </w:tc>
      </w:tr>
      <w:tr w:rsidRPr="008232C3" w:rsidR="00F133B5" w:rsidTr="00550286" w14:paraId="22391880" w14:textId="77777777">
        <w:trPr>
          <w:trHeight w:val="295"/>
        </w:trPr>
        <w:tc>
          <w:tcPr>
            <w:tcW w:w="1476" w:type="pct"/>
            <w:tcBorders>
              <w:bottom w:val="single" w:color="auto" w:sz="4" w:space="0"/>
            </w:tcBorders>
            <w:shd w:val="clear" w:color="auto" w:fill="auto"/>
          </w:tcPr>
          <w:p w:rsidRPr="008232C3" w:rsidR="00EF40FF" w:rsidP="00A7466B" w:rsidRDefault="00EF40FF" w14:paraId="05333644" w14:textId="77777777">
            <w:pPr>
              <w:rPr>
                <w:sz w:val="26"/>
                <w:szCs w:val="26"/>
              </w:rPr>
            </w:pPr>
            <w:r w:rsidRPr="008232C3">
              <w:rPr>
                <w:sz w:val="26"/>
                <w:szCs w:val="26"/>
              </w:rPr>
              <w:t>Annual Cost Burden ($)</w:t>
            </w:r>
          </w:p>
        </w:tc>
        <w:tc>
          <w:tcPr>
            <w:tcW w:w="687" w:type="pct"/>
            <w:shd w:val="clear" w:color="auto" w:fill="auto"/>
            <w:vAlign w:val="center"/>
          </w:tcPr>
          <w:p w:rsidRPr="008232C3" w:rsidR="00EF40FF" w:rsidP="00475BA5" w:rsidRDefault="00112370" w14:paraId="18B586E7" w14:textId="2E2C69F2">
            <w:pPr>
              <w:jc w:val="right"/>
              <w:rPr>
                <w:sz w:val="26"/>
                <w:szCs w:val="26"/>
              </w:rPr>
            </w:pPr>
            <w:r>
              <w:rPr>
                <w:sz w:val="26"/>
                <w:szCs w:val="26"/>
              </w:rPr>
              <w:t>0</w:t>
            </w:r>
          </w:p>
        </w:tc>
        <w:tc>
          <w:tcPr>
            <w:tcW w:w="776" w:type="pct"/>
            <w:shd w:val="clear" w:color="auto" w:fill="auto"/>
            <w:vAlign w:val="center"/>
          </w:tcPr>
          <w:p w:rsidRPr="008232C3" w:rsidR="00EF40FF" w:rsidP="00475BA5" w:rsidRDefault="00112370" w14:paraId="0705083D" w14:textId="029E175D">
            <w:pPr>
              <w:jc w:val="right"/>
              <w:rPr>
                <w:sz w:val="26"/>
                <w:szCs w:val="26"/>
              </w:rPr>
            </w:pPr>
            <w:r>
              <w:rPr>
                <w:sz w:val="26"/>
                <w:szCs w:val="26"/>
              </w:rPr>
              <w:t>0</w:t>
            </w:r>
          </w:p>
        </w:tc>
        <w:tc>
          <w:tcPr>
            <w:tcW w:w="1005" w:type="pct"/>
            <w:shd w:val="clear" w:color="auto" w:fill="auto"/>
            <w:vAlign w:val="center"/>
          </w:tcPr>
          <w:p w:rsidRPr="008232C3" w:rsidR="00EF40FF" w:rsidP="00475BA5" w:rsidRDefault="00112370" w14:paraId="6719C81A" w14:textId="6CF3A646">
            <w:pPr>
              <w:jc w:val="right"/>
              <w:rPr>
                <w:sz w:val="26"/>
                <w:szCs w:val="26"/>
              </w:rPr>
            </w:pPr>
            <w:r>
              <w:rPr>
                <w:sz w:val="26"/>
                <w:szCs w:val="26"/>
              </w:rPr>
              <w:t>0</w:t>
            </w:r>
          </w:p>
        </w:tc>
        <w:tc>
          <w:tcPr>
            <w:tcW w:w="1056" w:type="pct"/>
            <w:shd w:val="clear" w:color="auto" w:fill="auto"/>
            <w:vAlign w:val="center"/>
          </w:tcPr>
          <w:p w:rsidRPr="008232C3" w:rsidR="00EF40FF" w:rsidP="00475BA5" w:rsidRDefault="00112370" w14:paraId="631E7345" w14:textId="396A88B7">
            <w:pPr>
              <w:jc w:val="right"/>
              <w:rPr>
                <w:sz w:val="26"/>
                <w:szCs w:val="26"/>
              </w:rPr>
            </w:pPr>
            <w:r>
              <w:rPr>
                <w:sz w:val="26"/>
                <w:szCs w:val="26"/>
              </w:rPr>
              <w:t>0</w:t>
            </w:r>
          </w:p>
        </w:tc>
      </w:tr>
    </w:tbl>
    <w:p w:rsidRPr="008232C3" w:rsidR="00EF40FF" w:rsidP="00EF40FF" w:rsidRDefault="00EF40FF" w14:paraId="036DB8B3" w14:textId="04BD5647">
      <w:pPr>
        <w:widowControl/>
        <w:rPr>
          <w:b/>
          <w:sz w:val="26"/>
          <w:szCs w:val="26"/>
        </w:rPr>
      </w:pPr>
    </w:p>
    <w:p w:rsidRPr="008232C3" w:rsidR="009D6B6D" w:rsidP="00EF40FF" w:rsidRDefault="00EF40FF" w14:paraId="23536878" w14:textId="77777777">
      <w:pPr>
        <w:pStyle w:val="FERCparanumber"/>
        <w:numPr>
          <w:ilvl w:val="0"/>
          <w:numId w:val="7"/>
        </w:numPr>
        <w:rPr>
          <w:b/>
          <w:szCs w:val="26"/>
        </w:rPr>
      </w:pPr>
      <w:r w:rsidRPr="008232C3">
        <w:rPr>
          <w:b/>
          <w:szCs w:val="26"/>
        </w:rPr>
        <w:t>TIME SCHEDULE FOR PUBLICATION OF DATA</w:t>
      </w:r>
    </w:p>
    <w:p w:rsidRPr="008232C3" w:rsidR="00EF40FF" w:rsidP="00EF40FF" w:rsidRDefault="00EF40FF" w14:paraId="51DB9B56" w14:textId="77777777">
      <w:pPr>
        <w:pStyle w:val="FERCparanumber"/>
        <w:numPr>
          <w:ilvl w:val="0"/>
          <w:numId w:val="0"/>
        </w:numPr>
        <w:rPr>
          <w:b/>
          <w:szCs w:val="26"/>
        </w:rPr>
      </w:pPr>
    </w:p>
    <w:p w:rsidRPr="008232C3" w:rsidR="00545B62" w:rsidP="00545B62" w:rsidRDefault="00545B62" w14:paraId="70E3009D" w14:textId="6C4305AF">
      <w:pPr>
        <w:widowControl/>
        <w:rPr>
          <w:sz w:val="26"/>
          <w:szCs w:val="26"/>
        </w:rPr>
      </w:pPr>
      <w:r w:rsidRPr="008232C3">
        <w:rPr>
          <w:sz w:val="26"/>
          <w:szCs w:val="26"/>
        </w:rPr>
        <w:t xml:space="preserve">There are no </w:t>
      </w:r>
      <w:r w:rsidRPr="008232C3" w:rsidR="00C31524">
        <w:rPr>
          <w:sz w:val="26"/>
          <w:szCs w:val="26"/>
        </w:rPr>
        <w:t>plans for publication</w:t>
      </w:r>
      <w:r w:rsidRPr="008232C3">
        <w:rPr>
          <w:sz w:val="26"/>
          <w:szCs w:val="26"/>
        </w:rPr>
        <w:t xml:space="preserve">.  The data </w:t>
      </w:r>
      <w:r w:rsidR="007D0150">
        <w:rPr>
          <w:sz w:val="26"/>
          <w:szCs w:val="26"/>
        </w:rPr>
        <w:t>is</w:t>
      </w:r>
      <w:r w:rsidRPr="008232C3">
        <w:rPr>
          <w:sz w:val="26"/>
          <w:szCs w:val="26"/>
        </w:rPr>
        <w:t xml:space="preserve"> used for regulatory purposes only.</w:t>
      </w:r>
    </w:p>
    <w:p w:rsidRPr="008232C3" w:rsidR="00EF40FF" w:rsidP="00EF40FF" w:rsidRDefault="00EF40FF" w14:paraId="4F9B8716" w14:textId="77777777">
      <w:pPr>
        <w:pStyle w:val="FERCparanumber"/>
        <w:numPr>
          <w:ilvl w:val="0"/>
          <w:numId w:val="0"/>
        </w:numPr>
        <w:rPr>
          <w:b/>
          <w:szCs w:val="26"/>
        </w:rPr>
      </w:pPr>
    </w:p>
    <w:p w:rsidRPr="008232C3" w:rsidR="009D6B6D" w:rsidP="001D2EC1" w:rsidRDefault="00EF40FF" w14:paraId="1C9A412B" w14:textId="77777777">
      <w:pPr>
        <w:pStyle w:val="FERCparanumber"/>
        <w:numPr>
          <w:ilvl w:val="0"/>
          <w:numId w:val="7"/>
        </w:numPr>
        <w:rPr>
          <w:b/>
          <w:szCs w:val="26"/>
        </w:rPr>
      </w:pPr>
      <w:r w:rsidRPr="008232C3">
        <w:rPr>
          <w:b/>
          <w:szCs w:val="26"/>
        </w:rPr>
        <w:t>DISPLAY OF EXPIRATION DATE</w:t>
      </w:r>
    </w:p>
    <w:p w:rsidRPr="008232C3" w:rsidR="00EF40FF" w:rsidP="00EF40FF" w:rsidRDefault="00EF40FF" w14:paraId="64C2D0DB" w14:textId="77777777">
      <w:pPr>
        <w:pStyle w:val="FERCparanumber"/>
        <w:numPr>
          <w:ilvl w:val="0"/>
          <w:numId w:val="0"/>
        </w:numPr>
        <w:rPr>
          <w:b/>
          <w:szCs w:val="26"/>
        </w:rPr>
      </w:pPr>
    </w:p>
    <w:p w:rsidRPr="008232C3" w:rsidR="00EF40FF" w:rsidP="00EF40FF" w:rsidRDefault="00BB7AA6" w14:paraId="20D35147" w14:textId="623DE8FB">
      <w:pPr>
        <w:widowControl/>
        <w:rPr>
          <w:sz w:val="26"/>
          <w:szCs w:val="26"/>
        </w:rPr>
      </w:pPr>
      <w:r>
        <w:rPr>
          <w:sz w:val="26"/>
          <w:szCs w:val="26"/>
        </w:rPr>
        <w:t xml:space="preserve">FERC </w:t>
      </w:r>
      <w:r w:rsidRPr="008232C3" w:rsidR="00EF40FF">
        <w:rPr>
          <w:sz w:val="26"/>
          <w:szCs w:val="26"/>
        </w:rPr>
        <w:t>Form No. 556 is available from the Commission’s website (</w:t>
      </w:r>
      <w:r w:rsidRPr="00656BDD" w:rsidR="00656BDD">
        <w:t>https://www.ferc.gov/industries-data/electric/general-information/electric-industry-forms</w:t>
      </w:r>
      <w:r w:rsidRPr="008232C3" w:rsidR="00EF40FF">
        <w:rPr>
          <w:sz w:val="26"/>
          <w:szCs w:val="26"/>
        </w:rPr>
        <w:t>) as a standard form that can be downloaded</w:t>
      </w:r>
      <w:r w:rsidRPr="008232C3" w:rsidR="00692BDC">
        <w:rPr>
          <w:sz w:val="26"/>
          <w:szCs w:val="26"/>
        </w:rPr>
        <w:t>;</w:t>
      </w:r>
      <w:r w:rsidRPr="008232C3" w:rsidR="00EF40FF">
        <w:rPr>
          <w:sz w:val="26"/>
          <w:szCs w:val="26"/>
        </w:rPr>
        <w:t xml:space="preserve"> the expiration date for OMB approva</w:t>
      </w:r>
      <w:r w:rsidRPr="008232C3" w:rsidR="00545B62">
        <w:rPr>
          <w:sz w:val="26"/>
          <w:szCs w:val="26"/>
        </w:rPr>
        <w:t>l is on the form/instructions.</w:t>
      </w:r>
      <w:r w:rsidR="00C722F7">
        <w:rPr>
          <w:sz w:val="26"/>
          <w:szCs w:val="26"/>
        </w:rPr>
        <w:t xml:space="preserve">  This information for FERC-556A will be added to the burden for FERC-556 in the future.</w:t>
      </w:r>
    </w:p>
    <w:p w:rsidRPr="008232C3" w:rsidR="00545B62" w:rsidP="00EF40FF" w:rsidRDefault="00545B62" w14:paraId="65E1E3F6" w14:textId="77777777">
      <w:pPr>
        <w:widowControl/>
        <w:rPr>
          <w:sz w:val="26"/>
          <w:szCs w:val="26"/>
        </w:rPr>
      </w:pPr>
    </w:p>
    <w:p w:rsidRPr="008232C3" w:rsidR="00545B62" w:rsidP="00545B62" w:rsidRDefault="00545B62" w14:paraId="25F34609" w14:textId="20629E31">
      <w:pPr>
        <w:widowControl/>
        <w:rPr>
          <w:sz w:val="26"/>
          <w:szCs w:val="26"/>
        </w:rPr>
      </w:pPr>
      <w:r w:rsidRPr="008232C3">
        <w:rPr>
          <w:sz w:val="26"/>
          <w:szCs w:val="26"/>
        </w:rPr>
        <w:t xml:space="preserve">The OMB expiration dates are also posted on </w:t>
      </w:r>
      <w:hyperlink w:history="1" r:id="rId14">
        <w:r w:rsidRPr="00AE54BC" w:rsidR="002F3420">
          <w:rPr>
            <w:rStyle w:val="Hyperlink"/>
            <w:sz w:val="26"/>
            <w:szCs w:val="26"/>
          </w:rPr>
          <w:t>http://www.ferc.gov</w:t>
        </w:r>
      </w:hyperlink>
      <w:r w:rsidRPr="008232C3">
        <w:rPr>
          <w:sz w:val="26"/>
          <w:szCs w:val="26"/>
        </w:rPr>
        <w:t>.</w:t>
      </w:r>
    </w:p>
    <w:p w:rsidRPr="008232C3" w:rsidR="00EF40FF" w:rsidP="00EF40FF" w:rsidRDefault="00EF40FF" w14:paraId="00D28FCE" w14:textId="77777777">
      <w:pPr>
        <w:pStyle w:val="FERCparanumber"/>
        <w:numPr>
          <w:ilvl w:val="0"/>
          <w:numId w:val="0"/>
        </w:numPr>
        <w:rPr>
          <w:b/>
          <w:szCs w:val="26"/>
        </w:rPr>
      </w:pPr>
    </w:p>
    <w:p w:rsidRPr="008232C3" w:rsidR="00EF40FF" w:rsidP="00E138E1" w:rsidRDefault="00EF40FF" w14:paraId="28E37EB8" w14:textId="77777777">
      <w:pPr>
        <w:widowControl/>
        <w:numPr>
          <w:ilvl w:val="0"/>
          <w:numId w:val="7"/>
        </w:numPr>
        <w:ind w:hanging="720"/>
        <w:rPr>
          <w:b/>
          <w:sz w:val="26"/>
          <w:szCs w:val="26"/>
        </w:rPr>
      </w:pPr>
      <w:r w:rsidRPr="008232C3">
        <w:rPr>
          <w:b/>
          <w:sz w:val="26"/>
          <w:szCs w:val="26"/>
        </w:rPr>
        <w:lastRenderedPageBreak/>
        <w:t>EXCEPTIONS TO THE CERTIFICATION STATEMENT</w:t>
      </w:r>
    </w:p>
    <w:p w:rsidRPr="008232C3" w:rsidR="009D6B6D" w:rsidP="001D2EC1" w:rsidRDefault="009D6B6D" w14:paraId="3A812B1E" w14:textId="77777777">
      <w:pPr>
        <w:widowControl/>
        <w:ind w:left="720"/>
        <w:rPr>
          <w:b/>
          <w:sz w:val="26"/>
          <w:szCs w:val="26"/>
        </w:rPr>
      </w:pPr>
    </w:p>
    <w:p w:rsidRPr="004B2061" w:rsidR="005B4C82" w:rsidP="00155D40" w:rsidRDefault="00545B62" w14:paraId="7EADF800" w14:textId="01117A93">
      <w:pPr>
        <w:widowControl/>
        <w:rPr>
          <w:sz w:val="26"/>
          <w:szCs w:val="26"/>
        </w:rPr>
      </w:pPr>
      <w:r w:rsidRPr="008232C3">
        <w:rPr>
          <w:sz w:val="26"/>
          <w:szCs w:val="26"/>
        </w:rPr>
        <w:t>There are no exceptions.</w:t>
      </w:r>
    </w:p>
    <w:p w:rsidRPr="004B2061" w:rsidR="00427B00" w:rsidP="002D68D0" w:rsidRDefault="00427B00" w14:paraId="04CB0ED1" w14:textId="01C2B4D6">
      <w:pPr>
        <w:widowControl/>
        <w:tabs>
          <w:tab w:val="num" w:pos="720"/>
        </w:tabs>
        <w:autoSpaceDE/>
        <w:autoSpaceDN/>
        <w:adjustRightInd/>
        <w:spacing w:after="240"/>
        <w:rPr>
          <w:b/>
          <w:strike/>
          <w:sz w:val="26"/>
          <w:szCs w:val="26"/>
        </w:rPr>
      </w:pPr>
    </w:p>
    <w:sectPr w:rsidRPr="004B2061" w:rsidR="00427B00" w:rsidSect="0002051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7CF30" w14:textId="77777777" w:rsidR="00901378" w:rsidRDefault="00901378" w:rsidP="009D6B6D">
      <w:r>
        <w:separator/>
      </w:r>
    </w:p>
  </w:endnote>
  <w:endnote w:type="continuationSeparator" w:id="0">
    <w:p w14:paraId="3F0D5173" w14:textId="77777777" w:rsidR="00901378" w:rsidRDefault="00901378" w:rsidP="009D6B6D">
      <w:r>
        <w:continuationSeparator/>
      </w:r>
    </w:p>
  </w:endnote>
  <w:endnote w:type="continuationNotice" w:id="1">
    <w:p w14:paraId="32E1A885" w14:textId="77777777" w:rsidR="00901378" w:rsidRDefault="00901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2DD5" w14:textId="77777777" w:rsidR="0093505E" w:rsidRDefault="0093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A265" w14:textId="31A6A7CC" w:rsidR="00901378" w:rsidRDefault="00901378">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sdtContent>
    </w:sdt>
  </w:p>
  <w:p w14:paraId="00CEF22F" w14:textId="77777777" w:rsidR="00901378" w:rsidRDefault="00901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85A9" w14:textId="77777777" w:rsidR="0093505E" w:rsidRDefault="00935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047FE" w14:textId="77777777" w:rsidR="00901378" w:rsidRDefault="00901378" w:rsidP="009D6B6D">
      <w:r>
        <w:separator/>
      </w:r>
    </w:p>
  </w:footnote>
  <w:footnote w:type="continuationSeparator" w:id="0">
    <w:p w14:paraId="1EB5CF38" w14:textId="77777777" w:rsidR="00901378" w:rsidRDefault="00901378" w:rsidP="009D6B6D">
      <w:r>
        <w:continuationSeparator/>
      </w:r>
    </w:p>
  </w:footnote>
  <w:footnote w:type="continuationNotice" w:id="1">
    <w:p w14:paraId="5CA6CDE2" w14:textId="77777777" w:rsidR="00901378" w:rsidRDefault="00901378"/>
  </w:footnote>
  <w:footnote w:id="2">
    <w:p w14:paraId="7F269FD1" w14:textId="2C63AB1F" w:rsidR="00901378" w:rsidRPr="00880643" w:rsidRDefault="00901378">
      <w:pPr>
        <w:pStyle w:val="FootnoteText"/>
        <w:rPr>
          <w:sz w:val="26"/>
          <w:szCs w:val="26"/>
        </w:rPr>
      </w:pPr>
      <w:r w:rsidRPr="00880643">
        <w:rPr>
          <w:rStyle w:val="FootnoteReference"/>
          <w:sz w:val="26"/>
          <w:szCs w:val="26"/>
          <w:vertAlign w:val="superscript"/>
        </w:rPr>
        <w:footnoteRef/>
      </w:r>
      <w:r w:rsidRPr="00880643">
        <w:rPr>
          <w:sz w:val="26"/>
          <w:szCs w:val="26"/>
        </w:rPr>
        <w:t xml:space="preserve"> 16 U.S.C. 796(17)-(22), 824a-3.</w:t>
      </w:r>
    </w:p>
  </w:footnote>
  <w:footnote w:id="3">
    <w:p w14:paraId="1A3EC858" w14:textId="1BC777A5" w:rsidR="00901378" w:rsidRDefault="00901378" w:rsidP="00854BCA">
      <w:r w:rsidRPr="00854BCA">
        <w:rPr>
          <w:rStyle w:val="FootnoteReference"/>
          <w:vertAlign w:val="superscript"/>
        </w:rPr>
        <w:footnoteRef/>
      </w:r>
      <w:r>
        <w:t xml:space="preserve"> </w:t>
      </w:r>
      <w:r w:rsidRPr="00F133B5">
        <w:rPr>
          <w:sz w:val="26"/>
          <w:szCs w:val="26"/>
        </w:rPr>
        <w:t xml:space="preserve">Since FERC may revoke the </w:t>
      </w:r>
      <w:r>
        <w:rPr>
          <w:sz w:val="26"/>
          <w:szCs w:val="26"/>
        </w:rPr>
        <w:t>QF</w:t>
      </w:r>
      <w:r w:rsidRPr="00F133B5">
        <w:rPr>
          <w:sz w:val="26"/>
          <w:szCs w:val="26"/>
        </w:rPr>
        <w:t xml:space="preserve"> status of a small power production or cogeneration facility if the facility fails to comply with any of the 18 C</w:t>
      </w:r>
      <w:r>
        <w:rPr>
          <w:sz w:val="26"/>
          <w:szCs w:val="26"/>
        </w:rPr>
        <w:t>.</w:t>
      </w:r>
      <w:r w:rsidRPr="00F133B5">
        <w:rPr>
          <w:sz w:val="26"/>
          <w:szCs w:val="26"/>
        </w:rPr>
        <w:t>F</w:t>
      </w:r>
      <w:r>
        <w:rPr>
          <w:sz w:val="26"/>
          <w:szCs w:val="26"/>
        </w:rPr>
        <w:t>.</w:t>
      </w:r>
      <w:r w:rsidRPr="00F133B5">
        <w:rPr>
          <w:sz w:val="26"/>
          <w:szCs w:val="26"/>
        </w:rPr>
        <w:t>R</w:t>
      </w:r>
      <w:r>
        <w:rPr>
          <w:sz w:val="26"/>
          <w:szCs w:val="26"/>
        </w:rPr>
        <w:t>.</w:t>
      </w:r>
      <w:r w:rsidRPr="00F133B5">
        <w:rPr>
          <w:sz w:val="26"/>
          <w:szCs w:val="26"/>
        </w:rPr>
        <w:t xml:space="preserve"> Part 292 criteria, private financial lenders to small power production and cogeneration power facilities occasionally require small power producers and </w:t>
      </w:r>
      <w:proofErr w:type="spellStart"/>
      <w:r w:rsidRPr="00F133B5">
        <w:rPr>
          <w:sz w:val="26"/>
          <w:szCs w:val="26"/>
        </w:rPr>
        <w:t>cogenerators</w:t>
      </w:r>
      <w:proofErr w:type="spellEnd"/>
      <w:r w:rsidRPr="00F133B5">
        <w:rPr>
          <w:sz w:val="26"/>
          <w:szCs w:val="26"/>
        </w:rPr>
        <w:t xml:space="preserve"> to follow 18 C</w:t>
      </w:r>
      <w:r>
        <w:rPr>
          <w:sz w:val="26"/>
          <w:szCs w:val="26"/>
        </w:rPr>
        <w:t>.</w:t>
      </w:r>
      <w:r w:rsidRPr="00F133B5">
        <w:rPr>
          <w:sz w:val="26"/>
          <w:szCs w:val="26"/>
        </w:rPr>
        <w:t>F</w:t>
      </w:r>
      <w:r>
        <w:rPr>
          <w:sz w:val="26"/>
          <w:szCs w:val="26"/>
        </w:rPr>
        <w:t>.</w:t>
      </w:r>
      <w:r w:rsidRPr="00F133B5">
        <w:rPr>
          <w:sz w:val="26"/>
          <w:szCs w:val="26"/>
        </w:rPr>
        <w:t>R</w:t>
      </w:r>
      <w:r>
        <w:rPr>
          <w:sz w:val="26"/>
          <w:szCs w:val="26"/>
        </w:rPr>
        <w:t>.</w:t>
      </w:r>
      <w:r w:rsidRPr="00F133B5">
        <w:rPr>
          <w:sz w:val="26"/>
          <w:szCs w:val="26"/>
        </w:rPr>
        <w:t xml:space="preserve"> </w:t>
      </w:r>
      <w:r w:rsidRPr="007A3DA0">
        <w:rPr>
          <w:sz w:val="26"/>
          <w:szCs w:val="26"/>
        </w:rPr>
        <w:t>§</w:t>
      </w:r>
      <w:r w:rsidRPr="00F133B5">
        <w:rPr>
          <w:sz w:val="26"/>
          <w:szCs w:val="26"/>
        </w:rPr>
        <w:t xml:space="preserve"> 292.207(b) procedures (certification by FERC as opposed to self-certification) in order to reduce the risk of status revocation.</w:t>
      </w:r>
    </w:p>
  </w:footnote>
  <w:footnote w:id="4">
    <w:p w14:paraId="0DA98604" w14:textId="77777777" w:rsidR="00901378" w:rsidRPr="00A5002D" w:rsidRDefault="00901378" w:rsidP="009D6B6D">
      <w:pPr>
        <w:pStyle w:val="FootnoteText"/>
        <w:rPr>
          <w:sz w:val="26"/>
          <w:szCs w:val="26"/>
        </w:rPr>
      </w:pPr>
      <w:r w:rsidRPr="00880643">
        <w:rPr>
          <w:rStyle w:val="FootnoteReference"/>
          <w:sz w:val="26"/>
          <w:szCs w:val="26"/>
          <w:vertAlign w:val="superscript"/>
        </w:rPr>
        <w:footnoteRef/>
      </w:r>
      <w:r w:rsidRPr="00880643">
        <w:rPr>
          <w:sz w:val="26"/>
          <w:szCs w:val="26"/>
        </w:rPr>
        <w:t xml:space="preserve"> </w:t>
      </w:r>
      <w:r w:rsidRPr="00A5002D">
        <w:rPr>
          <w:i/>
          <w:sz w:val="26"/>
          <w:szCs w:val="26"/>
        </w:rPr>
        <w:t>Electronic Filing of Documents</w:t>
      </w:r>
      <w:r w:rsidRPr="00A5002D">
        <w:rPr>
          <w:sz w:val="26"/>
          <w:szCs w:val="26"/>
        </w:rPr>
        <w:t>, Order No. 619, 65 FR 57088 (Sept. 21, 2000), FERC Stats. &amp; Regs. ¶ 31,107 (2000).</w:t>
      </w:r>
    </w:p>
  </w:footnote>
  <w:footnote w:id="5">
    <w:p w14:paraId="11ED06FF" w14:textId="77777777" w:rsidR="00901378" w:rsidRPr="00432CA4" w:rsidRDefault="00901378" w:rsidP="004441C5">
      <w:pPr>
        <w:pStyle w:val="FootnoteText"/>
        <w:rPr>
          <w:sz w:val="26"/>
          <w:szCs w:val="26"/>
        </w:rPr>
      </w:pPr>
      <w:r w:rsidRPr="00880643">
        <w:rPr>
          <w:rStyle w:val="FootnoteReference"/>
          <w:sz w:val="26"/>
          <w:szCs w:val="26"/>
          <w:vertAlign w:val="superscript"/>
        </w:rPr>
        <w:footnoteRef/>
      </w:r>
      <w:r w:rsidRPr="00AE54BC">
        <w:rPr>
          <w:sz w:val="26"/>
          <w:szCs w:val="26"/>
        </w:rPr>
        <w:t xml:space="preserve"> </w:t>
      </w:r>
      <w:r w:rsidRPr="00A5002D">
        <w:rPr>
          <w:sz w:val="26"/>
          <w:szCs w:val="26"/>
        </w:rPr>
        <w:t xml:space="preserve">The </w:t>
      </w:r>
      <w:r w:rsidRPr="0008758D">
        <w:rPr>
          <w:sz w:val="26"/>
          <w:szCs w:val="26"/>
        </w:rPr>
        <w:t>frequently asked questions</w:t>
      </w:r>
      <w:r w:rsidRPr="0008758D" w:rsidDel="0008758D">
        <w:rPr>
          <w:sz w:val="26"/>
          <w:szCs w:val="26"/>
        </w:rPr>
        <w:t xml:space="preserve"> </w:t>
      </w:r>
      <w:r w:rsidRPr="00A5002D">
        <w:rPr>
          <w:sz w:val="26"/>
          <w:szCs w:val="26"/>
        </w:rPr>
        <w:t>are posted at</w:t>
      </w:r>
      <w:r w:rsidRPr="00880643">
        <w:rPr>
          <w:rStyle w:val="Hyperlink"/>
          <w:sz w:val="26"/>
          <w:szCs w:val="26"/>
        </w:rPr>
        <w:t xml:space="preserve"> </w:t>
      </w:r>
      <w:r w:rsidRPr="00A5002D">
        <w:rPr>
          <w:rStyle w:val="Hyperlink"/>
          <w:sz w:val="26"/>
          <w:szCs w:val="26"/>
        </w:rPr>
        <w:t>https://www.ferc.gov/about/what-ferc/frequently-asked-questions-faqs/qualifying-facilities-qf-faq</w:t>
      </w:r>
      <w:r w:rsidRPr="00A5002D">
        <w:rPr>
          <w:sz w:val="26"/>
          <w:szCs w:val="26"/>
        </w:rPr>
        <w:t xml:space="preserve">. </w:t>
      </w:r>
    </w:p>
  </w:footnote>
  <w:footnote w:id="6">
    <w:p w14:paraId="407536FF" w14:textId="3E6DE8FD" w:rsidR="008514B1" w:rsidRPr="0093505E" w:rsidRDefault="008514B1">
      <w:pPr>
        <w:pStyle w:val="FootnoteText"/>
        <w:rPr>
          <w:sz w:val="26"/>
          <w:szCs w:val="26"/>
        </w:rPr>
      </w:pPr>
      <w:r w:rsidRPr="00AE54BC">
        <w:rPr>
          <w:rStyle w:val="FootnoteReference"/>
          <w:sz w:val="26"/>
          <w:szCs w:val="26"/>
          <w:vertAlign w:val="superscript"/>
        </w:rPr>
        <w:footnoteRef/>
      </w:r>
      <w:r w:rsidRPr="00AE54BC">
        <w:rPr>
          <w:sz w:val="26"/>
          <w:szCs w:val="26"/>
          <w:vertAlign w:val="superscript"/>
        </w:rPr>
        <w:t xml:space="preserve"> </w:t>
      </w:r>
      <w:r w:rsidRPr="00AE54BC">
        <w:rPr>
          <w:sz w:val="26"/>
          <w:szCs w:val="26"/>
        </w:rPr>
        <w:t>The NOPR is available at https://www.govinfo.gov/content/pkg/FR-2020-10-26/pdf/2020-23</w:t>
      </w:r>
      <w:r w:rsidRPr="0093505E">
        <w:rPr>
          <w:sz w:val="26"/>
          <w:szCs w:val="26"/>
        </w:rPr>
        <w:t>282.pdf?utm_campaign=subscription+mailing+list&amp;utm_source=federalregister.gov&amp;utm_medium=email.</w:t>
      </w:r>
    </w:p>
  </w:footnote>
  <w:footnote w:id="7">
    <w:p w14:paraId="47044F39" w14:textId="43FFEE17" w:rsidR="00901378" w:rsidRPr="00CB4EA6" w:rsidRDefault="00901378">
      <w:pPr>
        <w:pStyle w:val="FootnoteText"/>
        <w:rPr>
          <w:sz w:val="26"/>
          <w:szCs w:val="26"/>
          <w:highlight w:val="yellow"/>
        </w:rPr>
      </w:pPr>
      <w:r w:rsidRPr="0093505E">
        <w:rPr>
          <w:rStyle w:val="FootnoteReference"/>
          <w:sz w:val="26"/>
          <w:szCs w:val="26"/>
          <w:vertAlign w:val="superscript"/>
        </w:rPr>
        <w:footnoteRef/>
      </w:r>
      <w:r w:rsidRPr="0093505E">
        <w:rPr>
          <w:sz w:val="26"/>
          <w:szCs w:val="26"/>
        </w:rPr>
        <w:t xml:space="preserve"> 18 C.F.R. § 388.112.  More information on the CEII definition, program and requirements is posted at </w:t>
      </w:r>
      <w:hyperlink r:id="rId1" w:history="1">
        <w:r w:rsidRPr="0093505E">
          <w:rPr>
            <w:rStyle w:val="Hyperlink"/>
            <w:sz w:val="26"/>
            <w:szCs w:val="26"/>
          </w:rPr>
          <w:t>http://www.ferc.gov</w:t>
        </w:r>
      </w:hyperlink>
      <w:r w:rsidRPr="0093505E">
        <w:rPr>
          <w:sz w:val="26"/>
          <w:szCs w:val="26"/>
        </w:rPr>
        <w:t>.</w:t>
      </w:r>
    </w:p>
  </w:footnote>
  <w:footnote w:id="8">
    <w:p w14:paraId="3D82AFC7" w14:textId="4FA94267" w:rsidR="00901378" w:rsidRPr="00CB4EA6" w:rsidRDefault="00901378">
      <w:pPr>
        <w:pStyle w:val="FootnoteText"/>
        <w:rPr>
          <w:highlight w:val="yellow"/>
        </w:rPr>
      </w:pPr>
      <w:r w:rsidRPr="00AA5172">
        <w:rPr>
          <w:rStyle w:val="FootnoteReference"/>
          <w:sz w:val="26"/>
          <w:szCs w:val="26"/>
          <w:vertAlign w:val="superscript"/>
        </w:rPr>
        <w:footnoteRef/>
      </w:r>
      <w:bookmarkStart w:id="4" w:name="_Hlk53730018"/>
      <w:r w:rsidRPr="00AA5172">
        <w:rPr>
          <w:rFonts w:eastAsia="Calibri"/>
          <w:sz w:val="26"/>
          <w:szCs w:val="22"/>
        </w:rPr>
        <w:t xml:space="preserve"> As of </w:t>
      </w:r>
      <w:r w:rsidR="00D422B0" w:rsidRPr="00AA5172">
        <w:rPr>
          <w:rFonts w:eastAsia="Calibri"/>
          <w:sz w:val="26"/>
          <w:szCs w:val="22"/>
        </w:rPr>
        <w:t>11/</w:t>
      </w:r>
      <w:r w:rsidR="00AA5172">
        <w:rPr>
          <w:rFonts w:eastAsia="Calibri"/>
          <w:sz w:val="26"/>
          <w:szCs w:val="22"/>
        </w:rPr>
        <w:t>19</w:t>
      </w:r>
      <w:r w:rsidRPr="00AA5172">
        <w:rPr>
          <w:rFonts w:eastAsia="Calibri"/>
          <w:sz w:val="26"/>
          <w:szCs w:val="22"/>
        </w:rPr>
        <w:t>/2020</w:t>
      </w:r>
      <w:r w:rsidRPr="00AE54BC">
        <w:rPr>
          <w:rFonts w:eastAsia="Calibri"/>
          <w:sz w:val="26"/>
          <w:szCs w:val="22"/>
        </w:rPr>
        <w:t>, the changes to the FERC Form No. 556, adopted in Order No. 872 (in Docket Nos. RM19-15 and AD16-16) are still pending OMB review (under ICR #202006-1902-004, submitted to OMB 9/2/2020).  Those changes are separate and are not addressed in this supporting statement for the NOPR in Docket Nos. RM21-2 and RM20-20.</w:t>
      </w:r>
      <w:r w:rsidRPr="00AE54BC">
        <w:t xml:space="preserve"> </w:t>
      </w:r>
      <w:bookmarkEnd w:id="4"/>
    </w:p>
  </w:footnote>
  <w:footnote w:id="9">
    <w:p w14:paraId="1A73EFDB" w14:textId="6D3A7E8A" w:rsidR="00901378" w:rsidRPr="00AE54BC" w:rsidRDefault="00901378" w:rsidP="00E41022">
      <w:pPr>
        <w:pStyle w:val="FootnoteText"/>
        <w:rPr>
          <w:sz w:val="26"/>
          <w:szCs w:val="26"/>
        </w:rPr>
      </w:pPr>
      <w:r w:rsidRPr="00AE54BC">
        <w:rPr>
          <w:rStyle w:val="FootnoteReference"/>
          <w:sz w:val="26"/>
          <w:szCs w:val="26"/>
          <w:vertAlign w:val="superscript"/>
        </w:rPr>
        <w:footnoteRef/>
      </w:r>
      <w:r w:rsidRPr="00AE54BC">
        <w:rPr>
          <w:sz w:val="26"/>
          <w:szCs w:val="26"/>
        </w:rPr>
        <w:t xml:space="preserve"> The </w:t>
      </w:r>
      <w:r w:rsidR="00D422B0" w:rsidRPr="00AE54BC">
        <w:rPr>
          <w:sz w:val="26"/>
          <w:szCs w:val="26"/>
        </w:rPr>
        <w:t xml:space="preserve"> estimates </w:t>
      </w:r>
      <w:r w:rsidR="00AA5172">
        <w:rPr>
          <w:sz w:val="26"/>
          <w:szCs w:val="26"/>
        </w:rPr>
        <w:t xml:space="preserve">in this table are </w:t>
      </w:r>
      <w:r w:rsidR="00D422B0" w:rsidRPr="00AE54BC">
        <w:rPr>
          <w:sz w:val="26"/>
          <w:szCs w:val="26"/>
        </w:rPr>
        <w:t>for the FERC-556A.</w:t>
      </w:r>
      <w:r w:rsidRPr="00AE54BC">
        <w:rPr>
          <w:sz w:val="26"/>
          <w:szCs w:val="26"/>
        </w:rPr>
        <w:t xml:space="preserve">  This table only reflects cogeneration facilities because small power production facilities will not be affected by the proposed changes in the NOPR.  Commission staff believes that the industry is similarly situated to the Commission in terms of wages and benefits.  Therefore, cost estimates are based on FERC’s 2020 average hourly wage (and benefits) of $83.00/hour.  </w:t>
      </w:r>
    </w:p>
  </w:footnote>
  <w:footnote w:id="10">
    <w:p w14:paraId="1179AE59" w14:textId="0F73F0C5" w:rsidR="00901378" w:rsidRPr="00AE54BC" w:rsidRDefault="00901378" w:rsidP="00E41022">
      <w:pPr>
        <w:pStyle w:val="FootnoteText"/>
        <w:rPr>
          <w:sz w:val="26"/>
          <w:szCs w:val="26"/>
        </w:rPr>
      </w:pPr>
      <w:r w:rsidRPr="00AE54BC">
        <w:rPr>
          <w:rStyle w:val="FootnoteReference"/>
          <w:sz w:val="26"/>
          <w:szCs w:val="26"/>
          <w:vertAlign w:val="superscript"/>
        </w:rPr>
        <w:footnoteRef/>
      </w:r>
      <w:r w:rsidRPr="00AE54BC">
        <w:rPr>
          <w:sz w:val="26"/>
          <w:szCs w:val="26"/>
        </w:rPr>
        <w:t xml:space="preserve"> Such facilities are not required to file but have the choice whether to do so.</w:t>
      </w:r>
    </w:p>
  </w:footnote>
  <w:footnote w:id="11">
    <w:p w14:paraId="6C16A8B0" w14:textId="78157515" w:rsidR="00901378" w:rsidRDefault="00901378" w:rsidP="00E41022">
      <w:pPr>
        <w:pStyle w:val="FootnoteText"/>
        <w:widowControl/>
      </w:pPr>
      <w:r w:rsidRPr="00AE54BC">
        <w:rPr>
          <w:rStyle w:val="FootnoteReference"/>
          <w:sz w:val="26"/>
          <w:szCs w:val="26"/>
          <w:vertAlign w:val="superscript"/>
        </w:rPr>
        <w:footnoteRef/>
      </w:r>
      <w:r w:rsidRPr="00AE54BC">
        <w:rPr>
          <w:sz w:val="26"/>
          <w:szCs w:val="26"/>
        </w:rPr>
        <w:t xml:space="preserve"> Bloom Energy has</w:t>
      </w:r>
      <w:r w:rsidRPr="00B54827">
        <w:rPr>
          <w:sz w:val="26"/>
          <w:szCs w:val="26"/>
        </w:rPr>
        <w:t xml:space="preserve"> stated they have 600 facilities, with an average size of 0.6</w:t>
      </w:r>
      <w:r>
        <w:rPr>
          <w:sz w:val="26"/>
          <w:szCs w:val="26"/>
        </w:rPr>
        <w:t xml:space="preserve"> </w:t>
      </w:r>
      <w:r w:rsidRPr="00B54827">
        <w:rPr>
          <w:sz w:val="26"/>
          <w:szCs w:val="26"/>
        </w:rPr>
        <w:t xml:space="preserve">MW, </w:t>
      </w:r>
      <w:r w:rsidRPr="00B54827">
        <w:rPr>
          <w:i/>
          <w:iCs/>
          <w:sz w:val="26"/>
          <w:szCs w:val="26"/>
        </w:rPr>
        <w:t xml:space="preserve">see </w:t>
      </w:r>
      <w:r w:rsidRPr="00B54827">
        <w:rPr>
          <w:sz w:val="26"/>
          <w:szCs w:val="26"/>
        </w:rPr>
        <w:t xml:space="preserve">Bloom Energy Petition at 14, which, if they all were in fact to file, would result in as many as 600 self-certifications of below 1 MW facilities.  The Commission accordingly will adopt a conservative approach and estimate 600 such responses over the course of a year, which is especially conservative given that the Commission’s regulations do not require facilities </w:t>
      </w:r>
      <w:r>
        <w:rPr>
          <w:sz w:val="26"/>
          <w:szCs w:val="26"/>
        </w:rPr>
        <w:t xml:space="preserve">less than </w:t>
      </w:r>
      <w:r w:rsidRPr="00B54827">
        <w:rPr>
          <w:sz w:val="26"/>
          <w:szCs w:val="26"/>
        </w:rPr>
        <w:t>1 MW to submit self-certifications.</w:t>
      </w:r>
    </w:p>
  </w:footnote>
  <w:footnote w:id="12">
    <w:p w14:paraId="4D90EA38" w14:textId="6A3997B2" w:rsidR="00901378" w:rsidRPr="00D20C69" w:rsidRDefault="00901378" w:rsidP="00E177FB">
      <w:pPr>
        <w:pStyle w:val="FootnoteText"/>
        <w:rPr>
          <w:sz w:val="26"/>
          <w:szCs w:val="26"/>
        </w:rPr>
      </w:pPr>
      <w:r w:rsidRPr="00880643">
        <w:rPr>
          <w:rStyle w:val="FootnoteReference"/>
          <w:sz w:val="26"/>
          <w:szCs w:val="26"/>
          <w:vertAlign w:val="superscript"/>
        </w:rPr>
        <w:footnoteRef/>
      </w:r>
      <w:r w:rsidRPr="00AE54BC">
        <w:rPr>
          <w:sz w:val="26"/>
          <w:szCs w:val="26"/>
        </w:rPr>
        <w:t xml:space="preserve"> </w:t>
      </w:r>
      <w:r w:rsidRPr="00A5002D">
        <w:rPr>
          <w:sz w:val="26"/>
          <w:szCs w:val="26"/>
        </w:rPr>
        <w:t xml:space="preserve">FERC’s 2020 average salary plus benefits for one </w:t>
      </w:r>
      <w:r w:rsidRPr="00870BDB">
        <w:rPr>
          <w:sz w:val="26"/>
          <w:szCs w:val="26"/>
        </w:rPr>
        <w:t>FTE (full-time equivalent) is $172,329 per year ($83</w:t>
      </w:r>
      <w:r>
        <w:rPr>
          <w:sz w:val="26"/>
          <w:szCs w:val="26"/>
        </w:rPr>
        <w:t>.00/</w:t>
      </w:r>
      <w:r w:rsidRPr="00870BDB">
        <w:rPr>
          <w:sz w:val="26"/>
          <w:szCs w:val="26"/>
        </w:rPr>
        <w:t>hour)</w:t>
      </w:r>
      <w:r w:rsidRPr="00D20C69">
        <w:rPr>
          <w:sz w:val="26"/>
          <w:szCs w:val="26"/>
        </w:rPr>
        <w:t>.</w:t>
      </w:r>
      <w:r w:rsidRPr="00D20C69" w:rsidDel="00A766ED">
        <w:rPr>
          <w:sz w:val="26"/>
          <w:szCs w:val="26"/>
        </w:rPr>
        <w:t xml:space="preserve"> </w:t>
      </w:r>
    </w:p>
  </w:footnote>
  <w:footnote w:id="13">
    <w:p w14:paraId="3383C36C" w14:textId="06960391" w:rsidR="00901378" w:rsidRPr="00870BDB" w:rsidRDefault="00901378">
      <w:pPr>
        <w:pStyle w:val="FootnoteText"/>
        <w:rPr>
          <w:sz w:val="26"/>
          <w:szCs w:val="26"/>
        </w:rPr>
      </w:pPr>
      <w:r w:rsidRPr="00880643">
        <w:rPr>
          <w:rStyle w:val="FootnoteReference"/>
          <w:sz w:val="26"/>
          <w:szCs w:val="26"/>
          <w:vertAlign w:val="superscript"/>
        </w:rPr>
        <w:footnoteRef/>
      </w:r>
      <w:r w:rsidRPr="00AE54BC">
        <w:rPr>
          <w:sz w:val="26"/>
          <w:szCs w:val="26"/>
        </w:rPr>
        <w:t xml:space="preserve"> </w:t>
      </w:r>
      <w:r w:rsidRPr="00A5002D">
        <w:rPr>
          <w:sz w:val="26"/>
          <w:szCs w:val="26"/>
        </w:rPr>
        <w:t>This estimate is based upon FERC’s 2020 estimated average annual PRA Administrative Cost of $6,475 for each collection.</w:t>
      </w:r>
    </w:p>
  </w:footnote>
  <w:footnote w:id="14">
    <w:p w14:paraId="5BA14AF2" w14:textId="454206B1" w:rsidR="00901378" w:rsidRPr="00D20C69" w:rsidRDefault="00901378">
      <w:pPr>
        <w:pStyle w:val="FootnoteText"/>
        <w:rPr>
          <w:sz w:val="26"/>
          <w:szCs w:val="26"/>
        </w:rPr>
      </w:pPr>
      <w:r w:rsidRPr="00880643">
        <w:rPr>
          <w:rStyle w:val="FootnoteReference"/>
          <w:sz w:val="26"/>
          <w:szCs w:val="26"/>
          <w:vertAlign w:val="superscript"/>
        </w:rPr>
        <w:footnoteRef/>
      </w:r>
      <w:r w:rsidRPr="00880643">
        <w:rPr>
          <w:sz w:val="26"/>
          <w:szCs w:val="26"/>
        </w:rPr>
        <w:t xml:space="preserve"> The existing FERC-556 has an annual estimate </w:t>
      </w:r>
      <w:r w:rsidRPr="00A5002D">
        <w:rPr>
          <w:sz w:val="26"/>
          <w:szCs w:val="26"/>
        </w:rPr>
        <w:t xml:space="preserve">of two (2) FERC FTEs.  The changes due to the </w:t>
      </w:r>
      <w:r>
        <w:rPr>
          <w:sz w:val="26"/>
          <w:szCs w:val="26"/>
        </w:rPr>
        <w:t>f</w:t>
      </w:r>
      <w:r w:rsidRPr="00A5002D">
        <w:rPr>
          <w:sz w:val="26"/>
          <w:szCs w:val="26"/>
        </w:rPr>
        <w:t xml:space="preserve">inal </w:t>
      </w:r>
      <w:r>
        <w:rPr>
          <w:sz w:val="26"/>
          <w:szCs w:val="26"/>
        </w:rPr>
        <w:t>r</w:t>
      </w:r>
      <w:r w:rsidRPr="00A5002D">
        <w:rPr>
          <w:sz w:val="26"/>
          <w:szCs w:val="26"/>
        </w:rPr>
        <w:t>ule in Docket Nos. RM19-15 and AD16-16 would add one (1) FERC FTE</w:t>
      </w:r>
      <w:r w:rsidRPr="00870BDB">
        <w:rPr>
          <w:sz w:val="26"/>
          <w:szCs w:val="26"/>
        </w:rPr>
        <w:t>.</w:t>
      </w:r>
      <w:r w:rsidR="00861DE3">
        <w:rPr>
          <w:sz w:val="26"/>
          <w:szCs w:val="26"/>
        </w:rPr>
        <w:t xml:space="preserve">  The changes due to the NOPR in Docket Nos. RM21-2 and RM20-20 would add one (1) </w:t>
      </w:r>
      <w:r w:rsidR="00274833">
        <w:rPr>
          <w:sz w:val="26"/>
          <w:szCs w:val="26"/>
        </w:rPr>
        <w:t xml:space="preserve">more </w:t>
      </w:r>
      <w:r w:rsidR="00861DE3">
        <w:rPr>
          <w:sz w:val="26"/>
          <w:szCs w:val="26"/>
        </w:rPr>
        <w:t xml:space="preserve">FERC FTE, </w:t>
      </w:r>
      <w:r w:rsidR="00861DE3" w:rsidRPr="00A5002D">
        <w:rPr>
          <w:sz w:val="26"/>
          <w:szCs w:val="26"/>
        </w:rPr>
        <w:t xml:space="preserve">giving a new total of </w:t>
      </w:r>
      <w:r w:rsidR="00861DE3">
        <w:rPr>
          <w:sz w:val="26"/>
          <w:szCs w:val="26"/>
        </w:rPr>
        <w:t>four (4</w:t>
      </w:r>
      <w:r w:rsidR="00861DE3" w:rsidRPr="00A5002D">
        <w:rPr>
          <w:sz w:val="26"/>
          <w:szCs w:val="26"/>
        </w:rPr>
        <w:t>) FERC FTEs annually to analyze and process</w:t>
      </w:r>
      <w:r w:rsidR="00861DE3" w:rsidRPr="00870BDB">
        <w:rPr>
          <w:sz w:val="26"/>
          <w:szCs w:val="26"/>
        </w:rPr>
        <w:t xml:space="preserve"> the filings</w:t>
      </w:r>
      <w:r w:rsidR="00861DE3">
        <w:rPr>
          <w:sz w:val="26"/>
          <w:szCs w:val="26"/>
        </w:rPr>
        <w:t xml:space="preserve">. </w:t>
      </w:r>
      <w:r w:rsidR="00274833">
        <w:rPr>
          <w:sz w:val="26"/>
          <w:szCs w:val="26"/>
        </w:rPr>
        <w:t xml:space="preserve"> Three of those FTEs are discussed in the pending materials for FERC-556; the additional FTE due to the NOPR in Docket Nos. </w:t>
      </w:r>
      <w:r w:rsidR="00274833" w:rsidRPr="00274833">
        <w:rPr>
          <w:sz w:val="26"/>
          <w:szCs w:val="26"/>
        </w:rPr>
        <w:t>RM21-2 and RM20-20</w:t>
      </w:r>
      <w:r w:rsidR="00274833">
        <w:rPr>
          <w:sz w:val="26"/>
          <w:szCs w:val="26"/>
        </w:rPr>
        <w:t xml:space="preserve"> is discussed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2A7AB" w14:textId="77777777" w:rsidR="0093505E" w:rsidRDefault="0093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34F9" w14:textId="79574A50" w:rsidR="00901378" w:rsidRDefault="00901378" w:rsidP="003B475D">
    <w:pPr>
      <w:pStyle w:val="Header"/>
    </w:pPr>
    <w:r w:rsidRPr="00B74468">
      <w:t xml:space="preserve">FERC Form </w:t>
    </w:r>
    <w:r>
      <w:t xml:space="preserve">No. </w:t>
    </w:r>
    <w:r w:rsidR="00CE77AA" w:rsidRPr="00CE77AA">
      <w:t>556A (OMB Control No. 1902-0316)</w:t>
    </w:r>
  </w:p>
  <w:p w14:paraId="7017FCFC" w14:textId="3AFAEB25" w:rsidR="00901378" w:rsidRDefault="00901378" w:rsidP="003B475D">
    <w:pPr>
      <w:pStyle w:val="Header"/>
    </w:pPr>
    <w:r w:rsidRPr="00B97B58">
      <w:t>NOPR (issued 10/15/2020)</w:t>
    </w:r>
    <w:r w:rsidRPr="003064A7">
      <w:t xml:space="preserve"> </w:t>
    </w:r>
    <w:r w:rsidRPr="0098462E">
      <w:t>in</w:t>
    </w:r>
    <w:r>
      <w:t xml:space="preserve"> </w:t>
    </w:r>
    <w:bookmarkStart w:id="6" w:name="_Hlk31721277"/>
    <w:r>
      <w:t xml:space="preserve">Docket Nos. </w:t>
    </w:r>
    <w:bookmarkStart w:id="7" w:name="_Hlk53746124"/>
    <w:r>
      <w:t>RM</w:t>
    </w:r>
    <w:bookmarkEnd w:id="6"/>
    <w:r>
      <w:t>21-2 and RM20-20</w:t>
    </w:r>
    <w:bookmarkEnd w:id="7"/>
  </w:p>
  <w:p w14:paraId="63514927" w14:textId="29084D47" w:rsidR="00901378" w:rsidRDefault="00901378" w:rsidP="003B475D">
    <w:pPr>
      <w:pStyle w:val="Header"/>
    </w:pPr>
    <w:r w:rsidRPr="008B09A1">
      <w:t xml:space="preserve">RIN: </w:t>
    </w:r>
    <w:r w:rsidRPr="00A826EA">
      <w:t>1902-AF74</w:t>
    </w:r>
  </w:p>
  <w:p w14:paraId="407055E1" w14:textId="77777777" w:rsidR="00901378" w:rsidRDefault="00901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074F" w14:textId="77777777" w:rsidR="00901378" w:rsidRDefault="00901378">
    <w:pPr>
      <w:pStyle w:val="Header"/>
    </w:pPr>
    <w:r w:rsidRPr="00DF0A88">
      <w:rPr>
        <w:highlight w:val="yellow"/>
      </w:rPr>
      <w:t>draft 3/5/2019</w:t>
    </w:r>
  </w:p>
  <w:p w14:paraId="64E95294" w14:textId="77777777" w:rsidR="00901378" w:rsidRDefault="00901378">
    <w:pPr>
      <w:pStyle w:val="Header"/>
    </w:pPr>
    <w:r w:rsidRPr="00684722">
      <w:rPr>
        <w:highlight w:val="cyan"/>
      </w:rPr>
      <w:t>FERC Form 556</w:t>
    </w:r>
    <w:r>
      <w:rPr>
        <w:highlight w:val="cyan"/>
      </w:rPr>
      <w:t>A</w:t>
    </w:r>
    <w:r w:rsidRPr="00684722">
      <w:rPr>
        <w:highlight w:val="cyan"/>
      </w:rPr>
      <w:t xml:space="preserve"> (OMB Control No. </w:t>
    </w:r>
    <w:r>
      <w:rPr>
        <w:highlight w:val="cyan"/>
      </w:rPr>
      <w:t>TBD</w:t>
    </w:r>
    <w:r w:rsidRPr="00684722">
      <w:rPr>
        <w:highlight w:val="cyan"/>
      </w:rPr>
      <w:t>)</w:t>
    </w:r>
  </w:p>
  <w:p w14:paraId="6611D713" w14:textId="77777777" w:rsidR="00901378" w:rsidRDefault="00901378">
    <w:pPr>
      <w:pStyle w:val="Header"/>
    </w:pPr>
    <w:r>
      <w:t>NOPR (</w:t>
    </w:r>
    <w:r w:rsidRPr="00684722">
      <w:rPr>
        <w:highlight w:val="yellow"/>
      </w:rPr>
      <w:t>issued 3/??/2019)</w:t>
    </w:r>
    <w:r>
      <w:t xml:space="preserve"> in Docket No. RM19-15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668"/>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6616"/>
    <w:multiLevelType w:val="hybridMultilevel"/>
    <w:tmpl w:val="3DAE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42E92"/>
    <w:multiLevelType w:val="hybridMultilevel"/>
    <w:tmpl w:val="CC0A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9531A"/>
    <w:multiLevelType w:val="hybridMultilevel"/>
    <w:tmpl w:val="D4541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33D7"/>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3B13C2"/>
    <w:multiLevelType w:val="hybridMultilevel"/>
    <w:tmpl w:val="AD6CB1D6"/>
    <w:lvl w:ilvl="0" w:tplc="BA96A6B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152ED"/>
    <w:multiLevelType w:val="hybridMultilevel"/>
    <w:tmpl w:val="48B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13AAA"/>
    <w:multiLevelType w:val="hybridMultilevel"/>
    <w:tmpl w:val="9084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76320"/>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0DA7693"/>
    <w:multiLevelType w:val="hybridMultilevel"/>
    <w:tmpl w:val="6DC0C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7B2723"/>
    <w:multiLevelType w:val="hybridMultilevel"/>
    <w:tmpl w:val="BBF09648"/>
    <w:lvl w:ilvl="0" w:tplc="5172DDC0">
      <w:start w:val="1"/>
      <w:numFmt w:val="lowerLetter"/>
      <w:lvlText w:val="%1."/>
      <w:lvlJc w:val="left"/>
      <w:pPr>
        <w:ind w:left="720" w:hanging="360"/>
      </w:pPr>
      <w:rPr>
        <w:rFonts w:eastAsiaTheme="majorEastAsia" w:cstheme="majorBidi" w:hint="default"/>
        <w:b w:val="0"/>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E33E3"/>
    <w:multiLevelType w:val="hybridMultilevel"/>
    <w:tmpl w:val="7B60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97982"/>
    <w:multiLevelType w:val="hybridMultilevel"/>
    <w:tmpl w:val="11F42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07D57"/>
    <w:multiLevelType w:val="hybridMultilevel"/>
    <w:tmpl w:val="7678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B1927"/>
    <w:multiLevelType w:val="hybridMultilevel"/>
    <w:tmpl w:val="D4541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35338"/>
    <w:multiLevelType w:val="hybridMultilevel"/>
    <w:tmpl w:val="A7E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A1C07"/>
    <w:multiLevelType w:val="hybridMultilevel"/>
    <w:tmpl w:val="EB0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B09D3"/>
    <w:multiLevelType w:val="hybridMultilevel"/>
    <w:tmpl w:val="290E8058"/>
    <w:lvl w:ilvl="0" w:tplc="313E6436">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E4DD3"/>
    <w:multiLevelType w:val="hybridMultilevel"/>
    <w:tmpl w:val="7AF6B962"/>
    <w:lvl w:ilvl="0" w:tplc="4094B9C4">
      <w:start w:val="1"/>
      <w:numFmt w:val="decimal"/>
      <w:lvlText w:val="%1."/>
      <w:lvlJc w:val="left"/>
      <w:pPr>
        <w:tabs>
          <w:tab w:val="num" w:pos="720"/>
        </w:tabs>
        <w:ind w:left="0" w:firstLine="0"/>
      </w:pPr>
      <w:rPr>
        <w:rFonts w:hint="default"/>
        <w:b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17"/>
  </w:num>
  <w:num w:numId="4">
    <w:abstractNumId w:val="7"/>
  </w:num>
  <w:num w:numId="5">
    <w:abstractNumId w:val="14"/>
  </w:num>
  <w:num w:numId="6">
    <w:abstractNumId w:val="18"/>
  </w:num>
  <w:num w:numId="7">
    <w:abstractNumId w:val="12"/>
  </w:num>
  <w:num w:numId="8">
    <w:abstractNumId w:val="5"/>
  </w:num>
  <w:num w:numId="9">
    <w:abstractNumId w:val="22"/>
  </w:num>
  <w:num w:numId="10">
    <w:abstractNumId w:val="1"/>
  </w:num>
  <w:num w:numId="11">
    <w:abstractNumId w:val="15"/>
  </w:num>
  <w:num w:numId="12">
    <w:abstractNumId w:val="27"/>
  </w:num>
  <w:num w:numId="13">
    <w:abstractNumId w:val="26"/>
  </w:num>
  <w:num w:numId="14">
    <w:abstractNumId w:val="9"/>
  </w:num>
  <w:num w:numId="15">
    <w:abstractNumId w:val="23"/>
  </w:num>
  <w:num w:numId="16">
    <w:abstractNumId w:val="3"/>
  </w:num>
  <w:num w:numId="17">
    <w:abstractNumId w:val="25"/>
  </w:num>
  <w:num w:numId="18">
    <w:abstractNumId w:val="10"/>
  </w:num>
  <w:num w:numId="19">
    <w:abstractNumId w:val="19"/>
  </w:num>
  <w:num w:numId="20">
    <w:abstractNumId w:val="2"/>
  </w:num>
  <w:num w:numId="21">
    <w:abstractNumId w:val="28"/>
  </w:num>
  <w:num w:numId="22">
    <w:abstractNumId w:val="6"/>
  </w:num>
  <w:num w:numId="23">
    <w:abstractNumId w:val="13"/>
  </w:num>
  <w:num w:numId="24">
    <w:abstractNumId w:val="0"/>
  </w:num>
  <w:num w:numId="25">
    <w:abstractNumId w:val="16"/>
  </w:num>
  <w:num w:numId="26">
    <w:abstractNumId w:val="8"/>
  </w:num>
  <w:num w:numId="27">
    <w:abstractNumId w:val="20"/>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revisionView w:formatting="0"/>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143C"/>
    <w:rsid w:val="000018AD"/>
    <w:rsid w:val="00004FDF"/>
    <w:rsid w:val="00005D15"/>
    <w:rsid w:val="000063E6"/>
    <w:rsid w:val="00007171"/>
    <w:rsid w:val="000074B0"/>
    <w:rsid w:val="00007A57"/>
    <w:rsid w:val="00010F9F"/>
    <w:rsid w:val="00011977"/>
    <w:rsid w:val="0002051D"/>
    <w:rsid w:val="000213D2"/>
    <w:rsid w:val="000218B7"/>
    <w:rsid w:val="00032C7B"/>
    <w:rsid w:val="000345DA"/>
    <w:rsid w:val="00035A04"/>
    <w:rsid w:val="00036609"/>
    <w:rsid w:val="0004237C"/>
    <w:rsid w:val="0004490B"/>
    <w:rsid w:val="00052B87"/>
    <w:rsid w:val="00052CF2"/>
    <w:rsid w:val="000560B7"/>
    <w:rsid w:val="000608B0"/>
    <w:rsid w:val="00061AA1"/>
    <w:rsid w:val="00066385"/>
    <w:rsid w:val="000702F7"/>
    <w:rsid w:val="000710B4"/>
    <w:rsid w:val="00071719"/>
    <w:rsid w:val="00071C9D"/>
    <w:rsid w:val="00071E76"/>
    <w:rsid w:val="00075C58"/>
    <w:rsid w:val="00077BFF"/>
    <w:rsid w:val="00077E83"/>
    <w:rsid w:val="000806CF"/>
    <w:rsid w:val="00080D9D"/>
    <w:rsid w:val="00082731"/>
    <w:rsid w:val="00082CB0"/>
    <w:rsid w:val="0008502B"/>
    <w:rsid w:val="000855B9"/>
    <w:rsid w:val="0008758D"/>
    <w:rsid w:val="00087A5A"/>
    <w:rsid w:val="00087CB9"/>
    <w:rsid w:val="00090437"/>
    <w:rsid w:val="00092B3D"/>
    <w:rsid w:val="0009570A"/>
    <w:rsid w:val="000969B5"/>
    <w:rsid w:val="0009709D"/>
    <w:rsid w:val="000A3061"/>
    <w:rsid w:val="000A3E7F"/>
    <w:rsid w:val="000A5A00"/>
    <w:rsid w:val="000A61F6"/>
    <w:rsid w:val="000A74A0"/>
    <w:rsid w:val="000B22A3"/>
    <w:rsid w:val="000B245F"/>
    <w:rsid w:val="000B761C"/>
    <w:rsid w:val="000C5C56"/>
    <w:rsid w:val="000C75B5"/>
    <w:rsid w:val="000C7623"/>
    <w:rsid w:val="000D0B55"/>
    <w:rsid w:val="000D0F12"/>
    <w:rsid w:val="000D11B2"/>
    <w:rsid w:val="000D1C7B"/>
    <w:rsid w:val="000D2028"/>
    <w:rsid w:val="000D3854"/>
    <w:rsid w:val="000D3E30"/>
    <w:rsid w:val="000D5296"/>
    <w:rsid w:val="000E06BD"/>
    <w:rsid w:val="000E10F0"/>
    <w:rsid w:val="000E3316"/>
    <w:rsid w:val="000E526B"/>
    <w:rsid w:val="000E6FCA"/>
    <w:rsid w:val="000E72DE"/>
    <w:rsid w:val="000F0648"/>
    <w:rsid w:val="000F0869"/>
    <w:rsid w:val="000F32D3"/>
    <w:rsid w:val="000F3438"/>
    <w:rsid w:val="000F3760"/>
    <w:rsid w:val="000F4513"/>
    <w:rsid w:val="000F53A6"/>
    <w:rsid w:val="000F575D"/>
    <w:rsid w:val="000F58C8"/>
    <w:rsid w:val="00105AEA"/>
    <w:rsid w:val="001076D3"/>
    <w:rsid w:val="00110126"/>
    <w:rsid w:val="00110B05"/>
    <w:rsid w:val="00110EAF"/>
    <w:rsid w:val="00112370"/>
    <w:rsid w:val="00112879"/>
    <w:rsid w:val="001131EB"/>
    <w:rsid w:val="00113E7A"/>
    <w:rsid w:val="00115CEC"/>
    <w:rsid w:val="00121733"/>
    <w:rsid w:val="001236B9"/>
    <w:rsid w:val="00124DBF"/>
    <w:rsid w:val="001258AE"/>
    <w:rsid w:val="00137A48"/>
    <w:rsid w:val="00140474"/>
    <w:rsid w:val="00145B85"/>
    <w:rsid w:val="00147636"/>
    <w:rsid w:val="00147917"/>
    <w:rsid w:val="001513C1"/>
    <w:rsid w:val="0015184D"/>
    <w:rsid w:val="00155D40"/>
    <w:rsid w:val="00156BD5"/>
    <w:rsid w:val="00160C20"/>
    <w:rsid w:val="00162EEC"/>
    <w:rsid w:val="0016485C"/>
    <w:rsid w:val="001706BC"/>
    <w:rsid w:val="00171159"/>
    <w:rsid w:val="00171477"/>
    <w:rsid w:val="001730D3"/>
    <w:rsid w:val="00176972"/>
    <w:rsid w:val="00176C14"/>
    <w:rsid w:val="001771E1"/>
    <w:rsid w:val="00181B4A"/>
    <w:rsid w:val="00182423"/>
    <w:rsid w:val="00182FD1"/>
    <w:rsid w:val="00183077"/>
    <w:rsid w:val="00184687"/>
    <w:rsid w:val="00190039"/>
    <w:rsid w:val="00190085"/>
    <w:rsid w:val="001900B3"/>
    <w:rsid w:val="001922FC"/>
    <w:rsid w:val="00193596"/>
    <w:rsid w:val="00195B19"/>
    <w:rsid w:val="001965BC"/>
    <w:rsid w:val="00197C25"/>
    <w:rsid w:val="001A0298"/>
    <w:rsid w:val="001A07E0"/>
    <w:rsid w:val="001A12CB"/>
    <w:rsid w:val="001A213B"/>
    <w:rsid w:val="001A36F4"/>
    <w:rsid w:val="001A5F96"/>
    <w:rsid w:val="001A68DC"/>
    <w:rsid w:val="001A6C4C"/>
    <w:rsid w:val="001B1350"/>
    <w:rsid w:val="001B6647"/>
    <w:rsid w:val="001C042A"/>
    <w:rsid w:val="001C1769"/>
    <w:rsid w:val="001C1D03"/>
    <w:rsid w:val="001C3832"/>
    <w:rsid w:val="001C3C6A"/>
    <w:rsid w:val="001C62A1"/>
    <w:rsid w:val="001C72B8"/>
    <w:rsid w:val="001D2EC1"/>
    <w:rsid w:val="001D3F6D"/>
    <w:rsid w:val="001D4F14"/>
    <w:rsid w:val="001D7397"/>
    <w:rsid w:val="001D773F"/>
    <w:rsid w:val="001D7D27"/>
    <w:rsid w:val="001E004C"/>
    <w:rsid w:val="001E051B"/>
    <w:rsid w:val="001E1E6D"/>
    <w:rsid w:val="001E4590"/>
    <w:rsid w:val="001E4E83"/>
    <w:rsid w:val="001E55FC"/>
    <w:rsid w:val="001E6512"/>
    <w:rsid w:val="001E6D2B"/>
    <w:rsid w:val="001E77FE"/>
    <w:rsid w:val="001F4CCA"/>
    <w:rsid w:val="001F58BA"/>
    <w:rsid w:val="001F5FD3"/>
    <w:rsid w:val="002000AA"/>
    <w:rsid w:val="0020071A"/>
    <w:rsid w:val="00200938"/>
    <w:rsid w:val="00201B53"/>
    <w:rsid w:val="00202221"/>
    <w:rsid w:val="00202617"/>
    <w:rsid w:val="00206823"/>
    <w:rsid w:val="002142A2"/>
    <w:rsid w:val="00215C6E"/>
    <w:rsid w:val="0022053B"/>
    <w:rsid w:val="00220E8C"/>
    <w:rsid w:val="002223ED"/>
    <w:rsid w:val="0022330E"/>
    <w:rsid w:val="00227EB4"/>
    <w:rsid w:val="0023248F"/>
    <w:rsid w:val="00232979"/>
    <w:rsid w:val="00232F8F"/>
    <w:rsid w:val="002341FA"/>
    <w:rsid w:val="00237175"/>
    <w:rsid w:val="00240D1B"/>
    <w:rsid w:val="0024137A"/>
    <w:rsid w:val="0024520B"/>
    <w:rsid w:val="00246ED0"/>
    <w:rsid w:val="00250CF0"/>
    <w:rsid w:val="00252DC0"/>
    <w:rsid w:val="002565F8"/>
    <w:rsid w:val="00263931"/>
    <w:rsid w:val="00263AC3"/>
    <w:rsid w:val="002642C5"/>
    <w:rsid w:val="00265A17"/>
    <w:rsid w:val="00266189"/>
    <w:rsid w:val="00266BEE"/>
    <w:rsid w:val="00267978"/>
    <w:rsid w:val="00267F92"/>
    <w:rsid w:val="00270B94"/>
    <w:rsid w:val="00271529"/>
    <w:rsid w:val="00271D15"/>
    <w:rsid w:val="00271DE5"/>
    <w:rsid w:val="00274833"/>
    <w:rsid w:val="002766FC"/>
    <w:rsid w:val="00277A46"/>
    <w:rsid w:val="00285A83"/>
    <w:rsid w:val="002906AD"/>
    <w:rsid w:val="00291137"/>
    <w:rsid w:val="002939AF"/>
    <w:rsid w:val="00295C38"/>
    <w:rsid w:val="00297024"/>
    <w:rsid w:val="002A1CEC"/>
    <w:rsid w:val="002A1DCB"/>
    <w:rsid w:val="002A2B8E"/>
    <w:rsid w:val="002A52BE"/>
    <w:rsid w:val="002B0B46"/>
    <w:rsid w:val="002B17F2"/>
    <w:rsid w:val="002B2622"/>
    <w:rsid w:val="002C18B3"/>
    <w:rsid w:val="002C394B"/>
    <w:rsid w:val="002C69DF"/>
    <w:rsid w:val="002C6D8C"/>
    <w:rsid w:val="002D5138"/>
    <w:rsid w:val="002D538F"/>
    <w:rsid w:val="002D68D0"/>
    <w:rsid w:val="002E3174"/>
    <w:rsid w:val="002E5488"/>
    <w:rsid w:val="002F3420"/>
    <w:rsid w:val="002F4A74"/>
    <w:rsid w:val="002F5322"/>
    <w:rsid w:val="0030006C"/>
    <w:rsid w:val="00301EF6"/>
    <w:rsid w:val="00302319"/>
    <w:rsid w:val="00303A0C"/>
    <w:rsid w:val="00304435"/>
    <w:rsid w:val="003064A7"/>
    <w:rsid w:val="00306766"/>
    <w:rsid w:val="0030772D"/>
    <w:rsid w:val="00314FEA"/>
    <w:rsid w:val="00316677"/>
    <w:rsid w:val="00316F67"/>
    <w:rsid w:val="00317426"/>
    <w:rsid w:val="00317E0E"/>
    <w:rsid w:val="00320824"/>
    <w:rsid w:val="0032225E"/>
    <w:rsid w:val="00322F49"/>
    <w:rsid w:val="003248A5"/>
    <w:rsid w:val="0032547E"/>
    <w:rsid w:val="00326F90"/>
    <w:rsid w:val="00327143"/>
    <w:rsid w:val="00331CE1"/>
    <w:rsid w:val="00332BCC"/>
    <w:rsid w:val="00340958"/>
    <w:rsid w:val="00341929"/>
    <w:rsid w:val="0034276C"/>
    <w:rsid w:val="00344825"/>
    <w:rsid w:val="00345B3D"/>
    <w:rsid w:val="00346CA0"/>
    <w:rsid w:val="00351BC7"/>
    <w:rsid w:val="0035481D"/>
    <w:rsid w:val="00355086"/>
    <w:rsid w:val="003564AF"/>
    <w:rsid w:val="003566D5"/>
    <w:rsid w:val="00357936"/>
    <w:rsid w:val="00357EC7"/>
    <w:rsid w:val="00360CD1"/>
    <w:rsid w:val="00362236"/>
    <w:rsid w:val="00364B3D"/>
    <w:rsid w:val="0036530B"/>
    <w:rsid w:val="00370C29"/>
    <w:rsid w:val="00372AEC"/>
    <w:rsid w:val="00375C7A"/>
    <w:rsid w:val="003768B9"/>
    <w:rsid w:val="00376B37"/>
    <w:rsid w:val="00377849"/>
    <w:rsid w:val="00383094"/>
    <w:rsid w:val="003840EC"/>
    <w:rsid w:val="00384240"/>
    <w:rsid w:val="003842D1"/>
    <w:rsid w:val="00385E4B"/>
    <w:rsid w:val="00386113"/>
    <w:rsid w:val="0038735C"/>
    <w:rsid w:val="00390027"/>
    <w:rsid w:val="00395AC8"/>
    <w:rsid w:val="003960FF"/>
    <w:rsid w:val="00397C74"/>
    <w:rsid w:val="003A3A09"/>
    <w:rsid w:val="003A40B3"/>
    <w:rsid w:val="003A4AD2"/>
    <w:rsid w:val="003A6767"/>
    <w:rsid w:val="003B1E72"/>
    <w:rsid w:val="003B3F7B"/>
    <w:rsid w:val="003B475D"/>
    <w:rsid w:val="003B60AC"/>
    <w:rsid w:val="003B6102"/>
    <w:rsid w:val="003B7DB9"/>
    <w:rsid w:val="003C073A"/>
    <w:rsid w:val="003C0CC6"/>
    <w:rsid w:val="003C0F1B"/>
    <w:rsid w:val="003D7AAE"/>
    <w:rsid w:val="003E2101"/>
    <w:rsid w:val="003E38E2"/>
    <w:rsid w:val="003E3ECA"/>
    <w:rsid w:val="003E766A"/>
    <w:rsid w:val="003F6B28"/>
    <w:rsid w:val="003F76B0"/>
    <w:rsid w:val="003F7C43"/>
    <w:rsid w:val="00400079"/>
    <w:rsid w:val="004004B3"/>
    <w:rsid w:val="004020FE"/>
    <w:rsid w:val="00406099"/>
    <w:rsid w:val="00407389"/>
    <w:rsid w:val="004129BC"/>
    <w:rsid w:val="0041460C"/>
    <w:rsid w:val="00415002"/>
    <w:rsid w:val="00420E31"/>
    <w:rsid w:val="0042415C"/>
    <w:rsid w:val="00426B6E"/>
    <w:rsid w:val="00427B00"/>
    <w:rsid w:val="00430688"/>
    <w:rsid w:val="004307D1"/>
    <w:rsid w:val="004322E3"/>
    <w:rsid w:val="004329AA"/>
    <w:rsid w:val="00432DA3"/>
    <w:rsid w:val="00433001"/>
    <w:rsid w:val="004347AE"/>
    <w:rsid w:val="00436890"/>
    <w:rsid w:val="0044102F"/>
    <w:rsid w:val="004427E5"/>
    <w:rsid w:val="004428A3"/>
    <w:rsid w:val="00443191"/>
    <w:rsid w:val="004441C5"/>
    <w:rsid w:val="004445CE"/>
    <w:rsid w:val="004472EB"/>
    <w:rsid w:val="00451611"/>
    <w:rsid w:val="004532F7"/>
    <w:rsid w:val="00454B7E"/>
    <w:rsid w:val="00454D32"/>
    <w:rsid w:val="00466FDE"/>
    <w:rsid w:val="00471D4E"/>
    <w:rsid w:val="00475BA5"/>
    <w:rsid w:val="00477277"/>
    <w:rsid w:val="00477972"/>
    <w:rsid w:val="0048134E"/>
    <w:rsid w:val="00482F00"/>
    <w:rsid w:val="004853BF"/>
    <w:rsid w:val="004857D1"/>
    <w:rsid w:val="00486BAD"/>
    <w:rsid w:val="00487D81"/>
    <w:rsid w:val="00493459"/>
    <w:rsid w:val="004935DE"/>
    <w:rsid w:val="00493F6A"/>
    <w:rsid w:val="004A021D"/>
    <w:rsid w:val="004A1A48"/>
    <w:rsid w:val="004A36E9"/>
    <w:rsid w:val="004A40A9"/>
    <w:rsid w:val="004A55C2"/>
    <w:rsid w:val="004A6D9B"/>
    <w:rsid w:val="004B0930"/>
    <w:rsid w:val="004B2061"/>
    <w:rsid w:val="004B47DC"/>
    <w:rsid w:val="004B6837"/>
    <w:rsid w:val="004C2FBC"/>
    <w:rsid w:val="004C381E"/>
    <w:rsid w:val="004C4F56"/>
    <w:rsid w:val="004C7E12"/>
    <w:rsid w:val="004D46EC"/>
    <w:rsid w:val="004D5061"/>
    <w:rsid w:val="004D6DEB"/>
    <w:rsid w:val="004D72AD"/>
    <w:rsid w:val="004E3190"/>
    <w:rsid w:val="004E3426"/>
    <w:rsid w:val="004E373D"/>
    <w:rsid w:val="004E539E"/>
    <w:rsid w:val="004F08BB"/>
    <w:rsid w:val="004F3784"/>
    <w:rsid w:val="004F550E"/>
    <w:rsid w:val="004F7087"/>
    <w:rsid w:val="0050069D"/>
    <w:rsid w:val="005026A3"/>
    <w:rsid w:val="005060D5"/>
    <w:rsid w:val="00506840"/>
    <w:rsid w:val="00506EA3"/>
    <w:rsid w:val="00511913"/>
    <w:rsid w:val="00514799"/>
    <w:rsid w:val="0052379F"/>
    <w:rsid w:val="00523B76"/>
    <w:rsid w:val="005240A1"/>
    <w:rsid w:val="005267C7"/>
    <w:rsid w:val="005303A9"/>
    <w:rsid w:val="00535E1B"/>
    <w:rsid w:val="00536CAB"/>
    <w:rsid w:val="0053750C"/>
    <w:rsid w:val="00537680"/>
    <w:rsid w:val="00537DF5"/>
    <w:rsid w:val="005407AA"/>
    <w:rsid w:val="00543892"/>
    <w:rsid w:val="00544594"/>
    <w:rsid w:val="00545B62"/>
    <w:rsid w:val="00550286"/>
    <w:rsid w:val="00555FEE"/>
    <w:rsid w:val="0055763B"/>
    <w:rsid w:val="00560503"/>
    <w:rsid w:val="005646BD"/>
    <w:rsid w:val="00570A3C"/>
    <w:rsid w:val="00573A84"/>
    <w:rsid w:val="00573B03"/>
    <w:rsid w:val="00575CA2"/>
    <w:rsid w:val="00577444"/>
    <w:rsid w:val="005811B2"/>
    <w:rsid w:val="00581D4B"/>
    <w:rsid w:val="00582FD7"/>
    <w:rsid w:val="00583C12"/>
    <w:rsid w:val="00584608"/>
    <w:rsid w:val="00585C65"/>
    <w:rsid w:val="00587D67"/>
    <w:rsid w:val="005909B7"/>
    <w:rsid w:val="005919F4"/>
    <w:rsid w:val="00591BC2"/>
    <w:rsid w:val="00592E82"/>
    <w:rsid w:val="00593CC7"/>
    <w:rsid w:val="005970B6"/>
    <w:rsid w:val="005A6337"/>
    <w:rsid w:val="005A6FAB"/>
    <w:rsid w:val="005B30BC"/>
    <w:rsid w:val="005B4C82"/>
    <w:rsid w:val="005B7897"/>
    <w:rsid w:val="005C075B"/>
    <w:rsid w:val="005C2BA6"/>
    <w:rsid w:val="005C3CA6"/>
    <w:rsid w:val="005C447F"/>
    <w:rsid w:val="005C5DE2"/>
    <w:rsid w:val="005C6866"/>
    <w:rsid w:val="005C6964"/>
    <w:rsid w:val="005C71C0"/>
    <w:rsid w:val="005D1354"/>
    <w:rsid w:val="005D1F5F"/>
    <w:rsid w:val="005D5A75"/>
    <w:rsid w:val="005D6791"/>
    <w:rsid w:val="005E0C29"/>
    <w:rsid w:val="005E2C46"/>
    <w:rsid w:val="005E3672"/>
    <w:rsid w:val="005E5A45"/>
    <w:rsid w:val="005E6909"/>
    <w:rsid w:val="005E7FA7"/>
    <w:rsid w:val="005F027B"/>
    <w:rsid w:val="005F1BF8"/>
    <w:rsid w:val="005F24C0"/>
    <w:rsid w:val="005F5558"/>
    <w:rsid w:val="005F62ED"/>
    <w:rsid w:val="005F7129"/>
    <w:rsid w:val="006019F5"/>
    <w:rsid w:val="00602267"/>
    <w:rsid w:val="00603167"/>
    <w:rsid w:val="00603189"/>
    <w:rsid w:val="006070B1"/>
    <w:rsid w:val="00610176"/>
    <w:rsid w:val="0061153D"/>
    <w:rsid w:val="006118D5"/>
    <w:rsid w:val="00614FCB"/>
    <w:rsid w:val="00615B29"/>
    <w:rsid w:val="00617EE5"/>
    <w:rsid w:val="0062017B"/>
    <w:rsid w:val="006202A2"/>
    <w:rsid w:val="00620334"/>
    <w:rsid w:val="00622C1A"/>
    <w:rsid w:val="0062434E"/>
    <w:rsid w:val="00625132"/>
    <w:rsid w:val="006254CB"/>
    <w:rsid w:val="0062579C"/>
    <w:rsid w:val="006265E5"/>
    <w:rsid w:val="0062673A"/>
    <w:rsid w:val="00632F9E"/>
    <w:rsid w:val="00635244"/>
    <w:rsid w:val="00636253"/>
    <w:rsid w:val="00642D8E"/>
    <w:rsid w:val="00645E9E"/>
    <w:rsid w:val="006463E2"/>
    <w:rsid w:val="006477B3"/>
    <w:rsid w:val="006500D7"/>
    <w:rsid w:val="00652CA3"/>
    <w:rsid w:val="006540CB"/>
    <w:rsid w:val="00656566"/>
    <w:rsid w:val="00656BDD"/>
    <w:rsid w:val="0065768B"/>
    <w:rsid w:val="0066285C"/>
    <w:rsid w:val="00667D7B"/>
    <w:rsid w:val="006759C5"/>
    <w:rsid w:val="00675D29"/>
    <w:rsid w:val="00677FF7"/>
    <w:rsid w:val="00680ED1"/>
    <w:rsid w:val="006816BF"/>
    <w:rsid w:val="00681C5A"/>
    <w:rsid w:val="006826CA"/>
    <w:rsid w:val="00682D36"/>
    <w:rsid w:val="0068360C"/>
    <w:rsid w:val="00684722"/>
    <w:rsid w:val="00684F30"/>
    <w:rsid w:val="006878C0"/>
    <w:rsid w:val="0069091A"/>
    <w:rsid w:val="00690BD2"/>
    <w:rsid w:val="006919FD"/>
    <w:rsid w:val="0069286F"/>
    <w:rsid w:val="00692BDC"/>
    <w:rsid w:val="00693ECA"/>
    <w:rsid w:val="006942A2"/>
    <w:rsid w:val="00694531"/>
    <w:rsid w:val="00694C78"/>
    <w:rsid w:val="006A00BC"/>
    <w:rsid w:val="006A1A2E"/>
    <w:rsid w:val="006A2DBF"/>
    <w:rsid w:val="006A320E"/>
    <w:rsid w:val="006A3E12"/>
    <w:rsid w:val="006A6352"/>
    <w:rsid w:val="006A64D6"/>
    <w:rsid w:val="006A6928"/>
    <w:rsid w:val="006A6CBE"/>
    <w:rsid w:val="006A7C95"/>
    <w:rsid w:val="006C1E6D"/>
    <w:rsid w:val="006C28A4"/>
    <w:rsid w:val="006C38B0"/>
    <w:rsid w:val="006C3E8F"/>
    <w:rsid w:val="006C47B2"/>
    <w:rsid w:val="006C622C"/>
    <w:rsid w:val="006D01D8"/>
    <w:rsid w:val="006D03B4"/>
    <w:rsid w:val="006D0794"/>
    <w:rsid w:val="006D10E1"/>
    <w:rsid w:val="006D202F"/>
    <w:rsid w:val="006D2B65"/>
    <w:rsid w:val="006D3C08"/>
    <w:rsid w:val="006D6DCF"/>
    <w:rsid w:val="006E1269"/>
    <w:rsid w:val="006E4D24"/>
    <w:rsid w:val="006E5D94"/>
    <w:rsid w:val="006F1FA9"/>
    <w:rsid w:val="006F2F7B"/>
    <w:rsid w:val="006F3AF6"/>
    <w:rsid w:val="006F407A"/>
    <w:rsid w:val="006F4FF1"/>
    <w:rsid w:val="006F73AE"/>
    <w:rsid w:val="00700C24"/>
    <w:rsid w:val="00704953"/>
    <w:rsid w:val="00711ACE"/>
    <w:rsid w:val="007132A8"/>
    <w:rsid w:val="0071505D"/>
    <w:rsid w:val="007151CC"/>
    <w:rsid w:val="00716B2F"/>
    <w:rsid w:val="007200A9"/>
    <w:rsid w:val="00720D04"/>
    <w:rsid w:val="00720F7B"/>
    <w:rsid w:val="007250BA"/>
    <w:rsid w:val="007256E6"/>
    <w:rsid w:val="007275CE"/>
    <w:rsid w:val="0073067E"/>
    <w:rsid w:val="00730AFC"/>
    <w:rsid w:val="00731740"/>
    <w:rsid w:val="007324F2"/>
    <w:rsid w:val="00732963"/>
    <w:rsid w:val="00735104"/>
    <w:rsid w:val="00736F4A"/>
    <w:rsid w:val="0074295A"/>
    <w:rsid w:val="00746E19"/>
    <w:rsid w:val="0074789D"/>
    <w:rsid w:val="00752F89"/>
    <w:rsid w:val="0075420C"/>
    <w:rsid w:val="00761E0A"/>
    <w:rsid w:val="007625CD"/>
    <w:rsid w:val="0076345A"/>
    <w:rsid w:val="00763B6B"/>
    <w:rsid w:val="007737C3"/>
    <w:rsid w:val="00780D2F"/>
    <w:rsid w:val="00781809"/>
    <w:rsid w:val="00782420"/>
    <w:rsid w:val="00782C2B"/>
    <w:rsid w:val="00782DDB"/>
    <w:rsid w:val="00784807"/>
    <w:rsid w:val="00791C9E"/>
    <w:rsid w:val="007A297A"/>
    <w:rsid w:val="007A3AB9"/>
    <w:rsid w:val="007A3DA0"/>
    <w:rsid w:val="007A4259"/>
    <w:rsid w:val="007A4F18"/>
    <w:rsid w:val="007B20A4"/>
    <w:rsid w:val="007B3C48"/>
    <w:rsid w:val="007B6D33"/>
    <w:rsid w:val="007B7EA9"/>
    <w:rsid w:val="007C5DC2"/>
    <w:rsid w:val="007D0150"/>
    <w:rsid w:val="007D23C1"/>
    <w:rsid w:val="007D2879"/>
    <w:rsid w:val="007D31D4"/>
    <w:rsid w:val="007D7B85"/>
    <w:rsid w:val="007E0087"/>
    <w:rsid w:val="007E02CB"/>
    <w:rsid w:val="007E12E1"/>
    <w:rsid w:val="007E1448"/>
    <w:rsid w:val="007E1F95"/>
    <w:rsid w:val="007E2E0B"/>
    <w:rsid w:val="007E3868"/>
    <w:rsid w:val="007E66BF"/>
    <w:rsid w:val="007F1EAC"/>
    <w:rsid w:val="007F3EB6"/>
    <w:rsid w:val="007F4A91"/>
    <w:rsid w:val="0080115B"/>
    <w:rsid w:val="00802098"/>
    <w:rsid w:val="00803F0F"/>
    <w:rsid w:val="00804897"/>
    <w:rsid w:val="00806AFE"/>
    <w:rsid w:val="00806D2B"/>
    <w:rsid w:val="00806E35"/>
    <w:rsid w:val="0081029B"/>
    <w:rsid w:val="0081067F"/>
    <w:rsid w:val="00812521"/>
    <w:rsid w:val="00812C43"/>
    <w:rsid w:val="008156FB"/>
    <w:rsid w:val="008203D7"/>
    <w:rsid w:val="00821716"/>
    <w:rsid w:val="00823111"/>
    <w:rsid w:val="008232C3"/>
    <w:rsid w:val="008237F1"/>
    <w:rsid w:val="00826154"/>
    <w:rsid w:val="00830D14"/>
    <w:rsid w:val="0083273C"/>
    <w:rsid w:val="008333BB"/>
    <w:rsid w:val="00833BB1"/>
    <w:rsid w:val="00833D5A"/>
    <w:rsid w:val="00833D86"/>
    <w:rsid w:val="00835B79"/>
    <w:rsid w:val="00836528"/>
    <w:rsid w:val="0084228E"/>
    <w:rsid w:val="00843A86"/>
    <w:rsid w:val="00845F27"/>
    <w:rsid w:val="008514B1"/>
    <w:rsid w:val="00851D29"/>
    <w:rsid w:val="00852267"/>
    <w:rsid w:val="008523CB"/>
    <w:rsid w:val="00852802"/>
    <w:rsid w:val="00852E77"/>
    <w:rsid w:val="00854BCA"/>
    <w:rsid w:val="0085537A"/>
    <w:rsid w:val="008564A7"/>
    <w:rsid w:val="00857580"/>
    <w:rsid w:val="008577B0"/>
    <w:rsid w:val="008577EC"/>
    <w:rsid w:val="0086028D"/>
    <w:rsid w:val="0086129F"/>
    <w:rsid w:val="00861847"/>
    <w:rsid w:val="00861DE3"/>
    <w:rsid w:val="00862C62"/>
    <w:rsid w:val="008649C8"/>
    <w:rsid w:val="0086542A"/>
    <w:rsid w:val="00866974"/>
    <w:rsid w:val="00867082"/>
    <w:rsid w:val="00867774"/>
    <w:rsid w:val="008708A1"/>
    <w:rsid w:val="00870A54"/>
    <w:rsid w:val="00870BDB"/>
    <w:rsid w:val="00874546"/>
    <w:rsid w:val="00875368"/>
    <w:rsid w:val="00876B07"/>
    <w:rsid w:val="00880643"/>
    <w:rsid w:val="008834A9"/>
    <w:rsid w:val="0088393C"/>
    <w:rsid w:val="00884108"/>
    <w:rsid w:val="008872D0"/>
    <w:rsid w:val="00887617"/>
    <w:rsid w:val="00890A8C"/>
    <w:rsid w:val="00890AAE"/>
    <w:rsid w:val="00891C89"/>
    <w:rsid w:val="00893289"/>
    <w:rsid w:val="0089369D"/>
    <w:rsid w:val="00896FA6"/>
    <w:rsid w:val="008A0126"/>
    <w:rsid w:val="008A27C0"/>
    <w:rsid w:val="008A38B5"/>
    <w:rsid w:val="008A6956"/>
    <w:rsid w:val="008A7CDE"/>
    <w:rsid w:val="008B09A1"/>
    <w:rsid w:val="008B1A17"/>
    <w:rsid w:val="008B5FA9"/>
    <w:rsid w:val="008C09E2"/>
    <w:rsid w:val="008C2D5C"/>
    <w:rsid w:val="008C755E"/>
    <w:rsid w:val="008D1BFA"/>
    <w:rsid w:val="008D2858"/>
    <w:rsid w:val="008D725D"/>
    <w:rsid w:val="008D728E"/>
    <w:rsid w:val="008E4248"/>
    <w:rsid w:val="008F0D53"/>
    <w:rsid w:val="008F1166"/>
    <w:rsid w:val="008F36BE"/>
    <w:rsid w:val="0090108B"/>
    <w:rsid w:val="00901378"/>
    <w:rsid w:val="009030A9"/>
    <w:rsid w:val="00905092"/>
    <w:rsid w:val="00906F91"/>
    <w:rsid w:val="00907A71"/>
    <w:rsid w:val="00914162"/>
    <w:rsid w:val="00914E38"/>
    <w:rsid w:val="00920524"/>
    <w:rsid w:val="00920A5D"/>
    <w:rsid w:val="00920FC3"/>
    <w:rsid w:val="00921500"/>
    <w:rsid w:val="00921CA5"/>
    <w:rsid w:val="00922C38"/>
    <w:rsid w:val="00922CB7"/>
    <w:rsid w:val="00924E5F"/>
    <w:rsid w:val="00924EA4"/>
    <w:rsid w:val="00925996"/>
    <w:rsid w:val="00930230"/>
    <w:rsid w:val="00930BBC"/>
    <w:rsid w:val="009322FC"/>
    <w:rsid w:val="00933292"/>
    <w:rsid w:val="00933F12"/>
    <w:rsid w:val="0093505E"/>
    <w:rsid w:val="009366B7"/>
    <w:rsid w:val="00936917"/>
    <w:rsid w:val="009377CA"/>
    <w:rsid w:val="00944EAC"/>
    <w:rsid w:val="00945ACB"/>
    <w:rsid w:val="0095049A"/>
    <w:rsid w:val="009505F2"/>
    <w:rsid w:val="00951DFF"/>
    <w:rsid w:val="00957296"/>
    <w:rsid w:val="00957DA2"/>
    <w:rsid w:val="00957FC9"/>
    <w:rsid w:val="00962ACA"/>
    <w:rsid w:val="009642CA"/>
    <w:rsid w:val="00967DF3"/>
    <w:rsid w:val="0097027F"/>
    <w:rsid w:val="009712DB"/>
    <w:rsid w:val="009716B4"/>
    <w:rsid w:val="00971A3E"/>
    <w:rsid w:val="00971ED6"/>
    <w:rsid w:val="009753B6"/>
    <w:rsid w:val="00980E8E"/>
    <w:rsid w:val="00982EA5"/>
    <w:rsid w:val="00983EDE"/>
    <w:rsid w:val="00984153"/>
    <w:rsid w:val="0098462E"/>
    <w:rsid w:val="00986498"/>
    <w:rsid w:val="00987F04"/>
    <w:rsid w:val="0099006C"/>
    <w:rsid w:val="009918FF"/>
    <w:rsid w:val="009A1DDC"/>
    <w:rsid w:val="009A2E55"/>
    <w:rsid w:val="009A3275"/>
    <w:rsid w:val="009B179D"/>
    <w:rsid w:val="009B263A"/>
    <w:rsid w:val="009B3F20"/>
    <w:rsid w:val="009B65A9"/>
    <w:rsid w:val="009C0BDB"/>
    <w:rsid w:val="009C406E"/>
    <w:rsid w:val="009C70CA"/>
    <w:rsid w:val="009D0266"/>
    <w:rsid w:val="009D073D"/>
    <w:rsid w:val="009D14C5"/>
    <w:rsid w:val="009D1524"/>
    <w:rsid w:val="009D5B4C"/>
    <w:rsid w:val="009D6018"/>
    <w:rsid w:val="009D6B6D"/>
    <w:rsid w:val="009E1433"/>
    <w:rsid w:val="009E2B49"/>
    <w:rsid w:val="009E33C4"/>
    <w:rsid w:val="009E4DD8"/>
    <w:rsid w:val="009E7F52"/>
    <w:rsid w:val="009F1933"/>
    <w:rsid w:val="009F5CC5"/>
    <w:rsid w:val="00A000EF"/>
    <w:rsid w:val="00A02928"/>
    <w:rsid w:val="00A0462B"/>
    <w:rsid w:val="00A0541F"/>
    <w:rsid w:val="00A05F76"/>
    <w:rsid w:val="00A0754A"/>
    <w:rsid w:val="00A11C6D"/>
    <w:rsid w:val="00A1572A"/>
    <w:rsid w:val="00A23B2C"/>
    <w:rsid w:val="00A23C86"/>
    <w:rsid w:val="00A30374"/>
    <w:rsid w:val="00A303F1"/>
    <w:rsid w:val="00A30B48"/>
    <w:rsid w:val="00A31FD9"/>
    <w:rsid w:val="00A40764"/>
    <w:rsid w:val="00A5002D"/>
    <w:rsid w:val="00A50F11"/>
    <w:rsid w:val="00A51D45"/>
    <w:rsid w:val="00A52074"/>
    <w:rsid w:val="00A53CD6"/>
    <w:rsid w:val="00A559FC"/>
    <w:rsid w:val="00A57663"/>
    <w:rsid w:val="00A61C06"/>
    <w:rsid w:val="00A62266"/>
    <w:rsid w:val="00A735D0"/>
    <w:rsid w:val="00A7466B"/>
    <w:rsid w:val="00A766ED"/>
    <w:rsid w:val="00A806A1"/>
    <w:rsid w:val="00A81B03"/>
    <w:rsid w:val="00A8206E"/>
    <w:rsid w:val="00A8207E"/>
    <w:rsid w:val="00A826EA"/>
    <w:rsid w:val="00A82D77"/>
    <w:rsid w:val="00A8657F"/>
    <w:rsid w:val="00A93E9D"/>
    <w:rsid w:val="00A969B9"/>
    <w:rsid w:val="00A97942"/>
    <w:rsid w:val="00AA126C"/>
    <w:rsid w:val="00AA1FE8"/>
    <w:rsid w:val="00AA3A84"/>
    <w:rsid w:val="00AA3F59"/>
    <w:rsid w:val="00AA5015"/>
    <w:rsid w:val="00AA50AC"/>
    <w:rsid w:val="00AA5172"/>
    <w:rsid w:val="00AB0DCF"/>
    <w:rsid w:val="00AB4574"/>
    <w:rsid w:val="00AB6843"/>
    <w:rsid w:val="00AB7057"/>
    <w:rsid w:val="00AB7438"/>
    <w:rsid w:val="00AB75AC"/>
    <w:rsid w:val="00AC0958"/>
    <w:rsid w:val="00AC158D"/>
    <w:rsid w:val="00AC3F59"/>
    <w:rsid w:val="00AC7273"/>
    <w:rsid w:val="00AC7670"/>
    <w:rsid w:val="00AD0C36"/>
    <w:rsid w:val="00AD1277"/>
    <w:rsid w:val="00AD5B1D"/>
    <w:rsid w:val="00AE09DC"/>
    <w:rsid w:val="00AE16CB"/>
    <w:rsid w:val="00AE3E73"/>
    <w:rsid w:val="00AE54BC"/>
    <w:rsid w:val="00AE7130"/>
    <w:rsid w:val="00AE77A1"/>
    <w:rsid w:val="00AF3C80"/>
    <w:rsid w:val="00AF57C8"/>
    <w:rsid w:val="00AF6889"/>
    <w:rsid w:val="00AF68D9"/>
    <w:rsid w:val="00AF7271"/>
    <w:rsid w:val="00B01A0C"/>
    <w:rsid w:val="00B0391A"/>
    <w:rsid w:val="00B06362"/>
    <w:rsid w:val="00B07E10"/>
    <w:rsid w:val="00B1010D"/>
    <w:rsid w:val="00B113CB"/>
    <w:rsid w:val="00B16EA4"/>
    <w:rsid w:val="00B179FA"/>
    <w:rsid w:val="00B2042C"/>
    <w:rsid w:val="00B211C1"/>
    <w:rsid w:val="00B21DAF"/>
    <w:rsid w:val="00B24F65"/>
    <w:rsid w:val="00B313DB"/>
    <w:rsid w:val="00B31D5B"/>
    <w:rsid w:val="00B3226F"/>
    <w:rsid w:val="00B3246A"/>
    <w:rsid w:val="00B34199"/>
    <w:rsid w:val="00B37A77"/>
    <w:rsid w:val="00B45E53"/>
    <w:rsid w:val="00B50864"/>
    <w:rsid w:val="00B514E0"/>
    <w:rsid w:val="00B51681"/>
    <w:rsid w:val="00B54827"/>
    <w:rsid w:val="00B5555A"/>
    <w:rsid w:val="00B56357"/>
    <w:rsid w:val="00B61F02"/>
    <w:rsid w:val="00B62C9A"/>
    <w:rsid w:val="00B66D74"/>
    <w:rsid w:val="00B675BE"/>
    <w:rsid w:val="00B67AF1"/>
    <w:rsid w:val="00B71BDC"/>
    <w:rsid w:val="00B72F88"/>
    <w:rsid w:val="00B736F2"/>
    <w:rsid w:val="00B73D8C"/>
    <w:rsid w:val="00B74468"/>
    <w:rsid w:val="00B748F1"/>
    <w:rsid w:val="00B764CB"/>
    <w:rsid w:val="00B7754C"/>
    <w:rsid w:val="00B81DF5"/>
    <w:rsid w:val="00B83455"/>
    <w:rsid w:val="00B8524E"/>
    <w:rsid w:val="00B87EAF"/>
    <w:rsid w:val="00B927E7"/>
    <w:rsid w:val="00B9294E"/>
    <w:rsid w:val="00B960F5"/>
    <w:rsid w:val="00B97B58"/>
    <w:rsid w:val="00B97EA5"/>
    <w:rsid w:val="00BA03F7"/>
    <w:rsid w:val="00BA0ED1"/>
    <w:rsid w:val="00BA126B"/>
    <w:rsid w:val="00BA21E7"/>
    <w:rsid w:val="00BA3871"/>
    <w:rsid w:val="00BA41BB"/>
    <w:rsid w:val="00BA49C6"/>
    <w:rsid w:val="00BA7E6E"/>
    <w:rsid w:val="00BB044F"/>
    <w:rsid w:val="00BB0AE0"/>
    <w:rsid w:val="00BB1D9A"/>
    <w:rsid w:val="00BB210B"/>
    <w:rsid w:val="00BB2636"/>
    <w:rsid w:val="00BB6095"/>
    <w:rsid w:val="00BB7AA6"/>
    <w:rsid w:val="00BC1597"/>
    <w:rsid w:val="00BC5704"/>
    <w:rsid w:val="00BC5A24"/>
    <w:rsid w:val="00BC5BC5"/>
    <w:rsid w:val="00BC7750"/>
    <w:rsid w:val="00BD03C6"/>
    <w:rsid w:val="00BD0907"/>
    <w:rsid w:val="00BD2EC6"/>
    <w:rsid w:val="00BD3B94"/>
    <w:rsid w:val="00BD3FEA"/>
    <w:rsid w:val="00BD4039"/>
    <w:rsid w:val="00BE2659"/>
    <w:rsid w:val="00BE49B2"/>
    <w:rsid w:val="00BF0CFA"/>
    <w:rsid w:val="00BF0D7D"/>
    <w:rsid w:val="00BF13F4"/>
    <w:rsid w:val="00BF175D"/>
    <w:rsid w:val="00BF3F84"/>
    <w:rsid w:val="00BF493B"/>
    <w:rsid w:val="00BF5413"/>
    <w:rsid w:val="00C013BA"/>
    <w:rsid w:val="00C02043"/>
    <w:rsid w:val="00C07492"/>
    <w:rsid w:val="00C10148"/>
    <w:rsid w:val="00C12DC0"/>
    <w:rsid w:val="00C13E47"/>
    <w:rsid w:val="00C157A8"/>
    <w:rsid w:val="00C16DD3"/>
    <w:rsid w:val="00C17875"/>
    <w:rsid w:val="00C209AC"/>
    <w:rsid w:val="00C24210"/>
    <w:rsid w:val="00C3086A"/>
    <w:rsid w:val="00C31524"/>
    <w:rsid w:val="00C338E2"/>
    <w:rsid w:val="00C33FDE"/>
    <w:rsid w:val="00C355CC"/>
    <w:rsid w:val="00C35ED7"/>
    <w:rsid w:val="00C367F6"/>
    <w:rsid w:val="00C40E15"/>
    <w:rsid w:val="00C4175D"/>
    <w:rsid w:val="00C41EA5"/>
    <w:rsid w:val="00C43CED"/>
    <w:rsid w:val="00C45994"/>
    <w:rsid w:val="00C46FA4"/>
    <w:rsid w:val="00C532F1"/>
    <w:rsid w:val="00C5334B"/>
    <w:rsid w:val="00C546FD"/>
    <w:rsid w:val="00C5513B"/>
    <w:rsid w:val="00C553DF"/>
    <w:rsid w:val="00C56045"/>
    <w:rsid w:val="00C61EE8"/>
    <w:rsid w:val="00C6278A"/>
    <w:rsid w:val="00C63755"/>
    <w:rsid w:val="00C64A94"/>
    <w:rsid w:val="00C708EA"/>
    <w:rsid w:val="00C71030"/>
    <w:rsid w:val="00C71181"/>
    <w:rsid w:val="00C722F7"/>
    <w:rsid w:val="00C72BB5"/>
    <w:rsid w:val="00C761DB"/>
    <w:rsid w:val="00C7666C"/>
    <w:rsid w:val="00C76F75"/>
    <w:rsid w:val="00C81A6A"/>
    <w:rsid w:val="00C86599"/>
    <w:rsid w:val="00C94427"/>
    <w:rsid w:val="00C94860"/>
    <w:rsid w:val="00C951CF"/>
    <w:rsid w:val="00C96B39"/>
    <w:rsid w:val="00C97A22"/>
    <w:rsid w:val="00C97C34"/>
    <w:rsid w:val="00C97D06"/>
    <w:rsid w:val="00C97EC3"/>
    <w:rsid w:val="00C97FEE"/>
    <w:rsid w:val="00CA2400"/>
    <w:rsid w:val="00CA2BFF"/>
    <w:rsid w:val="00CA42DA"/>
    <w:rsid w:val="00CA5A70"/>
    <w:rsid w:val="00CA5AF7"/>
    <w:rsid w:val="00CB032A"/>
    <w:rsid w:val="00CB461D"/>
    <w:rsid w:val="00CB4EA6"/>
    <w:rsid w:val="00CB4F86"/>
    <w:rsid w:val="00CB6341"/>
    <w:rsid w:val="00CB66C2"/>
    <w:rsid w:val="00CC6835"/>
    <w:rsid w:val="00CC6B66"/>
    <w:rsid w:val="00CD5360"/>
    <w:rsid w:val="00CD7879"/>
    <w:rsid w:val="00CD7EB1"/>
    <w:rsid w:val="00CE3289"/>
    <w:rsid w:val="00CE4257"/>
    <w:rsid w:val="00CE43A7"/>
    <w:rsid w:val="00CE5FB1"/>
    <w:rsid w:val="00CE63B7"/>
    <w:rsid w:val="00CE69F6"/>
    <w:rsid w:val="00CE71AC"/>
    <w:rsid w:val="00CE77AA"/>
    <w:rsid w:val="00CF35B8"/>
    <w:rsid w:val="00CF4F34"/>
    <w:rsid w:val="00D00314"/>
    <w:rsid w:val="00D00417"/>
    <w:rsid w:val="00D0054E"/>
    <w:rsid w:val="00D005B7"/>
    <w:rsid w:val="00D00D07"/>
    <w:rsid w:val="00D00D55"/>
    <w:rsid w:val="00D0256C"/>
    <w:rsid w:val="00D05C1E"/>
    <w:rsid w:val="00D07641"/>
    <w:rsid w:val="00D11830"/>
    <w:rsid w:val="00D12D9D"/>
    <w:rsid w:val="00D15243"/>
    <w:rsid w:val="00D17159"/>
    <w:rsid w:val="00D17968"/>
    <w:rsid w:val="00D2079C"/>
    <w:rsid w:val="00D20C69"/>
    <w:rsid w:val="00D26BE1"/>
    <w:rsid w:val="00D27A00"/>
    <w:rsid w:val="00D34BF9"/>
    <w:rsid w:val="00D36705"/>
    <w:rsid w:val="00D40FCB"/>
    <w:rsid w:val="00D422B0"/>
    <w:rsid w:val="00D441DB"/>
    <w:rsid w:val="00D47D64"/>
    <w:rsid w:val="00D51D7E"/>
    <w:rsid w:val="00D55A47"/>
    <w:rsid w:val="00D56050"/>
    <w:rsid w:val="00D62C64"/>
    <w:rsid w:val="00D705DC"/>
    <w:rsid w:val="00D7191B"/>
    <w:rsid w:val="00D73494"/>
    <w:rsid w:val="00D74A28"/>
    <w:rsid w:val="00D7653C"/>
    <w:rsid w:val="00D779D0"/>
    <w:rsid w:val="00D831F6"/>
    <w:rsid w:val="00D84733"/>
    <w:rsid w:val="00D860DC"/>
    <w:rsid w:val="00D86E8F"/>
    <w:rsid w:val="00D875FA"/>
    <w:rsid w:val="00D92980"/>
    <w:rsid w:val="00D92AA9"/>
    <w:rsid w:val="00D93813"/>
    <w:rsid w:val="00D94C84"/>
    <w:rsid w:val="00D973AE"/>
    <w:rsid w:val="00D97515"/>
    <w:rsid w:val="00D97701"/>
    <w:rsid w:val="00DA178A"/>
    <w:rsid w:val="00DA21E3"/>
    <w:rsid w:val="00DA4553"/>
    <w:rsid w:val="00DA70EA"/>
    <w:rsid w:val="00DB0BBD"/>
    <w:rsid w:val="00DB2A61"/>
    <w:rsid w:val="00DC65E7"/>
    <w:rsid w:val="00DC6B39"/>
    <w:rsid w:val="00DD1206"/>
    <w:rsid w:val="00DD389F"/>
    <w:rsid w:val="00DD3A36"/>
    <w:rsid w:val="00DD3D96"/>
    <w:rsid w:val="00DD3F2D"/>
    <w:rsid w:val="00DD55E9"/>
    <w:rsid w:val="00DD5E92"/>
    <w:rsid w:val="00DD69C5"/>
    <w:rsid w:val="00DD746B"/>
    <w:rsid w:val="00DD7F6B"/>
    <w:rsid w:val="00DE07FD"/>
    <w:rsid w:val="00DE0C3A"/>
    <w:rsid w:val="00DE51DC"/>
    <w:rsid w:val="00DE59E1"/>
    <w:rsid w:val="00DE6D79"/>
    <w:rsid w:val="00DE6E79"/>
    <w:rsid w:val="00DE7290"/>
    <w:rsid w:val="00DE72C1"/>
    <w:rsid w:val="00DF0A88"/>
    <w:rsid w:val="00DF364A"/>
    <w:rsid w:val="00DF4D6E"/>
    <w:rsid w:val="00DF7EF4"/>
    <w:rsid w:val="00DF7FAE"/>
    <w:rsid w:val="00E009DC"/>
    <w:rsid w:val="00E01C3D"/>
    <w:rsid w:val="00E0440C"/>
    <w:rsid w:val="00E1062C"/>
    <w:rsid w:val="00E10B0F"/>
    <w:rsid w:val="00E10F08"/>
    <w:rsid w:val="00E138E1"/>
    <w:rsid w:val="00E172D2"/>
    <w:rsid w:val="00E177FB"/>
    <w:rsid w:val="00E17955"/>
    <w:rsid w:val="00E278D7"/>
    <w:rsid w:val="00E313AC"/>
    <w:rsid w:val="00E31794"/>
    <w:rsid w:val="00E31EF9"/>
    <w:rsid w:val="00E32108"/>
    <w:rsid w:val="00E32773"/>
    <w:rsid w:val="00E32F47"/>
    <w:rsid w:val="00E33D1E"/>
    <w:rsid w:val="00E34039"/>
    <w:rsid w:val="00E36012"/>
    <w:rsid w:val="00E37B53"/>
    <w:rsid w:val="00E40D6E"/>
    <w:rsid w:val="00E41022"/>
    <w:rsid w:val="00E42C8E"/>
    <w:rsid w:val="00E46B67"/>
    <w:rsid w:val="00E5128E"/>
    <w:rsid w:val="00E525FF"/>
    <w:rsid w:val="00E61EAE"/>
    <w:rsid w:val="00E62638"/>
    <w:rsid w:val="00E6291B"/>
    <w:rsid w:val="00E64046"/>
    <w:rsid w:val="00E6514A"/>
    <w:rsid w:val="00E74FAD"/>
    <w:rsid w:val="00E74FE3"/>
    <w:rsid w:val="00E755E3"/>
    <w:rsid w:val="00E76211"/>
    <w:rsid w:val="00E8005E"/>
    <w:rsid w:val="00E80982"/>
    <w:rsid w:val="00E82BDC"/>
    <w:rsid w:val="00E876B2"/>
    <w:rsid w:val="00E87B0B"/>
    <w:rsid w:val="00E930D8"/>
    <w:rsid w:val="00E93379"/>
    <w:rsid w:val="00EA026E"/>
    <w:rsid w:val="00EA108C"/>
    <w:rsid w:val="00EA2D11"/>
    <w:rsid w:val="00EA3D03"/>
    <w:rsid w:val="00EA479F"/>
    <w:rsid w:val="00EA592C"/>
    <w:rsid w:val="00EB052D"/>
    <w:rsid w:val="00EB0FCB"/>
    <w:rsid w:val="00EC22C1"/>
    <w:rsid w:val="00EC278D"/>
    <w:rsid w:val="00EC27E6"/>
    <w:rsid w:val="00EC3924"/>
    <w:rsid w:val="00EC3CFF"/>
    <w:rsid w:val="00EC5373"/>
    <w:rsid w:val="00ED0BED"/>
    <w:rsid w:val="00ED1706"/>
    <w:rsid w:val="00ED1A20"/>
    <w:rsid w:val="00ED1B3C"/>
    <w:rsid w:val="00ED1C12"/>
    <w:rsid w:val="00ED29B5"/>
    <w:rsid w:val="00ED3BE8"/>
    <w:rsid w:val="00ED418A"/>
    <w:rsid w:val="00ED5139"/>
    <w:rsid w:val="00ED6960"/>
    <w:rsid w:val="00ED7032"/>
    <w:rsid w:val="00ED7972"/>
    <w:rsid w:val="00ED7EB5"/>
    <w:rsid w:val="00EE12B8"/>
    <w:rsid w:val="00EE146F"/>
    <w:rsid w:val="00EE3697"/>
    <w:rsid w:val="00EE5146"/>
    <w:rsid w:val="00EE52CB"/>
    <w:rsid w:val="00EE55CE"/>
    <w:rsid w:val="00EF04A5"/>
    <w:rsid w:val="00EF27AC"/>
    <w:rsid w:val="00EF40FF"/>
    <w:rsid w:val="00EF4366"/>
    <w:rsid w:val="00EF5A42"/>
    <w:rsid w:val="00F008AC"/>
    <w:rsid w:val="00F077FF"/>
    <w:rsid w:val="00F07B6F"/>
    <w:rsid w:val="00F105FE"/>
    <w:rsid w:val="00F10FF9"/>
    <w:rsid w:val="00F12253"/>
    <w:rsid w:val="00F133B5"/>
    <w:rsid w:val="00F13B2E"/>
    <w:rsid w:val="00F14D3D"/>
    <w:rsid w:val="00F14DBD"/>
    <w:rsid w:val="00F15654"/>
    <w:rsid w:val="00F160EA"/>
    <w:rsid w:val="00F205D2"/>
    <w:rsid w:val="00F272E4"/>
    <w:rsid w:val="00F30B0D"/>
    <w:rsid w:val="00F30F0C"/>
    <w:rsid w:val="00F32B30"/>
    <w:rsid w:val="00F32C3C"/>
    <w:rsid w:val="00F33644"/>
    <w:rsid w:val="00F33C2D"/>
    <w:rsid w:val="00F37733"/>
    <w:rsid w:val="00F40B9A"/>
    <w:rsid w:val="00F420FE"/>
    <w:rsid w:val="00F431A3"/>
    <w:rsid w:val="00F442B3"/>
    <w:rsid w:val="00F45F54"/>
    <w:rsid w:val="00F461F1"/>
    <w:rsid w:val="00F46908"/>
    <w:rsid w:val="00F470DC"/>
    <w:rsid w:val="00F50E86"/>
    <w:rsid w:val="00F528CE"/>
    <w:rsid w:val="00F52E73"/>
    <w:rsid w:val="00F54C61"/>
    <w:rsid w:val="00F575F3"/>
    <w:rsid w:val="00F61279"/>
    <w:rsid w:val="00F620F6"/>
    <w:rsid w:val="00F65E56"/>
    <w:rsid w:val="00F6673F"/>
    <w:rsid w:val="00F67BEA"/>
    <w:rsid w:val="00F72412"/>
    <w:rsid w:val="00F7380A"/>
    <w:rsid w:val="00F770BE"/>
    <w:rsid w:val="00F8116E"/>
    <w:rsid w:val="00F82E03"/>
    <w:rsid w:val="00F83D00"/>
    <w:rsid w:val="00F848F4"/>
    <w:rsid w:val="00F870DA"/>
    <w:rsid w:val="00F9124E"/>
    <w:rsid w:val="00F9165E"/>
    <w:rsid w:val="00F94A03"/>
    <w:rsid w:val="00F9588C"/>
    <w:rsid w:val="00F97587"/>
    <w:rsid w:val="00F979C2"/>
    <w:rsid w:val="00FA06DD"/>
    <w:rsid w:val="00FA33AC"/>
    <w:rsid w:val="00FA6DD8"/>
    <w:rsid w:val="00FA741C"/>
    <w:rsid w:val="00FA7C2D"/>
    <w:rsid w:val="00FB3723"/>
    <w:rsid w:val="00FB5EB8"/>
    <w:rsid w:val="00FB67FD"/>
    <w:rsid w:val="00FB7E3D"/>
    <w:rsid w:val="00FC0334"/>
    <w:rsid w:val="00FC0BE1"/>
    <w:rsid w:val="00FC1370"/>
    <w:rsid w:val="00FC3F8F"/>
    <w:rsid w:val="00FC57E4"/>
    <w:rsid w:val="00FC7C5C"/>
    <w:rsid w:val="00FD0179"/>
    <w:rsid w:val="00FD049C"/>
    <w:rsid w:val="00FD05C3"/>
    <w:rsid w:val="00FD2175"/>
    <w:rsid w:val="00FD514B"/>
    <w:rsid w:val="00FD640B"/>
    <w:rsid w:val="00FE6ED1"/>
    <w:rsid w:val="00FF255E"/>
    <w:rsid w:val="00FF278C"/>
    <w:rsid w:val="00FF3C1E"/>
    <w:rsid w:val="00FF5C6A"/>
    <w:rsid w:val="00FF6089"/>
    <w:rsid w:val="00FF7616"/>
    <w:rsid w:val="00FF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3391928"/>
  <w15:docId w15:val="{15D36615-0BAC-4B76-918D-544C4B6B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2">
    <w:name w:val="heading 2"/>
    <w:basedOn w:val="Normal"/>
    <w:next w:val="Normal"/>
    <w:link w:val="Heading2Char"/>
    <w:uiPriority w:val="9"/>
    <w:unhideWhenUsed/>
    <w:qFormat/>
    <w:rsid w:val="003174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174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742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t Char Char,ft Char1,Footnote Text Char2 Char Char1,fn Char1"/>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unhideWhenUsed/>
    <w:rsid w:val="00EC5373"/>
    <w:rPr>
      <w:sz w:val="20"/>
      <w:szCs w:val="20"/>
    </w:rPr>
  </w:style>
  <w:style w:type="character" w:customStyle="1" w:styleId="CommentTextChar">
    <w:name w:val="Comment Text Char"/>
    <w:basedOn w:val="DefaultParagraphFont"/>
    <w:link w:val="CommentText"/>
    <w:uiPriority w:val="99"/>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301EF6"/>
    <w:rPr>
      <w:color w:val="605E5C"/>
      <w:shd w:val="clear" w:color="auto" w:fill="E1DFDD"/>
    </w:rPr>
  </w:style>
  <w:style w:type="character" w:styleId="UnresolvedMention">
    <w:name w:val="Unresolved Mention"/>
    <w:basedOn w:val="DefaultParagraphFont"/>
    <w:uiPriority w:val="99"/>
    <w:semiHidden/>
    <w:unhideWhenUsed/>
    <w:rsid w:val="00B87EAF"/>
    <w:rPr>
      <w:color w:val="605E5C"/>
      <w:shd w:val="clear" w:color="auto" w:fill="E1DFDD"/>
    </w:rPr>
  </w:style>
  <w:style w:type="table" w:styleId="TableGrid">
    <w:name w:val="Table Grid"/>
    <w:basedOn w:val="TableNormal"/>
    <w:uiPriority w:val="59"/>
    <w:rsid w:val="0094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7426"/>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31742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174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dustries-data/electric/general-information/electric-industry-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556A</_x0031__x002e__x0020_Collection_x0020_Number>
    <Date xmlns="d6eefc7d-9817-4fa6-84d5-3bc009be21b8">2020-11-19T05:00:00.000Z</Date>
    <Status xmlns="d6eefc7d-9817-4fa6-84d5-3bc009be21b8">Draft</Status>
    <_x0032__x002e__x0020_Docket_x0020_Number xmlns="d6eefc7d-9817-4fa6-84d5-3bc009be21b8">RM20-20</_x0032__x002e__x0020_Docket_x0020_Number>
    <_x0032__x002e__x0020_Collection_x0020_Number xmlns="d6eefc7d-9817-4fa6-84d5-3bc009be21b8">556</_x0032__x002e__x0020_Collection_x0020_Number>
    <_x0031__x002e__x0020_Docket_x0020_Number xmlns="d6eefc7d-9817-4fa6-84d5-3bc009be21b8">RM21-2</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762E-DD30-41FA-BE95-7A3DAA0E9F6E}">
  <ds:schemaRefs>
    <ds:schemaRef ds:uri="d6eefc7d-9817-4fa6-84d5-3bc009be21b8"/>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BA10FD-78F8-4EE3-85B1-ECBD4703B7F1}">
  <ds:schemaRefs>
    <ds:schemaRef ds:uri="http://schemas.microsoft.com/sharepoint/v3/contenttype/forms"/>
  </ds:schemaRefs>
</ds:datastoreItem>
</file>

<file path=customXml/itemProps3.xml><?xml version="1.0" encoding="utf-8"?>
<ds:datastoreItem xmlns:ds="http://schemas.openxmlformats.org/officeDocument/2006/customXml" ds:itemID="{6E117E1C-DE12-4FFE-87D2-E4D85E811355}">
  <ds:schemaRefs>
    <ds:schemaRef ds:uri="Microsoft.SharePoint.Taxonomy.ContentTypeSync"/>
  </ds:schemaRefs>
</ds:datastoreItem>
</file>

<file path=customXml/itemProps4.xml><?xml version="1.0" encoding="utf-8"?>
<ds:datastoreItem xmlns:ds="http://schemas.openxmlformats.org/officeDocument/2006/customXml" ds:itemID="{DBF0435E-F65B-48C0-9EE2-90D5705DA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D640FA-DB55-41AF-8E62-305309E49EA1}">
  <ds:schemaRefs>
    <ds:schemaRef ds:uri="http://schemas.microsoft.com/office/2006/metadata/customXsn"/>
  </ds:schemaRefs>
</ds:datastoreItem>
</file>

<file path=customXml/itemProps6.xml><?xml version="1.0" encoding="utf-8"?>
<ds:datastoreItem xmlns:ds="http://schemas.openxmlformats.org/officeDocument/2006/customXml" ds:itemID="{A010840A-8146-498A-9F80-12FF0C78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Brown</dc:creator>
  <cp:lastModifiedBy>Ellen Brown</cp:lastModifiedBy>
  <cp:revision>3</cp:revision>
  <dcterms:created xsi:type="dcterms:W3CDTF">2020-11-19T20:07:00Z</dcterms:created>
  <dcterms:modified xsi:type="dcterms:W3CDTF">2020-11-19T20:08:00Z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2020-09-02T12:12:14.4832242Z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dd85f251-4e3d-4173-b333-04de82951578</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