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63E" w:rsidP="0006563E" w:rsidRDefault="0006563E" w14:paraId="25CFA7FC" w14:textId="77777777">
      <w:pPr>
        <w:rPr>
          <w:color w:val="000000"/>
          <w:szCs w:val="20"/>
        </w:rPr>
      </w:pPr>
    </w:p>
    <w:p w:rsidR="005E0B66" w:rsidP="005E0B66" w:rsidRDefault="005E0B66" w14:paraId="2A6C4085" w14:textId="77777777">
      <w:pPr>
        <w:pStyle w:val="Title"/>
        <w:ind w:right="-480"/>
        <w:rPr>
          <w:rFonts w:ascii="Times New Roman" w:hAnsi="Times New Roman"/>
          <w:b/>
          <w:bCs/>
          <w:szCs w:val="24"/>
        </w:rPr>
      </w:pPr>
      <w:r>
        <w:rPr>
          <w:rFonts w:ascii="Times New Roman" w:hAnsi="Times New Roman"/>
          <w:b/>
          <w:bCs/>
          <w:szCs w:val="24"/>
        </w:rPr>
        <w:t>Supporting Statement for:</w:t>
      </w:r>
    </w:p>
    <w:p w:rsidR="005E0B66" w:rsidP="005E0B66" w:rsidRDefault="005E0B66" w14:paraId="15F3FD38" w14:textId="77777777">
      <w:pPr>
        <w:ind w:right="-480"/>
        <w:jc w:val="center"/>
        <w:rPr>
          <w:b/>
          <w:bCs/>
        </w:rPr>
      </w:pPr>
      <w:r>
        <w:rPr>
          <w:b/>
          <w:bCs/>
        </w:rPr>
        <w:t xml:space="preserve">Consolidated Reports of Condition and Income </w:t>
      </w:r>
    </w:p>
    <w:p w:rsidR="005E0B66" w:rsidP="005E0B66" w:rsidRDefault="005E0B66" w14:paraId="4C460B16" w14:textId="77777777">
      <w:pPr>
        <w:ind w:right="-480"/>
        <w:jc w:val="center"/>
        <w:rPr>
          <w:b/>
          <w:bCs/>
        </w:rPr>
      </w:pPr>
      <w:r>
        <w:rPr>
          <w:b/>
          <w:bCs/>
        </w:rPr>
        <w:t>(Call Report) (FFIEC 031, FFIEC 041, FFIEC 051)</w:t>
      </w:r>
    </w:p>
    <w:p w:rsidR="005E0B66" w:rsidP="005E0B66" w:rsidRDefault="005E0B66" w14:paraId="3624183F" w14:textId="77777777">
      <w:pPr>
        <w:ind w:right="-480"/>
        <w:jc w:val="center"/>
        <w:rPr>
          <w:b/>
          <w:bCs/>
        </w:rPr>
      </w:pPr>
      <w:r>
        <w:rPr>
          <w:b/>
          <w:bCs/>
        </w:rPr>
        <w:t>OMB Control No. 1557-0081</w:t>
      </w:r>
    </w:p>
    <w:p w:rsidR="005E0B66" w:rsidP="005E0B66" w:rsidRDefault="005E0B66" w14:paraId="21C2E6C8" w14:textId="77777777">
      <w:pPr>
        <w:ind w:right="-480"/>
        <w:jc w:val="center"/>
        <w:rPr>
          <w:b/>
          <w:bCs/>
        </w:rPr>
      </w:pPr>
      <w:r>
        <w:rPr>
          <w:b/>
          <w:bCs/>
        </w:rPr>
        <w:t xml:space="preserve">and Reporting for Institutions Subject to the </w:t>
      </w:r>
    </w:p>
    <w:p w:rsidR="005E0B66" w:rsidP="005E0B66" w:rsidRDefault="005E0B66" w14:paraId="4D1C3B7B" w14:textId="77777777">
      <w:pPr>
        <w:ind w:right="-480"/>
        <w:jc w:val="center"/>
        <w:rPr>
          <w:b/>
          <w:bCs/>
        </w:rPr>
      </w:pPr>
      <w:r>
        <w:rPr>
          <w:b/>
          <w:bCs/>
        </w:rPr>
        <w:t>Advanced Capital Adequacy Framework (FFIEC 101)</w:t>
      </w:r>
    </w:p>
    <w:p w:rsidR="005E0B66" w:rsidP="005E0B66" w:rsidRDefault="005E0B66" w14:paraId="4F22B9B2" w14:textId="77777777">
      <w:pPr>
        <w:ind w:right="-480"/>
        <w:jc w:val="center"/>
        <w:rPr>
          <w:b/>
          <w:bCs/>
        </w:rPr>
      </w:pPr>
      <w:r>
        <w:rPr>
          <w:b/>
          <w:bCs/>
        </w:rPr>
        <w:t>OMB Control No. 1557-0239</w:t>
      </w:r>
    </w:p>
    <w:p w:rsidR="005E0B66" w:rsidP="005E0B66" w:rsidRDefault="005E0B66" w14:paraId="023ABD9B" w14:textId="77777777">
      <w:pPr>
        <w:rPr>
          <w:color w:val="000000"/>
          <w:szCs w:val="20"/>
        </w:rPr>
      </w:pPr>
    </w:p>
    <w:p w:rsidR="005E0B66" w:rsidP="005E0B66" w:rsidRDefault="005E0B66" w14:paraId="228891EB" w14:textId="77777777">
      <w:pPr>
        <w:rPr>
          <w:b/>
          <w:color w:val="000000"/>
          <w:szCs w:val="20"/>
        </w:rPr>
      </w:pPr>
      <w:r>
        <w:rPr>
          <w:b/>
          <w:color w:val="000000"/>
          <w:szCs w:val="20"/>
        </w:rPr>
        <w:t>Background</w:t>
      </w:r>
    </w:p>
    <w:p w:rsidR="005E0B66" w:rsidP="005E0B66" w:rsidRDefault="005E0B66" w14:paraId="6C529719" w14:textId="77777777">
      <w:pPr>
        <w:rPr>
          <w:color w:val="000000"/>
          <w:szCs w:val="20"/>
        </w:rPr>
      </w:pPr>
    </w:p>
    <w:p w:rsidR="005E0B66" w:rsidP="005E0B66" w:rsidRDefault="004928D3" w14:paraId="377B89CD" w14:textId="06C4DE4D">
      <w:r>
        <w:rPr>
          <w:color w:val="000000"/>
          <w:szCs w:val="20"/>
        </w:rPr>
        <w:tab/>
      </w:r>
      <w:r w:rsidR="005E0B66">
        <w:rPr>
          <w:color w:val="000000"/>
          <w:szCs w:val="20"/>
        </w:rPr>
        <w:t>The Office of the Comptroller of the Currency (OCC), in coordination with the Federal Deposit Insurance Corporation (FDIC) and the Board of Governors of the Federal Reserve System (Board) (collectively, the agencies), each of which is submitting a separate request, hereby requests approval pursuant to the Office of Management and Budget’s (OMB) Paperwork Reduction Act emergency processing procedures at 5 CFR § 1320.13 for revisions to the</w:t>
      </w:r>
      <w:r w:rsidR="005E0B66">
        <w:t xml:space="preserve"> </w:t>
      </w:r>
      <w:r w:rsidR="005E0B66">
        <w:rPr>
          <w:color w:val="000000"/>
          <w:szCs w:val="20"/>
        </w:rPr>
        <w:t xml:space="preserve">Consolidated Reports of Condition and Income (Call Report), Control No. 1557-0081, and the </w:t>
      </w:r>
      <w:r w:rsidR="005E0B66">
        <w:rPr>
          <w:bCs/>
        </w:rPr>
        <w:t>Reporting for Institutions Subject to the Advanced Capital Adequacy Framework, Control No. 1557-0239,</w:t>
      </w:r>
      <w:r w:rsidR="005E0B66">
        <w:rPr>
          <w:color w:val="000000"/>
          <w:szCs w:val="20"/>
        </w:rPr>
        <w:t xml:space="preserve"> that </w:t>
      </w:r>
      <w:r w:rsidR="00990145">
        <w:rPr>
          <w:color w:val="000000"/>
          <w:szCs w:val="20"/>
        </w:rPr>
        <w:t>took</w:t>
      </w:r>
      <w:r w:rsidR="005E0B66">
        <w:rPr>
          <w:color w:val="000000"/>
          <w:szCs w:val="20"/>
        </w:rPr>
        <w:t xml:space="preserve"> effect for the June 30, 2020, report date.  These reports are currently approved collections of information.</w:t>
      </w:r>
    </w:p>
    <w:p w:rsidR="005E0B66" w:rsidP="005E0B66" w:rsidRDefault="005E0B66" w14:paraId="196250B8" w14:textId="77777777">
      <w:pPr>
        <w:ind w:firstLine="720"/>
        <w:rPr>
          <w:color w:val="000000"/>
          <w:szCs w:val="20"/>
        </w:rPr>
      </w:pPr>
    </w:p>
    <w:p w:rsidR="005E0B66" w:rsidP="005E0B66" w:rsidRDefault="004928D3" w14:paraId="6BBF751D" w14:textId="4990E911">
      <w:pPr>
        <w:rPr>
          <w:color w:val="000000"/>
          <w:szCs w:val="20"/>
        </w:rPr>
      </w:pPr>
      <w:r>
        <w:rPr>
          <w:color w:val="000000"/>
          <w:szCs w:val="20"/>
        </w:rPr>
        <w:tab/>
      </w:r>
      <w:r w:rsidR="005E0B66">
        <w:rPr>
          <w:color w:val="000000"/>
          <w:szCs w:val="20"/>
        </w:rPr>
        <w:t xml:space="preserve">In connection with this request, the agencies are providing a summary of a number of interim final rules </w:t>
      </w:r>
      <w:r w:rsidR="001D5FDB">
        <w:rPr>
          <w:color w:val="000000"/>
          <w:szCs w:val="20"/>
        </w:rPr>
        <w:t xml:space="preserve">(all of which have been finalized substantively as issued) </w:t>
      </w:r>
      <w:r w:rsidR="005E0B66">
        <w:rPr>
          <w:color w:val="000000"/>
          <w:szCs w:val="20"/>
        </w:rPr>
        <w:t xml:space="preserve">and associated reporting revisions related to the Community Bank Leverage Ratio; Paycheck Protection Program Liquidity Facility; Supplementary Leverage Ratio; Regulation D; and Regulation O; and a notice of proposed rulemaking (Assessments) issued in response to disruptions related to the </w:t>
      </w:r>
      <w:r w:rsidR="005E0B66">
        <w:t>coronavirus disease (COVID–19)</w:t>
      </w:r>
      <w:r w:rsidR="005E0B66">
        <w:rPr>
          <w:color w:val="000000"/>
          <w:szCs w:val="20"/>
        </w:rPr>
        <w:t xml:space="preserve">, as well as  two reporting changes for new data items related to the </w:t>
      </w:r>
      <w:bookmarkStart w:name="_Hlk36566347" w:id="0"/>
      <w:r w:rsidR="005E0B66">
        <w:t>Coronavirus Aid, Relief, and Economic Security Act (CARES Act) (Sections 1102 and 4013).</w:t>
      </w:r>
      <w:r w:rsidR="005E0B66">
        <w:rPr>
          <w:rStyle w:val="FootnoteReference"/>
        </w:rPr>
        <w:footnoteReference w:id="1"/>
      </w:r>
    </w:p>
    <w:bookmarkEnd w:id="0"/>
    <w:p w:rsidR="005E0B66" w:rsidP="005E0B66" w:rsidRDefault="005E0B66" w14:paraId="2AFCC44F" w14:textId="77777777">
      <w:pPr>
        <w:rPr>
          <w:color w:val="000000"/>
        </w:rPr>
      </w:pPr>
    </w:p>
    <w:p w:rsidR="005E0B66" w:rsidP="005E0B66" w:rsidRDefault="005E0B66" w14:paraId="3E03DE65" w14:textId="77777777">
      <w:pPr>
        <w:rPr>
          <w:b/>
          <w:color w:val="000000"/>
        </w:rPr>
      </w:pPr>
      <w:r>
        <w:rPr>
          <w:b/>
          <w:color w:val="000000"/>
        </w:rPr>
        <w:t>Summary of Actions and Related Revisions</w:t>
      </w:r>
    </w:p>
    <w:p w:rsidR="005E0B66" w:rsidP="005E0B66" w:rsidRDefault="005E0B66" w14:paraId="35779E69" w14:textId="77777777">
      <w:pPr>
        <w:rPr>
          <w:b/>
          <w:color w:val="000000"/>
        </w:rPr>
      </w:pPr>
    </w:p>
    <w:p w:rsidR="005E0B66" w:rsidP="005E0B66" w:rsidRDefault="005E0B66" w14:paraId="4904F431" w14:textId="77777777">
      <w:pPr>
        <w:rPr>
          <w:color w:val="000000"/>
          <w:u w:val="single"/>
        </w:rPr>
      </w:pPr>
      <w:r>
        <w:rPr>
          <w:color w:val="000000"/>
          <w:u w:val="single"/>
        </w:rPr>
        <w:t>Community Bank Leverage Ratio – Two Interim Final Rules (Call Report)</w:t>
      </w:r>
    </w:p>
    <w:p w:rsidR="005E0B66" w:rsidP="005E0B66" w:rsidRDefault="005E0B66" w14:paraId="5E18D1AB" w14:textId="77777777"/>
    <w:p w:rsidR="005E0B66" w:rsidP="005E0B66" w:rsidRDefault="005E0B66" w14:paraId="79306D1A" w14:textId="77777777">
      <w:pPr>
        <w:rPr>
          <w:i/>
        </w:rPr>
      </w:pPr>
      <w:r>
        <w:rPr>
          <w:i/>
        </w:rPr>
        <w:t>Summary</w:t>
      </w:r>
    </w:p>
    <w:p w:rsidR="005E0B66" w:rsidP="005E0B66" w:rsidRDefault="005E0B66" w14:paraId="51D6726F" w14:textId="77777777"/>
    <w:p w:rsidR="005E0B66" w:rsidP="005E0B66" w:rsidRDefault="004928D3" w14:paraId="2AF0ED0F" w14:textId="574A1AC0">
      <w:r>
        <w:tab/>
      </w:r>
      <w:r w:rsidR="005E0B66">
        <w:t>Section 4012 of the CARES Act required the appropriate Federal banking agencies to reduce the community bank leverage ratio (CBLR) to 8 percent for a temporary period ending on the earlier of the termination date of the national emergency concerning the coronavirus disease COVID–19 outbreak declared by the President on March 13, 2020, under the National Emergencies Act</w:t>
      </w:r>
      <w:r w:rsidR="005E0B66">
        <w:rPr>
          <w:rStyle w:val="FootnoteReference"/>
        </w:rPr>
        <w:footnoteReference w:id="2"/>
      </w:r>
      <w:r w:rsidR="005E0B66">
        <w:t xml:space="preserve"> (National Emergency) or December 31, 2020, which the agencies did through an interim final rule.</w:t>
      </w:r>
      <w:r w:rsidR="005E0B66">
        <w:rPr>
          <w:rStyle w:val="FootnoteReference"/>
        </w:rPr>
        <w:footnoteReference w:id="3"/>
      </w:r>
      <w:r w:rsidR="005E0B66">
        <w:t xml:space="preserve"> To provide further clarity around the possible end date of the statutory relief and provide a qualifying community banking organization that is planning to elect to use </w:t>
      </w:r>
      <w:r w:rsidR="005E0B66">
        <w:lastRenderedPageBreak/>
        <w:t>the community bank leverage ratio framework sufficient time to meet the leverage ratio requirement, the agencies also issued an interim final rule extending relief for the 8 percent community bank leverage ratio through 2020, providing relief through an 8.5 percent community bank leverage ratio in 2021, and resuming the existing 9 percent community bank leverage ratio in 2022.</w:t>
      </w:r>
      <w:r w:rsidR="005E0B66">
        <w:rPr>
          <w:rStyle w:val="FootnoteReference"/>
        </w:rPr>
        <w:footnoteReference w:id="4"/>
      </w:r>
      <w:r w:rsidR="005E0B66">
        <w:t xml:space="preserve"> Neither interim final rule changed the methodology for calculating the CBLR, merely the qualifying ratio for an institution to report as a CBLR institution.</w:t>
      </w:r>
    </w:p>
    <w:p w:rsidR="005E0B66" w:rsidP="005E0B66" w:rsidRDefault="005E0B66" w14:paraId="77C31F07" w14:textId="77777777"/>
    <w:p w:rsidR="005E0B66" w:rsidP="005E0B66" w:rsidRDefault="005E0B66" w14:paraId="138A53CB" w14:textId="77777777">
      <w:pPr>
        <w:rPr>
          <w:i/>
        </w:rPr>
      </w:pPr>
      <w:r>
        <w:rPr>
          <w:i/>
        </w:rPr>
        <w:t>Reporting Revisions</w:t>
      </w:r>
    </w:p>
    <w:p w:rsidR="005E0B66" w:rsidP="005E0B66" w:rsidRDefault="005E0B66" w14:paraId="3CBD5D27" w14:textId="77777777"/>
    <w:p w:rsidR="005E0B66" w:rsidP="005E0B66" w:rsidRDefault="004928D3" w14:paraId="47AB62CE" w14:textId="50F10EF7">
      <w:r>
        <w:tab/>
      </w:r>
      <w:r w:rsidR="005E0B66">
        <w:t>There are no substantive reporting revisions associated with the revised CBLR framework. However, it is possible that some additional banking organizations that are now eligible CBLR banks under the lower qualifying ratio may choose to use the less burdensome reporting for regulatory capital on Schedule RC-R. Since the CBLR framework only came into effect for purposes of reporting for the first quarter of 2020, the agencies currently do not have an accurate estimate of the number of banking organizations that elected to use the CBLR reporting for the first quarter of 2020. Similarly, the agencies cannot reliably estimate the number of banking organizations that might use the CBLR reporting in the second quarter of 2020 under the reduced ratio at this time. The agencies plan to revise the burden estimates after more data is available on banking organizations’ election to use the CBLR framework.</w:t>
      </w:r>
    </w:p>
    <w:p w:rsidR="005E0B66" w:rsidP="005E0B66" w:rsidRDefault="005E0B66" w14:paraId="14FA572C" w14:textId="77777777"/>
    <w:p w:rsidR="005E0B66" w:rsidP="005E0B66" w:rsidRDefault="005E0B66" w14:paraId="62EF00C2" w14:textId="77777777">
      <w:pPr>
        <w:rPr>
          <w:u w:val="single"/>
        </w:rPr>
      </w:pPr>
      <w:r>
        <w:rPr>
          <w:u w:val="single"/>
        </w:rPr>
        <w:t>Regulatory Capital: Paycheck Protection Program Liquidity Facility (PPPLF) and Paycheck Protection Program (PPP) Loans – Interim Final Rule and CARES Act Section 1102 (Call Report and FFIEC 101)</w:t>
      </w:r>
    </w:p>
    <w:p w:rsidR="005E0B66" w:rsidP="005E0B66" w:rsidRDefault="005E0B66" w14:paraId="05FD0126" w14:textId="77777777">
      <w:pPr>
        <w:rPr>
          <w:u w:val="single"/>
        </w:rPr>
      </w:pPr>
    </w:p>
    <w:p w:rsidR="005E0B66" w:rsidP="005E0B66" w:rsidRDefault="005E0B66" w14:paraId="5621CD25" w14:textId="77777777">
      <w:pPr>
        <w:rPr>
          <w:i/>
        </w:rPr>
      </w:pPr>
      <w:r>
        <w:rPr>
          <w:i/>
        </w:rPr>
        <w:t>Summary</w:t>
      </w:r>
    </w:p>
    <w:p w:rsidR="005E0B66" w:rsidP="005E0B66" w:rsidRDefault="005E0B66" w14:paraId="69C7E313" w14:textId="77777777">
      <w:pPr>
        <w:rPr>
          <w:i/>
        </w:rPr>
      </w:pPr>
    </w:p>
    <w:p w:rsidR="005E0B66" w:rsidP="005E0B66" w:rsidRDefault="004928D3" w14:paraId="345F398D" w14:textId="4AD8040E">
      <w:r>
        <w:tab/>
      </w:r>
      <w:r w:rsidR="005E0B66">
        <w:t>Section 1102 of the CARES Act allows for banking organizations to make loans under a program of the Small Business Administration (SBA) in connection with COVID-19 disruptions to small businesses (referred to as PPP loans or PPP covered loans). While the loans are funded by the banking organizations, they receive a guarantee from the SBA. The statute specified that these loans should receive a zero percent risk weight for regulatory capital purposes. The Federal Reserve subsequently established a liquidity facility to permit banking organizations to obtain non-recourse loans, for which PPP loans are pledged to the facility, to provide additional liquidity.</w:t>
      </w:r>
      <w:r w:rsidR="005E0B66">
        <w:rPr>
          <w:rStyle w:val="FootnoteReference"/>
        </w:rPr>
        <w:t xml:space="preserve"> </w:t>
      </w:r>
    </w:p>
    <w:p w:rsidR="005E0B66" w:rsidP="005E0B66" w:rsidRDefault="005E0B66" w14:paraId="442FB468" w14:textId="77777777"/>
    <w:p w:rsidR="005E0B66" w:rsidP="005E0B66" w:rsidRDefault="004928D3" w14:paraId="7528DFFB" w14:textId="1982735B">
      <w:r>
        <w:tab/>
      </w:r>
      <w:r w:rsidR="005E0B66">
        <w:t>On April 13, 2020, the agencies published an interim final rule with an immediate effective date, which permits banking organizations to exclude from regulatory capital requirements PPP loans pledged to the PPPLF.</w:t>
      </w:r>
      <w:r w:rsidR="005E0B66">
        <w:rPr>
          <w:rStyle w:val="FootnoteReference"/>
        </w:rPr>
        <w:footnoteReference w:id="5"/>
      </w:r>
      <w:r w:rsidR="005E0B66">
        <w:t xml:space="preserve"> The interim final rule modifies the agencies’ capital rule to allow banking organizations to neutralize the effects on their risk-based and leverage capital ratios of making PPP loans that are pledged to the PPPLF. Specifically, a banking organization may exclude from its total leverage exposure, average total consolidated assets, standardized total risk-weighted assets, and advanced approaches total risk-weighted assets, as applicable, any exposure from a PPP loan pledged to the PPPLF. The interim final rule also codified the statutory zero percent risk weight for PPP loans; however, the PPP loans </w:t>
      </w:r>
      <w:r w:rsidR="005E0B66">
        <w:lastRenderedPageBreak/>
        <w:t>already received a zero percent risk weight under the agencies’ existing capital rules as an exposure directly and unconditionally guaranteed by an agency of the U.S. government.</w:t>
      </w:r>
    </w:p>
    <w:p w:rsidR="005E0B66" w:rsidP="005E0B66" w:rsidRDefault="005E0B66" w14:paraId="3C259718" w14:textId="77777777"/>
    <w:p w:rsidR="005E0B66" w:rsidP="005E0B66" w:rsidRDefault="004928D3" w14:paraId="092257C0" w14:textId="3C903B5B">
      <w:r>
        <w:tab/>
      </w:r>
      <w:r w:rsidR="005E0B66">
        <w:t xml:space="preserve">The agencies would need to collect information on the number and outstanding balance of PPP loans, as well as the amount of PPP loans pledged to the liquidity facility, for their use in supervising banking organizations. Therefore, the agencies are proposing to add four new data items to collect this information, with the collection of these items expected to be </w:t>
      </w:r>
      <w:proofErr w:type="gramStart"/>
      <w:r w:rsidR="005E0B66">
        <w:t>time-limited</w:t>
      </w:r>
      <w:proofErr w:type="gramEnd"/>
      <w:r w:rsidR="005E0B66">
        <w:t>.  The agencies would expect to propose to discontinue the collection of a specific item once the aggregate industry activity has diminished to a point where the individual information is of limited practical utility.</w:t>
      </w:r>
    </w:p>
    <w:p w:rsidR="005E0B66" w:rsidP="005E0B66" w:rsidRDefault="005E0B66" w14:paraId="058D2709" w14:textId="77777777"/>
    <w:p w:rsidR="005E0B66" w:rsidP="005E0B66" w:rsidRDefault="005E0B66" w14:paraId="131F4649" w14:textId="77777777">
      <w:pPr>
        <w:rPr>
          <w:i/>
        </w:rPr>
      </w:pPr>
      <w:r>
        <w:rPr>
          <w:i/>
        </w:rPr>
        <w:t>Reporting Revisions</w:t>
      </w:r>
    </w:p>
    <w:p w:rsidR="005E0B66" w:rsidP="005E0B66" w:rsidRDefault="005E0B66" w14:paraId="31D812F8" w14:textId="77777777">
      <w:pPr>
        <w:rPr>
          <w:i/>
        </w:rPr>
      </w:pPr>
    </w:p>
    <w:p w:rsidR="005E0B66" w:rsidP="005E0B66" w:rsidRDefault="005E0B66" w14:paraId="495C93A1" w14:textId="77777777">
      <w:pPr>
        <w:ind w:firstLine="720"/>
        <w:rPr>
          <w:i/>
        </w:rPr>
      </w:pPr>
      <w:r>
        <w:rPr>
          <w:i/>
        </w:rPr>
        <w:t>Call Report</w:t>
      </w:r>
    </w:p>
    <w:p w:rsidR="005E0B66" w:rsidP="005E0B66" w:rsidRDefault="005E0B66" w14:paraId="7F9851AA" w14:textId="77777777"/>
    <w:p w:rsidR="005E0B66" w:rsidP="005E0B66" w:rsidRDefault="004928D3" w14:paraId="1181E038" w14:textId="0441EEF9">
      <w:r>
        <w:tab/>
      </w:r>
      <w:r w:rsidR="005E0B66">
        <w:t>Starting with the June 30, 2020, reporting period, a banking organization would report the total number of PPP loans outstanding, the outstanding balance of PPP loans, the outstanding balance of PPP loans pledged to the Federal Reserve’s liquidity facility, and the quarterly average amount of PPP loans pledged to the Federal Reserve’s liquidity facility and excluded from average total assets in the calculation of the leverage ratio. These items would tentatively be added to Schedule RC-M, as items 17.a, 17.b, 17.c, and 17.e.</w:t>
      </w:r>
    </w:p>
    <w:p w:rsidR="005E0B66" w:rsidP="005E0B66" w:rsidRDefault="005E0B66" w14:paraId="3E8388C1" w14:textId="77777777"/>
    <w:p w:rsidR="005E0B66" w:rsidP="005E0B66" w:rsidRDefault="004928D3" w14:paraId="572227BB" w14:textId="707982EC">
      <w:r>
        <w:tab/>
      </w:r>
      <w:r w:rsidR="005E0B66">
        <w:t>Also starting with the June 30, 2020, reporting period, the quarterly average amount of PPP loans pledged to the liquidity facility and reported in 17.e would be reported as a deduction in Schedule RC-R, part I, item 29, “LESS: Other deductions from (additions to) assets for leverage ratio purposes,” and thus excluded from Schedule RC-R, Part I, item 30, “Total assets for the leverage ratio.”</w:t>
      </w:r>
    </w:p>
    <w:p w:rsidR="005E0B66" w:rsidP="005E0B66" w:rsidRDefault="005E0B66" w14:paraId="545B260C" w14:textId="77777777"/>
    <w:p w:rsidR="005E0B66" w:rsidP="005E0B66" w:rsidRDefault="004928D3" w14:paraId="47CF7087" w14:textId="00A087FB">
      <w:r>
        <w:tab/>
      </w:r>
      <w:r w:rsidR="005E0B66">
        <w:t>Since PPP loans, regardless of whether they are pledged to the liquidity facility, receive a zero percent risk weight, they are effectively not included in the standardized total risk-weighted assets. Similarly, advanced approaches banking organizations would not reflect PPP loans in “Total risk-weighted assets” reported on Schedule RC-R, Part I, item 48.b.</w:t>
      </w:r>
    </w:p>
    <w:p w:rsidR="005E0B66" w:rsidP="005E0B66" w:rsidRDefault="005E0B66" w14:paraId="7C1CC088" w14:textId="77777777"/>
    <w:p w:rsidR="005E0B66" w:rsidP="005E0B66" w:rsidRDefault="004928D3" w14:paraId="76132B45" w14:textId="298D5F8F">
      <w:r>
        <w:tab/>
      </w:r>
      <w:r w:rsidR="005E0B66">
        <w:t>Banking organizations subject to the supplementary leverage ratio requirement would report their adjusted “Total leverage exposure” and “Supplementary leverage ratio” in Schedule RC-R, Part I, items 55.a and 55.b, respectively. These organizations would adjust their existing calculations of “Total leverage exposure” by excluding PPP loans pledged to the Federal Reserve’s liquidity facility.  The instructions for item 55.a would be revised to state that institutions should measure their total leverage exposure in accordance with section 10(c)(4) of the regulatory capital rules and the applicable section of these rules for exposures related to the Paycheck Protection Program Liquidity Facility (section 305 for institutions supervised by the OCC and the Board; section 304 for institutions supervised by the FDIC).</w:t>
      </w:r>
    </w:p>
    <w:p w:rsidR="005E0B66" w:rsidP="005E0B66" w:rsidRDefault="005E0B66" w14:paraId="586FFEA9" w14:textId="77777777"/>
    <w:p w:rsidR="005E0B66" w:rsidP="005E0B66" w:rsidRDefault="005E0B66" w14:paraId="5B897854" w14:textId="77777777">
      <w:pPr>
        <w:ind w:firstLine="720"/>
        <w:rPr>
          <w:i/>
        </w:rPr>
      </w:pPr>
      <w:r>
        <w:rPr>
          <w:i/>
        </w:rPr>
        <w:t>FFIEC 101</w:t>
      </w:r>
    </w:p>
    <w:p w:rsidR="005E0B66" w:rsidP="005E0B66" w:rsidRDefault="005E0B66" w14:paraId="43DA0DAD" w14:textId="77777777">
      <w:pPr>
        <w:rPr>
          <w:i/>
        </w:rPr>
      </w:pPr>
    </w:p>
    <w:p w:rsidR="005E0B66" w:rsidP="005E0B66" w:rsidRDefault="005E0B66" w14:paraId="1F4B738D" w14:textId="77777777">
      <w:pPr>
        <w:pStyle w:val="NoSpacing"/>
        <w:rPr>
          <w:rFonts w:ascii="Times New Roman" w:hAnsi="Times New Roman"/>
          <w:sz w:val="24"/>
          <w:szCs w:val="24"/>
        </w:rPr>
      </w:pPr>
      <w:r>
        <w:rPr>
          <w:rFonts w:ascii="Times New Roman" w:hAnsi="Times New Roman"/>
          <w:sz w:val="24"/>
          <w:szCs w:val="24"/>
        </w:rPr>
        <w:lastRenderedPageBreak/>
        <w:t>Advanced approaches banking organizations would not include PPP loans in “Total risk-weighted assets” under the advanced approaches reported in the FFIEC 101, Schedule A, item 60. Since these loans already receive a zero percent risk weight, PPP loans are effectively excluded from risk-weighted assets under the current capital rule and the related reporting provisions.</w:t>
      </w:r>
    </w:p>
    <w:p w:rsidR="005E0B66" w:rsidP="005E0B66" w:rsidRDefault="005E0B66" w14:paraId="2C9CA990" w14:textId="77777777">
      <w:pPr>
        <w:pStyle w:val="NoSpacing"/>
        <w:rPr>
          <w:rFonts w:ascii="Times New Roman" w:hAnsi="Times New Roman"/>
          <w:sz w:val="24"/>
          <w:szCs w:val="24"/>
        </w:rPr>
      </w:pPr>
    </w:p>
    <w:p w:rsidR="005E0B66" w:rsidP="005E0B66" w:rsidRDefault="004928D3" w14:paraId="1121BBC7" w14:textId="2F97AD58">
      <w:pPr>
        <w:pStyle w:val="NoSpacing"/>
        <w:rPr>
          <w:rFonts w:ascii="Times New Roman" w:hAnsi="Times New Roman"/>
          <w:sz w:val="24"/>
          <w:szCs w:val="24"/>
        </w:rPr>
      </w:pPr>
      <w:r>
        <w:rPr>
          <w:rFonts w:ascii="Times New Roman" w:hAnsi="Times New Roman"/>
          <w:sz w:val="24"/>
          <w:szCs w:val="24"/>
        </w:rPr>
        <w:tab/>
      </w:r>
      <w:r w:rsidR="005E0B66">
        <w:rPr>
          <w:rFonts w:ascii="Times New Roman" w:hAnsi="Times New Roman"/>
          <w:sz w:val="24"/>
          <w:szCs w:val="24"/>
        </w:rPr>
        <w:t>For banking organizations subject to the supplementary leverage ratio requirement, PPP loans would be deducted from the calculation of total leverage exposure for the supplementary leverage ratio. Top-tier advanced approaches and Category III banking organizations would include PPP loans in the FFIEC 101, Schedule A, Supplementary Leverage Ratio (SLR) Table 1, item 1.7.c, “Adjustments for deductions of qualifying central bank deposits for custodial banking organizations,” and in SLR Table 2, item 2.2.b, “Deductions of qualifying central bank deposits from total on-balance sheet exposures for custodial banking organizations,” even if the banking organization is not a custodial banking organization.</w:t>
      </w:r>
    </w:p>
    <w:p w:rsidR="005E0B66" w:rsidP="005E0B66" w:rsidRDefault="005E0B66" w14:paraId="562D7930" w14:textId="77777777"/>
    <w:p w:rsidR="005E0B66" w:rsidP="005E0B66" w:rsidRDefault="005E0B66" w14:paraId="298F139C" w14:textId="77777777">
      <w:pPr>
        <w:rPr>
          <w:u w:val="single"/>
        </w:rPr>
      </w:pPr>
      <w:r>
        <w:rPr>
          <w:u w:val="single"/>
        </w:rPr>
        <w:t>Temporary Exclusion of U.S. Treasury Securities and Deposits at Federal Reserve Banks from the Supplementary Leverage Ratio – Interim Final Rules (Call Report and FFIEC 101)</w:t>
      </w:r>
    </w:p>
    <w:p w:rsidR="005E0B66" w:rsidP="005E0B66" w:rsidRDefault="005E0B66" w14:paraId="70F01419" w14:textId="77777777">
      <w:pPr>
        <w:rPr>
          <w:i/>
        </w:rPr>
      </w:pPr>
    </w:p>
    <w:p w:rsidR="005E0B66" w:rsidP="005E0B66" w:rsidRDefault="004928D3" w14:paraId="453FE769" w14:textId="68E1D761">
      <w:pPr>
        <w:rPr>
          <w:rFonts w:eastAsiaTheme="minorHAnsi"/>
        </w:rPr>
      </w:pPr>
      <w:r>
        <w:tab/>
      </w:r>
      <w:r w:rsidR="005E0B66">
        <w:t xml:space="preserve">On April 14, 2020, the Board published in the </w:t>
      </w:r>
      <w:r w:rsidR="005E0B66">
        <w:rPr>
          <w:i/>
        </w:rPr>
        <w:t>Federal Register</w:t>
      </w:r>
      <w:r w:rsidR="005E0B66">
        <w:t xml:space="preserve"> an interim final rule</w:t>
      </w:r>
      <w:r w:rsidR="005E0B66">
        <w:rPr>
          <w:rStyle w:val="FootnoteReference"/>
        </w:rPr>
        <w:footnoteReference w:id="6"/>
      </w:r>
      <w:r w:rsidR="005E0B66">
        <w:t xml:space="preserve"> to temporarily exclude U.S. Treasury Securities (Treasuries) and deposits in their accounts at Federal Reserve Banks (deposits at Federal Reserve Banks) from total leverage exposure for bank holding companies, savings and loan holding companies, and intermediate holding companies subject to the supplementary leverage ratio through March 31, 2021. </w:t>
      </w:r>
    </w:p>
    <w:p w:rsidR="005E0B66" w:rsidP="005E0B66" w:rsidRDefault="005E0B66" w14:paraId="3F9D8960" w14:textId="77777777">
      <w:pPr>
        <w:ind w:firstLine="720"/>
        <w:rPr>
          <w:rFonts w:eastAsiaTheme="minorHAnsi"/>
        </w:rPr>
      </w:pPr>
    </w:p>
    <w:p w:rsidR="005E0B66" w:rsidP="005E0B66" w:rsidRDefault="004928D3" w14:paraId="19AC06BD" w14:textId="3B109498">
      <w:r>
        <w:tab/>
      </w:r>
      <w:r w:rsidR="005E0B66">
        <w:t>On May 15, 2020, the agencies issued an interim final rule</w:t>
      </w:r>
      <w:r w:rsidR="005E0B66">
        <w:rPr>
          <w:rStyle w:val="FootnoteReference"/>
        </w:rPr>
        <w:footnoteReference w:id="7"/>
      </w:r>
      <w:r w:rsidR="005E0B66">
        <w:t xml:space="preserve"> to provide depository institutions subject to the supplementary leverage ratio the ability to temporarily exclude Treasuries and deposits at Federal Reserve Banks from total leverage exposure. An electing depository institution must notify its primary Federal banking regulator of its election within 30 days after the interim final rule is effective. The interim final rule will terminate after March 31, 2021.</w:t>
      </w:r>
    </w:p>
    <w:p w:rsidR="005E0B66" w:rsidP="005E0B66" w:rsidRDefault="005E0B66" w14:paraId="778B327C" w14:textId="77777777">
      <w:pPr>
        <w:rPr>
          <w:i/>
        </w:rPr>
      </w:pPr>
    </w:p>
    <w:p w:rsidR="005E0B66" w:rsidP="005E0B66" w:rsidRDefault="005E0B66" w14:paraId="321CB73C" w14:textId="77777777">
      <w:pPr>
        <w:rPr>
          <w:i/>
        </w:rPr>
      </w:pPr>
      <w:r>
        <w:rPr>
          <w:i/>
        </w:rPr>
        <w:t>Reporting Revisions</w:t>
      </w:r>
    </w:p>
    <w:p w:rsidR="005E0B66" w:rsidP="005E0B66" w:rsidRDefault="005E0B66" w14:paraId="12AE39C3" w14:textId="77777777">
      <w:pPr>
        <w:rPr>
          <w:i/>
        </w:rPr>
      </w:pPr>
    </w:p>
    <w:p w:rsidR="005E0B66" w:rsidP="005E0B66" w:rsidRDefault="005E0B66" w14:paraId="40EAB3D3" w14:textId="77777777">
      <w:pPr>
        <w:ind w:firstLine="720"/>
        <w:rPr>
          <w:i/>
        </w:rPr>
      </w:pPr>
      <w:r>
        <w:rPr>
          <w:i/>
        </w:rPr>
        <w:t xml:space="preserve">Call Report </w:t>
      </w:r>
    </w:p>
    <w:p w:rsidR="005E0B66" w:rsidP="005E0B66" w:rsidRDefault="005E0B66" w14:paraId="07017228" w14:textId="77777777">
      <w:pPr>
        <w:ind w:firstLine="720"/>
        <w:rPr>
          <w:i/>
        </w:rPr>
      </w:pPr>
    </w:p>
    <w:p w:rsidR="005E0B66" w:rsidP="005E0B66" w:rsidRDefault="004928D3" w14:paraId="5D852D77" w14:textId="0621600B">
      <w:r>
        <w:tab/>
      </w:r>
      <w:r w:rsidR="005E0B66">
        <w:t xml:space="preserve">Depository institutions subject to the supplementary leverage ratio report Treasuries not held for trading in Schedule RC-B, item 1, “U.S. Treasury securities,” and those held for trading in Schedule RC, item 5, “Trading assets” (and, if applicable, in Schedule RC-D, item 1, “U.S. Treasury securities”).  Such depository institutions report deposits at Federal Reserve Banks in Schedule RC-A, item 4, “Balances due from Federal Reserve Banks.” </w:t>
      </w:r>
    </w:p>
    <w:p w:rsidR="005E0B66" w:rsidP="005E0B66" w:rsidRDefault="005E0B66" w14:paraId="592E0C44" w14:textId="77777777">
      <w:pPr>
        <w:ind w:firstLine="720"/>
      </w:pPr>
    </w:p>
    <w:p w:rsidR="005E0B66" w:rsidP="005E0B66" w:rsidRDefault="004928D3" w14:paraId="569964F8" w14:textId="496E2AC9">
      <w:r>
        <w:tab/>
      </w:r>
      <w:r w:rsidR="005E0B66">
        <w:t xml:space="preserve">Advanced approaches and Category III electing depository institutions would exclude Treasuries and deposits at Federal Reserve Banks reported in the items identified above from Schedule RC-R, Part I, item 55.a, “Total leverage exposure.” Custodial banking organizations </w:t>
      </w:r>
      <w:r w:rsidR="005E0B66">
        <w:lastRenderedPageBreak/>
        <w:t>will also be able to exclude from total leverage exposure deposits with qualifying foreign central banks reported as a part of Schedule RC-A, item 3, “Balances due from banks in foreign countries and foreign central banks,” subject to the limits in the Section 402 rule,</w:t>
      </w:r>
      <w:r w:rsidR="005E0B66">
        <w:rPr>
          <w:rStyle w:val="FootnoteReference"/>
        </w:rPr>
        <w:footnoteReference w:id="8"/>
      </w:r>
      <w:r w:rsidR="005E0B66">
        <w:t xml:space="preserve"> in addition to the deductions under this interim final rule. For purposes of reporting the supplementary leverage ratio as of June 30, 2020, depository institutions may reflect the exclusion of Treasuries and deposits at Federal Reserve Banks from total leverage exposure as if this interim final rule had been in effect for the entire second quarter of 2020. The temporary exclusions from total leverage exposure are available through the March 31, 2021, report date.</w:t>
      </w:r>
    </w:p>
    <w:p w:rsidR="005E0B66" w:rsidP="005E0B66" w:rsidRDefault="005E0B66" w14:paraId="55C356E2" w14:textId="77777777">
      <w:pPr>
        <w:ind w:firstLine="720"/>
        <w:rPr>
          <w:i/>
        </w:rPr>
      </w:pPr>
    </w:p>
    <w:p w:rsidR="005E0B66" w:rsidP="005E0B66" w:rsidRDefault="005E0B66" w14:paraId="41E8FF4F" w14:textId="77777777">
      <w:pPr>
        <w:ind w:firstLine="720"/>
        <w:rPr>
          <w:i/>
        </w:rPr>
      </w:pPr>
      <w:r>
        <w:rPr>
          <w:i/>
        </w:rPr>
        <w:t>FFIEC 101</w:t>
      </w:r>
    </w:p>
    <w:p w:rsidR="005E0B66" w:rsidP="005E0B66" w:rsidRDefault="005E0B66" w14:paraId="2297400F" w14:textId="77777777">
      <w:pPr>
        <w:ind w:firstLine="720"/>
        <w:rPr>
          <w:i/>
        </w:rPr>
      </w:pPr>
    </w:p>
    <w:p w:rsidR="005E0B66" w:rsidP="005E0B66" w:rsidRDefault="004928D3" w14:paraId="1F81486F" w14:textId="226C41FB">
      <w:r>
        <w:tab/>
      </w:r>
      <w:r w:rsidR="005E0B66">
        <w:t>For top-tier advanced approaches and Category III bank holding companies, savings and loan holding companies, and intermediate holding companies (and top-tier advanced approaches and Category III electing depository institutions), Treasuries and deposits at Federal Reserve Banks would continue to be reported in the FFIEC 101, Schedule A, SLR Tables. Custodial banking organizations would also be able to exclude from the SLR Tables deposits with qualifying foreign central banks subject to the limits in the Section 402 rule,</w:t>
      </w:r>
      <w:r w:rsidR="005E0B66">
        <w:rPr>
          <w:rStyle w:val="FootnoteReference"/>
        </w:rPr>
        <w:footnoteReference w:id="9"/>
      </w:r>
      <w:r w:rsidR="005E0B66">
        <w:t xml:space="preserve"> in addition to the deductions under this interim final rule. Specifically, Treasuries and deposits at Federal Reserve Banks would be reported in SLR Table 1, item 1.7.c, “Adjustments for deductions of qualifying central bank deposits for custodial banking organizations” and SLR Table 2, item 2.2.b, “Deductions of qualifying central bank deposits from total on-balance sheet exposures for custodial banking organizations,” even if a banking organization is not a custodial banking organization. For purposes of reporting the supplementary leverage ratio as of June 30, 2020, banking organizations would be permitted to reflect the exclusion of Treasuries and deposits at Federal Reserve Banks from total leverage exposure as if these interim final rules had been in effect for the entire second quarter of 2020. The temporary exclusions from total leverage exposure would be available through the March 31, 2021, report date.</w:t>
      </w:r>
    </w:p>
    <w:p w:rsidR="005E0B66" w:rsidP="005E0B66" w:rsidRDefault="005E0B66" w14:paraId="3DC47AA7" w14:textId="77777777"/>
    <w:p w:rsidR="005E0B66" w:rsidP="005E0B66" w:rsidRDefault="005E0B66" w14:paraId="35A23894" w14:textId="77777777">
      <w:pPr>
        <w:rPr>
          <w:u w:val="single"/>
        </w:rPr>
      </w:pPr>
      <w:r>
        <w:rPr>
          <w:u w:val="single"/>
        </w:rPr>
        <w:t>Regulation D Amendments – Interim Final Rule (Call Report)</w:t>
      </w:r>
    </w:p>
    <w:p w:rsidR="005E0B66" w:rsidP="005E0B66" w:rsidRDefault="005E0B66" w14:paraId="2B614C6D" w14:textId="77777777">
      <w:pPr>
        <w:rPr>
          <w:u w:val="single"/>
        </w:rPr>
      </w:pPr>
    </w:p>
    <w:p w:rsidR="005E0B66" w:rsidP="005E0B66" w:rsidRDefault="005E0B66" w14:paraId="4EBDB016" w14:textId="77777777">
      <w:pPr>
        <w:rPr>
          <w:i/>
        </w:rPr>
      </w:pPr>
      <w:r>
        <w:rPr>
          <w:i/>
        </w:rPr>
        <w:t>Summary</w:t>
      </w:r>
    </w:p>
    <w:p w:rsidR="005E0B66" w:rsidP="005E0B66" w:rsidRDefault="005E0B66" w14:paraId="5E192890" w14:textId="77777777">
      <w:pPr>
        <w:rPr>
          <w:i/>
        </w:rPr>
      </w:pPr>
    </w:p>
    <w:p w:rsidR="005E0B66" w:rsidP="005E0B66" w:rsidRDefault="004928D3" w14:paraId="0635FDB9" w14:textId="2E2BEF4F">
      <w:r>
        <w:tab/>
      </w:r>
      <w:r w:rsidR="005E0B66">
        <w:t>The Board published in the Federal Register on April 28, 2020, an interim final rule that amends the Board’s Regulation D (Reserve Requirements of Depository Institutions).</w:t>
      </w:r>
      <w:r w:rsidR="005E0B66">
        <w:rPr>
          <w:rStyle w:val="FootnoteReference"/>
        </w:rPr>
        <w:footnoteReference w:id="10"/>
      </w:r>
      <w:r w:rsidR="005E0B66">
        <w:t xml:space="preserve"> The interim final rule amends the six per month transfer limit in the “savings deposit” definition in Regulation D. This interim final rule deleted a provision in the “savings deposit” definition that required depository institutions either to prevent transfers and withdrawals in excess of the limit or to monitor savings deposits ex post for violations of the limit. The interim final rule also makes conforming changes to other definitions in Regulation D that refer to “savings deposit,” as necessary.</w:t>
      </w:r>
    </w:p>
    <w:p w:rsidR="005E0B66" w:rsidP="005E0B66" w:rsidRDefault="005E0B66" w14:paraId="60535AC7" w14:textId="77777777"/>
    <w:p w:rsidR="005E0B66" w:rsidP="005E0B66" w:rsidRDefault="004928D3" w14:paraId="78CE6373" w14:textId="66887B38">
      <w:r>
        <w:tab/>
      </w:r>
      <w:r w:rsidR="005E0B66">
        <w:t xml:space="preserve">The interim final rule allows depository institutions to immediately suspend enforcement of the </w:t>
      </w:r>
      <w:proofErr w:type="gramStart"/>
      <w:r w:rsidR="005E0B66">
        <w:t>six transfer</w:t>
      </w:r>
      <w:proofErr w:type="gramEnd"/>
      <w:r w:rsidR="005E0B66">
        <w:t xml:space="preserve"> limit and to allow their customers to make an unlimited number of convenient transfers and withdrawals from their savings deposits. The interim final rule permits, but does not require, depository institutions to suspend enforcement of the </w:t>
      </w:r>
      <w:proofErr w:type="gramStart"/>
      <w:r w:rsidR="005E0B66">
        <w:t>six transfer</w:t>
      </w:r>
      <w:proofErr w:type="gramEnd"/>
      <w:r w:rsidR="005E0B66">
        <w:t xml:space="preserve"> limit. The interim final rule also does not require any changes to the deposit reporting practices of depository institutions.</w:t>
      </w:r>
    </w:p>
    <w:p w:rsidR="005E0B66" w:rsidP="005E0B66" w:rsidRDefault="005E0B66" w14:paraId="20CA26D8" w14:textId="77777777">
      <w:pPr>
        <w:rPr>
          <w:i/>
        </w:rPr>
      </w:pPr>
    </w:p>
    <w:p w:rsidR="005E0B66" w:rsidP="005E0B66" w:rsidRDefault="005E0B66" w14:paraId="0640EDE3" w14:textId="77777777">
      <w:pPr>
        <w:rPr>
          <w:i/>
        </w:rPr>
      </w:pPr>
      <w:r>
        <w:rPr>
          <w:i/>
        </w:rPr>
        <w:t>Reporting Revisions</w:t>
      </w:r>
    </w:p>
    <w:p w:rsidR="005E0B66" w:rsidP="005E0B66" w:rsidRDefault="005E0B66" w14:paraId="03F2C089" w14:textId="77777777">
      <w:pPr>
        <w:rPr>
          <w:i/>
        </w:rPr>
      </w:pPr>
    </w:p>
    <w:p w:rsidR="005E0B66" w:rsidP="005E0B66" w:rsidRDefault="004928D3" w14:paraId="12D0FB8C" w14:textId="1CEC052A">
      <w:r>
        <w:tab/>
      </w:r>
      <w:r w:rsidR="005E0B66">
        <w:t xml:space="preserve">The agencies are revising the instructions to the Call Report to reflect the revised definition of “savings deposits” in accordance with the amendments to Regulation D in the interim final rule.  Specifically, the agencies are revising the General Instructions for Schedule RC-E, Deposit Liabilities, and the Glossary entry for “Deposits” in the Call Report instructions to remove references to the </w:t>
      </w:r>
      <w:proofErr w:type="gramStart"/>
      <w:r w:rsidR="005E0B66">
        <w:t>six transfer</w:t>
      </w:r>
      <w:proofErr w:type="gramEnd"/>
      <w:r w:rsidR="005E0B66">
        <w:t xml:space="preserve"> limit.  As a result of the amendments to Regulation D, if a depository institution chooses to suspend enforcement of the six transfer limit on a “savings deposit” the depository institution may continue to report that account as a “savings deposit” (and as a </w:t>
      </w:r>
      <w:proofErr w:type="spellStart"/>
      <w:r w:rsidR="005E0B66">
        <w:t>nontransaction</w:t>
      </w:r>
      <w:proofErr w:type="spellEnd"/>
      <w:r w:rsidR="005E0B66">
        <w:t xml:space="preserve"> account) or may instead choose to report that account as a “transaction account.”</w:t>
      </w:r>
    </w:p>
    <w:p w:rsidR="005E0B66" w:rsidP="005E0B66" w:rsidRDefault="005E0B66" w14:paraId="764EF10A" w14:textId="77777777"/>
    <w:p w:rsidR="005E0B66" w:rsidP="005E0B66" w:rsidRDefault="004928D3" w14:paraId="4D81FBE7" w14:textId="258ECC5D">
      <w:r>
        <w:tab/>
      </w:r>
      <w:r w:rsidR="005E0B66">
        <w:t xml:space="preserve">In addition, certain reporting items on Schedule RC-E differentiate between transaction accounts and </w:t>
      </w:r>
      <w:proofErr w:type="spellStart"/>
      <w:r w:rsidR="005E0B66">
        <w:t>nontransaction</w:t>
      </w:r>
      <w:proofErr w:type="spellEnd"/>
      <w:r w:rsidR="005E0B66">
        <w:t xml:space="preserve"> accounts, in part based on the definitions in Regulation D (including the previous six transfer limit distinction). Specifically, the revised definition would apply to the classification of deposits in Schedule RC-E, items 1 through 7; and Memorandum items 2, 6, and 7 (including subcomponent items). Nevertheless, the agencies anticipate there will be no material change in burden resulting from these revisions to the reporting of deposit accounts.</w:t>
      </w:r>
    </w:p>
    <w:p w:rsidR="005E0B66" w:rsidP="005E0B66" w:rsidRDefault="005E0B66" w14:paraId="0EA99CB8" w14:textId="77777777"/>
    <w:p w:rsidR="005E0B66" w:rsidP="005E0B66" w:rsidRDefault="005E0B66" w14:paraId="1BEE037B" w14:textId="77777777">
      <w:pPr>
        <w:rPr>
          <w:u w:val="single"/>
        </w:rPr>
      </w:pPr>
      <w:r>
        <w:rPr>
          <w:u w:val="single"/>
        </w:rPr>
        <w:t>Loans to Executive Officers, Directors, and Principal Shareholders of Member Banks – Interim Final Rule (Call Report)</w:t>
      </w:r>
    </w:p>
    <w:p w:rsidR="005E0B66" w:rsidP="005E0B66" w:rsidRDefault="005E0B66" w14:paraId="150847D9" w14:textId="77777777">
      <w:pPr>
        <w:rPr>
          <w:u w:val="single"/>
        </w:rPr>
      </w:pPr>
    </w:p>
    <w:p w:rsidR="005E0B66" w:rsidP="005E0B66" w:rsidRDefault="005E0B66" w14:paraId="79B91237" w14:textId="77777777">
      <w:pPr>
        <w:rPr>
          <w:i/>
        </w:rPr>
      </w:pPr>
      <w:r>
        <w:rPr>
          <w:i/>
        </w:rPr>
        <w:t>Summary</w:t>
      </w:r>
    </w:p>
    <w:p w:rsidR="005E0B66" w:rsidP="005E0B66" w:rsidRDefault="005E0B66" w14:paraId="4BFCC5A3" w14:textId="77777777">
      <w:pPr>
        <w:rPr>
          <w:i/>
        </w:rPr>
      </w:pPr>
    </w:p>
    <w:p w:rsidR="005E0B66" w:rsidP="005E0B66" w:rsidRDefault="004928D3" w14:paraId="3B36C938" w14:textId="7242D6C9">
      <w:r>
        <w:tab/>
      </w:r>
      <w:r w:rsidR="005E0B66">
        <w:t>Under section 22(h) of the Federal Reserve Act and Regulation O, extensions of credit to insiders are subject to quantitative limits, prior approval requirements by an institution’s board, and qualitative requirements concerning loan terms. On April 22, 2020, the Board issued an interim final rule</w:t>
      </w:r>
      <w:r w:rsidR="005E0B66">
        <w:rPr>
          <w:rStyle w:val="FootnoteReference"/>
        </w:rPr>
        <w:footnoteReference w:id="11"/>
      </w:r>
      <w:r w:rsidR="005E0B66">
        <w:t xml:space="preserve"> that excepts certain loans that are guaranteed under the Small Business Administration’s Paycheck Protection Program (PPP) from the requirements of section 22(h) of the Federal Reserve Act and the corresponding provisions of the Board's Regulation O.  The interim final rule states that the Board has determined that PPP loans pose minimal risk because the SBA guarantees PPP loans at 100 percent of principal and interest and that PPP loans have fixed terms prescribed by the SBA. Accordingly, the IFR states that PPP loans will not be subject to section 22(h) or the corresponding provisions of Regulation O provided that they are not prohibited by the SBA lending restrictions.</w:t>
      </w:r>
    </w:p>
    <w:p w:rsidR="005E0B66" w:rsidP="005E0B66" w:rsidRDefault="005E0B66" w14:paraId="3FD23C5D" w14:textId="77777777">
      <w:pPr>
        <w:rPr>
          <w:i/>
        </w:rPr>
      </w:pPr>
    </w:p>
    <w:p w:rsidR="005E0B66" w:rsidP="005E0B66" w:rsidRDefault="005E0B66" w14:paraId="7F629F83" w14:textId="77777777">
      <w:pPr>
        <w:rPr>
          <w:i/>
        </w:rPr>
      </w:pPr>
      <w:r>
        <w:rPr>
          <w:i/>
        </w:rPr>
        <w:t>Reporting Revisions</w:t>
      </w:r>
    </w:p>
    <w:p w:rsidR="005E0B66" w:rsidP="005E0B66" w:rsidRDefault="005E0B66" w14:paraId="058E5BBB" w14:textId="77777777">
      <w:pPr>
        <w:rPr>
          <w:i/>
        </w:rPr>
      </w:pPr>
    </w:p>
    <w:p w:rsidR="005E0B66" w:rsidP="005E0B66" w:rsidRDefault="004928D3" w14:paraId="4161C137" w14:textId="0936D668">
      <w:r>
        <w:tab/>
      </w:r>
      <w:r w:rsidR="005E0B66">
        <w:t xml:space="preserve">The agencies currently collect data on the number and outstanding balance of all “extensions of credit” to the reporting institution’s executive officers, directors, principal shareholders, and their related interests that meet the definition of this term in Regulation O. This information is collected in Schedule RC-M, items 1.a and 1.b. Call Report instructions refer to Regulation O for guidance in reporting extensions of credit to insiders in these items. Accordingly, the agencies are proposing to revise Call Report instructions to clarify that PPP loans as described above should </w:t>
      </w:r>
      <w:r w:rsidR="005E0B66">
        <w:rPr>
          <w:i/>
        </w:rPr>
        <w:t>not</w:t>
      </w:r>
      <w:r w:rsidR="005E0B66">
        <w:t xml:space="preserve"> be reported in these line items.  The agencies do not believe that revising the instructions for this exception would change burden because the PPP loans did not exist in prior quarters and thus banking organizations would not need to revise the existing amounts subject to reporting in these items in response to this change.</w:t>
      </w:r>
    </w:p>
    <w:p w:rsidR="005E0B66" w:rsidP="005E0B66" w:rsidRDefault="005E0B66" w14:paraId="5E3E423B" w14:textId="77777777">
      <w:pPr>
        <w:rPr>
          <w:i/>
        </w:rPr>
      </w:pPr>
    </w:p>
    <w:p w:rsidR="005E0B66" w:rsidP="005E0B66" w:rsidRDefault="005E0B66" w14:paraId="157FB6D1" w14:textId="77777777">
      <w:pPr>
        <w:rPr>
          <w:u w:val="single"/>
        </w:rPr>
      </w:pPr>
      <w:r>
        <w:rPr>
          <w:u w:val="single"/>
        </w:rPr>
        <w:t>Section 4013 - Temporary Relief from Troubled Debt Restructurings (TDR) Data Items - Revised</w:t>
      </w:r>
    </w:p>
    <w:p w:rsidR="005E0B66" w:rsidP="005E0B66" w:rsidRDefault="005E0B66" w14:paraId="5F951A2F" w14:textId="77777777"/>
    <w:p w:rsidR="005E0B66" w:rsidP="005E0B66" w:rsidRDefault="005E0B66" w14:paraId="761A67FE" w14:textId="77777777">
      <w:pPr>
        <w:rPr>
          <w:i/>
        </w:rPr>
      </w:pPr>
      <w:r>
        <w:rPr>
          <w:i/>
        </w:rPr>
        <w:t>Summary</w:t>
      </w:r>
    </w:p>
    <w:p w:rsidR="005E0B66" w:rsidP="005E0B66" w:rsidRDefault="005E0B66" w14:paraId="6E148331" w14:textId="77777777"/>
    <w:p w:rsidR="005E0B66" w:rsidP="005E0B66" w:rsidRDefault="004928D3" w14:paraId="23F9DBD3" w14:textId="17CC1126">
      <w:r>
        <w:tab/>
      </w:r>
      <w:r w:rsidR="005E0B66">
        <w:t xml:space="preserve">The CARES Act defines an eligible loan under Section 4013 (Section 4013 loan), as a loan modification that must be (1) related to COVID-19; (2) executed on a loan that was not more than 30 days past due as of December 31, 2019; and (3) executed between March 1, 2020, and the earlier of (A) 60 days after the date of termination of the National Emergency concerning the COVID-19 outbreak or (B) December 31, 2020.  Section 4013 suspends the requirements under United States generally accepted accounting principles for eligible loan modifications related to the COVID–19 pandemic that would otherwise be categorized as troubled debt restructurings (TDRs).  As provided for under Section 4013 of the CARES Act, financial institutions should maintain records of the volume of Section 4013 loans and the appropriate Federal banking agencies may collect data about such loans for supervisory purposes.  </w:t>
      </w:r>
    </w:p>
    <w:p w:rsidR="005E0B66" w:rsidP="005E0B66" w:rsidRDefault="005E0B66" w14:paraId="4372EC38" w14:textId="77777777">
      <w:r>
        <w:t>Consistent with the CARES Act, the agencies seek to collect information about the volume of loans modified under Section 4013. If approved, financial institutions will be instructed to report the total number of loans outstanding that have been modified under Section 4013 and the outstanding balance of these loans in the Consolidated Reports of Condition and Income (commonly referred to as the Call Report) on Schedule RC-C, Loans and Lease Financing Receivables, Part I, Loans and Leases, Memorandum items 17.a and 17.b, respectively, beginning as of the June 30, 2020, report date, with the collection of these items expected to be time-limited.  The agencies would expect to propose to discontinue the collection of a specific item once the aggregate industry activity has diminished to a point where the individual information is of limited practical utility.</w:t>
      </w:r>
    </w:p>
    <w:p w:rsidR="005E0B66" w:rsidP="005E0B66" w:rsidRDefault="005E0B66" w14:paraId="2ADCED86" w14:textId="77777777"/>
    <w:p w:rsidR="005E0B66" w:rsidP="005E0B66" w:rsidRDefault="004928D3" w14:paraId="7890E499" w14:textId="0ABAAF95">
      <w:r>
        <w:tab/>
      </w:r>
      <w:r w:rsidR="005E0B66">
        <w:t xml:space="preserve">If approved, the agencies would collect institution-level information on a confidential basis. While the agencies generally make institution-level Call Report data publicly available, the agencies are collecting Section 4013 loan information as part of condition reports for the impacted entities and the agencies believe disclosure of these items at the institution level would </w:t>
      </w:r>
      <w:r w:rsidR="005E0B66">
        <w:lastRenderedPageBreak/>
        <w:t>not be in the public interest.</w:t>
      </w:r>
      <w:r w:rsidR="005E0B66">
        <w:rPr>
          <w:rStyle w:val="FootnoteReference"/>
        </w:rPr>
        <w:footnoteReference w:id="12"/>
      </w:r>
      <w:r w:rsidR="005E0B66">
        <w:t xml:space="preserve"> Such information is permitted to be collected on a confidential basis, consistent with 5 U.S.C. § 552(b)(8).</w:t>
      </w:r>
      <w:r w:rsidR="005E0B66">
        <w:rPr>
          <w:rStyle w:val="FootnoteReference"/>
        </w:rPr>
        <w:footnoteReference w:id="13"/>
      </w:r>
      <w:r w:rsidR="005E0B66">
        <w:t xml:space="preserve"> </w:t>
      </w:r>
    </w:p>
    <w:p w:rsidR="005E0B66" w:rsidP="005E0B66" w:rsidRDefault="005E0B66" w14:paraId="699EC740" w14:textId="77777777"/>
    <w:p w:rsidR="005E0B66" w:rsidP="005E0B66" w:rsidRDefault="004928D3" w14:paraId="0B4EE441" w14:textId="36EE9343">
      <w:r>
        <w:tab/>
      </w:r>
      <w:r w:rsidR="005E0B66">
        <w:t>The public disclosure of supervisory information on Section 4013 loans could have a detrimental impact on financial institutions offering modifications under this provision to borrowers that need relief due to COVID-19.  Financial institutions may be reluctant to offer modifications under Section 4013 if information on these modifications made by each institution is publicly available, as analysts, investors, and other users of public Call Report information may penalize an institution for using the relief provided by the CARES Act. The agencies have encouraged financial institutions to work with their borrowers during the National Emergency related to COVID-19, including use of the relief under Section 4013.</w:t>
      </w:r>
      <w:r w:rsidR="005E0B66">
        <w:rPr>
          <w:rStyle w:val="FootnoteReference"/>
        </w:rPr>
        <w:footnoteReference w:id="14"/>
      </w:r>
    </w:p>
    <w:p w:rsidR="005E0B66" w:rsidP="005E0B66" w:rsidRDefault="005E0B66" w14:paraId="6C974AB5" w14:textId="77777777"/>
    <w:p w:rsidR="005E0B66" w:rsidP="005E0B66" w:rsidRDefault="004928D3" w14:paraId="0319EB55" w14:textId="79944AA7">
      <w:r>
        <w:tab/>
      </w:r>
      <w:r w:rsidR="005E0B66">
        <w:t>The agencies may disclose data on an aggregated basis, consistent with confidentiality.</w:t>
      </w:r>
    </w:p>
    <w:p w:rsidR="005E0B66" w:rsidP="005E0B66" w:rsidRDefault="005E0B66" w14:paraId="1465CCCF" w14:textId="77777777"/>
    <w:p w:rsidR="005E0B66" w:rsidP="005E0B66" w:rsidRDefault="005E0B66" w14:paraId="206EEC22" w14:textId="77777777">
      <w:pPr>
        <w:rPr>
          <w:i/>
        </w:rPr>
      </w:pPr>
      <w:r>
        <w:rPr>
          <w:i/>
        </w:rPr>
        <w:t>Reporting Revisions</w:t>
      </w:r>
    </w:p>
    <w:p w:rsidR="005E0B66" w:rsidP="005E0B66" w:rsidRDefault="005E0B66" w14:paraId="5A65910B" w14:textId="77777777"/>
    <w:p w:rsidR="005E0B66" w:rsidP="005E0B66" w:rsidRDefault="004928D3" w14:paraId="057A31C9" w14:textId="4900D64A">
      <w:r>
        <w:tab/>
      </w:r>
      <w:r w:rsidR="005E0B66">
        <w:t xml:space="preserve">The agencies are proposing to add two new data items to the Call Report, which would be collected quarterly beginning with the June 30, 2020, report date.  These new items, Memorandum item 17.a, “Number of Section 4013 loans outstanding,” and Memorandum item 17.b, “Outstanding balance of Section 4013 loans” (for which emergency clearance was previously requested and received), would be added to Schedule RC-C, Part I, Loans and Leases.  </w:t>
      </w:r>
    </w:p>
    <w:p w:rsidR="005E0B66" w:rsidP="005E0B66" w:rsidRDefault="005E0B66" w14:paraId="3BD496E1" w14:textId="77777777"/>
    <w:p w:rsidR="005E0B66" w:rsidP="005E0B66" w:rsidRDefault="005E0B66" w14:paraId="65AD0BAE" w14:textId="77777777">
      <w:pPr>
        <w:rPr>
          <w:u w:val="single"/>
        </w:rPr>
      </w:pPr>
      <w:r>
        <w:rPr>
          <w:u w:val="single"/>
        </w:rPr>
        <w:t>Assessments: Paycheck Protection Program (PPP), PPP Liquidity Facility (PPPLF), and Money Market Liquidity Facility (MMLF) – Notice of Proposed Rulemaking (Call Report)</w:t>
      </w:r>
    </w:p>
    <w:p w:rsidR="005E0B66" w:rsidP="005E0B66" w:rsidRDefault="005E0B66" w14:paraId="3AA5F92A" w14:textId="77777777"/>
    <w:p w:rsidR="005E0B66" w:rsidP="005E0B66" w:rsidRDefault="005E0B66" w14:paraId="0C5489C4" w14:textId="77777777">
      <w:r>
        <w:rPr>
          <w:i/>
        </w:rPr>
        <w:t>Summary</w:t>
      </w:r>
    </w:p>
    <w:p w:rsidR="005E0B66" w:rsidP="005E0B66" w:rsidRDefault="005E0B66" w14:paraId="2235DEF3" w14:textId="77777777"/>
    <w:p w:rsidR="005E0B66" w:rsidP="005E0B66" w:rsidRDefault="004928D3" w14:paraId="07B6D358" w14:textId="4029A4D5">
      <w:r>
        <w:tab/>
      </w:r>
      <w:r w:rsidR="005E0B66">
        <w:t>On May 12, 2020, the FDIC approved a proposed rule modifying its deposit insurance assessment rules to mitigate the effects of participation in the PPP, PPPLF, and MMLF on insured depository institutions.</w:t>
      </w:r>
      <w:r w:rsidR="005E0B66">
        <w:rPr>
          <w:rStyle w:val="FootnoteReference"/>
        </w:rPr>
        <w:footnoteReference w:id="15"/>
      </w:r>
      <w:r w:rsidR="005E0B66">
        <w:t xml:space="preserve">  </w:t>
      </w:r>
    </w:p>
    <w:p w:rsidR="005E0B66" w:rsidP="005E0B66" w:rsidRDefault="005E0B66" w14:paraId="0BD679E4" w14:textId="77777777"/>
    <w:p w:rsidR="005E0B66" w:rsidP="005E0B66" w:rsidRDefault="004928D3" w14:paraId="3E0EC5AB" w14:textId="18A551F4">
      <w:r>
        <w:tab/>
      </w:r>
      <w:r w:rsidR="005E0B66">
        <w:t xml:space="preserve">To effect these modifications, the FDIC would need information on the outstanding balance of PPP loans, the amount of PPP loans pledged to the liquidity facility, the quarterly average amount of PPP loans pledged to the liquidity facility, short- and long-term borrowings from the Federal Reserve Banks under the PPPLF, the outstanding balance of assets purchased under the MMLF program, and the quarterly average amount of assets purchased under the MMLF.  Five of these items – the outstanding balance of PPP loans, the amount and average balance of PPP loans pledged to the PPPLF, and the amount and average balance of assets purchased under the MMLF – are proposed as new Call Report data items arising from </w:t>
      </w:r>
      <w:r w:rsidR="005E0B66">
        <w:lastRenderedPageBreak/>
        <w:t xml:space="preserve">Regulatory Capital IFRs related to the PPPLF and MMLF, described elsewhere in this memo. Therefore, in addition to these five items, the agencies are proposing two additional new data items to collect this information for assessment purposes, with the collection of these items expected to be </w:t>
      </w:r>
      <w:proofErr w:type="gramStart"/>
      <w:r w:rsidR="005E0B66">
        <w:t>time-limited</w:t>
      </w:r>
      <w:proofErr w:type="gramEnd"/>
      <w:r w:rsidR="005E0B66">
        <w:t>.  The agencies would expect to propose to discontinue the collection of a specific item once the aggregate industry activity has diminished to a point where the individual information is of limited practical utility.</w:t>
      </w:r>
    </w:p>
    <w:p w:rsidR="005E0B66" w:rsidP="005E0B66" w:rsidRDefault="005E0B66" w14:paraId="57C2008B" w14:textId="77777777"/>
    <w:p w:rsidR="005E0B66" w:rsidP="005E0B66" w:rsidRDefault="005E0B66" w14:paraId="489BC304" w14:textId="77777777">
      <w:r>
        <w:rPr>
          <w:i/>
        </w:rPr>
        <w:t>Reporting Revisions</w:t>
      </w:r>
    </w:p>
    <w:p w:rsidR="005E0B66" w:rsidP="005E0B66" w:rsidRDefault="005E0B66" w14:paraId="1A954739" w14:textId="77777777"/>
    <w:p w:rsidR="005E0B66" w:rsidP="005E0B66" w:rsidRDefault="004928D3" w14:paraId="6BDA1638" w14:textId="1945B790">
      <w:r>
        <w:tab/>
      </w:r>
      <w:r w:rsidR="005E0B66">
        <w:t xml:space="preserve">Starting with the June 30, 2020, reporting period, the outstanding balance of borrowings from Federal Reserve Banks under the PPPLF with a remaining maturity of one year or less and the outstanding balance of borrowings from the Federal Reserve Banks under the PPPLF with a remaining maturity of more than one year would be reported in new items 17.d.(1), and 17.d.(2) of Schedule RC-M, respectively.  </w:t>
      </w:r>
    </w:p>
    <w:p w:rsidR="005E0B66" w:rsidP="005E0B66" w:rsidRDefault="005E0B66" w14:paraId="28934B3F" w14:textId="77777777"/>
    <w:p w:rsidR="005E0B66" w:rsidP="005E0B66" w:rsidRDefault="005E0B66" w14:paraId="35BA6EC1" w14:textId="77777777">
      <w:pPr>
        <w:rPr>
          <w:u w:val="single"/>
        </w:rPr>
      </w:pPr>
      <w:r>
        <w:rPr>
          <w:u w:val="single"/>
        </w:rPr>
        <w:t>Money Market Mutual Fund Liquidity Facility (MMLF) – Interim Final Rule (Call Report) (Revised)</w:t>
      </w:r>
    </w:p>
    <w:p w:rsidR="005E0B66" w:rsidP="005E0B66" w:rsidRDefault="005E0B66" w14:paraId="4C37A4CD" w14:textId="77777777"/>
    <w:p w:rsidR="005E0B66" w:rsidP="005E0B66" w:rsidRDefault="004928D3" w14:paraId="0DBA1947" w14:textId="229FD273">
      <w:r>
        <w:tab/>
      </w:r>
      <w:r w:rsidR="005E0B66">
        <w:t xml:space="preserve">In the emergency clearance request submitted on April 1, the agencies encouraged banking organizations to separately disclose in a “Narrative Statement Concerning the Amounts Reported in the Reports of Condition and Income,” the amount of assets purchased under the MMLF included in Schedule RC-R, Part II, item 2.a or item 2.b. Proposed Schedule RC-M, item 18.a, would collect the same information in a standardized format, and therefore the agencies would discontinue collecting the previously approved information in the Narrative Statement starting with the June 30, 2020, report date. The collection of this new item is expected to be </w:t>
      </w:r>
      <w:proofErr w:type="gramStart"/>
      <w:r w:rsidR="005E0B66">
        <w:t>time-limited</w:t>
      </w:r>
      <w:proofErr w:type="gramEnd"/>
      <w:r w:rsidR="005E0B66">
        <w:t>.  The agencies would expect to propose to discontinue the collection of a specific item once the aggregate industry activity has diminished to a point where the individual information is of limited practical utility.</w:t>
      </w:r>
    </w:p>
    <w:p w:rsidR="005E0B66" w:rsidP="005E0B66" w:rsidRDefault="005E0B66" w14:paraId="3768733D" w14:textId="77777777"/>
    <w:p w:rsidR="005E0B66" w:rsidP="005E0B66" w:rsidRDefault="004928D3" w14:paraId="3D19B8B6" w14:textId="68595606">
      <w:r>
        <w:tab/>
      </w:r>
      <w:r w:rsidR="005E0B66">
        <w:t xml:space="preserve">In addition, the agencies encouraged banking organizations in that emergency clearance request to separately disclose, in a similar narrative, the average amount of assets purchased under the MMLF that were excluded from Schedule RC-R, Part I, item 30, “Total assets for the leverage ratio.” The agencies now propose to add this item to Schedule RC-M as item 18.b to collect this average amount in a standardized format. The collection of this new item is expected to be </w:t>
      </w:r>
      <w:proofErr w:type="gramStart"/>
      <w:r w:rsidR="005E0B66">
        <w:t>time-limited</w:t>
      </w:r>
      <w:proofErr w:type="gramEnd"/>
      <w:r w:rsidR="005E0B66">
        <w:t xml:space="preserve">. The agencies would discontinue the previously approved encouraged reporting of similar information in the Narrative Statement starting with the June 30, 2020, report date. </w:t>
      </w:r>
    </w:p>
    <w:p w:rsidR="004C7660" w:rsidP="004C7660" w:rsidRDefault="004C7660" w14:paraId="1ECFF7E2" w14:textId="77777777"/>
    <w:p w:rsidRPr="00D43350" w:rsidR="00CA6AE6" w:rsidP="00AE34E0" w:rsidRDefault="00CA6AE6" w14:paraId="2B6563CF" w14:textId="77777777">
      <w:pPr>
        <w:rPr>
          <w:b/>
          <w:color w:val="000000"/>
        </w:rPr>
      </w:pPr>
      <w:r w:rsidRPr="00D43350">
        <w:rPr>
          <w:b/>
          <w:color w:val="000000"/>
        </w:rPr>
        <w:t>A.</w:t>
      </w:r>
      <w:r w:rsidRPr="00D43350">
        <w:rPr>
          <w:b/>
          <w:color w:val="000000"/>
        </w:rPr>
        <w:tab/>
        <w:t>JUSTIFICATION</w:t>
      </w:r>
    </w:p>
    <w:p w:rsidRPr="00D43350" w:rsidR="00CA6AE6" w:rsidP="00AE34E0" w:rsidRDefault="00CA6AE6" w14:paraId="6BB2B358" w14:textId="77777777">
      <w:pPr>
        <w:tabs>
          <w:tab w:val="left" w:pos="432"/>
          <w:tab w:val="left" w:pos="1296"/>
          <w:tab w:val="left" w:pos="1728"/>
          <w:tab w:val="left" w:pos="4176"/>
        </w:tabs>
        <w:ind w:left="432" w:hanging="432"/>
        <w:rPr>
          <w:b/>
          <w:color w:val="000000"/>
        </w:rPr>
      </w:pPr>
    </w:p>
    <w:p w:rsidR="00CA6AE6" w:rsidP="00AE34E0" w:rsidRDefault="00F31B88" w14:paraId="41972B2F" w14:textId="77777777">
      <w:pPr>
        <w:numPr>
          <w:ilvl w:val="0"/>
          <w:numId w:val="5"/>
        </w:numPr>
        <w:tabs>
          <w:tab w:val="left" w:pos="432"/>
          <w:tab w:val="left" w:pos="1728"/>
          <w:tab w:val="left" w:pos="4176"/>
        </w:tabs>
        <w:ind w:left="432" w:hanging="432"/>
        <w:rPr>
          <w:b/>
          <w:i/>
          <w:color w:val="000000"/>
        </w:rPr>
      </w:pPr>
      <w:r>
        <w:rPr>
          <w:b/>
          <w:i/>
          <w:color w:val="000000"/>
        </w:rPr>
        <w:t xml:space="preserve">    </w:t>
      </w:r>
      <w:r w:rsidRPr="00D43350" w:rsidR="00CA6AE6">
        <w:rPr>
          <w:b/>
          <w:i/>
          <w:color w:val="000000"/>
        </w:rPr>
        <w:t>Circumstances and Need</w:t>
      </w:r>
      <w:r w:rsidRPr="00D43350" w:rsidR="00540715">
        <w:rPr>
          <w:b/>
          <w:i/>
          <w:color w:val="000000"/>
        </w:rPr>
        <w:t>:</w:t>
      </w:r>
    </w:p>
    <w:p w:rsidR="00E26F22" w:rsidP="00E26F22" w:rsidRDefault="00E26F22" w14:paraId="5F60796C" w14:textId="77777777">
      <w:pPr>
        <w:pStyle w:val="ListParagraph"/>
        <w:ind w:left="1287"/>
      </w:pPr>
    </w:p>
    <w:p w:rsidRPr="00554A3D" w:rsidR="00E26F22" w:rsidP="00E26F22" w:rsidRDefault="00E26F22" w14:paraId="131F0BCA" w14:textId="77777777">
      <w:pPr>
        <w:pStyle w:val="ListParagraph"/>
        <w:ind w:left="0"/>
      </w:pPr>
      <w:r>
        <w:t xml:space="preserve">           </w:t>
      </w:r>
      <w:r w:rsidRPr="00554A3D">
        <w:t xml:space="preserve">The </w:t>
      </w:r>
      <w:r>
        <w:t>OCC requi</w:t>
      </w:r>
      <w:r w:rsidRPr="00554A3D">
        <w:t xml:space="preserve">res the information collected on the Call Reports to fulfill its statutory obligation to supervise </w:t>
      </w:r>
      <w:r>
        <w:t>national banks and Federal savings associations</w:t>
      </w:r>
      <w:r w:rsidRPr="00554A3D">
        <w:t xml:space="preserve">.  </w:t>
      </w:r>
      <w:r>
        <w:t>These institutions</w:t>
      </w:r>
      <w:r w:rsidRPr="00554A3D">
        <w:t xml:space="preserve"> are required to file detailed schedules of assets, liabilities, and capital accounts in the form of a </w:t>
      </w:r>
      <w:r w:rsidRPr="00554A3D">
        <w:lastRenderedPageBreak/>
        <w:t>condition report and summary statement as well as detailed schedules of operating income and expense, sources and disposition of income, and changes in equity capital.</w:t>
      </w:r>
    </w:p>
    <w:p w:rsidRPr="00D43350" w:rsidR="00A45144" w:rsidP="00AE34E0" w:rsidRDefault="00A45144" w14:paraId="2913F8E9" w14:textId="77777777">
      <w:pPr>
        <w:tabs>
          <w:tab w:val="left" w:pos="432"/>
          <w:tab w:val="left" w:pos="1728"/>
          <w:tab w:val="left" w:pos="4176"/>
        </w:tabs>
        <w:rPr>
          <w:b/>
          <w:color w:val="000000"/>
        </w:rPr>
      </w:pPr>
    </w:p>
    <w:p w:rsidRPr="00D43350" w:rsidR="00DD3684" w:rsidP="000D3228" w:rsidRDefault="00A45144" w14:paraId="7E40C2C8" w14:textId="77777777">
      <w:pPr>
        <w:tabs>
          <w:tab w:val="left" w:pos="432"/>
          <w:tab w:val="left" w:pos="720"/>
          <w:tab w:val="left" w:pos="1728"/>
          <w:tab w:val="left" w:pos="4176"/>
        </w:tabs>
      </w:pPr>
      <w:r w:rsidRPr="00D43350">
        <w:tab/>
        <w:t xml:space="preserve">    Institutions submit </w:t>
      </w:r>
      <w:r w:rsidRPr="00D43350" w:rsidR="000F15CC">
        <w:t>Consolidated Reports of Condition and Income (</w:t>
      </w:r>
      <w:r w:rsidRPr="00D43350">
        <w:t>Call Report</w:t>
      </w:r>
      <w:r w:rsidRPr="00D43350" w:rsidR="000F15CC">
        <w:t>)</w:t>
      </w:r>
      <w:r w:rsidRPr="00D43350">
        <w:t xml:space="preserve">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D43350">
        <w:rPr>
          <w:color w:val="000000"/>
        </w:rPr>
        <w:t>’</w:t>
      </w:r>
      <w:r w:rsidRPr="00D43350">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w:t>
      </w:r>
      <w:r w:rsidRPr="00D43350" w:rsidR="00320518">
        <w:t xml:space="preserve">also </w:t>
      </w:r>
      <w:r w:rsidRPr="00D43350">
        <w:t>used to calculate institutions</w:t>
      </w:r>
      <w:r w:rsidRPr="00D43350">
        <w:rPr>
          <w:color w:val="000000"/>
        </w:rPr>
        <w:t>’</w:t>
      </w:r>
      <w:r w:rsidRPr="00D43350">
        <w:t xml:space="preserve"> deposit insurance and Financing Corporation assessments and national banks’ and federal savings associations’ semiannual assessment fees.</w:t>
      </w:r>
      <w:r w:rsidRPr="00D43350" w:rsidR="00DD3684">
        <w:t xml:space="preserve"> </w:t>
      </w:r>
    </w:p>
    <w:p w:rsidRPr="00D43350" w:rsidR="000A457D" w:rsidP="000D3228" w:rsidRDefault="000A457D" w14:paraId="157D5F15" w14:textId="77777777">
      <w:pPr>
        <w:tabs>
          <w:tab w:val="left" w:pos="432"/>
          <w:tab w:val="left" w:pos="720"/>
          <w:tab w:val="left" w:pos="1728"/>
          <w:tab w:val="left" w:pos="4176"/>
        </w:tabs>
      </w:pPr>
    </w:p>
    <w:p w:rsidRPr="00554A3D" w:rsidR="00F05733" w:rsidP="00F05733" w:rsidRDefault="000A457D" w14:paraId="05B555D1" w14:textId="77777777">
      <w:pPr>
        <w:pStyle w:val="BodyTextIndent3"/>
        <w:ind w:left="0"/>
        <w:rPr>
          <w:sz w:val="24"/>
          <w:szCs w:val="24"/>
        </w:rPr>
      </w:pPr>
      <w:r w:rsidRPr="00D43350">
        <w:tab/>
      </w:r>
      <w:r w:rsidRPr="00554A3D" w:rsidR="00F05733">
        <w:rPr>
          <w:sz w:val="24"/>
          <w:szCs w:val="24"/>
        </w:rPr>
        <w:t>Within the Call Report information collection system as a whole, there are three reporting forms that apply to different categories of banks:  (1) all banks that have domestic and foreign offices (FFIEC 031),</w:t>
      </w:r>
      <w:r w:rsidR="007C7436">
        <w:rPr>
          <w:sz w:val="24"/>
          <w:szCs w:val="24"/>
        </w:rPr>
        <w:t xml:space="preserve"> total assets of $100 billion or more, or are Category I or II institutions</w:t>
      </w:r>
      <w:r w:rsidRPr="00554A3D" w:rsidR="00F05733">
        <w:rPr>
          <w:sz w:val="24"/>
          <w:szCs w:val="24"/>
        </w:rPr>
        <w:t xml:space="preserve"> (2) banks with domestic offices only (FFIEC 041), and (3) banks with domestic offices only </w:t>
      </w:r>
      <w:r w:rsidR="007C7436">
        <w:rPr>
          <w:sz w:val="24"/>
          <w:szCs w:val="24"/>
        </w:rPr>
        <w:t>with total assets of $5 billion or less</w:t>
      </w:r>
      <w:r w:rsidRPr="00554A3D" w:rsidR="00F05733">
        <w:rPr>
          <w:sz w:val="24"/>
          <w:szCs w:val="24"/>
        </w:rPr>
        <w:t xml:space="preserve"> (FFIEC 051).</w:t>
      </w:r>
    </w:p>
    <w:p w:rsidRPr="00D43350" w:rsidR="002B641E" w:rsidP="00083E5A" w:rsidRDefault="003206CB" w14:paraId="18A9D459" w14:textId="77777777">
      <w:pPr>
        <w:tabs>
          <w:tab w:val="left" w:pos="432"/>
          <w:tab w:val="left" w:pos="720"/>
          <w:tab w:val="left" w:pos="1728"/>
          <w:tab w:val="left" w:pos="4176"/>
        </w:tabs>
        <w:rPr>
          <w:b/>
          <w:i/>
          <w:color w:val="000000"/>
        </w:rPr>
      </w:pPr>
      <w:r w:rsidRPr="00D43350">
        <w:t xml:space="preserve">    </w:t>
      </w:r>
    </w:p>
    <w:p w:rsidRPr="00D43350" w:rsidR="0086663A" w:rsidP="00AE34E0" w:rsidRDefault="00CA6AE6" w14:paraId="46440E42" w14:textId="77777777">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b/>
          <w:i/>
          <w:color w:val="000000"/>
          <w:sz w:val="24"/>
          <w:szCs w:val="24"/>
        </w:rPr>
      </w:pPr>
      <w:r w:rsidRPr="00D43350">
        <w:rPr>
          <w:rFonts w:ascii="Times New Roman" w:hAnsi="Times New Roman"/>
          <w:b/>
          <w:i/>
          <w:color w:val="000000"/>
          <w:sz w:val="24"/>
          <w:szCs w:val="24"/>
        </w:rPr>
        <w:t>2.</w:t>
      </w:r>
      <w:r w:rsidRPr="00D43350" w:rsidR="00A34FBA">
        <w:rPr>
          <w:rFonts w:ascii="Times New Roman" w:hAnsi="Times New Roman"/>
          <w:b/>
          <w:i/>
          <w:color w:val="000000"/>
          <w:sz w:val="24"/>
          <w:szCs w:val="24"/>
        </w:rPr>
        <w:t xml:space="preserve">    </w:t>
      </w:r>
      <w:r w:rsidR="00F31B88">
        <w:rPr>
          <w:rFonts w:ascii="Times New Roman" w:hAnsi="Times New Roman"/>
          <w:b/>
          <w:i/>
          <w:color w:val="000000"/>
          <w:sz w:val="24"/>
          <w:szCs w:val="24"/>
        </w:rPr>
        <w:t xml:space="preserve">   </w:t>
      </w:r>
      <w:r w:rsidRPr="00D43350">
        <w:rPr>
          <w:rFonts w:ascii="Times New Roman" w:hAnsi="Times New Roman"/>
          <w:b/>
          <w:i/>
          <w:color w:val="000000"/>
          <w:sz w:val="24"/>
          <w:szCs w:val="24"/>
        </w:rPr>
        <w:t>Use of Information Collected</w:t>
      </w:r>
      <w:r w:rsidRPr="00D43350" w:rsidR="00540715">
        <w:rPr>
          <w:rFonts w:ascii="Times New Roman" w:hAnsi="Times New Roman"/>
          <w:b/>
          <w:i/>
          <w:color w:val="000000"/>
          <w:sz w:val="24"/>
          <w:szCs w:val="24"/>
        </w:rPr>
        <w:t>:</w:t>
      </w:r>
    </w:p>
    <w:p w:rsidRPr="00D43350" w:rsidR="0086663A" w:rsidP="00AE34E0" w:rsidRDefault="0086663A" w14:paraId="3BE3CF18" w14:textId="77777777">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Pr="00D43350" w:rsidR="003206CB" w:rsidP="003206CB" w:rsidRDefault="003206CB" w14:paraId="2D8CB2BF" w14:textId="77777777">
      <w:pPr>
        <w:pStyle w:val="HTMLPreformatted"/>
        <w:tabs>
          <w:tab w:val="left" w:pos="720"/>
        </w:tabs>
        <w:rPr>
          <w:rFonts w:ascii="Times New Roman" w:hAnsi="Times New Roman" w:cs="Times New Roman"/>
          <w:sz w:val="24"/>
          <w:szCs w:val="24"/>
        </w:rPr>
      </w:pPr>
      <w:r w:rsidRPr="00D43350">
        <w:rPr>
          <w:rFonts w:ascii="Times New Roman" w:hAnsi="Times New Roman" w:cs="Times New Roman"/>
          <w:sz w:val="24"/>
          <w:szCs w:val="24"/>
        </w:rPr>
        <w:t xml:space="preserve">          </w:t>
      </w:r>
      <w:r w:rsidRPr="00D43350" w:rsidR="0098622E">
        <w:rPr>
          <w:rFonts w:ascii="Times New Roman" w:hAnsi="Times New Roman" w:cs="Times New Roman"/>
          <w:sz w:val="24"/>
          <w:szCs w:val="24"/>
        </w:rPr>
        <w:t>Institutions submit Consolidated Reports of Condition and Income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deposit insurance and Financing Corporation assessments and national banks’ and federal savings associations’ semiannual assessment fees.</w:t>
      </w:r>
    </w:p>
    <w:p w:rsidRPr="00D43350" w:rsidR="003206CB" w:rsidP="003206CB" w:rsidRDefault="003206CB" w14:paraId="09B219DD" w14:textId="77777777">
      <w:pPr>
        <w:pStyle w:val="HTMLPreformatted"/>
        <w:rPr>
          <w:rFonts w:ascii="Times New Roman" w:hAnsi="Times New Roman" w:cs="Times New Roman"/>
          <w:sz w:val="24"/>
          <w:szCs w:val="24"/>
        </w:rPr>
      </w:pPr>
    </w:p>
    <w:p w:rsidRPr="00D43350" w:rsidR="00CA6AE6" w:rsidP="0098622E" w:rsidRDefault="00CA6AE6" w14:paraId="1096E9E9" w14:textId="77777777">
      <w:pPr>
        <w:pStyle w:val="HTMLPreformatted"/>
        <w:tabs>
          <w:tab w:val="left" w:pos="720"/>
        </w:tabs>
        <w:rPr>
          <w:rFonts w:ascii="Times New Roman" w:hAnsi="Times New Roman" w:cs="Times New Roman"/>
          <w:b/>
          <w:i/>
          <w:color w:val="000000"/>
          <w:sz w:val="24"/>
          <w:szCs w:val="24"/>
        </w:rPr>
      </w:pPr>
      <w:r w:rsidRPr="00D43350">
        <w:rPr>
          <w:rFonts w:ascii="Times New Roman" w:hAnsi="Times New Roman" w:cs="Times New Roman"/>
          <w:b/>
          <w:i/>
          <w:color w:val="000000"/>
          <w:sz w:val="24"/>
          <w:szCs w:val="24"/>
        </w:rPr>
        <w:t>3.</w:t>
      </w:r>
      <w:r w:rsidRPr="00D43350" w:rsidR="00AB120E">
        <w:rPr>
          <w:rFonts w:ascii="Times New Roman" w:hAnsi="Times New Roman" w:cs="Times New Roman"/>
          <w:b/>
          <w:i/>
          <w:color w:val="000000"/>
          <w:sz w:val="24"/>
          <w:szCs w:val="24"/>
        </w:rPr>
        <w:t xml:space="preserve">    </w:t>
      </w:r>
      <w:r w:rsidR="00F31B88">
        <w:rPr>
          <w:rFonts w:ascii="Times New Roman" w:hAnsi="Times New Roman" w:cs="Times New Roman"/>
          <w:b/>
          <w:i/>
          <w:color w:val="000000"/>
          <w:sz w:val="24"/>
          <w:szCs w:val="24"/>
        </w:rPr>
        <w:t xml:space="preserve">     </w:t>
      </w:r>
      <w:r w:rsidRPr="00D43350">
        <w:rPr>
          <w:rFonts w:ascii="Times New Roman" w:hAnsi="Times New Roman" w:cs="Times New Roman"/>
          <w:b/>
          <w:i/>
          <w:color w:val="000000"/>
          <w:sz w:val="24"/>
          <w:szCs w:val="24"/>
        </w:rPr>
        <w:t>Use of Technology to Reduce Burden</w:t>
      </w:r>
      <w:r w:rsidRPr="00D43350" w:rsidR="004B0AB0">
        <w:rPr>
          <w:rFonts w:ascii="Times New Roman" w:hAnsi="Times New Roman" w:cs="Times New Roman"/>
          <w:b/>
          <w:i/>
          <w:color w:val="000000"/>
          <w:sz w:val="24"/>
          <w:szCs w:val="24"/>
        </w:rPr>
        <w:t>:</w:t>
      </w:r>
    </w:p>
    <w:p w:rsidRPr="00D43350" w:rsidR="00CA6AE6" w:rsidP="00AE34E0" w:rsidRDefault="00CA6AE6" w14:paraId="08985315" w14:textId="77777777">
      <w:pPr>
        <w:rPr>
          <w:color w:val="000000"/>
        </w:rPr>
      </w:pPr>
    </w:p>
    <w:p w:rsidRPr="00D43350" w:rsidR="00CA6AE6" w:rsidP="00AE34E0" w:rsidRDefault="00CA6AE6" w14:paraId="56B81263" w14:textId="77777777">
      <w:pPr>
        <w:widowControl w:val="0"/>
        <w:ind w:firstLine="720"/>
      </w:pPr>
      <w:r w:rsidRPr="00D43350">
        <w:t>All banks and savings associations are subject to an electronic fili</w:t>
      </w:r>
      <w:r w:rsidRPr="00D43350" w:rsidR="00784C0B">
        <w:t>ng requirement for Call Reports</w:t>
      </w:r>
      <w:r w:rsidRPr="00D43350">
        <w:t>.  Institutions may use information technology to the extent feasible to maintain required records</w:t>
      </w:r>
      <w:r w:rsidR="00F81D60">
        <w:t xml:space="preserve"> and prepare their Call Reports</w:t>
      </w:r>
      <w:r w:rsidRPr="00D43350">
        <w:t>.</w:t>
      </w:r>
    </w:p>
    <w:p w:rsidRPr="00D43350" w:rsidR="00CA6AE6" w:rsidP="00AE34E0" w:rsidRDefault="00CA6AE6" w14:paraId="6EA63DEC" w14:textId="77777777">
      <w:pPr>
        <w:ind w:left="1296"/>
        <w:rPr>
          <w:color w:val="000000"/>
        </w:rPr>
      </w:pPr>
    </w:p>
    <w:p w:rsidRPr="00D43350" w:rsidR="00CA6AE6" w:rsidP="00F6208E" w:rsidRDefault="00F6208E" w14:paraId="7AA27E64" w14:textId="77777777">
      <w:pPr>
        <w:tabs>
          <w:tab w:val="left" w:pos="432"/>
          <w:tab w:val="left" w:pos="1728"/>
          <w:tab w:val="left" w:pos="4176"/>
        </w:tabs>
        <w:rPr>
          <w:color w:val="000000"/>
        </w:rPr>
      </w:pPr>
      <w:r w:rsidRPr="00D43350">
        <w:rPr>
          <w:b/>
          <w:i/>
          <w:color w:val="000000"/>
        </w:rPr>
        <w:t xml:space="preserve">4.    </w:t>
      </w:r>
      <w:r w:rsidR="00F31B88">
        <w:rPr>
          <w:b/>
          <w:i/>
          <w:color w:val="000000"/>
        </w:rPr>
        <w:t xml:space="preserve">     </w:t>
      </w:r>
      <w:r w:rsidRPr="00D43350" w:rsidR="00CA6AE6">
        <w:rPr>
          <w:b/>
          <w:i/>
          <w:color w:val="000000"/>
        </w:rPr>
        <w:t>Efforts to Identify Duplication</w:t>
      </w:r>
      <w:r w:rsidRPr="00D43350">
        <w:rPr>
          <w:color w:val="000000"/>
        </w:rPr>
        <w:t>:</w:t>
      </w:r>
      <w:r w:rsidRPr="00D43350" w:rsidR="00CA6AE6">
        <w:rPr>
          <w:color w:val="000000"/>
        </w:rPr>
        <w:t xml:space="preserve"> </w:t>
      </w:r>
    </w:p>
    <w:p w:rsidRPr="00D43350" w:rsidR="00CA6AE6" w:rsidP="00AE34E0" w:rsidRDefault="00CA6AE6" w14:paraId="46D7C5AD" w14:textId="77777777">
      <w:pPr>
        <w:ind w:left="432"/>
        <w:rPr>
          <w:color w:val="000000"/>
        </w:rPr>
      </w:pPr>
    </w:p>
    <w:p w:rsidRPr="00554A3D" w:rsidR="00296D4F" w:rsidP="00296D4F" w:rsidRDefault="00296D4F" w14:paraId="5EC767B8" w14:textId="77777777">
      <w:pPr>
        <w:pStyle w:val="BodyTextIndent3"/>
        <w:ind w:left="0"/>
        <w:rPr>
          <w:sz w:val="24"/>
          <w:szCs w:val="24"/>
        </w:rPr>
      </w:pPr>
      <w:r>
        <w:rPr>
          <w:sz w:val="24"/>
          <w:szCs w:val="24"/>
        </w:rPr>
        <w:t xml:space="preserve">            </w:t>
      </w:r>
      <w:r w:rsidRPr="00554A3D">
        <w:rPr>
          <w:sz w:val="24"/>
          <w:szCs w:val="24"/>
        </w:rPr>
        <w:t xml:space="preserve">There is no other series of reporting forms that collect this information from all commercial and savings banks.  Although there are other information collections that are similar </w:t>
      </w:r>
      <w:r w:rsidRPr="00554A3D">
        <w:rPr>
          <w:sz w:val="24"/>
          <w:szCs w:val="24"/>
        </w:rPr>
        <w:lastRenderedPageBreak/>
        <w:t xml:space="preserve">to certain items on the Call Reports, the information they collect would be of limited value as a replacement for the Call Reports.  </w:t>
      </w:r>
    </w:p>
    <w:p w:rsidRPr="00D43350" w:rsidR="00CA6AE6" w:rsidP="00AE34E0" w:rsidRDefault="00CA6AE6" w14:paraId="22E2F0F0" w14:textId="77777777">
      <w:pPr>
        <w:rPr>
          <w:color w:val="000000"/>
        </w:rPr>
      </w:pPr>
    </w:p>
    <w:p w:rsidRPr="00D43350" w:rsidR="00CA6AE6" w:rsidP="00AE34E0" w:rsidRDefault="00F31B88" w14:paraId="7741DAA9" w14:textId="77777777">
      <w:pPr>
        <w:keepNext/>
        <w:numPr>
          <w:ilvl w:val="0"/>
          <w:numId w:val="1"/>
        </w:numPr>
        <w:tabs>
          <w:tab w:val="left" w:pos="432"/>
          <w:tab w:val="left" w:pos="1728"/>
          <w:tab w:val="left" w:pos="4176"/>
        </w:tabs>
        <w:ind w:left="432" w:hanging="432"/>
        <w:rPr>
          <w:b/>
          <w:i/>
          <w:color w:val="000000"/>
        </w:rPr>
      </w:pPr>
      <w:r>
        <w:rPr>
          <w:b/>
          <w:i/>
          <w:color w:val="000000"/>
        </w:rPr>
        <w:t xml:space="preserve">     </w:t>
      </w:r>
      <w:r w:rsidRPr="00D43350" w:rsidR="00CA6AE6">
        <w:rPr>
          <w:b/>
          <w:i/>
          <w:color w:val="000000"/>
        </w:rPr>
        <w:t>Minimizing the Burden on Small Entities</w:t>
      </w:r>
      <w:r w:rsidRPr="00D43350" w:rsidR="00F6208E">
        <w:rPr>
          <w:b/>
          <w:i/>
          <w:color w:val="000000"/>
        </w:rPr>
        <w:t>:</w:t>
      </w:r>
    </w:p>
    <w:p w:rsidRPr="00D43350" w:rsidR="00CA6AE6" w:rsidP="00AE34E0" w:rsidRDefault="00CA6AE6" w14:paraId="346E7D6E" w14:textId="77777777">
      <w:pPr>
        <w:keepNext/>
        <w:ind w:left="1282"/>
        <w:rPr>
          <w:color w:val="000000"/>
        </w:rPr>
      </w:pPr>
    </w:p>
    <w:p w:rsidRPr="00D43350" w:rsidR="00C0119C" w:rsidP="00AE34E0" w:rsidRDefault="00456357" w14:paraId="0DCEBE81" w14:textId="77777777">
      <w:pPr>
        <w:pStyle w:val="BodyText"/>
        <w:ind w:right="-480" w:firstLine="720"/>
      </w:pPr>
      <w:r w:rsidRPr="00D43350">
        <w:t xml:space="preserve">The agencies attempt to limit the information collected to </w:t>
      </w:r>
      <w:r w:rsidRPr="00D43350" w:rsidR="00C0119C">
        <w:t xml:space="preserve">the minimum information needed to evaluate the condition of an institution, regardless of size. </w:t>
      </w:r>
    </w:p>
    <w:p w:rsidRPr="00D43350" w:rsidR="004324DE" w:rsidP="00AE34E0" w:rsidRDefault="004324DE" w14:paraId="4F6F10A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rPr>
      </w:pPr>
    </w:p>
    <w:p w:rsidRPr="00D43350" w:rsidR="00CA6AE6" w:rsidP="00AE34E0" w:rsidRDefault="00CA6AE6" w14:paraId="72DF0D4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i/>
          <w:color w:val="000000"/>
        </w:rPr>
      </w:pPr>
      <w:r w:rsidRPr="00D43350">
        <w:rPr>
          <w:b/>
          <w:i/>
          <w:color w:val="000000"/>
        </w:rPr>
        <w:t xml:space="preserve">6.  </w:t>
      </w:r>
      <w:r w:rsidRPr="00D43350">
        <w:rPr>
          <w:b/>
          <w:i/>
          <w:color w:val="000000"/>
        </w:rPr>
        <w:tab/>
      </w:r>
      <w:r w:rsidR="00F31B88">
        <w:rPr>
          <w:b/>
          <w:i/>
          <w:color w:val="000000"/>
        </w:rPr>
        <w:t xml:space="preserve">    </w:t>
      </w:r>
      <w:r w:rsidRPr="00D43350">
        <w:rPr>
          <w:b/>
          <w:i/>
          <w:color w:val="000000"/>
        </w:rPr>
        <w:t>Consequences of Less Frequent Collection</w:t>
      </w:r>
      <w:r w:rsidRPr="00D43350" w:rsidR="004366C5">
        <w:rPr>
          <w:b/>
          <w:i/>
          <w:color w:val="000000"/>
        </w:rPr>
        <w:t>:</w:t>
      </w:r>
    </w:p>
    <w:p w:rsidRPr="00554A3D" w:rsidR="00CA6AE6" w:rsidP="00AE34E0" w:rsidRDefault="00CA6AE6" w14:paraId="720CDCCA" w14:textId="77777777">
      <w:pPr>
        <w:widowControl w:val="0"/>
        <w:ind w:left="1282" w:hanging="850"/>
      </w:pPr>
    </w:p>
    <w:p w:rsidRPr="00554A3D" w:rsidR="009872D2" w:rsidP="002A25A0" w:rsidRDefault="00D16310" w14:paraId="727F3195" w14:textId="77777777">
      <w:pPr>
        <w:pStyle w:val="BodyText"/>
        <w:ind w:right="-480" w:firstLine="720"/>
      </w:pPr>
      <w:r w:rsidRPr="00554A3D">
        <w:t>The Federal financial regulatory agencies must have condition and income data at least quarterly to properly monitor individual bank and industry trends</w:t>
      </w:r>
      <w:r w:rsidRPr="00554A3D" w:rsidR="00456357">
        <w:t xml:space="preserve"> and to comply with </w:t>
      </w:r>
      <w:r w:rsidRPr="00554A3D" w:rsidR="005D738A">
        <w:t xml:space="preserve">a </w:t>
      </w:r>
      <w:r w:rsidRPr="00554A3D" w:rsidR="00456357">
        <w:t xml:space="preserve">statutory requirement to obtain </w:t>
      </w:r>
      <w:r w:rsidRPr="00554A3D" w:rsidR="005D738A">
        <w:t>four reports of condition per year. 12 U.S.C. § 1817(a)(3)</w:t>
      </w:r>
      <w:r w:rsidRPr="00554A3D">
        <w:t xml:space="preserve">.  Less frequent collection of this information would impair the agencies' ability to monitor financial institutions and could delay regulatory response. </w:t>
      </w:r>
    </w:p>
    <w:p w:rsidRPr="00554A3D" w:rsidR="004324DE" w:rsidP="002A25A0" w:rsidRDefault="004324DE" w14:paraId="149E193E" w14:textId="77777777">
      <w:pPr>
        <w:tabs>
          <w:tab w:val="left" w:pos="432"/>
          <w:tab w:val="left" w:pos="1296"/>
          <w:tab w:val="left" w:pos="1728"/>
          <w:tab w:val="left" w:pos="4176"/>
        </w:tabs>
        <w:ind w:left="432" w:hanging="432"/>
        <w:rPr>
          <w:color w:val="000000"/>
        </w:rPr>
      </w:pPr>
    </w:p>
    <w:p w:rsidRPr="00D43350" w:rsidR="00D43350" w:rsidP="00D43350" w:rsidRDefault="00D43350" w14:paraId="103B1999" w14:textId="77777777">
      <w:pPr>
        <w:pStyle w:val="BodyText"/>
        <w:rPr>
          <w:b/>
          <w:bCs/>
        </w:rPr>
      </w:pPr>
      <w:r w:rsidRPr="00D43350">
        <w:rPr>
          <w:b/>
          <w:i/>
          <w:iCs/>
        </w:rPr>
        <w:t xml:space="preserve">7.  </w:t>
      </w:r>
      <w:r w:rsidR="00F31B88">
        <w:rPr>
          <w:b/>
          <w:i/>
          <w:iCs/>
        </w:rPr>
        <w:t xml:space="preserve">      </w:t>
      </w:r>
      <w:r w:rsidRPr="00D43350">
        <w:rPr>
          <w:b/>
          <w:i/>
          <w:iCs/>
        </w:rPr>
        <w:t>Special circumstances necessitating collection inconsistent with 5 CFR part 1320:</w:t>
      </w:r>
    </w:p>
    <w:p w:rsidRPr="00554A3D" w:rsidR="00CA6AE6" w:rsidP="002A25A0" w:rsidRDefault="00CA6AE6" w14:paraId="4651AD4B" w14:textId="77777777">
      <w:pPr>
        <w:rPr>
          <w:color w:val="000000"/>
        </w:rPr>
      </w:pPr>
    </w:p>
    <w:p w:rsidRPr="00554A3D" w:rsidR="00CA6AE6" w:rsidP="002A25A0" w:rsidRDefault="00D43350" w14:paraId="4671DE41" w14:textId="77777777">
      <w:pPr>
        <w:ind w:firstLine="720"/>
        <w:rPr>
          <w:color w:val="000000"/>
        </w:rPr>
      </w:pPr>
      <w:r>
        <w:rPr>
          <w:color w:val="000000"/>
        </w:rPr>
        <w:t>Not applicable.</w:t>
      </w:r>
    </w:p>
    <w:p w:rsidRPr="00554A3D" w:rsidR="00CA6AE6" w:rsidP="002A25A0" w:rsidRDefault="00CA6AE6" w14:paraId="19682C72" w14:textId="77777777">
      <w:pPr>
        <w:rPr>
          <w:color w:val="000000"/>
        </w:rPr>
      </w:pPr>
    </w:p>
    <w:p w:rsidR="00CA6AE6" w:rsidP="002A25A0" w:rsidRDefault="00CA6AE6" w14:paraId="4C7DDA2B" w14:textId="211C931E">
      <w:pPr>
        <w:tabs>
          <w:tab w:val="left" w:pos="432"/>
          <w:tab w:val="left" w:pos="1296"/>
          <w:tab w:val="left" w:pos="1728"/>
          <w:tab w:val="left" w:pos="4176"/>
        </w:tabs>
        <w:ind w:left="432" w:hanging="432"/>
        <w:rPr>
          <w:b/>
          <w:i/>
          <w:color w:val="000000"/>
        </w:rPr>
      </w:pPr>
      <w:r w:rsidRPr="00D43350">
        <w:rPr>
          <w:b/>
          <w:i/>
          <w:color w:val="000000"/>
        </w:rPr>
        <w:t>8.</w:t>
      </w:r>
      <w:r w:rsidRPr="00D43350">
        <w:rPr>
          <w:b/>
          <w:i/>
          <w:color w:val="000000"/>
        </w:rPr>
        <w:tab/>
      </w:r>
      <w:r w:rsidR="00F31B88">
        <w:rPr>
          <w:b/>
          <w:i/>
          <w:color w:val="000000"/>
        </w:rPr>
        <w:t xml:space="preserve">     </w:t>
      </w:r>
      <w:r w:rsidRPr="00D43350">
        <w:rPr>
          <w:b/>
          <w:i/>
          <w:color w:val="000000"/>
        </w:rPr>
        <w:t>Consultation with Persons Outside the OCC</w:t>
      </w:r>
      <w:r w:rsidR="00D43350">
        <w:rPr>
          <w:b/>
          <w:i/>
          <w:color w:val="000000"/>
        </w:rPr>
        <w:t>:</w:t>
      </w:r>
    </w:p>
    <w:p w:rsidR="00FB66B3" w:rsidP="002A25A0" w:rsidRDefault="00FB66B3" w14:paraId="6044AF7A" w14:textId="460CC365">
      <w:pPr>
        <w:tabs>
          <w:tab w:val="left" w:pos="432"/>
          <w:tab w:val="left" w:pos="1296"/>
          <w:tab w:val="left" w:pos="1728"/>
          <w:tab w:val="left" w:pos="4176"/>
        </w:tabs>
        <w:ind w:left="432" w:hanging="432"/>
        <w:rPr>
          <w:b/>
          <w:i/>
          <w:color w:val="000000"/>
        </w:rPr>
      </w:pPr>
    </w:p>
    <w:p w:rsidRPr="00FB66B3" w:rsidR="00FB66B3" w:rsidP="002A25A0" w:rsidRDefault="00FB66B3" w14:paraId="72B0DEFE" w14:textId="1A0D8D90">
      <w:pPr>
        <w:tabs>
          <w:tab w:val="left" w:pos="432"/>
          <w:tab w:val="left" w:pos="1296"/>
          <w:tab w:val="left" w:pos="1728"/>
          <w:tab w:val="left" w:pos="4176"/>
        </w:tabs>
        <w:ind w:left="432" w:hanging="432"/>
        <w:rPr>
          <w:b/>
          <w:iCs/>
          <w:color w:val="000000"/>
          <w:u w:val="single"/>
        </w:rPr>
      </w:pPr>
      <w:r>
        <w:rPr>
          <w:b/>
          <w:iCs/>
          <w:color w:val="000000"/>
          <w:u w:val="single"/>
        </w:rPr>
        <w:t>60-Day FRN</w:t>
      </w:r>
    </w:p>
    <w:p w:rsidR="00F11281" w:rsidP="002A25A0" w:rsidRDefault="00F11281" w14:paraId="13278BC6" w14:textId="77777777">
      <w:pPr>
        <w:pStyle w:val="ListParagraph"/>
        <w:ind w:left="0" w:firstLine="720"/>
      </w:pPr>
    </w:p>
    <w:p w:rsidR="00F77858" w:rsidP="00F77858" w:rsidRDefault="004928D3" w14:paraId="6F29F0D6" w14:textId="5F539D4C">
      <w:r>
        <w:tab/>
      </w:r>
      <w:r w:rsidR="00990145">
        <w:t>The agencies issued a Federal Register notice on July 22, 2020 and requested comment for 60 days. See 85 FR 44361. The agencies received two comments. One commenter (a government agency) requested that the agencies continue to collect the Call Report. The other commenter, a bank trade association, requested certain clarifications regarding the revisions to deposit data items:</w:t>
      </w:r>
    </w:p>
    <w:p w:rsidR="00303267" w:rsidP="00F77858" w:rsidRDefault="00303267" w14:paraId="3372857D" w14:textId="77777777"/>
    <w:p w:rsidR="00990145" w:rsidP="00BA5E92" w:rsidRDefault="00990145" w14:paraId="5EB0F03F" w14:textId="464612A0">
      <w:pPr>
        <w:ind w:firstLine="720"/>
        <w:rPr>
          <w:rFonts w:eastAsia="Calibri"/>
        </w:rPr>
      </w:pPr>
      <w:r w:rsidRPr="00990145">
        <w:rPr>
          <w:rFonts w:eastAsia="Calibri"/>
        </w:rPr>
        <w:t>The commenter suggested aligning the changes to the Call Report with the Board’s proposed changes to the FR 2900, Report of Transaction Accounts, Other Deposits and Vault Cash.</w:t>
      </w:r>
      <w:r w:rsidRPr="00990145">
        <w:rPr>
          <w:rFonts w:eastAsia="Calibri"/>
          <w:vertAlign w:val="superscript"/>
        </w:rPr>
        <w:footnoteReference w:id="16"/>
      </w:r>
      <w:r w:rsidRPr="00990145">
        <w:rPr>
          <w:rFonts w:eastAsia="Calibri"/>
        </w:rPr>
        <w:t xml:space="preserve">  The commenter noted that the proposed changes to the FR 2900 would consolidate the reporting of ATS accounts, NOW accounts/share drafts, and telephone and preauthorized transfer accounts together with total savings deposits (including MMDAs) in a new data item, “Other liquid deposits.”  In addition, for data items collected annually on the FR 2900 for the June 30 report date, the report has been streamlined to collect only the data items needed for the reserve requirement exemption amount and low reserve tranche that combines demand deposits, NOW accounts, ATS accounts, telephone and preauthorized transfer accounts together with savings deposits in a new data item, “New Transaction Accounts.”  In contrast, the Call Report will continue to require institutions to report transaction and </w:t>
      </w:r>
      <w:proofErr w:type="spellStart"/>
      <w:r w:rsidRPr="00990145">
        <w:rPr>
          <w:rFonts w:eastAsia="Calibri"/>
        </w:rPr>
        <w:t>nontransaction</w:t>
      </w:r>
      <w:proofErr w:type="spellEnd"/>
      <w:r w:rsidRPr="00990145">
        <w:rPr>
          <w:rFonts w:eastAsia="Calibri"/>
        </w:rPr>
        <w:t xml:space="preserve"> accounts separately in Schedule RC-E.  The commenter also expressed concerns with the difference in the reporting of sweep arrangements on the Call Report, which requires an institution to report transaction </w:t>
      </w:r>
      <w:r w:rsidRPr="00990145">
        <w:rPr>
          <w:rFonts w:eastAsia="Calibri"/>
        </w:rPr>
        <w:lastRenderedPageBreak/>
        <w:t xml:space="preserve">accounts and </w:t>
      </w:r>
      <w:proofErr w:type="spellStart"/>
      <w:r w:rsidRPr="00990145">
        <w:rPr>
          <w:rFonts w:eastAsia="Calibri"/>
        </w:rPr>
        <w:t>nontransaction</w:t>
      </w:r>
      <w:proofErr w:type="spellEnd"/>
      <w:r w:rsidRPr="00990145">
        <w:rPr>
          <w:rFonts w:eastAsia="Calibri"/>
        </w:rPr>
        <w:t xml:space="preserve"> accounts (usually a savings deposit account) separately but sweep arrangements would be reported as transaction accounts on the FR 2900.  The commenter believes that these differences between the Call Report and the FR 2900 would create additional challenges by requiring separate internal processes for reporting similar data. </w:t>
      </w:r>
    </w:p>
    <w:p w:rsidRPr="00990145" w:rsidR="004928D3" w:rsidP="00BA5E92" w:rsidRDefault="004928D3" w14:paraId="094553ED" w14:textId="77777777">
      <w:pPr>
        <w:ind w:firstLine="720"/>
        <w:rPr>
          <w:rFonts w:eastAsia="Calibri"/>
        </w:rPr>
      </w:pPr>
    </w:p>
    <w:p w:rsidR="00990145" w:rsidP="00BA5E92" w:rsidRDefault="00990145" w14:paraId="44FD8D3C" w14:textId="4B77E0DB">
      <w:pPr>
        <w:rPr>
          <w:rFonts w:eastAsia="Calibri"/>
        </w:rPr>
      </w:pPr>
      <w:r w:rsidRPr="00990145">
        <w:rPr>
          <w:rFonts w:eastAsia="Calibri"/>
        </w:rPr>
        <w:tab/>
        <w:t>The agencies note that the FR 2900 and Call Report serve two separate purposes. The primary purpose of the FR 2900 report is to collect data for the construction of the monetary aggregates.  Although the Call Report can aid in the construction of the monetary aggregates by utilizing deposit data collected on a quarterly basis, its primary purpose is to serve as the principal source of financial of data used for the supervision and regulation of individual banks and savings associations and for monitoring the condition and performance of the banking industry.  As such, the Call Report requires data to be reported on a more granular level than the FR 2900 report requires.  Furthermore, section 7(a)(5) of the Federal Deposit Insurance Act (12 U.S.C. 1817(a)(5)) requires time and savings deposits to be reported separately from demand deposits in Call Reports.  Therefore, the agencies believe that even though Call Report Schedule RC</w:t>
      </w:r>
      <w:r w:rsidRPr="00990145">
        <w:rPr>
          <w:rFonts w:eastAsia="Calibri"/>
        </w:rPr>
        <w:noBreakHyphen/>
        <w:t xml:space="preserve">E will maintain the requirement to report transaction and </w:t>
      </w:r>
      <w:proofErr w:type="spellStart"/>
      <w:r w:rsidRPr="00990145">
        <w:rPr>
          <w:rFonts w:eastAsia="Calibri"/>
        </w:rPr>
        <w:t>nontransaction</w:t>
      </w:r>
      <w:proofErr w:type="spellEnd"/>
      <w:r w:rsidRPr="00990145">
        <w:rPr>
          <w:rFonts w:eastAsia="Calibri"/>
        </w:rPr>
        <w:t xml:space="preserve"> accounts separately along with the demand deposit component of total transaction accounts and the components of total </w:t>
      </w:r>
      <w:proofErr w:type="spellStart"/>
      <w:r w:rsidRPr="00990145">
        <w:rPr>
          <w:rFonts w:eastAsia="Calibri"/>
        </w:rPr>
        <w:t>nontransaction</w:t>
      </w:r>
      <w:proofErr w:type="spellEnd"/>
      <w:r w:rsidRPr="00990145">
        <w:rPr>
          <w:rFonts w:eastAsia="Calibri"/>
        </w:rPr>
        <w:t xml:space="preserve"> accounts,</w:t>
      </w:r>
      <w:r w:rsidRPr="00990145">
        <w:rPr>
          <w:sz w:val="16"/>
          <w:szCs w:val="16"/>
        </w:rPr>
        <w:t xml:space="preserve"> </w:t>
      </w:r>
      <w:r w:rsidRPr="00990145">
        <w:rPr>
          <w:rFonts w:eastAsia="Calibri"/>
        </w:rPr>
        <w:t xml:space="preserve">institutions are familiar with the existing structure of Schedule RC-E and have systems and procedures in place for completing the schedule.  Accordingly, the agencies do not anticipate that there would be a change in Call Report burden resulting from the retention of these deposit items in Schedule RC-E.  </w:t>
      </w:r>
    </w:p>
    <w:p w:rsidRPr="00990145" w:rsidR="00303267" w:rsidP="00BA5E92" w:rsidRDefault="00303267" w14:paraId="50FA003C" w14:textId="77777777">
      <w:pPr>
        <w:rPr>
          <w:rFonts w:eastAsia="Calibri"/>
        </w:rPr>
      </w:pPr>
    </w:p>
    <w:p w:rsidR="00990145" w:rsidP="00BA5E92" w:rsidRDefault="00990145" w14:paraId="4E20034C" w14:textId="21E7CD00">
      <w:pPr>
        <w:tabs>
          <w:tab w:val="left" w:pos="1080"/>
        </w:tabs>
        <w:ind w:firstLine="720"/>
        <w:rPr>
          <w:rFonts w:eastAsia="Calibri"/>
        </w:rPr>
      </w:pPr>
      <w:r w:rsidRPr="00990145">
        <w:rPr>
          <w:rFonts w:eastAsia="Calibri"/>
        </w:rPr>
        <w:t xml:space="preserve">Secondly, the commenter recommended that a depositor’s eligibility to hold a NOW account should not be included in the criteria assessment to determine the reporting treatment for savings deposits for which the numeric limits on transfers and withdrawals have been removed.  The commenter noted that “if a firm does not offer NOW accounts, they would be required to report savings deposits as NOW accounts, ATS accounts, or telephone and preauthorized transfer accounts (and as transaction accounts) based on a depositor’s eligibility to hold such account” and “for firms that do not offer NOW accounts, the data necessary to determine a depositor’s eligibility for NOW accounts would not be readily available.”  In addition, the commenter also noted that this reporting treatment would be inconsistent with the Regulation D definition of savings deposits, as NOW account eligibility is not a component of the definition.  The commenter believes gathering the data necessary to distinguish these depositors from other savings account holders solely for regulatory reporting purposes would create business and systems challenges.  The agencies agree with the commenter that the depositor’s eligibility to hold a NOW account should not be included in the assessment criteria for classification as a “savings deposit” as such reporting would not be consistent with the Regulation D definition of savings deposits.  Therefore, the agencies will remove the depositor’s eligibility to hold a NOW account from the assessment criteria. </w:t>
      </w:r>
    </w:p>
    <w:p w:rsidRPr="00990145" w:rsidR="00303267" w:rsidP="00BA5E92" w:rsidRDefault="00303267" w14:paraId="54B02C40" w14:textId="77777777">
      <w:pPr>
        <w:tabs>
          <w:tab w:val="left" w:pos="1080"/>
        </w:tabs>
        <w:ind w:firstLine="720"/>
        <w:rPr>
          <w:rFonts w:eastAsia="Calibri"/>
        </w:rPr>
      </w:pPr>
    </w:p>
    <w:p w:rsidR="00990145" w:rsidP="00BA5E92" w:rsidRDefault="00990145" w14:paraId="3D2B65E8" w14:textId="059E7662">
      <w:pPr>
        <w:tabs>
          <w:tab w:val="left" w:pos="1080"/>
        </w:tabs>
        <w:ind w:firstLine="720"/>
        <w:rPr>
          <w:rFonts w:eastAsia="Calibri"/>
          <w:sz w:val="21"/>
          <w:szCs w:val="21"/>
        </w:rPr>
      </w:pPr>
      <w:r w:rsidRPr="00990145">
        <w:rPr>
          <w:rFonts w:eastAsia="Calibri"/>
        </w:rPr>
        <w:t xml:space="preserve">Thirdly, the commenter requested clarification on how institutions should report the components of retail sweep arrangements in the Call Report. Specifically, the commenter asked whether institutions should continue to report the </w:t>
      </w:r>
      <w:proofErr w:type="spellStart"/>
      <w:r w:rsidRPr="00990145">
        <w:rPr>
          <w:rFonts w:eastAsia="Calibri"/>
        </w:rPr>
        <w:t>nontransaction</w:t>
      </w:r>
      <w:proofErr w:type="spellEnd"/>
      <w:r w:rsidRPr="00990145">
        <w:rPr>
          <w:rFonts w:eastAsia="Calibri"/>
        </w:rPr>
        <w:t xml:space="preserve"> components of, or savings deposits in, retail sweep arrangements as </w:t>
      </w:r>
      <w:proofErr w:type="spellStart"/>
      <w:r w:rsidRPr="00990145">
        <w:rPr>
          <w:rFonts w:eastAsia="Calibri"/>
        </w:rPr>
        <w:t>nontransaction</w:t>
      </w:r>
      <w:proofErr w:type="spellEnd"/>
      <w:r w:rsidRPr="00990145">
        <w:rPr>
          <w:rFonts w:eastAsia="Calibri"/>
        </w:rPr>
        <w:t xml:space="preserve"> accounts?  If not, should institutions strictly follow the proposed assessment criteria for the treatment of accounts where the transfer limit has been removed?  Institutions that offer retail sweep programs should continue to report </w:t>
      </w:r>
      <w:r w:rsidRPr="00990145">
        <w:rPr>
          <w:rFonts w:eastAsia="Calibri"/>
        </w:rPr>
        <w:lastRenderedPageBreak/>
        <w:t xml:space="preserve">the </w:t>
      </w:r>
      <w:proofErr w:type="spellStart"/>
      <w:r w:rsidRPr="00990145">
        <w:rPr>
          <w:rFonts w:eastAsia="Calibri"/>
        </w:rPr>
        <w:t>nontransaction</w:t>
      </w:r>
      <w:proofErr w:type="spellEnd"/>
      <w:r w:rsidRPr="00990145">
        <w:rPr>
          <w:rFonts w:eastAsia="Calibri"/>
        </w:rPr>
        <w:t xml:space="preserve"> components of, or savings deposits in, retail sweep arrangements as </w:t>
      </w:r>
      <w:proofErr w:type="spellStart"/>
      <w:r w:rsidRPr="00990145">
        <w:rPr>
          <w:rFonts w:eastAsia="Calibri"/>
        </w:rPr>
        <w:t>nontransaction</w:t>
      </w:r>
      <w:proofErr w:type="spellEnd"/>
      <w:r w:rsidRPr="00990145">
        <w:rPr>
          <w:rFonts w:eastAsia="Calibri"/>
        </w:rPr>
        <w:t xml:space="preserve"> accounts. The agencies note that when a depository institution establishes a retail sweep program with respect to transaction account customers, the depository institution must ensure that its customer account agreements provide for the existence of two distinct accounts (a transaction account and a savings deposit account) and that funds are actually transferred between these two accounts as described in the customer contract. There are two key criteria that must be met for valid retail sweep programs:  (1) a depository institution must establish by agreement with its transaction account customer two legally separate accounts:  a transaction account (a NOW or demand deposit account) and a </w:t>
      </w:r>
      <w:proofErr w:type="spellStart"/>
      <w:r w:rsidRPr="00990145">
        <w:rPr>
          <w:rFonts w:eastAsia="Calibri"/>
        </w:rPr>
        <w:t>nontransaction</w:t>
      </w:r>
      <w:proofErr w:type="spellEnd"/>
      <w:r w:rsidRPr="00990145">
        <w:rPr>
          <w:rFonts w:eastAsia="Calibri"/>
        </w:rPr>
        <w:t xml:space="preserve"> account (usually a savings deposit account, also sometimes called a “money market deposit”); and (2) the swept funds must actually be moved from the customer’s transaction account to the customer’s savings deposit account on the depository institution’s general ledger as of the close of business on the day(s) on which the depository institution intends to report the funds in question as savings deposits and not transaction accounts, and vice versa</w:t>
      </w:r>
      <w:r w:rsidRPr="00990145">
        <w:rPr>
          <w:rFonts w:eastAsia="Calibri"/>
          <w:sz w:val="21"/>
          <w:szCs w:val="21"/>
        </w:rPr>
        <w:t>.</w:t>
      </w:r>
    </w:p>
    <w:p w:rsidRPr="00990145" w:rsidR="00303267" w:rsidP="00BA5E92" w:rsidRDefault="00303267" w14:paraId="2B304CFE" w14:textId="77777777">
      <w:pPr>
        <w:tabs>
          <w:tab w:val="left" w:pos="1080"/>
        </w:tabs>
        <w:ind w:firstLine="720"/>
        <w:rPr>
          <w:rFonts w:eastAsia="Calibri"/>
        </w:rPr>
      </w:pPr>
    </w:p>
    <w:p w:rsidRPr="00990145" w:rsidR="00990145" w:rsidP="00BA5E92" w:rsidRDefault="00990145" w14:paraId="44F15351" w14:textId="77777777">
      <w:pPr>
        <w:tabs>
          <w:tab w:val="left" w:pos="1080"/>
        </w:tabs>
        <w:ind w:firstLine="720"/>
        <w:rPr>
          <w:rFonts w:eastAsia="Calibri"/>
          <w:sz w:val="22"/>
          <w:szCs w:val="22"/>
        </w:rPr>
      </w:pPr>
      <w:r w:rsidRPr="00990145">
        <w:rPr>
          <w:rFonts w:eastAsia="Calibri"/>
        </w:rPr>
        <w:t>Lastly, the commenter requested that the Board confirm that savings deposits or accounts described in 12 CFR 204.2(d)(2) would not be subject to Regulation CC (Availability of Funds and Collection of Checks, 12 CFR part 229) as a result of the recent amendments to Regulation D.  The Board confirms that those accounts that are defined as savings deposits or accounts described in 12 CFR 204.2(d)(2) would not be subject to Regulation CC regardless of their reporting treatment in the Call Report.</w:t>
      </w:r>
    </w:p>
    <w:p w:rsidR="00A9193F" w:rsidP="00AE34E0" w:rsidRDefault="00A9193F" w14:paraId="37092DA4" w14:textId="40130559">
      <w:pPr>
        <w:tabs>
          <w:tab w:val="left" w:pos="432"/>
          <w:tab w:val="left" w:pos="1296"/>
          <w:tab w:val="left" w:pos="1728"/>
          <w:tab w:val="left" w:pos="4176"/>
        </w:tabs>
        <w:ind w:left="1290"/>
      </w:pPr>
    </w:p>
    <w:p w:rsidR="00FB66B3" w:rsidP="00FB66B3" w:rsidRDefault="00FB66B3" w14:paraId="34C100F3" w14:textId="2149DF76">
      <w:pPr>
        <w:tabs>
          <w:tab w:val="left" w:pos="432"/>
          <w:tab w:val="left" w:pos="1296"/>
          <w:tab w:val="left" w:pos="1728"/>
          <w:tab w:val="left" w:pos="4176"/>
        </w:tabs>
        <w:ind w:left="1290" w:hanging="1290"/>
        <w:rPr>
          <w:b/>
          <w:bCs/>
          <w:u w:val="single"/>
        </w:rPr>
      </w:pPr>
      <w:r>
        <w:rPr>
          <w:b/>
          <w:bCs/>
          <w:u w:val="single"/>
        </w:rPr>
        <w:t>30-Day FRN</w:t>
      </w:r>
    </w:p>
    <w:p w:rsidR="00FB66B3" w:rsidP="00FB66B3" w:rsidRDefault="00FB66B3" w14:paraId="2A0E784D" w14:textId="0829F1ED">
      <w:pPr>
        <w:tabs>
          <w:tab w:val="left" w:pos="432"/>
          <w:tab w:val="left" w:pos="1296"/>
          <w:tab w:val="left" w:pos="1728"/>
          <w:tab w:val="left" w:pos="4176"/>
        </w:tabs>
        <w:ind w:left="1290" w:hanging="1290"/>
        <w:rPr>
          <w:b/>
          <w:bCs/>
          <w:u w:val="single"/>
        </w:rPr>
      </w:pPr>
    </w:p>
    <w:p w:rsidRPr="008652C7" w:rsidR="00026301" w:rsidP="00026301" w:rsidRDefault="00026301" w14:paraId="18497791" w14:textId="77777777">
      <w:r w:rsidRPr="008652C7">
        <w:t>On November 23, 2020, the agencies published a notice in the Federal Register (85 FR 74784) advising the public that the agencies were submitting for approval by OMB, the revision and extension of the Consolidated Reports of Condition and Income (Call Reports) (FFIEC 031, FFIEC 041, and FFIEC 051) and request</w:t>
      </w:r>
      <w:r w:rsidRPr="002B7F9F">
        <w:t>ing</w:t>
      </w:r>
      <w:r w:rsidRPr="008652C7">
        <w:t xml:space="preserve"> public comment for an additional 30 days.  One additional comment letter was received from a trade association.</w:t>
      </w:r>
    </w:p>
    <w:p w:rsidRPr="008652C7" w:rsidR="00026301" w:rsidP="00026301" w:rsidRDefault="00026301" w14:paraId="557CBCEE" w14:textId="77777777"/>
    <w:p w:rsidRPr="008652C7" w:rsidR="00026301" w:rsidP="00026301" w:rsidRDefault="00026301" w14:paraId="2D68ECB3" w14:textId="77777777">
      <w:r w:rsidRPr="008652C7">
        <w:t>The commenter pointed out the existence of certain differences in the definition for “deposits” between Regulation D and the Call Report (e.g., primary obligations, which are not reported as deposits on the Call Reports</w:t>
      </w:r>
      <w:r w:rsidRPr="002B7F9F">
        <w:t>)</w:t>
      </w:r>
      <w:r w:rsidRPr="008652C7">
        <w:t xml:space="preserve"> that are known and understood by reporting </w:t>
      </w:r>
      <w:r w:rsidRPr="002B7F9F">
        <w:t>institutions.</w:t>
      </w:r>
      <w:r w:rsidRPr="008652C7">
        <w:t xml:space="preserve"> However, prior to the Regulation D </w:t>
      </w:r>
      <w:r>
        <w:t>interim final rule (IFR)</w:t>
      </w:r>
      <w:r w:rsidRPr="008652C7">
        <w:t>, both Regulation D and the Call Report treated “savings deposits” as “</w:t>
      </w:r>
      <w:proofErr w:type="spellStart"/>
      <w:r w:rsidRPr="008652C7">
        <w:t>nontransaction</w:t>
      </w:r>
      <w:proofErr w:type="spellEnd"/>
      <w:r w:rsidRPr="008652C7">
        <w:t xml:space="preserve"> accounts.” As a result of these revisions to Regulation D and the Call Report instructions, </w:t>
      </w:r>
      <w:r w:rsidRPr="00964316">
        <w:t>the commenter stated that</w:t>
      </w:r>
      <w:r>
        <w:t xml:space="preserve"> </w:t>
      </w:r>
      <w:r w:rsidRPr="008652C7">
        <w:t xml:space="preserve">“savings deposits” are now classified explicitly as </w:t>
      </w:r>
      <w:proofErr w:type="spellStart"/>
      <w:r w:rsidRPr="008652C7">
        <w:t>nontransaction</w:t>
      </w:r>
      <w:proofErr w:type="spellEnd"/>
      <w:r w:rsidRPr="008652C7">
        <w:t xml:space="preserve"> accounts on the Call Report, while Regulation D would consider such “savings deposits” as transaction accounts.  The commenter requested confirmation that there is a divergence in the instructions to the Call Report from the Regulation D definition of “transaction account” </w:t>
      </w:r>
      <w:r w:rsidRPr="00964316">
        <w:t>and, if</w:t>
      </w:r>
      <w:r w:rsidRPr="008652C7">
        <w:t xml:space="preserve"> there is such a divergence in definitions, the commenter </w:t>
      </w:r>
      <w:r w:rsidRPr="00964316">
        <w:t>recommended t</w:t>
      </w:r>
      <w:r w:rsidRPr="008652C7">
        <w:t>hat the final instructions to the Call Reports be updated to reflect the same.</w:t>
      </w:r>
    </w:p>
    <w:p w:rsidRPr="008652C7" w:rsidR="00026301" w:rsidP="00026301" w:rsidRDefault="00026301" w14:paraId="2D4D5AA2" w14:textId="77777777"/>
    <w:p w:rsidR="00026301" w:rsidP="00026301" w:rsidRDefault="00026301" w14:paraId="0B9AB6E5" w14:textId="77777777">
      <w:r w:rsidRPr="008652C7">
        <w:t>The agencies confirm that the noted divergence in the definition of “deposits” for Call Report purposes is intentional</w:t>
      </w:r>
      <w:r>
        <w:t>, as the Call Report instructions must incorporate definitions from both Regulation D and the Federal Deposit Insurance Act</w:t>
      </w:r>
      <w:r w:rsidRPr="008652C7">
        <w:t xml:space="preserve">.  The agencies have noted the commenter’s concerns and will consider </w:t>
      </w:r>
      <w:r>
        <w:t>clarifications to</w:t>
      </w:r>
      <w:r w:rsidRPr="008652C7">
        <w:t xml:space="preserve"> the instructions for </w:t>
      </w:r>
      <w:r>
        <w:t>the Call Reports</w:t>
      </w:r>
      <w:commentRangeStart w:id="1"/>
      <w:commentRangeEnd w:id="1"/>
      <w:r w:rsidRPr="008652C7">
        <w:t xml:space="preserve"> in the future.</w:t>
      </w:r>
    </w:p>
    <w:p w:rsidR="00026301" w:rsidP="00026301" w:rsidRDefault="00026301" w14:paraId="496731F4" w14:textId="77777777"/>
    <w:p w:rsidR="00026301" w:rsidP="00026301" w:rsidRDefault="00026301" w14:paraId="16F4316A" w14:textId="77777777">
      <w:r>
        <w:t xml:space="preserve">The commenter also recommended that the agencies further clarify the option to report savings deposits as NOW accounts, by noting in the assessment criteria that this option is only applicable to institutions that offer NOW accounts and the account offered subsequent to the suspension of the enforcement of the six-transfer limit is equivalent to the reporting </w:t>
      </w:r>
      <w:r w:rsidRPr="00964316">
        <w:t>institution’</w:t>
      </w:r>
      <w:r>
        <w:t xml:space="preserve">s NOW account offering and is held by eligible depositors as authorized by federal law.  The agencies have noted the commenter’s </w:t>
      </w:r>
      <w:proofErr w:type="gramStart"/>
      <w:r>
        <w:t>recommendation, and</w:t>
      </w:r>
      <w:proofErr w:type="gramEnd"/>
      <w:r>
        <w:t xml:space="preserve"> will consider this clarification to the instructions for the Call Reports in the future.</w:t>
      </w:r>
    </w:p>
    <w:p w:rsidR="00026301" w:rsidP="00026301" w:rsidRDefault="00026301" w14:paraId="311865D5" w14:textId="77777777"/>
    <w:p w:rsidRPr="00F23DB3" w:rsidR="00026301" w:rsidP="00026301" w:rsidRDefault="00026301" w14:paraId="10076A4F" w14:textId="4695B23E">
      <w:r>
        <w:t xml:space="preserve">Further, the commenter </w:t>
      </w:r>
      <w:r w:rsidRPr="00F23DB3">
        <w:t xml:space="preserve">noted that the revisions to the Call Reports related to the Regulation D IFR are effective for reporting beginning in the first quarter of 2021 while the Board’s corresponding proposed revisions to the </w:t>
      </w:r>
      <w:r w:rsidRPr="000E53B0">
        <w:t>Consolidated Financial Statements for Holding Companies</w:t>
      </w:r>
      <w:r w:rsidRPr="00F23DB3">
        <w:t xml:space="preserve"> </w:t>
      </w:r>
      <w:r>
        <w:t>(</w:t>
      </w:r>
      <w:r w:rsidRPr="00F23DB3">
        <w:t>FR Y-9C</w:t>
      </w:r>
      <w:r>
        <w:t>)</w:t>
      </w:r>
      <w:r w:rsidRPr="00F23DB3">
        <w:t xml:space="preserve"> and </w:t>
      </w:r>
      <w:r>
        <w:t xml:space="preserve">the </w:t>
      </w:r>
      <w:r w:rsidRPr="000E53B0">
        <w:t>Consolidated Report of Condition and Income for Edge and Agreement Corporations</w:t>
      </w:r>
      <w:r>
        <w:t xml:space="preserve"> (</w:t>
      </w:r>
      <w:r w:rsidRPr="00F23DB3">
        <w:t>FR 2886b</w:t>
      </w:r>
      <w:r>
        <w:t>)</w:t>
      </w:r>
      <w:r>
        <w:rPr>
          <w:rStyle w:val="FootnoteReference"/>
        </w:rPr>
        <w:footnoteReference w:id="17"/>
      </w:r>
      <w:r w:rsidRPr="00F23DB3">
        <w:t xml:space="preserve"> have a proposed effective date of December 31, 2020</w:t>
      </w:r>
      <w:r w:rsidRPr="00074D5D">
        <w:t>.</w:t>
      </w:r>
      <w:r w:rsidRPr="00074D5D">
        <w:rPr>
          <w:rStyle w:val="FootnoteReference"/>
        </w:rPr>
        <w:footnoteReference w:id="18"/>
      </w:r>
      <w:r w:rsidRPr="00074D5D">
        <w:rPr>
          <w:vertAlign w:val="superscript"/>
        </w:rPr>
        <w:t xml:space="preserve"> </w:t>
      </w:r>
      <w:r w:rsidRPr="00074D5D">
        <w:t>  Additionally, the commenter noted that relevant revisions proposed to the Report of Transaction Accounts, Other Deposits and Vault Cash (FR 2900) and the Report of Foreign (Non-U.S.) Currency Deposits (FR 2915)</w:t>
      </w:r>
      <w:r w:rsidRPr="00074D5D">
        <w:rPr>
          <w:rStyle w:val="FootnoteReference"/>
        </w:rPr>
        <w:footnoteReference w:id="19"/>
      </w:r>
      <w:r w:rsidRPr="00074D5D">
        <w:t xml:space="preserve"> would take effect as of the April</w:t>
      </w:r>
      <w:r w:rsidRPr="00F23DB3">
        <w:t xml:space="preserve"> 12, 2021, and June 21, 2021, report dates, respectively.</w:t>
      </w:r>
      <w:r>
        <w:rPr>
          <w:rStyle w:val="FootnoteReference"/>
        </w:rPr>
        <w:footnoteReference w:id="20"/>
      </w:r>
      <w:r w:rsidRPr="00F23DB3">
        <w:t>  The commenter recommended that the proposed revisions to the Call Reports, FR Y-9C, and FR 2886b resulting from the Regulation D IFR be delayed until the second quarter of 2021.  The Call Reports</w:t>
      </w:r>
      <w:r>
        <w:t>,</w:t>
      </w:r>
      <w:r w:rsidRPr="00F23DB3">
        <w:t xml:space="preserve"> the FR Y-9C</w:t>
      </w:r>
      <w:r>
        <w:t>,</w:t>
      </w:r>
      <w:r w:rsidRPr="00F23DB3">
        <w:t xml:space="preserve"> and </w:t>
      </w:r>
      <w:r>
        <w:t xml:space="preserve">the </w:t>
      </w:r>
      <w:r w:rsidRPr="00F23DB3">
        <w:t xml:space="preserve">FR 2886b all have a quarterly reporting frequency.  In finalizing the proposed revisions to the FR Y-9C and FR 2886b related to the Regulation D IFR, the Board has aligned the effective date of these revisions to the FR Y-9C and FR 2886b with the effective date for these revisions to the Call Reports.  Thus, the revisions related to the Regulation D IFR </w:t>
      </w:r>
      <w:r>
        <w:t>would take effect for all three</w:t>
      </w:r>
      <w:r>
        <w:t xml:space="preserve"> </w:t>
      </w:r>
      <w:r w:rsidRPr="00F23DB3">
        <w:t xml:space="preserve">quarterly reports beginning in the first quarter of 2021.  The </w:t>
      </w:r>
      <w:r w:rsidRPr="00074D5D">
        <w:t xml:space="preserve">FR 2900 and the FR 2915 have a different reporting frequency than the three quarterly reports, with the revisions related to the Regulation D IFR taking effect for </w:t>
      </w:r>
      <w:r w:rsidRPr="008D4D90">
        <w:t>the reporting dates of April 12, 2021, and June 21, 2021, respectively, which would provide</w:t>
      </w:r>
      <w:r>
        <w:t xml:space="preserve"> additional time to respondents to incorporate the current and future proposed changes to the Call Reports.  </w:t>
      </w:r>
      <w:r>
        <w:t xml:space="preserve">The agencies note that the FR 2900 and the FR 2915 are reports with weekly reporting frequencies, while the Call Report has a quarterly reporting frequency.  Therefore, the proposed effective date for the Call Report of the corresponding revisions cannot be aligned exactly with the effective dates of the FR 2900 or the FR 2915. The agencies believe banking organizations will be able to implement the revisions </w:t>
      </w:r>
      <w:r w:rsidRPr="008D4D90">
        <w:t>to the quarterly reports by the March 31, 2021, report date.  Implementing the revisions at this ti</w:t>
      </w:r>
      <w:r>
        <w:t xml:space="preserve">me would also allow for consistent reporting for all quarters in calendar year 2021, which improves data comparability. </w:t>
      </w:r>
    </w:p>
    <w:p w:rsidRPr="00F23DB3" w:rsidR="00026301" w:rsidP="00026301" w:rsidRDefault="00026301" w14:paraId="07860895" w14:textId="77777777"/>
    <w:p w:rsidRPr="00F23DB3" w:rsidR="00026301" w:rsidP="00026301" w:rsidRDefault="00026301" w14:paraId="3C03F23A" w14:textId="77777777"/>
    <w:p w:rsidRPr="008652C7" w:rsidR="00026301" w:rsidP="00026301" w:rsidRDefault="00026301" w14:paraId="7E707A73" w14:textId="77777777"/>
    <w:p w:rsidRPr="00F23DB3" w:rsidR="00FB66B3" w:rsidP="00FB66B3" w:rsidRDefault="00FB66B3" w14:paraId="58234491" w14:textId="77777777"/>
    <w:p w:rsidR="00E61D1C" w:rsidP="00FB66B3" w:rsidRDefault="00E61D1C" w14:paraId="0B4B81AF" w14:textId="77777777">
      <w:pPr>
        <w:rPr>
          <w:sz w:val="20"/>
          <w:szCs w:val="20"/>
          <w:vertAlign w:val="superscript"/>
        </w:rPr>
      </w:pPr>
    </w:p>
    <w:p w:rsidR="00E61D1C" w:rsidP="00FB66B3" w:rsidRDefault="00E61D1C" w14:paraId="1C47B67D" w14:textId="77777777">
      <w:pPr>
        <w:rPr>
          <w:sz w:val="20"/>
          <w:szCs w:val="20"/>
          <w:vertAlign w:val="superscript"/>
        </w:rPr>
      </w:pPr>
    </w:p>
    <w:p w:rsidR="00E61D1C" w:rsidP="00FB66B3" w:rsidRDefault="00E61D1C" w14:paraId="140EDECC" w14:textId="77777777">
      <w:pPr>
        <w:rPr>
          <w:sz w:val="20"/>
          <w:szCs w:val="20"/>
          <w:vertAlign w:val="superscript"/>
        </w:rPr>
      </w:pPr>
    </w:p>
    <w:p w:rsidR="00E61D1C" w:rsidP="00FB66B3" w:rsidRDefault="00E61D1C" w14:paraId="43A2B488" w14:textId="77777777">
      <w:pPr>
        <w:rPr>
          <w:sz w:val="20"/>
          <w:szCs w:val="20"/>
          <w:vertAlign w:val="superscript"/>
        </w:rPr>
      </w:pPr>
    </w:p>
    <w:p w:rsidR="00E61D1C" w:rsidP="00FB66B3" w:rsidRDefault="00E61D1C" w14:paraId="6BA4D903" w14:textId="77777777">
      <w:pPr>
        <w:rPr>
          <w:sz w:val="20"/>
          <w:szCs w:val="20"/>
          <w:vertAlign w:val="superscript"/>
        </w:rPr>
      </w:pPr>
    </w:p>
    <w:p w:rsidR="00E61D1C" w:rsidP="00FB66B3" w:rsidRDefault="00E61D1C" w14:paraId="0B34F3A7" w14:textId="77777777">
      <w:pPr>
        <w:rPr>
          <w:sz w:val="20"/>
          <w:szCs w:val="20"/>
          <w:vertAlign w:val="superscript"/>
        </w:rPr>
      </w:pPr>
    </w:p>
    <w:p w:rsidR="00E61D1C" w:rsidP="00FB66B3" w:rsidRDefault="00E61D1C" w14:paraId="42E3D409" w14:textId="77777777">
      <w:pPr>
        <w:rPr>
          <w:sz w:val="20"/>
          <w:szCs w:val="20"/>
          <w:vertAlign w:val="superscript"/>
        </w:rPr>
      </w:pPr>
    </w:p>
    <w:p w:rsidRPr="00E61D1C" w:rsidR="008F01A1" w:rsidP="00E61D1C" w:rsidRDefault="008F01A1" w14:paraId="7628B5A1" w14:textId="10BF237B">
      <w:pPr>
        <w:rPr>
          <w:sz w:val="20"/>
          <w:szCs w:val="20"/>
        </w:rPr>
      </w:pPr>
      <w:bookmarkStart w:name="_GoBack" w:id="2"/>
      <w:bookmarkEnd w:id="2"/>
      <w:r w:rsidRPr="00D41D5F">
        <w:rPr>
          <w:b/>
          <w:i/>
          <w:color w:val="000000"/>
        </w:rPr>
        <w:t xml:space="preserve">9. </w:t>
      </w:r>
      <w:r w:rsidR="00D41D5F">
        <w:rPr>
          <w:b/>
          <w:i/>
          <w:color w:val="000000"/>
        </w:rPr>
        <w:t xml:space="preserve">   </w:t>
      </w:r>
      <w:r w:rsidR="00F31B88">
        <w:rPr>
          <w:b/>
          <w:i/>
          <w:color w:val="000000"/>
        </w:rPr>
        <w:t xml:space="preserve">   </w:t>
      </w:r>
      <w:r w:rsidRPr="00D41D5F">
        <w:rPr>
          <w:b/>
          <w:i/>
          <w:color w:val="000000"/>
        </w:rPr>
        <w:t>Payment or Gift to Respondents</w:t>
      </w:r>
      <w:r w:rsidR="00D41D5F">
        <w:rPr>
          <w:b/>
          <w:i/>
          <w:color w:val="000000"/>
        </w:rPr>
        <w:t>:</w:t>
      </w:r>
    </w:p>
    <w:p w:rsidRPr="00554A3D" w:rsidR="008F01A1" w:rsidP="00AE34E0" w:rsidRDefault="008F01A1" w14:paraId="12CCE584" w14:textId="77777777">
      <w:pPr>
        <w:tabs>
          <w:tab w:val="left" w:pos="432"/>
          <w:tab w:val="left" w:pos="1296"/>
          <w:tab w:val="left" w:pos="1728"/>
          <w:tab w:val="left" w:pos="4176"/>
        </w:tabs>
        <w:rPr>
          <w:color w:val="000000"/>
        </w:rPr>
      </w:pPr>
    </w:p>
    <w:p w:rsidRPr="00554A3D" w:rsidR="00CA6AE6" w:rsidP="00AE34E0" w:rsidRDefault="00CA6AE6" w14:paraId="598DAE87" w14:textId="77777777">
      <w:pPr>
        <w:tabs>
          <w:tab w:val="left" w:pos="432"/>
          <w:tab w:val="left" w:pos="1296"/>
          <w:tab w:val="left" w:pos="1728"/>
          <w:tab w:val="left" w:pos="4176"/>
        </w:tabs>
        <w:rPr>
          <w:color w:val="000000"/>
        </w:rPr>
      </w:pPr>
      <w:r w:rsidRPr="00554A3D">
        <w:rPr>
          <w:color w:val="000000"/>
        </w:rPr>
        <w:t xml:space="preserve">          No </w:t>
      </w:r>
      <w:r w:rsidRPr="00554A3D" w:rsidR="00EF610E">
        <w:rPr>
          <w:color w:val="000000"/>
        </w:rPr>
        <w:t xml:space="preserve">payments or </w:t>
      </w:r>
      <w:r w:rsidRPr="00554A3D">
        <w:rPr>
          <w:color w:val="000000"/>
        </w:rPr>
        <w:t xml:space="preserve">gifts will be given to respondents.  </w:t>
      </w:r>
    </w:p>
    <w:p w:rsidRPr="00554A3D" w:rsidR="00CA6AE6" w:rsidP="00AE34E0" w:rsidRDefault="00CA6AE6" w14:paraId="2B6D4603" w14:textId="77777777">
      <w:pPr>
        <w:tabs>
          <w:tab w:val="left" w:pos="432"/>
          <w:tab w:val="left" w:pos="1296"/>
          <w:tab w:val="left" w:pos="1728"/>
          <w:tab w:val="left" w:pos="4176"/>
        </w:tabs>
        <w:ind w:left="1290"/>
        <w:rPr>
          <w:color w:val="000000"/>
        </w:rPr>
      </w:pPr>
    </w:p>
    <w:p w:rsidRPr="00FD5373" w:rsidR="00CA6AE6" w:rsidP="00AE34E0" w:rsidRDefault="00CA6AE6" w14:paraId="1A23BA2F" w14:textId="77777777">
      <w:pPr>
        <w:tabs>
          <w:tab w:val="left" w:pos="432"/>
          <w:tab w:val="left" w:pos="1296"/>
          <w:tab w:val="left" w:pos="1728"/>
          <w:tab w:val="left" w:pos="4176"/>
        </w:tabs>
        <w:ind w:left="432" w:hanging="432"/>
        <w:rPr>
          <w:b/>
          <w:i/>
          <w:color w:val="000000"/>
        </w:rPr>
      </w:pPr>
      <w:r w:rsidRPr="00FD5373">
        <w:rPr>
          <w:b/>
          <w:i/>
          <w:color w:val="000000"/>
        </w:rPr>
        <w:t>10.</w:t>
      </w:r>
      <w:r w:rsidRPr="00FD5373">
        <w:rPr>
          <w:b/>
          <w:i/>
          <w:color w:val="000000"/>
        </w:rPr>
        <w:tab/>
      </w:r>
      <w:r w:rsidR="00F31B88">
        <w:rPr>
          <w:b/>
          <w:i/>
          <w:color w:val="000000"/>
        </w:rPr>
        <w:t xml:space="preserve">   </w:t>
      </w:r>
      <w:r w:rsidRPr="00FD5373">
        <w:rPr>
          <w:b/>
          <w:i/>
          <w:color w:val="000000"/>
        </w:rPr>
        <w:t>Confidentiality</w:t>
      </w:r>
      <w:r w:rsidR="00FD5373">
        <w:rPr>
          <w:b/>
          <w:i/>
          <w:color w:val="000000"/>
        </w:rPr>
        <w:t>:</w:t>
      </w:r>
    </w:p>
    <w:p w:rsidRPr="00554A3D" w:rsidR="00CA6AE6" w:rsidP="00AE34E0" w:rsidRDefault="00CA6AE6" w14:paraId="67AA4F6D" w14:textId="77777777">
      <w:pPr>
        <w:tabs>
          <w:tab w:val="left" w:pos="432"/>
          <w:tab w:val="left" w:pos="1296"/>
          <w:tab w:val="left" w:pos="1728"/>
          <w:tab w:val="left" w:pos="4176"/>
        </w:tabs>
        <w:rPr>
          <w:color w:val="000000"/>
        </w:rPr>
      </w:pPr>
    </w:p>
    <w:p w:rsidRPr="00554A3D" w:rsidR="00883889" w:rsidP="00AE34E0" w:rsidRDefault="00CA6AE6" w14:paraId="0BB5E4D7" w14:textId="77777777">
      <w:pPr>
        <w:rPr>
          <w:snapToGrid w:val="0"/>
        </w:rPr>
      </w:pPr>
      <w:r w:rsidRPr="00554A3D">
        <w:rPr>
          <w:color w:val="000000"/>
        </w:rPr>
        <w:t xml:space="preserve">          </w:t>
      </w:r>
      <w:r w:rsidRPr="00554A3D" w:rsidR="00BC2CD0">
        <w:rPr>
          <w:snapToGrid w:val="0"/>
        </w:rPr>
        <w:t>E</w:t>
      </w:r>
      <w:r w:rsidRPr="00554A3D" w:rsidR="00BC2CD0">
        <w:t>xcept for selected data items, the Call Report is not given confidential treatment</w:t>
      </w:r>
      <w:r w:rsidRPr="00554A3D" w:rsidR="00BC2CD0">
        <w:rPr>
          <w:snapToGrid w:val="0"/>
        </w:rPr>
        <w:t>.</w:t>
      </w:r>
    </w:p>
    <w:p w:rsidRPr="00554A3D" w:rsidR="00EF610E" w:rsidP="00AE34E0" w:rsidRDefault="00EF610E" w14:paraId="5C18B038" w14:textId="77777777">
      <w:pPr>
        <w:rPr>
          <w:snapToGrid w:val="0"/>
        </w:rPr>
      </w:pPr>
    </w:p>
    <w:p w:rsidRPr="00397D67" w:rsidR="00CA6AE6" w:rsidP="00AE34E0" w:rsidRDefault="00CA6AE6" w14:paraId="3A2D4350" w14:textId="77777777">
      <w:pPr>
        <w:rPr>
          <w:b/>
          <w:i/>
          <w:snapToGrid w:val="0"/>
        </w:rPr>
      </w:pPr>
      <w:r w:rsidRPr="00397D67">
        <w:rPr>
          <w:b/>
          <w:i/>
          <w:color w:val="000000"/>
        </w:rPr>
        <w:t>11.</w:t>
      </w:r>
      <w:r w:rsidRPr="00397D67" w:rsidR="000D3228">
        <w:rPr>
          <w:b/>
          <w:i/>
          <w:color w:val="000000"/>
        </w:rPr>
        <w:t xml:space="preserve">   </w:t>
      </w:r>
      <w:r w:rsidR="00F31B88">
        <w:rPr>
          <w:b/>
          <w:i/>
          <w:color w:val="000000"/>
        </w:rPr>
        <w:t xml:space="preserve">  </w:t>
      </w:r>
      <w:r w:rsidRPr="00397D67">
        <w:rPr>
          <w:b/>
          <w:i/>
          <w:color w:val="000000"/>
        </w:rPr>
        <w:t>Information of a Sensitive Nature</w:t>
      </w:r>
      <w:r w:rsidR="00397D67">
        <w:rPr>
          <w:b/>
          <w:i/>
          <w:color w:val="000000"/>
        </w:rPr>
        <w:t>:</w:t>
      </w:r>
    </w:p>
    <w:p w:rsidRPr="00554A3D" w:rsidR="00CA6AE6" w:rsidP="00AE34E0" w:rsidRDefault="00CA6AE6" w14:paraId="757C2E46" w14:textId="77777777">
      <w:pPr>
        <w:tabs>
          <w:tab w:val="left" w:pos="432"/>
          <w:tab w:val="left" w:pos="1296"/>
          <w:tab w:val="left" w:pos="1728"/>
          <w:tab w:val="left" w:pos="4176"/>
        </w:tabs>
        <w:rPr>
          <w:color w:val="000000"/>
        </w:rPr>
      </w:pPr>
    </w:p>
    <w:p w:rsidRPr="00554A3D" w:rsidR="00CA6AE6" w:rsidP="00AE34E0" w:rsidRDefault="00CA6AE6" w14:paraId="380827F2" w14:textId="77777777">
      <w:pPr>
        <w:tabs>
          <w:tab w:val="left" w:pos="432"/>
          <w:tab w:val="left" w:pos="1296"/>
          <w:tab w:val="left" w:pos="1728"/>
          <w:tab w:val="left" w:pos="4176"/>
        </w:tabs>
        <w:rPr>
          <w:color w:val="000000"/>
        </w:rPr>
      </w:pPr>
      <w:r w:rsidRPr="00554A3D">
        <w:rPr>
          <w:color w:val="000000"/>
        </w:rPr>
        <w:t xml:space="preserve">          No information of a sensitive nature is requested. </w:t>
      </w:r>
    </w:p>
    <w:p w:rsidRPr="00554A3D" w:rsidR="00CA6AE6" w:rsidP="00AE34E0" w:rsidRDefault="00CA6AE6" w14:paraId="2BF133C6" w14:textId="77777777">
      <w:pPr>
        <w:tabs>
          <w:tab w:val="left" w:pos="432"/>
          <w:tab w:val="left" w:pos="1296"/>
          <w:tab w:val="left" w:pos="1728"/>
          <w:tab w:val="left" w:pos="4176"/>
        </w:tabs>
        <w:rPr>
          <w:color w:val="000000"/>
        </w:rPr>
      </w:pPr>
    </w:p>
    <w:p w:rsidR="004D05FB" w:rsidP="00AE34E0" w:rsidRDefault="00F31B88" w14:paraId="5F5C09FF" w14:textId="77777777">
      <w:pPr>
        <w:keepLines/>
        <w:numPr>
          <w:ilvl w:val="0"/>
          <w:numId w:val="7"/>
        </w:numPr>
        <w:tabs>
          <w:tab w:val="left" w:pos="432"/>
          <w:tab w:val="left" w:pos="1728"/>
          <w:tab w:val="left" w:pos="4176"/>
        </w:tabs>
        <w:ind w:left="432" w:hanging="432"/>
        <w:rPr>
          <w:b/>
          <w:i/>
          <w:color w:val="000000"/>
        </w:rPr>
      </w:pPr>
      <w:r>
        <w:rPr>
          <w:b/>
          <w:i/>
          <w:color w:val="000000"/>
        </w:rPr>
        <w:t xml:space="preserve">   </w:t>
      </w:r>
      <w:r w:rsidRPr="00397D67" w:rsidR="00CA6AE6">
        <w:rPr>
          <w:b/>
          <w:i/>
          <w:color w:val="000000"/>
        </w:rPr>
        <w:t>Estimate of Annual Burden</w:t>
      </w:r>
      <w:r w:rsidR="00397D67">
        <w:rPr>
          <w:b/>
          <w:i/>
          <w:color w:val="000000"/>
        </w:rPr>
        <w:t>:</w:t>
      </w:r>
    </w:p>
    <w:p w:rsidRPr="00554A3D" w:rsidR="006A71AF" w:rsidP="006A71AF" w:rsidRDefault="006A71AF" w14:paraId="68F85805" w14:textId="77777777">
      <w:pPr>
        <w:keepLines/>
        <w:tabs>
          <w:tab w:val="left" w:pos="432"/>
          <w:tab w:val="left" w:pos="1728"/>
          <w:tab w:val="left" w:pos="4176"/>
        </w:tabs>
        <w:rPr>
          <w:color w:val="000000"/>
          <w:u w:val="single"/>
        </w:rPr>
      </w:pPr>
    </w:p>
    <w:p w:rsidRPr="00554A3D" w:rsidR="006A71AF" w:rsidP="00561D75" w:rsidRDefault="00561D75" w14:paraId="1A55B699" w14:textId="6011CFCA">
      <w:pPr>
        <w:ind w:left="720" w:hanging="274"/>
        <w:rPr>
          <w:snapToGrid w:val="0"/>
        </w:rPr>
      </w:pPr>
      <w:r w:rsidRPr="00554A3D">
        <w:rPr>
          <w:snapToGrid w:val="0"/>
        </w:rPr>
        <w:t xml:space="preserve"> </w:t>
      </w:r>
      <w:r w:rsidRPr="00554A3D" w:rsidR="000D3228">
        <w:rPr>
          <w:snapToGrid w:val="0"/>
        </w:rPr>
        <w:t xml:space="preserve">  </w:t>
      </w:r>
      <w:r w:rsidRPr="00554A3D" w:rsidR="006A71AF">
        <w:rPr>
          <w:snapToGrid w:val="0"/>
        </w:rPr>
        <w:t>Estimated Number of Respondents:  1,</w:t>
      </w:r>
      <w:r w:rsidR="00990145">
        <w:rPr>
          <w:snapToGrid w:val="0"/>
        </w:rPr>
        <w:t>111</w:t>
      </w:r>
      <w:r w:rsidRPr="00554A3D" w:rsidR="00990145">
        <w:rPr>
          <w:snapToGrid w:val="0"/>
        </w:rPr>
        <w:t xml:space="preserve"> </w:t>
      </w:r>
      <w:r w:rsidRPr="00554A3D" w:rsidR="006A71AF">
        <w:rPr>
          <w:snapToGrid w:val="0"/>
        </w:rPr>
        <w:t xml:space="preserve">national banks and federal savings </w:t>
      </w:r>
    </w:p>
    <w:p w:rsidRPr="00554A3D" w:rsidR="00561D75" w:rsidP="00561D75" w:rsidRDefault="006A71AF" w14:paraId="654ACBF2" w14:textId="77777777">
      <w:pPr>
        <w:ind w:left="720" w:hanging="274"/>
        <w:rPr>
          <w:snapToGrid w:val="0"/>
        </w:rPr>
      </w:pPr>
      <w:r w:rsidRPr="00554A3D">
        <w:rPr>
          <w:snapToGrid w:val="0"/>
        </w:rPr>
        <w:tab/>
      </w:r>
      <w:r w:rsidRPr="00554A3D">
        <w:rPr>
          <w:snapToGrid w:val="0"/>
        </w:rPr>
        <w:tab/>
      </w:r>
      <w:r w:rsidRPr="00554A3D">
        <w:rPr>
          <w:snapToGrid w:val="0"/>
        </w:rPr>
        <w:tab/>
      </w:r>
      <w:r w:rsidRPr="00554A3D">
        <w:rPr>
          <w:snapToGrid w:val="0"/>
        </w:rPr>
        <w:tab/>
      </w:r>
      <w:r w:rsidRPr="00554A3D">
        <w:rPr>
          <w:snapToGrid w:val="0"/>
        </w:rPr>
        <w:tab/>
        <w:t xml:space="preserve">associations.     </w:t>
      </w:r>
    </w:p>
    <w:p w:rsidRPr="00554A3D" w:rsidR="006A71AF" w:rsidP="00561D75" w:rsidRDefault="006A71AF" w14:paraId="017EDDE2" w14:textId="77777777">
      <w:pPr>
        <w:ind w:left="720" w:hanging="274"/>
        <w:rPr>
          <w:snapToGrid w:val="0"/>
        </w:rPr>
      </w:pPr>
      <w:r w:rsidRPr="00554A3D">
        <w:rPr>
          <w:snapToGrid w:val="0"/>
        </w:rPr>
        <w:t xml:space="preserve">               </w:t>
      </w:r>
    </w:p>
    <w:p w:rsidRPr="00554A3D" w:rsidR="006A71AF" w:rsidP="006A71AF" w:rsidRDefault="006A71AF" w14:paraId="7B12C7D8" w14:textId="67728BFF">
      <w:pPr>
        <w:spacing w:line="480" w:lineRule="auto"/>
        <w:ind w:hanging="270"/>
        <w:rPr>
          <w:snapToGrid w:val="0"/>
        </w:rPr>
      </w:pPr>
      <w:r w:rsidRPr="00554A3D">
        <w:rPr>
          <w:snapToGrid w:val="0"/>
        </w:rPr>
        <w:t xml:space="preserve"> </w:t>
      </w:r>
      <w:r w:rsidRPr="00554A3D">
        <w:rPr>
          <w:snapToGrid w:val="0"/>
        </w:rPr>
        <w:tab/>
      </w:r>
      <w:r w:rsidRPr="00554A3D" w:rsidR="000D3228">
        <w:rPr>
          <w:snapToGrid w:val="0"/>
        </w:rPr>
        <w:t xml:space="preserve">          </w:t>
      </w:r>
      <w:r w:rsidRPr="00554A3D">
        <w:rPr>
          <w:snapToGrid w:val="0"/>
        </w:rPr>
        <w:t>Est</w:t>
      </w:r>
      <w:r w:rsidRPr="00554A3D" w:rsidR="004707AE">
        <w:rPr>
          <w:snapToGrid w:val="0"/>
        </w:rPr>
        <w:t xml:space="preserve">imated Time per Response:  </w:t>
      </w:r>
      <w:r w:rsidR="00990145">
        <w:rPr>
          <w:snapToGrid w:val="0"/>
        </w:rPr>
        <w:t>41.92</w:t>
      </w:r>
      <w:r w:rsidRPr="00554A3D">
        <w:rPr>
          <w:snapToGrid w:val="0"/>
        </w:rPr>
        <w:t xml:space="preserve"> burden hours per quarter to file.</w:t>
      </w:r>
    </w:p>
    <w:p w:rsidRPr="00554A3D" w:rsidR="006A71AF" w:rsidP="006A71AF" w:rsidRDefault="006A71AF" w14:paraId="1A8991C6" w14:textId="0264FD83">
      <w:pPr>
        <w:tabs>
          <w:tab w:val="left" w:pos="720"/>
          <w:tab w:val="left" w:pos="3960"/>
        </w:tabs>
        <w:autoSpaceDE w:val="0"/>
        <w:autoSpaceDN w:val="0"/>
        <w:adjustRightInd w:val="0"/>
        <w:spacing w:line="480" w:lineRule="auto"/>
        <w:ind w:hanging="270"/>
        <w:rPr>
          <w:snapToGrid w:val="0"/>
        </w:rPr>
      </w:pPr>
      <w:r w:rsidRPr="00554A3D">
        <w:rPr>
          <w:snapToGrid w:val="0"/>
        </w:rPr>
        <w:tab/>
      </w:r>
      <w:r w:rsidRPr="00554A3D" w:rsidR="000D3228">
        <w:rPr>
          <w:snapToGrid w:val="0"/>
        </w:rPr>
        <w:t xml:space="preserve">          </w:t>
      </w:r>
      <w:r w:rsidRPr="00554A3D">
        <w:rPr>
          <w:snapToGrid w:val="0"/>
        </w:rPr>
        <w:t xml:space="preserve">Estimated Total Annual Burden:  </w:t>
      </w:r>
      <w:r w:rsidR="00990145">
        <w:rPr>
          <w:snapToGrid w:val="0"/>
        </w:rPr>
        <w:t>186,292</w:t>
      </w:r>
      <w:r w:rsidRPr="00554A3D">
        <w:rPr>
          <w:snapToGrid w:val="0"/>
        </w:rPr>
        <w:t xml:space="preserve"> burden hours to file.   </w:t>
      </w:r>
    </w:p>
    <w:p w:rsidR="001D5FDB" w:rsidP="00AE34E0" w:rsidRDefault="001D5FDB" w14:paraId="4A321913" w14:textId="775E40AF">
      <w:pPr>
        <w:ind w:right="-480"/>
        <w:rPr>
          <w:lang w:val="en-CA"/>
        </w:rPr>
      </w:pPr>
      <w:r>
        <w:rPr>
          <w:lang w:val="en-CA"/>
        </w:rPr>
        <w:t>The burden estimate reflects a reduction of 5,510 annual burden hours. This change reflects a decrease of 4,221 burden hours due to 25 fewer banks filing the Call Report, and a decrease of 1,289 burden hours due to adjustments in the estimates of the number of banks completing certain data items.</w:t>
      </w:r>
    </w:p>
    <w:p w:rsidR="001D5FDB" w:rsidP="00AE34E0" w:rsidRDefault="001D5FDB" w14:paraId="2BF65476" w14:textId="77777777">
      <w:pPr>
        <w:ind w:right="-480"/>
        <w:rPr>
          <w:lang w:val="en-CA"/>
        </w:rPr>
      </w:pPr>
    </w:p>
    <w:p w:rsidRPr="00554A3D" w:rsidR="00CA6AE6" w:rsidP="00AE34E0" w:rsidRDefault="00CA6AE6" w14:paraId="597F79E2" w14:textId="7EF8DAFF">
      <w:pPr>
        <w:ind w:right="-480"/>
        <w:rPr>
          <w:lang w:val="en-CA"/>
        </w:rPr>
      </w:pPr>
      <w:r w:rsidRPr="00554A3D">
        <w:rPr>
          <w:lang w:val="en-CA"/>
        </w:rPr>
        <w:t>The OCC estimates the cost of the hour burden to respondents as follows:</w:t>
      </w:r>
    </w:p>
    <w:p w:rsidRPr="00554A3D" w:rsidR="00CA6AE6" w:rsidP="00AE34E0" w:rsidRDefault="00CA6AE6" w14:paraId="0A73AE71" w14:textId="77777777">
      <w:pPr>
        <w:ind w:right="-480"/>
        <w:rPr>
          <w:lang w:val="en-CA"/>
        </w:rPr>
      </w:pPr>
    </w:p>
    <w:p w:rsidR="00A152A7" w:rsidP="00AE34E0" w:rsidRDefault="00990145" w14:paraId="12F7E8A4" w14:textId="3B145B23">
      <w:pPr>
        <w:ind w:right="-480"/>
        <w:rPr>
          <w:color w:val="000000"/>
        </w:rPr>
      </w:pPr>
      <w:r>
        <w:rPr>
          <w:color w:val="000000"/>
        </w:rPr>
        <w:t>186,292</w:t>
      </w:r>
      <w:r w:rsidR="00D60BA1">
        <w:rPr>
          <w:color w:val="000000"/>
        </w:rPr>
        <w:t xml:space="preserve"> hours @ $11</w:t>
      </w:r>
      <w:r w:rsidR="00E62D5A">
        <w:rPr>
          <w:color w:val="000000"/>
        </w:rPr>
        <w:t>5.19</w:t>
      </w:r>
      <w:r w:rsidR="00145A6A">
        <w:rPr>
          <w:color w:val="000000"/>
        </w:rPr>
        <w:t>/hour = $</w:t>
      </w:r>
      <w:r>
        <w:rPr>
          <w:color w:val="000000"/>
        </w:rPr>
        <w:t>21,</w:t>
      </w:r>
      <w:r w:rsidR="00E62D5A">
        <w:rPr>
          <w:color w:val="000000"/>
        </w:rPr>
        <w:t>458,975.48</w:t>
      </w:r>
      <w:r w:rsidR="00145A6A">
        <w:rPr>
          <w:color w:val="000000"/>
        </w:rPr>
        <w:t>.</w:t>
      </w:r>
    </w:p>
    <w:p w:rsidR="00F05158" w:rsidP="00AE34E0" w:rsidRDefault="00F05158" w14:paraId="4BA488E9" w14:textId="77777777">
      <w:pPr>
        <w:ind w:right="-480"/>
        <w:rPr>
          <w:color w:val="000000"/>
        </w:rPr>
      </w:pPr>
    </w:p>
    <w:p w:rsidRPr="0064167F" w:rsidR="00E62D5A" w:rsidP="00E62D5A" w:rsidRDefault="00E62D5A" w14:paraId="22917953" w14:textId="77777777">
      <w:r>
        <w:rPr>
          <w:color w:val="000000"/>
        </w:rPr>
        <w:t xml:space="preserve">To estimate wages the OCC reviewed May 2019 data for wages (by industry and occupation) from the U.S. Bureau of Labor Statistics (BLS) for credit intermediation and related activities excluding </w:t>
      </w:r>
      <w:proofErr w:type="spellStart"/>
      <w:r>
        <w:rPr>
          <w:color w:val="000000"/>
        </w:rPr>
        <w:t>nondepository</w:t>
      </w:r>
      <w:proofErr w:type="spellEnd"/>
      <w:r>
        <w:rPr>
          <w:color w:val="000000"/>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00D513AB" w:rsidP="00AE34E0" w:rsidRDefault="00D513AB" w14:paraId="668A49D4" w14:textId="77777777">
      <w:pPr>
        <w:ind w:right="-480"/>
        <w:rPr>
          <w:color w:val="000000"/>
        </w:rPr>
      </w:pPr>
    </w:p>
    <w:p w:rsidRPr="00397D67" w:rsidR="00CA6AE6" w:rsidP="00AE34E0" w:rsidRDefault="00CA6AE6" w14:paraId="623F463F" w14:textId="77777777">
      <w:pPr>
        <w:tabs>
          <w:tab w:val="left" w:pos="432"/>
          <w:tab w:val="left" w:pos="1296"/>
          <w:tab w:val="left" w:pos="1728"/>
          <w:tab w:val="left" w:pos="4176"/>
        </w:tabs>
        <w:ind w:left="432" w:hanging="432"/>
        <w:rPr>
          <w:b/>
          <w:i/>
          <w:color w:val="000000"/>
        </w:rPr>
      </w:pPr>
      <w:r w:rsidRPr="00397D67">
        <w:rPr>
          <w:b/>
          <w:i/>
          <w:color w:val="000000"/>
        </w:rPr>
        <w:lastRenderedPageBreak/>
        <w:t>13.</w:t>
      </w:r>
      <w:r w:rsidRPr="00397D67">
        <w:rPr>
          <w:b/>
          <w:i/>
          <w:color w:val="000000"/>
        </w:rPr>
        <w:tab/>
      </w:r>
      <w:r w:rsidR="00F31B88">
        <w:rPr>
          <w:b/>
          <w:i/>
          <w:color w:val="000000"/>
        </w:rPr>
        <w:t xml:space="preserve">    </w:t>
      </w:r>
      <w:r w:rsidRPr="00397D67">
        <w:rPr>
          <w:b/>
          <w:i/>
          <w:color w:val="000000"/>
        </w:rPr>
        <w:t>Capital, Start-up, and Operating Costs</w:t>
      </w:r>
      <w:r w:rsidR="00397D67">
        <w:rPr>
          <w:b/>
          <w:i/>
          <w:color w:val="000000"/>
        </w:rPr>
        <w:t>:</w:t>
      </w:r>
    </w:p>
    <w:p w:rsidRPr="00554A3D" w:rsidR="00CA6AE6" w:rsidP="00AE34E0" w:rsidRDefault="00CA6AE6" w14:paraId="3076D5E0" w14:textId="77777777">
      <w:pPr>
        <w:pStyle w:val="BodyText"/>
        <w:ind w:right="-480"/>
      </w:pPr>
      <w:r w:rsidRPr="00554A3D">
        <w:t xml:space="preserve">          </w:t>
      </w:r>
    </w:p>
    <w:p w:rsidRPr="00554A3D" w:rsidR="00CA6AE6" w:rsidP="00AE34E0" w:rsidRDefault="00A759DF" w14:paraId="59F7B6EF" w14:textId="77777777">
      <w:pPr>
        <w:pStyle w:val="BodyText"/>
        <w:tabs>
          <w:tab w:val="left" w:pos="720"/>
        </w:tabs>
        <w:ind w:firstLine="720"/>
      </w:pPr>
      <w:r w:rsidRPr="00554A3D">
        <w:t>Not applicable.</w:t>
      </w:r>
    </w:p>
    <w:p w:rsidRPr="00554A3D" w:rsidR="00CA6AE6" w:rsidP="00AE34E0" w:rsidRDefault="00CA6AE6" w14:paraId="0F31D062" w14:textId="77777777">
      <w:pPr>
        <w:pStyle w:val="BodyText"/>
        <w:spacing w:after="0"/>
      </w:pPr>
    </w:p>
    <w:p w:rsidRPr="008700CD" w:rsidR="00CA6AE6" w:rsidP="00AE34E0" w:rsidRDefault="00F31B88" w14:paraId="0514061D" w14:textId="77777777">
      <w:pPr>
        <w:numPr>
          <w:ilvl w:val="0"/>
          <w:numId w:val="3"/>
        </w:numPr>
        <w:tabs>
          <w:tab w:val="left" w:pos="432"/>
          <w:tab w:val="left" w:pos="1728"/>
          <w:tab w:val="left" w:pos="4176"/>
        </w:tabs>
        <w:ind w:left="432" w:hanging="432"/>
        <w:rPr>
          <w:b/>
          <w:i/>
          <w:color w:val="000000"/>
        </w:rPr>
      </w:pPr>
      <w:r>
        <w:rPr>
          <w:b/>
          <w:i/>
          <w:color w:val="000000"/>
        </w:rPr>
        <w:t xml:space="preserve">    </w:t>
      </w:r>
      <w:r w:rsidRPr="008700CD" w:rsidR="00CA6AE6">
        <w:rPr>
          <w:b/>
          <w:i/>
          <w:color w:val="000000"/>
        </w:rPr>
        <w:t>Estimates of Annualized Cost to the Federal Government</w:t>
      </w:r>
      <w:r w:rsidR="008700CD">
        <w:rPr>
          <w:b/>
          <w:i/>
          <w:color w:val="000000"/>
        </w:rPr>
        <w:t>:</w:t>
      </w:r>
    </w:p>
    <w:p w:rsidRPr="00554A3D" w:rsidR="00CA6AE6" w:rsidP="00AE34E0" w:rsidRDefault="00CA6AE6" w14:paraId="6C3B3716" w14:textId="77777777">
      <w:pPr>
        <w:tabs>
          <w:tab w:val="left" w:pos="432"/>
          <w:tab w:val="left" w:pos="1296"/>
          <w:tab w:val="left" w:pos="1728"/>
          <w:tab w:val="left" w:pos="4176"/>
        </w:tabs>
        <w:rPr>
          <w:color w:val="000000"/>
        </w:rPr>
      </w:pPr>
    </w:p>
    <w:p w:rsidRPr="00554A3D" w:rsidR="00CA6AE6" w:rsidP="00AE34E0" w:rsidRDefault="00676FA2" w14:paraId="36BD3BCE" w14:textId="77777777">
      <w:pPr>
        <w:tabs>
          <w:tab w:val="left" w:pos="432"/>
          <w:tab w:val="left" w:pos="1296"/>
          <w:tab w:val="left" w:pos="1728"/>
          <w:tab w:val="left" w:pos="4176"/>
        </w:tabs>
        <w:ind w:left="360"/>
        <w:rPr>
          <w:color w:val="000000"/>
        </w:rPr>
      </w:pPr>
      <w:r w:rsidRPr="00554A3D">
        <w:rPr>
          <w:color w:val="000000"/>
        </w:rPr>
        <w:tab/>
        <w:t xml:space="preserve">    </w:t>
      </w:r>
      <w:r w:rsidRPr="00554A3D" w:rsidR="00A759DF">
        <w:rPr>
          <w:color w:val="000000"/>
        </w:rPr>
        <w:t>Not applicable.</w:t>
      </w:r>
    </w:p>
    <w:p w:rsidRPr="00554A3D" w:rsidR="00CA6AE6" w:rsidP="00AE34E0" w:rsidRDefault="00CA6AE6" w14:paraId="14AC2E92" w14:textId="77777777">
      <w:pPr>
        <w:rPr>
          <w:color w:val="000000"/>
        </w:rPr>
      </w:pPr>
    </w:p>
    <w:p w:rsidR="00F76F5F" w:rsidP="00F76F5F" w:rsidRDefault="00CA6AE6" w14:paraId="2C835D9F" w14:textId="77777777">
      <w:pPr>
        <w:tabs>
          <w:tab w:val="left" w:pos="432"/>
          <w:tab w:val="left" w:pos="1728"/>
          <w:tab w:val="left" w:pos="4176"/>
        </w:tabs>
        <w:rPr>
          <w:b/>
          <w:i/>
          <w:color w:val="000000"/>
        </w:rPr>
      </w:pPr>
      <w:r w:rsidRPr="008700CD">
        <w:rPr>
          <w:b/>
          <w:i/>
          <w:color w:val="000000"/>
        </w:rPr>
        <w:t xml:space="preserve">15. </w:t>
      </w:r>
      <w:r w:rsidR="00F31B88">
        <w:rPr>
          <w:b/>
          <w:i/>
          <w:color w:val="000000"/>
        </w:rPr>
        <w:t xml:space="preserve">     </w:t>
      </w:r>
      <w:r w:rsidRPr="008700CD">
        <w:rPr>
          <w:b/>
          <w:i/>
          <w:color w:val="000000"/>
        </w:rPr>
        <w:t>Change in Burden</w:t>
      </w:r>
      <w:r w:rsidR="008700CD">
        <w:rPr>
          <w:b/>
          <w:i/>
          <w:color w:val="000000"/>
        </w:rPr>
        <w:t>:</w:t>
      </w:r>
    </w:p>
    <w:p w:rsidR="00F76F5F" w:rsidP="00F76F5F" w:rsidRDefault="00F76F5F" w14:paraId="46AB7AA6" w14:textId="77777777">
      <w:pPr>
        <w:tabs>
          <w:tab w:val="left" w:pos="432"/>
          <w:tab w:val="left" w:pos="1728"/>
          <w:tab w:val="left" w:pos="4176"/>
        </w:tabs>
        <w:rPr>
          <w:b/>
          <w:i/>
          <w:color w:val="000000"/>
        </w:rPr>
      </w:pPr>
    </w:p>
    <w:p w:rsidR="00CA6AE6" w:rsidP="00447E39" w:rsidRDefault="001D5FDB" w14:paraId="2AC4B3E3" w14:textId="25C648A0">
      <w:r>
        <w:tab/>
      </w:r>
      <w:r w:rsidRPr="001D5FDB">
        <w:t>The burden estimate reflects a reduction of 5,510 annual burden hours. This change reflects a decrease of 4,221 burden hours due to 25 fewer banks filing the Call Report, and a decrease of 1,289 burden hours due to adjustments in the estimates of the number of banks completing certain data items.</w:t>
      </w:r>
    </w:p>
    <w:p w:rsidRPr="00554A3D" w:rsidR="004928D3" w:rsidP="00447E39" w:rsidRDefault="004928D3" w14:paraId="42DCD7B3" w14:textId="77777777">
      <w:pPr>
        <w:rPr>
          <w:color w:val="000000"/>
        </w:rPr>
      </w:pPr>
    </w:p>
    <w:p w:rsidRPr="002F670D" w:rsidR="00EF5732" w:rsidP="00447E39" w:rsidRDefault="00EF5732" w14:paraId="5735C78E" w14:textId="77777777">
      <w:pPr>
        <w:pStyle w:val="BodyText2"/>
        <w:spacing w:line="240" w:lineRule="auto"/>
        <w:rPr>
          <w:b/>
          <w:i/>
        </w:rPr>
      </w:pPr>
      <w:r w:rsidRPr="002F670D">
        <w:rPr>
          <w:b/>
          <w:i/>
        </w:rPr>
        <w:t xml:space="preserve">16.  </w:t>
      </w:r>
      <w:r w:rsidR="00F31B88">
        <w:rPr>
          <w:b/>
          <w:i/>
        </w:rPr>
        <w:t xml:space="preserve">    </w:t>
      </w:r>
      <w:r w:rsidRPr="002F670D">
        <w:rPr>
          <w:b/>
          <w:i/>
        </w:rPr>
        <w:t>Information regarding information collections whose results are planned to be published for statistical use:</w:t>
      </w:r>
    </w:p>
    <w:p w:rsidR="00447E39" w:rsidP="00447E39" w:rsidRDefault="00447E39" w14:paraId="4535865A" w14:textId="77777777">
      <w:pPr>
        <w:pStyle w:val="BodyText2"/>
        <w:spacing w:line="240" w:lineRule="auto"/>
      </w:pPr>
    </w:p>
    <w:p w:rsidR="00447E39" w:rsidP="00447E39" w:rsidRDefault="00447E39" w14:paraId="316FF686" w14:textId="77777777">
      <w:pPr>
        <w:pStyle w:val="BodyText2"/>
        <w:spacing w:line="240" w:lineRule="auto"/>
      </w:pPr>
      <w:r>
        <w:tab/>
        <w:t>Not applicable.</w:t>
      </w:r>
    </w:p>
    <w:p w:rsidRPr="00554A3D" w:rsidR="00CA6AE6" w:rsidP="00AE34E0" w:rsidRDefault="00CA6AE6" w14:paraId="2F5145A0" w14:textId="77777777">
      <w:pPr>
        <w:rPr>
          <w:color w:val="000000"/>
        </w:rPr>
      </w:pPr>
    </w:p>
    <w:p w:rsidRPr="002F670D" w:rsidR="00CA6AE6" w:rsidP="00AE34E0" w:rsidRDefault="00CA6AE6" w14:paraId="5BE8E7E3" w14:textId="77777777">
      <w:pPr>
        <w:tabs>
          <w:tab w:val="left" w:pos="432"/>
          <w:tab w:val="left" w:pos="1296"/>
          <w:tab w:val="left" w:pos="1728"/>
          <w:tab w:val="left" w:pos="4176"/>
        </w:tabs>
        <w:rPr>
          <w:b/>
          <w:i/>
          <w:color w:val="000000"/>
        </w:rPr>
      </w:pPr>
      <w:r w:rsidRPr="002F670D">
        <w:rPr>
          <w:b/>
          <w:i/>
          <w:color w:val="000000"/>
        </w:rPr>
        <w:t xml:space="preserve">17. </w:t>
      </w:r>
      <w:r w:rsidR="00F31B88">
        <w:rPr>
          <w:b/>
          <w:i/>
          <w:color w:val="000000"/>
        </w:rPr>
        <w:t xml:space="preserve">      </w:t>
      </w:r>
      <w:r w:rsidRPr="002F670D">
        <w:rPr>
          <w:b/>
          <w:i/>
          <w:color w:val="000000"/>
        </w:rPr>
        <w:t>Exceptions to Expiration Date Display</w:t>
      </w:r>
      <w:r w:rsidR="002F670D">
        <w:rPr>
          <w:b/>
          <w:i/>
          <w:color w:val="000000"/>
        </w:rPr>
        <w:t>:</w:t>
      </w:r>
    </w:p>
    <w:p w:rsidRPr="00554A3D" w:rsidR="00CA6AE6" w:rsidP="00AE34E0" w:rsidRDefault="00CA6AE6" w14:paraId="1114C45D" w14:textId="77777777">
      <w:pPr>
        <w:tabs>
          <w:tab w:val="left" w:pos="432"/>
          <w:tab w:val="left" w:pos="1296"/>
          <w:tab w:val="left" w:pos="1728"/>
          <w:tab w:val="left" w:pos="4176"/>
        </w:tabs>
        <w:rPr>
          <w:color w:val="000000"/>
        </w:rPr>
      </w:pPr>
    </w:p>
    <w:p w:rsidRPr="00554A3D" w:rsidR="00CA6AE6" w:rsidP="00AE34E0" w:rsidRDefault="00CA6AE6" w14:paraId="64BDCF8B" w14:textId="77777777">
      <w:pPr>
        <w:keepNext/>
        <w:rPr>
          <w:color w:val="000000"/>
        </w:rPr>
      </w:pPr>
      <w:r w:rsidRPr="00554A3D">
        <w:rPr>
          <w:color w:val="000000"/>
        </w:rPr>
        <w:t xml:space="preserve">      </w:t>
      </w:r>
      <w:r w:rsidR="00F31B88">
        <w:rPr>
          <w:color w:val="000000"/>
        </w:rPr>
        <w:t xml:space="preserve">      </w:t>
      </w:r>
      <w:r w:rsidRPr="00554A3D">
        <w:rPr>
          <w:color w:val="000000"/>
        </w:rPr>
        <w:t>None.</w:t>
      </w:r>
    </w:p>
    <w:p w:rsidRPr="00554A3D" w:rsidR="00CA6AE6" w:rsidP="00AE34E0" w:rsidRDefault="00CA6AE6" w14:paraId="60CFE455" w14:textId="77777777">
      <w:pPr>
        <w:keepNext/>
        <w:rPr>
          <w:color w:val="000000"/>
        </w:rPr>
      </w:pPr>
    </w:p>
    <w:p w:rsidRPr="002F670D" w:rsidR="00CA6AE6" w:rsidP="00AE34E0" w:rsidRDefault="00F31B88" w14:paraId="22776CBE" w14:textId="77777777">
      <w:pPr>
        <w:keepNext/>
        <w:numPr>
          <w:ilvl w:val="0"/>
          <w:numId w:val="4"/>
        </w:numPr>
        <w:tabs>
          <w:tab w:val="left" w:pos="432"/>
          <w:tab w:val="left" w:pos="1728"/>
          <w:tab w:val="left" w:pos="4176"/>
        </w:tabs>
        <w:ind w:left="432" w:hanging="432"/>
        <w:rPr>
          <w:b/>
          <w:i/>
          <w:color w:val="000000"/>
        </w:rPr>
      </w:pPr>
      <w:r>
        <w:rPr>
          <w:b/>
          <w:i/>
          <w:color w:val="000000"/>
        </w:rPr>
        <w:t xml:space="preserve">    </w:t>
      </w:r>
      <w:r w:rsidRPr="002F670D" w:rsidR="00CA6AE6">
        <w:rPr>
          <w:b/>
          <w:i/>
          <w:color w:val="000000"/>
        </w:rPr>
        <w:t>Exceptions to Certification</w:t>
      </w:r>
      <w:r w:rsidR="002F670D">
        <w:rPr>
          <w:b/>
          <w:i/>
          <w:color w:val="000000"/>
        </w:rPr>
        <w:t>:</w:t>
      </w:r>
    </w:p>
    <w:p w:rsidRPr="00554A3D" w:rsidR="00CA6AE6" w:rsidP="00AE34E0" w:rsidRDefault="00CA6AE6" w14:paraId="5A938306" w14:textId="77777777">
      <w:pPr>
        <w:keepNext/>
        <w:rPr>
          <w:color w:val="000000"/>
        </w:rPr>
      </w:pPr>
    </w:p>
    <w:p w:rsidR="00CA6AE6" w:rsidP="00F31B88" w:rsidRDefault="00CA6AE6" w14:paraId="68165A63" w14:textId="2D4BC2FF">
      <w:pPr>
        <w:keepNext/>
        <w:tabs>
          <w:tab w:val="left" w:pos="720"/>
        </w:tabs>
        <w:rPr>
          <w:color w:val="000000"/>
        </w:rPr>
      </w:pPr>
      <w:r w:rsidRPr="00554A3D">
        <w:rPr>
          <w:color w:val="000000"/>
        </w:rPr>
        <w:t xml:space="preserve">          </w:t>
      </w:r>
      <w:r w:rsidR="00F31B88">
        <w:rPr>
          <w:color w:val="000000"/>
        </w:rPr>
        <w:t xml:space="preserve">  </w:t>
      </w:r>
      <w:r w:rsidRPr="00554A3D">
        <w:rPr>
          <w:color w:val="000000"/>
        </w:rPr>
        <w:t>None.</w:t>
      </w:r>
    </w:p>
    <w:p w:rsidRPr="00554A3D" w:rsidR="004928D3" w:rsidP="00F31B88" w:rsidRDefault="004928D3" w14:paraId="4E8489BA" w14:textId="77777777">
      <w:pPr>
        <w:keepNext/>
        <w:tabs>
          <w:tab w:val="left" w:pos="720"/>
        </w:tabs>
        <w:rPr>
          <w:color w:val="000000"/>
        </w:rPr>
      </w:pPr>
    </w:p>
    <w:p w:rsidRPr="00554A3D" w:rsidR="00CA6AE6" w:rsidP="00AE34E0" w:rsidRDefault="00CA6AE6" w14:paraId="3C9686AB" w14:textId="77777777">
      <w:pPr>
        <w:keepNext/>
        <w:rPr>
          <w:color w:val="000000"/>
        </w:rPr>
      </w:pPr>
    </w:p>
    <w:p w:rsidR="004928D3" w:rsidP="00AE34E0" w:rsidRDefault="004928D3" w14:paraId="46E06AD0" w14:textId="77777777">
      <w:pPr>
        <w:suppressAutoHyphens/>
        <w:rPr>
          <w:b/>
        </w:rPr>
      </w:pPr>
    </w:p>
    <w:p w:rsidRPr="002F670D" w:rsidR="00CA6AE6" w:rsidP="00AE34E0" w:rsidRDefault="00CA6AE6" w14:paraId="75B92DE0" w14:textId="4936657E">
      <w:pPr>
        <w:suppressAutoHyphens/>
        <w:rPr>
          <w:b/>
        </w:rPr>
      </w:pPr>
      <w:r w:rsidRPr="002F670D">
        <w:rPr>
          <w:b/>
        </w:rPr>
        <w:t>B.  COLLECTION OF INFORMATION EMPLOYING STATISTICAL METHODS</w:t>
      </w:r>
    </w:p>
    <w:p w:rsidRPr="00554A3D" w:rsidR="00CA6AE6" w:rsidP="00AE34E0" w:rsidRDefault="00CA6AE6" w14:paraId="5C21EFD2" w14:textId="77777777">
      <w:pPr>
        <w:suppressAutoHyphens/>
      </w:pPr>
    </w:p>
    <w:p w:rsidRPr="00554A3D" w:rsidR="00CA6AE6" w:rsidP="00F31B88" w:rsidRDefault="00CA6AE6" w14:paraId="1CFA3876" w14:textId="77777777">
      <w:pPr>
        <w:tabs>
          <w:tab w:val="left" w:pos="-720"/>
          <w:tab w:val="left" w:pos="0"/>
          <w:tab w:val="left" w:pos="720"/>
          <w:tab w:val="left" w:pos="1008"/>
          <w:tab w:val="left" w:pos="2160"/>
          <w:tab w:val="left" w:pos="4176"/>
          <w:tab w:val="left" w:pos="5472"/>
          <w:tab w:val="left" w:pos="6912"/>
        </w:tabs>
        <w:suppressAutoHyphens/>
      </w:pPr>
      <w:r w:rsidRPr="00554A3D">
        <w:t xml:space="preserve">        </w:t>
      </w:r>
      <w:r w:rsidR="00F31B88">
        <w:t xml:space="preserve">   </w:t>
      </w:r>
      <w:r w:rsidRPr="00554A3D">
        <w:t xml:space="preserve"> Not applicable.</w:t>
      </w:r>
    </w:p>
    <w:p w:rsidRPr="00554A3D" w:rsidR="00CA6AE6" w:rsidP="00300FF7" w:rsidRDefault="00CA6AE6" w14:paraId="4654D34B" w14:textId="77777777">
      <w:pPr>
        <w:tabs>
          <w:tab w:val="left" w:pos="-720"/>
          <w:tab w:val="left" w:pos="0"/>
          <w:tab w:val="left" w:pos="1008"/>
          <w:tab w:val="left" w:pos="2160"/>
          <w:tab w:val="left" w:pos="4176"/>
          <w:tab w:val="left" w:pos="5472"/>
          <w:tab w:val="left" w:pos="6912"/>
        </w:tabs>
        <w:suppressAutoHyphens/>
      </w:pPr>
    </w:p>
    <w:sectPr w:rsidRPr="00554A3D" w:rsidR="00CA6AE6" w:rsidSect="008A5FFD">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193C6" w14:textId="77777777" w:rsidR="00006787" w:rsidRDefault="00006787">
      <w:r>
        <w:separator/>
      </w:r>
    </w:p>
  </w:endnote>
  <w:endnote w:type="continuationSeparator" w:id="0">
    <w:p w14:paraId="6FCD5064" w14:textId="77777777" w:rsidR="00006787" w:rsidRDefault="0000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4898" w14:textId="77777777"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14:paraId="7ED2D4D1" w14:textId="77777777" w:rsidR="00AB569E" w:rsidRDefault="00AB5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6D8F" w14:textId="77777777"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DA28AD">
      <w:rPr>
        <w:rStyle w:val="PageNumber"/>
        <w:rFonts w:ascii="Times New Roman" w:hAnsi="Times New Roman"/>
        <w:noProof/>
      </w:rPr>
      <w:t>2</w:t>
    </w:r>
    <w:r>
      <w:rPr>
        <w:rStyle w:val="PageNumber"/>
        <w:rFonts w:ascii="Times New Roman" w:hAnsi="Times New Roman"/>
      </w:rPr>
      <w:fldChar w:fldCharType="end"/>
    </w:r>
  </w:p>
  <w:p w14:paraId="6E8BF0AC" w14:textId="77777777" w:rsidR="00AB569E" w:rsidRDefault="00AB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FF809" w14:textId="77777777" w:rsidR="00006787" w:rsidRDefault="00006787">
      <w:r>
        <w:separator/>
      </w:r>
    </w:p>
  </w:footnote>
  <w:footnote w:type="continuationSeparator" w:id="0">
    <w:p w14:paraId="3F451976" w14:textId="77777777" w:rsidR="00006787" w:rsidRDefault="00006787">
      <w:r>
        <w:continuationSeparator/>
      </w:r>
    </w:p>
  </w:footnote>
  <w:footnote w:id="1">
    <w:p w14:paraId="3F3AC893" w14:textId="77777777" w:rsidR="005E0B66" w:rsidRDefault="005E0B66" w:rsidP="005E0B66">
      <w:pPr>
        <w:pStyle w:val="FootnoteText"/>
      </w:pPr>
      <w:r>
        <w:rPr>
          <w:rStyle w:val="FootnoteReference"/>
        </w:rPr>
        <w:footnoteRef/>
      </w:r>
      <w:r>
        <w:t xml:space="preserve"> Coronavirus Aid, Relief, and Economic Security Act, Pub. L. No. 116-136, 134 Stat. 281 (March 27, 2020).</w:t>
      </w:r>
    </w:p>
  </w:footnote>
  <w:footnote w:id="2">
    <w:p w14:paraId="4D2D918F" w14:textId="77777777" w:rsidR="005E0B66" w:rsidRDefault="005E0B66" w:rsidP="005E0B66">
      <w:pPr>
        <w:pStyle w:val="FootnoteText"/>
      </w:pPr>
      <w:r>
        <w:rPr>
          <w:rStyle w:val="FootnoteReference"/>
        </w:rPr>
        <w:footnoteRef/>
      </w:r>
      <w:r>
        <w:t xml:space="preserve"> 50 U.S.C. 1601 et seq.</w:t>
      </w:r>
    </w:p>
  </w:footnote>
  <w:footnote w:id="3">
    <w:p w14:paraId="6835F2D7" w14:textId="77777777" w:rsidR="005E0B66" w:rsidRDefault="005E0B66" w:rsidP="005E0B66">
      <w:pPr>
        <w:pStyle w:val="FootnoteText"/>
      </w:pPr>
      <w:r>
        <w:rPr>
          <w:rStyle w:val="FootnoteReference"/>
        </w:rPr>
        <w:footnoteRef/>
      </w:r>
      <w:r>
        <w:t xml:space="preserve"> See 85 FR 22924 (April 23, 2020).</w:t>
      </w:r>
    </w:p>
  </w:footnote>
  <w:footnote w:id="4">
    <w:p w14:paraId="78B1FE6A" w14:textId="77777777" w:rsidR="005E0B66" w:rsidRDefault="005E0B66" w:rsidP="005E0B66">
      <w:pPr>
        <w:pStyle w:val="FootnoteText"/>
      </w:pPr>
      <w:r>
        <w:rPr>
          <w:rStyle w:val="FootnoteReference"/>
        </w:rPr>
        <w:footnoteRef/>
      </w:r>
      <w:r>
        <w:t xml:space="preserve"> See 85 FR 22930 (April 23, 2020).</w:t>
      </w:r>
    </w:p>
  </w:footnote>
  <w:footnote w:id="5">
    <w:p w14:paraId="5F7A2051" w14:textId="77777777" w:rsidR="005E0B66" w:rsidRDefault="005E0B66" w:rsidP="005E0B66">
      <w:pPr>
        <w:rPr>
          <w:sz w:val="20"/>
          <w:szCs w:val="20"/>
        </w:rPr>
      </w:pPr>
      <w:r>
        <w:rPr>
          <w:rStyle w:val="FootnoteReference"/>
          <w:sz w:val="20"/>
          <w:szCs w:val="20"/>
        </w:rPr>
        <w:footnoteRef/>
      </w:r>
      <w:r>
        <w:rPr>
          <w:sz w:val="20"/>
          <w:szCs w:val="20"/>
        </w:rPr>
        <w:t xml:space="preserve"> See 85 FR 20387 (April 13, 2020).</w:t>
      </w:r>
    </w:p>
  </w:footnote>
  <w:footnote w:id="6">
    <w:p w14:paraId="6B36AE59" w14:textId="77777777" w:rsidR="005E0B66" w:rsidRDefault="005E0B66" w:rsidP="005E0B66">
      <w:pPr>
        <w:pStyle w:val="FootnoteText"/>
        <w:rPr>
          <w:rFonts w:ascii="Times" w:hAnsi="Times"/>
        </w:rPr>
      </w:pPr>
      <w:r>
        <w:rPr>
          <w:rStyle w:val="FootnoteReference"/>
        </w:rPr>
        <w:footnoteRef/>
      </w:r>
      <w:r>
        <w:t xml:space="preserve"> See 85 FR 20578 (April 14, 2020).</w:t>
      </w:r>
    </w:p>
  </w:footnote>
  <w:footnote w:id="7">
    <w:p w14:paraId="2BCB6DE4" w14:textId="77777777" w:rsidR="005E0B66" w:rsidRDefault="005E0B66" w:rsidP="005E0B66">
      <w:pPr>
        <w:pStyle w:val="FootnoteText"/>
      </w:pPr>
      <w:r>
        <w:rPr>
          <w:rStyle w:val="FootnoteReference"/>
        </w:rPr>
        <w:footnoteRef/>
      </w:r>
      <w:r>
        <w:t xml:space="preserve"> https://www.federalreserve.gov/newsevents/pressreleases/bcreg20200515a.htm</w:t>
      </w:r>
    </w:p>
  </w:footnote>
  <w:footnote w:id="8">
    <w:p w14:paraId="36438A7D" w14:textId="77777777" w:rsidR="005E0B66" w:rsidRDefault="005E0B66" w:rsidP="005E0B66">
      <w:pPr>
        <w:pStyle w:val="FootnoteText"/>
      </w:pPr>
      <w:r>
        <w:rPr>
          <w:rStyle w:val="FootnoteReference"/>
        </w:rPr>
        <w:footnoteRef/>
      </w:r>
      <w:r>
        <w:t xml:space="preserve"> The agencies recently issued a final rule, effective April 1, 2020, which implements section 402 of the Economic Growth, Regulatory Relief, and Consumer Protection Act (EGRRCPA) by amending the capital rule to allow a banking organization that qualifies as a custodial banking organization to exclude from total leverage exposure deposits at qualifying central banks, subject to limits (402 rule). 85 FR 4569 (January 27, 2020).  OMB approved the reporting changes associated with the Section 402 rule in March 2020.</w:t>
      </w:r>
    </w:p>
  </w:footnote>
  <w:footnote w:id="9">
    <w:p w14:paraId="58249BE6" w14:textId="77777777" w:rsidR="005E0B66" w:rsidRDefault="005E0B66" w:rsidP="005E0B66">
      <w:pPr>
        <w:pStyle w:val="FootnoteText"/>
      </w:pPr>
      <w:r>
        <w:rPr>
          <w:rStyle w:val="FootnoteReference"/>
        </w:rPr>
        <w:footnoteRef/>
      </w:r>
      <w:r>
        <w:t xml:space="preserve"> See footnote 8.</w:t>
      </w:r>
    </w:p>
  </w:footnote>
  <w:footnote w:id="10">
    <w:p w14:paraId="0F7DB321" w14:textId="77777777" w:rsidR="005E0B66" w:rsidRDefault="005E0B66" w:rsidP="005E0B66">
      <w:pPr>
        <w:pStyle w:val="FootnoteText"/>
      </w:pPr>
      <w:r>
        <w:rPr>
          <w:rStyle w:val="FootnoteReference"/>
        </w:rPr>
        <w:footnoteRef/>
      </w:r>
      <w:r>
        <w:t xml:space="preserve"> See 85 FR 23445 (April 28, 2020).</w:t>
      </w:r>
    </w:p>
  </w:footnote>
  <w:footnote w:id="11">
    <w:p w14:paraId="644DB408" w14:textId="77777777" w:rsidR="005E0B66" w:rsidRDefault="005E0B66" w:rsidP="005E0B66">
      <w:pPr>
        <w:pStyle w:val="FootnoteText"/>
      </w:pPr>
      <w:r>
        <w:rPr>
          <w:rStyle w:val="FootnoteReference"/>
        </w:rPr>
        <w:footnoteRef/>
      </w:r>
      <w:r>
        <w:t xml:space="preserve"> See 85 FR 22345 (April 22, 2020).</w:t>
      </w:r>
    </w:p>
  </w:footnote>
  <w:footnote w:id="12">
    <w:p w14:paraId="140075D8" w14:textId="77777777" w:rsidR="005E0B66" w:rsidRDefault="005E0B66" w:rsidP="005E0B66">
      <w:pPr>
        <w:pStyle w:val="FootnoteText"/>
      </w:pPr>
      <w:r>
        <w:rPr>
          <w:rStyle w:val="FootnoteReference"/>
        </w:rPr>
        <w:footnoteRef/>
      </w:r>
      <w:r>
        <w:t xml:space="preserve"> See 12 U.S.C. 1464(v)(2).</w:t>
      </w:r>
    </w:p>
  </w:footnote>
  <w:footnote w:id="13">
    <w:p w14:paraId="70B59843" w14:textId="77777777" w:rsidR="005E0B66" w:rsidRDefault="005E0B66" w:rsidP="005E0B66">
      <w:pPr>
        <w:pStyle w:val="FootnoteText"/>
      </w:pPr>
      <w:r>
        <w:rPr>
          <w:rStyle w:val="FootnoteReference"/>
        </w:rPr>
        <w:footnoteRef/>
      </w:r>
      <w:r>
        <w:t xml:space="preserve"> Exemption 8 of the Freedom of Information Act (FOIA), specifically exempts from disclosure information “contained in or related to examination, operating, or condition reports prepared by, on behalf of, or for the use of an agency responsible for the regulation or supervision of financial institutions”.</w:t>
      </w:r>
    </w:p>
  </w:footnote>
  <w:footnote w:id="14">
    <w:p w14:paraId="019F3668" w14:textId="77777777" w:rsidR="005E0B66" w:rsidRDefault="005E0B66" w:rsidP="005E0B66">
      <w:pPr>
        <w:pStyle w:val="FootnoteText"/>
      </w:pPr>
      <w:r>
        <w:rPr>
          <w:rStyle w:val="FootnoteReference"/>
        </w:rPr>
        <w:footnoteRef/>
      </w:r>
      <w:r>
        <w:t xml:space="preserve"> See “Interagency Statement on Loan Modifications and Reporting for Financial Institutions Working with Customers Affected by the Coronavirus (Revised)” (April 7, 2020), available at: https://www.occ.gov/news-issuances/news-releases/2020/nr-ia-2020-50a.pdf.</w:t>
      </w:r>
    </w:p>
  </w:footnote>
  <w:footnote w:id="15">
    <w:p w14:paraId="53F6F531" w14:textId="77777777" w:rsidR="005E0B66" w:rsidRDefault="005E0B66" w:rsidP="005E0B66">
      <w:pPr>
        <w:pStyle w:val="FootnoteText"/>
      </w:pPr>
      <w:r>
        <w:rPr>
          <w:rStyle w:val="FootnoteReference"/>
        </w:rPr>
        <w:footnoteRef/>
      </w:r>
      <w:r>
        <w:t xml:space="preserve"> See FDIC </w:t>
      </w:r>
      <w:hyperlink r:id="rId1" w:history="1">
        <w:r>
          <w:rPr>
            <w:rStyle w:val="Hyperlink"/>
          </w:rPr>
          <w:t>Press Release PR-59-2020</w:t>
        </w:r>
      </w:hyperlink>
      <w:r>
        <w:t xml:space="preserve"> (May 12, 2020).</w:t>
      </w:r>
    </w:p>
  </w:footnote>
  <w:footnote w:id="16">
    <w:p w14:paraId="791622B0" w14:textId="77777777" w:rsidR="00990145" w:rsidRDefault="00990145" w:rsidP="00990145">
      <w:pPr>
        <w:pStyle w:val="FootnoteText"/>
      </w:pPr>
      <w:r>
        <w:rPr>
          <w:rStyle w:val="FootnoteReference"/>
        </w:rPr>
        <w:footnoteRef/>
      </w:r>
      <w:r>
        <w:t xml:space="preserve"> 85 FR 54577 (September 2, 2020).</w:t>
      </w:r>
    </w:p>
  </w:footnote>
  <w:footnote w:id="17">
    <w:p w14:paraId="0F287582" w14:textId="77777777" w:rsidR="00026301" w:rsidRPr="00371312" w:rsidRDefault="00026301" w:rsidP="00026301">
      <w:r>
        <w:rPr>
          <w:rStyle w:val="FootnoteReference"/>
        </w:rPr>
        <w:footnoteRef/>
      </w:r>
      <w:r>
        <w:t xml:space="preserve"> </w:t>
      </w:r>
      <w:r w:rsidRPr="00F23DB3">
        <w:t>FR Y-9C, Consolidated Financial Statements for Holding Companies, OMB Control No. 7100-0128; FR 2886b, Consolidated Report of Condition and Income for Edge and Agreement Corporations, OMB Control No. 7100-0086.</w:t>
      </w:r>
    </w:p>
  </w:footnote>
  <w:footnote w:id="18">
    <w:p w14:paraId="1E30B3C0" w14:textId="77777777" w:rsidR="00026301" w:rsidRDefault="00026301" w:rsidP="00026301">
      <w:pPr>
        <w:pStyle w:val="FootnoteText"/>
      </w:pPr>
      <w:r>
        <w:rPr>
          <w:rStyle w:val="FootnoteReference"/>
        </w:rPr>
        <w:footnoteRef/>
      </w:r>
      <w:r>
        <w:t xml:space="preserve"> </w:t>
      </w:r>
      <w:r w:rsidRPr="00F23DB3">
        <w:rPr>
          <w:sz w:val="24"/>
          <w:szCs w:val="24"/>
        </w:rPr>
        <w:t>See 85 FR 63553 (October 8, 2020).</w:t>
      </w:r>
    </w:p>
  </w:footnote>
  <w:footnote w:id="19">
    <w:p w14:paraId="4D6C9714" w14:textId="77777777" w:rsidR="00026301" w:rsidRPr="00371312" w:rsidRDefault="00026301" w:rsidP="00026301">
      <w:r>
        <w:rPr>
          <w:rStyle w:val="FootnoteReference"/>
        </w:rPr>
        <w:footnoteRef/>
      </w:r>
      <w:r>
        <w:t xml:space="preserve"> </w:t>
      </w:r>
      <w:r w:rsidRPr="00F23DB3">
        <w:t>FR 2900, Report of Transaction Accounts, Other Deposits, and Vault Cash; and FR 2915, Report of Foreign (Non-U.S.) Currency Deposits; OMB Control No. 7100-0087.</w:t>
      </w:r>
    </w:p>
  </w:footnote>
  <w:footnote w:id="20">
    <w:p w14:paraId="59ECBB4C" w14:textId="77777777" w:rsidR="00026301" w:rsidRDefault="00026301" w:rsidP="00026301">
      <w:pPr>
        <w:pStyle w:val="FootnoteText"/>
      </w:pPr>
      <w:r>
        <w:rPr>
          <w:rStyle w:val="FootnoteReference"/>
        </w:rPr>
        <w:footnoteRef/>
      </w:r>
      <w:r>
        <w:t xml:space="preserve"> </w:t>
      </w:r>
      <w:r w:rsidRPr="00F23DB3">
        <w:rPr>
          <w:sz w:val="24"/>
          <w:szCs w:val="24"/>
        </w:rPr>
        <w:t>See 85 FR 83555 (December 22,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15:restartNumberingAfterBreak="0">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B120B"/>
    <w:multiLevelType w:val="hybridMultilevel"/>
    <w:tmpl w:val="FFBC8936"/>
    <w:lvl w:ilvl="0" w:tplc="C39CD2AE">
      <w:start w:val="1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12836E1"/>
    <w:multiLevelType w:val="hybridMultilevel"/>
    <w:tmpl w:val="752C8AB2"/>
    <w:lvl w:ilvl="0" w:tplc="B6C2B424">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11" w15:restartNumberingAfterBreak="0">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12" w15:restartNumberingAfterBreak="0">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3" w15:restartNumberingAfterBreak="0">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4" w15:restartNumberingAfterBreak="0">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5" w15:restartNumberingAfterBreak="0">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8" w15:restartNumberingAfterBreak="0">
    <w:nsid w:val="45B61AA0"/>
    <w:multiLevelType w:val="hybridMultilevel"/>
    <w:tmpl w:val="68D2B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0" w15:restartNumberingAfterBreak="0">
    <w:nsid w:val="5CE932C8"/>
    <w:multiLevelType w:val="hybridMultilevel"/>
    <w:tmpl w:val="18E2DA16"/>
    <w:lvl w:ilvl="0" w:tplc="2A824C80">
      <w:start w:val="1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7"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4"/>
  </w:num>
  <w:num w:numId="2">
    <w:abstractNumId w:val="10"/>
  </w:num>
  <w:num w:numId="3">
    <w:abstractNumId w:val="13"/>
  </w:num>
  <w:num w:numId="4">
    <w:abstractNumId w:val="11"/>
  </w:num>
  <w:num w:numId="5">
    <w:abstractNumId w:val="27"/>
  </w:num>
  <w:num w:numId="6">
    <w:abstractNumId w:val="17"/>
  </w:num>
  <w:num w:numId="7">
    <w:abstractNumId w:val="12"/>
  </w:num>
  <w:num w:numId="8">
    <w:abstractNumId w:val="5"/>
  </w:num>
  <w:num w:numId="9">
    <w:abstractNumId w:val="23"/>
  </w:num>
  <w:num w:numId="10">
    <w:abstractNumId w:val="24"/>
  </w:num>
  <w:num w:numId="11">
    <w:abstractNumId w:val="3"/>
  </w:num>
  <w:num w:numId="12">
    <w:abstractNumId w:val="21"/>
  </w:num>
  <w:num w:numId="13">
    <w:abstractNumId w:val="4"/>
  </w:num>
  <w:num w:numId="14">
    <w:abstractNumId w:val="19"/>
  </w:num>
  <w:num w:numId="15">
    <w:abstractNumId w:val="2"/>
  </w:num>
  <w:num w:numId="16">
    <w:abstractNumId w:val="15"/>
  </w:num>
  <w:num w:numId="17">
    <w:abstractNumId w:val="8"/>
  </w:num>
  <w:num w:numId="18">
    <w:abstractNumId w:val="16"/>
  </w:num>
  <w:num w:numId="19">
    <w:abstractNumId w:val="0"/>
  </w:num>
  <w:num w:numId="20">
    <w:abstractNumId w:val="26"/>
  </w:num>
  <w:num w:numId="21">
    <w:abstractNumId w:val="4"/>
  </w:num>
  <w:num w:numId="22">
    <w:abstractNumId w:val="0"/>
  </w:num>
  <w:num w:numId="23">
    <w:abstractNumId w:val="26"/>
  </w:num>
  <w:num w:numId="24">
    <w:abstractNumId w:val="4"/>
  </w:num>
  <w:num w:numId="25">
    <w:abstractNumId w:val="23"/>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9"/>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5"/>
  </w:num>
  <w:num w:numId="32">
    <w:abstractNumId w:val="1"/>
  </w:num>
  <w:num w:numId="33">
    <w:abstractNumId w:val="18"/>
  </w:num>
  <w:num w:numId="34">
    <w:abstractNumId w:val="7"/>
  </w:num>
  <w:num w:numId="35">
    <w:abstractNumId w:val="2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0599F"/>
    <w:rsid w:val="00006787"/>
    <w:rsid w:val="000108AC"/>
    <w:rsid w:val="000142A5"/>
    <w:rsid w:val="0001704F"/>
    <w:rsid w:val="000178F9"/>
    <w:rsid w:val="00021991"/>
    <w:rsid w:val="00026301"/>
    <w:rsid w:val="000268BB"/>
    <w:rsid w:val="00027A28"/>
    <w:rsid w:val="000301FC"/>
    <w:rsid w:val="00033A04"/>
    <w:rsid w:val="00035BD5"/>
    <w:rsid w:val="00045ED1"/>
    <w:rsid w:val="00047149"/>
    <w:rsid w:val="000618E4"/>
    <w:rsid w:val="00063F2A"/>
    <w:rsid w:val="0006563E"/>
    <w:rsid w:val="00067D5A"/>
    <w:rsid w:val="0007595B"/>
    <w:rsid w:val="000763C7"/>
    <w:rsid w:val="0007696C"/>
    <w:rsid w:val="00083BFD"/>
    <w:rsid w:val="00083E5A"/>
    <w:rsid w:val="00084B79"/>
    <w:rsid w:val="00091FA1"/>
    <w:rsid w:val="000955DF"/>
    <w:rsid w:val="00097C68"/>
    <w:rsid w:val="000A1AC8"/>
    <w:rsid w:val="000A457D"/>
    <w:rsid w:val="000A499B"/>
    <w:rsid w:val="000A54F6"/>
    <w:rsid w:val="000A6089"/>
    <w:rsid w:val="000B0338"/>
    <w:rsid w:val="000B4C56"/>
    <w:rsid w:val="000B544E"/>
    <w:rsid w:val="000C6752"/>
    <w:rsid w:val="000D3228"/>
    <w:rsid w:val="000D5B2A"/>
    <w:rsid w:val="000E2B81"/>
    <w:rsid w:val="000E306E"/>
    <w:rsid w:val="000E37A6"/>
    <w:rsid w:val="000E78BD"/>
    <w:rsid w:val="000F15CC"/>
    <w:rsid w:val="001058B6"/>
    <w:rsid w:val="00107C52"/>
    <w:rsid w:val="001123DE"/>
    <w:rsid w:val="001212C3"/>
    <w:rsid w:val="00122748"/>
    <w:rsid w:val="00122D0A"/>
    <w:rsid w:val="00124012"/>
    <w:rsid w:val="001253C6"/>
    <w:rsid w:val="00132276"/>
    <w:rsid w:val="00134EF6"/>
    <w:rsid w:val="0013638D"/>
    <w:rsid w:val="001406B2"/>
    <w:rsid w:val="001454CF"/>
    <w:rsid w:val="00145A6A"/>
    <w:rsid w:val="00146812"/>
    <w:rsid w:val="0014704F"/>
    <w:rsid w:val="001500CE"/>
    <w:rsid w:val="001501BE"/>
    <w:rsid w:val="00153070"/>
    <w:rsid w:val="00156CDE"/>
    <w:rsid w:val="001653AA"/>
    <w:rsid w:val="00166EE7"/>
    <w:rsid w:val="001671BC"/>
    <w:rsid w:val="00172AC4"/>
    <w:rsid w:val="00176541"/>
    <w:rsid w:val="00180DEF"/>
    <w:rsid w:val="00180FD6"/>
    <w:rsid w:val="001811EB"/>
    <w:rsid w:val="00182B12"/>
    <w:rsid w:val="00186B84"/>
    <w:rsid w:val="00195BF7"/>
    <w:rsid w:val="00196BAC"/>
    <w:rsid w:val="001A1F72"/>
    <w:rsid w:val="001A22FF"/>
    <w:rsid w:val="001A28F7"/>
    <w:rsid w:val="001A2F44"/>
    <w:rsid w:val="001A4D5C"/>
    <w:rsid w:val="001B0EF5"/>
    <w:rsid w:val="001B462D"/>
    <w:rsid w:val="001C068B"/>
    <w:rsid w:val="001C15A4"/>
    <w:rsid w:val="001D5578"/>
    <w:rsid w:val="001D5FDB"/>
    <w:rsid w:val="001D6CBF"/>
    <w:rsid w:val="001E01CC"/>
    <w:rsid w:val="001E1E82"/>
    <w:rsid w:val="001E2844"/>
    <w:rsid w:val="001E4A00"/>
    <w:rsid w:val="001E7813"/>
    <w:rsid w:val="001E7D11"/>
    <w:rsid w:val="001F1307"/>
    <w:rsid w:val="001F26AB"/>
    <w:rsid w:val="001F3330"/>
    <w:rsid w:val="001F442E"/>
    <w:rsid w:val="001F5F2A"/>
    <w:rsid w:val="00207BFF"/>
    <w:rsid w:val="002276C4"/>
    <w:rsid w:val="002370D8"/>
    <w:rsid w:val="002430B2"/>
    <w:rsid w:val="0024348A"/>
    <w:rsid w:val="00244FE8"/>
    <w:rsid w:val="00245252"/>
    <w:rsid w:val="00245BCB"/>
    <w:rsid w:val="002549A7"/>
    <w:rsid w:val="0026359E"/>
    <w:rsid w:val="002704C5"/>
    <w:rsid w:val="002822B8"/>
    <w:rsid w:val="00282D47"/>
    <w:rsid w:val="002866D4"/>
    <w:rsid w:val="00292AF4"/>
    <w:rsid w:val="00294B40"/>
    <w:rsid w:val="00296D4F"/>
    <w:rsid w:val="002A02F0"/>
    <w:rsid w:val="002A25A0"/>
    <w:rsid w:val="002A30A7"/>
    <w:rsid w:val="002A5DD8"/>
    <w:rsid w:val="002B0C9F"/>
    <w:rsid w:val="002B62CE"/>
    <w:rsid w:val="002B641E"/>
    <w:rsid w:val="002B6882"/>
    <w:rsid w:val="002C22E8"/>
    <w:rsid w:val="002C2605"/>
    <w:rsid w:val="002C6EB7"/>
    <w:rsid w:val="002D1E1E"/>
    <w:rsid w:val="002D422B"/>
    <w:rsid w:val="002D4F92"/>
    <w:rsid w:val="002D5409"/>
    <w:rsid w:val="002D6B98"/>
    <w:rsid w:val="002E33E6"/>
    <w:rsid w:val="002E4EBD"/>
    <w:rsid w:val="002E528D"/>
    <w:rsid w:val="002E5DD1"/>
    <w:rsid w:val="002F3180"/>
    <w:rsid w:val="002F3BC8"/>
    <w:rsid w:val="002F481D"/>
    <w:rsid w:val="002F670D"/>
    <w:rsid w:val="00300FF7"/>
    <w:rsid w:val="00301C03"/>
    <w:rsid w:val="00303267"/>
    <w:rsid w:val="00306CF3"/>
    <w:rsid w:val="00312F97"/>
    <w:rsid w:val="00313481"/>
    <w:rsid w:val="003159D9"/>
    <w:rsid w:val="00315DE6"/>
    <w:rsid w:val="00317260"/>
    <w:rsid w:val="00317381"/>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5852"/>
    <w:rsid w:val="003869F1"/>
    <w:rsid w:val="00387409"/>
    <w:rsid w:val="003879BC"/>
    <w:rsid w:val="00397B30"/>
    <w:rsid w:val="00397D67"/>
    <w:rsid w:val="003A0159"/>
    <w:rsid w:val="003B1304"/>
    <w:rsid w:val="003B1D9D"/>
    <w:rsid w:val="003C0E89"/>
    <w:rsid w:val="003C7D9C"/>
    <w:rsid w:val="003D3AD0"/>
    <w:rsid w:val="003D7B2E"/>
    <w:rsid w:val="003E280D"/>
    <w:rsid w:val="003E7270"/>
    <w:rsid w:val="0040246E"/>
    <w:rsid w:val="004055FF"/>
    <w:rsid w:val="00405787"/>
    <w:rsid w:val="0040759C"/>
    <w:rsid w:val="00411575"/>
    <w:rsid w:val="0043127D"/>
    <w:rsid w:val="004324DE"/>
    <w:rsid w:val="00434DA1"/>
    <w:rsid w:val="004366C5"/>
    <w:rsid w:val="004434EF"/>
    <w:rsid w:val="00443BF9"/>
    <w:rsid w:val="00447E39"/>
    <w:rsid w:val="00456357"/>
    <w:rsid w:val="004707AE"/>
    <w:rsid w:val="00481352"/>
    <w:rsid w:val="00487CD9"/>
    <w:rsid w:val="004928D3"/>
    <w:rsid w:val="00493EDC"/>
    <w:rsid w:val="0049470D"/>
    <w:rsid w:val="00494A8F"/>
    <w:rsid w:val="004972D7"/>
    <w:rsid w:val="004A1416"/>
    <w:rsid w:val="004A5DE7"/>
    <w:rsid w:val="004B0AB0"/>
    <w:rsid w:val="004C2299"/>
    <w:rsid w:val="004C7660"/>
    <w:rsid w:val="004D05FB"/>
    <w:rsid w:val="004D305D"/>
    <w:rsid w:val="004D3B50"/>
    <w:rsid w:val="004F1A3A"/>
    <w:rsid w:val="004F2D31"/>
    <w:rsid w:val="004F38CB"/>
    <w:rsid w:val="004F7520"/>
    <w:rsid w:val="00512733"/>
    <w:rsid w:val="00522557"/>
    <w:rsid w:val="005309AF"/>
    <w:rsid w:val="005350C8"/>
    <w:rsid w:val="00535700"/>
    <w:rsid w:val="0054027F"/>
    <w:rsid w:val="00540715"/>
    <w:rsid w:val="005422EE"/>
    <w:rsid w:val="00543BC4"/>
    <w:rsid w:val="00550020"/>
    <w:rsid w:val="0055239E"/>
    <w:rsid w:val="00554A3D"/>
    <w:rsid w:val="00561D75"/>
    <w:rsid w:val="00565713"/>
    <w:rsid w:val="0057093A"/>
    <w:rsid w:val="005709F9"/>
    <w:rsid w:val="005832F4"/>
    <w:rsid w:val="005849BB"/>
    <w:rsid w:val="005A2FD3"/>
    <w:rsid w:val="005A68E5"/>
    <w:rsid w:val="005B2607"/>
    <w:rsid w:val="005B2C37"/>
    <w:rsid w:val="005B4B4B"/>
    <w:rsid w:val="005C36D6"/>
    <w:rsid w:val="005C578A"/>
    <w:rsid w:val="005C6FB0"/>
    <w:rsid w:val="005D1CD8"/>
    <w:rsid w:val="005D31A9"/>
    <w:rsid w:val="005D738A"/>
    <w:rsid w:val="005E0B66"/>
    <w:rsid w:val="005E1469"/>
    <w:rsid w:val="005E6C5B"/>
    <w:rsid w:val="005E7804"/>
    <w:rsid w:val="005F179D"/>
    <w:rsid w:val="005F2F23"/>
    <w:rsid w:val="005F3A6D"/>
    <w:rsid w:val="005F40AF"/>
    <w:rsid w:val="00610CCD"/>
    <w:rsid w:val="006126E4"/>
    <w:rsid w:val="006167C6"/>
    <w:rsid w:val="00620482"/>
    <w:rsid w:val="006238B0"/>
    <w:rsid w:val="0062496B"/>
    <w:rsid w:val="00625B16"/>
    <w:rsid w:val="00633AAE"/>
    <w:rsid w:val="006409C2"/>
    <w:rsid w:val="00657DEF"/>
    <w:rsid w:val="00672031"/>
    <w:rsid w:val="00675D87"/>
    <w:rsid w:val="00676FA2"/>
    <w:rsid w:val="0067719F"/>
    <w:rsid w:val="00686506"/>
    <w:rsid w:val="00690152"/>
    <w:rsid w:val="00692323"/>
    <w:rsid w:val="00695524"/>
    <w:rsid w:val="006A07A1"/>
    <w:rsid w:val="006A137A"/>
    <w:rsid w:val="006A5AD8"/>
    <w:rsid w:val="006A68A3"/>
    <w:rsid w:val="006A71AF"/>
    <w:rsid w:val="006B43CC"/>
    <w:rsid w:val="006B61AE"/>
    <w:rsid w:val="006B63A9"/>
    <w:rsid w:val="006B747C"/>
    <w:rsid w:val="006C1555"/>
    <w:rsid w:val="006C25D8"/>
    <w:rsid w:val="006C3142"/>
    <w:rsid w:val="006C399E"/>
    <w:rsid w:val="006C3A41"/>
    <w:rsid w:val="006E2944"/>
    <w:rsid w:val="006E5622"/>
    <w:rsid w:val="006E5E3B"/>
    <w:rsid w:val="006E764B"/>
    <w:rsid w:val="006F76FA"/>
    <w:rsid w:val="00702CFD"/>
    <w:rsid w:val="00703FBD"/>
    <w:rsid w:val="00715AA2"/>
    <w:rsid w:val="00716434"/>
    <w:rsid w:val="00716DE0"/>
    <w:rsid w:val="007175DC"/>
    <w:rsid w:val="00726A1B"/>
    <w:rsid w:val="00730C9D"/>
    <w:rsid w:val="007330D2"/>
    <w:rsid w:val="00736599"/>
    <w:rsid w:val="007445F3"/>
    <w:rsid w:val="00761714"/>
    <w:rsid w:val="00764530"/>
    <w:rsid w:val="0076599A"/>
    <w:rsid w:val="00770607"/>
    <w:rsid w:val="00770C43"/>
    <w:rsid w:val="00782B93"/>
    <w:rsid w:val="00784C0B"/>
    <w:rsid w:val="007A4723"/>
    <w:rsid w:val="007A4D6B"/>
    <w:rsid w:val="007A7EBE"/>
    <w:rsid w:val="007B1D49"/>
    <w:rsid w:val="007C28BF"/>
    <w:rsid w:val="007C7436"/>
    <w:rsid w:val="007D5609"/>
    <w:rsid w:val="007E543F"/>
    <w:rsid w:val="007F0FF0"/>
    <w:rsid w:val="007F5145"/>
    <w:rsid w:val="007F5285"/>
    <w:rsid w:val="00800DEE"/>
    <w:rsid w:val="008026FF"/>
    <w:rsid w:val="00807EAC"/>
    <w:rsid w:val="00810932"/>
    <w:rsid w:val="00815C5A"/>
    <w:rsid w:val="00817CD2"/>
    <w:rsid w:val="0082076B"/>
    <w:rsid w:val="008214CF"/>
    <w:rsid w:val="00824F9F"/>
    <w:rsid w:val="008300C3"/>
    <w:rsid w:val="008508DF"/>
    <w:rsid w:val="00851688"/>
    <w:rsid w:val="00853596"/>
    <w:rsid w:val="008550E6"/>
    <w:rsid w:val="00855652"/>
    <w:rsid w:val="00863A73"/>
    <w:rsid w:val="00864D19"/>
    <w:rsid w:val="00864EC9"/>
    <w:rsid w:val="0086663A"/>
    <w:rsid w:val="008700CD"/>
    <w:rsid w:val="00872559"/>
    <w:rsid w:val="00883889"/>
    <w:rsid w:val="00884C50"/>
    <w:rsid w:val="008861AE"/>
    <w:rsid w:val="008A5FFD"/>
    <w:rsid w:val="008B6C3D"/>
    <w:rsid w:val="008B7C8E"/>
    <w:rsid w:val="008C255D"/>
    <w:rsid w:val="008D4A04"/>
    <w:rsid w:val="008F01A1"/>
    <w:rsid w:val="008F3DD1"/>
    <w:rsid w:val="008F70EE"/>
    <w:rsid w:val="00905279"/>
    <w:rsid w:val="00910B53"/>
    <w:rsid w:val="00910C95"/>
    <w:rsid w:val="009131CF"/>
    <w:rsid w:val="00925D13"/>
    <w:rsid w:val="00925DD0"/>
    <w:rsid w:val="009407A5"/>
    <w:rsid w:val="00944CD9"/>
    <w:rsid w:val="00947F65"/>
    <w:rsid w:val="00953CC7"/>
    <w:rsid w:val="00962B5C"/>
    <w:rsid w:val="00972A49"/>
    <w:rsid w:val="0097330C"/>
    <w:rsid w:val="00981D63"/>
    <w:rsid w:val="0098622E"/>
    <w:rsid w:val="00986ACB"/>
    <w:rsid w:val="00986BCD"/>
    <w:rsid w:val="009872D2"/>
    <w:rsid w:val="00990145"/>
    <w:rsid w:val="009910AF"/>
    <w:rsid w:val="00997A96"/>
    <w:rsid w:val="009A54A9"/>
    <w:rsid w:val="009B4C7A"/>
    <w:rsid w:val="009D0D4F"/>
    <w:rsid w:val="009D1FD1"/>
    <w:rsid w:val="009E5070"/>
    <w:rsid w:val="009E51B8"/>
    <w:rsid w:val="009E7C53"/>
    <w:rsid w:val="009E7F93"/>
    <w:rsid w:val="009F5A69"/>
    <w:rsid w:val="00A03240"/>
    <w:rsid w:val="00A06F30"/>
    <w:rsid w:val="00A152A7"/>
    <w:rsid w:val="00A1535E"/>
    <w:rsid w:val="00A16794"/>
    <w:rsid w:val="00A248E8"/>
    <w:rsid w:val="00A26094"/>
    <w:rsid w:val="00A2628D"/>
    <w:rsid w:val="00A33182"/>
    <w:rsid w:val="00A34FBA"/>
    <w:rsid w:val="00A3523F"/>
    <w:rsid w:val="00A3679A"/>
    <w:rsid w:val="00A45144"/>
    <w:rsid w:val="00A47273"/>
    <w:rsid w:val="00A63BEA"/>
    <w:rsid w:val="00A66DE0"/>
    <w:rsid w:val="00A759DF"/>
    <w:rsid w:val="00A812D1"/>
    <w:rsid w:val="00A85FAA"/>
    <w:rsid w:val="00A874E5"/>
    <w:rsid w:val="00A906C8"/>
    <w:rsid w:val="00A9193F"/>
    <w:rsid w:val="00A97A9C"/>
    <w:rsid w:val="00AA00E1"/>
    <w:rsid w:val="00AA1A95"/>
    <w:rsid w:val="00AA4A49"/>
    <w:rsid w:val="00AB120E"/>
    <w:rsid w:val="00AB2620"/>
    <w:rsid w:val="00AB2C89"/>
    <w:rsid w:val="00AB569E"/>
    <w:rsid w:val="00AC1AEE"/>
    <w:rsid w:val="00AD547D"/>
    <w:rsid w:val="00AD6972"/>
    <w:rsid w:val="00AD7590"/>
    <w:rsid w:val="00AE34E0"/>
    <w:rsid w:val="00AE564D"/>
    <w:rsid w:val="00AF242F"/>
    <w:rsid w:val="00AF3510"/>
    <w:rsid w:val="00AF5344"/>
    <w:rsid w:val="00AF5FDD"/>
    <w:rsid w:val="00AF66F9"/>
    <w:rsid w:val="00B01F87"/>
    <w:rsid w:val="00B06EB8"/>
    <w:rsid w:val="00B12254"/>
    <w:rsid w:val="00B1799D"/>
    <w:rsid w:val="00B17E02"/>
    <w:rsid w:val="00B25D6A"/>
    <w:rsid w:val="00B26CB2"/>
    <w:rsid w:val="00B32403"/>
    <w:rsid w:val="00B33728"/>
    <w:rsid w:val="00B34BE2"/>
    <w:rsid w:val="00B35440"/>
    <w:rsid w:val="00B403CA"/>
    <w:rsid w:val="00B51528"/>
    <w:rsid w:val="00B531C6"/>
    <w:rsid w:val="00B537FB"/>
    <w:rsid w:val="00B538A4"/>
    <w:rsid w:val="00B57916"/>
    <w:rsid w:val="00B63A75"/>
    <w:rsid w:val="00B72B16"/>
    <w:rsid w:val="00B754A0"/>
    <w:rsid w:val="00B778E2"/>
    <w:rsid w:val="00B80A58"/>
    <w:rsid w:val="00B83621"/>
    <w:rsid w:val="00BA13FC"/>
    <w:rsid w:val="00BA5E92"/>
    <w:rsid w:val="00BA7588"/>
    <w:rsid w:val="00BB1499"/>
    <w:rsid w:val="00BB39A4"/>
    <w:rsid w:val="00BC2CD0"/>
    <w:rsid w:val="00BC75DF"/>
    <w:rsid w:val="00BD5798"/>
    <w:rsid w:val="00BD6022"/>
    <w:rsid w:val="00BD630F"/>
    <w:rsid w:val="00BD6484"/>
    <w:rsid w:val="00BE1183"/>
    <w:rsid w:val="00BE2FFC"/>
    <w:rsid w:val="00BE7420"/>
    <w:rsid w:val="00BF4ECA"/>
    <w:rsid w:val="00C0119C"/>
    <w:rsid w:val="00C01591"/>
    <w:rsid w:val="00C370C3"/>
    <w:rsid w:val="00C37839"/>
    <w:rsid w:val="00C42A11"/>
    <w:rsid w:val="00C44C8A"/>
    <w:rsid w:val="00C44D42"/>
    <w:rsid w:val="00C45EE8"/>
    <w:rsid w:val="00C56D25"/>
    <w:rsid w:val="00C5719D"/>
    <w:rsid w:val="00C66BDF"/>
    <w:rsid w:val="00C6736B"/>
    <w:rsid w:val="00C73C7B"/>
    <w:rsid w:val="00C8008F"/>
    <w:rsid w:val="00C808A5"/>
    <w:rsid w:val="00C847CC"/>
    <w:rsid w:val="00C909EB"/>
    <w:rsid w:val="00C96549"/>
    <w:rsid w:val="00CA0CCB"/>
    <w:rsid w:val="00CA6AE6"/>
    <w:rsid w:val="00CA6B7B"/>
    <w:rsid w:val="00CB02BA"/>
    <w:rsid w:val="00CB2C2B"/>
    <w:rsid w:val="00CB4597"/>
    <w:rsid w:val="00CB617E"/>
    <w:rsid w:val="00CB7144"/>
    <w:rsid w:val="00CC10F2"/>
    <w:rsid w:val="00CD0CF0"/>
    <w:rsid w:val="00CD58C0"/>
    <w:rsid w:val="00CE1D93"/>
    <w:rsid w:val="00CE2DF6"/>
    <w:rsid w:val="00CE6FC5"/>
    <w:rsid w:val="00CE7E24"/>
    <w:rsid w:val="00CF1887"/>
    <w:rsid w:val="00CF2DB5"/>
    <w:rsid w:val="00CF4177"/>
    <w:rsid w:val="00CF45ED"/>
    <w:rsid w:val="00CF6677"/>
    <w:rsid w:val="00D03AAD"/>
    <w:rsid w:val="00D12AF9"/>
    <w:rsid w:val="00D13788"/>
    <w:rsid w:val="00D1512C"/>
    <w:rsid w:val="00D156AD"/>
    <w:rsid w:val="00D16310"/>
    <w:rsid w:val="00D20058"/>
    <w:rsid w:val="00D24E5A"/>
    <w:rsid w:val="00D33C3E"/>
    <w:rsid w:val="00D345F1"/>
    <w:rsid w:val="00D34F47"/>
    <w:rsid w:val="00D35EEE"/>
    <w:rsid w:val="00D41D5F"/>
    <w:rsid w:val="00D43350"/>
    <w:rsid w:val="00D4647C"/>
    <w:rsid w:val="00D513AB"/>
    <w:rsid w:val="00D53D6F"/>
    <w:rsid w:val="00D57E0B"/>
    <w:rsid w:val="00D57F31"/>
    <w:rsid w:val="00D60287"/>
    <w:rsid w:val="00D60BA1"/>
    <w:rsid w:val="00D61364"/>
    <w:rsid w:val="00D66E11"/>
    <w:rsid w:val="00D67CD8"/>
    <w:rsid w:val="00D71234"/>
    <w:rsid w:val="00D736A7"/>
    <w:rsid w:val="00D73ECF"/>
    <w:rsid w:val="00D8196E"/>
    <w:rsid w:val="00D8409D"/>
    <w:rsid w:val="00D84657"/>
    <w:rsid w:val="00D8497C"/>
    <w:rsid w:val="00D84DF8"/>
    <w:rsid w:val="00D87654"/>
    <w:rsid w:val="00D94A05"/>
    <w:rsid w:val="00D95C8C"/>
    <w:rsid w:val="00DA2264"/>
    <w:rsid w:val="00DA28AD"/>
    <w:rsid w:val="00DA7BD7"/>
    <w:rsid w:val="00DB0B3E"/>
    <w:rsid w:val="00DB291A"/>
    <w:rsid w:val="00DB680D"/>
    <w:rsid w:val="00DC10AE"/>
    <w:rsid w:val="00DC39A6"/>
    <w:rsid w:val="00DC6A94"/>
    <w:rsid w:val="00DD2499"/>
    <w:rsid w:val="00DD3684"/>
    <w:rsid w:val="00DE5E35"/>
    <w:rsid w:val="00DF32EB"/>
    <w:rsid w:val="00DF4BE6"/>
    <w:rsid w:val="00DF50D1"/>
    <w:rsid w:val="00DF6477"/>
    <w:rsid w:val="00E04FB7"/>
    <w:rsid w:val="00E060FC"/>
    <w:rsid w:val="00E11584"/>
    <w:rsid w:val="00E214D8"/>
    <w:rsid w:val="00E26F22"/>
    <w:rsid w:val="00E27F60"/>
    <w:rsid w:val="00E32CDD"/>
    <w:rsid w:val="00E360F4"/>
    <w:rsid w:val="00E4133F"/>
    <w:rsid w:val="00E431CD"/>
    <w:rsid w:val="00E43304"/>
    <w:rsid w:val="00E503F2"/>
    <w:rsid w:val="00E506E9"/>
    <w:rsid w:val="00E507B6"/>
    <w:rsid w:val="00E51177"/>
    <w:rsid w:val="00E51390"/>
    <w:rsid w:val="00E56573"/>
    <w:rsid w:val="00E61D1C"/>
    <w:rsid w:val="00E6276E"/>
    <w:rsid w:val="00E62D5A"/>
    <w:rsid w:val="00E66CB1"/>
    <w:rsid w:val="00E721CE"/>
    <w:rsid w:val="00E73E62"/>
    <w:rsid w:val="00E87164"/>
    <w:rsid w:val="00EA1137"/>
    <w:rsid w:val="00EA5AAB"/>
    <w:rsid w:val="00EB140A"/>
    <w:rsid w:val="00EB35EE"/>
    <w:rsid w:val="00EB73A2"/>
    <w:rsid w:val="00EC3358"/>
    <w:rsid w:val="00EC487D"/>
    <w:rsid w:val="00ED34B6"/>
    <w:rsid w:val="00EE147F"/>
    <w:rsid w:val="00EE347E"/>
    <w:rsid w:val="00EE4763"/>
    <w:rsid w:val="00EF3703"/>
    <w:rsid w:val="00EF5732"/>
    <w:rsid w:val="00EF610E"/>
    <w:rsid w:val="00F05158"/>
    <w:rsid w:val="00F05733"/>
    <w:rsid w:val="00F0661F"/>
    <w:rsid w:val="00F11281"/>
    <w:rsid w:val="00F17EC0"/>
    <w:rsid w:val="00F239F7"/>
    <w:rsid w:val="00F25659"/>
    <w:rsid w:val="00F31B26"/>
    <w:rsid w:val="00F31B88"/>
    <w:rsid w:val="00F31E35"/>
    <w:rsid w:val="00F34BA6"/>
    <w:rsid w:val="00F401C7"/>
    <w:rsid w:val="00F40221"/>
    <w:rsid w:val="00F519AA"/>
    <w:rsid w:val="00F533B8"/>
    <w:rsid w:val="00F6208E"/>
    <w:rsid w:val="00F62D8D"/>
    <w:rsid w:val="00F66B04"/>
    <w:rsid w:val="00F6756E"/>
    <w:rsid w:val="00F70B72"/>
    <w:rsid w:val="00F70C6A"/>
    <w:rsid w:val="00F76F5F"/>
    <w:rsid w:val="00F77858"/>
    <w:rsid w:val="00F802BB"/>
    <w:rsid w:val="00F80618"/>
    <w:rsid w:val="00F81D60"/>
    <w:rsid w:val="00F8216A"/>
    <w:rsid w:val="00F90FD4"/>
    <w:rsid w:val="00F9219D"/>
    <w:rsid w:val="00FA21F5"/>
    <w:rsid w:val="00FA2293"/>
    <w:rsid w:val="00FA6F27"/>
    <w:rsid w:val="00FB66B3"/>
    <w:rsid w:val="00FD5373"/>
    <w:rsid w:val="00FE07BC"/>
    <w:rsid w:val="00FE5B2C"/>
    <w:rsid w:val="00FF126F"/>
    <w:rsid w:val="00FF15EC"/>
    <w:rsid w:val="00FF2455"/>
    <w:rsid w:val="00FF384F"/>
    <w:rsid w:val="00FF3F7C"/>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61CF0"/>
  <w15:docId w15:val="{3B9FC40F-15D5-45B3-83FF-C8A52A44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basedOn w:val="DefaultParagraphFont"/>
    <w:uiPriority w:val="99"/>
    <w:qForma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qFormat/>
    <w:rsid w:val="003B1304"/>
    <w:pPr>
      <w:jc w:val="center"/>
    </w:pPr>
    <w:rPr>
      <w:rFonts w:ascii="Arial Narrow" w:hAnsi="Arial Narrow"/>
      <w:szCs w:val="20"/>
    </w:rPr>
  </w:style>
  <w:style w:type="character" w:customStyle="1" w:styleId="TitleChar">
    <w:name w:val="Title Char"/>
    <w:basedOn w:val="DefaultParagraphFont"/>
    <w:link w:val="Title"/>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rsid w:val="00554A3D"/>
    <w:rPr>
      <w:sz w:val="16"/>
      <w:szCs w:val="16"/>
    </w:rPr>
  </w:style>
  <w:style w:type="paragraph" w:styleId="BodyText2">
    <w:name w:val="Body Text 2"/>
    <w:basedOn w:val="Normal"/>
    <w:link w:val="BodyText2Char"/>
    <w:uiPriority w:val="99"/>
    <w:semiHidden/>
    <w:unhideWhenUsed/>
    <w:rsid w:val="00EF5732"/>
    <w:pPr>
      <w:spacing w:after="120" w:line="480" w:lineRule="auto"/>
    </w:pPr>
  </w:style>
  <w:style w:type="character" w:customStyle="1" w:styleId="BodyText2Char">
    <w:name w:val="Body Text 2 Char"/>
    <w:basedOn w:val="DefaultParagraphFont"/>
    <w:link w:val="BodyText2"/>
    <w:uiPriority w:val="99"/>
    <w:semiHidden/>
    <w:rsid w:val="00EF57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07663">
      <w:bodyDiv w:val="1"/>
      <w:marLeft w:val="0"/>
      <w:marRight w:val="0"/>
      <w:marTop w:val="0"/>
      <w:marBottom w:val="0"/>
      <w:divBdr>
        <w:top w:val="none" w:sz="0" w:space="0" w:color="auto"/>
        <w:left w:val="none" w:sz="0" w:space="0" w:color="auto"/>
        <w:bottom w:val="none" w:sz="0" w:space="0" w:color="auto"/>
        <w:right w:val="none" w:sz="0" w:space="0" w:color="auto"/>
      </w:divBdr>
    </w:div>
    <w:div w:id="466246459">
      <w:bodyDiv w:val="1"/>
      <w:marLeft w:val="0"/>
      <w:marRight w:val="0"/>
      <w:marTop w:val="0"/>
      <w:marBottom w:val="0"/>
      <w:divBdr>
        <w:top w:val="none" w:sz="0" w:space="0" w:color="auto"/>
        <w:left w:val="none" w:sz="0" w:space="0" w:color="auto"/>
        <w:bottom w:val="none" w:sz="0" w:space="0" w:color="auto"/>
        <w:right w:val="none" w:sz="0" w:space="0" w:color="auto"/>
      </w:divBdr>
    </w:div>
    <w:div w:id="673456733">
      <w:bodyDiv w:val="1"/>
      <w:marLeft w:val="0"/>
      <w:marRight w:val="0"/>
      <w:marTop w:val="0"/>
      <w:marBottom w:val="0"/>
      <w:divBdr>
        <w:top w:val="none" w:sz="0" w:space="0" w:color="auto"/>
        <w:left w:val="none" w:sz="0" w:space="0" w:color="auto"/>
        <w:bottom w:val="none" w:sz="0" w:space="0" w:color="auto"/>
        <w:right w:val="none" w:sz="0" w:space="0" w:color="auto"/>
      </w:divBdr>
    </w:div>
    <w:div w:id="842815872">
      <w:bodyDiv w:val="1"/>
      <w:marLeft w:val="0"/>
      <w:marRight w:val="0"/>
      <w:marTop w:val="0"/>
      <w:marBottom w:val="0"/>
      <w:divBdr>
        <w:top w:val="none" w:sz="0" w:space="0" w:color="auto"/>
        <w:left w:val="none" w:sz="0" w:space="0" w:color="auto"/>
        <w:bottom w:val="none" w:sz="0" w:space="0" w:color="auto"/>
        <w:right w:val="none" w:sz="0" w:space="0" w:color="auto"/>
      </w:divBdr>
    </w:div>
    <w:div w:id="867721594">
      <w:bodyDiv w:val="1"/>
      <w:marLeft w:val="0"/>
      <w:marRight w:val="0"/>
      <w:marTop w:val="0"/>
      <w:marBottom w:val="0"/>
      <w:divBdr>
        <w:top w:val="none" w:sz="0" w:space="0" w:color="auto"/>
        <w:left w:val="none" w:sz="0" w:space="0" w:color="auto"/>
        <w:bottom w:val="none" w:sz="0" w:space="0" w:color="auto"/>
        <w:right w:val="none" w:sz="0" w:space="0" w:color="auto"/>
      </w:divBdr>
    </w:div>
    <w:div w:id="1129010176">
      <w:bodyDiv w:val="1"/>
      <w:marLeft w:val="0"/>
      <w:marRight w:val="0"/>
      <w:marTop w:val="0"/>
      <w:marBottom w:val="0"/>
      <w:divBdr>
        <w:top w:val="none" w:sz="0" w:space="0" w:color="auto"/>
        <w:left w:val="none" w:sz="0" w:space="0" w:color="auto"/>
        <w:bottom w:val="none" w:sz="0" w:space="0" w:color="auto"/>
        <w:right w:val="none" w:sz="0" w:space="0" w:color="auto"/>
      </w:divBdr>
    </w:div>
    <w:div w:id="1180123636">
      <w:bodyDiv w:val="1"/>
      <w:marLeft w:val="0"/>
      <w:marRight w:val="0"/>
      <w:marTop w:val="0"/>
      <w:marBottom w:val="0"/>
      <w:divBdr>
        <w:top w:val="none" w:sz="0" w:space="0" w:color="auto"/>
        <w:left w:val="none" w:sz="0" w:space="0" w:color="auto"/>
        <w:bottom w:val="none" w:sz="0" w:space="0" w:color="auto"/>
        <w:right w:val="none" w:sz="0" w:space="0" w:color="auto"/>
      </w:divBdr>
    </w:div>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74794363">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news/news/press/2020/pr200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30960-0649-4DFF-9365-4D5F2E2A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6722</Words>
  <Characters>38160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44793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Gottlieb, Mary</cp:lastModifiedBy>
  <cp:revision>6</cp:revision>
  <cp:lastPrinted>2019-05-21T19:02:00Z</cp:lastPrinted>
  <dcterms:created xsi:type="dcterms:W3CDTF">2020-12-28T15:49:00Z</dcterms:created>
  <dcterms:modified xsi:type="dcterms:W3CDTF">2020-12-28T18:28:00Z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