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53F19" w:rsidR="0081677F" w:rsidP="0081677F" w:rsidRDefault="00553F19" w14:paraId="0327DFFA" w14:textId="3A41ACF5">
      <w:pPr>
        <w:pStyle w:val="Default"/>
        <w:ind w:firstLine="720"/>
        <w:jc w:val="center"/>
        <w:rPr>
          <w:color w:val="auto"/>
        </w:rPr>
      </w:pPr>
      <w:r w:rsidRPr="00553F19">
        <w:rPr>
          <w:color w:val="auto"/>
        </w:rPr>
        <w:t>U</w:t>
      </w:r>
      <w:r>
        <w:rPr>
          <w:color w:val="auto"/>
        </w:rPr>
        <w:t xml:space="preserve">NITED STATES </w:t>
      </w:r>
      <w:r w:rsidRPr="00553F19">
        <w:rPr>
          <w:color w:val="auto"/>
        </w:rPr>
        <w:t xml:space="preserve">FOOD </w:t>
      </w:r>
      <w:r>
        <w:rPr>
          <w:color w:val="auto"/>
        </w:rPr>
        <w:t xml:space="preserve">&amp; </w:t>
      </w:r>
      <w:r w:rsidRPr="00553F19">
        <w:rPr>
          <w:color w:val="auto"/>
        </w:rPr>
        <w:t>DRUG ADMINISTRATION</w:t>
      </w:r>
    </w:p>
    <w:p w:rsidRPr="00F273C8" w:rsidR="0078270A" w:rsidP="0081677F" w:rsidRDefault="0078270A" w14:paraId="03F38DEA" w14:textId="77777777">
      <w:pPr>
        <w:pStyle w:val="Default"/>
        <w:ind w:firstLine="720"/>
        <w:jc w:val="center"/>
        <w:rPr>
          <w:b/>
          <w:color w:val="auto"/>
        </w:rPr>
      </w:pPr>
    </w:p>
    <w:p w:rsidR="00CC45B3" w:rsidP="0081677F" w:rsidRDefault="00CC45B3" w14:paraId="58BD0F0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Imports and Electronic Import Entries</w:t>
      </w:r>
    </w:p>
    <w:p w:rsidRPr="00F273C8" w:rsidR="0078270A" w:rsidP="0081677F" w:rsidRDefault="0078270A" w14:paraId="2C0470D4" w14:textId="77777777">
      <w:pPr>
        <w:pStyle w:val="Default"/>
        <w:ind w:firstLine="720"/>
        <w:jc w:val="center"/>
        <w:rPr>
          <w:rFonts w:eastAsia="Times New Roman"/>
          <w:b/>
          <w:color w:val="auto"/>
        </w:rPr>
      </w:pPr>
    </w:p>
    <w:p w:rsidRPr="00553F19" w:rsidR="0081677F" w:rsidP="0081677F" w:rsidRDefault="0081677F" w14:paraId="628D3CDA" w14:textId="78D30F65">
      <w:pPr>
        <w:pStyle w:val="Default"/>
        <w:ind w:firstLine="720"/>
        <w:jc w:val="center"/>
        <w:rPr>
          <w:rFonts w:eastAsia="Times New Roman"/>
          <w:color w:val="auto"/>
          <w:u w:val="single"/>
        </w:rPr>
      </w:pPr>
      <w:r w:rsidRPr="00553F19">
        <w:rPr>
          <w:rFonts w:eastAsia="Times New Roman"/>
          <w:color w:val="auto"/>
          <w:u w:val="single"/>
        </w:rPr>
        <w:t>OMB Control No. 0910-0</w:t>
      </w:r>
      <w:r w:rsidRPr="00553F19" w:rsidR="0078270A">
        <w:rPr>
          <w:rFonts w:eastAsia="Times New Roman"/>
          <w:color w:val="auto"/>
          <w:u w:val="single"/>
        </w:rPr>
        <w:t>04</w:t>
      </w:r>
      <w:r w:rsidR="00CC45B3">
        <w:rPr>
          <w:rFonts w:eastAsia="Times New Roman"/>
          <w:color w:val="auto"/>
          <w:u w:val="single"/>
        </w:rPr>
        <w:t>6</w:t>
      </w:r>
    </w:p>
    <w:p w:rsidRPr="00F273C8" w:rsidR="0081677F" w:rsidP="0081677F" w:rsidRDefault="0081677F" w14:paraId="5F644FD5" w14:textId="77777777">
      <w:pPr>
        <w:pStyle w:val="Default"/>
        <w:ind w:firstLine="720"/>
        <w:jc w:val="center"/>
        <w:rPr>
          <w:rFonts w:eastAsia="Times New Roman"/>
          <w:b/>
          <w:color w:val="auto"/>
        </w:rPr>
      </w:pPr>
    </w:p>
    <w:p w:rsidRPr="00070A14" w:rsidR="00070A14" w:rsidP="00070A14" w:rsidRDefault="00553F19" w14:paraId="1D1D4EA1" w14:textId="43EC92E8">
      <w:pPr>
        <w:pStyle w:val="Default"/>
        <w:rPr>
          <w:b/>
          <w:color w:val="auto"/>
        </w:rPr>
      </w:pPr>
      <w:r>
        <w:rPr>
          <w:b/>
          <w:color w:val="auto"/>
        </w:rPr>
        <w:t>Request for non-substantive/non-material change:</w:t>
      </w:r>
    </w:p>
    <w:p w:rsidR="00070A14" w:rsidP="001C2B30" w:rsidRDefault="00070A14" w14:paraId="2176A3A5" w14:textId="77777777">
      <w:pPr>
        <w:pStyle w:val="Default"/>
        <w:rPr>
          <w:color w:val="auto"/>
        </w:rPr>
      </w:pPr>
    </w:p>
    <w:p w:rsidR="00727624" w:rsidP="00070A14" w:rsidRDefault="001C2B30" w14:paraId="7C5DC273" w14:textId="2FF32E69">
      <w:pPr>
        <w:pStyle w:val="Default"/>
        <w:rPr>
          <w:color w:val="auto"/>
        </w:rPr>
      </w:pPr>
      <w:r w:rsidRPr="00F273C8">
        <w:rPr>
          <w:color w:val="auto"/>
        </w:rPr>
        <w:t>This information collection supports FDA regulations</w:t>
      </w:r>
      <w:r w:rsidR="00553F19">
        <w:rPr>
          <w:color w:val="auto"/>
        </w:rPr>
        <w:t xml:space="preserve"> </w:t>
      </w:r>
      <w:r w:rsidR="00CC45B3">
        <w:rPr>
          <w:color w:val="auto"/>
        </w:rPr>
        <w:t>in 21 CFR part 1</w:t>
      </w:r>
      <w:r w:rsidR="000B02D8">
        <w:rPr>
          <w:color w:val="auto"/>
        </w:rPr>
        <w:t xml:space="preserve">, subparts D and </w:t>
      </w:r>
      <w:r w:rsidR="007A4409">
        <w:rPr>
          <w:color w:val="auto"/>
        </w:rPr>
        <w:t>E, which pertain</w:t>
      </w:r>
      <w:r w:rsidR="00553F19">
        <w:rPr>
          <w:color w:val="auto"/>
        </w:rPr>
        <w:t xml:space="preserve"> to </w:t>
      </w:r>
      <w:r w:rsidR="00067E28">
        <w:rPr>
          <w:color w:val="auto"/>
        </w:rPr>
        <w:t>imported</w:t>
      </w:r>
      <w:r w:rsidR="009E7938">
        <w:rPr>
          <w:color w:val="auto"/>
        </w:rPr>
        <w:t xml:space="preserve"> products regulated by the Food and Drug Administration.</w:t>
      </w:r>
      <w:r w:rsidR="006954F5">
        <w:rPr>
          <w:color w:val="auto"/>
        </w:rPr>
        <w:t xml:space="preserve">  </w:t>
      </w:r>
      <w:r w:rsidR="00402ED8">
        <w:rPr>
          <w:color w:val="auto"/>
        </w:rPr>
        <w:t xml:space="preserve">Currently, </w:t>
      </w:r>
      <w:r w:rsidR="00F71DE7">
        <w:rPr>
          <w:color w:val="auto"/>
        </w:rPr>
        <w:t>and consisten</w:t>
      </w:r>
      <w:r w:rsidR="00375539">
        <w:rPr>
          <w:color w:val="auto"/>
        </w:rPr>
        <w:t xml:space="preserve">t with 21 CFR 1.95, </w:t>
      </w:r>
      <w:r w:rsidR="00402ED8">
        <w:rPr>
          <w:color w:val="auto"/>
        </w:rPr>
        <w:t xml:space="preserve">respondents use </w:t>
      </w:r>
      <w:r w:rsidRPr="004823C9" w:rsidR="004823C9">
        <w:rPr>
          <w:color w:val="auto"/>
        </w:rPr>
        <w:t xml:space="preserve">Form FDA 766 </w:t>
      </w:r>
      <w:r w:rsidR="00375539">
        <w:rPr>
          <w:color w:val="auto"/>
        </w:rPr>
        <w:t xml:space="preserve">entitled </w:t>
      </w:r>
      <w:r w:rsidRPr="004823C9" w:rsidR="004823C9">
        <w:rPr>
          <w:color w:val="auto"/>
        </w:rPr>
        <w:t>“</w:t>
      </w:r>
      <w:r w:rsidRPr="00375539" w:rsidR="004823C9">
        <w:rPr>
          <w:i/>
          <w:color w:val="auto"/>
        </w:rPr>
        <w:t>Application for Authorization to Relabel or to Perform Other Action of the Federal Food, Drug, and Cosmetic Act and Other Related Acts</w:t>
      </w:r>
      <w:r w:rsidRPr="004823C9" w:rsidR="004823C9">
        <w:rPr>
          <w:color w:val="auto"/>
        </w:rPr>
        <w:t xml:space="preserve">” </w:t>
      </w:r>
      <w:r w:rsidR="00685F72">
        <w:rPr>
          <w:color w:val="auto"/>
        </w:rPr>
        <w:t xml:space="preserve">to </w:t>
      </w:r>
      <w:r w:rsidR="004411F2">
        <w:rPr>
          <w:color w:val="auto"/>
        </w:rPr>
        <w:t>provide necessary information</w:t>
      </w:r>
      <w:r w:rsidR="00ED634E">
        <w:rPr>
          <w:color w:val="auto"/>
        </w:rPr>
        <w:t xml:space="preserve"> for relabeling or performing “</w:t>
      </w:r>
      <w:r w:rsidRPr="004411F2" w:rsidR="00D75469">
        <w:rPr>
          <w:i/>
          <w:color w:val="auto"/>
        </w:rPr>
        <w:t xml:space="preserve">other action to bring </w:t>
      </w:r>
      <w:r w:rsidRPr="004411F2" w:rsidR="004411F2">
        <w:rPr>
          <w:i/>
          <w:color w:val="auto"/>
        </w:rPr>
        <w:t xml:space="preserve">[an] </w:t>
      </w:r>
      <w:r w:rsidRPr="004411F2" w:rsidR="00D75469">
        <w:rPr>
          <w:i/>
          <w:color w:val="auto"/>
        </w:rPr>
        <w:t>article into compliance with the Federal Food, Drug, and Cosmetic Act</w:t>
      </w:r>
      <w:r w:rsidRPr="004411F2" w:rsidR="001417DA">
        <w:rPr>
          <w:i/>
          <w:color w:val="auto"/>
        </w:rPr>
        <w:t xml:space="preserve"> ...</w:t>
      </w:r>
      <w:r w:rsidR="0010596B">
        <w:rPr>
          <w:i/>
          <w:color w:val="auto"/>
        </w:rPr>
        <w:t xml:space="preserve"> .”</w:t>
      </w:r>
      <w:r w:rsidR="0010596B">
        <w:rPr>
          <w:color w:val="auto"/>
        </w:rPr>
        <w:t xml:space="preserve">  </w:t>
      </w:r>
      <w:r w:rsidRPr="004823C9" w:rsidR="004823C9">
        <w:rPr>
          <w:color w:val="auto"/>
        </w:rPr>
        <w:t xml:space="preserve">The form is available on the internet at </w:t>
      </w:r>
      <w:hyperlink w:history="1" r:id="rId8">
        <w:r w:rsidRPr="00F11A38" w:rsidR="0010596B">
          <w:rPr>
            <w:rStyle w:val="Hyperlink"/>
          </w:rPr>
          <w:t>https://www.fda.gov/industry/actions-enforcement/reconditioning</w:t>
        </w:r>
      </w:hyperlink>
      <w:r w:rsidR="0010596B">
        <w:rPr>
          <w:color w:val="auto"/>
        </w:rPr>
        <w:t>, and</w:t>
      </w:r>
      <w:r w:rsidR="00386FE8">
        <w:rPr>
          <w:color w:val="auto"/>
        </w:rPr>
        <w:t xml:space="preserve"> may be submitted as a </w:t>
      </w:r>
      <w:r w:rsidRPr="00150BD8" w:rsidR="00150BD8">
        <w:rPr>
          <w:color w:val="auto"/>
        </w:rPr>
        <w:t>paper-based</w:t>
      </w:r>
      <w:r w:rsidR="00386FE8">
        <w:rPr>
          <w:color w:val="auto"/>
        </w:rPr>
        <w:t xml:space="preserve"> form</w:t>
      </w:r>
      <w:r w:rsidRPr="00150BD8" w:rsidR="00150BD8">
        <w:rPr>
          <w:color w:val="auto"/>
        </w:rPr>
        <w:t xml:space="preserve">, </w:t>
      </w:r>
      <w:r w:rsidR="00386FE8">
        <w:rPr>
          <w:color w:val="auto"/>
        </w:rPr>
        <w:t xml:space="preserve">by </w:t>
      </w:r>
      <w:r w:rsidRPr="00150BD8" w:rsidR="00150BD8">
        <w:rPr>
          <w:color w:val="auto"/>
        </w:rPr>
        <w:t>email</w:t>
      </w:r>
      <w:r w:rsidR="00386FE8">
        <w:rPr>
          <w:color w:val="auto"/>
        </w:rPr>
        <w:t xml:space="preserve">, or through our </w:t>
      </w:r>
      <w:r w:rsidRPr="0040539D" w:rsidR="0040539D">
        <w:rPr>
          <w:color w:val="auto"/>
        </w:rPr>
        <w:t>Import Trade Auxiliary Communication System (ITACS)</w:t>
      </w:r>
      <w:r w:rsidR="0040539D">
        <w:rPr>
          <w:color w:val="auto"/>
        </w:rPr>
        <w:t xml:space="preserve">.  </w:t>
      </w:r>
      <w:r w:rsidR="00445353">
        <w:rPr>
          <w:color w:val="auto"/>
        </w:rPr>
        <w:t xml:space="preserve">We </w:t>
      </w:r>
      <w:r w:rsidR="0071046B">
        <w:rPr>
          <w:color w:val="auto"/>
        </w:rPr>
        <w:t xml:space="preserve">have made </w:t>
      </w:r>
      <w:r w:rsidR="003640EF">
        <w:rPr>
          <w:color w:val="auto"/>
        </w:rPr>
        <w:t>changes to Form FDA 766</w:t>
      </w:r>
      <w:r w:rsidR="00511374">
        <w:rPr>
          <w:color w:val="auto"/>
        </w:rPr>
        <w:t xml:space="preserve">, </w:t>
      </w:r>
      <w:r w:rsidR="0071046B">
        <w:rPr>
          <w:color w:val="auto"/>
        </w:rPr>
        <w:t xml:space="preserve">as enumerated below, to better align with our operational systems and </w:t>
      </w:r>
      <w:r w:rsidR="00D45E21">
        <w:rPr>
          <w:color w:val="auto"/>
        </w:rPr>
        <w:t>based on informal</w:t>
      </w:r>
      <w:r w:rsidR="00B86C6F">
        <w:rPr>
          <w:color w:val="auto"/>
        </w:rPr>
        <w:t xml:space="preserve"> user experience, </w:t>
      </w:r>
      <w:r w:rsidR="006C2817">
        <w:rPr>
          <w:color w:val="auto"/>
        </w:rPr>
        <w:t xml:space="preserve">and </w:t>
      </w:r>
      <w:r w:rsidR="00B86C6F">
        <w:rPr>
          <w:color w:val="auto"/>
        </w:rPr>
        <w:t xml:space="preserve">we </w:t>
      </w:r>
      <w:r w:rsidR="0071046B">
        <w:rPr>
          <w:color w:val="auto"/>
        </w:rPr>
        <w:t xml:space="preserve">believe these changes </w:t>
      </w:r>
      <w:r w:rsidR="00FD3737">
        <w:rPr>
          <w:color w:val="auto"/>
        </w:rPr>
        <w:t xml:space="preserve">will enhance processing </w:t>
      </w:r>
      <w:r w:rsidR="00B86C6F">
        <w:rPr>
          <w:color w:val="auto"/>
        </w:rPr>
        <w:t xml:space="preserve">of </w:t>
      </w:r>
      <w:r w:rsidR="00FD3737">
        <w:rPr>
          <w:color w:val="auto"/>
        </w:rPr>
        <w:t>the necessary information.</w:t>
      </w:r>
    </w:p>
    <w:p w:rsidR="00727624" w:rsidP="00070A14" w:rsidRDefault="00727624" w14:paraId="0E99066B" w14:textId="77777777">
      <w:pPr>
        <w:pStyle w:val="Default"/>
        <w:rPr>
          <w:color w:val="auto"/>
        </w:rPr>
      </w:pPr>
    </w:p>
    <w:p w:rsidRPr="00727624" w:rsidR="00727624" w:rsidP="00727624" w:rsidRDefault="00727624" w14:paraId="448CDF88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The form name changed to “Request For Authorization To Relabel or Recondition Non-Compliant Articles”.</w:t>
      </w:r>
    </w:p>
    <w:p w:rsidRPr="00727624" w:rsidR="00727624" w:rsidP="00727624" w:rsidRDefault="00727624" w14:paraId="6B684643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Added Section Numbers 1-5 for each section of the form. Moved Section headers to left justified instead of centered.</w:t>
      </w:r>
    </w:p>
    <w:p w:rsidRPr="00727624" w:rsidR="00727624" w:rsidP="00727624" w:rsidRDefault="00727624" w14:paraId="1A5C5AB9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Added Field Numbers for each field on the form</w:t>
      </w:r>
    </w:p>
    <w:p w:rsidRPr="00727624" w:rsidR="00727624" w:rsidP="00727624" w:rsidRDefault="00727624" w14:paraId="641131B6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Changed the “Date” field to “Application Date”</w:t>
      </w:r>
    </w:p>
    <w:p w:rsidRPr="00727624" w:rsidR="00727624" w:rsidP="00727624" w:rsidRDefault="00727624" w14:paraId="02AD1067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Removed Sample Number and Carrier fields</w:t>
      </w:r>
    </w:p>
    <w:p w:rsidRPr="00727624" w:rsidR="00727624" w:rsidP="00727624" w:rsidRDefault="00727624" w14:paraId="445AE781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Added “Line No.” to “Entry No.” field</w:t>
      </w:r>
    </w:p>
    <w:p w:rsidRPr="00727624" w:rsidR="00727624" w:rsidP="00727624" w:rsidRDefault="00727624" w14:paraId="6E702085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Split out “Amount and Marks” field into “Quantity”, “Quantity to be Reconditioned” and “Production Codes” fields</w:t>
      </w:r>
    </w:p>
    <w:p w:rsidRPr="00727624" w:rsidR="00727624" w:rsidP="00727624" w:rsidRDefault="00727624" w14:paraId="5E9C8B4C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Changed the word “merchandise” to “article(s)” throughout the form</w:t>
      </w:r>
    </w:p>
    <w:p w:rsidRPr="00727624" w:rsidR="00727624" w:rsidP="00727624" w:rsidRDefault="00727624" w14:paraId="3698BB8D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Added “FDA” to “Action on Application” Section name</w:t>
      </w:r>
    </w:p>
    <w:p w:rsidRPr="00727624" w:rsidR="00727624" w:rsidP="00727624" w:rsidRDefault="00727624" w14:paraId="1C5FDB01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Changed “Place” field to “Location where reconditioning operation occurred”</w:t>
      </w:r>
    </w:p>
    <w:p w:rsidRPr="00727624" w:rsidR="00727624" w:rsidP="00727624" w:rsidRDefault="00727624" w14:paraId="2461737B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 xml:space="preserve">Added field 20b. Contact Information </w:t>
      </w:r>
    </w:p>
    <w:p w:rsidRPr="00727624" w:rsidR="00727624" w:rsidP="00727624" w:rsidRDefault="00727624" w14:paraId="4997FF6A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Changed “Typed Name of Applicant” field to “Applicant and Firm Name”</w:t>
      </w:r>
    </w:p>
    <w:p w:rsidRPr="00727624" w:rsidR="00727624" w:rsidP="00727624" w:rsidRDefault="00727624" w14:paraId="672E5528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Changed “Signature” field to “Applicant’s Signature”</w:t>
      </w:r>
    </w:p>
    <w:p w:rsidRPr="00727624" w:rsidR="00727624" w:rsidP="00727624" w:rsidRDefault="00727624" w14:paraId="7785BC97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lastRenderedPageBreak/>
        <w:t>Changed “Data on Cleaned Goods” Section name to “Data on Reconditioned Article(s)”</w:t>
      </w:r>
    </w:p>
    <w:p w:rsidRPr="00727624" w:rsidR="00727624" w:rsidP="00727624" w:rsidRDefault="00727624" w14:paraId="60A0DD9F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Changed “Good Portion” field to “Acceptable Portion”</w:t>
      </w:r>
    </w:p>
    <w:p w:rsidRPr="00727624" w:rsidR="00727624" w:rsidP="00727624" w:rsidRDefault="00727624" w14:paraId="166304D7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Changed “Did importer clean entire shipment?” field to “Did importer recondition entire shipment?”</w:t>
      </w:r>
    </w:p>
    <w:p w:rsidRPr="00727624" w:rsidR="00727624" w:rsidP="00727624" w:rsidRDefault="00727624" w14:paraId="6FBD6B0B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Added “Name” to “Inspecting Officer” field</w:t>
      </w:r>
    </w:p>
    <w:p w:rsidRPr="00727624" w:rsidR="00727624" w:rsidP="00727624" w:rsidRDefault="00727624" w14:paraId="50C07503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Removed Director of District Section</w:t>
      </w:r>
    </w:p>
    <w:p w:rsidRPr="00727624" w:rsidR="00727624" w:rsidP="00727624" w:rsidRDefault="00727624" w14:paraId="0255E336" w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7624">
        <w:rPr>
          <w:rFonts w:ascii="Times New Roman" w:hAnsi="Times New Roman"/>
          <w:sz w:val="24"/>
          <w:szCs w:val="24"/>
        </w:rPr>
        <w:t>Added instructions on pages 3 and 4 for completing each field on the form.</w:t>
      </w:r>
    </w:p>
    <w:p w:rsidR="004823C9" w:rsidP="00070A14" w:rsidRDefault="004E6194" w14:paraId="51AA40EB" w14:textId="766DBF36">
      <w:pPr>
        <w:pStyle w:val="Default"/>
        <w:rPr>
          <w:color w:val="auto"/>
        </w:rPr>
      </w:pPr>
      <w:r>
        <w:rPr>
          <w:color w:val="auto"/>
        </w:rPr>
        <w:t>We therefore request OMB approval for these changes.</w:t>
      </w:r>
      <w:bookmarkStart w:name="_GoBack" w:id="0"/>
      <w:bookmarkEnd w:id="0"/>
    </w:p>
    <w:p w:rsidR="0002051C" w:rsidP="00070A14" w:rsidRDefault="0002051C" w14:paraId="5BD16008" w14:textId="0A5DF55E">
      <w:pPr>
        <w:pStyle w:val="Default"/>
        <w:rPr>
          <w:color w:val="auto"/>
        </w:rPr>
      </w:pPr>
    </w:p>
    <w:p w:rsidRPr="004E6194" w:rsidR="001C2B30" w:rsidP="001C2B30" w:rsidRDefault="0002051C" w14:paraId="74D429FC" w14:textId="1F713F4D">
      <w:pPr>
        <w:pStyle w:val="Default"/>
        <w:rPr>
          <w:b/>
          <w:color w:val="auto"/>
        </w:rPr>
      </w:pPr>
      <w:r w:rsidRPr="004E6194">
        <w:rPr>
          <w:b/>
          <w:color w:val="auto"/>
        </w:rPr>
        <w:t>November 2020</w:t>
      </w:r>
    </w:p>
    <w:sectPr w:rsidRPr="004E6194" w:rsidR="001C2B30" w:rsidSect="007A682C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D3FD9" w14:textId="77777777" w:rsidR="00431E80" w:rsidRDefault="00431E80" w:rsidP="00A53D58">
      <w:pPr>
        <w:spacing w:after="0" w:line="240" w:lineRule="auto"/>
      </w:pPr>
      <w:r>
        <w:separator/>
      </w:r>
    </w:p>
  </w:endnote>
  <w:endnote w:type="continuationSeparator" w:id="0">
    <w:p w14:paraId="35ECA1E7" w14:textId="77777777" w:rsidR="00431E80" w:rsidRDefault="00431E80" w:rsidP="00A53D58">
      <w:pPr>
        <w:spacing w:after="0" w:line="240" w:lineRule="auto"/>
      </w:pPr>
      <w:r>
        <w:continuationSeparator/>
      </w:r>
    </w:p>
  </w:endnote>
  <w:endnote w:type="continuationNotice" w:id="1">
    <w:p w14:paraId="309F7DCE" w14:textId="77777777" w:rsidR="00431E80" w:rsidRDefault="00431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20D9B" w14:textId="77777777" w:rsidR="00431E80" w:rsidRDefault="00431E80" w:rsidP="00A53D58">
      <w:pPr>
        <w:spacing w:after="0" w:line="240" w:lineRule="auto"/>
      </w:pPr>
      <w:r>
        <w:separator/>
      </w:r>
    </w:p>
  </w:footnote>
  <w:footnote w:type="continuationSeparator" w:id="0">
    <w:p w14:paraId="5F5C8851" w14:textId="77777777" w:rsidR="00431E80" w:rsidRDefault="00431E80" w:rsidP="00A53D58">
      <w:pPr>
        <w:spacing w:after="0" w:line="240" w:lineRule="auto"/>
      </w:pPr>
      <w:r>
        <w:continuationSeparator/>
      </w:r>
    </w:p>
  </w:footnote>
  <w:footnote w:type="continuationNotice" w:id="1">
    <w:p w14:paraId="531D9879" w14:textId="77777777" w:rsidR="00431E80" w:rsidRDefault="00431E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5081E"/>
    <w:multiLevelType w:val="hybridMultilevel"/>
    <w:tmpl w:val="1C3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58"/>
    <w:rsid w:val="00007C5C"/>
    <w:rsid w:val="000202C7"/>
    <w:rsid w:val="0002051C"/>
    <w:rsid w:val="00045494"/>
    <w:rsid w:val="00051B76"/>
    <w:rsid w:val="00053B60"/>
    <w:rsid w:val="00065329"/>
    <w:rsid w:val="00067E28"/>
    <w:rsid w:val="00070A14"/>
    <w:rsid w:val="00076253"/>
    <w:rsid w:val="00077777"/>
    <w:rsid w:val="00077B80"/>
    <w:rsid w:val="00085876"/>
    <w:rsid w:val="0009037A"/>
    <w:rsid w:val="000938C6"/>
    <w:rsid w:val="0009393D"/>
    <w:rsid w:val="000A2C7D"/>
    <w:rsid w:val="000B02D8"/>
    <w:rsid w:val="000E5EDE"/>
    <w:rsid w:val="0010596B"/>
    <w:rsid w:val="00113FC2"/>
    <w:rsid w:val="00115AF9"/>
    <w:rsid w:val="001417DA"/>
    <w:rsid w:val="00144256"/>
    <w:rsid w:val="00145C7C"/>
    <w:rsid w:val="00150BD8"/>
    <w:rsid w:val="00156FAF"/>
    <w:rsid w:val="0016367C"/>
    <w:rsid w:val="00163EEF"/>
    <w:rsid w:val="00173698"/>
    <w:rsid w:val="00186102"/>
    <w:rsid w:val="001A1341"/>
    <w:rsid w:val="001C2510"/>
    <w:rsid w:val="001C2B30"/>
    <w:rsid w:val="001D376C"/>
    <w:rsid w:val="001D4518"/>
    <w:rsid w:val="001D46E1"/>
    <w:rsid w:val="001D65EC"/>
    <w:rsid w:val="001E0B8C"/>
    <w:rsid w:val="002265CC"/>
    <w:rsid w:val="00232F17"/>
    <w:rsid w:val="0025115B"/>
    <w:rsid w:val="00252437"/>
    <w:rsid w:val="002529A9"/>
    <w:rsid w:val="00263DF2"/>
    <w:rsid w:val="00272CE3"/>
    <w:rsid w:val="00281472"/>
    <w:rsid w:val="002951F9"/>
    <w:rsid w:val="002A6B1D"/>
    <w:rsid w:val="002B253A"/>
    <w:rsid w:val="002D615F"/>
    <w:rsid w:val="002D7039"/>
    <w:rsid w:val="00306956"/>
    <w:rsid w:val="00320B09"/>
    <w:rsid w:val="003640EF"/>
    <w:rsid w:val="00375539"/>
    <w:rsid w:val="003841F7"/>
    <w:rsid w:val="00386FE8"/>
    <w:rsid w:val="003906DF"/>
    <w:rsid w:val="003919E0"/>
    <w:rsid w:val="003C2A96"/>
    <w:rsid w:val="003C4D09"/>
    <w:rsid w:val="003D0081"/>
    <w:rsid w:val="003E192B"/>
    <w:rsid w:val="003E2F75"/>
    <w:rsid w:val="003F4F13"/>
    <w:rsid w:val="003F6EC8"/>
    <w:rsid w:val="00402ED8"/>
    <w:rsid w:val="0040539D"/>
    <w:rsid w:val="00405B93"/>
    <w:rsid w:val="004060D9"/>
    <w:rsid w:val="00431C06"/>
    <w:rsid w:val="00431E80"/>
    <w:rsid w:val="0043242B"/>
    <w:rsid w:val="004411F2"/>
    <w:rsid w:val="00443316"/>
    <w:rsid w:val="00445353"/>
    <w:rsid w:val="004717B9"/>
    <w:rsid w:val="00481A29"/>
    <w:rsid w:val="004823C9"/>
    <w:rsid w:val="004922DA"/>
    <w:rsid w:val="004E6194"/>
    <w:rsid w:val="004E734E"/>
    <w:rsid w:val="00503B7C"/>
    <w:rsid w:val="00505479"/>
    <w:rsid w:val="00511374"/>
    <w:rsid w:val="00524900"/>
    <w:rsid w:val="00547DC3"/>
    <w:rsid w:val="00553F19"/>
    <w:rsid w:val="00576F71"/>
    <w:rsid w:val="005904FB"/>
    <w:rsid w:val="005A49CF"/>
    <w:rsid w:val="005A6D0E"/>
    <w:rsid w:val="005C4F58"/>
    <w:rsid w:val="005C6CCD"/>
    <w:rsid w:val="005E205B"/>
    <w:rsid w:val="005E3AA6"/>
    <w:rsid w:val="005E4D1D"/>
    <w:rsid w:val="005E755C"/>
    <w:rsid w:val="0060565C"/>
    <w:rsid w:val="00610C12"/>
    <w:rsid w:val="006354F7"/>
    <w:rsid w:val="006612E1"/>
    <w:rsid w:val="0068363D"/>
    <w:rsid w:val="00685F72"/>
    <w:rsid w:val="00692938"/>
    <w:rsid w:val="006954F5"/>
    <w:rsid w:val="006C2817"/>
    <w:rsid w:val="006D1D6C"/>
    <w:rsid w:val="006F2521"/>
    <w:rsid w:val="0071046B"/>
    <w:rsid w:val="00727624"/>
    <w:rsid w:val="007652A6"/>
    <w:rsid w:val="007723AA"/>
    <w:rsid w:val="0078270A"/>
    <w:rsid w:val="00785F67"/>
    <w:rsid w:val="0079670E"/>
    <w:rsid w:val="007A4409"/>
    <w:rsid w:val="007A682C"/>
    <w:rsid w:val="007B1DBD"/>
    <w:rsid w:val="007B2905"/>
    <w:rsid w:val="007E406B"/>
    <w:rsid w:val="00800FC7"/>
    <w:rsid w:val="00805A99"/>
    <w:rsid w:val="008128D1"/>
    <w:rsid w:val="008141B7"/>
    <w:rsid w:val="0081677F"/>
    <w:rsid w:val="00827232"/>
    <w:rsid w:val="00827FAD"/>
    <w:rsid w:val="008319DB"/>
    <w:rsid w:val="00836F17"/>
    <w:rsid w:val="008418EA"/>
    <w:rsid w:val="00843C37"/>
    <w:rsid w:val="00852CB0"/>
    <w:rsid w:val="00887E98"/>
    <w:rsid w:val="00892D1F"/>
    <w:rsid w:val="008A419D"/>
    <w:rsid w:val="008C5221"/>
    <w:rsid w:val="008D58EC"/>
    <w:rsid w:val="008F1743"/>
    <w:rsid w:val="008F3A8C"/>
    <w:rsid w:val="0090474D"/>
    <w:rsid w:val="00931AF1"/>
    <w:rsid w:val="0096509D"/>
    <w:rsid w:val="00975D20"/>
    <w:rsid w:val="009E7938"/>
    <w:rsid w:val="009F16E3"/>
    <w:rsid w:val="00A00D33"/>
    <w:rsid w:val="00A024C6"/>
    <w:rsid w:val="00A12B9C"/>
    <w:rsid w:val="00A14772"/>
    <w:rsid w:val="00A15839"/>
    <w:rsid w:val="00A17ADD"/>
    <w:rsid w:val="00A22698"/>
    <w:rsid w:val="00A53D58"/>
    <w:rsid w:val="00AB29E7"/>
    <w:rsid w:val="00AD613B"/>
    <w:rsid w:val="00AD654B"/>
    <w:rsid w:val="00B10F0C"/>
    <w:rsid w:val="00B33E16"/>
    <w:rsid w:val="00B433B8"/>
    <w:rsid w:val="00B5263B"/>
    <w:rsid w:val="00B55853"/>
    <w:rsid w:val="00B85A0D"/>
    <w:rsid w:val="00B86C6F"/>
    <w:rsid w:val="00B90776"/>
    <w:rsid w:val="00B96417"/>
    <w:rsid w:val="00BE47C8"/>
    <w:rsid w:val="00BE7DBD"/>
    <w:rsid w:val="00C122A6"/>
    <w:rsid w:val="00C65BE0"/>
    <w:rsid w:val="00C813B6"/>
    <w:rsid w:val="00C84923"/>
    <w:rsid w:val="00C973EC"/>
    <w:rsid w:val="00CA3251"/>
    <w:rsid w:val="00CB0BE4"/>
    <w:rsid w:val="00CC45B3"/>
    <w:rsid w:val="00CD076C"/>
    <w:rsid w:val="00CD78AF"/>
    <w:rsid w:val="00D330A3"/>
    <w:rsid w:val="00D414D4"/>
    <w:rsid w:val="00D45E21"/>
    <w:rsid w:val="00D541E5"/>
    <w:rsid w:val="00D7050A"/>
    <w:rsid w:val="00D71294"/>
    <w:rsid w:val="00D735ED"/>
    <w:rsid w:val="00D75469"/>
    <w:rsid w:val="00D94CD7"/>
    <w:rsid w:val="00DC6748"/>
    <w:rsid w:val="00DD24E2"/>
    <w:rsid w:val="00DD69C6"/>
    <w:rsid w:val="00DE10EB"/>
    <w:rsid w:val="00E046CB"/>
    <w:rsid w:val="00E06906"/>
    <w:rsid w:val="00E07864"/>
    <w:rsid w:val="00E13E01"/>
    <w:rsid w:val="00E25290"/>
    <w:rsid w:val="00E44269"/>
    <w:rsid w:val="00E44DDA"/>
    <w:rsid w:val="00E45A8D"/>
    <w:rsid w:val="00E63A79"/>
    <w:rsid w:val="00E920DF"/>
    <w:rsid w:val="00EA67BB"/>
    <w:rsid w:val="00EB4C3F"/>
    <w:rsid w:val="00EC326D"/>
    <w:rsid w:val="00ED634E"/>
    <w:rsid w:val="00ED69E3"/>
    <w:rsid w:val="00F1149C"/>
    <w:rsid w:val="00F2133A"/>
    <w:rsid w:val="00F273C8"/>
    <w:rsid w:val="00F34ACE"/>
    <w:rsid w:val="00F44056"/>
    <w:rsid w:val="00F45832"/>
    <w:rsid w:val="00F52096"/>
    <w:rsid w:val="00F54A7D"/>
    <w:rsid w:val="00F552C5"/>
    <w:rsid w:val="00F64AEE"/>
    <w:rsid w:val="00F70FEC"/>
    <w:rsid w:val="00F71DE7"/>
    <w:rsid w:val="00F743B9"/>
    <w:rsid w:val="00F82B86"/>
    <w:rsid w:val="00F8582C"/>
    <w:rsid w:val="00F91949"/>
    <w:rsid w:val="00F97CF3"/>
    <w:rsid w:val="00FC573B"/>
    <w:rsid w:val="00FC61B3"/>
    <w:rsid w:val="00FC6F6D"/>
    <w:rsid w:val="00FD2765"/>
    <w:rsid w:val="00FD2996"/>
    <w:rsid w:val="00FD3737"/>
    <w:rsid w:val="00FF489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66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3D58"/>
    <w:rPr>
      <w:color w:val="0000FF"/>
      <w:u w:val="single"/>
    </w:rPr>
  </w:style>
  <w:style w:type="character" w:styleId="CommentReference">
    <w:name w:val="annotation reference"/>
    <w:aliases w:val="Comment Text Style"/>
    <w:rsid w:val="00A53D58"/>
    <w:rPr>
      <w:sz w:val="16"/>
      <w:szCs w:val="16"/>
    </w:rPr>
  </w:style>
  <w:style w:type="paragraph" w:styleId="CommentText">
    <w:name w:val="annotation text"/>
    <w:basedOn w:val="Normal"/>
    <w:link w:val="CommentTextChar1"/>
    <w:rsid w:val="00A53D5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A53D58"/>
  </w:style>
  <w:style w:type="character" w:customStyle="1" w:styleId="CommentTextChar1">
    <w:name w:val="Comment Text Char1"/>
    <w:link w:val="CommentText"/>
    <w:rsid w:val="00A53D58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sid w:val="00A53D5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3D58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A53D58"/>
    <w:rPr>
      <w:vertAlign w:val="superscript"/>
    </w:rPr>
  </w:style>
  <w:style w:type="paragraph" w:customStyle="1" w:styleId="Default">
    <w:name w:val="Default"/>
    <w:rsid w:val="00A53D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3D5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5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54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D654B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541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B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0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B8C"/>
    <w:rPr>
      <w:sz w:val="22"/>
      <w:szCs w:val="22"/>
    </w:rPr>
  </w:style>
  <w:style w:type="table" w:styleId="TableGrid">
    <w:name w:val="Table Grid"/>
    <w:basedOn w:val="TableNormal"/>
    <w:rsid w:val="008167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4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975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1028">
              <w:marLeft w:val="180"/>
              <w:marRight w:val="18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ndustry/actions-enforcement/reconditio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A9D1-B98E-4805-A275-768779CF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2020-11-19T13:45:00Z</dcterms:created>
  <dcterms:modified xsi:type="dcterms:W3CDTF">2020-11-19T14:27:00Z</dcterms:modified>
</cp:coreProperties>
</file>