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E1857" w:rsidR="00803A2B" w:rsidP="00803A2B" w:rsidRDefault="00803A2B" w14:paraId="583FC5D7" w14:textId="767FE226">
      <w:pPr>
        <w:pStyle w:val="Default"/>
        <w:rPr>
          <w:b/>
          <w:bCs/>
          <w:color w:val="auto"/>
        </w:rPr>
      </w:pPr>
      <w:bookmarkStart w:name="_GoBack" w:id="0"/>
      <w:bookmarkEnd w:id="0"/>
      <w:r w:rsidRPr="00FE1857">
        <w:rPr>
          <w:b/>
          <w:bCs/>
          <w:color w:val="auto"/>
        </w:rPr>
        <w:t xml:space="preserve">Date: </w:t>
      </w:r>
      <w:r w:rsidR="00AB3FD4">
        <w:rPr>
          <w:b/>
          <w:bCs/>
          <w:color w:val="auto"/>
        </w:rPr>
        <w:t>November</w:t>
      </w:r>
      <w:r w:rsidR="00174B45">
        <w:rPr>
          <w:b/>
          <w:bCs/>
          <w:color w:val="auto"/>
        </w:rPr>
        <w:t xml:space="preserve"> </w:t>
      </w:r>
      <w:r w:rsidR="00985E9C">
        <w:rPr>
          <w:b/>
          <w:bCs/>
          <w:color w:val="auto"/>
        </w:rPr>
        <w:t>1</w:t>
      </w:r>
      <w:r w:rsidR="00A51F49">
        <w:rPr>
          <w:b/>
          <w:bCs/>
          <w:color w:val="auto"/>
        </w:rPr>
        <w:t>6</w:t>
      </w:r>
      <w:r w:rsidR="00174B45">
        <w:rPr>
          <w:b/>
          <w:bCs/>
          <w:color w:val="auto"/>
        </w:rPr>
        <w:t>, 2020</w:t>
      </w:r>
      <w:r w:rsidRPr="00FE1857">
        <w:rPr>
          <w:b/>
          <w:bCs/>
          <w:color w:val="auto"/>
        </w:rPr>
        <w:t xml:space="preserve"> </w:t>
      </w:r>
    </w:p>
    <w:p w:rsidRPr="00FE1857" w:rsidR="001A1A33" w:rsidP="00803A2B" w:rsidRDefault="001A1A33" w14:paraId="2195A38C" w14:textId="77777777">
      <w:pPr>
        <w:pStyle w:val="Default"/>
        <w:rPr>
          <w:color w:val="auto"/>
        </w:rPr>
      </w:pPr>
    </w:p>
    <w:p w:rsidRPr="00FE1857" w:rsidR="00803A2B" w:rsidP="00803A2B" w:rsidRDefault="00803A2B" w14:paraId="04AFEE8E" w14:textId="51E15091">
      <w:pPr>
        <w:pStyle w:val="Default"/>
        <w:rPr>
          <w:b/>
          <w:bCs/>
          <w:color w:val="auto"/>
        </w:rPr>
      </w:pPr>
      <w:r w:rsidRPr="00FE1857">
        <w:rPr>
          <w:b/>
          <w:bCs/>
          <w:color w:val="auto"/>
        </w:rPr>
        <w:t xml:space="preserve">To: </w:t>
      </w:r>
      <w:r w:rsidRPr="00FE1857" w:rsidR="00FF2004">
        <w:rPr>
          <w:b/>
          <w:bCs/>
          <w:color w:val="auto"/>
        </w:rPr>
        <w:t>Julie Wise,</w:t>
      </w:r>
      <w:r w:rsidRPr="00FE1857">
        <w:rPr>
          <w:b/>
          <w:bCs/>
          <w:color w:val="auto"/>
        </w:rPr>
        <w:t xml:space="preserve"> Office of Management and Budget </w:t>
      </w:r>
    </w:p>
    <w:p w:rsidRPr="00FE1857" w:rsidR="001A1A33" w:rsidP="00803A2B" w:rsidRDefault="001A1A33" w14:paraId="6C5F7601" w14:textId="77777777">
      <w:pPr>
        <w:pStyle w:val="Default"/>
        <w:rPr>
          <w:color w:val="auto"/>
        </w:rPr>
      </w:pPr>
    </w:p>
    <w:p w:rsidRPr="00FE1857" w:rsidR="00803A2B" w:rsidP="00803A2B" w:rsidRDefault="00803A2B" w14:paraId="253EFBF3" w14:textId="77777777">
      <w:pPr>
        <w:pStyle w:val="Default"/>
        <w:rPr>
          <w:b/>
          <w:bCs/>
          <w:color w:val="auto"/>
        </w:rPr>
      </w:pPr>
      <w:r w:rsidRPr="00FE1857">
        <w:rPr>
          <w:b/>
          <w:bCs/>
          <w:color w:val="auto"/>
        </w:rPr>
        <w:t xml:space="preserve">From: Ellen J. Flannery, Deputy Center Director for Policy, Center for Devices and Radiological Health, U.S. Food and Drug Administration </w:t>
      </w:r>
    </w:p>
    <w:p w:rsidRPr="00FE1857" w:rsidR="001A1A33" w:rsidP="00803A2B" w:rsidRDefault="001A1A33" w14:paraId="7C546F37" w14:textId="77777777">
      <w:pPr>
        <w:pStyle w:val="Default"/>
        <w:rPr>
          <w:color w:val="auto"/>
        </w:rPr>
      </w:pPr>
    </w:p>
    <w:p w:rsidRPr="00FE1857" w:rsidR="00803A2B" w:rsidP="00803A2B" w:rsidRDefault="00803A2B" w14:paraId="4E3B9E4B" w14:textId="449AC067">
      <w:pPr>
        <w:pStyle w:val="Default"/>
        <w:rPr>
          <w:b/>
          <w:bCs/>
          <w:color w:val="auto"/>
        </w:rPr>
      </w:pPr>
      <w:r w:rsidRPr="00FE1857">
        <w:rPr>
          <w:b/>
          <w:bCs/>
          <w:color w:val="auto"/>
        </w:rPr>
        <w:t xml:space="preserve">SUBJECT: Request for Emergency Clearance of the Paperwork Reduction Act Package for the </w:t>
      </w:r>
      <w:r w:rsidRPr="00FE1857" w:rsidR="0014521E">
        <w:rPr>
          <w:b/>
          <w:bCs/>
          <w:color w:val="auto"/>
        </w:rPr>
        <w:t>Revision of OMB Control No. 0910-</w:t>
      </w:r>
      <w:r w:rsidR="00AB3FD4">
        <w:rPr>
          <w:b/>
          <w:bCs/>
          <w:color w:val="auto"/>
        </w:rPr>
        <w:t>0491</w:t>
      </w:r>
      <w:r w:rsidRPr="00FE1857" w:rsidR="0014521E">
        <w:rPr>
          <w:b/>
          <w:bCs/>
          <w:color w:val="auto"/>
        </w:rPr>
        <w:t xml:space="preserve"> to Add </w:t>
      </w:r>
      <w:r w:rsidR="00302D06">
        <w:rPr>
          <w:b/>
          <w:bCs/>
          <w:color w:val="auto"/>
        </w:rPr>
        <w:t xml:space="preserve">Notifications Under Section 506J of the FD&amp;C Act </w:t>
      </w:r>
    </w:p>
    <w:p w:rsidRPr="00FE1857" w:rsidR="001B40C4" w:rsidP="00803A2B" w:rsidRDefault="001B40C4" w14:paraId="60349343" w14:textId="77777777">
      <w:pPr>
        <w:pStyle w:val="Default"/>
        <w:rPr>
          <w:color w:val="auto"/>
        </w:rPr>
      </w:pPr>
    </w:p>
    <w:p w:rsidRPr="00FE1857" w:rsidR="00803A2B" w:rsidP="00803A2B" w:rsidRDefault="00803A2B" w14:paraId="5C026062" w14:textId="77777777">
      <w:pPr>
        <w:pStyle w:val="Default"/>
        <w:rPr>
          <w:b/>
          <w:bCs/>
          <w:color w:val="auto"/>
          <w:u w:val="single"/>
        </w:rPr>
      </w:pPr>
      <w:r w:rsidRPr="00FE1857">
        <w:rPr>
          <w:b/>
          <w:bCs/>
          <w:color w:val="auto"/>
          <w:u w:val="single"/>
        </w:rPr>
        <w:t xml:space="preserve">Request for Emergency Clearance </w:t>
      </w:r>
    </w:p>
    <w:p w:rsidRPr="00FE1857" w:rsidR="000B7294" w:rsidP="000B7294" w:rsidRDefault="000B7294" w14:paraId="623870C8" w14:textId="77777777">
      <w:pPr>
        <w:pStyle w:val="Default"/>
        <w:rPr>
          <w:color w:val="auto"/>
        </w:rPr>
      </w:pPr>
    </w:p>
    <w:p w:rsidR="00741E55" w:rsidP="000B7294" w:rsidRDefault="000B7294" w14:paraId="375E43F4" w14:textId="12EBCB4F">
      <w:pPr>
        <w:pStyle w:val="Default"/>
      </w:pPr>
      <w:r w:rsidRPr="00FE1857">
        <w:rPr>
          <w:color w:val="auto"/>
        </w:rPr>
        <w:t xml:space="preserve">The </w:t>
      </w:r>
      <w:hyperlink w:history="1" r:id="rId11">
        <w:r w:rsidRPr="00FE1857" w:rsidR="00FA4483">
          <w:rPr>
            <w:rStyle w:val="Hyperlink"/>
          </w:rPr>
          <w:t>Coronavirus Aid, Relief, and Economic Security Act (CARES Act)</w:t>
        </w:r>
      </w:hyperlink>
      <w:r w:rsidRPr="00FE1857" w:rsidR="00503AEF">
        <w:rPr>
          <w:rStyle w:val="Hyperlink"/>
        </w:rPr>
        <w:t xml:space="preserve"> </w:t>
      </w:r>
      <w:r w:rsidRPr="00FE1857">
        <w:rPr>
          <w:color w:val="auto"/>
        </w:rPr>
        <w:t>was enacted on March 27, 2020</w:t>
      </w:r>
      <w:r w:rsidRPr="00FE1857" w:rsidR="00296190">
        <w:rPr>
          <w:color w:val="auto"/>
        </w:rPr>
        <w:t xml:space="preserve">. Section </w:t>
      </w:r>
      <w:r w:rsidR="004D2222">
        <w:rPr>
          <w:color w:val="auto"/>
        </w:rPr>
        <w:t>3121</w:t>
      </w:r>
      <w:r w:rsidRPr="00FE1857" w:rsidR="004D2222">
        <w:rPr>
          <w:color w:val="auto"/>
        </w:rPr>
        <w:t xml:space="preserve"> </w:t>
      </w:r>
      <w:r w:rsidRPr="00FE1857" w:rsidR="00296190">
        <w:rPr>
          <w:color w:val="auto"/>
        </w:rPr>
        <w:t xml:space="preserve">of the CARES Act </w:t>
      </w:r>
      <w:r w:rsidR="00C1528E">
        <w:t>amend</w:t>
      </w:r>
      <w:r w:rsidR="004F795A">
        <w:t>ed</w:t>
      </w:r>
      <w:r w:rsidR="00C1528E">
        <w:t xml:space="preserve"> the </w:t>
      </w:r>
      <w:r w:rsidR="009C0A17">
        <w:t xml:space="preserve">Federal Food, Drug, </w:t>
      </w:r>
      <w:r w:rsidR="004F795A">
        <w:t>and</w:t>
      </w:r>
      <w:r w:rsidR="009C0A17">
        <w:t xml:space="preserve"> Cosmetic Act (</w:t>
      </w:r>
      <w:r w:rsidR="00C1528E">
        <w:t>FD&amp;C Act</w:t>
      </w:r>
      <w:r w:rsidR="009C0A17">
        <w:t>)</w:t>
      </w:r>
      <w:r w:rsidR="00C1528E">
        <w:t xml:space="preserve"> by adding section 506J to the </w:t>
      </w:r>
      <w:r w:rsidR="009C0A17">
        <w:t>FD&amp;C Act</w:t>
      </w:r>
      <w:r w:rsidR="00C1528E">
        <w:t xml:space="preserve">. </w:t>
      </w:r>
      <w:r w:rsidRPr="00694381" w:rsidR="00F127C7">
        <w:t>Section 506J</w:t>
      </w:r>
      <w:r w:rsidR="00F127C7">
        <w:t xml:space="preserve"> </w:t>
      </w:r>
      <w:r w:rsidRPr="00A81453" w:rsidR="00F127C7">
        <w:t xml:space="preserve">provides FDA with new authorities intended to help prevent </w:t>
      </w:r>
      <w:r w:rsidR="00F127C7">
        <w:t xml:space="preserve">or mitigate </w:t>
      </w:r>
      <w:r w:rsidRPr="00A81453" w:rsidR="00F127C7">
        <w:t>medical device shortages</w:t>
      </w:r>
      <w:r w:rsidR="00F127C7">
        <w:rPr>
          <w:rStyle w:val="FootnoteReference"/>
        </w:rPr>
        <w:footnoteReference w:id="2"/>
      </w:r>
      <w:r w:rsidR="00F127C7">
        <w:t xml:space="preserve"> </w:t>
      </w:r>
      <w:r w:rsidR="00037CAE">
        <w:t xml:space="preserve">by requiring </w:t>
      </w:r>
      <w:r w:rsidR="00D52727">
        <w:t>medical device manufacturers to</w:t>
      </w:r>
      <w:r w:rsidR="00741E55">
        <w:t xml:space="preserve"> inform FDA about changes in device manufacturing that could potentially lead to a device shortage.  Apprised with that information, section 506J </w:t>
      </w:r>
      <w:r w:rsidR="004F795A">
        <w:t>authorizes</w:t>
      </w:r>
      <w:r w:rsidR="00741E55">
        <w:t xml:space="preserve"> FDA to take several actions that may help to </w:t>
      </w:r>
      <w:r w:rsidR="001E5637">
        <w:t>mitigate</w:t>
      </w:r>
      <w:r w:rsidR="0023514E">
        <w:t xml:space="preserve"> or </w:t>
      </w:r>
      <w:r w:rsidR="00741E55">
        <w:t xml:space="preserve">avoid supply disruptions. </w:t>
      </w:r>
    </w:p>
    <w:p w:rsidR="00741E55" w:rsidP="000B7294" w:rsidRDefault="00741E55" w14:paraId="5BF86EF8" w14:textId="77777777">
      <w:pPr>
        <w:pStyle w:val="Default"/>
      </w:pPr>
    </w:p>
    <w:p w:rsidRPr="00FE1857" w:rsidR="000B7294" w:rsidP="000B7294" w:rsidRDefault="00741E55" w14:paraId="2A4B990D" w14:textId="0E29E0DC">
      <w:pPr>
        <w:pStyle w:val="Default"/>
        <w:rPr>
          <w:color w:val="auto"/>
        </w:rPr>
      </w:pPr>
      <w:r>
        <w:t>Section 506J requires manufacturers to</w:t>
      </w:r>
      <w:r w:rsidR="00D52727">
        <w:t xml:space="preserve"> </w:t>
      </w:r>
      <w:r w:rsidR="001159DB">
        <w:t>notify FDA about</w:t>
      </w:r>
      <w:r w:rsidR="00037CAE">
        <w:t xml:space="preserve"> certain information </w:t>
      </w:r>
      <w:r w:rsidRPr="008E3DC4" w:rsidR="00F127C7">
        <w:t>“during, or in advance of, a public health emergency declared by the Secretary</w:t>
      </w:r>
      <w:r w:rsidR="001174C3">
        <w:t xml:space="preserve"> [of the Department of Health and Human Services]</w:t>
      </w:r>
      <w:r w:rsidRPr="008E3DC4" w:rsidR="00F127C7">
        <w:t xml:space="preserve"> under </w:t>
      </w:r>
      <w:hyperlink w:history="1" r:id="rId12">
        <w:r w:rsidRPr="008E3DC4" w:rsidR="00F127C7">
          <w:t>section 319</w:t>
        </w:r>
      </w:hyperlink>
      <w:r w:rsidRPr="008E3DC4" w:rsidR="00F127C7">
        <w:t xml:space="preserve"> </w:t>
      </w:r>
      <w:r w:rsidRPr="00845A50" w:rsidR="00F127C7">
        <w:t xml:space="preserve">of the </w:t>
      </w:r>
      <w:r w:rsidR="00A949C7">
        <w:t>Public Health Service (</w:t>
      </w:r>
      <w:r w:rsidR="00F127C7">
        <w:t>PHS</w:t>
      </w:r>
      <w:r w:rsidR="00A949C7">
        <w:t>)</w:t>
      </w:r>
      <w:r w:rsidR="00F127C7">
        <w:t xml:space="preserve"> Act.”</w:t>
      </w:r>
      <w:r w:rsidR="00F127C7">
        <w:rPr>
          <w:rStyle w:val="FootnoteReference"/>
        </w:rPr>
        <w:footnoteReference w:id="3"/>
      </w:r>
      <w:r w:rsidRPr="00845A50" w:rsidR="00F127C7">
        <w:t xml:space="preserve"> </w:t>
      </w:r>
      <w:r w:rsidR="00054818">
        <w:t>Section 506J</w:t>
      </w:r>
      <w:r w:rsidR="001174C3">
        <w:t xml:space="preserve"> require</w:t>
      </w:r>
      <w:r w:rsidR="00054818">
        <w:t>s</w:t>
      </w:r>
      <w:r w:rsidR="001174C3">
        <w:t xml:space="preserve"> FDA to take action </w:t>
      </w:r>
      <w:r w:rsidR="001159DB">
        <w:t>based on</w:t>
      </w:r>
      <w:r w:rsidR="00A861BF">
        <w:t xml:space="preserve"> th</w:t>
      </w:r>
      <w:r w:rsidR="00C47454">
        <w:t>at information</w:t>
      </w:r>
      <w:r w:rsidR="00A861BF">
        <w:t xml:space="preserve">, including </w:t>
      </w:r>
      <w:r w:rsidR="00DC1B4A">
        <w:t xml:space="preserve">(1) </w:t>
      </w:r>
      <w:r w:rsidR="0069737B">
        <w:rPr>
          <w:color w:val="auto"/>
        </w:rPr>
        <w:t>publicly post</w:t>
      </w:r>
      <w:r w:rsidR="00AD26C7">
        <w:rPr>
          <w:color w:val="auto"/>
        </w:rPr>
        <w:t>ing</w:t>
      </w:r>
      <w:r w:rsidR="00287045">
        <w:rPr>
          <w:color w:val="auto"/>
        </w:rPr>
        <w:t xml:space="preserve"> a list of devices </w:t>
      </w:r>
      <w:r w:rsidR="00A861BF">
        <w:rPr>
          <w:color w:val="auto"/>
        </w:rPr>
        <w:t>it determines to be in shortage</w:t>
      </w:r>
      <w:r w:rsidR="00DC1B4A">
        <w:rPr>
          <w:color w:val="auto"/>
        </w:rPr>
        <w:t>, (2) publicly post</w:t>
      </w:r>
      <w:r w:rsidR="00AD26C7">
        <w:rPr>
          <w:color w:val="auto"/>
        </w:rPr>
        <w:t>ing</w:t>
      </w:r>
      <w:r>
        <w:rPr>
          <w:color w:val="auto"/>
        </w:rPr>
        <w:t xml:space="preserve"> </w:t>
      </w:r>
      <w:r w:rsidR="00BB67C0">
        <w:rPr>
          <w:color w:val="auto"/>
        </w:rPr>
        <w:t>the reasons for the shortage,</w:t>
      </w:r>
      <w:r w:rsidR="00A861BF">
        <w:rPr>
          <w:rStyle w:val="FootnoteReference"/>
          <w:color w:val="auto"/>
        </w:rPr>
        <w:footnoteReference w:id="4"/>
      </w:r>
      <w:r w:rsidR="00BB67C0">
        <w:rPr>
          <w:color w:val="auto"/>
        </w:rPr>
        <w:t xml:space="preserve"> </w:t>
      </w:r>
      <w:r w:rsidR="00AD26C7">
        <w:rPr>
          <w:color w:val="auto"/>
        </w:rPr>
        <w:t xml:space="preserve">and (3) </w:t>
      </w:r>
      <w:r w:rsidR="00BB67C0">
        <w:rPr>
          <w:color w:val="auto"/>
        </w:rPr>
        <w:t>issuing letters to manufacturers that fail to comply with the notification requirements</w:t>
      </w:r>
      <w:r w:rsidR="0065632F">
        <w:rPr>
          <w:color w:val="auto"/>
        </w:rPr>
        <w:t xml:space="preserve"> of section 506J</w:t>
      </w:r>
      <w:r w:rsidR="00BB67C0">
        <w:rPr>
          <w:color w:val="auto"/>
        </w:rPr>
        <w:t>.</w:t>
      </w:r>
      <w:r w:rsidR="00BB67C0">
        <w:rPr>
          <w:rStyle w:val="FootnoteReference"/>
          <w:color w:val="auto"/>
        </w:rPr>
        <w:footnoteReference w:id="5"/>
      </w:r>
      <w:r w:rsidR="0069737B">
        <w:rPr>
          <w:color w:val="auto"/>
        </w:rPr>
        <w:t xml:space="preserve"> </w:t>
      </w:r>
      <w:r w:rsidRPr="00FE1857" w:rsidR="00F70605">
        <w:rPr>
          <w:color w:val="auto"/>
        </w:rPr>
        <w:t xml:space="preserve">  </w:t>
      </w:r>
      <w:r w:rsidRPr="00FE1857" w:rsidR="000B7294">
        <w:rPr>
          <w:color w:val="auto"/>
        </w:rPr>
        <w:t xml:space="preserve">   </w:t>
      </w:r>
    </w:p>
    <w:p w:rsidRPr="00A77B51" w:rsidR="000B7294" w:rsidP="00803A2B" w:rsidRDefault="000B7294" w14:paraId="313B4CE2" w14:textId="381902A5">
      <w:pPr>
        <w:pStyle w:val="Default"/>
        <w:rPr>
          <w:color w:val="auto"/>
        </w:rPr>
      </w:pPr>
    </w:p>
    <w:p w:rsidRPr="00A77B51" w:rsidR="00A77B51" w:rsidP="00803A2B" w:rsidRDefault="00A77B51" w14:paraId="32874816" w14:textId="14F30B55">
      <w:pPr>
        <w:pStyle w:val="Default"/>
        <w:rPr>
          <w:color w:val="auto"/>
        </w:rPr>
      </w:pPr>
      <w:r w:rsidRPr="000A1066">
        <w:rPr>
          <w:color w:val="auto"/>
        </w:rPr>
        <w:t xml:space="preserve">While FDA does have a </w:t>
      </w:r>
      <w:hyperlink w:history="1" r:id="rId13">
        <w:r w:rsidRPr="000A1066">
          <w:rPr>
            <w:rStyle w:val="Hyperlink"/>
          </w:rPr>
          <w:t>waiver</w:t>
        </w:r>
      </w:hyperlink>
      <w:r w:rsidRPr="000A1066">
        <w:rPr>
          <w:color w:val="auto"/>
        </w:rPr>
        <w:t xml:space="preserve"> in place for certain collections during COVID-19, and while this waiver applies to guidance documents that relate to the COVID-19 pandemic public health emergency (PHE) response, recent discussions have raised questions regarding the waiver’s applicability to part of the collection in this guidance. Specifically, it was recently brought to our attention that the PRA waiver may not cover the mandatory collections under section 506J of the FD&amp;C Act, but the waiver does cover voluntary collections related to </w:t>
      </w:r>
      <w:r w:rsidRPr="000A1066" w:rsidR="000A1066">
        <w:rPr>
          <w:color w:val="auto"/>
        </w:rPr>
        <w:t xml:space="preserve">section </w:t>
      </w:r>
      <w:r w:rsidRPr="000A1066">
        <w:rPr>
          <w:color w:val="auto"/>
        </w:rPr>
        <w:t>506J.</w:t>
      </w:r>
    </w:p>
    <w:p w:rsidRPr="00FE1857" w:rsidR="00A77B51" w:rsidP="00803A2B" w:rsidRDefault="00A77B51" w14:paraId="19CDD738" w14:textId="77777777">
      <w:pPr>
        <w:pStyle w:val="Default"/>
        <w:rPr>
          <w:color w:val="auto"/>
        </w:rPr>
      </w:pPr>
    </w:p>
    <w:p w:rsidRPr="00D06D48" w:rsidR="0065241E" w:rsidP="00803A2B" w:rsidRDefault="00426216" w14:paraId="4555D26C" w14:textId="14DAEC18">
      <w:pPr>
        <w:pStyle w:val="Default"/>
        <w:rPr>
          <w:color w:val="auto"/>
        </w:rPr>
      </w:pPr>
      <w:r w:rsidRPr="00D06D48">
        <w:rPr>
          <w:color w:val="auto"/>
        </w:rPr>
        <w:t xml:space="preserve">FDA’s </w:t>
      </w:r>
      <w:r w:rsidRPr="00D06D48" w:rsidR="00803A2B">
        <w:rPr>
          <w:color w:val="auto"/>
        </w:rPr>
        <w:t>Center for Device</w:t>
      </w:r>
      <w:r w:rsidRPr="00D06D48" w:rsidR="005D682C">
        <w:rPr>
          <w:color w:val="auto"/>
        </w:rPr>
        <w:t>s</w:t>
      </w:r>
      <w:r w:rsidRPr="00D06D48" w:rsidR="00803A2B">
        <w:rPr>
          <w:color w:val="auto"/>
        </w:rPr>
        <w:t xml:space="preserve"> and Radiological Health (CDRH) is requesting </w:t>
      </w:r>
      <w:r w:rsidRPr="00D06D48" w:rsidR="0011054B">
        <w:rPr>
          <w:color w:val="auto"/>
        </w:rPr>
        <w:t xml:space="preserve">use of the emergency clearance process </w:t>
      </w:r>
      <w:r w:rsidRPr="00D06D48" w:rsidR="00C329A1">
        <w:rPr>
          <w:color w:val="auto"/>
        </w:rPr>
        <w:t>under</w:t>
      </w:r>
      <w:r w:rsidRPr="00D06D48" w:rsidR="0011054B">
        <w:rPr>
          <w:color w:val="auto"/>
        </w:rPr>
        <w:t xml:space="preserve"> </w:t>
      </w:r>
      <w:r w:rsidRPr="00D06D48" w:rsidR="00262932">
        <w:t>44 U</w:t>
      </w:r>
      <w:r w:rsidRPr="00D06D48" w:rsidR="00AB3FD4">
        <w:t>.</w:t>
      </w:r>
      <w:r w:rsidRPr="00D06D48" w:rsidR="00262932">
        <w:t>S</w:t>
      </w:r>
      <w:r w:rsidRPr="00D06D48" w:rsidR="00AB3FD4">
        <w:t>.</w:t>
      </w:r>
      <w:r w:rsidRPr="00D06D48" w:rsidR="00262932">
        <w:t>C</w:t>
      </w:r>
      <w:r w:rsidRPr="00D06D48" w:rsidR="00AB3FD4">
        <w:t>.</w:t>
      </w:r>
      <w:r w:rsidRPr="00D06D48" w:rsidR="00262932">
        <w:t xml:space="preserve"> 3507(j)</w:t>
      </w:r>
      <w:r w:rsidRPr="00D06D48" w:rsidR="00262932">
        <w:rPr>
          <w:color w:val="auto"/>
        </w:rPr>
        <w:t xml:space="preserve"> and </w:t>
      </w:r>
      <w:r w:rsidRPr="00D06D48" w:rsidR="0011054B">
        <w:rPr>
          <w:color w:val="auto"/>
        </w:rPr>
        <w:t>5 CFR 1320.13</w:t>
      </w:r>
      <w:r w:rsidRPr="00D06D48" w:rsidR="00803A2B">
        <w:rPr>
          <w:color w:val="auto"/>
        </w:rPr>
        <w:t xml:space="preserve"> </w:t>
      </w:r>
      <w:r w:rsidRPr="00D06D48" w:rsidR="00AD26C7">
        <w:rPr>
          <w:color w:val="auto"/>
        </w:rPr>
        <w:t xml:space="preserve">to </w:t>
      </w:r>
      <w:r w:rsidR="009F72BC">
        <w:rPr>
          <w:color w:val="auto"/>
        </w:rPr>
        <w:t xml:space="preserve">immediately approve </w:t>
      </w:r>
      <w:r w:rsidRPr="00D06D48" w:rsidR="00AD26C7">
        <w:rPr>
          <w:color w:val="auto"/>
        </w:rPr>
        <w:t>revis</w:t>
      </w:r>
      <w:r w:rsidR="009F72BC">
        <w:rPr>
          <w:color w:val="auto"/>
        </w:rPr>
        <w:t>ion of</w:t>
      </w:r>
      <w:r w:rsidRPr="00D06D48" w:rsidR="003D7903">
        <w:rPr>
          <w:color w:val="auto"/>
        </w:rPr>
        <w:t xml:space="preserve"> </w:t>
      </w:r>
      <w:r w:rsidRPr="00D06D48" w:rsidR="003C09C6">
        <w:rPr>
          <w:color w:val="auto"/>
        </w:rPr>
        <w:t>OMB Control No. 0910-</w:t>
      </w:r>
      <w:r w:rsidRPr="00D06D48" w:rsidR="00AB3FD4">
        <w:rPr>
          <w:color w:val="auto"/>
        </w:rPr>
        <w:t xml:space="preserve">0491 </w:t>
      </w:r>
      <w:r w:rsidRPr="00D06D48" w:rsidR="009D75FA">
        <w:rPr>
          <w:color w:val="auto"/>
        </w:rPr>
        <w:t xml:space="preserve">to </w:t>
      </w:r>
      <w:r w:rsidRPr="00D06D48" w:rsidR="0065241E">
        <w:rPr>
          <w:color w:val="auto"/>
        </w:rPr>
        <w:t xml:space="preserve">add the </w:t>
      </w:r>
      <w:r w:rsidRPr="00D06D48" w:rsidR="00AD26C7">
        <w:rPr>
          <w:color w:val="auto"/>
        </w:rPr>
        <w:t>information collection</w:t>
      </w:r>
      <w:r w:rsidRPr="00D06D48" w:rsidR="00C329A1">
        <w:rPr>
          <w:color w:val="auto"/>
        </w:rPr>
        <w:t xml:space="preserve"> required </w:t>
      </w:r>
      <w:r w:rsidRPr="00D06D48" w:rsidR="00AB3FD4">
        <w:rPr>
          <w:color w:val="auto"/>
        </w:rPr>
        <w:t>by</w:t>
      </w:r>
      <w:r w:rsidR="004F795A">
        <w:rPr>
          <w:color w:val="auto"/>
        </w:rPr>
        <w:t xml:space="preserve"> section 506J of the FD&amp;C Act (added by</w:t>
      </w:r>
      <w:r w:rsidRPr="00D06D48" w:rsidR="00AB3FD4">
        <w:rPr>
          <w:color w:val="auto"/>
        </w:rPr>
        <w:t xml:space="preserve"> </w:t>
      </w:r>
      <w:r w:rsidRPr="00D06D48" w:rsidR="00C07ADA">
        <w:rPr>
          <w:color w:val="auto"/>
        </w:rPr>
        <w:t xml:space="preserve">section 3121 of </w:t>
      </w:r>
      <w:r w:rsidRPr="00D06D48" w:rsidR="00AB3FD4">
        <w:rPr>
          <w:color w:val="auto"/>
        </w:rPr>
        <w:t>the CARES Act</w:t>
      </w:r>
      <w:r w:rsidR="004F795A">
        <w:rPr>
          <w:color w:val="auto"/>
        </w:rPr>
        <w:t>)</w:t>
      </w:r>
      <w:r w:rsidRPr="00D06D48" w:rsidR="00780BE7">
        <w:rPr>
          <w:color w:val="auto"/>
        </w:rPr>
        <w:t xml:space="preserve"> to OMB control number 0910-0491</w:t>
      </w:r>
      <w:r w:rsidRPr="00D06D48" w:rsidR="0065241E">
        <w:rPr>
          <w:color w:val="auto"/>
        </w:rPr>
        <w:t xml:space="preserve">. </w:t>
      </w:r>
      <w:r w:rsidRPr="00D06D48" w:rsidR="00353830">
        <w:rPr>
          <w:color w:val="auto"/>
        </w:rPr>
        <w:lastRenderedPageBreak/>
        <w:t xml:space="preserve">Pursuant to 5 CFR 1320.13(a)(1) and (2)(i), </w:t>
      </w:r>
      <w:r w:rsidRPr="00D06D48" w:rsidR="00E74022">
        <w:rPr>
          <w:color w:val="auto"/>
        </w:rPr>
        <w:t xml:space="preserve">as set forth more fully below, </w:t>
      </w:r>
      <w:r w:rsidRPr="00D06D48" w:rsidR="00AD26C7">
        <w:rPr>
          <w:color w:val="auto"/>
        </w:rPr>
        <w:t>CDRH has</w:t>
      </w:r>
      <w:r w:rsidRPr="00D06D48" w:rsidR="0065241E">
        <w:rPr>
          <w:color w:val="auto"/>
        </w:rPr>
        <w:t xml:space="preserve"> determined that:</w:t>
      </w:r>
    </w:p>
    <w:p w:rsidRPr="00D06D48" w:rsidR="00C52495" w:rsidP="00803A2B" w:rsidRDefault="00C52495" w14:paraId="0B9557AD" w14:textId="77777777">
      <w:pPr>
        <w:pStyle w:val="Default"/>
        <w:rPr>
          <w:color w:val="auto"/>
        </w:rPr>
      </w:pPr>
    </w:p>
    <w:p w:rsidRPr="001E45E7" w:rsidR="0065241E" w:rsidP="00C52495" w:rsidRDefault="0065241E" w14:paraId="7F05A505" w14:textId="18570A3B">
      <w:pPr>
        <w:pStyle w:val="Default"/>
        <w:numPr>
          <w:ilvl w:val="0"/>
          <w:numId w:val="4"/>
        </w:numPr>
        <w:spacing w:after="120"/>
        <w:rPr>
          <w:color w:val="auto"/>
        </w:rPr>
      </w:pPr>
      <w:r w:rsidRPr="00D06D48">
        <w:rPr>
          <w:color w:val="auto"/>
        </w:rPr>
        <w:t xml:space="preserve">The </w:t>
      </w:r>
      <w:r w:rsidRPr="00D06D48" w:rsidR="00262932">
        <w:rPr>
          <w:color w:val="auto"/>
        </w:rPr>
        <w:t xml:space="preserve">revision of the </w:t>
      </w:r>
      <w:r w:rsidRPr="00D06D48">
        <w:rPr>
          <w:color w:val="auto"/>
        </w:rPr>
        <w:t xml:space="preserve">collection of information is needed prior to the expiration of </w:t>
      </w:r>
      <w:r w:rsidRPr="00D06D48" w:rsidR="00D70938">
        <w:rPr>
          <w:color w:val="auto"/>
        </w:rPr>
        <w:t>normal clearance time periods and</w:t>
      </w:r>
      <w:r w:rsidRPr="001E45E7">
        <w:rPr>
          <w:color w:val="auto"/>
        </w:rPr>
        <w:t xml:space="preserve"> is essential to the mission of the </w:t>
      </w:r>
      <w:r w:rsidRPr="001E45E7" w:rsidR="001D6036">
        <w:rPr>
          <w:color w:val="auto"/>
        </w:rPr>
        <w:t>FDA</w:t>
      </w:r>
      <w:r w:rsidRPr="001E45E7">
        <w:rPr>
          <w:color w:val="auto"/>
        </w:rPr>
        <w:t>; and</w:t>
      </w:r>
    </w:p>
    <w:p w:rsidRPr="00D06D48" w:rsidR="00605EA7" w:rsidP="00756686" w:rsidRDefault="00522281" w14:paraId="5B23C592" w14:textId="4212D5FA">
      <w:pPr>
        <w:pStyle w:val="Default"/>
        <w:numPr>
          <w:ilvl w:val="0"/>
          <w:numId w:val="4"/>
        </w:numPr>
        <w:spacing w:after="120"/>
        <w:rPr>
          <w:color w:val="auto"/>
        </w:rPr>
      </w:pPr>
      <w:r w:rsidRPr="00FB7B3D">
        <w:t xml:space="preserve">The FDA cannot reasonably comply with normal clearance procedures because </w:t>
      </w:r>
      <w:r w:rsidRPr="009F72BC">
        <w:rPr>
          <w:color w:val="auto"/>
        </w:rPr>
        <w:t>p</w:t>
      </w:r>
      <w:r w:rsidRPr="00D06D48">
        <w:rPr>
          <w:color w:val="auto"/>
        </w:rPr>
        <w:t>ublic</w:t>
      </w:r>
      <w:r w:rsidR="00605EA7">
        <w:rPr>
          <w:color w:val="auto"/>
        </w:rPr>
        <w:t xml:space="preserve"> </w:t>
      </w:r>
      <w:r w:rsidRPr="00D06D48" w:rsidR="0066158E">
        <w:rPr>
          <w:color w:val="auto"/>
        </w:rPr>
        <w:t>harm is reasonably likely to result if normal clearance procedures are followed</w:t>
      </w:r>
      <w:r w:rsidRPr="00D06D48" w:rsidR="00D06D48">
        <w:rPr>
          <w:color w:val="auto"/>
        </w:rPr>
        <w:t xml:space="preserve">. </w:t>
      </w:r>
      <w:r w:rsidRPr="001E45E7" w:rsidDel="00FB7B3D" w:rsidR="00605EA7">
        <w:rPr>
          <w:color w:val="auto"/>
        </w:rPr>
        <w:t xml:space="preserve"> </w:t>
      </w:r>
    </w:p>
    <w:p w:rsidRPr="00D06D48" w:rsidR="00E74022" w:rsidP="00876E34" w:rsidRDefault="00605EA7" w14:paraId="1D131A85" w14:textId="3D238A8A">
      <w:pPr>
        <w:pStyle w:val="Default"/>
        <w:spacing w:after="120"/>
        <w:rPr>
          <w:color w:val="auto"/>
        </w:rPr>
      </w:pPr>
      <w:r>
        <w:rPr>
          <w:color w:val="auto"/>
        </w:rPr>
        <w:t>We also note</w:t>
      </w:r>
      <w:r w:rsidR="00D06D48">
        <w:rPr>
          <w:color w:val="auto"/>
        </w:rPr>
        <w:t xml:space="preserve"> that</w:t>
      </w:r>
      <w:r w:rsidRPr="009F72BC" w:rsidR="00D06D48">
        <w:rPr>
          <w:color w:val="auto"/>
        </w:rPr>
        <w:t xml:space="preserve"> </w:t>
      </w:r>
      <w:r w:rsidRPr="00D06D48" w:rsidR="00E74022">
        <w:rPr>
          <w:color w:val="auto"/>
        </w:rPr>
        <w:t xml:space="preserve">FDA has interacted with interested members of the public and has taken steps to create </w:t>
      </w:r>
      <w:r w:rsidRPr="00D06D48" w:rsidR="00D21F2E">
        <w:rPr>
          <w:color w:val="auto"/>
        </w:rPr>
        <w:t xml:space="preserve">guidance </w:t>
      </w:r>
      <w:r w:rsidRPr="00D06D48" w:rsidR="00E74022">
        <w:rPr>
          <w:color w:val="auto"/>
        </w:rPr>
        <w:t xml:space="preserve">and processes that will minimize the burden of the collection of information. </w:t>
      </w:r>
    </w:p>
    <w:p w:rsidRPr="004E783A" w:rsidR="002E195A" w:rsidP="00780BE7" w:rsidRDefault="00803A2B" w14:paraId="775564AD" w14:textId="5A8FF254">
      <w:pPr>
        <w:rPr>
          <w:rFonts w:ascii="Times New Roman" w:hAnsi="Times New Roman" w:cs="Times New Roman"/>
        </w:rPr>
      </w:pPr>
      <w:r w:rsidRPr="004E783A">
        <w:rPr>
          <w:rFonts w:ascii="Times New Roman" w:hAnsi="Times New Roman" w:cs="Times New Roman"/>
          <w:b/>
        </w:rPr>
        <w:t>Background</w:t>
      </w:r>
      <w:r w:rsidRPr="004E783A">
        <w:rPr>
          <w:rFonts w:ascii="Times New Roman" w:hAnsi="Times New Roman" w:cs="Times New Roman"/>
        </w:rPr>
        <w:t xml:space="preserve">: </w:t>
      </w:r>
    </w:p>
    <w:p w:rsidR="004E783A" w:rsidP="002E195A" w:rsidRDefault="008C0DE0" w14:paraId="1325AD2B" w14:textId="77777777">
      <w:pPr>
        <w:pStyle w:val="Default"/>
        <w:rPr>
          <w:color w:val="auto"/>
        </w:rPr>
      </w:pPr>
      <w:r w:rsidRPr="00FE1857">
        <w:rPr>
          <w:color w:val="auto"/>
          <w:u w:val="single"/>
        </w:rPr>
        <w:t>The CARES Act</w:t>
      </w:r>
      <w:r w:rsidRPr="00FE1857" w:rsidR="00CF07EF">
        <w:rPr>
          <w:color w:val="auto"/>
        </w:rPr>
        <w:t xml:space="preserve">  </w:t>
      </w:r>
    </w:p>
    <w:p w:rsidR="004E783A" w:rsidP="002E195A" w:rsidRDefault="004E783A" w14:paraId="381830FE" w14:textId="77777777">
      <w:pPr>
        <w:pStyle w:val="Default"/>
        <w:rPr>
          <w:color w:val="auto"/>
        </w:rPr>
      </w:pPr>
    </w:p>
    <w:p w:rsidR="008C5024" w:rsidP="002E195A" w:rsidRDefault="00CF07EF" w14:paraId="51A4DC81" w14:textId="7AE35CBA">
      <w:pPr>
        <w:pStyle w:val="Default"/>
      </w:pPr>
      <w:r w:rsidRPr="00FE1857">
        <w:rPr>
          <w:color w:val="auto"/>
        </w:rPr>
        <w:t>On</w:t>
      </w:r>
      <w:r w:rsidRPr="00FE1857">
        <w:rPr>
          <w:color w:val="auto"/>
          <w:u w:val="single"/>
        </w:rPr>
        <w:t xml:space="preserve"> </w:t>
      </w:r>
      <w:r w:rsidRPr="00FE1857" w:rsidR="002E195A">
        <w:rPr>
          <w:color w:val="auto"/>
        </w:rPr>
        <w:t xml:space="preserve">March 27, 2020, </w:t>
      </w:r>
      <w:r w:rsidRPr="00FE1857" w:rsidR="00313D55">
        <w:rPr>
          <w:color w:val="auto"/>
        </w:rPr>
        <w:t xml:space="preserve">the </w:t>
      </w:r>
      <w:r w:rsidRPr="00FE1857" w:rsidR="002E195A">
        <w:rPr>
          <w:color w:val="auto"/>
        </w:rPr>
        <w:t xml:space="preserve">CARES Act </w:t>
      </w:r>
      <w:r w:rsidRPr="00FE1857" w:rsidR="00D91486">
        <w:rPr>
          <w:color w:val="auto"/>
        </w:rPr>
        <w:t>was signe</w:t>
      </w:r>
      <w:r w:rsidRPr="00FE1857" w:rsidR="00150BAA">
        <w:rPr>
          <w:color w:val="auto"/>
        </w:rPr>
        <w:t xml:space="preserve">d </w:t>
      </w:r>
      <w:r w:rsidRPr="00FE1857" w:rsidR="00D91486">
        <w:rPr>
          <w:color w:val="auto"/>
        </w:rPr>
        <w:t xml:space="preserve">into law.  </w:t>
      </w:r>
      <w:r w:rsidRPr="00FE1857" w:rsidR="002C6F8A">
        <w:rPr>
          <w:color w:val="auto"/>
        </w:rPr>
        <w:t>S</w:t>
      </w:r>
      <w:r w:rsidRPr="00FE1857" w:rsidR="00D91486">
        <w:rPr>
          <w:color w:val="auto"/>
        </w:rPr>
        <w:t xml:space="preserve">ection </w:t>
      </w:r>
      <w:r w:rsidR="00E12DB3">
        <w:rPr>
          <w:color w:val="auto"/>
        </w:rPr>
        <w:t>3121</w:t>
      </w:r>
      <w:r w:rsidRPr="00FE1857" w:rsidR="002E195A">
        <w:rPr>
          <w:color w:val="auto"/>
        </w:rPr>
        <w:t xml:space="preserve"> </w:t>
      </w:r>
      <w:r w:rsidRPr="00FE1857" w:rsidR="00D91486">
        <w:rPr>
          <w:color w:val="auto"/>
        </w:rPr>
        <w:t xml:space="preserve">of the </w:t>
      </w:r>
      <w:r w:rsidRPr="00FE1857" w:rsidR="002E195A">
        <w:rPr>
          <w:color w:val="auto"/>
        </w:rPr>
        <w:t>CARES Act</w:t>
      </w:r>
      <w:r w:rsidR="0085325D">
        <w:rPr>
          <w:color w:val="auto"/>
        </w:rPr>
        <w:t xml:space="preserve"> </w:t>
      </w:r>
      <w:r w:rsidR="006325CF">
        <w:rPr>
          <w:color w:val="auto"/>
        </w:rPr>
        <w:t>adds section 506J to the FD&amp;C Act</w:t>
      </w:r>
      <w:r w:rsidR="00B4255B">
        <w:rPr>
          <w:color w:val="auto"/>
        </w:rPr>
        <w:t>.</w:t>
      </w:r>
      <w:r w:rsidR="0085325D">
        <w:rPr>
          <w:color w:val="auto"/>
        </w:rPr>
        <w:t xml:space="preserve"> </w:t>
      </w:r>
      <w:r w:rsidR="00B4255B">
        <w:t>Section 506J of the FD&amp;C Act</w:t>
      </w:r>
      <w:r w:rsidRPr="00845A50" w:rsidR="00026A95">
        <w:t xml:space="preserve"> </w:t>
      </w:r>
      <w:r w:rsidR="008C5024">
        <w:t>requires</w:t>
      </w:r>
      <w:r w:rsidRPr="00845A50" w:rsidR="00026A95">
        <w:t xml:space="preserve"> manufacturers of certain devices</w:t>
      </w:r>
      <w:r w:rsidR="00026A95">
        <w:rPr>
          <w:rStyle w:val="FootnoteReference"/>
        </w:rPr>
        <w:footnoteReference w:id="6"/>
      </w:r>
      <w:r w:rsidRPr="00845A50" w:rsidR="00026A95">
        <w:t xml:space="preserve"> </w:t>
      </w:r>
      <w:r w:rsidR="00026A95">
        <w:t>to</w:t>
      </w:r>
      <w:r w:rsidRPr="00694381" w:rsidDel="007F2D60" w:rsidR="00026A95">
        <w:t xml:space="preserve"> </w:t>
      </w:r>
      <w:r w:rsidRPr="00694381" w:rsidR="00026A95">
        <w:t xml:space="preserve">notify FDA </w:t>
      </w:r>
      <w:r w:rsidR="00026A95">
        <w:t>“</w:t>
      </w:r>
      <w:r w:rsidRPr="00694381" w:rsidR="00026A95">
        <w:t xml:space="preserve">of a permanent discontinuance in the manufacture of </w:t>
      </w:r>
      <w:r w:rsidR="00026A95">
        <w:t>the</w:t>
      </w:r>
      <w:r w:rsidRPr="00694381" w:rsidR="00026A95">
        <w:t xml:space="preserve"> </w:t>
      </w:r>
      <w:r w:rsidR="00026A95">
        <w:t>device”</w:t>
      </w:r>
      <w:r w:rsidRPr="00694381" w:rsidR="00026A95">
        <w:t xml:space="preserve"> or </w:t>
      </w:r>
      <w:r w:rsidR="00026A95">
        <w:t>“</w:t>
      </w:r>
      <w:r w:rsidRPr="00694381" w:rsidR="00026A95">
        <w:t xml:space="preserve">an interruption in the manufacture of </w:t>
      </w:r>
      <w:r w:rsidR="00026A95">
        <w:t>the</w:t>
      </w:r>
      <w:r w:rsidRPr="00694381" w:rsidR="00026A95">
        <w:t xml:space="preserve"> </w:t>
      </w:r>
      <w:r w:rsidR="00026A95">
        <w:t xml:space="preserve">device </w:t>
      </w:r>
      <w:r w:rsidRPr="00694381" w:rsidR="00026A95">
        <w:t xml:space="preserve">that is likely to lead to a meaningful disruption in supply of that </w:t>
      </w:r>
      <w:r w:rsidR="00026A95">
        <w:t>device</w:t>
      </w:r>
      <w:r w:rsidRPr="00694381" w:rsidR="00026A95">
        <w:t xml:space="preserve"> in the United States</w:t>
      </w:r>
      <w:r w:rsidR="00026A95">
        <w:t>”</w:t>
      </w:r>
      <w:r w:rsidRPr="00845A50" w:rsidR="00026A95">
        <w:t xml:space="preserve"> during</w:t>
      </w:r>
      <w:r w:rsidR="00BE4BA3">
        <w:t xml:space="preserve"> or in advance of</w:t>
      </w:r>
      <w:r w:rsidRPr="00845A50" w:rsidR="00026A95">
        <w:t xml:space="preserve"> a declared public</w:t>
      </w:r>
      <w:r w:rsidR="00026A95">
        <w:t xml:space="preserve"> health emergency</w:t>
      </w:r>
      <w:r w:rsidR="00BE4BA3">
        <w:t>, and the reason for such discontinuance or interruption</w:t>
      </w:r>
      <w:r w:rsidRPr="00A81453" w:rsidR="00026A95">
        <w:t>.</w:t>
      </w:r>
      <w:r w:rsidR="00026A95">
        <w:rPr>
          <w:rStyle w:val="FootnoteReference"/>
        </w:rPr>
        <w:footnoteReference w:id="7"/>
      </w:r>
      <w:r w:rsidRPr="00A81453" w:rsidR="00026A95">
        <w:t xml:space="preserve"> </w:t>
      </w:r>
      <w:r w:rsidR="00026A95">
        <w:rPr>
          <w:color w:val="auto"/>
        </w:rPr>
        <w:t xml:space="preserve">Congress did not provide either a different effective date or implementation period for this new authority. </w:t>
      </w:r>
    </w:p>
    <w:p w:rsidR="008C5024" w:rsidP="002E195A" w:rsidRDefault="008C5024" w14:paraId="33ED8184" w14:textId="77777777">
      <w:pPr>
        <w:pStyle w:val="Default"/>
      </w:pPr>
    </w:p>
    <w:p w:rsidRPr="00B4255B" w:rsidR="00E66816" w:rsidP="002E195A" w:rsidRDefault="00EB1261" w14:paraId="2878C98B" w14:textId="56CC3CB6">
      <w:pPr>
        <w:pStyle w:val="Default"/>
        <w:rPr>
          <w:color w:val="auto"/>
        </w:rPr>
      </w:pPr>
      <w:r>
        <w:t>When</w:t>
      </w:r>
      <w:r w:rsidR="00026A95">
        <w:t xml:space="preserve"> the CARES Act was </w:t>
      </w:r>
      <w:r w:rsidR="00BE1189">
        <w:t>enacted</w:t>
      </w:r>
      <w:r w:rsidR="00026A95">
        <w:t>, the Secretary of the Department of Health and Human Services (HHS) had already declared a public health emergency,</w:t>
      </w:r>
      <w:r w:rsidR="00026A95">
        <w:rPr>
          <w:rStyle w:val="FootnoteReference"/>
        </w:rPr>
        <w:footnoteReference w:id="8"/>
      </w:r>
      <w:r w:rsidR="00026A95">
        <w:t xml:space="preserve"> making manufacturers immediately obligated to submit, and FDA obligated to receive, such notifications. </w:t>
      </w:r>
    </w:p>
    <w:p w:rsidR="00C47454" w:rsidP="009653F5" w:rsidRDefault="00C47454" w14:paraId="028F6E4F" w14:textId="77777777">
      <w:pPr>
        <w:spacing w:after="0" w:line="240" w:lineRule="auto"/>
        <w:rPr>
          <w:rFonts w:ascii="Times New Roman" w:hAnsi="Times New Roman" w:cs="Times New Roman"/>
          <w:sz w:val="24"/>
          <w:szCs w:val="24"/>
        </w:rPr>
      </w:pPr>
    </w:p>
    <w:p w:rsidR="008C5024" w:rsidP="009653F5" w:rsidRDefault="00C47454" w14:paraId="440889DD" w14:textId="7FC8C3B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Section </w:t>
      </w:r>
      <w:r w:rsidRPr="009653F5" w:rsidR="00054818">
        <w:rPr>
          <w:rFonts w:ascii="Times New Roman" w:hAnsi="Times New Roman" w:cs="Times New Roman"/>
          <w:sz w:val="24"/>
          <w:szCs w:val="24"/>
        </w:rPr>
        <w:t xml:space="preserve">506J </w:t>
      </w:r>
      <w:r w:rsidR="00054818">
        <w:rPr>
          <w:rFonts w:ascii="Times New Roman" w:hAnsi="Times New Roman" w:cs="Times New Roman"/>
          <w:sz w:val="24"/>
          <w:szCs w:val="24"/>
        </w:rPr>
        <w:t>of the FD&amp;C Act</w:t>
      </w:r>
      <w:r w:rsidRPr="009653F5" w:rsidR="00054818">
        <w:rPr>
          <w:rFonts w:ascii="Times New Roman" w:hAnsi="Times New Roman" w:cs="Times New Roman"/>
          <w:sz w:val="24"/>
          <w:szCs w:val="24"/>
        </w:rPr>
        <w:t xml:space="preserve"> </w:t>
      </w:r>
      <w:r>
        <w:rPr>
          <w:rFonts w:ascii="Times New Roman" w:hAnsi="Times New Roman" w:cs="Times New Roman"/>
          <w:sz w:val="24"/>
          <w:szCs w:val="24"/>
        </w:rPr>
        <w:t>requires</w:t>
      </w:r>
      <w:r w:rsidRPr="009653F5" w:rsidR="00054818">
        <w:rPr>
          <w:rFonts w:ascii="Times New Roman" w:hAnsi="Times New Roman" w:cs="Times New Roman"/>
          <w:sz w:val="24"/>
          <w:szCs w:val="24"/>
        </w:rPr>
        <w:t xml:space="preserve"> manufacturers</w:t>
      </w:r>
      <w:r w:rsidR="00F764CF">
        <w:rPr>
          <w:rFonts w:ascii="Times New Roman" w:hAnsi="Times New Roman" w:cs="Times New Roman"/>
          <w:sz w:val="24"/>
          <w:szCs w:val="24"/>
        </w:rPr>
        <w:t xml:space="preserve"> to </w:t>
      </w:r>
      <w:r w:rsidR="00395A86">
        <w:rPr>
          <w:rFonts w:ascii="Times New Roman" w:hAnsi="Times New Roman" w:cs="Times New Roman"/>
          <w:sz w:val="24"/>
          <w:szCs w:val="24"/>
        </w:rPr>
        <w:t xml:space="preserve">notify FDA of </w:t>
      </w:r>
      <w:r w:rsidRPr="009653F5" w:rsidR="00054818">
        <w:rPr>
          <w:rFonts w:ascii="Times New Roman" w:hAnsi="Times New Roman" w:cs="Times New Roman"/>
          <w:sz w:val="24"/>
          <w:szCs w:val="24"/>
        </w:rPr>
        <w:t>a discontinuance or interruption in manufacturing</w:t>
      </w:r>
      <w:r w:rsidR="00F83571">
        <w:rPr>
          <w:rFonts w:ascii="Times New Roman" w:hAnsi="Times New Roman" w:cs="Times New Roman"/>
          <w:sz w:val="24"/>
          <w:szCs w:val="24"/>
        </w:rPr>
        <w:t>, which is</w:t>
      </w:r>
      <w:r w:rsidRPr="009653F5" w:rsidR="00054818">
        <w:rPr>
          <w:rFonts w:ascii="Times New Roman" w:hAnsi="Times New Roman" w:cs="Times New Roman"/>
          <w:sz w:val="24"/>
          <w:szCs w:val="24"/>
        </w:rPr>
        <w:t xml:space="preserve"> likely to lead to a meaningful disruption in the</w:t>
      </w:r>
      <w:r w:rsidR="00F83571">
        <w:rPr>
          <w:rFonts w:ascii="Times New Roman" w:hAnsi="Times New Roman" w:cs="Times New Roman"/>
          <w:sz w:val="24"/>
          <w:szCs w:val="24"/>
        </w:rPr>
        <w:t xml:space="preserve"> U.S. device</w:t>
      </w:r>
      <w:r w:rsidR="00F764CF">
        <w:rPr>
          <w:rFonts w:ascii="Times New Roman" w:hAnsi="Times New Roman" w:cs="Times New Roman"/>
          <w:sz w:val="24"/>
          <w:szCs w:val="24"/>
        </w:rPr>
        <w:t xml:space="preserve"> supply</w:t>
      </w:r>
      <w:r w:rsidRPr="00FD15CB" w:rsidR="00054818">
        <w:rPr>
          <w:rFonts w:ascii="Times New Roman" w:hAnsi="Times New Roman" w:cs="Times New Roman"/>
          <w:sz w:val="24"/>
          <w:szCs w:val="24"/>
        </w:rPr>
        <w:t xml:space="preserve">. </w:t>
      </w:r>
      <w:r w:rsidR="00F764CF">
        <w:rPr>
          <w:rFonts w:ascii="Times New Roman" w:hAnsi="Times New Roman" w:cs="Times New Roman"/>
          <w:sz w:val="24"/>
          <w:szCs w:val="24"/>
        </w:rPr>
        <w:t>In response to inquiries from s</w:t>
      </w:r>
      <w:r w:rsidRPr="00FD15CB" w:rsidR="00054818">
        <w:rPr>
          <w:rFonts w:ascii="Times New Roman" w:hAnsi="Times New Roman" w:cs="Times New Roman"/>
          <w:sz w:val="24"/>
          <w:szCs w:val="24"/>
        </w:rPr>
        <w:t>takeholders</w:t>
      </w:r>
      <w:r>
        <w:rPr>
          <w:rFonts w:ascii="Times New Roman" w:hAnsi="Times New Roman" w:cs="Times New Roman"/>
          <w:sz w:val="24"/>
          <w:szCs w:val="24"/>
        </w:rPr>
        <w:t xml:space="preserve">, including medical device-related trade associations, about </w:t>
      </w:r>
      <w:r w:rsidR="00395A86">
        <w:rPr>
          <w:rFonts w:ascii="Times New Roman" w:hAnsi="Times New Roman" w:cs="Times New Roman"/>
          <w:sz w:val="24"/>
          <w:szCs w:val="24"/>
        </w:rPr>
        <w:t>when a manufacturer is required to submit a notification to the Agency</w:t>
      </w:r>
      <w:r>
        <w:rPr>
          <w:rFonts w:ascii="Times New Roman" w:hAnsi="Times New Roman" w:cs="Times New Roman"/>
          <w:sz w:val="24"/>
          <w:szCs w:val="24"/>
        </w:rPr>
        <w:t xml:space="preserve">, </w:t>
      </w:r>
      <w:r w:rsidR="00F764CF">
        <w:rPr>
          <w:rFonts w:ascii="Times New Roman" w:hAnsi="Times New Roman" w:cs="Times New Roman"/>
          <w:sz w:val="24"/>
          <w:szCs w:val="24"/>
        </w:rPr>
        <w:t>and t</w:t>
      </w:r>
      <w:r w:rsidR="00054818">
        <w:rPr>
          <w:rFonts w:ascii="Times New Roman" w:hAnsi="Times New Roman" w:cs="Times New Roman"/>
          <w:sz w:val="24"/>
          <w:szCs w:val="24"/>
        </w:rPr>
        <w:t xml:space="preserve">o help industry understand its new and immediate obligations, </w:t>
      </w:r>
      <w:r w:rsidRPr="009653F5" w:rsidR="00310511">
        <w:rPr>
          <w:rFonts w:ascii="Times New Roman" w:hAnsi="Times New Roman" w:cs="Times New Roman"/>
          <w:sz w:val="24"/>
          <w:szCs w:val="24"/>
        </w:rPr>
        <w:t xml:space="preserve">FDA </w:t>
      </w:r>
      <w:r w:rsidRPr="009653F5" w:rsidR="00284BCD">
        <w:rPr>
          <w:rFonts w:ascii="Times New Roman" w:hAnsi="Times New Roman" w:cs="Times New Roman"/>
          <w:sz w:val="24"/>
          <w:szCs w:val="24"/>
        </w:rPr>
        <w:t xml:space="preserve">issued </w:t>
      </w:r>
      <w:r w:rsidR="00054818">
        <w:rPr>
          <w:rFonts w:ascii="Times New Roman" w:hAnsi="Times New Roman" w:cs="Times New Roman"/>
          <w:sz w:val="24"/>
          <w:szCs w:val="24"/>
        </w:rPr>
        <w:t xml:space="preserve">a </w:t>
      </w:r>
      <w:r w:rsidRPr="009653F5" w:rsidR="00A57EA7">
        <w:rPr>
          <w:rFonts w:ascii="Times New Roman" w:hAnsi="Times New Roman" w:cs="Times New Roman"/>
          <w:sz w:val="24"/>
          <w:szCs w:val="24"/>
        </w:rPr>
        <w:t>guidance</w:t>
      </w:r>
      <w:r w:rsidR="00193C42">
        <w:rPr>
          <w:rFonts w:ascii="Times New Roman" w:hAnsi="Times New Roman" w:cs="Times New Roman"/>
          <w:sz w:val="24"/>
          <w:szCs w:val="24"/>
        </w:rPr>
        <w:t xml:space="preserve"> on May 5, 2020</w:t>
      </w:r>
      <w:r w:rsidRPr="009653F5" w:rsidR="00A57EA7">
        <w:rPr>
          <w:rFonts w:ascii="Times New Roman" w:hAnsi="Times New Roman" w:cs="Times New Roman"/>
          <w:sz w:val="24"/>
          <w:szCs w:val="24"/>
        </w:rPr>
        <w:t xml:space="preserve">, </w:t>
      </w:r>
      <w:hyperlink w:tooltip="Notifying CDRH of a Permanent Discontinuance or Interruption in Manufacturing of a Device Under Section 506J of the FD&amp;C Act During the COVID-19 Public Health Emergency (Revised)" w:history="1" r:id="rId14">
        <w:r w:rsidRPr="009653F5" w:rsidR="00A57EA7">
          <w:rPr>
            <w:rStyle w:val="Hyperlink"/>
            <w:rFonts w:ascii="Times New Roman" w:hAnsi="Times New Roman" w:cs="Times New Roman"/>
            <w:sz w:val="24"/>
            <w:szCs w:val="24"/>
            <w:lang w:val="en"/>
          </w:rPr>
          <w:t xml:space="preserve">Notifying CDRH of a Permanent Discontinuance or Interruption in Manufacturing of a Device under Section 506J of the FD&amp;C Act During the COVID-19 Public Health Emergency </w:t>
        </w:r>
        <w:r w:rsidRPr="009653F5" w:rsidR="00A57EA7">
          <w:rPr>
            <w:rStyle w:val="Hyperlink"/>
            <w:rFonts w:ascii="Times New Roman" w:hAnsi="Times New Roman" w:cs="Times New Roman"/>
            <w:sz w:val="24"/>
            <w:szCs w:val="24"/>
            <w:lang w:val="en"/>
          </w:rPr>
          <w:lastRenderedPageBreak/>
          <w:t>(Revised) – Immediately in Effect Guidance for Industry and Food and Drug Administration Staff</w:t>
        </w:r>
      </w:hyperlink>
      <w:r w:rsidR="00123328">
        <w:rPr>
          <w:rFonts w:ascii="Times New Roman" w:hAnsi="Times New Roman" w:cs="Times New Roman"/>
          <w:color w:val="333333"/>
          <w:sz w:val="24"/>
          <w:szCs w:val="24"/>
          <w:lang w:val="en"/>
        </w:rPr>
        <w:t xml:space="preserve"> (guidance).</w:t>
      </w:r>
      <w:r w:rsidR="00193C42">
        <w:rPr>
          <w:rStyle w:val="FootnoteReference"/>
          <w:rFonts w:ascii="Times New Roman" w:hAnsi="Times New Roman" w:cs="Times New Roman"/>
          <w:color w:val="333333"/>
          <w:sz w:val="24"/>
          <w:szCs w:val="24"/>
          <w:lang w:val="en"/>
        </w:rPr>
        <w:footnoteReference w:id="9"/>
      </w:r>
      <w:r w:rsidRPr="009653F5" w:rsidR="00284BCD">
        <w:rPr>
          <w:rFonts w:ascii="Times New Roman" w:hAnsi="Times New Roman" w:cs="Times New Roman"/>
          <w:sz w:val="24"/>
          <w:szCs w:val="24"/>
        </w:rPr>
        <w:t xml:space="preserve"> </w:t>
      </w:r>
      <w:r w:rsidR="00054818">
        <w:rPr>
          <w:rFonts w:ascii="Times New Roman" w:hAnsi="Times New Roman" w:cs="Times New Roman"/>
          <w:sz w:val="24"/>
          <w:szCs w:val="24"/>
        </w:rPr>
        <w:t>This guidance is intended to</w:t>
      </w:r>
      <w:r w:rsidRPr="009653F5" w:rsidR="00054818">
        <w:rPr>
          <w:rFonts w:ascii="Times New Roman" w:hAnsi="Times New Roman" w:cs="Times New Roman"/>
          <w:sz w:val="24"/>
          <w:szCs w:val="24"/>
        </w:rPr>
        <w:t xml:space="preserve"> </w:t>
      </w:r>
      <w:r w:rsidRPr="009653F5" w:rsidR="00284BCD">
        <w:rPr>
          <w:rFonts w:ascii="Times New Roman" w:hAnsi="Times New Roman" w:cs="Times New Roman"/>
          <w:sz w:val="24"/>
          <w:szCs w:val="24"/>
        </w:rPr>
        <w:t xml:space="preserve">clarify and make recommendations regarding </w:t>
      </w:r>
      <w:r w:rsidR="00054818">
        <w:rPr>
          <w:rFonts w:ascii="Times New Roman" w:hAnsi="Times New Roman" w:cs="Times New Roman"/>
          <w:sz w:val="24"/>
          <w:szCs w:val="24"/>
        </w:rPr>
        <w:t xml:space="preserve">when manufacturers must notify FDA about supply disruptions, </w:t>
      </w:r>
      <w:r w:rsidRPr="009653F5" w:rsidR="00284BCD">
        <w:rPr>
          <w:rFonts w:ascii="Times New Roman" w:hAnsi="Times New Roman" w:cs="Times New Roman"/>
          <w:sz w:val="24"/>
          <w:szCs w:val="24"/>
        </w:rPr>
        <w:t xml:space="preserve">who must notify FDA, what information </w:t>
      </w:r>
      <w:r w:rsidR="00F764CF">
        <w:rPr>
          <w:rFonts w:ascii="Times New Roman" w:hAnsi="Times New Roman" w:cs="Times New Roman"/>
          <w:sz w:val="24"/>
          <w:szCs w:val="24"/>
        </w:rPr>
        <w:t>manufacturers should</w:t>
      </w:r>
      <w:r w:rsidRPr="009653F5" w:rsidR="00F764CF">
        <w:rPr>
          <w:rFonts w:ascii="Times New Roman" w:hAnsi="Times New Roman" w:cs="Times New Roman"/>
          <w:sz w:val="24"/>
          <w:szCs w:val="24"/>
        </w:rPr>
        <w:t xml:space="preserve"> </w:t>
      </w:r>
      <w:r w:rsidRPr="009653F5" w:rsidR="00284BCD">
        <w:rPr>
          <w:rFonts w:ascii="Times New Roman" w:hAnsi="Times New Roman" w:cs="Times New Roman"/>
          <w:sz w:val="24"/>
          <w:szCs w:val="24"/>
        </w:rPr>
        <w:t xml:space="preserve">include in the notification, and how </w:t>
      </w:r>
      <w:r w:rsidR="00F764CF">
        <w:rPr>
          <w:rFonts w:ascii="Times New Roman" w:hAnsi="Times New Roman" w:cs="Times New Roman"/>
          <w:sz w:val="24"/>
          <w:szCs w:val="24"/>
        </w:rPr>
        <w:t xml:space="preserve">manufacturers </w:t>
      </w:r>
      <w:r w:rsidR="001D327B">
        <w:rPr>
          <w:rFonts w:ascii="Times New Roman" w:hAnsi="Times New Roman" w:cs="Times New Roman"/>
          <w:sz w:val="24"/>
          <w:szCs w:val="24"/>
        </w:rPr>
        <w:t>should update</w:t>
      </w:r>
      <w:r w:rsidRPr="009653F5" w:rsidR="00284BCD">
        <w:rPr>
          <w:rFonts w:ascii="Times New Roman" w:hAnsi="Times New Roman" w:cs="Times New Roman"/>
          <w:sz w:val="24"/>
          <w:szCs w:val="24"/>
        </w:rPr>
        <w:t xml:space="preserve"> FDA</w:t>
      </w:r>
      <w:r w:rsidR="006B162B">
        <w:rPr>
          <w:rFonts w:ascii="Times New Roman" w:hAnsi="Times New Roman" w:cs="Times New Roman"/>
          <w:sz w:val="24"/>
          <w:szCs w:val="24"/>
        </w:rPr>
        <w:t xml:space="preserve"> </w:t>
      </w:r>
      <w:r w:rsidR="001D327B">
        <w:rPr>
          <w:rFonts w:ascii="Times New Roman" w:hAnsi="Times New Roman" w:cs="Times New Roman"/>
          <w:sz w:val="24"/>
          <w:szCs w:val="24"/>
        </w:rPr>
        <w:t>after the initial notification</w:t>
      </w:r>
      <w:r w:rsidR="005C7169">
        <w:rPr>
          <w:rFonts w:ascii="Times New Roman" w:hAnsi="Times New Roman" w:cs="Times New Roman"/>
          <w:sz w:val="24"/>
          <w:szCs w:val="24"/>
        </w:rPr>
        <w:t xml:space="preserve"> and </w:t>
      </w:r>
      <w:r w:rsidR="00054818">
        <w:rPr>
          <w:rFonts w:ascii="Times New Roman" w:hAnsi="Times New Roman" w:cs="Times New Roman"/>
          <w:sz w:val="24"/>
          <w:szCs w:val="24"/>
        </w:rPr>
        <w:t>during</w:t>
      </w:r>
      <w:r w:rsidRPr="009653F5" w:rsidR="006B162B">
        <w:rPr>
          <w:rFonts w:ascii="Times New Roman" w:hAnsi="Times New Roman" w:cs="Times New Roman"/>
          <w:sz w:val="24"/>
          <w:szCs w:val="24"/>
        </w:rPr>
        <w:t xml:space="preserve"> </w:t>
      </w:r>
      <w:r w:rsidRPr="009653F5" w:rsidR="00284BCD">
        <w:rPr>
          <w:rFonts w:ascii="Times New Roman" w:hAnsi="Times New Roman" w:cs="Times New Roman"/>
          <w:sz w:val="24"/>
          <w:szCs w:val="24"/>
        </w:rPr>
        <w:t>the duration of the COVID-19 public health emergency.</w:t>
      </w:r>
      <w:r w:rsidR="005F3EF8">
        <w:rPr>
          <w:rFonts w:ascii="Times New Roman" w:hAnsi="Times New Roman" w:cs="Times New Roman"/>
          <w:sz w:val="24"/>
          <w:szCs w:val="24"/>
        </w:rPr>
        <w:t xml:space="preserve"> </w:t>
      </w:r>
    </w:p>
    <w:p w:rsidR="00865204" w:rsidP="009653F5" w:rsidRDefault="00865204" w14:paraId="6B01019A" w14:textId="77777777">
      <w:pPr>
        <w:spacing w:after="0" w:line="240" w:lineRule="auto"/>
        <w:rPr>
          <w:rFonts w:ascii="Times New Roman" w:hAnsi="Times New Roman" w:cs="Times New Roman"/>
          <w:sz w:val="24"/>
          <w:szCs w:val="24"/>
        </w:rPr>
      </w:pPr>
    </w:p>
    <w:p w:rsidRPr="0031619F" w:rsidR="00037CAE" w:rsidP="009653F5" w:rsidRDefault="003A2A14" w14:paraId="0515D106" w14:textId="709DC8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w:t>
      </w:r>
      <w:r w:rsidR="004B0F48">
        <w:rPr>
          <w:rFonts w:ascii="Times New Roman" w:hAnsi="Times New Roman" w:cs="Times New Roman"/>
          <w:sz w:val="24"/>
          <w:szCs w:val="24"/>
        </w:rPr>
        <w:t xml:space="preserve">further </w:t>
      </w:r>
      <w:r>
        <w:rPr>
          <w:rFonts w:ascii="Times New Roman" w:hAnsi="Times New Roman" w:cs="Times New Roman"/>
          <w:sz w:val="24"/>
          <w:szCs w:val="24"/>
        </w:rPr>
        <w:t xml:space="preserve">assist </w:t>
      </w:r>
      <w:r w:rsidR="004B0F48">
        <w:rPr>
          <w:rFonts w:ascii="Times New Roman" w:hAnsi="Times New Roman" w:cs="Times New Roman"/>
          <w:sz w:val="24"/>
          <w:szCs w:val="24"/>
        </w:rPr>
        <w:t xml:space="preserve">manufacturers in providing these notifications, </w:t>
      </w:r>
      <w:r w:rsidRPr="00FD15CB" w:rsidR="005F3EF8">
        <w:rPr>
          <w:rFonts w:ascii="Times New Roman" w:hAnsi="Times New Roman" w:cs="Times New Roman"/>
          <w:sz w:val="24"/>
          <w:szCs w:val="24"/>
        </w:rPr>
        <w:t>FDA</w:t>
      </w:r>
      <w:r w:rsidR="004B0F48">
        <w:rPr>
          <w:rFonts w:ascii="Times New Roman" w:hAnsi="Times New Roman" w:cs="Times New Roman"/>
          <w:sz w:val="24"/>
          <w:szCs w:val="24"/>
        </w:rPr>
        <w:t xml:space="preserve"> updated its</w:t>
      </w:r>
      <w:r w:rsidRPr="009653F5" w:rsidR="005F3EF8">
        <w:rPr>
          <w:rFonts w:ascii="Times New Roman" w:hAnsi="Times New Roman" w:cs="Times New Roman"/>
          <w:sz w:val="24"/>
          <w:szCs w:val="24"/>
        </w:rPr>
        <w:t xml:space="preserve"> guidance </w:t>
      </w:r>
      <w:r w:rsidR="004B0F48">
        <w:rPr>
          <w:rFonts w:ascii="Times New Roman" w:hAnsi="Times New Roman" w:cs="Times New Roman"/>
          <w:sz w:val="24"/>
          <w:szCs w:val="24"/>
        </w:rPr>
        <w:t xml:space="preserve">in June to </w:t>
      </w:r>
      <w:r w:rsidRPr="009653F5" w:rsidR="005F3EF8">
        <w:rPr>
          <w:rFonts w:ascii="Times New Roman" w:hAnsi="Times New Roman" w:cs="Times New Roman"/>
          <w:sz w:val="24"/>
          <w:szCs w:val="24"/>
        </w:rPr>
        <w:t>provide recommendations to help manufacturers make such determination</w:t>
      </w:r>
      <w:r w:rsidR="006B162B">
        <w:rPr>
          <w:rFonts w:ascii="Times New Roman" w:hAnsi="Times New Roman" w:cs="Times New Roman"/>
          <w:sz w:val="24"/>
          <w:szCs w:val="24"/>
        </w:rPr>
        <w:t>s</w:t>
      </w:r>
      <w:r w:rsidRPr="009653F5" w:rsidR="005F3EF8">
        <w:rPr>
          <w:rFonts w:ascii="Times New Roman" w:hAnsi="Times New Roman" w:cs="Times New Roman"/>
          <w:sz w:val="24"/>
          <w:szCs w:val="24"/>
        </w:rPr>
        <w:t xml:space="preserve">, </w:t>
      </w:r>
      <w:r w:rsidRPr="009653F5" w:rsidR="00710C77">
        <w:rPr>
          <w:rFonts w:ascii="Times New Roman" w:hAnsi="Times New Roman" w:cs="Times New Roman"/>
          <w:sz w:val="24"/>
          <w:szCs w:val="24"/>
        </w:rPr>
        <w:t xml:space="preserve">including by providing a </w:t>
      </w:r>
      <w:hyperlink w:history="1" r:id="rId15">
        <w:r w:rsidRPr="00C121F1" w:rsidR="00C121F1">
          <w:rPr>
            <w:rStyle w:val="Hyperlink"/>
            <w:rFonts w:ascii="Times New Roman" w:hAnsi="Times New Roman" w:cs="Times New Roman"/>
            <w:sz w:val="24"/>
            <w:szCs w:val="24"/>
          </w:rPr>
          <w:t>list</w:t>
        </w:r>
      </w:hyperlink>
      <w:r w:rsidRPr="009653F5" w:rsidR="00710C77">
        <w:rPr>
          <w:rFonts w:ascii="Times New Roman" w:hAnsi="Times New Roman" w:cs="Times New Roman"/>
          <w:sz w:val="24"/>
          <w:szCs w:val="24"/>
        </w:rPr>
        <w:t xml:space="preserve"> of device types that FDA recommends manufacturers consider in determining whether a notification under section 506J of the FD&amp;C Act is required during the COVID-19 pandemic.</w:t>
      </w:r>
      <w:r w:rsidR="00E010AC">
        <w:rPr>
          <w:rStyle w:val="FootnoteReference"/>
          <w:rFonts w:ascii="Times New Roman" w:hAnsi="Times New Roman" w:cs="Times New Roman"/>
          <w:sz w:val="24"/>
          <w:szCs w:val="24"/>
        </w:rPr>
        <w:footnoteReference w:id="10"/>
      </w:r>
      <w:r w:rsidR="00710C77">
        <w:rPr>
          <w:sz w:val="24"/>
          <w:szCs w:val="24"/>
        </w:rPr>
        <w:t xml:space="preserve"> </w:t>
      </w:r>
      <w:r w:rsidR="006B162B">
        <w:rPr>
          <w:rFonts w:ascii="Times New Roman" w:hAnsi="Times New Roman" w:cs="Times New Roman"/>
          <w:sz w:val="24"/>
          <w:szCs w:val="24"/>
        </w:rPr>
        <w:t>FDA is</w:t>
      </w:r>
      <w:r w:rsidR="00404210">
        <w:rPr>
          <w:rFonts w:ascii="Times New Roman" w:hAnsi="Times New Roman" w:cs="Times New Roman"/>
          <w:sz w:val="24"/>
          <w:szCs w:val="24"/>
        </w:rPr>
        <w:t xml:space="preserve"> also </w:t>
      </w:r>
      <w:r w:rsidR="00F764CF">
        <w:rPr>
          <w:rFonts w:ascii="Times New Roman" w:hAnsi="Times New Roman" w:cs="Times New Roman"/>
          <w:sz w:val="24"/>
          <w:szCs w:val="24"/>
        </w:rPr>
        <w:t xml:space="preserve">currently </w:t>
      </w:r>
      <w:r w:rsidR="00404210">
        <w:rPr>
          <w:rFonts w:ascii="Times New Roman" w:hAnsi="Times New Roman" w:cs="Times New Roman"/>
          <w:sz w:val="24"/>
          <w:szCs w:val="24"/>
        </w:rPr>
        <w:t xml:space="preserve">considering detailed feedback received individually and to the </w:t>
      </w:r>
      <w:hyperlink w:history="1" r:id="rId16">
        <w:r w:rsidRPr="009126D2" w:rsidR="00404210">
          <w:rPr>
            <w:rStyle w:val="Hyperlink"/>
            <w:rFonts w:ascii="Times New Roman" w:hAnsi="Times New Roman" w:cs="Times New Roman"/>
            <w:sz w:val="24"/>
            <w:szCs w:val="24"/>
          </w:rPr>
          <w:t>docket</w:t>
        </w:r>
      </w:hyperlink>
      <w:r w:rsidR="00404210">
        <w:rPr>
          <w:rFonts w:ascii="Times New Roman" w:hAnsi="Times New Roman" w:cs="Times New Roman"/>
          <w:sz w:val="24"/>
          <w:szCs w:val="24"/>
        </w:rPr>
        <w:t xml:space="preserve">, including </w:t>
      </w:r>
      <w:r w:rsidRPr="00404210" w:rsidR="00273BC6">
        <w:rPr>
          <w:rFonts w:ascii="Times New Roman" w:hAnsi="Times New Roman" w:cs="Times New Roman"/>
          <w:sz w:val="24"/>
          <w:szCs w:val="24"/>
        </w:rPr>
        <w:t>from</w:t>
      </w:r>
      <w:r w:rsidR="00C91129">
        <w:rPr>
          <w:rFonts w:ascii="Times New Roman" w:hAnsi="Times New Roman" w:cs="Times New Roman"/>
          <w:sz w:val="24"/>
          <w:szCs w:val="24"/>
        </w:rPr>
        <w:t xml:space="preserve"> trade associations and medical device manufacturers</w:t>
      </w:r>
      <w:r w:rsidR="00AB2B1A">
        <w:rPr>
          <w:rFonts w:ascii="Times New Roman" w:hAnsi="Times New Roman" w:cs="Times New Roman"/>
          <w:sz w:val="24"/>
          <w:szCs w:val="24"/>
        </w:rPr>
        <w:t>, regarding implementing section 506J of the FD&amp;C Act, including consideration of a web portal for manufacturers to more easily submit the required notifications</w:t>
      </w:r>
      <w:r w:rsidRPr="00404210" w:rsidR="00404210">
        <w:rPr>
          <w:rFonts w:ascii="Times New Roman" w:hAnsi="Times New Roman" w:cs="Times New Roman"/>
          <w:sz w:val="24"/>
          <w:szCs w:val="24"/>
        </w:rPr>
        <w:t>.</w:t>
      </w:r>
    </w:p>
    <w:p w:rsidR="00710C77" w:rsidP="009653F5" w:rsidRDefault="00710C77" w14:paraId="1E8C6F92" w14:textId="7A861663">
      <w:pPr>
        <w:spacing w:after="0" w:line="240" w:lineRule="auto"/>
        <w:rPr>
          <w:sz w:val="24"/>
          <w:szCs w:val="24"/>
        </w:rPr>
      </w:pPr>
    </w:p>
    <w:p w:rsidRPr="00FE1857" w:rsidR="00803A2B" w:rsidP="00FE1857" w:rsidRDefault="00F721F3" w14:paraId="2080FBAC" w14:textId="73869C02">
      <w:pPr>
        <w:rPr>
          <w:rFonts w:ascii="Times New Roman" w:hAnsi="Times New Roman" w:cs="Times New Roman"/>
          <w:b/>
          <w:sz w:val="24"/>
          <w:szCs w:val="24"/>
          <w:u w:val="single"/>
        </w:rPr>
      </w:pPr>
      <w:r w:rsidRPr="00FE1857">
        <w:rPr>
          <w:rFonts w:ascii="Times New Roman" w:hAnsi="Times New Roman" w:cs="Times New Roman"/>
          <w:b/>
          <w:sz w:val="24"/>
          <w:szCs w:val="24"/>
          <w:u w:val="single"/>
        </w:rPr>
        <w:t>Need for Emergency Clearance</w:t>
      </w:r>
      <w:r w:rsidRPr="00FE1857">
        <w:rPr>
          <w:rFonts w:ascii="Times New Roman" w:hAnsi="Times New Roman" w:cs="Times New Roman"/>
          <w:sz w:val="24"/>
          <w:szCs w:val="24"/>
        </w:rPr>
        <w:t xml:space="preserve">: </w:t>
      </w:r>
    </w:p>
    <w:p w:rsidR="00F721F3" w:rsidP="00803A2B" w:rsidRDefault="007A57DE" w14:paraId="3D9F7CD4" w14:textId="6B0BAE7E">
      <w:pPr>
        <w:pStyle w:val="Default"/>
        <w:rPr>
          <w:color w:val="auto"/>
        </w:rPr>
      </w:pPr>
      <w:r w:rsidRPr="006A754B">
        <w:rPr>
          <w:color w:val="auto"/>
          <w:u w:val="single"/>
        </w:rPr>
        <w:t>FDA Needs Emergency Clearance Because Public Harm is Reasonably Likely to Result if Normal Clearance Procedures are Followed</w:t>
      </w:r>
      <w:r w:rsidRPr="00FE1857">
        <w:rPr>
          <w:color w:val="auto"/>
          <w:u w:val="single"/>
        </w:rPr>
        <w:t xml:space="preserve">  </w:t>
      </w:r>
    </w:p>
    <w:p w:rsidRPr="00FE1857" w:rsidR="007A57DE" w:rsidP="00803A2B" w:rsidRDefault="007A57DE" w14:paraId="5D1D5F66" w14:textId="77777777">
      <w:pPr>
        <w:pStyle w:val="Default"/>
        <w:rPr>
          <w:color w:val="auto"/>
        </w:rPr>
      </w:pPr>
    </w:p>
    <w:p w:rsidRPr="00826F06" w:rsidR="00395520" w:rsidP="00395520" w:rsidRDefault="007223CD" w14:paraId="27946459" w14:textId="7AB0570D">
      <w:pPr>
        <w:pStyle w:val="Default"/>
        <w:rPr>
          <w:color w:val="auto"/>
        </w:rPr>
      </w:pPr>
      <w:r>
        <w:t xml:space="preserve">Receiving </w:t>
      </w:r>
      <w:r w:rsidR="00F764CF">
        <w:t xml:space="preserve">the information contained in manufacturers’ </w:t>
      </w:r>
      <w:r>
        <w:t xml:space="preserve">notifications during the COVID-19 </w:t>
      </w:r>
      <w:r w:rsidR="001319C3">
        <w:t>Public Health Emergency (</w:t>
      </w:r>
      <w:r>
        <w:t>PHE</w:t>
      </w:r>
      <w:r w:rsidR="001319C3">
        <w:t>)</w:t>
      </w:r>
      <w:r>
        <w:t xml:space="preserve"> is critical to FDA to help protect the public health and </w:t>
      </w:r>
      <w:r w:rsidR="00F764CF">
        <w:t xml:space="preserve">to </w:t>
      </w:r>
      <w:r>
        <w:t>work to mitigate and prevent medical device</w:t>
      </w:r>
      <w:r w:rsidR="00F764CF">
        <w:t xml:space="preserve"> shortages</w:t>
      </w:r>
      <w:r w:rsidR="00FC22CD">
        <w:t xml:space="preserve">. </w:t>
      </w:r>
      <w:r w:rsidR="00826F06">
        <w:t xml:space="preserve">These notifications provide critical information that FDA uses to help </w:t>
      </w:r>
      <w:r w:rsidR="00F764CF">
        <w:t xml:space="preserve">analyze </w:t>
      </w:r>
      <w:r w:rsidR="00826F06">
        <w:t xml:space="preserve">whether there </w:t>
      </w:r>
      <w:r w:rsidR="00E647CF">
        <w:t>may be</w:t>
      </w:r>
      <w:r w:rsidR="00826F06">
        <w:t xml:space="preserve"> a shortage</w:t>
      </w:r>
      <w:r w:rsidR="00E647CF">
        <w:t xml:space="preserve"> or interruption</w:t>
      </w:r>
      <w:r w:rsidR="00826F06">
        <w:t xml:space="preserve">, and </w:t>
      </w:r>
      <w:r w:rsidR="00F764CF">
        <w:t xml:space="preserve">to </w:t>
      </w:r>
      <w:r w:rsidR="00826F06">
        <w:t>inform the public of such shortages, as required by</w:t>
      </w:r>
      <w:r w:rsidR="00395520">
        <w:t xml:space="preserve"> section 506J(g) </w:t>
      </w:r>
      <w:r w:rsidR="00826F06">
        <w:t xml:space="preserve">of the FD&amp;C Act. Without these notifications, FDA </w:t>
      </w:r>
      <w:r w:rsidR="00395520">
        <w:t xml:space="preserve">will not </w:t>
      </w:r>
      <w:r w:rsidR="00826F06">
        <w:t>be able to</w:t>
      </w:r>
      <w:r w:rsidR="00F764CF">
        <w:t xml:space="preserve"> utilize manufacturing data to</w:t>
      </w:r>
      <w:r w:rsidR="00BE1189">
        <w:t xml:space="preserve"> </w:t>
      </w:r>
      <w:r w:rsidR="00395520">
        <w:t xml:space="preserve">provide the public with the most up-to-date, accurate information to help prevent or mitigate </w:t>
      </w:r>
      <w:r w:rsidR="003E01E0">
        <w:rPr>
          <w:color w:val="auto"/>
        </w:rPr>
        <w:t>medical device shortages</w:t>
      </w:r>
      <w:r w:rsidR="003E01E0">
        <w:t xml:space="preserve"> </w:t>
      </w:r>
      <w:r w:rsidR="00395520">
        <w:t>during the COVID-19 PHE</w:t>
      </w:r>
      <w:r w:rsidR="007325DB">
        <w:t>.</w:t>
      </w:r>
    </w:p>
    <w:p w:rsidRPr="00FE1857" w:rsidR="00F721F3" w:rsidP="00803A2B" w:rsidRDefault="00F721F3" w14:paraId="3CEF1880" w14:textId="3068236D">
      <w:pPr>
        <w:pStyle w:val="Default"/>
        <w:rPr>
          <w:color w:val="auto"/>
        </w:rPr>
      </w:pPr>
    </w:p>
    <w:p w:rsidRPr="00FE1857" w:rsidR="00BE4BA3" w:rsidP="00BE4BA3" w:rsidRDefault="000E3A8A" w14:paraId="7198422C" w14:textId="7F695343">
      <w:pPr>
        <w:pStyle w:val="Default"/>
        <w:rPr>
          <w:color w:val="auto"/>
        </w:rPr>
      </w:pPr>
      <w:r w:rsidRPr="00FE1857">
        <w:rPr>
          <w:color w:val="auto"/>
        </w:rPr>
        <w:t>In addition, without emergency clearance</w:t>
      </w:r>
      <w:r w:rsidR="00AA20E5">
        <w:t xml:space="preserve">, </w:t>
      </w:r>
      <w:r w:rsidR="0085325D">
        <w:rPr>
          <w:color w:val="auto"/>
        </w:rPr>
        <w:t xml:space="preserve">FDA will be </w:t>
      </w:r>
      <w:r w:rsidR="00B543CF">
        <w:rPr>
          <w:color w:val="auto"/>
        </w:rPr>
        <w:t>unable to ensure that</w:t>
      </w:r>
      <w:r w:rsidR="003642F0">
        <w:rPr>
          <w:color w:val="auto"/>
        </w:rPr>
        <w:t xml:space="preserve"> manufacturers comply with the notification requirements. Section 506J(e) </w:t>
      </w:r>
      <w:r w:rsidR="009E703D">
        <w:rPr>
          <w:color w:val="auto"/>
        </w:rPr>
        <w:t>requires that, if</w:t>
      </w:r>
      <w:r w:rsidR="009E703D">
        <w:t xml:space="preserve"> a manufacturer fails to provide notification of a permanent discontinuance or an interruption in manufacturing as required by section 506J(a) of the FD&amp;C Act and in accordance with the timelines set forth in section 506J(b) of the FD&amp;C Act, FDA will issue a letter to that manufacturer informing the manufacturer of such failure</w:t>
      </w:r>
      <w:r w:rsidR="00AA20E5">
        <w:rPr>
          <w:color w:val="auto"/>
        </w:rPr>
        <w:t>.</w:t>
      </w:r>
      <w:r w:rsidR="00BE4BA3">
        <w:rPr>
          <w:rStyle w:val="FootnoteReference"/>
          <w:color w:val="auto"/>
        </w:rPr>
        <w:footnoteReference w:id="11"/>
      </w:r>
      <w:r w:rsidRPr="00FE1857" w:rsidR="00BE4BA3">
        <w:rPr>
          <w:color w:val="auto"/>
        </w:rPr>
        <w:t xml:space="preserve">  </w:t>
      </w:r>
      <w:r w:rsidR="006A754B">
        <w:rPr>
          <w:color w:val="auto"/>
        </w:rPr>
        <w:t>If emergency clearance is not granted for the collection of</w:t>
      </w:r>
      <w:r w:rsidR="007325DB">
        <w:rPr>
          <w:color w:val="auto"/>
        </w:rPr>
        <w:t xml:space="preserve"> notifications under </w:t>
      </w:r>
      <w:r w:rsidR="008E569D">
        <w:rPr>
          <w:color w:val="auto"/>
        </w:rPr>
        <w:t>s</w:t>
      </w:r>
      <w:r w:rsidR="007325DB">
        <w:rPr>
          <w:color w:val="auto"/>
        </w:rPr>
        <w:t>ection 506J of the FD&amp;C Act</w:t>
      </w:r>
      <w:r w:rsidR="006A754B">
        <w:rPr>
          <w:color w:val="auto"/>
        </w:rPr>
        <w:t xml:space="preserve">, we anticipate that </w:t>
      </w:r>
      <w:r w:rsidR="00BE4BA3">
        <w:rPr>
          <w:color w:val="auto"/>
        </w:rPr>
        <w:t>FDA’s ability to e</w:t>
      </w:r>
      <w:r w:rsidR="00F833AB">
        <w:rPr>
          <w:color w:val="auto"/>
        </w:rPr>
        <w:t>nsure</w:t>
      </w:r>
      <w:r w:rsidR="00BE4BA3">
        <w:rPr>
          <w:color w:val="auto"/>
        </w:rPr>
        <w:t xml:space="preserve"> compliance with the notification requirements </w:t>
      </w:r>
      <w:r w:rsidR="006A754B">
        <w:rPr>
          <w:color w:val="auto"/>
        </w:rPr>
        <w:t>will be impacted because we will not have clearance to</w:t>
      </w:r>
      <w:r w:rsidR="00BE4BA3">
        <w:rPr>
          <w:color w:val="auto"/>
        </w:rPr>
        <w:t xml:space="preserve"> </w:t>
      </w:r>
      <w:r w:rsidR="006A754B">
        <w:rPr>
          <w:color w:val="auto"/>
        </w:rPr>
        <w:t xml:space="preserve">collect </w:t>
      </w:r>
      <w:r w:rsidR="00BE4BA3">
        <w:rPr>
          <w:color w:val="auto"/>
        </w:rPr>
        <w:t xml:space="preserve">the important information needed to help mitigate or prevent medical device shortages during the COVID-19 </w:t>
      </w:r>
      <w:r w:rsidR="003E01E0">
        <w:rPr>
          <w:color w:val="auto"/>
        </w:rPr>
        <w:t>PHE</w:t>
      </w:r>
      <w:r w:rsidR="00BE4BA3">
        <w:rPr>
          <w:color w:val="auto"/>
        </w:rPr>
        <w:t>.</w:t>
      </w:r>
    </w:p>
    <w:p w:rsidRPr="00BF6994" w:rsidR="00370E59" w:rsidP="00370E59" w:rsidRDefault="00370E59" w14:paraId="211EA0A7" w14:textId="2773F960">
      <w:pPr>
        <w:pStyle w:val="Default"/>
        <w:rPr>
          <w:color w:val="auto"/>
        </w:rPr>
      </w:pPr>
    </w:p>
    <w:p w:rsidR="00EE1001" w:rsidP="00370E59" w:rsidRDefault="00E82EBA" w14:paraId="27329791" w14:textId="4A46052D">
      <w:pPr>
        <w:pStyle w:val="Default"/>
        <w:rPr>
          <w:color w:val="auto"/>
        </w:rPr>
      </w:pPr>
      <w:r>
        <w:rPr>
          <w:color w:val="auto"/>
        </w:rPr>
        <w:t xml:space="preserve">FDA believes up-to-date device shortage information is imperative to health system and other stakeholders’ pandemic preparation and response. </w:t>
      </w:r>
      <w:r w:rsidRPr="00BF6994" w:rsidR="00EE1001">
        <w:rPr>
          <w:color w:val="auto"/>
        </w:rPr>
        <w:t xml:space="preserve">Given the </w:t>
      </w:r>
      <w:r w:rsidR="00903589">
        <w:rPr>
          <w:color w:val="auto"/>
        </w:rPr>
        <w:t xml:space="preserve">continued </w:t>
      </w:r>
      <w:r w:rsidRPr="00BF6994" w:rsidR="00EE1001">
        <w:rPr>
          <w:color w:val="auto"/>
        </w:rPr>
        <w:t xml:space="preserve">duration of </w:t>
      </w:r>
      <w:r w:rsidR="00903589">
        <w:rPr>
          <w:color w:val="auto"/>
        </w:rPr>
        <w:t>the PHE</w:t>
      </w:r>
      <w:r w:rsidRPr="00BF6994" w:rsidR="00EE1001">
        <w:rPr>
          <w:color w:val="auto"/>
        </w:rPr>
        <w:t xml:space="preserve"> and the ongoing supply availability concerns, </w:t>
      </w:r>
      <w:r w:rsidR="00E45D10">
        <w:rPr>
          <w:color w:val="auto"/>
        </w:rPr>
        <w:t xml:space="preserve">we believe that </w:t>
      </w:r>
      <w:r w:rsidRPr="00BF6994" w:rsidR="00EE1001">
        <w:rPr>
          <w:color w:val="auto"/>
        </w:rPr>
        <w:t>healthcare organizations may attempt to stock up on devices in shortage out of concern that they will face ongoing challenges to getting these devices</w:t>
      </w:r>
      <w:r w:rsidR="00E45D10">
        <w:rPr>
          <w:color w:val="auto"/>
        </w:rPr>
        <w:t xml:space="preserve"> based on incomplete information</w:t>
      </w:r>
      <w:r w:rsidRPr="00BF6994" w:rsidR="00EE1001">
        <w:rPr>
          <w:color w:val="auto"/>
        </w:rPr>
        <w:t xml:space="preserve">. In addition, hospitals may attempt to overprepare in case they are faced with surges </w:t>
      </w:r>
      <w:proofErr w:type="spellStart"/>
      <w:r w:rsidRPr="00BF6994" w:rsidR="00EE1001">
        <w:rPr>
          <w:color w:val="auto"/>
        </w:rPr>
        <w:t>in patient</w:t>
      </w:r>
      <w:proofErr w:type="spellEnd"/>
      <w:r w:rsidRPr="00BF6994" w:rsidR="00EE1001">
        <w:rPr>
          <w:color w:val="auto"/>
        </w:rPr>
        <w:t xml:space="preserve"> admissions, as has been seen in a wide variety of locations within the U.S.</w:t>
      </w:r>
      <w:r w:rsidR="0044295C">
        <w:rPr>
          <w:color w:val="auto"/>
        </w:rPr>
        <w:t>, which could lead to other hospitals not having access to the devices that they need.</w:t>
      </w:r>
      <w:r w:rsidRPr="00BF6994" w:rsidR="00BF6994">
        <w:rPr>
          <w:color w:val="auto"/>
        </w:rPr>
        <w:t xml:space="preserve"> </w:t>
      </w:r>
      <w:r w:rsidRPr="00BF6994">
        <w:rPr>
          <w:color w:val="auto"/>
        </w:rPr>
        <w:t>The</w:t>
      </w:r>
      <w:r>
        <w:rPr>
          <w:color w:val="auto"/>
        </w:rPr>
        <w:t>se</w:t>
      </w:r>
      <w:r w:rsidRPr="00BF6994">
        <w:rPr>
          <w:color w:val="auto"/>
        </w:rPr>
        <w:t xml:space="preserve"> </w:t>
      </w:r>
      <w:r w:rsidRPr="00BF6994" w:rsidR="00BF6994">
        <w:rPr>
          <w:color w:val="auto"/>
        </w:rPr>
        <w:t xml:space="preserve">are </w:t>
      </w:r>
      <w:r>
        <w:rPr>
          <w:color w:val="auto"/>
        </w:rPr>
        <w:t xml:space="preserve">just a few </w:t>
      </w:r>
      <w:r w:rsidRPr="00BF6994" w:rsidR="00BF6994">
        <w:rPr>
          <w:color w:val="auto"/>
        </w:rPr>
        <w:t xml:space="preserve">potential adverse consequences </w:t>
      </w:r>
      <w:r>
        <w:rPr>
          <w:color w:val="auto"/>
        </w:rPr>
        <w:t>that could impact</w:t>
      </w:r>
      <w:r w:rsidRPr="00BF6994">
        <w:rPr>
          <w:color w:val="auto"/>
        </w:rPr>
        <w:t xml:space="preserve"> </w:t>
      </w:r>
      <w:r w:rsidRPr="00BF6994" w:rsidR="00BF6994">
        <w:rPr>
          <w:color w:val="auto"/>
        </w:rPr>
        <w:t>public health</w:t>
      </w:r>
      <w:r>
        <w:rPr>
          <w:color w:val="auto"/>
        </w:rPr>
        <w:t xml:space="preserve"> if device shortage information is not readily accessible to the public during a PHE</w:t>
      </w:r>
      <w:r w:rsidR="000102BD">
        <w:rPr>
          <w:color w:val="auto"/>
        </w:rPr>
        <w:t>.</w:t>
      </w:r>
      <w:r w:rsidRPr="00BF6994" w:rsidR="00BF6994">
        <w:rPr>
          <w:color w:val="auto"/>
        </w:rPr>
        <w:t xml:space="preserve"> </w:t>
      </w:r>
      <w:r w:rsidR="000102BD">
        <w:rPr>
          <w:color w:val="auto"/>
        </w:rPr>
        <w:t>We also anticipate that h</w:t>
      </w:r>
      <w:r w:rsidRPr="00BF6994" w:rsidR="00BF6994">
        <w:rPr>
          <w:color w:val="auto"/>
        </w:rPr>
        <w:t xml:space="preserve">ealth systems </w:t>
      </w:r>
      <w:r>
        <w:rPr>
          <w:color w:val="auto"/>
        </w:rPr>
        <w:t>could</w:t>
      </w:r>
      <w:r w:rsidRPr="00BF6994">
        <w:rPr>
          <w:color w:val="auto"/>
        </w:rPr>
        <w:t xml:space="preserve"> </w:t>
      </w:r>
      <w:r w:rsidRPr="00BF6994" w:rsidR="00BF6994">
        <w:rPr>
          <w:color w:val="auto"/>
        </w:rPr>
        <w:t xml:space="preserve">be unnecessarily spending time, effort, and resources to reach out to manufacturers that are nonetheless unable to satisfy </w:t>
      </w:r>
      <w:r w:rsidR="00903589">
        <w:rPr>
          <w:color w:val="auto"/>
        </w:rPr>
        <w:t>health systems’</w:t>
      </w:r>
      <w:r w:rsidRPr="00BF6994" w:rsidR="00BF6994">
        <w:rPr>
          <w:color w:val="auto"/>
        </w:rPr>
        <w:t xml:space="preserve"> supply needs if FDA </w:t>
      </w:r>
      <w:r>
        <w:rPr>
          <w:color w:val="auto"/>
        </w:rPr>
        <w:t>does not</w:t>
      </w:r>
      <w:r w:rsidRPr="00BF6994" w:rsidR="00BF6994">
        <w:rPr>
          <w:color w:val="auto"/>
        </w:rPr>
        <w:t xml:space="preserve"> receive notifications and provide timely determinations of shortages to the public.</w:t>
      </w:r>
    </w:p>
    <w:p w:rsidRPr="00BF6994" w:rsidR="00E82EBA" w:rsidP="00370E59" w:rsidRDefault="00E82EBA" w14:paraId="098C4F0A" w14:textId="77777777">
      <w:pPr>
        <w:pStyle w:val="Default"/>
        <w:rPr>
          <w:color w:val="auto"/>
        </w:rPr>
      </w:pPr>
    </w:p>
    <w:p w:rsidR="004667A2" w:rsidP="00803A2B" w:rsidRDefault="00511055" w14:paraId="6264FA09" w14:textId="469B2643">
      <w:pPr>
        <w:pStyle w:val="Default"/>
        <w:rPr>
          <w:color w:val="auto"/>
        </w:rPr>
      </w:pPr>
      <w:r w:rsidRPr="00903589">
        <w:t xml:space="preserve">Based on current </w:t>
      </w:r>
      <w:r w:rsidRPr="00876E34">
        <w:rPr>
          <w:color w:val="auto"/>
        </w:rPr>
        <w:t>registration and listing data,</w:t>
      </w:r>
      <w:r w:rsidRPr="00876E34">
        <w:rPr>
          <w:rStyle w:val="FootnoteReference"/>
          <w:color w:val="auto"/>
        </w:rPr>
        <w:footnoteReference w:id="12"/>
      </w:r>
      <w:r w:rsidRPr="00876E34">
        <w:rPr>
          <w:color w:val="auto"/>
        </w:rPr>
        <w:t xml:space="preserve"> we estimate that as many as</w:t>
      </w:r>
      <w:r w:rsidRPr="00876E34" w:rsidR="004667A2">
        <w:rPr>
          <w:color w:val="auto"/>
        </w:rPr>
        <w:t xml:space="preserve"> </w:t>
      </w:r>
      <w:r w:rsidRPr="00876E34" w:rsidR="001A6FBF">
        <w:rPr>
          <w:color w:val="auto"/>
        </w:rPr>
        <w:t>8,365</w:t>
      </w:r>
      <w:r w:rsidRPr="00876E34" w:rsidR="00F764CF">
        <w:rPr>
          <w:color w:val="auto"/>
        </w:rPr>
        <w:t xml:space="preserve"> </w:t>
      </w:r>
      <w:r w:rsidRPr="00876E34" w:rsidR="004667A2">
        <w:rPr>
          <w:color w:val="auto"/>
        </w:rPr>
        <w:t xml:space="preserve">manufacturers of </w:t>
      </w:r>
      <w:r w:rsidRPr="00876E34">
        <w:rPr>
          <w:color w:val="auto"/>
          <w:lang w:val="en"/>
        </w:rPr>
        <w:t>the device types that FDA believes are critical to the public health during the COVID-19 pandemic will</w:t>
      </w:r>
      <w:r w:rsidRPr="00876E34" w:rsidR="00055082">
        <w:rPr>
          <w:color w:val="auto"/>
          <w:lang w:val="en"/>
        </w:rPr>
        <w:t xml:space="preserve"> need to</w:t>
      </w:r>
      <w:r w:rsidR="0032411C">
        <w:rPr>
          <w:color w:val="auto"/>
          <w:lang w:val="en"/>
        </w:rPr>
        <w:t xml:space="preserve"> consider</w:t>
      </w:r>
      <w:r w:rsidRPr="00876E34">
        <w:rPr>
          <w:color w:val="auto"/>
          <w:lang w:val="en"/>
        </w:rPr>
        <w:t xml:space="preserve"> whether they </w:t>
      </w:r>
      <w:r w:rsidRPr="00123328" w:rsidR="00123328">
        <w:rPr>
          <w:color w:val="auto"/>
          <w:lang w:val="en"/>
        </w:rPr>
        <w:t xml:space="preserve">are required to </w:t>
      </w:r>
      <w:r w:rsidRPr="00876E34">
        <w:rPr>
          <w:color w:val="auto"/>
          <w:lang w:val="en"/>
        </w:rPr>
        <w:t>notify FDA under section 506J of the FD&amp;C Act.</w:t>
      </w:r>
      <w:r w:rsidRPr="00876E34" w:rsidR="00C02093">
        <w:rPr>
          <w:color w:val="auto"/>
          <w:lang w:val="en"/>
        </w:rPr>
        <w:t xml:space="preserve"> </w:t>
      </w:r>
      <w:r w:rsidRPr="00876E34" w:rsidR="00055082">
        <w:rPr>
          <w:color w:val="auto"/>
          <w:lang w:val="en"/>
        </w:rPr>
        <w:t>We believe</w:t>
      </w:r>
      <w:r w:rsidRPr="00876E34">
        <w:rPr>
          <w:color w:val="auto"/>
          <w:lang w:val="en"/>
        </w:rPr>
        <w:t xml:space="preserve"> </w:t>
      </w:r>
      <w:r w:rsidRPr="00876E34" w:rsidR="00B13AAA">
        <w:rPr>
          <w:color w:val="auto"/>
          <w:lang w:val="en"/>
        </w:rPr>
        <w:t xml:space="preserve">that </w:t>
      </w:r>
      <w:r w:rsidR="003D4FB5">
        <w:rPr>
          <w:color w:val="auto"/>
          <w:lang w:val="en"/>
        </w:rPr>
        <w:t xml:space="preserve">the burden of </w:t>
      </w:r>
      <w:r w:rsidRPr="00876E34" w:rsidR="00B13AAA">
        <w:rPr>
          <w:color w:val="auto"/>
          <w:lang w:val="en"/>
        </w:rPr>
        <w:t>this determination</w:t>
      </w:r>
      <w:r w:rsidRPr="00123328" w:rsidR="00903589">
        <w:rPr>
          <w:color w:val="auto"/>
          <w:lang w:val="en"/>
        </w:rPr>
        <w:t xml:space="preserve"> by </w:t>
      </w:r>
      <w:r w:rsidR="003D4FB5">
        <w:rPr>
          <w:color w:val="auto"/>
          <w:lang w:val="en"/>
        </w:rPr>
        <w:t xml:space="preserve">the </w:t>
      </w:r>
      <w:r w:rsidRPr="00123328" w:rsidR="00903589">
        <w:rPr>
          <w:color w:val="auto"/>
          <w:lang w:val="en"/>
        </w:rPr>
        <w:t>manufacturer</w:t>
      </w:r>
      <w:r w:rsidR="003D4FB5">
        <w:rPr>
          <w:color w:val="auto"/>
          <w:lang w:val="en"/>
        </w:rPr>
        <w:t>—</w:t>
      </w:r>
      <w:r w:rsidRPr="00876E34" w:rsidR="00B13AAA">
        <w:rPr>
          <w:color w:val="auto"/>
          <w:lang w:val="en"/>
        </w:rPr>
        <w:t>as</w:t>
      </w:r>
      <w:r w:rsidRPr="00876E34" w:rsidR="003D4FB5">
        <w:rPr>
          <w:color w:val="auto"/>
          <w:lang w:val="en"/>
        </w:rPr>
        <w:t xml:space="preserve"> </w:t>
      </w:r>
      <w:r w:rsidRPr="00876E34" w:rsidR="00B13AAA">
        <w:rPr>
          <w:color w:val="auto"/>
          <w:lang w:val="en"/>
        </w:rPr>
        <w:t xml:space="preserve">well as </w:t>
      </w:r>
      <w:r w:rsidRPr="00876E34">
        <w:rPr>
          <w:color w:val="auto"/>
          <w:lang w:val="en"/>
        </w:rPr>
        <w:t>the</w:t>
      </w:r>
      <w:r w:rsidRPr="00876E34" w:rsidR="00123328">
        <w:rPr>
          <w:color w:val="auto"/>
          <w:lang w:val="en"/>
        </w:rPr>
        <w:t xml:space="preserve"> </w:t>
      </w:r>
      <w:r w:rsidRPr="00123328" w:rsidR="00123328">
        <w:rPr>
          <w:color w:val="auto"/>
          <w:lang w:val="en"/>
        </w:rPr>
        <w:t>provision of required</w:t>
      </w:r>
      <w:r w:rsidRPr="00123328">
        <w:rPr>
          <w:color w:val="auto"/>
          <w:lang w:val="en"/>
        </w:rPr>
        <w:t xml:space="preserve"> </w:t>
      </w:r>
      <w:r w:rsidRPr="00876E34" w:rsidR="00055082">
        <w:rPr>
          <w:color w:val="auto"/>
          <w:lang w:val="en"/>
        </w:rPr>
        <w:t>information</w:t>
      </w:r>
      <w:r w:rsidRPr="00876E34" w:rsidR="003D4FB5">
        <w:rPr>
          <w:color w:val="auto"/>
          <w:lang w:val="en"/>
        </w:rPr>
        <w:t xml:space="preserve"> under section 506J of the FD&amp;C Act</w:t>
      </w:r>
      <w:r w:rsidRPr="00123328" w:rsidR="00123328">
        <w:rPr>
          <w:rStyle w:val="FootnoteReference"/>
          <w:color w:val="auto"/>
          <w:lang w:val="en"/>
        </w:rPr>
        <w:footnoteReference w:id="13"/>
      </w:r>
      <w:r w:rsidRPr="00876E34" w:rsidR="00123328">
        <w:rPr>
          <w:color w:val="auto"/>
          <w:lang w:val="en"/>
        </w:rPr>
        <w:t xml:space="preserve"> </w:t>
      </w:r>
      <w:r w:rsidRPr="00876E34">
        <w:rPr>
          <w:color w:val="auto"/>
          <w:lang w:val="en"/>
        </w:rPr>
        <w:t>and</w:t>
      </w:r>
      <w:r w:rsidRPr="00876E34" w:rsidR="00123328">
        <w:rPr>
          <w:color w:val="auto"/>
          <w:lang w:val="en"/>
        </w:rPr>
        <w:t xml:space="preserve"> </w:t>
      </w:r>
      <w:r w:rsidRPr="00123328" w:rsidR="00123328">
        <w:rPr>
          <w:color w:val="auto"/>
          <w:lang w:val="en"/>
        </w:rPr>
        <w:t>additional</w:t>
      </w:r>
      <w:r w:rsidR="003D4FB5">
        <w:rPr>
          <w:color w:val="auto"/>
          <w:lang w:val="en"/>
        </w:rPr>
        <w:t>, voluntary</w:t>
      </w:r>
      <w:r w:rsidRPr="00123328" w:rsidR="00123328">
        <w:rPr>
          <w:color w:val="auto"/>
          <w:lang w:val="en"/>
        </w:rPr>
        <w:t xml:space="preserve"> information as</w:t>
      </w:r>
      <w:r w:rsidRPr="00123328">
        <w:rPr>
          <w:color w:val="auto"/>
          <w:lang w:val="en"/>
        </w:rPr>
        <w:t xml:space="preserve"> </w:t>
      </w:r>
      <w:r w:rsidRPr="00876E34">
        <w:rPr>
          <w:color w:val="auto"/>
          <w:lang w:val="en"/>
        </w:rPr>
        <w:t>recommended in the guidance</w:t>
      </w:r>
      <w:r w:rsidRPr="00876E34" w:rsidR="00055082">
        <w:rPr>
          <w:rStyle w:val="FootnoteReference"/>
          <w:color w:val="auto"/>
          <w:lang w:val="en"/>
        </w:rPr>
        <w:footnoteReference w:id="14"/>
      </w:r>
      <w:r w:rsidR="003D4FB5">
        <w:rPr>
          <w:color w:val="auto"/>
          <w:lang w:val="en"/>
        </w:rPr>
        <w:t>—</w:t>
      </w:r>
      <w:r w:rsidRPr="00876E34">
        <w:rPr>
          <w:color w:val="auto"/>
          <w:lang w:val="en"/>
        </w:rPr>
        <w:t>is minimal and</w:t>
      </w:r>
      <w:r w:rsidR="003D4FB5">
        <w:rPr>
          <w:color w:val="auto"/>
          <w:lang w:val="en"/>
        </w:rPr>
        <w:t xml:space="preserve"> such information is</w:t>
      </w:r>
      <w:r w:rsidRPr="00876E34">
        <w:rPr>
          <w:color w:val="auto"/>
          <w:lang w:val="en"/>
        </w:rPr>
        <w:t xml:space="preserve"> readily available to manufacturers</w:t>
      </w:r>
      <w:r w:rsidRPr="00876E34" w:rsidR="00055082">
        <w:rPr>
          <w:color w:val="auto"/>
          <w:lang w:val="en"/>
        </w:rPr>
        <w:t xml:space="preserve"> of the applicable devices. Therefore, we estimate the hour burden of this information collection to be 15 minutes or less per </w:t>
      </w:r>
      <w:r w:rsidRPr="00876E34" w:rsidR="00B13AAA">
        <w:rPr>
          <w:color w:val="auto"/>
          <w:lang w:val="en"/>
        </w:rPr>
        <w:t xml:space="preserve">determination and </w:t>
      </w:r>
      <w:r w:rsidRPr="00876E34" w:rsidR="00055082">
        <w:rPr>
          <w:color w:val="auto"/>
          <w:lang w:val="en"/>
        </w:rPr>
        <w:t>notification.</w:t>
      </w:r>
    </w:p>
    <w:p w:rsidR="004667A2" w:rsidP="00803A2B" w:rsidRDefault="004667A2" w14:paraId="62DBC458" w14:textId="77777777">
      <w:pPr>
        <w:pStyle w:val="Default"/>
        <w:rPr>
          <w:color w:val="auto"/>
        </w:rPr>
      </w:pPr>
    </w:p>
    <w:p w:rsidRPr="00FE1857" w:rsidR="0088239E" w:rsidP="00803A2B" w:rsidRDefault="007864B7" w14:paraId="71222B2E" w14:textId="36BC5586">
      <w:pPr>
        <w:pStyle w:val="Default"/>
        <w:rPr>
          <w:color w:val="auto"/>
        </w:rPr>
      </w:pPr>
      <w:r w:rsidRPr="00FE1857">
        <w:rPr>
          <w:color w:val="auto"/>
        </w:rPr>
        <w:t xml:space="preserve">Accordingly, FDA is requesting that </w:t>
      </w:r>
      <w:bookmarkStart w:name="_Hlk56080840" w:id="1"/>
      <w:r w:rsidRPr="00FE1857">
        <w:rPr>
          <w:color w:val="auto"/>
        </w:rPr>
        <w:t>OMB</w:t>
      </w:r>
      <w:r w:rsidRPr="00FE1857" w:rsidR="000B5F10">
        <w:rPr>
          <w:color w:val="auto"/>
        </w:rPr>
        <w:t xml:space="preserve"> allow</w:t>
      </w:r>
      <w:r w:rsidRPr="00FE1857">
        <w:rPr>
          <w:color w:val="auto"/>
        </w:rPr>
        <w:t xml:space="preserve"> use</w:t>
      </w:r>
      <w:r w:rsidRPr="00FE1857" w:rsidR="000B5F10">
        <w:rPr>
          <w:color w:val="auto"/>
        </w:rPr>
        <w:t xml:space="preserve"> of</w:t>
      </w:r>
      <w:r w:rsidRPr="00FE1857">
        <w:rPr>
          <w:color w:val="auto"/>
        </w:rPr>
        <w:t xml:space="preserve"> its emergency clearance process to </w:t>
      </w:r>
      <w:r w:rsidR="004E285E">
        <w:rPr>
          <w:color w:val="auto"/>
        </w:rPr>
        <w:t xml:space="preserve">immediately </w:t>
      </w:r>
      <w:r w:rsidR="00CF12C8">
        <w:rPr>
          <w:color w:val="auto"/>
        </w:rPr>
        <w:t xml:space="preserve">approve </w:t>
      </w:r>
      <w:bookmarkEnd w:id="1"/>
      <w:r w:rsidRPr="00FE1857">
        <w:rPr>
          <w:color w:val="auto"/>
        </w:rPr>
        <w:t xml:space="preserve">the </w:t>
      </w:r>
      <w:r w:rsidRPr="00FE1857" w:rsidR="000B5F10">
        <w:rPr>
          <w:color w:val="auto"/>
        </w:rPr>
        <w:t>revision</w:t>
      </w:r>
      <w:r w:rsidRPr="00FE1857" w:rsidR="00F51458">
        <w:rPr>
          <w:color w:val="auto"/>
        </w:rPr>
        <w:t xml:space="preserve"> of</w:t>
      </w:r>
      <w:r w:rsidRPr="00FE1857" w:rsidR="000C4597">
        <w:rPr>
          <w:color w:val="auto"/>
        </w:rPr>
        <w:t xml:space="preserve"> OMB Control No. 0910-</w:t>
      </w:r>
      <w:r w:rsidR="002366A9">
        <w:rPr>
          <w:color w:val="auto"/>
        </w:rPr>
        <w:t>0491</w:t>
      </w:r>
      <w:r w:rsidRPr="00FE1857" w:rsidR="000C4597">
        <w:rPr>
          <w:color w:val="auto"/>
        </w:rPr>
        <w:t xml:space="preserve">, </w:t>
      </w:r>
      <w:r w:rsidR="002366A9">
        <w:rPr>
          <w:color w:val="auto"/>
        </w:rPr>
        <w:t>to include</w:t>
      </w:r>
      <w:r w:rsidRPr="00FE1857" w:rsidR="000C4597">
        <w:rPr>
          <w:color w:val="auto"/>
        </w:rPr>
        <w:t xml:space="preserve"> the </w:t>
      </w:r>
      <w:r w:rsidR="002366A9">
        <w:rPr>
          <w:color w:val="auto"/>
        </w:rPr>
        <w:t xml:space="preserve">collection of </w:t>
      </w:r>
      <w:r w:rsidRPr="00FE1857" w:rsidR="000C4597">
        <w:rPr>
          <w:color w:val="auto"/>
        </w:rPr>
        <w:t>information</w:t>
      </w:r>
      <w:r w:rsidR="002366A9">
        <w:rPr>
          <w:color w:val="auto"/>
        </w:rPr>
        <w:t xml:space="preserve"> required by</w:t>
      </w:r>
      <w:r w:rsidR="00710F04">
        <w:rPr>
          <w:color w:val="auto"/>
        </w:rPr>
        <w:t xml:space="preserve"> section 506J of the FD&amp;C Act (added by</w:t>
      </w:r>
      <w:r w:rsidR="002366A9">
        <w:rPr>
          <w:color w:val="auto"/>
        </w:rPr>
        <w:t xml:space="preserve"> section </w:t>
      </w:r>
      <w:r w:rsidR="003D00D4">
        <w:rPr>
          <w:color w:val="auto"/>
        </w:rPr>
        <w:t>3121</w:t>
      </w:r>
      <w:r w:rsidR="001159DB">
        <w:rPr>
          <w:color w:val="auto"/>
        </w:rPr>
        <w:t xml:space="preserve"> </w:t>
      </w:r>
      <w:r w:rsidR="002366A9">
        <w:rPr>
          <w:color w:val="auto"/>
        </w:rPr>
        <w:t>of the CARES Act</w:t>
      </w:r>
      <w:r w:rsidR="00710F04">
        <w:rPr>
          <w:color w:val="auto"/>
        </w:rPr>
        <w:t>)</w:t>
      </w:r>
      <w:r w:rsidRPr="00FE1857" w:rsidR="000C4597">
        <w:rPr>
          <w:color w:val="auto"/>
        </w:rPr>
        <w:t xml:space="preserve">. </w:t>
      </w:r>
    </w:p>
    <w:sectPr w:rsidRPr="00FE1857" w:rsidR="008823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A87FE" w14:textId="77777777" w:rsidR="00047DDE" w:rsidRDefault="00047DDE" w:rsidP="007B4A11">
      <w:pPr>
        <w:spacing w:after="0" w:line="240" w:lineRule="auto"/>
      </w:pPr>
      <w:r>
        <w:separator/>
      </w:r>
    </w:p>
  </w:endnote>
  <w:endnote w:type="continuationSeparator" w:id="0">
    <w:p w14:paraId="138225ED" w14:textId="77777777" w:rsidR="00047DDE" w:rsidRDefault="00047DDE" w:rsidP="007B4A11">
      <w:pPr>
        <w:spacing w:after="0" w:line="240" w:lineRule="auto"/>
      </w:pPr>
      <w:r>
        <w:continuationSeparator/>
      </w:r>
    </w:p>
  </w:endnote>
  <w:endnote w:type="continuationNotice" w:id="1">
    <w:p w14:paraId="23EC711D" w14:textId="77777777" w:rsidR="00047DDE" w:rsidRDefault="00047D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DDBAF" w14:textId="77777777" w:rsidR="00047DDE" w:rsidRDefault="00047DDE" w:rsidP="007B4A11">
      <w:pPr>
        <w:spacing w:after="0" w:line="240" w:lineRule="auto"/>
      </w:pPr>
      <w:r>
        <w:separator/>
      </w:r>
    </w:p>
  </w:footnote>
  <w:footnote w:type="continuationSeparator" w:id="0">
    <w:p w14:paraId="06B9F28B" w14:textId="77777777" w:rsidR="00047DDE" w:rsidRDefault="00047DDE" w:rsidP="007B4A11">
      <w:pPr>
        <w:spacing w:after="0" w:line="240" w:lineRule="auto"/>
      </w:pPr>
      <w:r>
        <w:continuationSeparator/>
      </w:r>
    </w:p>
  </w:footnote>
  <w:footnote w:type="continuationNotice" w:id="1">
    <w:p w14:paraId="0DC592A0" w14:textId="77777777" w:rsidR="00047DDE" w:rsidRDefault="00047DDE">
      <w:pPr>
        <w:spacing w:after="0" w:line="240" w:lineRule="auto"/>
      </w:pPr>
    </w:p>
  </w:footnote>
  <w:footnote w:id="2">
    <w:p w14:paraId="2F79B9B5" w14:textId="77777777" w:rsidR="00F127C7" w:rsidRPr="009653F5" w:rsidRDefault="00F127C7" w:rsidP="00F127C7">
      <w:pPr>
        <w:pStyle w:val="FootnoteText"/>
        <w:rPr>
          <w:rFonts w:ascii="Times New Roman" w:hAnsi="Times New Roman" w:cs="Times New Roman"/>
        </w:rPr>
      </w:pPr>
      <w:r w:rsidRPr="00780BE7">
        <w:rPr>
          <w:rStyle w:val="FootnoteReference"/>
          <w:rFonts w:ascii="Times New Roman" w:hAnsi="Times New Roman" w:cs="Times New Roman"/>
        </w:rPr>
        <w:footnoteRef/>
      </w:r>
      <w:r w:rsidRPr="009653F5">
        <w:rPr>
          <w:rFonts w:ascii="Times New Roman" w:hAnsi="Times New Roman" w:cs="Times New Roman"/>
        </w:rPr>
        <w:t xml:space="preserve"> </w:t>
      </w:r>
      <w:r w:rsidRPr="009653F5">
        <w:rPr>
          <w:rFonts w:ascii="Times New Roman" w:hAnsi="Times New Roman" w:cs="Times New Roman"/>
          <w:i/>
        </w:rPr>
        <w:softHyphen/>
      </w:r>
      <w:r w:rsidRPr="009653F5">
        <w:rPr>
          <w:rFonts w:ascii="Times New Roman" w:hAnsi="Times New Roman" w:cs="Times New Roman"/>
        </w:rPr>
        <w:t xml:space="preserve"> “Shortage” is defined as “</w:t>
      </w:r>
      <w:proofErr w:type="gramStart"/>
      <w:r w:rsidRPr="009653F5">
        <w:rPr>
          <w:rFonts w:ascii="Times New Roman" w:hAnsi="Times New Roman" w:cs="Times New Roman"/>
        </w:rPr>
        <w:t>a period of time</w:t>
      </w:r>
      <w:proofErr w:type="gramEnd"/>
      <w:r w:rsidRPr="009653F5">
        <w:rPr>
          <w:rFonts w:ascii="Times New Roman" w:hAnsi="Times New Roman" w:cs="Times New Roman"/>
        </w:rPr>
        <w:t xml:space="preserve"> when the demand or projected demand for the device within the United States exceeds the supply of the device.” </w:t>
      </w:r>
      <w:r w:rsidRPr="009653F5">
        <w:rPr>
          <w:rFonts w:ascii="Times New Roman" w:hAnsi="Times New Roman" w:cs="Times New Roman"/>
          <w:i/>
        </w:rPr>
        <w:t xml:space="preserve"> See</w:t>
      </w:r>
      <w:r w:rsidRPr="009653F5">
        <w:rPr>
          <w:rFonts w:ascii="Times New Roman" w:hAnsi="Times New Roman" w:cs="Times New Roman"/>
        </w:rPr>
        <w:t xml:space="preserve"> section 506J(i)(2) of the FD&amp;C Act.</w:t>
      </w:r>
    </w:p>
  </w:footnote>
  <w:footnote w:id="3">
    <w:p w14:paraId="6BD6229A" w14:textId="77777777" w:rsidR="00F127C7" w:rsidRPr="009653F5" w:rsidRDefault="00F127C7" w:rsidP="00F127C7">
      <w:pPr>
        <w:pStyle w:val="FootnoteText"/>
        <w:rPr>
          <w:rFonts w:ascii="Times New Roman" w:hAnsi="Times New Roman" w:cs="Times New Roman"/>
        </w:rPr>
      </w:pPr>
      <w:r w:rsidRPr="009653F5">
        <w:rPr>
          <w:rStyle w:val="FootnoteReference"/>
          <w:rFonts w:ascii="Times New Roman" w:hAnsi="Times New Roman" w:cs="Times New Roman"/>
        </w:rPr>
        <w:footnoteRef/>
      </w:r>
      <w:r w:rsidRPr="009653F5">
        <w:rPr>
          <w:rFonts w:ascii="Times New Roman" w:hAnsi="Times New Roman" w:cs="Times New Roman"/>
        </w:rPr>
        <w:t xml:space="preserve"> </w:t>
      </w:r>
      <w:r w:rsidRPr="009653F5">
        <w:rPr>
          <w:rFonts w:ascii="Times New Roman" w:hAnsi="Times New Roman" w:cs="Times New Roman"/>
          <w:i/>
        </w:rPr>
        <w:t xml:space="preserve">See </w:t>
      </w:r>
      <w:r w:rsidRPr="009653F5">
        <w:rPr>
          <w:rFonts w:ascii="Times New Roman" w:hAnsi="Times New Roman" w:cs="Times New Roman"/>
        </w:rPr>
        <w:t>section 506J(a) of the FD&amp;C Act.</w:t>
      </w:r>
    </w:p>
  </w:footnote>
  <w:footnote w:id="4">
    <w:p w14:paraId="485A9B54" w14:textId="342A2CDF" w:rsidR="00A861BF" w:rsidRPr="009653F5" w:rsidRDefault="00A861BF">
      <w:pPr>
        <w:pStyle w:val="FootnoteText"/>
        <w:rPr>
          <w:rFonts w:ascii="Times New Roman" w:hAnsi="Times New Roman" w:cs="Times New Roman"/>
        </w:rPr>
      </w:pPr>
      <w:r w:rsidRPr="009653F5">
        <w:rPr>
          <w:rStyle w:val="FootnoteReference"/>
          <w:rFonts w:ascii="Times New Roman" w:hAnsi="Times New Roman" w:cs="Times New Roman"/>
        </w:rPr>
        <w:footnoteRef/>
      </w:r>
      <w:r w:rsidRPr="009653F5">
        <w:rPr>
          <w:rFonts w:ascii="Times New Roman" w:hAnsi="Times New Roman" w:cs="Times New Roman"/>
        </w:rPr>
        <w:t xml:space="preserve"> </w:t>
      </w:r>
      <w:r w:rsidRPr="009653F5">
        <w:rPr>
          <w:rFonts w:ascii="Times New Roman" w:hAnsi="Times New Roman" w:cs="Times New Roman"/>
          <w:i/>
        </w:rPr>
        <w:t>See</w:t>
      </w:r>
      <w:r w:rsidRPr="009653F5">
        <w:rPr>
          <w:rFonts w:ascii="Times New Roman" w:hAnsi="Times New Roman" w:cs="Times New Roman"/>
        </w:rPr>
        <w:t xml:space="preserve"> Section 506J(g) of the FD&amp;C Act.</w:t>
      </w:r>
    </w:p>
  </w:footnote>
  <w:footnote w:id="5">
    <w:p w14:paraId="7847273E" w14:textId="5FFCF3EB" w:rsidR="00BB67C0" w:rsidRDefault="00BB67C0">
      <w:pPr>
        <w:pStyle w:val="FootnoteText"/>
      </w:pPr>
      <w:r w:rsidRPr="009653F5">
        <w:rPr>
          <w:rStyle w:val="FootnoteReference"/>
          <w:rFonts w:ascii="Times New Roman" w:hAnsi="Times New Roman" w:cs="Times New Roman"/>
        </w:rPr>
        <w:footnoteRef/>
      </w:r>
      <w:r w:rsidRPr="009653F5">
        <w:rPr>
          <w:rFonts w:ascii="Times New Roman" w:hAnsi="Times New Roman" w:cs="Times New Roman"/>
        </w:rPr>
        <w:t xml:space="preserve"> </w:t>
      </w:r>
      <w:r w:rsidRPr="000A7101">
        <w:rPr>
          <w:rFonts w:ascii="Times New Roman" w:hAnsi="Times New Roman" w:cs="Times New Roman"/>
          <w:i/>
        </w:rPr>
        <w:t>See</w:t>
      </w:r>
      <w:r w:rsidRPr="009653F5">
        <w:rPr>
          <w:rFonts w:ascii="Times New Roman" w:hAnsi="Times New Roman" w:cs="Times New Roman"/>
        </w:rPr>
        <w:t xml:space="preserve"> Section 506J(e) of the FD&amp;C Act.</w:t>
      </w:r>
    </w:p>
  </w:footnote>
  <w:footnote w:id="6">
    <w:p w14:paraId="75842159" w14:textId="77777777" w:rsidR="00026A95" w:rsidRPr="009653F5" w:rsidRDefault="00026A95" w:rsidP="00026A95">
      <w:pPr>
        <w:pStyle w:val="Default"/>
        <w:rPr>
          <w:color w:val="auto"/>
          <w:sz w:val="20"/>
          <w:szCs w:val="20"/>
        </w:rPr>
      </w:pPr>
      <w:r w:rsidRPr="009653F5">
        <w:rPr>
          <w:rStyle w:val="FootnoteReference"/>
        </w:rPr>
        <w:footnoteRef/>
      </w:r>
      <w:r w:rsidRPr="009653F5">
        <w:t xml:space="preserve"> </w:t>
      </w:r>
      <w:r w:rsidRPr="009653F5">
        <w:rPr>
          <w:color w:val="auto"/>
          <w:sz w:val="20"/>
          <w:szCs w:val="20"/>
        </w:rPr>
        <w:t>Under section 506J of the FD&amp;C Act, manufacturers of the following devices must notify FDA of an interruption or permanent discontinuance in manufacturing:</w:t>
      </w:r>
    </w:p>
    <w:p w14:paraId="69004E10" w14:textId="77777777" w:rsidR="00026A95" w:rsidRPr="009653F5" w:rsidRDefault="00026A95" w:rsidP="00026A95">
      <w:pPr>
        <w:pStyle w:val="Default"/>
        <w:numPr>
          <w:ilvl w:val="0"/>
          <w:numId w:val="6"/>
        </w:numPr>
        <w:rPr>
          <w:color w:val="auto"/>
          <w:sz w:val="20"/>
          <w:szCs w:val="20"/>
        </w:rPr>
      </w:pPr>
      <w:r w:rsidRPr="009653F5">
        <w:rPr>
          <w:color w:val="auto"/>
          <w:sz w:val="20"/>
          <w:szCs w:val="20"/>
        </w:rPr>
        <w:t>Devices that are</w:t>
      </w:r>
      <w:r w:rsidRPr="009653F5" w:rsidDel="002D59C1">
        <w:rPr>
          <w:color w:val="auto"/>
          <w:sz w:val="20"/>
          <w:szCs w:val="20"/>
        </w:rPr>
        <w:t xml:space="preserve"> </w:t>
      </w:r>
      <w:r w:rsidRPr="009653F5">
        <w:rPr>
          <w:color w:val="auto"/>
          <w:sz w:val="20"/>
          <w:szCs w:val="20"/>
        </w:rPr>
        <w:t>critical to public health during a public health emergency, including those that are life-supporting, life-sustaining, or intended for use in emergency medical care or during surgery; or</w:t>
      </w:r>
    </w:p>
    <w:p w14:paraId="4BBFAA08" w14:textId="77777777" w:rsidR="00026A95" w:rsidRPr="009653F5" w:rsidRDefault="00026A95" w:rsidP="00026A95">
      <w:pPr>
        <w:pStyle w:val="FootnoteText"/>
        <w:numPr>
          <w:ilvl w:val="0"/>
          <w:numId w:val="6"/>
        </w:numPr>
        <w:rPr>
          <w:rFonts w:ascii="Times New Roman" w:hAnsi="Times New Roman" w:cs="Times New Roman"/>
        </w:rPr>
      </w:pPr>
      <w:r w:rsidRPr="009653F5">
        <w:rPr>
          <w:rFonts w:ascii="Times New Roman" w:hAnsi="Times New Roman" w:cs="Times New Roman"/>
        </w:rPr>
        <w:t>Devices for which FDA determines information on potential meaningful supply disruptions is needed during a public health emergency.</w:t>
      </w:r>
    </w:p>
    <w:p w14:paraId="12EAD62B" w14:textId="77777777" w:rsidR="00026A95" w:rsidRPr="009653F5" w:rsidRDefault="00026A95" w:rsidP="00026A95">
      <w:pPr>
        <w:pStyle w:val="FootnoteText"/>
        <w:rPr>
          <w:rFonts w:ascii="Times New Roman" w:hAnsi="Times New Roman" w:cs="Times New Roman"/>
        </w:rPr>
      </w:pPr>
      <w:r w:rsidRPr="009653F5">
        <w:rPr>
          <w:rFonts w:ascii="Times New Roman" w:hAnsi="Times New Roman" w:cs="Times New Roman"/>
          <w:i/>
        </w:rPr>
        <w:t>See</w:t>
      </w:r>
      <w:r w:rsidRPr="009653F5">
        <w:rPr>
          <w:rFonts w:ascii="Times New Roman" w:hAnsi="Times New Roman" w:cs="Times New Roman"/>
        </w:rPr>
        <w:t xml:space="preserve"> section 506J(a)(1</w:t>
      </w:r>
      <w:proofErr w:type="gramStart"/>
      <w:r w:rsidRPr="009653F5">
        <w:rPr>
          <w:rFonts w:ascii="Times New Roman" w:hAnsi="Times New Roman" w:cs="Times New Roman"/>
        </w:rPr>
        <w:t>),(</w:t>
      </w:r>
      <w:proofErr w:type="gramEnd"/>
      <w:r w:rsidRPr="009653F5">
        <w:rPr>
          <w:rFonts w:ascii="Times New Roman" w:hAnsi="Times New Roman" w:cs="Times New Roman"/>
        </w:rPr>
        <w:t>2) of the FD&amp;C Act.</w:t>
      </w:r>
    </w:p>
  </w:footnote>
  <w:footnote w:id="7">
    <w:p w14:paraId="5626DA41" w14:textId="77777777" w:rsidR="00026A95" w:rsidRPr="009653F5" w:rsidRDefault="00026A95" w:rsidP="00026A95">
      <w:pPr>
        <w:pStyle w:val="FootnoteText"/>
        <w:rPr>
          <w:rFonts w:ascii="Times New Roman" w:hAnsi="Times New Roman" w:cs="Times New Roman"/>
        </w:rPr>
      </w:pPr>
      <w:r w:rsidRPr="009653F5">
        <w:rPr>
          <w:rStyle w:val="FootnoteReference"/>
          <w:rFonts w:ascii="Times New Roman" w:hAnsi="Times New Roman" w:cs="Times New Roman"/>
        </w:rPr>
        <w:footnoteRef/>
      </w:r>
      <w:r w:rsidRPr="009653F5">
        <w:rPr>
          <w:rFonts w:ascii="Times New Roman" w:hAnsi="Times New Roman" w:cs="Times New Roman"/>
        </w:rPr>
        <w:t xml:space="preserve"> </w:t>
      </w:r>
      <w:r w:rsidRPr="009653F5">
        <w:rPr>
          <w:rFonts w:ascii="Times New Roman" w:hAnsi="Times New Roman" w:cs="Times New Roman"/>
          <w:i/>
        </w:rPr>
        <w:t xml:space="preserve">See </w:t>
      </w:r>
      <w:r w:rsidRPr="009653F5">
        <w:rPr>
          <w:rFonts w:ascii="Times New Roman" w:hAnsi="Times New Roman" w:cs="Times New Roman"/>
        </w:rPr>
        <w:t xml:space="preserve">section 506J(a) of the FD&amp;C Act. </w:t>
      </w:r>
    </w:p>
  </w:footnote>
  <w:footnote w:id="8">
    <w:p w14:paraId="2B8FD704" w14:textId="77777777" w:rsidR="00026A95" w:rsidRPr="009653F5" w:rsidRDefault="00026A95" w:rsidP="00026A95">
      <w:pPr>
        <w:pStyle w:val="FootnoteText"/>
        <w:rPr>
          <w:rFonts w:ascii="Times New Roman" w:hAnsi="Times New Roman" w:cs="Times New Roman"/>
        </w:rPr>
      </w:pPr>
      <w:r w:rsidRPr="009653F5">
        <w:rPr>
          <w:rStyle w:val="FootnoteReference"/>
          <w:rFonts w:ascii="Times New Roman" w:hAnsi="Times New Roman" w:cs="Times New Roman"/>
        </w:rPr>
        <w:footnoteRef/>
      </w:r>
      <w:r w:rsidRPr="009653F5">
        <w:rPr>
          <w:rFonts w:ascii="Times New Roman" w:hAnsi="Times New Roman" w:cs="Times New Roman"/>
        </w:rPr>
        <w:t xml:space="preserve"> There is currently an outbreak of respiratory disease caused by a novel coronavirus. The virus has been named “SARS-CoV-2” and the disease it causes has been named “Coronavirus Disease 2019” (COVID-19). On January 31, 2020, HHS issued a declaration of a public health emergency related to COVID-19 and mobilized the Operating Divisions of HHS. See Secretary of Health and Human Services Alex M. Azar II, Determination that a Public Health Emergency Exists (originally</w:t>
      </w:r>
      <w:r w:rsidRPr="009653F5">
        <w:rPr>
          <w:rFonts w:ascii="Times New Roman" w:hAnsi="Times New Roman" w:cs="Times New Roman"/>
          <w:color w:val="002060"/>
        </w:rPr>
        <w:t xml:space="preserve"> issued on Jan. 31, 2020, and subsequently</w:t>
      </w:r>
      <w:r w:rsidRPr="009653F5">
        <w:rPr>
          <w:rFonts w:ascii="Times New Roman" w:hAnsi="Times New Roman" w:cs="Times New Roman"/>
          <w:color w:val="FF0000"/>
        </w:rPr>
        <w:t xml:space="preserve"> </w:t>
      </w:r>
      <w:r w:rsidRPr="009653F5">
        <w:rPr>
          <w:rFonts w:ascii="Times New Roman" w:hAnsi="Times New Roman" w:cs="Times New Roman"/>
          <w:color w:val="002060"/>
        </w:rPr>
        <w:t>renewed)</w:t>
      </w:r>
      <w:r w:rsidRPr="009653F5">
        <w:rPr>
          <w:rFonts w:ascii="Times New Roman" w:hAnsi="Times New Roman" w:cs="Times New Roman"/>
        </w:rPr>
        <w:t xml:space="preserve">, </w:t>
      </w:r>
      <w:r w:rsidRPr="009653F5">
        <w:rPr>
          <w:rFonts w:ascii="Times New Roman" w:hAnsi="Times New Roman" w:cs="Times New Roman"/>
          <w:i/>
        </w:rPr>
        <w:t>available at</w:t>
      </w:r>
      <w:r w:rsidRPr="009653F5">
        <w:rPr>
          <w:rFonts w:ascii="Times New Roman" w:hAnsi="Times New Roman" w:cs="Times New Roman"/>
        </w:rPr>
        <w:t xml:space="preserve"> </w:t>
      </w:r>
      <w:hyperlink r:id="rId1" w:history="1">
        <w:r w:rsidRPr="009653F5">
          <w:rPr>
            <w:rStyle w:val="Hyperlink"/>
            <w:rFonts w:ascii="Times New Roman" w:hAnsi="Times New Roman" w:cs="Times New Roman"/>
          </w:rPr>
          <w:t>https://www.phe.gov/emergency/news/healthactions/phe/Pages/default.aspx</w:t>
        </w:r>
      </w:hyperlink>
      <w:r w:rsidRPr="009653F5">
        <w:rPr>
          <w:rFonts w:ascii="Times New Roman" w:hAnsi="Times New Roman" w:cs="Times New Roman"/>
        </w:rPr>
        <w:t>.</w:t>
      </w:r>
    </w:p>
  </w:footnote>
  <w:footnote w:id="9">
    <w:p w14:paraId="0327799E" w14:textId="0AE92810" w:rsidR="00193C42" w:rsidRPr="00164529" w:rsidRDefault="00193C42">
      <w:pPr>
        <w:pStyle w:val="FootnoteText"/>
      </w:pPr>
      <w:r w:rsidRPr="009653F5">
        <w:rPr>
          <w:rStyle w:val="FootnoteReference"/>
          <w:rFonts w:ascii="Times New Roman" w:hAnsi="Times New Roman" w:cs="Times New Roman"/>
        </w:rPr>
        <w:footnoteRef/>
      </w:r>
      <w:r w:rsidRPr="009653F5">
        <w:rPr>
          <w:rFonts w:ascii="Times New Roman" w:hAnsi="Times New Roman" w:cs="Times New Roman"/>
        </w:rPr>
        <w:t xml:space="preserve"> The guidance was updated in June 2020 to provide additional information to aid manufacturers in submitting their notifications.</w:t>
      </w:r>
      <w:r>
        <w:t xml:space="preserve"> </w:t>
      </w:r>
    </w:p>
  </w:footnote>
  <w:footnote w:id="10">
    <w:p w14:paraId="20204F4A" w14:textId="388E04C3" w:rsidR="00E010AC" w:rsidRPr="00B66B76" w:rsidRDefault="00E010AC">
      <w:pPr>
        <w:pStyle w:val="FootnoteText"/>
        <w:rPr>
          <w:rFonts w:ascii="Times New Roman" w:hAnsi="Times New Roman" w:cs="Times New Roman"/>
        </w:rPr>
      </w:pPr>
      <w:r w:rsidRPr="00164529">
        <w:rPr>
          <w:rStyle w:val="FootnoteReference"/>
          <w:rFonts w:ascii="Times New Roman" w:hAnsi="Times New Roman" w:cs="Times New Roman"/>
        </w:rPr>
        <w:footnoteRef/>
      </w:r>
      <w:r w:rsidRPr="00164529">
        <w:rPr>
          <w:rFonts w:ascii="Times New Roman" w:hAnsi="Times New Roman" w:cs="Times New Roman"/>
        </w:rPr>
        <w:t xml:space="preserve"> </w:t>
      </w:r>
      <w:r w:rsidRPr="00164529">
        <w:rPr>
          <w:rFonts w:ascii="Times New Roman" w:hAnsi="Times New Roman" w:cs="Times New Roman"/>
          <w:color w:val="333333"/>
          <w:lang w:val="en"/>
        </w:rPr>
        <w:t>This list of device types and corresponding product codes identifies devices that FDA believes are critical to the public health during the COVID-19 pandemic under section 506J(a)(1). However, FDA may make additional device type determinations under section 506J(a)(2) and update this list with respect to device type recommendations under section 506(J)(a)(1) as this public health emergency evolves and if FDA learns new information.</w:t>
      </w:r>
    </w:p>
  </w:footnote>
  <w:footnote w:id="11">
    <w:p w14:paraId="792F896B" w14:textId="77777777" w:rsidR="00BE4BA3" w:rsidRDefault="00BE4BA3" w:rsidP="00BE4BA3">
      <w:pPr>
        <w:pStyle w:val="FootnoteText"/>
      </w:pPr>
      <w:r>
        <w:rPr>
          <w:rStyle w:val="FootnoteReference"/>
        </w:rPr>
        <w:footnoteRef/>
      </w:r>
      <w:r>
        <w:t xml:space="preserve"> </w:t>
      </w:r>
      <w:r w:rsidRPr="009653F5">
        <w:rPr>
          <w:rFonts w:ascii="Times New Roman" w:hAnsi="Times New Roman" w:cs="Times New Roman"/>
          <w:i/>
        </w:rPr>
        <w:t xml:space="preserve">See </w:t>
      </w:r>
      <w:r w:rsidRPr="009653F5">
        <w:rPr>
          <w:rFonts w:ascii="Times New Roman" w:hAnsi="Times New Roman" w:cs="Times New Roman"/>
        </w:rPr>
        <w:t>section 506J(</w:t>
      </w:r>
      <w:r>
        <w:rPr>
          <w:rFonts w:ascii="Times New Roman" w:hAnsi="Times New Roman" w:cs="Times New Roman"/>
        </w:rPr>
        <w:t>e</w:t>
      </w:r>
      <w:r w:rsidRPr="009653F5">
        <w:rPr>
          <w:rFonts w:ascii="Times New Roman" w:hAnsi="Times New Roman" w:cs="Times New Roman"/>
        </w:rPr>
        <w:t>) of the FD&amp;C Act.</w:t>
      </w:r>
    </w:p>
  </w:footnote>
  <w:footnote w:id="12">
    <w:p w14:paraId="75C525CC" w14:textId="58B6DCAA" w:rsidR="00511055" w:rsidRPr="00B66B76" w:rsidRDefault="00511055">
      <w:pPr>
        <w:pStyle w:val="FootnoteText"/>
        <w:rPr>
          <w:rFonts w:ascii="Times New Roman" w:hAnsi="Times New Roman" w:cs="Times New Roman"/>
        </w:rPr>
      </w:pPr>
      <w:r w:rsidRPr="00B66B76">
        <w:rPr>
          <w:rStyle w:val="FootnoteReference"/>
          <w:rFonts w:ascii="Times New Roman" w:hAnsi="Times New Roman" w:cs="Times New Roman"/>
        </w:rPr>
        <w:footnoteRef/>
      </w:r>
      <w:r w:rsidRPr="00B66B76">
        <w:rPr>
          <w:rFonts w:ascii="Times New Roman" w:hAnsi="Times New Roman" w:cs="Times New Roman"/>
        </w:rPr>
        <w:t xml:space="preserve"> Registration and listing data collection is approved under OMB </w:t>
      </w:r>
      <w:r w:rsidR="00903589">
        <w:rPr>
          <w:rFonts w:ascii="Times New Roman" w:hAnsi="Times New Roman" w:cs="Times New Roman"/>
        </w:rPr>
        <w:t>C</w:t>
      </w:r>
      <w:r w:rsidR="00903589" w:rsidRPr="00B66B76">
        <w:rPr>
          <w:rFonts w:ascii="Times New Roman" w:hAnsi="Times New Roman" w:cs="Times New Roman"/>
        </w:rPr>
        <w:t xml:space="preserve">ontrol </w:t>
      </w:r>
      <w:r w:rsidR="00903589">
        <w:rPr>
          <w:rFonts w:ascii="Times New Roman" w:hAnsi="Times New Roman" w:cs="Times New Roman"/>
        </w:rPr>
        <w:t>No.</w:t>
      </w:r>
      <w:r w:rsidR="00903589" w:rsidRPr="00B66B76">
        <w:rPr>
          <w:rFonts w:ascii="Times New Roman" w:hAnsi="Times New Roman" w:cs="Times New Roman"/>
        </w:rPr>
        <w:t xml:space="preserve"> </w:t>
      </w:r>
      <w:r w:rsidRPr="00B66B76">
        <w:rPr>
          <w:rFonts w:ascii="Times New Roman" w:hAnsi="Times New Roman" w:cs="Times New Roman"/>
        </w:rPr>
        <w:t>0910-0625.</w:t>
      </w:r>
    </w:p>
  </w:footnote>
  <w:footnote w:id="13">
    <w:p w14:paraId="3637DE24" w14:textId="77777777" w:rsidR="00123328" w:rsidRPr="00C45365" w:rsidRDefault="00123328" w:rsidP="00123328">
      <w:pPr>
        <w:pStyle w:val="FootnoteText"/>
        <w:rPr>
          <w:rFonts w:ascii="Times New Roman" w:hAnsi="Times New Roman" w:cs="Times New Roman"/>
        </w:rPr>
      </w:pPr>
      <w:r w:rsidRPr="00C45365">
        <w:rPr>
          <w:rStyle w:val="FootnoteReference"/>
          <w:rFonts w:ascii="Times New Roman" w:hAnsi="Times New Roman" w:cs="Times New Roman"/>
        </w:rPr>
        <w:footnoteRef/>
      </w:r>
      <w:r w:rsidRPr="00C45365">
        <w:rPr>
          <w:rFonts w:ascii="Times New Roman" w:hAnsi="Times New Roman" w:cs="Times New Roman"/>
        </w:rPr>
        <w:t xml:space="preserve"> Section 506J(a) of the FD&amp;C Act </w:t>
      </w:r>
      <w:r>
        <w:rPr>
          <w:rFonts w:ascii="Times New Roman" w:hAnsi="Times New Roman" w:cs="Times New Roman"/>
        </w:rPr>
        <w:t>requires manufacturers of certain devices (</w:t>
      </w:r>
      <w:r w:rsidRPr="00DA7A0E">
        <w:rPr>
          <w:rFonts w:ascii="Times New Roman" w:hAnsi="Times New Roman" w:cs="Times New Roman"/>
          <w:i/>
        </w:rPr>
        <w:t>see supra</w:t>
      </w:r>
      <w:r>
        <w:rPr>
          <w:rFonts w:ascii="Times New Roman" w:hAnsi="Times New Roman" w:cs="Times New Roman"/>
        </w:rPr>
        <w:t xml:space="preserve"> Footnote 5) to provide notification “</w:t>
      </w:r>
      <w:r w:rsidRPr="00C45365">
        <w:rPr>
          <w:rFonts w:ascii="Times New Roman" w:hAnsi="Times New Roman" w:cs="Times New Roman"/>
        </w:rPr>
        <w:t>of a permanent discontinuance in the manufacture of the device” or “an interruption in the manufacture of the device that is likely to lead to a meaningful disruption in supply of that device in the United States” during or in advance of a declared public health emergency, and the reasons for such discontinuance or interruption.</w:t>
      </w:r>
    </w:p>
  </w:footnote>
  <w:footnote w:id="14">
    <w:p w14:paraId="35FEDC89" w14:textId="74892BBE" w:rsidR="00055082" w:rsidRPr="00C91129" w:rsidRDefault="00055082">
      <w:pPr>
        <w:pStyle w:val="FootnoteText"/>
        <w:rPr>
          <w:rFonts w:ascii="Times New Roman" w:hAnsi="Times New Roman" w:cs="Times New Roman"/>
        </w:rPr>
      </w:pPr>
      <w:r w:rsidRPr="00B66B76">
        <w:rPr>
          <w:rStyle w:val="FootnoteReference"/>
          <w:rFonts w:ascii="Times New Roman" w:hAnsi="Times New Roman" w:cs="Times New Roman"/>
        </w:rPr>
        <w:footnoteRef/>
      </w:r>
      <w:r w:rsidRPr="00B66B76">
        <w:rPr>
          <w:rFonts w:ascii="Times New Roman" w:hAnsi="Times New Roman" w:cs="Times New Roman"/>
        </w:rPr>
        <w:t xml:space="preserve"> While we </w:t>
      </w:r>
      <w:r w:rsidR="00C02093" w:rsidRPr="00B66B76">
        <w:rPr>
          <w:rFonts w:ascii="Times New Roman" w:hAnsi="Times New Roman" w:cs="Times New Roman"/>
        </w:rPr>
        <w:t>have incorporated</w:t>
      </w:r>
      <w:r w:rsidRPr="00B66B76">
        <w:rPr>
          <w:rFonts w:ascii="Times New Roman" w:hAnsi="Times New Roman" w:cs="Times New Roman"/>
        </w:rPr>
        <w:t xml:space="preserve"> the </w:t>
      </w:r>
      <w:r w:rsidR="00C02093" w:rsidRPr="00B66B76">
        <w:rPr>
          <w:rFonts w:ascii="Times New Roman" w:hAnsi="Times New Roman" w:cs="Times New Roman"/>
        </w:rPr>
        <w:t xml:space="preserve">voluntary </w:t>
      </w:r>
      <w:r w:rsidRPr="00B66B76">
        <w:rPr>
          <w:rFonts w:ascii="Times New Roman" w:hAnsi="Times New Roman" w:cs="Times New Roman"/>
        </w:rPr>
        <w:t>recommendations</w:t>
      </w:r>
      <w:r w:rsidR="00C02093" w:rsidRPr="00B66B76">
        <w:rPr>
          <w:rFonts w:ascii="Times New Roman" w:hAnsi="Times New Roman" w:cs="Times New Roman"/>
        </w:rPr>
        <w:t xml:space="preserve"> of the guidance, regarding the content and manner of submission of the notifications, in </w:t>
      </w:r>
      <w:r w:rsidR="00123328">
        <w:rPr>
          <w:rFonts w:ascii="Times New Roman" w:hAnsi="Times New Roman" w:cs="Times New Roman"/>
        </w:rPr>
        <w:t>this total</w:t>
      </w:r>
      <w:r w:rsidR="00123328" w:rsidRPr="00B66B76">
        <w:rPr>
          <w:rFonts w:ascii="Times New Roman" w:hAnsi="Times New Roman" w:cs="Times New Roman"/>
        </w:rPr>
        <w:t xml:space="preserve"> </w:t>
      </w:r>
      <w:r w:rsidR="00C02093" w:rsidRPr="00B66B76">
        <w:rPr>
          <w:rFonts w:ascii="Times New Roman" w:hAnsi="Times New Roman" w:cs="Times New Roman"/>
        </w:rPr>
        <w:t xml:space="preserve">hour-burden estimate (15 minutes per notification), </w:t>
      </w:r>
      <w:r w:rsidR="00123328">
        <w:rPr>
          <w:rFonts w:ascii="Times New Roman" w:hAnsi="Times New Roman" w:cs="Times New Roman"/>
        </w:rPr>
        <w:t xml:space="preserve">we note that </w:t>
      </w:r>
      <w:r w:rsidR="00A949C7">
        <w:rPr>
          <w:rFonts w:ascii="Times New Roman" w:hAnsi="Times New Roman" w:cs="Times New Roman"/>
        </w:rPr>
        <w:t>this</w:t>
      </w:r>
      <w:r w:rsidR="00A949C7" w:rsidRPr="00B66B76">
        <w:rPr>
          <w:rFonts w:ascii="Times New Roman" w:hAnsi="Times New Roman" w:cs="Times New Roman"/>
        </w:rPr>
        <w:t xml:space="preserve"> </w:t>
      </w:r>
      <w:r w:rsidR="00C02093" w:rsidRPr="00B66B76">
        <w:rPr>
          <w:rFonts w:ascii="Times New Roman" w:hAnsi="Times New Roman" w:cs="Times New Roman"/>
        </w:rPr>
        <w:t>voluntary</w:t>
      </w:r>
      <w:r w:rsidRPr="00B66B76">
        <w:rPr>
          <w:rFonts w:ascii="Times New Roman" w:hAnsi="Times New Roman" w:cs="Times New Roman"/>
        </w:rPr>
        <w:t xml:space="preserve"> </w:t>
      </w:r>
      <w:r w:rsidR="00123328">
        <w:rPr>
          <w:rFonts w:ascii="Times New Roman" w:hAnsi="Times New Roman" w:cs="Times New Roman"/>
        </w:rPr>
        <w:t xml:space="preserve">collection of </w:t>
      </w:r>
      <w:r w:rsidRPr="00B66B76">
        <w:rPr>
          <w:rFonts w:ascii="Times New Roman" w:hAnsi="Times New Roman" w:cs="Times New Roman"/>
        </w:rPr>
        <w:t xml:space="preserve">information has been granted a waiver from the </w:t>
      </w:r>
      <w:r w:rsidR="00A949C7">
        <w:rPr>
          <w:rFonts w:ascii="Times New Roman" w:hAnsi="Times New Roman" w:cs="Times New Roman"/>
        </w:rPr>
        <w:t xml:space="preserve">requirements of the </w:t>
      </w:r>
      <w:r w:rsidRPr="00B66B76">
        <w:rPr>
          <w:rFonts w:ascii="Times New Roman" w:hAnsi="Times New Roman" w:cs="Times New Roman"/>
        </w:rPr>
        <w:t xml:space="preserve">PRA </w:t>
      </w:r>
      <w:r w:rsidR="00A949C7">
        <w:rPr>
          <w:rFonts w:ascii="Times New Roman" w:hAnsi="Times New Roman" w:cs="Times New Roman"/>
        </w:rPr>
        <w:t xml:space="preserve">(PRA waiver) </w:t>
      </w:r>
      <w:r w:rsidRPr="00B66B76">
        <w:rPr>
          <w:rFonts w:ascii="Times New Roman" w:hAnsi="Times New Roman" w:cs="Times New Roman"/>
        </w:rPr>
        <w:t xml:space="preserve">by the </w:t>
      </w:r>
      <w:r w:rsidR="00A949C7">
        <w:rPr>
          <w:rFonts w:ascii="Times New Roman" w:hAnsi="Times New Roman" w:cs="Times New Roman"/>
        </w:rPr>
        <w:t xml:space="preserve">Secretary of </w:t>
      </w:r>
      <w:r w:rsidRPr="00B66B76">
        <w:rPr>
          <w:rFonts w:ascii="Times New Roman" w:hAnsi="Times New Roman" w:cs="Times New Roman"/>
        </w:rPr>
        <w:t>HHS</w:t>
      </w:r>
      <w:r w:rsidR="00A949C7">
        <w:rPr>
          <w:rFonts w:ascii="Times New Roman" w:hAnsi="Times New Roman" w:cs="Times New Roman"/>
        </w:rPr>
        <w:t xml:space="preserve"> effective</w:t>
      </w:r>
      <w:r w:rsidR="00A949C7" w:rsidRPr="00B66B76">
        <w:rPr>
          <w:rFonts w:ascii="Times New Roman" w:hAnsi="Times New Roman" w:cs="Times New Roman"/>
        </w:rPr>
        <w:t xml:space="preserve"> </w:t>
      </w:r>
      <w:r w:rsidRPr="00B66B76">
        <w:rPr>
          <w:rFonts w:ascii="Times New Roman" w:hAnsi="Times New Roman" w:cs="Times New Roman"/>
        </w:rPr>
        <w:t xml:space="preserve">March 19, 2020, under </w:t>
      </w:r>
      <w:r w:rsidR="003E34FB">
        <w:rPr>
          <w:rFonts w:ascii="Times New Roman" w:hAnsi="Times New Roman" w:cs="Times New Roman"/>
        </w:rPr>
        <w:t xml:space="preserve">section 319(f) of the PHS Act. </w:t>
      </w:r>
      <w:r w:rsidR="00A949C7">
        <w:rPr>
          <w:rFonts w:ascii="Times New Roman" w:hAnsi="Times New Roman" w:cs="Times New Roman"/>
        </w:rPr>
        <w:t>The PRA waiver is anticipated to remain in effect throughout the time period of the immediate investigation of and response to the emergency declared pursuant to section 319(a) of the PHS Act, and for a reasonable length of time for immediate post response review regarding the PHE. The</w:t>
      </w:r>
      <w:r w:rsidRPr="00B66B76">
        <w:rPr>
          <w:rFonts w:ascii="Times New Roman" w:hAnsi="Times New Roman" w:cs="Times New Roman"/>
        </w:rPr>
        <w:t xml:space="preserve"> PRA waiver can be found on the HHS website at </w:t>
      </w:r>
      <w:hyperlink r:id="rId2" w:history="1">
        <w:r w:rsidR="003E34FB" w:rsidRPr="007116E4">
          <w:rPr>
            <w:rStyle w:val="Hyperlink"/>
            <w:rFonts w:ascii="Times New Roman" w:hAnsi="Times New Roman" w:cs="Times New Roman"/>
          </w:rPr>
          <w:t>https://aspe.hhs.gov/public-health-emergency-declaration-pra-waivers</w:t>
        </w:r>
      </w:hyperlink>
      <w:r w:rsidR="003E34FB">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B1B70"/>
    <w:multiLevelType w:val="hybridMultilevel"/>
    <w:tmpl w:val="B21C82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DC8176B"/>
    <w:multiLevelType w:val="hybridMultilevel"/>
    <w:tmpl w:val="AAB2E168"/>
    <w:lvl w:ilvl="0" w:tplc="F4C48C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625E4B"/>
    <w:multiLevelType w:val="hybridMultilevel"/>
    <w:tmpl w:val="1B3AC556"/>
    <w:lvl w:ilvl="0" w:tplc="23CE0348">
      <w:start w:val="1"/>
      <w:numFmt w:val="upp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885E09"/>
    <w:multiLevelType w:val="hybridMultilevel"/>
    <w:tmpl w:val="183279DA"/>
    <w:lvl w:ilvl="0" w:tplc="34EEF1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502F68"/>
    <w:multiLevelType w:val="multilevel"/>
    <w:tmpl w:val="CA78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A354A8"/>
    <w:multiLevelType w:val="hybridMultilevel"/>
    <w:tmpl w:val="73144C4E"/>
    <w:lvl w:ilvl="0" w:tplc="C86C82A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2B"/>
    <w:rsid w:val="000029A8"/>
    <w:rsid w:val="00005EA6"/>
    <w:rsid w:val="000102BD"/>
    <w:rsid w:val="00010D89"/>
    <w:rsid w:val="000264E0"/>
    <w:rsid w:val="00026A95"/>
    <w:rsid w:val="000272CB"/>
    <w:rsid w:val="00031301"/>
    <w:rsid w:val="00037CAE"/>
    <w:rsid w:val="0004157D"/>
    <w:rsid w:val="00047DDE"/>
    <w:rsid w:val="00052A60"/>
    <w:rsid w:val="00054818"/>
    <w:rsid w:val="00055082"/>
    <w:rsid w:val="00062EFF"/>
    <w:rsid w:val="00063FD6"/>
    <w:rsid w:val="000801A8"/>
    <w:rsid w:val="00090FCA"/>
    <w:rsid w:val="000A1066"/>
    <w:rsid w:val="000A7101"/>
    <w:rsid w:val="000B0D99"/>
    <w:rsid w:val="000B2392"/>
    <w:rsid w:val="000B5F10"/>
    <w:rsid w:val="000B6692"/>
    <w:rsid w:val="000B7294"/>
    <w:rsid w:val="000C0CD9"/>
    <w:rsid w:val="000C0CE3"/>
    <w:rsid w:val="000C4597"/>
    <w:rsid w:val="000C4692"/>
    <w:rsid w:val="000D4D23"/>
    <w:rsid w:val="000E36B4"/>
    <w:rsid w:val="000E3A8A"/>
    <w:rsid w:val="000F06C1"/>
    <w:rsid w:val="000F216D"/>
    <w:rsid w:val="001019B2"/>
    <w:rsid w:val="00102091"/>
    <w:rsid w:val="0011054B"/>
    <w:rsid w:val="00112EEE"/>
    <w:rsid w:val="001159DB"/>
    <w:rsid w:val="00116A2F"/>
    <w:rsid w:val="001174C3"/>
    <w:rsid w:val="001215D7"/>
    <w:rsid w:val="00123328"/>
    <w:rsid w:val="001319C3"/>
    <w:rsid w:val="0013252C"/>
    <w:rsid w:val="001349A3"/>
    <w:rsid w:val="0013639E"/>
    <w:rsid w:val="0014521E"/>
    <w:rsid w:val="00150BAA"/>
    <w:rsid w:val="00164529"/>
    <w:rsid w:val="00171156"/>
    <w:rsid w:val="001726BF"/>
    <w:rsid w:val="00174B45"/>
    <w:rsid w:val="00175808"/>
    <w:rsid w:val="00182B4C"/>
    <w:rsid w:val="00193C42"/>
    <w:rsid w:val="001A1A33"/>
    <w:rsid w:val="001A6FBF"/>
    <w:rsid w:val="001B03CF"/>
    <w:rsid w:val="001B06B9"/>
    <w:rsid w:val="001B0D89"/>
    <w:rsid w:val="001B40C4"/>
    <w:rsid w:val="001B7E40"/>
    <w:rsid w:val="001D327B"/>
    <w:rsid w:val="001D48B3"/>
    <w:rsid w:val="001D6036"/>
    <w:rsid w:val="001D7963"/>
    <w:rsid w:val="001E0CBC"/>
    <w:rsid w:val="001E45E7"/>
    <w:rsid w:val="001E5637"/>
    <w:rsid w:val="00203CAA"/>
    <w:rsid w:val="00203E6E"/>
    <w:rsid w:val="00210BF6"/>
    <w:rsid w:val="0021197D"/>
    <w:rsid w:val="00231637"/>
    <w:rsid w:val="00232DDC"/>
    <w:rsid w:val="0023514E"/>
    <w:rsid w:val="002366A9"/>
    <w:rsid w:val="00242E1A"/>
    <w:rsid w:val="00244AC9"/>
    <w:rsid w:val="00252A03"/>
    <w:rsid w:val="00253C35"/>
    <w:rsid w:val="0025592F"/>
    <w:rsid w:val="0025635D"/>
    <w:rsid w:val="0026052C"/>
    <w:rsid w:val="00260C40"/>
    <w:rsid w:val="00262932"/>
    <w:rsid w:val="00264270"/>
    <w:rsid w:val="00273BC6"/>
    <w:rsid w:val="00276139"/>
    <w:rsid w:val="00282DDB"/>
    <w:rsid w:val="00284BCD"/>
    <w:rsid w:val="00287045"/>
    <w:rsid w:val="00296190"/>
    <w:rsid w:val="002B56FB"/>
    <w:rsid w:val="002C29B3"/>
    <w:rsid w:val="002C641B"/>
    <w:rsid w:val="002C6F8A"/>
    <w:rsid w:val="002D5ABB"/>
    <w:rsid w:val="002E195A"/>
    <w:rsid w:val="002E3146"/>
    <w:rsid w:val="002F15F2"/>
    <w:rsid w:val="002F6FF5"/>
    <w:rsid w:val="00302D06"/>
    <w:rsid w:val="00304951"/>
    <w:rsid w:val="003061B9"/>
    <w:rsid w:val="00310511"/>
    <w:rsid w:val="0031163E"/>
    <w:rsid w:val="0031283B"/>
    <w:rsid w:val="00313D55"/>
    <w:rsid w:val="003140A1"/>
    <w:rsid w:val="0031619F"/>
    <w:rsid w:val="00320451"/>
    <w:rsid w:val="00321C18"/>
    <w:rsid w:val="0032411C"/>
    <w:rsid w:val="00336DD6"/>
    <w:rsid w:val="00340F08"/>
    <w:rsid w:val="0034170A"/>
    <w:rsid w:val="00353830"/>
    <w:rsid w:val="00357442"/>
    <w:rsid w:val="00363E25"/>
    <w:rsid w:val="003642F0"/>
    <w:rsid w:val="00365DD8"/>
    <w:rsid w:val="00366A1C"/>
    <w:rsid w:val="00370E59"/>
    <w:rsid w:val="00372B47"/>
    <w:rsid w:val="00395520"/>
    <w:rsid w:val="00395A86"/>
    <w:rsid w:val="003A1D9A"/>
    <w:rsid w:val="003A2A14"/>
    <w:rsid w:val="003A7463"/>
    <w:rsid w:val="003B4ADC"/>
    <w:rsid w:val="003B5D69"/>
    <w:rsid w:val="003C09C6"/>
    <w:rsid w:val="003C0FE9"/>
    <w:rsid w:val="003D00D4"/>
    <w:rsid w:val="003D24F6"/>
    <w:rsid w:val="003D49B7"/>
    <w:rsid w:val="003D4FB5"/>
    <w:rsid w:val="003D58F1"/>
    <w:rsid w:val="003D7903"/>
    <w:rsid w:val="003D7BB4"/>
    <w:rsid w:val="003E01E0"/>
    <w:rsid w:val="003E1F4A"/>
    <w:rsid w:val="003E26E2"/>
    <w:rsid w:val="003E34FB"/>
    <w:rsid w:val="003E5FC2"/>
    <w:rsid w:val="003E667A"/>
    <w:rsid w:val="00404210"/>
    <w:rsid w:val="00405BAB"/>
    <w:rsid w:val="00405D99"/>
    <w:rsid w:val="004125BC"/>
    <w:rsid w:val="004158D0"/>
    <w:rsid w:val="00426216"/>
    <w:rsid w:val="00427E39"/>
    <w:rsid w:val="00434157"/>
    <w:rsid w:val="0044295C"/>
    <w:rsid w:val="0044475F"/>
    <w:rsid w:val="00453343"/>
    <w:rsid w:val="0046292F"/>
    <w:rsid w:val="004664CB"/>
    <w:rsid w:val="004667A2"/>
    <w:rsid w:val="00472ECF"/>
    <w:rsid w:val="00484DF0"/>
    <w:rsid w:val="00486CD7"/>
    <w:rsid w:val="0049133A"/>
    <w:rsid w:val="00493986"/>
    <w:rsid w:val="004A621E"/>
    <w:rsid w:val="004B0F48"/>
    <w:rsid w:val="004B1C95"/>
    <w:rsid w:val="004B32C7"/>
    <w:rsid w:val="004B4E0E"/>
    <w:rsid w:val="004B4ED6"/>
    <w:rsid w:val="004C0BFE"/>
    <w:rsid w:val="004C5694"/>
    <w:rsid w:val="004D2222"/>
    <w:rsid w:val="004D3A41"/>
    <w:rsid w:val="004E285E"/>
    <w:rsid w:val="004E4F28"/>
    <w:rsid w:val="004E783A"/>
    <w:rsid w:val="004F795A"/>
    <w:rsid w:val="00503AEF"/>
    <w:rsid w:val="00511055"/>
    <w:rsid w:val="00511A9B"/>
    <w:rsid w:val="00515557"/>
    <w:rsid w:val="00520BDE"/>
    <w:rsid w:val="00522077"/>
    <w:rsid w:val="00522281"/>
    <w:rsid w:val="005247B8"/>
    <w:rsid w:val="005516AC"/>
    <w:rsid w:val="00585FA6"/>
    <w:rsid w:val="005B717B"/>
    <w:rsid w:val="005C40A9"/>
    <w:rsid w:val="005C7169"/>
    <w:rsid w:val="005D129D"/>
    <w:rsid w:val="005D52F0"/>
    <w:rsid w:val="005D682C"/>
    <w:rsid w:val="005E1E2B"/>
    <w:rsid w:val="005F2D6D"/>
    <w:rsid w:val="005F3EF8"/>
    <w:rsid w:val="005F47BD"/>
    <w:rsid w:val="005F5CB9"/>
    <w:rsid w:val="00601AC9"/>
    <w:rsid w:val="006052D2"/>
    <w:rsid w:val="00605EA7"/>
    <w:rsid w:val="006206F7"/>
    <w:rsid w:val="006325CF"/>
    <w:rsid w:val="00646E54"/>
    <w:rsid w:val="0065241E"/>
    <w:rsid w:val="0065632F"/>
    <w:rsid w:val="0066158E"/>
    <w:rsid w:val="00670B1F"/>
    <w:rsid w:val="0067516C"/>
    <w:rsid w:val="006761FE"/>
    <w:rsid w:val="00677D91"/>
    <w:rsid w:val="00690F75"/>
    <w:rsid w:val="0069737B"/>
    <w:rsid w:val="006A0E1C"/>
    <w:rsid w:val="006A754B"/>
    <w:rsid w:val="006B162B"/>
    <w:rsid w:val="006B4DF1"/>
    <w:rsid w:val="006C0D1E"/>
    <w:rsid w:val="006C21FA"/>
    <w:rsid w:val="006F08A0"/>
    <w:rsid w:val="00700DC8"/>
    <w:rsid w:val="00704642"/>
    <w:rsid w:val="00705A2C"/>
    <w:rsid w:val="00710C77"/>
    <w:rsid w:val="00710F04"/>
    <w:rsid w:val="00716BC9"/>
    <w:rsid w:val="007223CD"/>
    <w:rsid w:val="00727B67"/>
    <w:rsid w:val="007325DB"/>
    <w:rsid w:val="0073332A"/>
    <w:rsid w:val="007341D3"/>
    <w:rsid w:val="0074121F"/>
    <w:rsid w:val="00741E55"/>
    <w:rsid w:val="007454FD"/>
    <w:rsid w:val="007468CD"/>
    <w:rsid w:val="007519B5"/>
    <w:rsid w:val="0075459A"/>
    <w:rsid w:val="00756686"/>
    <w:rsid w:val="00763123"/>
    <w:rsid w:val="007637AE"/>
    <w:rsid w:val="00767F67"/>
    <w:rsid w:val="00780BE7"/>
    <w:rsid w:val="007827C9"/>
    <w:rsid w:val="007864B7"/>
    <w:rsid w:val="00791D8B"/>
    <w:rsid w:val="007928F3"/>
    <w:rsid w:val="0079305D"/>
    <w:rsid w:val="00796DB0"/>
    <w:rsid w:val="007A57DE"/>
    <w:rsid w:val="007B1C17"/>
    <w:rsid w:val="007B4A11"/>
    <w:rsid w:val="007B4F80"/>
    <w:rsid w:val="007C2ECE"/>
    <w:rsid w:val="007C7E8A"/>
    <w:rsid w:val="007D41EA"/>
    <w:rsid w:val="007D446D"/>
    <w:rsid w:val="007D7085"/>
    <w:rsid w:val="007F13A9"/>
    <w:rsid w:val="00803A2B"/>
    <w:rsid w:val="00805233"/>
    <w:rsid w:val="00807209"/>
    <w:rsid w:val="00816F2C"/>
    <w:rsid w:val="00817BE8"/>
    <w:rsid w:val="00826F06"/>
    <w:rsid w:val="008419F8"/>
    <w:rsid w:val="0085325D"/>
    <w:rsid w:val="00855237"/>
    <w:rsid w:val="00855854"/>
    <w:rsid w:val="00865204"/>
    <w:rsid w:val="00865A95"/>
    <w:rsid w:val="00867C83"/>
    <w:rsid w:val="00875A39"/>
    <w:rsid w:val="00876E34"/>
    <w:rsid w:val="0088239E"/>
    <w:rsid w:val="00883136"/>
    <w:rsid w:val="0088516D"/>
    <w:rsid w:val="00886FD2"/>
    <w:rsid w:val="008A6CE5"/>
    <w:rsid w:val="008C0DE0"/>
    <w:rsid w:val="008C5024"/>
    <w:rsid w:val="008D5A96"/>
    <w:rsid w:val="008E0D6D"/>
    <w:rsid w:val="008E3D75"/>
    <w:rsid w:val="008E569D"/>
    <w:rsid w:val="008F3F9B"/>
    <w:rsid w:val="00903589"/>
    <w:rsid w:val="00906854"/>
    <w:rsid w:val="009126D2"/>
    <w:rsid w:val="0091512A"/>
    <w:rsid w:val="009266B4"/>
    <w:rsid w:val="009319E0"/>
    <w:rsid w:val="00936587"/>
    <w:rsid w:val="009413D7"/>
    <w:rsid w:val="009451C3"/>
    <w:rsid w:val="00950BBF"/>
    <w:rsid w:val="00962668"/>
    <w:rsid w:val="00963417"/>
    <w:rsid w:val="009653F5"/>
    <w:rsid w:val="00967626"/>
    <w:rsid w:val="00971784"/>
    <w:rsid w:val="00973E73"/>
    <w:rsid w:val="00985E9C"/>
    <w:rsid w:val="00996D38"/>
    <w:rsid w:val="009A149B"/>
    <w:rsid w:val="009A7A0C"/>
    <w:rsid w:val="009A7EC0"/>
    <w:rsid w:val="009B5BDA"/>
    <w:rsid w:val="009C0A17"/>
    <w:rsid w:val="009C1001"/>
    <w:rsid w:val="009C1AC0"/>
    <w:rsid w:val="009C1C90"/>
    <w:rsid w:val="009C593A"/>
    <w:rsid w:val="009D266E"/>
    <w:rsid w:val="009D75FA"/>
    <w:rsid w:val="009E17E4"/>
    <w:rsid w:val="009E703D"/>
    <w:rsid w:val="009F1D21"/>
    <w:rsid w:val="009F72BC"/>
    <w:rsid w:val="009F7AB5"/>
    <w:rsid w:val="00A05E61"/>
    <w:rsid w:val="00A20E1B"/>
    <w:rsid w:val="00A42C22"/>
    <w:rsid w:val="00A51F49"/>
    <w:rsid w:val="00A52F1E"/>
    <w:rsid w:val="00A545BF"/>
    <w:rsid w:val="00A57375"/>
    <w:rsid w:val="00A57EA7"/>
    <w:rsid w:val="00A723F8"/>
    <w:rsid w:val="00A729F1"/>
    <w:rsid w:val="00A74A72"/>
    <w:rsid w:val="00A77B51"/>
    <w:rsid w:val="00A80D6F"/>
    <w:rsid w:val="00A82DCE"/>
    <w:rsid w:val="00A861BF"/>
    <w:rsid w:val="00A949C7"/>
    <w:rsid w:val="00A97818"/>
    <w:rsid w:val="00AA1EC6"/>
    <w:rsid w:val="00AA20E5"/>
    <w:rsid w:val="00AA57BC"/>
    <w:rsid w:val="00AB2B1A"/>
    <w:rsid w:val="00AB33AF"/>
    <w:rsid w:val="00AB3FD4"/>
    <w:rsid w:val="00AB5D5C"/>
    <w:rsid w:val="00AB63BF"/>
    <w:rsid w:val="00AC1DE1"/>
    <w:rsid w:val="00AD1ACF"/>
    <w:rsid w:val="00AD26C7"/>
    <w:rsid w:val="00AD2E6C"/>
    <w:rsid w:val="00AE2664"/>
    <w:rsid w:val="00AE2BCF"/>
    <w:rsid w:val="00AF0BBF"/>
    <w:rsid w:val="00AF2F98"/>
    <w:rsid w:val="00B05C69"/>
    <w:rsid w:val="00B07311"/>
    <w:rsid w:val="00B10591"/>
    <w:rsid w:val="00B13AAA"/>
    <w:rsid w:val="00B1688D"/>
    <w:rsid w:val="00B173F2"/>
    <w:rsid w:val="00B20594"/>
    <w:rsid w:val="00B256DF"/>
    <w:rsid w:val="00B36A6C"/>
    <w:rsid w:val="00B41651"/>
    <w:rsid w:val="00B4255B"/>
    <w:rsid w:val="00B46D81"/>
    <w:rsid w:val="00B543CF"/>
    <w:rsid w:val="00B66B76"/>
    <w:rsid w:val="00B74213"/>
    <w:rsid w:val="00B806B0"/>
    <w:rsid w:val="00BA0A39"/>
    <w:rsid w:val="00BA3350"/>
    <w:rsid w:val="00BA3ABA"/>
    <w:rsid w:val="00BA43ED"/>
    <w:rsid w:val="00BB67C0"/>
    <w:rsid w:val="00BC250A"/>
    <w:rsid w:val="00BC257E"/>
    <w:rsid w:val="00BC6D7C"/>
    <w:rsid w:val="00BD1BA7"/>
    <w:rsid w:val="00BE0A5C"/>
    <w:rsid w:val="00BE1189"/>
    <w:rsid w:val="00BE2909"/>
    <w:rsid w:val="00BE3819"/>
    <w:rsid w:val="00BE4BA3"/>
    <w:rsid w:val="00BF2E10"/>
    <w:rsid w:val="00BF6994"/>
    <w:rsid w:val="00C02093"/>
    <w:rsid w:val="00C04E01"/>
    <w:rsid w:val="00C07ADA"/>
    <w:rsid w:val="00C11245"/>
    <w:rsid w:val="00C121F1"/>
    <w:rsid w:val="00C131EE"/>
    <w:rsid w:val="00C1528E"/>
    <w:rsid w:val="00C15BDB"/>
    <w:rsid w:val="00C24F24"/>
    <w:rsid w:val="00C329A1"/>
    <w:rsid w:val="00C36624"/>
    <w:rsid w:val="00C41522"/>
    <w:rsid w:val="00C45B49"/>
    <w:rsid w:val="00C47454"/>
    <w:rsid w:val="00C523F5"/>
    <w:rsid w:val="00C52495"/>
    <w:rsid w:val="00C52540"/>
    <w:rsid w:val="00C53947"/>
    <w:rsid w:val="00C604C4"/>
    <w:rsid w:val="00C73992"/>
    <w:rsid w:val="00C76E83"/>
    <w:rsid w:val="00C91129"/>
    <w:rsid w:val="00C968F0"/>
    <w:rsid w:val="00C96CDD"/>
    <w:rsid w:val="00CB1F86"/>
    <w:rsid w:val="00CC2947"/>
    <w:rsid w:val="00CC492E"/>
    <w:rsid w:val="00CE423A"/>
    <w:rsid w:val="00CE4F20"/>
    <w:rsid w:val="00CE620E"/>
    <w:rsid w:val="00CF07EF"/>
    <w:rsid w:val="00CF12C8"/>
    <w:rsid w:val="00D06D48"/>
    <w:rsid w:val="00D1068D"/>
    <w:rsid w:val="00D120A2"/>
    <w:rsid w:val="00D151EC"/>
    <w:rsid w:val="00D16E6B"/>
    <w:rsid w:val="00D21F2E"/>
    <w:rsid w:val="00D31961"/>
    <w:rsid w:val="00D36BDC"/>
    <w:rsid w:val="00D43996"/>
    <w:rsid w:val="00D44883"/>
    <w:rsid w:val="00D463D8"/>
    <w:rsid w:val="00D52727"/>
    <w:rsid w:val="00D530D2"/>
    <w:rsid w:val="00D5486F"/>
    <w:rsid w:val="00D55B62"/>
    <w:rsid w:val="00D70938"/>
    <w:rsid w:val="00D91486"/>
    <w:rsid w:val="00DA0D83"/>
    <w:rsid w:val="00DC1B4A"/>
    <w:rsid w:val="00DC40B9"/>
    <w:rsid w:val="00DD0C38"/>
    <w:rsid w:val="00DE3F23"/>
    <w:rsid w:val="00DF1322"/>
    <w:rsid w:val="00DF41A7"/>
    <w:rsid w:val="00DF4215"/>
    <w:rsid w:val="00E010AC"/>
    <w:rsid w:val="00E07AE3"/>
    <w:rsid w:val="00E12DB3"/>
    <w:rsid w:val="00E1348A"/>
    <w:rsid w:val="00E23AD1"/>
    <w:rsid w:val="00E45D10"/>
    <w:rsid w:val="00E45FF9"/>
    <w:rsid w:val="00E4743E"/>
    <w:rsid w:val="00E574B6"/>
    <w:rsid w:val="00E607AB"/>
    <w:rsid w:val="00E644F9"/>
    <w:rsid w:val="00E647CF"/>
    <w:rsid w:val="00E65B00"/>
    <w:rsid w:val="00E65F82"/>
    <w:rsid w:val="00E66816"/>
    <w:rsid w:val="00E74022"/>
    <w:rsid w:val="00E75F21"/>
    <w:rsid w:val="00E82EBA"/>
    <w:rsid w:val="00EA07FF"/>
    <w:rsid w:val="00EB1261"/>
    <w:rsid w:val="00EB61A2"/>
    <w:rsid w:val="00EB75B4"/>
    <w:rsid w:val="00EC2F2B"/>
    <w:rsid w:val="00EC4871"/>
    <w:rsid w:val="00EC4B66"/>
    <w:rsid w:val="00EE1001"/>
    <w:rsid w:val="00EF3F85"/>
    <w:rsid w:val="00EF6A6B"/>
    <w:rsid w:val="00F008C0"/>
    <w:rsid w:val="00F04AD1"/>
    <w:rsid w:val="00F05780"/>
    <w:rsid w:val="00F074D6"/>
    <w:rsid w:val="00F127C7"/>
    <w:rsid w:val="00F21F74"/>
    <w:rsid w:val="00F43347"/>
    <w:rsid w:val="00F50D72"/>
    <w:rsid w:val="00F51458"/>
    <w:rsid w:val="00F53B4D"/>
    <w:rsid w:val="00F56904"/>
    <w:rsid w:val="00F623E3"/>
    <w:rsid w:val="00F70605"/>
    <w:rsid w:val="00F721F3"/>
    <w:rsid w:val="00F760D3"/>
    <w:rsid w:val="00F764CF"/>
    <w:rsid w:val="00F833AB"/>
    <w:rsid w:val="00F83571"/>
    <w:rsid w:val="00F930AB"/>
    <w:rsid w:val="00F934CD"/>
    <w:rsid w:val="00F950DD"/>
    <w:rsid w:val="00FA1CE1"/>
    <w:rsid w:val="00FA3018"/>
    <w:rsid w:val="00FA41FE"/>
    <w:rsid w:val="00FA4483"/>
    <w:rsid w:val="00FB6A51"/>
    <w:rsid w:val="00FB764D"/>
    <w:rsid w:val="00FB7B3D"/>
    <w:rsid w:val="00FC121A"/>
    <w:rsid w:val="00FC22CD"/>
    <w:rsid w:val="00FD15CB"/>
    <w:rsid w:val="00FD174E"/>
    <w:rsid w:val="00FD330A"/>
    <w:rsid w:val="00FD54AB"/>
    <w:rsid w:val="00FE02F4"/>
    <w:rsid w:val="00FE1857"/>
    <w:rsid w:val="00FE7AB4"/>
    <w:rsid w:val="00FF2004"/>
    <w:rsid w:val="00FF2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49E7D"/>
  <w15:chartTrackingRefBased/>
  <w15:docId w15:val="{60DD2DD7-DCB3-4F87-81BB-55E46EF57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366A1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2" w:line="240" w:lineRule="auto"/>
      <w:outlineLvl w:val="1"/>
    </w:pPr>
    <w:rPr>
      <w:rFonts w:ascii="Tahoma" w:eastAsia="Times New Roman" w:hAnsi="Tahoma" w:cs="Times New Roman"/>
      <w:b/>
      <w:sz w:val="20"/>
      <w:szCs w:val="20"/>
    </w:rPr>
  </w:style>
  <w:style w:type="paragraph" w:styleId="Heading4">
    <w:name w:val="heading 4"/>
    <w:basedOn w:val="Normal"/>
    <w:next w:val="Normal"/>
    <w:link w:val="Heading4Char"/>
    <w:qFormat/>
    <w:rsid w:val="00366A1C"/>
    <w:pPr>
      <w:keepNext/>
      <w:spacing w:after="0" w:line="240" w:lineRule="auto"/>
      <w:jc w:val="center"/>
      <w:outlineLvl w:val="3"/>
    </w:pPr>
    <w:rPr>
      <w:rFonts w:ascii="Tahoma" w:eastAsia="Times New Roman" w:hAnsi="Tahoma"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3A2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E195A"/>
    <w:rPr>
      <w:color w:val="0563C1"/>
      <w:u w:val="single"/>
    </w:rPr>
  </w:style>
  <w:style w:type="character" w:styleId="CommentReference">
    <w:name w:val="annotation reference"/>
    <w:basedOn w:val="DefaultParagraphFont"/>
    <w:uiPriority w:val="99"/>
    <w:semiHidden/>
    <w:unhideWhenUsed/>
    <w:rsid w:val="00D91486"/>
    <w:rPr>
      <w:sz w:val="16"/>
      <w:szCs w:val="16"/>
    </w:rPr>
  </w:style>
  <w:style w:type="paragraph" w:styleId="CommentText">
    <w:name w:val="annotation text"/>
    <w:basedOn w:val="Normal"/>
    <w:link w:val="CommentTextChar"/>
    <w:uiPriority w:val="99"/>
    <w:unhideWhenUsed/>
    <w:rsid w:val="00D91486"/>
    <w:pPr>
      <w:spacing w:line="240" w:lineRule="auto"/>
    </w:pPr>
    <w:rPr>
      <w:sz w:val="20"/>
      <w:szCs w:val="20"/>
    </w:rPr>
  </w:style>
  <w:style w:type="character" w:customStyle="1" w:styleId="CommentTextChar">
    <w:name w:val="Comment Text Char"/>
    <w:basedOn w:val="DefaultParagraphFont"/>
    <w:link w:val="CommentText"/>
    <w:uiPriority w:val="99"/>
    <w:rsid w:val="00D91486"/>
    <w:rPr>
      <w:sz w:val="20"/>
      <w:szCs w:val="20"/>
    </w:rPr>
  </w:style>
  <w:style w:type="paragraph" w:styleId="CommentSubject">
    <w:name w:val="annotation subject"/>
    <w:basedOn w:val="CommentText"/>
    <w:next w:val="CommentText"/>
    <w:link w:val="CommentSubjectChar"/>
    <w:uiPriority w:val="99"/>
    <w:semiHidden/>
    <w:unhideWhenUsed/>
    <w:rsid w:val="00D91486"/>
    <w:rPr>
      <w:b/>
      <w:bCs/>
    </w:rPr>
  </w:style>
  <w:style w:type="character" w:customStyle="1" w:styleId="CommentSubjectChar">
    <w:name w:val="Comment Subject Char"/>
    <w:basedOn w:val="CommentTextChar"/>
    <w:link w:val="CommentSubject"/>
    <w:uiPriority w:val="99"/>
    <w:semiHidden/>
    <w:rsid w:val="00D91486"/>
    <w:rPr>
      <w:b/>
      <w:bCs/>
      <w:sz w:val="20"/>
      <w:szCs w:val="20"/>
    </w:rPr>
  </w:style>
  <w:style w:type="paragraph" w:styleId="BalloonText">
    <w:name w:val="Balloon Text"/>
    <w:basedOn w:val="Normal"/>
    <w:link w:val="BalloonTextChar"/>
    <w:uiPriority w:val="99"/>
    <w:semiHidden/>
    <w:unhideWhenUsed/>
    <w:rsid w:val="00D91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486"/>
    <w:rPr>
      <w:rFonts w:ascii="Segoe UI" w:hAnsi="Segoe UI" w:cs="Segoe UI"/>
      <w:sz w:val="18"/>
      <w:szCs w:val="18"/>
    </w:rPr>
  </w:style>
  <w:style w:type="paragraph" w:styleId="FootnoteText">
    <w:name w:val="footnote text"/>
    <w:basedOn w:val="Normal"/>
    <w:link w:val="FootnoteTextChar"/>
    <w:uiPriority w:val="99"/>
    <w:unhideWhenUsed/>
    <w:rsid w:val="007B4A11"/>
    <w:pPr>
      <w:spacing w:after="0" w:line="240" w:lineRule="auto"/>
    </w:pPr>
    <w:rPr>
      <w:sz w:val="20"/>
      <w:szCs w:val="20"/>
    </w:rPr>
  </w:style>
  <w:style w:type="character" w:customStyle="1" w:styleId="FootnoteTextChar">
    <w:name w:val="Footnote Text Char"/>
    <w:basedOn w:val="DefaultParagraphFont"/>
    <w:link w:val="FootnoteText"/>
    <w:uiPriority w:val="99"/>
    <w:rsid w:val="007B4A11"/>
    <w:rPr>
      <w:sz w:val="20"/>
      <w:szCs w:val="20"/>
    </w:rPr>
  </w:style>
  <w:style w:type="character" w:styleId="FootnoteReference">
    <w:name w:val="footnote reference"/>
    <w:basedOn w:val="DefaultParagraphFont"/>
    <w:unhideWhenUsed/>
    <w:rsid w:val="007B4A11"/>
    <w:rPr>
      <w:vertAlign w:val="superscript"/>
    </w:rPr>
  </w:style>
  <w:style w:type="paragraph" w:styleId="NormalWeb">
    <w:name w:val="Normal (Web)"/>
    <w:basedOn w:val="Normal"/>
    <w:uiPriority w:val="99"/>
    <w:unhideWhenUsed/>
    <w:rsid w:val="00BC6D7C"/>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062EFF"/>
    <w:pPr>
      <w:spacing w:after="0" w:line="240" w:lineRule="auto"/>
    </w:pPr>
  </w:style>
  <w:style w:type="character" w:customStyle="1" w:styleId="Heading2Char">
    <w:name w:val="Heading 2 Char"/>
    <w:basedOn w:val="DefaultParagraphFont"/>
    <w:link w:val="Heading2"/>
    <w:rsid w:val="00366A1C"/>
    <w:rPr>
      <w:rFonts w:ascii="Tahoma" w:eastAsia="Times New Roman" w:hAnsi="Tahoma" w:cs="Times New Roman"/>
      <w:b/>
      <w:sz w:val="20"/>
      <w:szCs w:val="20"/>
    </w:rPr>
  </w:style>
  <w:style w:type="character" w:customStyle="1" w:styleId="Heading4Char">
    <w:name w:val="Heading 4 Char"/>
    <w:basedOn w:val="DefaultParagraphFont"/>
    <w:link w:val="Heading4"/>
    <w:rsid w:val="00366A1C"/>
    <w:rPr>
      <w:rFonts w:ascii="Tahoma" w:eastAsia="Times New Roman" w:hAnsi="Tahoma" w:cs="Times New Roman"/>
      <w:b/>
      <w:sz w:val="20"/>
      <w:szCs w:val="20"/>
    </w:rPr>
  </w:style>
  <w:style w:type="paragraph" w:styleId="BodyText">
    <w:name w:val="Body Text"/>
    <w:basedOn w:val="Normal"/>
    <w:link w:val="BodyTextChar"/>
    <w:rsid w:val="00366A1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66A1C"/>
    <w:rPr>
      <w:rFonts w:ascii="Times New Roman" w:eastAsia="Times New Roman" w:hAnsi="Times New Roman" w:cs="Times New Roman"/>
      <w:sz w:val="24"/>
      <w:szCs w:val="24"/>
    </w:rPr>
  </w:style>
  <w:style w:type="character" w:customStyle="1" w:styleId="cohovertext">
    <w:name w:val="co_hovertext"/>
    <w:basedOn w:val="DefaultParagraphFont"/>
    <w:rsid w:val="00CF12C8"/>
  </w:style>
  <w:style w:type="character" w:styleId="FollowedHyperlink">
    <w:name w:val="FollowedHyperlink"/>
    <w:basedOn w:val="DefaultParagraphFont"/>
    <w:uiPriority w:val="99"/>
    <w:semiHidden/>
    <w:unhideWhenUsed/>
    <w:rsid w:val="00193C42"/>
    <w:rPr>
      <w:color w:val="954F72" w:themeColor="followedHyperlink"/>
      <w:u w:val="single"/>
    </w:rPr>
  </w:style>
  <w:style w:type="paragraph" w:styleId="Header">
    <w:name w:val="header"/>
    <w:basedOn w:val="Normal"/>
    <w:link w:val="HeaderChar"/>
    <w:uiPriority w:val="99"/>
    <w:unhideWhenUsed/>
    <w:rsid w:val="000E3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6B4"/>
  </w:style>
  <w:style w:type="paragraph" w:styleId="Footer">
    <w:name w:val="footer"/>
    <w:basedOn w:val="Normal"/>
    <w:link w:val="FooterChar"/>
    <w:uiPriority w:val="99"/>
    <w:unhideWhenUsed/>
    <w:rsid w:val="000E3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205657">
      <w:bodyDiv w:val="1"/>
      <w:marLeft w:val="0"/>
      <w:marRight w:val="0"/>
      <w:marTop w:val="0"/>
      <w:marBottom w:val="0"/>
      <w:divBdr>
        <w:top w:val="none" w:sz="0" w:space="0" w:color="auto"/>
        <w:left w:val="none" w:sz="0" w:space="0" w:color="auto"/>
        <w:bottom w:val="none" w:sz="0" w:space="0" w:color="auto"/>
        <w:right w:val="none" w:sz="0" w:space="0" w:color="auto"/>
      </w:divBdr>
    </w:div>
    <w:div w:id="1117486909">
      <w:bodyDiv w:val="1"/>
      <w:marLeft w:val="0"/>
      <w:marRight w:val="0"/>
      <w:marTop w:val="30"/>
      <w:marBottom w:val="750"/>
      <w:divBdr>
        <w:top w:val="none" w:sz="0" w:space="0" w:color="auto"/>
        <w:left w:val="none" w:sz="0" w:space="0" w:color="auto"/>
        <w:bottom w:val="none" w:sz="0" w:space="0" w:color="auto"/>
        <w:right w:val="none" w:sz="0" w:space="0" w:color="auto"/>
      </w:divBdr>
      <w:divsChild>
        <w:div w:id="860556120">
          <w:marLeft w:val="0"/>
          <w:marRight w:val="0"/>
          <w:marTop w:val="0"/>
          <w:marBottom w:val="0"/>
          <w:divBdr>
            <w:top w:val="single" w:sz="36" w:space="0" w:color="FFFFFF"/>
            <w:left w:val="none" w:sz="0" w:space="0" w:color="auto"/>
            <w:bottom w:val="none" w:sz="0" w:space="0" w:color="auto"/>
            <w:right w:val="none" w:sz="0" w:space="0" w:color="auto"/>
          </w:divBdr>
          <w:divsChild>
            <w:div w:id="1598366627">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811942184">
      <w:bodyDiv w:val="1"/>
      <w:marLeft w:val="0"/>
      <w:marRight w:val="0"/>
      <w:marTop w:val="0"/>
      <w:marBottom w:val="0"/>
      <w:divBdr>
        <w:top w:val="none" w:sz="0" w:space="0" w:color="auto"/>
        <w:left w:val="none" w:sz="0" w:space="0" w:color="auto"/>
        <w:bottom w:val="none" w:sz="0" w:space="0" w:color="auto"/>
        <w:right w:val="none" w:sz="0" w:space="0" w:color="auto"/>
      </w:divBdr>
      <w:divsChild>
        <w:div w:id="279456991">
          <w:marLeft w:val="0"/>
          <w:marRight w:val="0"/>
          <w:marTop w:val="0"/>
          <w:marBottom w:val="0"/>
          <w:divBdr>
            <w:top w:val="none" w:sz="0" w:space="0" w:color="auto"/>
            <w:left w:val="none" w:sz="0" w:space="0" w:color="auto"/>
            <w:bottom w:val="none" w:sz="0" w:space="0" w:color="auto"/>
            <w:right w:val="none" w:sz="0" w:space="0" w:color="auto"/>
          </w:divBdr>
        </w:div>
      </w:divsChild>
    </w:div>
    <w:div w:id="2042701228">
      <w:bodyDiv w:val="1"/>
      <w:marLeft w:val="0"/>
      <w:marRight w:val="0"/>
      <w:marTop w:val="0"/>
      <w:marBottom w:val="0"/>
      <w:divBdr>
        <w:top w:val="none" w:sz="0" w:space="0" w:color="auto"/>
        <w:left w:val="none" w:sz="0" w:space="0" w:color="auto"/>
        <w:bottom w:val="none" w:sz="0" w:space="0" w:color="auto"/>
        <w:right w:val="none" w:sz="0" w:space="0" w:color="auto"/>
      </w:divBdr>
      <w:divsChild>
        <w:div w:id="951976683">
          <w:marLeft w:val="0"/>
          <w:marRight w:val="0"/>
          <w:marTop w:val="0"/>
          <w:marBottom w:val="0"/>
          <w:divBdr>
            <w:top w:val="none" w:sz="0" w:space="0" w:color="auto"/>
            <w:left w:val="none" w:sz="0" w:space="0" w:color="auto"/>
            <w:bottom w:val="none" w:sz="0" w:space="0" w:color="auto"/>
            <w:right w:val="none" w:sz="0" w:space="0" w:color="auto"/>
          </w:divBdr>
          <w:divsChild>
            <w:div w:id="810440858">
              <w:marLeft w:val="0"/>
              <w:marRight w:val="0"/>
              <w:marTop w:val="0"/>
              <w:marBottom w:val="0"/>
              <w:divBdr>
                <w:top w:val="none" w:sz="0" w:space="0" w:color="auto"/>
                <w:left w:val="none" w:sz="0" w:space="0" w:color="auto"/>
                <w:bottom w:val="none" w:sz="0" w:space="0" w:color="auto"/>
                <w:right w:val="none" w:sz="0" w:space="0" w:color="auto"/>
              </w:divBdr>
              <w:divsChild>
                <w:div w:id="58796563">
                  <w:marLeft w:val="0"/>
                  <w:marRight w:val="0"/>
                  <w:marTop w:val="0"/>
                  <w:marBottom w:val="0"/>
                  <w:divBdr>
                    <w:top w:val="none" w:sz="0" w:space="0" w:color="auto"/>
                    <w:left w:val="none" w:sz="0" w:space="0" w:color="auto"/>
                    <w:bottom w:val="none" w:sz="0" w:space="0" w:color="auto"/>
                    <w:right w:val="none" w:sz="0" w:space="0" w:color="auto"/>
                  </w:divBdr>
                  <w:divsChild>
                    <w:div w:id="1354575852">
                      <w:marLeft w:val="0"/>
                      <w:marRight w:val="0"/>
                      <w:marTop w:val="0"/>
                      <w:marBottom w:val="0"/>
                      <w:divBdr>
                        <w:top w:val="none" w:sz="0" w:space="0" w:color="auto"/>
                        <w:left w:val="none" w:sz="0" w:space="0" w:color="auto"/>
                        <w:bottom w:val="none" w:sz="0" w:space="0" w:color="auto"/>
                        <w:right w:val="none" w:sz="0" w:space="0" w:color="auto"/>
                      </w:divBdr>
                      <w:divsChild>
                        <w:div w:id="59174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481185">
                  <w:marLeft w:val="0"/>
                  <w:marRight w:val="0"/>
                  <w:marTop w:val="0"/>
                  <w:marBottom w:val="0"/>
                  <w:divBdr>
                    <w:top w:val="none" w:sz="0" w:space="0" w:color="auto"/>
                    <w:left w:val="none" w:sz="0" w:space="0" w:color="auto"/>
                    <w:bottom w:val="none" w:sz="0" w:space="0" w:color="auto"/>
                    <w:right w:val="none" w:sz="0" w:space="0" w:color="auto"/>
                  </w:divBdr>
                  <w:divsChild>
                    <w:div w:id="1043558776">
                      <w:marLeft w:val="0"/>
                      <w:marRight w:val="0"/>
                      <w:marTop w:val="0"/>
                      <w:marBottom w:val="0"/>
                      <w:divBdr>
                        <w:top w:val="none" w:sz="0" w:space="0" w:color="auto"/>
                        <w:left w:val="none" w:sz="0" w:space="0" w:color="auto"/>
                        <w:bottom w:val="none" w:sz="0" w:space="0" w:color="auto"/>
                        <w:right w:val="none" w:sz="0" w:space="0" w:color="auto"/>
                      </w:divBdr>
                      <w:divsChild>
                        <w:div w:id="99588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0834">
                  <w:marLeft w:val="0"/>
                  <w:marRight w:val="0"/>
                  <w:marTop w:val="0"/>
                  <w:marBottom w:val="0"/>
                  <w:divBdr>
                    <w:top w:val="none" w:sz="0" w:space="0" w:color="auto"/>
                    <w:left w:val="none" w:sz="0" w:space="0" w:color="auto"/>
                    <w:bottom w:val="none" w:sz="0" w:space="0" w:color="auto"/>
                    <w:right w:val="none" w:sz="0" w:space="0" w:color="auto"/>
                  </w:divBdr>
                  <w:divsChild>
                    <w:div w:id="772167670">
                      <w:marLeft w:val="0"/>
                      <w:marRight w:val="0"/>
                      <w:marTop w:val="0"/>
                      <w:marBottom w:val="0"/>
                      <w:divBdr>
                        <w:top w:val="none" w:sz="0" w:space="0" w:color="auto"/>
                        <w:left w:val="none" w:sz="0" w:space="0" w:color="auto"/>
                        <w:bottom w:val="none" w:sz="0" w:space="0" w:color="auto"/>
                        <w:right w:val="none" w:sz="0" w:space="0" w:color="auto"/>
                      </w:divBdr>
                      <w:divsChild>
                        <w:div w:id="202809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5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JCapezzu\AppData\Local\Microsoft\Windows\INetCache\Content.Outlook\GR00HOQ3\%3ehttps:\aspe.hhs.gov\system\files\pdf\258866\FDA-PHE-PRA-Waiver-Notice_COVID-19_03.19.20.pdf%3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w.cornell.edu/uscode/text/42/247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ulations.gov/docket?D=FDA-2020-D-113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gress.gov/116/bills/hr748/BILLS-116hr748enr.pdf" TargetMode="External"/><Relationship Id="rId5" Type="http://schemas.openxmlformats.org/officeDocument/2006/relationships/numbering" Target="numbering.xml"/><Relationship Id="rId15" Type="http://schemas.openxmlformats.org/officeDocument/2006/relationships/hyperlink" Target="https://www.fda.gov/medical-devices/coronavirus-covid-19-and-medical-devices/medical-device-types-help-determine-section-506j-notification-obligation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da.gov/regulatory-information/search-fda-guidance-documents/notifying-cdrh-permanent-discontinuance-or-interruption-manufacturing-device-under-section-506j-fdc"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aspe.hhs.gov/public-health-emergency-declaration-pra-waivers" TargetMode="External"/><Relationship Id="rId1" Type="http://schemas.openxmlformats.org/officeDocument/2006/relationships/hyperlink" Target="https://www.phe.gov/emergency/news/healthactions/phe/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80C87500F34345A0A6B507D4B1F18D" ma:contentTypeVersion="5" ma:contentTypeDescription="Create a new document." ma:contentTypeScope="" ma:versionID="ed555789113c90348a0ce1a8df8482ee">
  <xsd:schema xmlns:xsd="http://www.w3.org/2001/XMLSchema" xmlns:xs="http://www.w3.org/2001/XMLSchema" xmlns:p="http://schemas.microsoft.com/office/2006/metadata/properties" xmlns:ns3="e3778d88-c4a6-4b02-ac06-c4f5646fe8f3" targetNamespace="http://schemas.microsoft.com/office/2006/metadata/properties" ma:root="true" ma:fieldsID="5f7004deb91cafbc86190162ce9a2440" ns3:_="">
    <xsd:import namespace="e3778d88-c4a6-4b02-ac06-c4f5646fe8f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78d88-c4a6-4b02-ac06-c4f5646fe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98CBE-846C-4377-AC0D-23FF599C4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778d88-c4a6-4b02-ac06-c4f5646fe8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3AEED9-1AD5-4283-A513-D14F17C15D3D}">
  <ds:schemaRefs>
    <ds:schemaRef ds:uri="http://schemas.microsoft.com/sharepoint/v3/contenttype/forms"/>
  </ds:schemaRefs>
</ds:datastoreItem>
</file>

<file path=customXml/itemProps3.xml><?xml version="1.0" encoding="utf-8"?>
<ds:datastoreItem xmlns:ds="http://schemas.openxmlformats.org/officeDocument/2006/customXml" ds:itemID="{314E611E-BBE0-4DED-BF14-E1F15E1DBEC9}">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e3778d88-c4a6-4b02-ac06-c4f5646fe8f3"/>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40363A76-4406-4736-8354-254E6EC13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1594</Words>
  <Characters>9092</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LJS</dc:creator>
  <cp:keywords/>
  <dc:description/>
  <cp:lastModifiedBy>Capezzuto, JonnaLynn</cp:lastModifiedBy>
  <cp:revision>2</cp:revision>
  <dcterms:created xsi:type="dcterms:W3CDTF">2020-11-17T21:59:00Z</dcterms:created>
  <dcterms:modified xsi:type="dcterms:W3CDTF">2020-11-17T21:59:00Z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0x0101003880C87500F34345A0A6B507D4B1F18D</vt:lpwstr>
  </property>
</Properties>
</file>