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B91" w:rsidRDefault="00831D44" w14:paraId="7A439C22" w14:textId="77777777">
      <w:pPr>
        <w:pStyle w:val="Heading1"/>
        <w:ind w:left="0"/>
        <w:jc w:val="center"/>
        <w:rPr>
          <w:rFonts w:ascii="Times New Roman" w:hAnsi="Times New Roman" w:eastAsia="Times New Roman" w:cs="Times New Roman"/>
        </w:rPr>
      </w:pPr>
      <w:r>
        <w:rPr>
          <w:rFonts w:ascii="Times New Roman" w:hAnsi="Times New Roman" w:eastAsia="Times New Roman" w:cs="Times New Roman"/>
        </w:rPr>
        <w:t>SUPPORTING STATEMENT</w:t>
      </w:r>
    </w:p>
    <w:p w:rsidR="001D2B91" w:rsidRDefault="00831D44" w14:paraId="0EC9B246"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1D2B91" w:rsidRDefault="00831D44" w14:paraId="6AC8ECE3"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001D2B91" w:rsidRDefault="00831D44" w14:paraId="3934A8EA" w14:textId="7C5E42AB">
      <w:pPr>
        <w:spacing w:line="259" w:lineRule="auto"/>
        <w:ind w:hanging="6"/>
        <w:jc w:val="center"/>
        <w:rPr>
          <w:rFonts w:ascii="Times New Roman" w:hAnsi="Times New Roman" w:eastAsia="Times New Roman" w:cs="Times New Roman"/>
          <w:b/>
          <w:sz w:val="24"/>
          <w:szCs w:val="24"/>
        </w:rPr>
      </w:pPr>
      <w:proofErr w:type="spellStart"/>
      <w:r>
        <w:rPr>
          <w:rFonts w:ascii="Times New Roman" w:hAnsi="Times New Roman" w:eastAsia="Times New Roman" w:cs="Times New Roman"/>
          <w:b/>
          <w:sz w:val="24"/>
          <w:szCs w:val="24"/>
        </w:rPr>
        <w:t>Groundfish</w:t>
      </w:r>
      <w:proofErr w:type="spellEnd"/>
      <w:r>
        <w:rPr>
          <w:rFonts w:ascii="Times New Roman" w:hAnsi="Times New Roman" w:eastAsia="Times New Roman" w:cs="Times New Roman"/>
          <w:b/>
          <w:sz w:val="24"/>
          <w:szCs w:val="24"/>
        </w:rPr>
        <w:t xml:space="preserve"> Trawl </w:t>
      </w:r>
      <w:r w:rsidR="00300224">
        <w:rPr>
          <w:rFonts w:ascii="Times New Roman" w:hAnsi="Times New Roman" w:eastAsia="Times New Roman" w:cs="Times New Roman"/>
          <w:b/>
          <w:sz w:val="24"/>
          <w:szCs w:val="24"/>
        </w:rPr>
        <w:t>Catcher/</w:t>
      </w:r>
      <w:r>
        <w:rPr>
          <w:rFonts w:ascii="Times New Roman" w:hAnsi="Times New Roman" w:eastAsia="Times New Roman" w:cs="Times New Roman"/>
          <w:b/>
          <w:sz w:val="24"/>
          <w:szCs w:val="24"/>
        </w:rPr>
        <w:t>Processor Economic Data Report (EDR)</w:t>
      </w:r>
    </w:p>
    <w:p w:rsidR="001D2B91" w:rsidRDefault="00831D44" w14:paraId="3440FAF1" w14:textId="77777777">
      <w:pPr>
        <w:spacing w:line="259" w:lineRule="auto"/>
        <w:ind w:hanging="6"/>
        <w:jc w:val="center"/>
        <w:rPr>
          <w:rFonts w:ascii="Times New Roman" w:hAnsi="Times New Roman" w:eastAsia="Times New Roman" w:cs="Times New Roman"/>
          <w:b/>
          <w:sz w:val="24"/>
          <w:szCs w:val="24"/>
        </w:rPr>
      </w:pPr>
      <w:bookmarkStart w:name="_gjdgxs" w:colFirst="0" w:colLast="0" w:id="0"/>
      <w:bookmarkEnd w:id="0"/>
      <w:r>
        <w:rPr>
          <w:rFonts w:ascii="Times New Roman" w:hAnsi="Times New Roman" w:eastAsia="Times New Roman" w:cs="Times New Roman"/>
          <w:b/>
          <w:sz w:val="24"/>
          <w:szCs w:val="24"/>
        </w:rPr>
        <w:t>OMB Control No. 0648-0564</w:t>
      </w:r>
    </w:p>
    <w:p w:rsidR="001D2B91" w:rsidRDefault="001D2B91" w14:paraId="0EF9201F" w14:textId="0AF0622B">
      <w:pPr>
        <w:rPr>
          <w:rFonts w:ascii="Times New Roman" w:hAnsi="Times New Roman" w:eastAsia="Times New Roman" w:cs="Times New Roman"/>
          <w:b/>
          <w:sz w:val="24"/>
          <w:szCs w:val="24"/>
        </w:rPr>
      </w:pPr>
      <w:bookmarkStart w:name="_GoBack" w:id="1"/>
      <w:bookmarkEnd w:id="1"/>
    </w:p>
    <w:p w:rsidR="001D2B91" w:rsidRDefault="00831D44" w14:paraId="065203E8" w14:textId="77777777">
      <w:pPr>
        <w:spacing w:before="161"/>
        <w:rPr>
          <w:rFonts w:ascii="Times New Roman" w:hAnsi="Times New Roman" w:eastAsia="Times New Roman" w:cs="Times New Roman"/>
          <w:b/>
          <w:sz w:val="24"/>
          <w:szCs w:val="24"/>
        </w:rPr>
      </w:pPr>
      <w:r>
        <w:rPr>
          <w:rFonts w:ascii="Times New Roman" w:hAnsi="Times New Roman" w:eastAsia="Times New Roman" w:cs="Times New Roman"/>
          <w:b/>
          <w:sz w:val="24"/>
          <w:szCs w:val="24"/>
        </w:rPr>
        <w:t>B. Collections of Information Employing Statistical Methods</w:t>
      </w:r>
    </w:p>
    <w:p w:rsidR="001D2B91" w:rsidRDefault="00831D44" w14:paraId="136C8911" w14:textId="77777777">
      <w:pPr>
        <w:pStyle w:val="Heading1"/>
        <w:numPr>
          <w:ilvl w:val="0"/>
          <w:numId w:val="1"/>
        </w:numPr>
        <w:tabs>
          <w:tab w:val="left" w:pos="360"/>
        </w:tabs>
        <w:spacing w:before="185"/>
        <w:ind w:left="0" w:firstLine="0"/>
      </w:pPr>
      <w:r>
        <w:rPr>
          <w:rFonts w:ascii="Times New Roman" w:hAnsi="Times New Roman" w:eastAsia="Times New Roman" w:cs="Times New Roman"/>
        </w:rPr>
        <w:t xml:space="preserve">Describe (including a numerical estimate) the potential respondent universe and any sampling or other respondent selection method to </w:t>
      </w:r>
      <w:proofErr w:type="gramStart"/>
      <w:r>
        <w:rPr>
          <w:rFonts w:ascii="Times New Roman" w:hAnsi="Times New Roman" w:eastAsia="Times New Roman" w:cs="Times New Roman"/>
        </w:rPr>
        <w:t>be used</w:t>
      </w:r>
      <w:proofErr w:type="gramEnd"/>
      <w:r>
        <w:rPr>
          <w:rFonts w:ascii="Times New Roman" w:hAnsi="Times New Roman" w:eastAsia="Times New Roman" w:cs="Times New Roman"/>
        </w:rPr>
        <w:t xml:space="preserve">. Data on the number of entities (e.g., establishments, State and local government units, households, or persons) in the universe covered by the collection and in the corresponding sample are to </w:t>
      </w:r>
      <w:proofErr w:type="gramStart"/>
      <w:r>
        <w:rPr>
          <w:rFonts w:ascii="Times New Roman" w:hAnsi="Times New Roman" w:eastAsia="Times New Roman" w:cs="Times New Roman"/>
        </w:rPr>
        <w:t>be provided</w:t>
      </w:r>
      <w:proofErr w:type="gramEnd"/>
      <w:r>
        <w:rPr>
          <w:rFonts w:ascii="Times New Roman" w:hAnsi="Times New Roman" w:eastAsia="Times New Roman" w:cs="Times New Roman"/>
        </w:rPr>
        <w:t xml:space="preserve"> in tabular form for the universe as a whole and for each of the strata in the proposed sample. Indicate expected response rates for the collection as a whole. If the collection </w:t>
      </w:r>
      <w:proofErr w:type="gramStart"/>
      <w:r>
        <w:rPr>
          <w:rFonts w:ascii="Times New Roman" w:hAnsi="Times New Roman" w:eastAsia="Times New Roman" w:cs="Times New Roman"/>
        </w:rPr>
        <w:t>had been conducted</w:t>
      </w:r>
      <w:proofErr w:type="gramEnd"/>
      <w:r>
        <w:rPr>
          <w:rFonts w:ascii="Times New Roman" w:hAnsi="Times New Roman" w:eastAsia="Times New Roman" w:cs="Times New Roman"/>
        </w:rPr>
        <w:t xml:space="preserve"> previously, include the actual response rate achieved during the last collection.</w:t>
      </w:r>
    </w:p>
    <w:p w:rsidR="001D2B91" w:rsidRDefault="00831D44" w14:paraId="5F788545" w14:textId="77777777">
      <w:pPr>
        <w:spacing w:before="69"/>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harvest includes both the Gulf of Alaska (GOA) and Bering Sea and Aleutian Islands management area; therefore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activity from both areas is included. Each catcher/processor is required to have one Amendment 80 quota share (QS) permit and one License Limitation Program (LLP) license, or an LLP </w:t>
      </w:r>
      <w:proofErr w:type="spellStart"/>
      <w:r>
        <w:rPr>
          <w:rFonts w:ascii="Times New Roman" w:hAnsi="Times New Roman" w:eastAsia="Times New Roman" w:cs="Times New Roman"/>
          <w:sz w:val="24"/>
          <w:szCs w:val="24"/>
        </w:rPr>
        <w:t>groundfish</w:t>
      </w:r>
      <w:proofErr w:type="spellEnd"/>
      <w:r>
        <w:rPr>
          <w:rFonts w:ascii="Times New Roman" w:hAnsi="Times New Roman" w:eastAsia="Times New Roman" w:cs="Times New Roman"/>
          <w:sz w:val="24"/>
          <w:szCs w:val="24"/>
        </w:rPr>
        <w:t xml:space="preserve"> license. Owners of multiple licenses and associated vessels are required annually to submit one Annual Trawl Catcher/Processor Economic Data Report (EDR) for each licensed vessel. In 2020, 30 entities submitted an EDR for a 100% response rate. </w:t>
      </w:r>
    </w:p>
    <w:p w:rsidR="001D2B91" w:rsidRDefault="001D2B91" w14:paraId="2D9D91F1" w14:textId="77777777">
      <w:pPr>
        <w:rPr>
          <w:rFonts w:ascii="Times New Roman" w:hAnsi="Times New Roman" w:eastAsia="Times New Roman" w:cs="Times New Roman"/>
          <w:color w:val="2F5496"/>
          <w:sz w:val="24"/>
          <w:szCs w:val="24"/>
        </w:rPr>
      </w:pPr>
    </w:p>
    <w:p w:rsidR="001D2B91" w:rsidRDefault="001D2B91" w14:paraId="10F49748" w14:textId="77777777">
      <w:pPr>
        <w:spacing w:before="8"/>
        <w:rPr>
          <w:rFonts w:ascii="Times New Roman" w:hAnsi="Times New Roman" w:eastAsia="Times New Roman" w:cs="Times New Roman"/>
          <w:b/>
          <w:sz w:val="24"/>
          <w:szCs w:val="24"/>
        </w:rPr>
      </w:pPr>
    </w:p>
    <w:tbl>
      <w:tblPr>
        <w:tblStyle w:val="a0"/>
        <w:tblW w:w="5285" w:type="dxa"/>
        <w:tblInd w:w="2269" w:type="dxa"/>
        <w:tblLayout w:type="fixed"/>
        <w:tblLook w:val="0000" w:firstRow="0" w:lastRow="0" w:firstColumn="0" w:lastColumn="0" w:noHBand="0" w:noVBand="0"/>
      </w:tblPr>
      <w:tblGrid>
        <w:gridCol w:w="3395"/>
        <w:gridCol w:w="1890"/>
      </w:tblGrid>
      <w:tr w:rsidR="001D2B91" w14:paraId="38A3BE12" w14:textId="77777777">
        <w:trPr>
          <w:trHeight w:val="286"/>
        </w:trPr>
        <w:tc>
          <w:tcPr>
            <w:tcW w:w="3395" w:type="dxa"/>
            <w:tcBorders>
              <w:top w:val="single" w:color="000000" w:sz="5" w:space="0"/>
              <w:left w:val="single" w:color="000000" w:sz="5" w:space="0"/>
              <w:bottom w:val="single" w:color="000000" w:sz="5" w:space="0"/>
              <w:right w:val="single" w:color="000000" w:sz="5" w:space="0"/>
            </w:tcBorders>
          </w:tcPr>
          <w:p w:rsidR="001D2B91" w:rsidRDefault="00831D44" w14:paraId="125C58A3" w14:textId="77777777">
            <w:pPr>
              <w:ind w:left="115"/>
              <w:rPr>
                <w:rFonts w:ascii="Times New Roman" w:hAnsi="Times New Roman" w:eastAsia="Times New Roman" w:cs="Times New Roman"/>
                <w:sz w:val="24"/>
                <w:szCs w:val="24"/>
              </w:rPr>
            </w:pPr>
            <w:r>
              <w:rPr>
                <w:rFonts w:ascii="Times New Roman" w:hAnsi="Times New Roman" w:eastAsia="Times New Roman" w:cs="Times New Roman"/>
                <w:sz w:val="24"/>
                <w:szCs w:val="24"/>
              </w:rPr>
              <w:t>Entity Type</w:t>
            </w:r>
          </w:p>
        </w:tc>
        <w:tc>
          <w:tcPr>
            <w:tcW w:w="1890" w:type="dxa"/>
            <w:tcBorders>
              <w:top w:val="single" w:color="000000" w:sz="5" w:space="0"/>
              <w:left w:val="single" w:color="000000" w:sz="5" w:space="0"/>
              <w:bottom w:val="single" w:color="000000" w:sz="5" w:space="0"/>
              <w:right w:val="single" w:color="000000" w:sz="5" w:space="0"/>
            </w:tcBorders>
          </w:tcPr>
          <w:p w:rsidR="001D2B91" w:rsidRDefault="00831D44" w14:paraId="7BC11085" w14:textId="77777777">
            <w:pPr>
              <w:ind w:left="115"/>
              <w:rPr>
                <w:rFonts w:ascii="Times New Roman" w:hAnsi="Times New Roman" w:eastAsia="Times New Roman" w:cs="Times New Roman"/>
                <w:sz w:val="24"/>
                <w:szCs w:val="24"/>
              </w:rPr>
            </w:pPr>
            <w:r>
              <w:rPr>
                <w:rFonts w:ascii="Times New Roman" w:hAnsi="Times New Roman" w:eastAsia="Times New Roman" w:cs="Times New Roman"/>
                <w:sz w:val="24"/>
                <w:szCs w:val="24"/>
              </w:rPr>
              <w:t>Sample Size</w:t>
            </w:r>
          </w:p>
        </w:tc>
      </w:tr>
      <w:tr w:rsidR="001D2B91" w14:paraId="7C5364DE" w14:textId="77777777">
        <w:trPr>
          <w:trHeight w:val="300"/>
        </w:trPr>
        <w:tc>
          <w:tcPr>
            <w:tcW w:w="3395" w:type="dxa"/>
            <w:tcBorders>
              <w:top w:val="single" w:color="000000" w:sz="5" w:space="0"/>
              <w:left w:val="single" w:color="000000" w:sz="5" w:space="0"/>
              <w:bottom w:val="single" w:color="000000" w:sz="5" w:space="0"/>
              <w:right w:val="single" w:color="000000" w:sz="5" w:space="0"/>
            </w:tcBorders>
          </w:tcPr>
          <w:p w:rsidR="001D2B91" w:rsidRDefault="00831D44" w14:paraId="7CBF86D6" w14:textId="77777777">
            <w:pPr>
              <w:ind w:left="115"/>
              <w:rPr>
                <w:rFonts w:ascii="Times New Roman" w:hAnsi="Times New Roman" w:eastAsia="Times New Roman" w:cs="Times New Roman"/>
                <w:sz w:val="24"/>
                <w:szCs w:val="24"/>
              </w:rPr>
            </w:pPr>
            <w:r>
              <w:rPr>
                <w:rFonts w:ascii="Times New Roman" w:hAnsi="Times New Roman" w:eastAsia="Times New Roman" w:cs="Times New Roman"/>
                <w:sz w:val="24"/>
                <w:szCs w:val="24"/>
              </w:rPr>
              <w:t>30 catcher/processors in GOA</w:t>
            </w:r>
          </w:p>
        </w:tc>
        <w:tc>
          <w:tcPr>
            <w:tcW w:w="1890" w:type="dxa"/>
            <w:tcBorders>
              <w:top w:val="single" w:color="000000" w:sz="5" w:space="0"/>
              <w:left w:val="single" w:color="000000" w:sz="5" w:space="0"/>
              <w:bottom w:val="single" w:color="000000" w:sz="5" w:space="0"/>
              <w:right w:val="single" w:color="000000" w:sz="5" w:space="0"/>
            </w:tcBorders>
          </w:tcPr>
          <w:p w:rsidR="001D2B91" w:rsidRDefault="00831D44" w14:paraId="5AA4B8D3" w14:textId="77777777">
            <w:pPr>
              <w:ind w:left="115"/>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r>
    </w:tbl>
    <w:p w:rsidR="001D2B91" w:rsidRDefault="001D2B91" w14:paraId="2651A045" w14:textId="77777777">
      <w:pPr>
        <w:spacing w:before="8"/>
        <w:ind w:left="115"/>
        <w:rPr>
          <w:rFonts w:ascii="Times New Roman" w:hAnsi="Times New Roman" w:eastAsia="Times New Roman" w:cs="Times New Roman"/>
          <w:b/>
          <w:sz w:val="16"/>
          <w:szCs w:val="16"/>
        </w:rPr>
      </w:pPr>
    </w:p>
    <w:p w:rsidR="001D2B91" w:rsidRDefault="001D2B91" w14:paraId="247E4837" w14:textId="77777777">
      <w:pPr>
        <w:rPr>
          <w:rFonts w:ascii="Times New Roman" w:hAnsi="Times New Roman" w:eastAsia="Times New Roman" w:cs="Times New Roman"/>
          <w:color w:val="2F5496"/>
          <w:sz w:val="24"/>
          <w:szCs w:val="24"/>
        </w:rPr>
      </w:pPr>
    </w:p>
    <w:p w:rsidR="001D2B91" w:rsidRDefault="00831D44" w14:paraId="1BA534F5" w14:textId="77777777">
      <w:pPr>
        <w:pStyle w:val="Heading1"/>
        <w:numPr>
          <w:ilvl w:val="0"/>
          <w:numId w:val="1"/>
        </w:numPr>
        <w:tabs>
          <w:tab w:val="left" w:pos="360"/>
        </w:tabs>
        <w:ind w:left="0" w:firstLine="0"/>
      </w:pPr>
      <w:r>
        <w:rPr>
          <w:rFonts w:ascii="Times New Roman" w:hAnsi="Times New Roman" w:eastAsia="Times New Roman" w:cs="Times New Roman"/>
        </w:rPr>
        <w:t>Describe the procedures for the collection of information including:</w:t>
      </w:r>
    </w:p>
    <w:p w:rsidR="001D2B91" w:rsidRDefault="00831D44" w14:paraId="2BED5FB7"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Statistical methodology for stratification and sample selection,</w:t>
      </w:r>
    </w:p>
    <w:p w:rsidR="001D2B91" w:rsidRDefault="00831D44" w14:paraId="4C7DB89C"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Estimation procedure,</w:t>
      </w:r>
    </w:p>
    <w:p w:rsidR="001D2B91" w:rsidRDefault="00831D44" w14:paraId="0E201D4E"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Degree of accuracy needed for the purpose described in the justification,</w:t>
      </w:r>
    </w:p>
    <w:p w:rsidR="001D2B91" w:rsidRDefault="00831D44" w14:paraId="0110EAA5"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Unusual problems requiring specialized sampling procedures, and</w:t>
      </w:r>
    </w:p>
    <w:p w:rsidR="001D2B91" w:rsidRDefault="00831D44" w14:paraId="01065CFD" w14:textId="77777777">
      <w:pPr>
        <w:numPr>
          <w:ilvl w:val="1"/>
          <w:numId w:val="1"/>
        </w:numPr>
        <w:pBdr>
          <w:top w:val="nil"/>
          <w:left w:val="nil"/>
          <w:bottom w:val="nil"/>
          <w:right w:val="nil"/>
          <w:between w:val="nil"/>
        </w:pBdr>
        <w:tabs>
          <w:tab w:val="left" w:pos="720"/>
        </w:tabs>
        <w:spacing w:before="120"/>
        <w:ind w:left="360" w:firstLine="0"/>
      </w:pPr>
      <w:r>
        <w:rPr>
          <w:rFonts w:ascii="Times New Roman" w:hAnsi="Times New Roman" w:eastAsia="Times New Roman" w:cs="Times New Roman"/>
          <w:color w:val="000000"/>
          <w:sz w:val="24"/>
          <w:szCs w:val="24"/>
        </w:rPr>
        <w:t>Any use of periodic (less frequent than annual) data collection cycles to reduce burden.</w:t>
      </w:r>
    </w:p>
    <w:p w:rsidR="001D2B91" w:rsidRDefault="001D2B91" w14:paraId="6C2A0D5B" w14:textId="77777777">
      <w:pPr>
        <w:pBdr>
          <w:top w:val="nil"/>
          <w:left w:val="nil"/>
          <w:bottom w:val="nil"/>
          <w:right w:val="nil"/>
          <w:between w:val="nil"/>
        </w:pBdr>
        <w:rPr>
          <w:rFonts w:ascii="Times New Roman" w:hAnsi="Times New Roman" w:eastAsia="Times New Roman" w:cs="Times New Roman"/>
          <w:color w:val="2F5496"/>
          <w:sz w:val="24"/>
          <w:szCs w:val="24"/>
        </w:rPr>
      </w:pPr>
    </w:p>
    <w:p w:rsidR="001D2B91" w:rsidRDefault="00831D44" w14:paraId="244F514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ICR uses an annual census of all 30 catcher/processors, as any other sampling methodology would produce too few observations to estimate representative levels of cost, earnings, and other outputs required for this collection. As the EDR is a mandatory collection, and valuable fishing privileges </w:t>
      </w:r>
      <w:proofErr w:type="gramStart"/>
      <w:r>
        <w:rPr>
          <w:rFonts w:ascii="Times New Roman" w:hAnsi="Times New Roman" w:eastAsia="Times New Roman" w:cs="Times New Roman"/>
          <w:sz w:val="24"/>
          <w:szCs w:val="24"/>
        </w:rPr>
        <w:t>will be withheld</w:t>
      </w:r>
      <w:proofErr w:type="gramEnd"/>
      <w:r>
        <w:rPr>
          <w:rFonts w:ascii="Times New Roman" w:hAnsi="Times New Roman" w:eastAsia="Times New Roman" w:cs="Times New Roman"/>
          <w:sz w:val="24"/>
          <w:szCs w:val="24"/>
        </w:rPr>
        <w:t xml:space="preserve"> if an EDR is not submitted, we anticipate a 100 percent response rate from QS holders. QS </w:t>
      </w:r>
      <w:proofErr w:type="gramStart"/>
      <w:r>
        <w:rPr>
          <w:rFonts w:ascii="Times New Roman" w:hAnsi="Times New Roman" w:eastAsia="Times New Roman" w:cs="Times New Roman"/>
          <w:sz w:val="24"/>
          <w:szCs w:val="24"/>
        </w:rPr>
        <w:t>and</w:t>
      </w:r>
      <w:proofErr w:type="gramEnd"/>
      <w:r>
        <w:rPr>
          <w:rFonts w:ascii="Times New Roman" w:hAnsi="Times New Roman" w:eastAsia="Times New Roman" w:cs="Times New Roman"/>
          <w:sz w:val="24"/>
          <w:szCs w:val="24"/>
        </w:rPr>
        <w:t xml:space="preserve"> LLP licenses that designate participation in the GOA trawl fisheries are issued to entities, rather than vessels, and specific provisions require that each participant is responsible for including data from any acquired vessel in this sector.</w:t>
      </w:r>
    </w:p>
    <w:p w:rsidR="001D2B91" w:rsidRDefault="001D2B91" w14:paraId="11EE13FF" w14:textId="77777777">
      <w:pPr>
        <w:rPr>
          <w:rFonts w:ascii="Times New Roman" w:hAnsi="Times New Roman" w:eastAsia="Times New Roman" w:cs="Times New Roman"/>
          <w:sz w:val="24"/>
          <w:szCs w:val="24"/>
        </w:rPr>
      </w:pPr>
    </w:p>
    <w:p w:rsidR="001D2B91" w:rsidRDefault="00831D44" w14:paraId="7581D32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2018, a discussion paper reviewing the EDR Program information collections was prepared to inform the North Pacific Fisheries Management Council in its process </w:t>
      </w:r>
      <w:proofErr w:type="gramStart"/>
      <w:r>
        <w:rPr>
          <w:rFonts w:ascii="Times New Roman" w:hAnsi="Times New Roman" w:eastAsia="Times New Roman" w:cs="Times New Roman"/>
          <w:sz w:val="24"/>
          <w:szCs w:val="24"/>
        </w:rPr>
        <w:t>to potentially revise</w:t>
      </w:r>
      <w:proofErr w:type="gramEnd"/>
      <w:r>
        <w:rPr>
          <w:rFonts w:ascii="Times New Roman" w:hAnsi="Times New Roman" w:eastAsia="Times New Roman" w:cs="Times New Roman"/>
          <w:sz w:val="24"/>
          <w:szCs w:val="24"/>
        </w:rPr>
        <w:t xml:space="preserve"> the collections. The Council is presently reviewing the program with its Social Sciences Planning Team assigned the task. The discussion paper contains an extensive history of the development of the EDR Program as well as a </w:t>
      </w:r>
      <w:r>
        <w:rPr>
          <w:rFonts w:ascii="Times New Roman" w:hAnsi="Times New Roman" w:eastAsia="Times New Roman" w:cs="Times New Roman"/>
          <w:sz w:val="24"/>
          <w:szCs w:val="24"/>
        </w:rPr>
        <w:lastRenderedPageBreak/>
        <w:t xml:space="preserve">literature review regarding data collection methods and data quality. That document </w:t>
      </w:r>
      <w:proofErr w:type="gramStart"/>
      <w:r>
        <w:rPr>
          <w:rFonts w:ascii="Times New Roman" w:hAnsi="Times New Roman" w:eastAsia="Times New Roman" w:cs="Times New Roman"/>
          <w:sz w:val="24"/>
          <w:szCs w:val="24"/>
        </w:rPr>
        <w:t>is incorporated</w:t>
      </w:r>
      <w:proofErr w:type="gramEnd"/>
      <w:r>
        <w:rPr>
          <w:rFonts w:ascii="Times New Roman" w:hAnsi="Times New Roman" w:eastAsia="Times New Roman" w:cs="Times New Roman"/>
          <w:sz w:val="24"/>
          <w:szCs w:val="24"/>
        </w:rPr>
        <w:t xml:space="preserve"> by reference here. </w:t>
      </w:r>
      <w:r w:rsidRPr="007633CF">
        <w:rPr>
          <w:rFonts w:ascii="Times New Roman" w:hAnsi="Times New Roman" w:eastAsia="Times New Roman" w:cs="Times New Roman"/>
          <w:sz w:val="24"/>
          <w:szCs w:val="24"/>
        </w:rPr>
        <w:t>(</w:t>
      </w:r>
      <w:hyperlink r:id="rId7">
        <w:r w:rsidRPr="007633CF">
          <w:rPr>
            <w:rFonts w:ascii="Times New Roman" w:hAnsi="Times New Roman" w:cs="Times New Roman"/>
            <w:color w:val="0563C1"/>
            <w:sz w:val="24"/>
            <w:szCs w:val="24"/>
            <w:u w:val="single"/>
          </w:rPr>
          <w:t>https://meetings.npfmc.org/CommentReview/DownloadFile?p=1f542e61-0dfc-465e-92eb-f7f00ab70edc.pdf&amp;fileName=D5%20EDR%20Discussion%20Paper.pdf</w:t>
        </w:r>
      </w:hyperlink>
      <w:r w:rsidRPr="007633CF">
        <w:rPr>
          <w:rFonts w:ascii="Times New Roman" w:hAnsi="Times New Roman" w:cs="Times New Roman"/>
          <w:sz w:val="24"/>
          <w:szCs w:val="24"/>
        </w:rPr>
        <w:t>)</w:t>
      </w:r>
    </w:p>
    <w:p w:rsidR="001D2B91" w:rsidRDefault="00831D44" w14:paraId="108DB3B8" w14:textId="77777777">
      <w:pPr>
        <w:pBdr>
          <w:top w:val="nil"/>
          <w:left w:val="nil"/>
          <w:bottom w:val="nil"/>
          <w:right w:val="nil"/>
          <w:between w:val="nil"/>
        </w:pBdr>
        <w:spacing w:before="22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Given that a maximum of 30 catcher/processors will be participating in this fishery, it is not feasible to generate enough observations on any one of the variables without applying this collection annually. </w:t>
      </w:r>
      <w:proofErr w:type="gramStart"/>
      <w:r>
        <w:rPr>
          <w:rFonts w:ascii="Times New Roman" w:hAnsi="Times New Roman" w:eastAsia="Times New Roman" w:cs="Times New Roman"/>
          <w:color w:val="000000"/>
          <w:sz w:val="24"/>
          <w:szCs w:val="24"/>
        </w:rPr>
        <w:t>And</w:t>
      </w:r>
      <w:proofErr w:type="gramEnd"/>
      <w:r>
        <w:rPr>
          <w:rFonts w:ascii="Times New Roman" w:hAnsi="Times New Roman" w:eastAsia="Times New Roman" w:cs="Times New Roman"/>
          <w:color w:val="000000"/>
          <w:sz w:val="24"/>
          <w:szCs w:val="24"/>
        </w:rPr>
        <w:t xml:space="preserve">, random sampling from this population is not a viable option for statistical reasons. Based upon the degrees of freedom and number of observations required for estimating the statistical relationship among the variables in this collection, data in the Annual Trawl Catcher/Processor EDR </w:t>
      </w:r>
      <w:proofErr w:type="gramStart"/>
      <w:r>
        <w:rPr>
          <w:rFonts w:ascii="Times New Roman" w:hAnsi="Times New Roman" w:eastAsia="Times New Roman" w:cs="Times New Roman"/>
          <w:color w:val="000000"/>
          <w:sz w:val="24"/>
          <w:szCs w:val="24"/>
        </w:rPr>
        <w:t>may be pooled</w:t>
      </w:r>
      <w:proofErr w:type="gramEnd"/>
      <w:r>
        <w:rPr>
          <w:rFonts w:ascii="Times New Roman" w:hAnsi="Times New Roman" w:eastAsia="Times New Roman" w:cs="Times New Roman"/>
          <w:color w:val="000000"/>
          <w:sz w:val="24"/>
          <w:szCs w:val="24"/>
        </w:rPr>
        <w:t xml:space="preserve"> to create a time-series of cross-sectional data in order to generate sufficient observations for economic and statistical analysis. Although the strata to </w:t>
      </w:r>
      <w:proofErr w:type="gramStart"/>
      <w:r>
        <w:rPr>
          <w:rFonts w:ascii="Times New Roman" w:hAnsi="Times New Roman" w:eastAsia="Times New Roman" w:cs="Times New Roman"/>
          <w:color w:val="000000"/>
          <w:sz w:val="24"/>
          <w:szCs w:val="24"/>
        </w:rPr>
        <w:t>be used</w:t>
      </w:r>
      <w:proofErr w:type="gramEnd"/>
      <w:r>
        <w:rPr>
          <w:rFonts w:ascii="Times New Roman" w:hAnsi="Times New Roman" w:eastAsia="Times New Roman" w:cs="Times New Roman"/>
          <w:color w:val="000000"/>
          <w:sz w:val="24"/>
          <w:szCs w:val="24"/>
        </w:rPr>
        <w:t xml:space="preserve"> in preparing analyses (either deterministic or statistical) of management actions for this fleet will depend on the specific questions of interest, vessels are commonly stratified by vessel length and the distribution and amount of catch by species.</w:t>
      </w:r>
    </w:p>
    <w:p w:rsidR="001D2B91" w:rsidRDefault="001D2B91" w14:paraId="273450C5" w14:textId="77777777">
      <w:pPr>
        <w:pBdr>
          <w:top w:val="nil"/>
          <w:left w:val="nil"/>
          <w:bottom w:val="nil"/>
          <w:right w:val="nil"/>
          <w:between w:val="nil"/>
        </w:pBdr>
        <w:rPr>
          <w:rFonts w:ascii="Times New Roman" w:hAnsi="Times New Roman" w:eastAsia="Times New Roman" w:cs="Times New Roman"/>
          <w:color w:val="000000"/>
          <w:sz w:val="24"/>
          <w:szCs w:val="24"/>
        </w:rPr>
      </w:pPr>
    </w:p>
    <w:p w:rsidR="001D2B91" w:rsidRDefault="00831D44" w14:paraId="1D0B4E84" w14:textId="77777777">
      <w:pPr>
        <w:pStyle w:val="Heading1"/>
        <w:numPr>
          <w:ilvl w:val="0"/>
          <w:numId w:val="1"/>
        </w:numPr>
        <w:tabs>
          <w:tab w:val="left" w:pos="360"/>
        </w:tabs>
        <w:spacing w:before="159"/>
        <w:ind w:left="0" w:firstLine="0"/>
      </w:pPr>
      <w:r>
        <w:rPr>
          <w:rFonts w:ascii="Times New Roman" w:hAnsi="Times New Roman" w:eastAsia="Times New Roman" w:cs="Times New Roman"/>
        </w:rPr>
        <w:t xml:space="preserve">Describe methods to maximize response rates and to deal with issues of non-response. The accuracy and reliability of information collected </w:t>
      </w:r>
      <w:proofErr w:type="gramStart"/>
      <w:r>
        <w:rPr>
          <w:rFonts w:ascii="Times New Roman" w:hAnsi="Times New Roman" w:eastAsia="Times New Roman" w:cs="Times New Roman"/>
        </w:rPr>
        <w:t>must be shown</w:t>
      </w:r>
      <w:proofErr w:type="gramEnd"/>
      <w:r>
        <w:rPr>
          <w:rFonts w:ascii="Times New Roman" w:hAnsi="Times New Roman" w:eastAsia="Times New Roman" w:cs="Times New Roman"/>
        </w:rPr>
        <w:t xml:space="preserve"> to be adequate for intended uses. For collections based on sampling, a special justification </w:t>
      </w:r>
      <w:proofErr w:type="gramStart"/>
      <w:r>
        <w:rPr>
          <w:rFonts w:ascii="Times New Roman" w:hAnsi="Times New Roman" w:eastAsia="Times New Roman" w:cs="Times New Roman"/>
        </w:rPr>
        <w:t>must be provided</w:t>
      </w:r>
      <w:proofErr w:type="gramEnd"/>
      <w:r>
        <w:rPr>
          <w:rFonts w:ascii="Times New Roman" w:hAnsi="Times New Roman" w:eastAsia="Times New Roman" w:cs="Times New Roman"/>
        </w:rPr>
        <w:t xml:space="preserve"> for any collection that will not yield "reliable" data that can be generalized to the universe studied.</w:t>
      </w:r>
    </w:p>
    <w:p w:rsidR="001D2B91" w:rsidRDefault="001D2B91" w14:paraId="55CFD33A" w14:textId="77777777">
      <w:pPr>
        <w:pBdr>
          <w:top w:val="nil"/>
          <w:left w:val="nil"/>
          <w:bottom w:val="nil"/>
          <w:right w:val="nil"/>
          <w:between w:val="nil"/>
        </w:pBdr>
        <w:rPr>
          <w:rFonts w:ascii="Times New Roman" w:hAnsi="Times New Roman" w:eastAsia="Times New Roman" w:cs="Times New Roman"/>
          <w:color w:val="2F5496"/>
          <w:sz w:val="24"/>
          <w:szCs w:val="24"/>
        </w:rPr>
      </w:pPr>
    </w:p>
    <w:p w:rsidR="001D2B91" w:rsidRDefault="00831D44" w14:paraId="20E73788" w14:textId="52FCE349">
      <w:pPr>
        <w:rPr>
          <w:rFonts w:ascii="Times New Roman" w:hAnsi="Times New Roman" w:eastAsia="Times New Roman" w:cs="Times New Roman"/>
          <w:sz w:val="24"/>
          <w:szCs w:val="24"/>
        </w:rPr>
      </w:pPr>
      <w:bookmarkStart w:name="_30j0zll" w:colFirst="0" w:colLast="0" w:id="2"/>
      <w:bookmarkEnd w:id="2"/>
      <w:r>
        <w:rPr>
          <w:rFonts w:ascii="Times New Roman" w:hAnsi="Times New Roman" w:eastAsia="Times New Roman" w:cs="Times New Roman"/>
          <w:sz w:val="24"/>
          <w:szCs w:val="24"/>
        </w:rPr>
        <w:t xml:space="preserve">Each of the owners and leaseholders in the catcher/processor sector is required </w:t>
      </w:r>
      <w:proofErr w:type="gramStart"/>
      <w:r>
        <w:rPr>
          <w:rFonts w:ascii="Times New Roman" w:hAnsi="Times New Roman" w:eastAsia="Times New Roman" w:cs="Times New Roman"/>
          <w:sz w:val="24"/>
          <w:szCs w:val="24"/>
        </w:rPr>
        <w:t>to annually submit</w:t>
      </w:r>
      <w:proofErr w:type="gramEnd"/>
      <w:r>
        <w:rPr>
          <w:rFonts w:ascii="Times New Roman" w:hAnsi="Times New Roman" w:eastAsia="Times New Roman" w:cs="Times New Roman"/>
          <w:sz w:val="24"/>
          <w:szCs w:val="24"/>
        </w:rPr>
        <w:t xml:space="preserve"> the EDR. Therefore, the response to mandatory data requirements should be very high. Those individuals who do not submit their EDR by the submission date will receive a follow-up phone call from Pacific States. If a solution </w:t>
      </w:r>
      <w:proofErr w:type="gramStart"/>
      <w:r>
        <w:rPr>
          <w:rFonts w:ascii="Times New Roman" w:hAnsi="Times New Roman" w:eastAsia="Times New Roman" w:cs="Times New Roman"/>
          <w:sz w:val="24"/>
          <w:szCs w:val="24"/>
        </w:rPr>
        <w:t>cannot be reached</w:t>
      </w:r>
      <w:proofErr w:type="gramEnd"/>
      <w:r>
        <w:rPr>
          <w:rFonts w:ascii="Times New Roman" w:hAnsi="Times New Roman" w:eastAsia="Times New Roman" w:cs="Times New Roman"/>
          <w:sz w:val="24"/>
          <w:szCs w:val="24"/>
        </w:rPr>
        <w:t xml:space="preserve"> at that point, their information will be referred to the NOAA Office of Law Enforcement. Therefore, we</w:t>
      </w:r>
      <w:r w:rsidR="007633CF">
        <w:rPr>
          <w:rFonts w:ascii="Times New Roman" w:hAnsi="Times New Roman" w:eastAsia="Times New Roman" w:cs="Times New Roman"/>
          <w:sz w:val="24"/>
          <w:szCs w:val="24"/>
        </w:rPr>
        <w:t xml:space="preserve"> anticipate a response rate of </w:t>
      </w:r>
      <w:r>
        <w:rPr>
          <w:rFonts w:ascii="Times New Roman" w:hAnsi="Times New Roman" w:eastAsia="Times New Roman" w:cs="Times New Roman"/>
          <w:sz w:val="24"/>
          <w:szCs w:val="24"/>
        </w:rPr>
        <w:t>100 percent.</w:t>
      </w:r>
    </w:p>
    <w:p w:rsidR="001D2B91" w:rsidRDefault="001D2B91" w14:paraId="614A1F9D" w14:textId="77777777">
      <w:pPr>
        <w:rPr>
          <w:rFonts w:ascii="Times New Roman" w:hAnsi="Times New Roman" w:eastAsia="Times New Roman" w:cs="Times New Roman"/>
          <w:sz w:val="24"/>
          <w:szCs w:val="24"/>
        </w:rPr>
      </w:pPr>
    </w:p>
    <w:p w:rsidR="001D2B91" w:rsidRDefault="00831D44" w14:paraId="73ABC79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Enforcement of the GOA Trawl EDR Program with regard to non-compliance has been different from enforcement programs used to ensure that accurate landings </w:t>
      </w:r>
      <w:proofErr w:type="gramStart"/>
      <w:r>
        <w:rPr>
          <w:rFonts w:ascii="Times New Roman" w:hAnsi="Times New Roman" w:eastAsia="Times New Roman" w:cs="Times New Roman"/>
          <w:sz w:val="24"/>
          <w:szCs w:val="24"/>
        </w:rPr>
        <w:t>are reported</w:t>
      </w:r>
      <w:proofErr w:type="gramEnd"/>
      <w:r>
        <w:rPr>
          <w:rFonts w:ascii="Times New Roman" w:hAnsi="Times New Roman" w:eastAsia="Times New Roman" w:cs="Times New Roman"/>
          <w:sz w:val="24"/>
          <w:szCs w:val="24"/>
        </w:rPr>
        <w:t xml:space="preserve">. The economic data </w:t>
      </w:r>
      <w:proofErr w:type="gramStart"/>
      <w:r>
        <w:rPr>
          <w:rFonts w:ascii="Times New Roman" w:hAnsi="Times New Roman" w:eastAsia="Times New Roman" w:cs="Times New Roman"/>
          <w:sz w:val="24"/>
          <w:szCs w:val="24"/>
        </w:rPr>
        <w:t>are not being used</w:t>
      </w:r>
      <w:proofErr w:type="gramEnd"/>
      <w:r>
        <w:rPr>
          <w:rFonts w:ascii="Times New Roman" w:hAnsi="Times New Roman" w:eastAsia="Times New Roman" w:cs="Times New Roman"/>
          <w:sz w:val="24"/>
          <w:szCs w:val="24"/>
        </w:rPr>
        <w:t xml:space="preserve"> for in-season management; persons submitting the data are given an opportunity to correct omissions and errors before any enforcement action is taken.</w:t>
      </w:r>
    </w:p>
    <w:p w:rsidR="001D2B91" w:rsidRDefault="001D2B91" w14:paraId="2015BC5C" w14:textId="77777777">
      <w:pPr>
        <w:rPr>
          <w:rFonts w:ascii="Times New Roman" w:hAnsi="Times New Roman" w:eastAsia="Times New Roman" w:cs="Times New Roman"/>
          <w:sz w:val="24"/>
          <w:szCs w:val="24"/>
        </w:rPr>
      </w:pPr>
    </w:p>
    <w:p w:rsidR="001D2B91" w:rsidP="007633CF" w:rsidRDefault="00831D44" w14:paraId="7CE7E5AB"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Giving the person submitting data a chance to correct problems is important because of the complexities associated with generating these data. Only if the agency and the person submitting the data cannot reach a solution </w:t>
      </w:r>
      <w:proofErr w:type="gramStart"/>
      <w:r>
        <w:rPr>
          <w:rFonts w:ascii="Times New Roman" w:hAnsi="Times New Roman" w:eastAsia="Times New Roman" w:cs="Times New Roman"/>
          <w:sz w:val="24"/>
          <w:szCs w:val="24"/>
        </w:rPr>
        <w:t>will the enforcement agency be contacted</w:t>
      </w:r>
      <w:proofErr w:type="gramEnd"/>
      <w:r>
        <w:rPr>
          <w:rFonts w:ascii="Times New Roman" w:hAnsi="Times New Roman" w:eastAsia="Times New Roman" w:cs="Times New Roman"/>
          <w:sz w:val="24"/>
          <w:szCs w:val="24"/>
        </w:rPr>
        <w:t xml:space="preserve">. The intent of this program is to ensure that accurate data </w:t>
      </w:r>
      <w:proofErr w:type="gramStart"/>
      <w:r>
        <w:rPr>
          <w:rFonts w:ascii="Times New Roman" w:hAnsi="Times New Roman" w:eastAsia="Times New Roman" w:cs="Times New Roman"/>
          <w:sz w:val="24"/>
          <w:szCs w:val="24"/>
        </w:rPr>
        <w:t>are collected</w:t>
      </w:r>
      <w:proofErr w:type="gramEnd"/>
      <w:r>
        <w:rPr>
          <w:rFonts w:ascii="Times New Roman" w:hAnsi="Times New Roman" w:eastAsia="Times New Roman" w:cs="Times New Roman"/>
          <w:sz w:val="24"/>
          <w:szCs w:val="24"/>
        </w:rPr>
        <w:t xml:space="preserve"> without being overly burdensome on industry for unintended errors.</w:t>
      </w:r>
    </w:p>
    <w:p w:rsidR="001D2B91" w:rsidRDefault="001D2B91" w14:paraId="6762BF90" w14:textId="77777777">
      <w:pPr>
        <w:rPr>
          <w:rFonts w:ascii="Times New Roman" w:hAnsi="Times New Roman" w:eastAsia="Times New Roman" w:cs="Times New Roman"/>
          <w:sz w:val="24"/>
          <w:szCs w:val="24"/>
        </w:rPr>
      </w:pPr>
    </w:p>
    <w:p w:rsidR="001D2B91" w:rsidRDefault="00831D44" w14:paraId="525BEDA0" w14:textId="77777777">
      <w:pPr>
        <w:pStyle w:val="Heading1"/>
        <w:numPr>
          <w:ilvl w:val="0"/>
          <w:numId w:val="1"/>
        </w:numPr>
        <w:tabs>
          <w:tab w:val="left" w:pos="360"/>
        </w:tabs>
        <w:spacing w:before="183"/>
        <w:ind w:left="0" w:firstLine="0"/>
      </w:pPr>
      <w:r>
        <w:rPr>
          <w:rFonts w:ascii="Times New Roman" w:hAnsi="Times New Roman" w:eastAsia="Times New Roman" w:cs="Times New Roman"/>
        </w:rPr>
        <w:t xml:space="preserve">Describe any tests of procedures or methods to be undertaken. Testing is encouraged as an effective means of refining collections of information to minimize burden and improve utility. Tests </w:t>
      </w:r>
      <w:proofErr w:type="gramStart"/>
      <w:r>
        <w:rPr>
          <w:rFonts w:ascii="Times New Roman" w:hAnsi="Times New Roman" w:eastAsia="Times New Roman" w:cs="Times New Roman"/>
        </w:rPr>
        <w:t>must be approved</w:t>
      </w:r>
      <w:proofErr w:type="gramEnd"/>
      <w:r>
        <w:rPr>
          <w:rFonts w:ascii="Times New Roman" w:hAnsi="Times New Roman" w:eastAsia="Times New Roman" w:cs="Times New Roman"/>
        </w:rPr>
        <w:t xml:space="preserve"> if they call for answers to identical questions from 10 or more respondents. A proposed test or set of tests </w:t>
      </w:r>
      <w:proofErr w:type="gramStart"/>
      <w:r>
        <w:rPr>
          <w:rFonts w:ascii="Times New Roman" w:hAnsi="Times New Roman" w:eastAsia="Times New Roman" w:cs="Times New Roman"/>
        </w:rPr>
        <w:t>may be submitted</w:t>
      </w:r>
      <w:proofErr w:type="gramEnd"/>
      <w:r>
        <w:rPr>
          <w:rFonts w:ascii="Times New Roman" w:hAnsi="Times New Roman" w:eastAsia="Times New Roman" w:cs="Times New Roman"/>
        </w:rPr>
        <w:t xml:space="preserve"> for approval separately or in combination with the main collection of information.</w:t>
      </w:r>
    </w:p>
    <w:p w:rsidR="001D2B91" w:rsidRDefault="001D2B91" w14:paraId="2BB7E5B3" w14:textId="77777777">
      <w:pPr>
        <w:pBdr>
          <w:top w:val="nil"/>
          <w:left w:val="nil"/>
          <w:bottom w:val="nil"/>
          <w:right w:val="nil"/>
          <w:between w:val="nil"/>
        </w:pBdr>
        <w:rPr>
          <w:rFonts w:ascii="Times New Roman" w:hAnsi="Times New Roman" w:eastAsia="Times New Roman" w:cs="Times New Roman"/>
          <w:color w:val="2F5496"/>
          <w:sz w:val="24"/>
          <w:szCs w:val="24"/>
        </w:rPr>
      </w:pPr>
    </w:p>
    <w:p w:rsidR="001D2B91" w:rsidRDefault="00831D44" w14:paraId="48F3BDF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Since the GOA Trawl EDR Program has been in place, informal testing has taken place by meeting with EDR submitters to discuss ways in which the forms used to request information </w:t>
      </w:r>
      <w:proofErr w:type="gramStart"/>
      <w:r>
        <w:rPr>
          <w:rFonts w:ascii="Times New Roman" w:hAnsi="Times New Roman" w:eastAsia="Times New Roman" w:cs="Times New Roman"/>
          <w:sz w:val="24"/>
          <w:szCs w:val="24"/>
        </w:rPr>
        <w:t>could be improved</w:t>
      </w:r>
      <w:proofErr w:type="gramEnd"/>
      <w:r>
        <w:rPr>
          <w:rFonts w:ascii="Times New Roman" w:hAnsi="Times New Roman" w:eastAsia="Times New Roman" w:cs="Times New Roman"/>
          <w:sz w:val="24"/>
          <w:szCs w:val="24"/>
        </w:rPr>
        <w:t xml:space="preserve">. The accountants that perform the data quality audits, as well as Pacific States (who administer the data collection), also document ways in which the EDRs </w:t>
      </w:r>
      <w:proofErr w:type="gramStart"/>
      <w:r>
        <w:rPr>
          <w:rFonts w:ascii="Times New Roman" w:hAnsi="Times New Roman" w:eastAsia="Times New Roman" w:cs="Times New Roman"/>
          <w:sz w:val="24"/>
          <w:szCs w:val="24"/>
        </w:rPr>
        <w:t>could be clarified</w:t>
      </w:r>
      <w:proofErr w:type="gramEnd"/>
      <w:r>
        <w:rPr>
          <w:rFonts w:ascii="Times New Roman" w:hAnsi="Times New Roman" w:eastAsia="Times New Roman" w:cs="Times New Roman"/>
          <w:sz w:val="24"/>
          <w:szCs w:val="24"/>
        </w:rPr>
        <w:t>, and this information is used to clarify instructions and variable definitions for this EDR.  In addition, the Council’s Social Sciences Planning Team is presently reviewing all EDR collections to advise the Council on potential EDR revisions.</w:t>
      </w:r>
    </w:p>
    <w:p w:rsidR="001D2B91" w:rsidRDefault="001D2B91" w14:paraId="49CAD66A" w14:textId="77777777">
      <w:pPr>
        <w:rPr>
          <w:rFonts w:ascii="Times New Roman" w:hAnsi="Times New Roman" w:eastAsia="Times New Roman" w:cs="Times New Roman"/>
          <w:sz w:val="24"/>
          <w:szCs w:val="24"/>
        </w:rPr>
      </w:pPr>
    </w:p>
    <w:p w:rsidR="001D2B91" w:rsidRDefault="00831D44" w14:paraId="059070C3" w14:textId="77777777">
      <w:pPr>
        <w:pStyle w:val="Heading1"/>
        <w:numPr>
          <w:ilvl w:val="0"/>
          <w:numId w:val="1"/>
        </w:numPr>
        <w:tabs>
          <w:tab w:val="left" w:pos="360"/>
        </w:tabs>
        <w:spacing w:before="183"/>
        <w:ind w:left="0" w:firstLine="0"/>
      </w:pPr>
      <w:r>
        <w:rPr>
          <w:rFonts w:ascii="Times New Roman" w:hAnsi="Times New Roman" w:eastAsia="Times New Roman" w:cs="Times New Roman"/>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rsidR="001D2B91" w:rsidRDefault="001D2B91" w14:paraId="11428A90" w14:textId="77777777"/>
    <w:p w:rsidR="001D2B91" w:rsidRDefault="00831D44" w14:paraId="40CA5FC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Gabrielle </w:t>
      </w:r>
      <w:proofErr w:type="spellStart"/>
      <w:r>
        <w:rPr>
          <w:rFonts w:ascii="Times New Roman" w:hAnsi="Times New Roman" w:eastAsia="Times New Roman" w:cs="Times New Roman"/>
          <w:sz w:val="24"/>
          <w:szCs w:val="24"/>
        </w:rPr>
        <w:t>Aberle</w:t>
      </w:r>
      <w:proofErr w:type="spellEnd"/>
      <w:r>
        <w:rPr>
          <w:rFonts w:ascii="Times New Roman" w:hAnsi="Times New Roman" w:eastAsia="Times New Roman" w:cs="Times New Roman"/>
          <w:sz w:val="24"/>
          <w:szCs w:val="24"/>
        </w:rPr>
        <w:t xml:space="preserve"> [PRA package review]</w:t>
      </w:r>
    </w:p>
    <w:p w:rsidR="001D2B91" w:rsidRDefault="00831D44" w14:paraId="2EC80D6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Sustainable Fisheries PRA Coordinator</w:t>
      </w:r>
    </w:p>
    <w:p w:rsidR="001D2B91" w:rsidRDefault="00831D44" w14:paraId="4BB6512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Region</w:t>
      </w:r>
    </w:p>
    <w:p w:rsidR="001D2B91" w:rsidRDefault="00831D44" w14:paraId="2C53216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 (907) 586-7356</w:t>
      </w:r>
    </w:p>
    <w:p w:rsidR="001D2B91" w:rsidRDefault="00831D44" w14:paraId="0C34372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Email Address: gabrielle.aberle@noaa.gov</w:t>
      </w:r>
    </w:p>
    <w:p w:rsidR="001D2B91" w:rsidRDefault="001D2B91" w14:paraId="4A35378D" w14:textId="77777777">
      <w:pPr>
        <w:rPr>
          <w:rFonts w:ascii="Times New Roman" w:hAnsi="Times New Roman" w:eastAsia="Times New Roman" w:cs="Times New Roman"/>
          <w:sz w:val="24"/>
          <w:szCs w:val="24"/>
        </w:rPr>
      </w:pPr>
    </w:p>
    <w:p w:rsidR="001D2B91" w:rsidRDefault="00831D44" w14:paraId="76A0E84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Brian Garber-</w:t>
      </w:r>
      <w:proofErr w:type="spellStart"/>
      <w:r>
        <w:rPr>
          <w:rFonts w:ascii="Times New Roman" w:hAnsi="Times New Roman" w:eastAsia="Times New Roman" w:cs="Times New Roman"/>
          <w:sz w:val="24"/>
          <w:szCs w:val="24"/>
        </w:rPr>
        <w:t>Yonts</w:t>
      </w:r>
      <w:proofErr w:type="spellEnd"/>
      <w:r>
        <w:rPr>
          <w:rFonts w:ascii="Times New Roman" w:hAnsi="Times New Roman" w:eastAsia="Times New Roman" w:cs="Times New Roman"/>
          <w:sz w:val="24"/>
          <w:szCs w:val="24"/>
        </w:rPr>
        <w:t xml:space="preserve">, Ph.D. [statistical design and analysis of data] </w:t>
      </w:r>
    </w:p>
    <w:p w:rsidR="001D2B91" w:rsidRDefault="00831D44" w14:paraId="15FBAD4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Economist</w:t>
      </w:r>
    </w:p>
    <w:p w:rsidR="001D2B91" w:rsidRDefault="00831D44" w14:paraId="733373B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Fisheries Science Center PH: (206) 526-6301</w:t>
      </w:r>
    </w:p>
    <w:p w:rsidR="001D2B91" w:rsidRDefault="00831D44" w14:paraId="17EAA45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Address: </w:t>
      </w:r>
      <w:hyperlink r:id="rId8">
        <w:r>
          <w:rPr>
            <w:rFonts w:ascii="Times New Roman" w:hAnsi="Times New Roman" w:eastAsia="Times New Roman" w:cs="Times New Roman"/>
            <w:color w:val="0000FF"/>
            <w:sz w:val="24"/>
            <w:szCs w:val="24"/>
            <w:u w:val="single"/>
          </w:rPr>
          <w:t>Brian.Garber-yonts@noaa.gov</w:t>
        </w:r>
      </w:hyperlink>
    </w:p>
    <w:p w:rsidR="001D2B91" w:rsidRDefault="001D2B91" w14:paraId="1FAFA9CC" w14:textId="77777777">
      <w:pPr>
        <w:spacing w:before="11"/>
        <w:rPr>
          <w:rFonts w:ascii="Times New Roman" w:hAnsi="Times New Roman" w:eastAsia="Times New Roman" w:cs="Times New Roman"/>
          <w:sz w:val="24"/>
          <w:szCs w:val="24"/>
        </w:rPr>
      </w:pPr>
    </w:p>
    <w:p w:rsidR="001D2B91" w:rsidRDefault="00831D44" w14:paraId="3111CB2E" w14:textId="77777777">
      <w:pPr>
        <w:spacing w:before="11"/>
        <w:rPr>
          <w:rFonts w:ascii="Times New Roman" w:hAnsi="Times New Roman" w:eastAsia="Times New Roman" w:cs="Times New Roman"/>
          <w:sz w:val="24"/>
          <w:szCs w:val="24"/>
        </w:rPr>
      </w:pPr>
      <w:r>
        <w:rPr>
          <w:rFonts w:ascii="Times New Roman" w:hAnsi="Times New Roman" w:eastAsia="Times New Roman" w:cs="Times New Roman"/>
          <w:sz w:val="24"/>
          <w:szCs w:val="24"/>
        </w:rPr>
        <w:t>Scott A. Miller. [Lead EDR regulatory analyst)</w:t>
      </w:r>
    </w:p>
    <w:p w:rsidR="001D2B91" w:rsidRDefault="00831D44" w14:paraId="12AC75E9" w14:textId="77777777">
      <w:pPr>
        <w:spacing w:before="11"/>
        <w:rPr>
          <w:rFonts w:ascii="Times New Roman" w:hAnsi="Times New Roman" w:eastAsia="Times New Roman" w:cs="Times New Roman"/>
          <w:sz w:val="24"/>
          <w:szCs w:val="24"/>
        </w:rPr>
      </w:pPr>
      <w:r>
        <w:rPr>
          <w:rFonts w:ascii="Times New Roman" w:hAnsi="Times New Roman" w:eastAsia="Times New Roman" w:cs="Times New Roman"/>
          <w:sz w:val="24"/>
          <w:szCs w:val="24"/>
        </w:rPr>
        <w:t>Industry Economist</w:t>
      </w:r>
    </w:p>
    <w:p w:rsidR="001D2B91" w:rsidRDefault="00831D44" w14:paraId="7D342915" w14:textId="77777777">
      <w:pPr>
        <w:spacing w:before="11"/>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Region</w:t>
      </w:r>
    </w:p>
    <w:p w:rsidR="001D2B91" w:rsidRDefault="00831D44" w14:paraId="551908BB" w14:textId="77777777">
      <w:pPr>
        <w:spacing w:before="11"/>
        <w:rPr>
          <w:rFonts w:ascii="Times New Roman" w:hAnsi="Times New Roman" w:eastAsia="Times New Roman" w:cs="Times New Roman"/>
          <w:sz w:val="24"/>
          <w:szCs w:val="24"/>
        </w:rPr>
      </w:pPr>
      <w:r>
        <w:rPr>
          <w:rFonts w:ascii="Times New Roman" w:hAnsi="Times New Roman" w:eastAsia="Times New Roman" w:cs="Times New Roman"/>
          <w:sz w:val="24"/>
          <w:szCs w:val="24"/>
        </w:rPr>
        <w:t>PH (907) 523-8991</w:t>
      </w:r>
    </w:p>
    <w:p w:rsidR="001D2B91" w:rsidRDefault="00831D44" w14:paraId="3C70E2BF" w14:textId="77777777">
      <w:pPr>
        <w:spacing w:before="1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Address: </w:t>
      </w:r>
      <w:hyperlink r:id="rId9">
        <w:r>
          <w:rPr>
            <w:rFonts w:ascii="Times New Roman" w:hAnsi="Times New Roman" w:eastAsia="Times New Roman" w:cs="Times New Roman"/>
            <w:color w:val="0563C1"/>
            <w:sz w:val="24"/>
            <w:szCs w:val="24"/>
            <w:u w:val="single"/>
          </w:rPr>
          <w:t>scott.miller@noaa.gov</w:t>
        </w:r>
      </w:hyperlink>
    </w:p>
    <w:p w:rsidR="001D2B91" w:rsidRDefault="001D2B91" w14:paraId="51B79A0B" w14:textId="77777777">
      <w:pPr>
        <w:spacing w:before="11"/>
        <w:rPr>
          <w:rFonts w:ascii="Times New Roman" w:hAnsi="Times New Roman" w:eastAsia="Times New Roman" w:cs="Times New Roman"/>
          <w:sz w:val="24"/>
          <w:szCs w:val="24"/>
        </w:rPr>
      </w:pPr>
    </w:p>
    <w:p w:rsidR="001D2B91" w:rsidRDefault="00831D44" w14:paraId="0B9D7DFA" w14:textId="77777777">
      <w:pPr>
        <w:spacing w:before="69"/>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Geana</w:t>
      </w:r>
      <w:proofErr w:type="spellEnd"/>
      <w:r>
        <w:rPr>
          <w:rFonts w:ascii="Times New Roman" w:hAnsi="Times New Roman" w:eastAsia="Times New Roman" w:cs="Times New Roman"/>
          <w:sz w:val="24"/>
          <w:szCs w:val="24"/>
        </w:rPr>
        <w:t xml:space="preserve"> Tyler [collection of data, verification of accuracy of data] </w:t>
      </w:r>
    </w:p>
    <w:p w:rsidR="001D2B91" w:rsidRDefault="00831D44" w14:paraId="33F69B7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Pacific States Marine Fisheries Commission</w:t>
      </w:r>
    </w:p>
    <w:p w:rsidR="001D2B91" w:rsidRDefault="00831D44" w14:paraId="16B6EE3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 (503) 595-3100</w:t>
      </w:r>
    </w:p>
    <w:p w:rsidR="001D2B91" w:rsidRDefault="00831D44" w14:paraId="02DC65A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Address: </w:t>
      </w:r>
      <w:hyperlink r:id="rId10">
        <w:r>
          <w:rPr>
            <w:rFonts w:ascii="Times New Roman" w:hAnsi="Times New Roman" w:eastAsia="Times New Roman" w:cs="Times New Roman"/>
            <w:color w:val="0000FF"/>
            <w:sz w:val="24"/>
            <w:szCs w:val="24"/>
            <w:u w:val="single"/>
          </w:rPr>
          <w:t>gtyler@psmfc.org</w:t>
        </w:r>
      </w:hyperlink>
    </w:p>
    <w:p w:rsidR="001D2B91" w:rsidRDefault="001D2B91" w14:paraId="5C33A22F" w14:textId="77777777">
      <w:pPr>
        <w:spacing w:before="11"/>
        <w:rPr>
          <w:rFonts w:ascii="Times New Roman" w:hAnsi="Times New Roman" w:eastAsia="Times New Roman" w:cs="Times New Roman"/>
          <w:sz w:val="24"/>
          <w:szCs w:val="24"/>
        </w:rPr>
      </w:pPr>
    </w:p>
    <w:p w:rsidR="001D2B91" w:rsidRDefault="00831D44" w14:paraId="43E1D6F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Stephanie </w:t>
      </w:r>
      <w:proofErr w:type="spellStart"/>
      <w:r>
        <w:rPr>
          <w:rFonts w:ascii="Times New Roman" w:hAnsi="Times New Roman" w:eastAsia="Times New Roman" w:cs="Times New Roman"/>
          <w:sz w:val="24"/>
          <w:szCs w:val="24"/>
        </w:rPr>
        <w:t>Warpinski</w:t>
      </w:r>
      <w:proofErr w:type="spellEnd"/>
      <w:r>
        <w:rPr>
          <w:rFonts w:ascii="Times New Roman" w:hAnsi="Times New Roman" w:eastAsia="Times New Roman" w:cs="Times New Roman"/>
          <w:sz w:val="24"/>
          <w:szCs w:val="24"/>
        </w:rPr>
        <w:t xml:space="preserve"> [specialist on EDR regulations] </w:t>
      </w:r>
    </w:p>
    <w:p w:rsidR="001D2B91" w:rsidRDefault="00831D44" w14:paraId="4A00B62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Region</w:t>
      </w:r>
    </w:p>
    <w:p w:rsidR="001D2B91" w:rsidRDefault="00831D44" w14:paraId="185973C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 (907) 586-7234</w:t>
      </w:r>
    </w:p>
    <w:p w:rsidR="001D2B91" w:rsidRDefault="00831D44" w14:paraId="3ABC53B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Email Address: </w:t>
      </w:r>
      <w:hyperlink r:id="rId11">
        <w:r>
          <w:rPr>
            <w:rFonts w:ascii="Times New Roman" w:hAnsi="Times New Roman" w:eastAsia="Times New Roman" w:cs="Times New Roman"/>
            <w:color w:val="0000FF"/>
            <w:sz w:val="24"/>
            <w:szCs w:val="24"/>
            <w:u w:val="single"/>
          </w:rPr>
          <w:t>stephanie.warpinski@noaa.gov</w:t>
        </w:r>
      </w:hyperlink>
    </w:p>
    <w:p w:rsidR="001D2B91" w:rsidRDefault="001D2B91" w14:paraId="65E38D6F" w14:textId="77777777">
      <w:pPr>
        <w:spacing w:before="11"/>
        <w:rPr>
          <w:rFonts w:ascii="Times New Roman" w:hAnsi="Times New Roman" w:eastAsia="Times New Roman" w:cs="Times New Roman"/>
          <w:sz w:val="24"/>
          <w:szCs w:val="24"/>
        </w:rPr>
      </w:pPr>
    </w:p>
    <w:p w:rsidR="001D2B91" w:rsidRDefault="00831D44" w14:paraId="65B5B6E2" w14:textId="77777777">
      <w:pPr>
        <w:spacing w:before="6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Steve Whitney [administers Amendment 80 Program] </w:t>
      </w:r>
    </w:p>
    <w:p w:rsidR="001D2B91" w:rsidRDefault="00831D44" w14:paraId="0735FAF5"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NOAA/NMFS, Alaska Region</w:t>
      </w:r>
    </w:p>
    <w:p w:rsidR="001D2B91" w:rsidRDefault="00831D44" w14:paraId="3CE9505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PH: (907) 586-7269</w:t>
      </w:r>
    </w:p>
    <w:p w:rsidR="001D2B91" w:rsidRDefault="00831D44" w14:paraId="5DBBCA15" w14:textId="77777777">
      <w:pPr>
        <w:rPr>
          <w:rFonts w:ascii="Calibri" w:hAnsi="Calibri" w:eastAsia="Calibri" w:cs="Calibri"/>
          <w:sz w:val="24"/>
          <w:szCs w:val="24"/>
        </w:rPr>
      </w:pPr>
      <w:r>
        <w:rPr>
          <w:rFonts w:ascii="Times New Roman" w:hAnsi="Times New Roman" w:eastAsia="Times New Roman" w:cs="Times New Roman"/>
          <w:sz w:val="24"/>
          <w:szCs w:val="24"/>
        </w:rPr>
        <w:t xml:space="preserve">Email Address: </w:t>
      </w:r>
      <w:hyperlink r:id="rId12">
        <w:r>
          <w:rPr>
            <w:rFonts w:ascii="Times New Roman" w:hAnsi="Times New Roman" w:eastAsia="Times New Roman" w:cs="Times New Roman"/>
            <w:color w:val="0000FF"/>
            <w:sz w:val="24"/>
            <w:szCs w:val="24"/>
            <w:u w:val="single"/>
          </w:rPr>
          <w:t>steve.whitney@noaa.gov</w:t>
        </w:r>
      </w:hyperlink>
    </w:p>
    <w:sectPr w:rsidR="001D2B91">
      <w:footerReference w:type="default" r:id="rId13"/>
      <w:pgSz w:w="12240" w:h="15840"/>
      <w:pgMar w:top="634" w:right="1080" w:bottom="1195"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8BEB" w14:textId="77777777" w:rsidR="002E012A" w:rsidRDefault="002E012A">
      <w:r>
        <w:separator/>
      </w:r>
    </w:p>
  </w:endnote>
  <w:endnote w:type="continuationSeparator" w:id="0">
    <w:p w14:paraId="249A82CE" w14:textId="77777777" w:rsidR="002E012A" w:rsidRDefault="002E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A766C" w14:textId="763E59E0" w:rsidR="001D2B91" w:rsidRDefault="00831D44">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512CF2">
      <w:rPr>
        <w:rFonts w:ascii="Calibri" w:eastAsia="Calibri" w:hAnsi="Calibri" w:cs="Calibri"/>
        <w:noProof/>
        <w:color w:val="000000"/>
      </w:rPr>
      <w:t>3</w:t>
    </w:r>
    <w:r>
      <w:rPr>
        <w:rFonts w:ascii="Calibri" w:eastAsia="Calibri" w:hAnsi="Calibri" w:cs="Calibri"/>
        <w:color w:val="000000"/>
      </w:rPr>
      <w:fldChar w:fldCharType="end"/>
    </w:r>
  </w:p>
  <w:p w14:paraId="599DD996" w14:textId="77777777" w:rsidR="001D2B91" w:rsidRDefault="001D2B9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08F53" w14:textId="77777777" w:rsidR="002E012A" w:rsidRDefault="002E012A">
      <w:r>
        <w:separator/>
      </w:r>
    </w:p>
  </w:footnote>
  <w:footnote w:type="continuationSeparator" w:id="0">
    <w:p w14:paraId="4C11F587" w14:textId="77777777" w:rsidR="002E012A" w:rsidRDefault="002E0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C64BD"/>
    <w:multiLevelType w:val="multilevel"/>
    <w:tmpl w:val="C0BC883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91"/>
    <w:rsid w:val="001901FE"/>
    <w:rsid w:val="001D2B91"/>
    <w:rsid w:val="00284311"/>
    <w:rsid w:val="002E012A"/>
    <w:rsid w:val="00300224"/>
    <w:rsid w:val="003071E6"/>
    <w:rsid w:val="00377854"/>
    <w:rsid w:val="004A4DC3"/>
    <w:rsid w:val="00512CF2"/>
    <w:rsid w:val="007633CF"/>
    <w:rsid w:val="00831D44"/>
    <w:rsid w:val="00D979DD"/>
    <w:rsid w:val="00EF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78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Garber-yonts@noa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eetings.npfmc.org/CommentReview/DownloadFile?p=1f542e61-0dfc-465e-92eb-f7f00ab70edc.pdf&amp;fileName=D5%20EDR%20Discussion%20Paper.pdf" TargetMode="External"/><Relationship Id="rId12" Type="http://schemas.openxmlformats.org/officeDocument/2006/relationships/hyperlink" Target="mailto:steve.whitney@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anie.warpinski@noa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tyler@psmfc.org" TargetMode="External"/><Relationship Id="rId4" Type="http://schemas.openxmlformats.org/officeDocument/2006/relationships/webSettings" Target="webSettings.xml"/><Relationship Id="rId9" Type="http://schemas.openxmlformats.org/officeDocument/2006/relationships/hyperlink" Target="mailto:scott.miller@noa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2020-10-28T17:40:00Z</dcterms:created>
  <dcterms:modified xsi:type="dcterms:W3CDTF">2020-11-06T19:31:00Z</dcterms:modified>
</cp:coreProperties>
</file>