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B9F" w:rsidRDefault="00C85B9F">
      <w:pPr>
        <w:jc w:val="center"/>
      </w:pPr>
      <w:bookmarkStart w:name="_GoBack" w:id="0"/>
      <w:bookmarkEnd w:id="0"/>
    </w:p>
    <w:p w:rsidR="00792E8C" w:rsidRDefault="00792E8C">
      <w:pPr>
        <w:jc w:val="center"/>
      </w:pPr>
      <w:r>
        <w:t>OMB SUPPORTING STATEMENT</w:t>
      </w:r>
    </w:p>
    <w:p w:rsidR="00792E8C" w:rsidRDefault="00792E8C"/>
    <w:p w:rsidR="00792E8C" w:rsidRDefault="00F06DF6">
      <w:r>
        <w:t>RI 20-64</w:t>
      </w:r>
      <w:r>
        <w:tab/>
        <w:t>- Letter Reply to Request for Information</w:t>
      </w:r>
    </w:p>
    <w:p w:rsidR="00792E8C" w:rsidRDefault="00792E8C">
      <w:r>
        <w:t>RI 20-</w:t>
      </w:r>
      <w:r w:rsidR="002B2411">
        <w:t>6</w:t>
      </w:r>
      <w:r w:rsidR="00B62912">
        <w:t>4</w:t>
      </w:r>
      <w:r w:rsidR="00F06DF6">
        <w:t>A</w:t>
      </w:r>
      <w:r w:rsidR="002B2411">
        <w:tab/>
        <w:t>-</w:t>
      </w:r>
      <w:r>
        <w:t xml:space="preserve"> </w:t>
      </w:r>
      <w:r w:rsidR="00B62912">
        <w:t xml:space="preserve">Former Spouse </w:t>
      </w:r>
      <w:r w:rsidR="002B2411">
        <w:t>Survivor</w:t>
      </w:r>
      <w:r>
        <w:t xml:space="preserve"> Annuity Election</w:t>
      </w:r>
      <w:r w:rsidR="002B2411">
        <w:t xml:space="preserve"> </w:t>
      </w:r>
    </w:p>
    <w:p w:rsidR="00B62912" w:rsidRDefault="00B62912">
      <w:r>
        <w:t>RI 20-64</w:t>
      </w:r>
      <w:r w:rsidR="00F06DF6">
        <w:t>B</w:t>
      </w:r>
      <w:r>
        <w:tab/>
        <w:t>- Information on Electing a Survivor Annuity for Your Former Spouse</w:t>
      </w:r>
    </w:p>
    <w:p w:rsidR="00792E8C" w:rsidRDefault="00792E8C"/>
    <w:p w:rsidR="00792E8C" w:rsidRDefault="00792E8C">
      <w:pPr>
        <w:numPr>
          <w:ilvl w:val="0"/>
          <w:numId w:val="1"/>
        </w:numPr>
        <w:rPr>
          <w:u w:val="single"/>
        </w:rPr>
      </w:pPr>
      <w:r w:rsidRPr="002B2411">
        <w:rPr>
          <w:u w:val="single"/>
        </w:rPr>
        <w:t>Justification</w:t>
      </w:r>
    </w:p>
    <w:p w:rsidRPr="002B2411" w:rsidR="00865CFF" w:rsidP="00865CFF" w:rsidRDefault="00865CFF">
      <w:pPr>
        <w:ind w:left="360"/>
        <w:rPr>
          <w:u w:val="single"/>
        </w:rPr>
      </w:pPr>
    </w:p>
    <w:p w:rsidR="00B2113B" w:rsidP="00B2113B" w:rsidRDefault="00B2113B">
      <w:pPr>
        <w:pStyle w:val="ListParagraph"/>
        <w:numPr>
          <w:ilvl w:val="0"/>
          <w:numId w:val="3"/>
        </w:numPr>
        <w:shd w:val="pct25" w:color="auto" w:fill="auto"/>
        <w:tabs>
          <w:tab w:val="left" w:pos="-720"/>
        </w:tabs>
        <w:suppressAutoHyphens/>
      </w:pPr>
      <w:bookmarkStart w:name="_Hlk44411979" w:id="1"/>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rsidR="00B2113B" w:rsidRDefault="00B2113B"/>
    <w:p w:rsidR="00792E8C" w:rsidP="00B2113B" w:rsidRDefault="00792E8C">
      <w:pPr>
        <w:ind w:left="720"/>
      </w:pPr>
      <w:r>
        <w:t xml:space="preserve">Title 5, U. S. Code, </w:t>
      </w:r>
      <w:r w:rsidR="00E127EB">
        <w:t>S</w:t>
      </w:r>
      <w:r>
        <w:t>ection 833</w:t>
      </w:r>
      <w:r w:rsidR="002B2411">
        <w:t>9(j)(</w:t>
      </w:r>
      <w:r w:rsidR="00DF3D2A">
        <w:t>3</w:t>
      </w:r>
      <w:r w:rsidR="002B2411">
        <w:t>)</w:t>
      </w:r>
      <w:r>
        <w:t xml:space="preserve"> </w:t>
      </w:r>
      <w:r w:rsidR="00E127EB">
        <w:t xml:space="preserve">and </w:t>
      </w:r>
      <w:r w:rsidR="00947164">
        <w:t>Section 841</w:t>
      </w:r>
      <w:r w:rsidR="00DF3D2A">
        <w:t>7</w:t>
      </w:r>
      <w:r w:rsidR="00947164">
        <w:t xml:space="preserve"> state</w:t>
      </w:r>
      <w:r>
        <w:t xml:space="preserve"> that </w:t>
      </w:r>
      <w:r w:rsidR="002B2411">
        <w:t>annuitants may elect</w:t>
      </w:r>
      <w:r w:rsidR="00C85B9F">
        <w:t>, after retirement,</w:t>
      </w:r>
      <w:r w:rsidR="002B2411">
        <w:t xml:space="preserve"> to provide survivor annuity benefits for a </w:t>
      </w:r>
      <w:r w:rsidR="00DF3D2A">
        <w:t xml:space="preserve">former </w:t>
      </w:r>
      <w:r w:rsidR="002B2411">
        <w:t>spouse.</w:t>
      </w:r>
    </w:p>
    <w:p w:rsidR="00792E8C" w:rsidRDefault="00792E8C">
      <w:pPr>
        <w:ind w:left="720" w:hanging="360"/>
      </w:pPr>
    </w:p>
    <w:p w:rsidR="00B2113B" w:rsidP="00B2113B" w:rsidRDefault="00B2113B">
      <w:pPr>
        <w:pStyle w:val="ListParagraph"/>
        <w:numPr>
          <w:ilvl w:val="0"/>
          <w:numId w:val="3"/>
        </w:numPr>
        <w:shd w:val="pct25" w:color="auto" w:fill="auto"/>
        <w:tabs>
          <w:tab w:val="left" w:pos="-720"/>
        </w:tabs>
        <w:suppressAutoHyphens/>
      </w:pPr>
      <w:r>
        <w:t xml:space="preserve">Indicate how, by whom, and for what purpose the information is to be used.  Except for a new collection, indicate the actual use the agency has made of the information received from the current collection. </w:t>
      </w:r>
    </w:p>
    <w:p w:rsidR="00B2113B" w:rsidRDefault="00B2113B">
      <w:pPr>
        <w:ind w:left="720" w:hanging="360"/>
      </w:pPr>
    </w:p>
    <w:p w:rsidR="00B2113B" w:rsidP="00B2113B" w:rsidRDefault="00792E8C">
      <w:pPr>
        <w:ind w:left="720"/>
      </w:pPr>
      <w:r>
        <w:t>RI 20-</w:t>
      </w:r>
      <w:r w:rsidR="00C85B9F">
        <w:t>64 is used by the Civil Service Retirement System to provide information about the amount of annuity payable after a survivor reduction</w:t>
      </w:r>
      <w:r w:rsidR="00F06DF6">
        <w:t>, to explain the annuity reductions required to pay for the survivor benefit, and to give the beginning rate of survivor annuity.  RI 20-</w:t>
      </w:r>
      <w:r w:rsidR="00751878">
        <w:t>64A</w:t>
      </w:r>
      <w:r w:rsidR="00F06DF6">
        <w:t xml:space="preserve"> </w:t>
      </w:r>
      <w:r w:rsidR="00155A95">
        <w:t xml:space="preserve">is used to make </w:t>
      </w:r>
      <w:r w:rsidR="00F06DF6">
        <w:t>the election, and RI 20-64B, an information booklet, are enclosed</w:t>
      </w:r>
      <w:r w:rsidR="00CD0272">
        <w:t>.  This group of forms is needed to</w:t>
      </w:r>
      <w:r w:rsidR="00F06DF6">
        <w:t xml:space="preserve"> </w:t>
      </w:r>
      <w:r w:rsidR="00C85B9F">
        <w:t>obtain a</w:t>
      </w:r>
      <w:r w:rsidR="00CD0272">
        <w:t>n informed</w:t>
      </w:r>
      <w:r w:rsidR="00C85B9F">
        <w:t xml:space="preserve"> survivor benefits election from annuitants who are eligible to elect to provide survivor benefits for a former spouse.  Using R</w:t>
      </w:r>
      <w:r w:rsidR="00CD0272">
        <w:t>I</w:t>
      </w:r>
      <w:r w:rsidR="00C85B9F">
        <w:t xml:space="preserve"> 20-64</w:t>
      </w:r>
      <w:r w:rsidR="00CD0272">
        <w:t>A</w:t>
      </w:r>
      <w:r w:rsidR="00C85B9F">
        <w:t>, the annuitant may elect the survivor benefit</w:t>
      </w:r>
      <w:r w:rsidR="00CD0272">
        <w:t>, obtain any current spouse’s consent to the election, or</w:t>
      </w:r>
      <w:r w:rsidR="00C85B9F">
        <w:t xml:space="preserve"> decline to make the election</w:t>
      </w:r>
      <w:r w:rsidR="00CD0272">
        <w:t xml:space="preserve">.  RI 20-64 has a space the annuitant may use to </w:t>
      </w:r>
      <w:r w:rsidR="00C85B9F">
        <w:t xml:space="preserve">ask for information about electing less than the maximum survivor benefit. </w:t>
      </w:r>
      <w:r>
        <w:t xml:space="preserve">OPM could not comply with title 5 if this information were not collected. </w:t>
      </w:r>
      <w:r w:rsidR="00B2113B">
        <w:t>The Privacy Act Statement has been revised due to a systematic review by our Chief Privacy Officer.</w:t>
      </w:r>
      <w:r>
        <w:t xml:space="preserve"> The Public Burden Statement meets the requirement of 5 CFR 1320.8(b)(3). </w:t>
      </w:r>
    </w:p>
    <w:p w:rsidR="00B2113B" w:rsidP="00B2113B" w:rsidRDefault="00B2113B">
      <w:pPr>
        <w:ind w:left="720"/>
      </w:pPr>
    </w:p>
    <w:p w:rsidR="00B2113B" w:rsidP="00B2113B" w:rsidRDefault="00B2113B">
      <w:pPr>
        <w:pStyle w:val="ListParagraph"/>
        <w:numPr>
          <w:ilvl w:val="0"/>
          <w:numId w:val="3"/>
        </w:numPr>
        <w:shd w:val="pct25" w:color="auto" w:fill="auto"/>
        <w:tabs>
          <w:tab w:val="left" w:pos="-720"/>
        </w:tabs>
        <w:suppressAutoHyphens/>
      </w:pPr>
      <w:bookmarkStart w:name="_Hlk44261865" w:id="2"/>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bookmarkEnd w:id="2"/>
    <w:p w:rsidR="00792E8C" w:rsidP="002763B1" w:rsidRDefault="00792E8C">
      <w:pPr>
        <w:ind w:left="360"/>
      </w:pPr>
      <w:r>
        <w:t xml:space="preserve"> </w:t>
      </w:r>
    </w:p>
    <w:p w:rsidR="00E0375E" w:rsidP="00E0375E" w:rsidRDefault="00E0375E">
      <w:pPr>
        <w:ind w:left="720"/>
      </w:pPr>
      <w:r>
        <w:t xml:space="preserve">Use of information technology is contingent on changes to the law. The information collected is specific to the individual and can only be obtained from the respondents.  </w:t>
      </w:r>
    </w:p>
    <w:p w:rsidR="00792E8C" w:rsidP="00B2113B" w:rsidRDefault="00792E8C">
      <w:pPr>
        <w:ind w:left="720"/>
      </w:pPr>
      <w:r>
        <w:t xml:space="preserve">They must </w:t>
      </w:r>
      <w:r w:rsidR="009624B4">
        <w:t>sign the election form</w:t>
      </w:r>
      <w:r>
        <w:t>.</w:t>
      </w:r>
      <w:r w:rsidR="008C7028">
        <w:t xml:space="preserve"> This form is available in a </w:t>
      </w:r>
      <w:r w:rsidR="00452FBB">
        <w:t>PDF</w:t>
      </w:r>
      <w:r w:rsidR="008C7028">
        <w:t xml:space="preserve"> fillable format on our website and meets our GPEA requirements.</w:t>
      </w:r>
    </w:p>
    <w:p w:rsidR="00B2113B" w:rsidP="00B2113B" w:rsidRDefault="00B2113B">
      <w:pPr>
        <w:ind w:left="720"/>
      </w:pPr>
    </w:p>
    <w:p w:rsidR="00B2113B" w:rsidP="00865CFF" w:rsidRDefault="00B2113B">
      <w:pPr>
        <w:pStyle w:val="ListParagraph"/>
        <w:numPr>
          <w:ilvl w:val="0"/>
          <w:numId w:val="3"/>
        </w:numPr>
        <w:shd w:val="pct25" w:color="auto" w:fill="auto"/>
        <w:tabs>
          <w:tab w:val="left" w:pos="-720"/>
        </w:tabs>
        <w:suppressAutoHyphens/>
      </w:pPr>
      <w:bookmarkStart w:name="_Hlk44261947" w:id="3"/>
      <w:r>
        <w:t xml:space="preserve">Describe efforts to identify duplication.  Show specifically why any similar information already available cannot be used or modified for use for the purposes described in Item 2 above. </w:t>
      </w:r>
      <w:bookmarkEnd w:id="3"/>
    </w:p>
    <w:p w:rsidR="00B2113B" w:rsidP="00B2113B" w:rsidRDefault="00F240BA">
      <w:pPr>
        <w:ind w:left="720"/>
      </w:pPr>
      <w:r w:rsidRPr="00DF085B">
        <w:lastRenderedPageBreak/>
        <w:t>Since the respondents initiate the collection there is no duplication. There is no other way to obtain this information</w:t>
      </w:r>
    </w:p>
    <w:p w:rsidR="00F240BA" w:rsidP="00B2113B" w:rsidRDefault="00F240BA">
      <w:pPr>
        <w:ind w:left="720"/>
      </w:pPr>
    </w:p>
    <w:p w:rsidR="00B2113B" w:rsidP="00B2113B" w:rsidRDefault="00B2113B">
      <w:pPr>
        <w:pStyle w:val="ListParagraph"/>
        <w:numPr>
          <w:ilvl w:val="0"/>
          <w:numId w:val="3"/>
        </w:numPr>
        <w:shd w:val="pct25" w:color="auto" w:fill="auto"/>
        <w:tabs>
          <w:tab w:val="left" w:pos="-720"/>
        </w:tabs>
        <w:suppressAutoHyphens/>
      </w:pPr>
      <w:bookmarkStart w:name="_Hlk44261976" w:id="4"/>
      <w:r>
        <w:t>If the collection of information impacts small businesses or other small entities (Item 5 of OMB Form 83-I), describe any methods used to minimize.</w:t>
      </w:r>
    </w:p>
    <w:bookmarkEnd w:id="4"/>
    <w:p w:rsidR="00B2113B" w:rsidP="00B2113B" w:rsidRDefault="00B2113B">
      <w:pPr>
        <w:ind w:left="720" w:hanging="420"/>
      </w:pPr>
    </w:p>
    <w:p w:rsidR="00B2113B" w:rsidP="00B2113B" w:rsidRDefault="00B2113B">
      <w:pPr>
        <w:ind w:left="720"/>
      </w:pPr>
      <w:r>
        <w:t xml:space="preserve">This collection of information does not impact small businesses </w:t>
      </w:r>
      <w:r w:rsidR="00E9431D">
        <w:t>and organizations.</w:t>
      </w:r>
    </w:p>
    <w:p w:rsidR="00B2113B" w:rsidP="00B2113B" w:rsidRDefault="00B2113B">
      <w:pPr>
        <w:ind w:left="720"/>
      </w:pPr>
    </w:p>
    <w:p w:rsidR="00B2113B" w:rsidP="00B2113B" w:rsidRDefault="00B2113B">
      <w:pPr>
        <w:pStyle w:val="ListParagraph"/>
        <w:numPr>
          <w:ilvl w:val="0"/>
          <w:numId w:val="3"/>
        </w:numPr>
        <w:shd w:val="pct25" w:color="auto" w:fill="auto"/>
        <w:tabs>
          <w:tab w:val="left" w:pos="-720"/>
        </w:tabs>
        <w:suppressAutoHyphens/>
      </w:pPr>
      <w:bookmarkStart w:name="_Hlk44262031" w:id="5"/>
      <w:r>
        <w:t>Describe the consequence to Federal/DHS program or policy activities if the collection of information is not conducted, or is conducted less frequently, as well as any technical or legal obstacles to reducing burden.</w:t>
      </w:r>
    </w:p>
    <w:bookmarkEnd w:id="5"/>
    <w:p w:rsidR="00B2113B" w:rsidP="00B2113B" w:rsidRDefault="00B2113B">
      <w:pPr>
        <w:ind w:left="720"/>
      </w:pPr>
    </w:p>
    <w:p w:rsidR="00792E8C" w:rsidP="00B2113B" w:rsidRDefault="00E127EB">
      <w:pPr>
        <w:ind w:left="720"/>
      </w:pPr>
      <w:r>
        <w:t>I</w:t>
      </w:r>
      <w:r w:rsidR="00792E8C">
        <w:t xml:space="preserve">f this information </w:t>
      </w:r>
      <w:r w:rsidR="009624B4">
        <w:t>were not collected, annuitants would be unable to elect survivor benefits provided by law.</w:t>
      </w:r>
    </w:p>
    <w:p w:rsidR="00B2113B" w:rsidP="00B2113B" w:rsidRDefault="00B2113B">
      <w:pPr>
        <w:ind w:left="720"/>
      </w:pPr>
    </w:p>
    <w:p w:rsidR="00B2113B" w:rsidP="00B2113B" w:rsidRDefault="00B2113B">
      <w:pPr>
        <w:pStyle w:val="ListParagraph"/>
        <w:numPr>
          <w:ilvl w:val="0"/>
          <w:numId w:val="3"/>
        </w:numPr>
        <w:shd w:val="pct25" w:color="auto" w:fill="auto"/>
        <w:tabs>
          <w:tab w:val="left" w:pos="-720"/>
        </w:tabs>
        <w:suppressAutoHyphens/>
      </w:pPr>
      <w:bookmarkStart w:name="_Hlk44262072" w:id="6"/>
      <w:r>
        <w:t xml:space="preserve">Explain any special circumstances that would cause an information collection to be conducted in a manner: </w:t>
      </w:r>
    </w:p>
    <w:p w:rsidR="00B2113B" w:rsidP="00B2113B" w:rsidRDefault="00B2113B">
      <w:pPr>
        <w:pStyle w:val="ListParagraph"/>
        <w:shd w:val="pct25" w:color="auto" w:fill="auto"/>
        <w:tabs>
          <w:tab w:val="left" w:pos="-720"/>
        </w:tabs>
        <w:suppressAutoHyphens/>
      </w:pPr>
      <w:r>
        <w:t xml:space="preserve">• requiring respondents to report information to the agency more often than quarterly; </w:t>
      </w:r>
    </w:p>
    <w:p w:rsidR="00B2113B" w:rsidP="00B2113B" w:rsidRDefault="00B2113B">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B2113B" w:rsidP="00B2113B" w:rsidRDefault="00B2113B">
      <w:pPr>
        <w:pStyle w:val="ListParagraph"/>
        <w:shd w:val="pct25" w:color="auto" w:fill="auto"/>
        <w:tabs>
          <w:tab w:val="left" w:pos="-720"/>
        </w:tabs>
        <w:suppressAutoHyphens/>
      </w:pPr>
      <w:r>
        <w:t xml:space="preserve">•requiring respondents to submit more than an original and two copies of any document; </w:t>
      </w:r>
    </w:p>
    <w:p w:rsidR="00B2113B" w:rsidP="00B2113B" w:rsidRDefault="00B2113B">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B2113B" w:rsidP="00B2113B" w:rsidRDefault="00B2113B">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B2113B" w:rsidP="00B2113B" w:rsidRDefault="00B2113B">
      <w:pPr>
        <w:pStyle w:val="ListParagraph"/>
        <w:shd w:val="pct25" w:color="auto" w:fill="auto"/>
        <w:tabs>
          <w:tab w:val="left" w:pos="-720"/>
        </w:tabs>
        <w:suppressAutoHyphens/>
      </w:pPr>
      <w:r>
        <w:t xml:space="preserve">• requiring the use of a statistical data classification that has not been reviewed and approved by OMB; </w:t>
      </w:r>
    </w:p>
    <w:p w:rsidR="00B2113B" w:rsidP="00B2113B" w:rsidRDefault="00B2113B">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2113B" w:rsidP="00B2113B" w:rsidRDefault="00B2113B">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bookmarkEnd w:id="6"/>
    <w:p w:rsidR="009624B4" w:rsidP="009624B4" w:rsidRDefault="009624B4"/>
    <w:p w:rsidR="00E9431D" w:rsidP="0001481B" w:rsidRDefault="0001481B">
      <w:pPr>
        <w:ind w:left="720"/>
      </w:pPr>
      <w:r w:rsidRPr="00DF085B">
        <w:t xml:space="preserve">There are no special circumstances involved in the collection of this information.  </w:t>
      </w:r>
    </w:p>
    <w:p w:rsidRPr="00DF085B" w:rsidR="0001481B" w:rsidP="0001481B" w:rsidRDefault="0001481B">
      <w:pPr>
        <w:ind w:left="720"/>
      </w:pPr>
      <w:r w:rsidRPr="00DF085B">
        <w:t>This information collection is consistent with the guidelines in 5 CFR 1320.8(b)(3).</w:t>
      </w:r>
    </w:p>
    <w:p w:rsidR="00B2113B" w:rsidP="00B2113B" w:rsidRDefault="00B2113B">
      <w:pPr>
        <w:ind w:left="720"/>
      </w:pPr>
    </w:p>
    <w:p w:rsidR="00B2113B" w:rsidP="00B2113B" w:rsidRDefault="00B2113B">
      <w:pPr>
        <w:pStyle w:val="ListParagraph"/>
        <w:numPr>
          <w:ilvl w:val="0"/>
          <w:numId w:val="3"/>
        </w:numPr>
        <w:shd w:val="pct25" w:color="auto" w:fill="auto"/>
        <w:tabs>
          <w:tab w:val="left" w:pos="-720"/>
        </w:tabs>
        <w:suppressAutoHyphens/>
      </w:pPr>
      <w:bookmarkStart w:name="_Hlk44262099" w:id="7"/>
      <w:r>
        <w:t xml:space="preserve">Federal Register Notice: </w:t>
      </w:r>
      <w:r>
        <w:fldChar w:fldCharType="begin"/>
      </w:r>
      <w:r>
        <w:instrText>ADVANCE \R 0.95</w:instrText>
      </w:r>
      <w:r>
        <w:fldChar w:fldCharType="end"/>
      </w:r>
      <w:r>
        <w:t xml:space="preserve">Provide a copy and identify the date and page number of </w:t>
      </w:r>
      <w:proofErr w:type="gramStart"/>
      <w:r>
        <w:t>publication</w:t>
      </w:r>
      <w:proofErr w:type="gramEnd"/>
      <w:r>
        <w:t xml:space="preserve"> in the Federal Register of the agency’s notice soliciting comments on the information collection prior to submission to OMB.</w:t>
      </w:r>
    </w:p>
    <w:bookmarkEnd w:id="7"/>
    <w:p w:rsidR="00B2113B" w:rsidP="00B2113B" w:rsidRDefault="00B2113B">
      <w:pPr>
        <w:ind w:left="720"/>
      </w:pPr>
    </w:p>
    <w:p w:rsidR="00792E8C" w:rsidP="00B2113B" w:rsidRDefault="0001481B">
      <w:pPr>
        <w:ind w:left="720"/>
        <w:rPr>
          <w:bCs/>
        </w:rPr>
      </w:pPr>
      <w:bookmarkStart w:name="_Hlk44262269" w:id="8"/>
      <w:r>
        <w:t xml:space="preserve">A </w:t>
      </w:r>
      <w:proofErr w:type="gramStart"/>
      <w:r w:rsidR="00B2113B">
        <w:t xml:space="preserve">60 </w:t>
      </w:r>
      <w:r>
        <w:t>d</w:t>
      </w:r>
      <w:r w:rsidR="00B2113B">
        <w:t>ay</w:t>
      </w:r>
      <w:proofErr w:type="gramEnd"/>
      <w:r w:rsidR="00B2113B">
        <w:t xml:space="preserve"> </w:t>
      </w:r>
      <w:r>
        <w:t xml:space="preserve">notice of proposed information collection was published in the </w:t>
      </w:r>
      <w:r w:rsidRPr="0001481B" w:rsidR="00B2113B">
        <w:rPr>
          <w:i/>
          <w:iCs/>
        </w:rPr>
        <w:t>Federal Register</w:t>
      </w:r>
      <w:r w:rsidR="00B2113B">
        <w:t xml:space="preserve"> </w:t>
      </w:r>
      <w:r>
        <w:t xml:space="preserve">on March 23, 2020, Volume </w:t>
      </w:r>
      <w:r w:rsidR="00B2113B">
        <w:t>85 FR 16394</w:t>
      </w:r>
      <w:r>
        <w:t>, giving persons outside the agency an opportunity to comment.</w:t>
      </w:r>
      <w:r w:rsidR="00B2113B">
        <w:t xml:space="preserve"> </w:t>
      </w:r>
      <w:bookmarkEnd w:id="8"/>
      <w:r w:rsidR="00B2113B">
        <w:rPr>
          <w:bCs/>
        </w:rPr>
        <w:t>No comments were received.</w:t>
      </w:r>
    </w:p>
    <w:p w:rsidR="0001481B" w:rsidP="00B2113B" w:rsidRDefault="0001481B">
      <w:pPr>
        <w:ind w:left="720"/>
      </w:pPr>
    </w:p>
    <w:p w:rsidR="00B2113B" w:rsidP="00B2113B" w:rsidRDefault="00B2113B">
      <w:pPr>
        <w:pStyle w:val="ListParagraph"/>
        <w:numPr>
          <w:ilvl w:val="0"/>
          <w:numId w:val="3"/>
        </w:numPr>
        <w:shd w:val="pct25" w:color="auto" w:fill="auto"/>
        <w:tabs>
          <w:tab w:val="left" w:pos="-720"/>
        </w:tabs>
        <w:suppressAutoHyphens/>
        <w:ind w:right="-288"/>
        <w:contextualSpacing/>
      </w:pPr>
      <w:bookmarkStart w:name="_Hlk44262340" w:id="9"/>
      <w:r>
        <w:t>Explain any decision to provide any payment or gift to respondents, other than remuneration of contractors or grantees.</w:t>
      </w:r>
    </w:p>
    <w:bookmarkEnd w:id="9"/>
    <w:p w:rsidR="00865CFF" w:rsidP="00B2113B" w:rsidRDefault="00865CFF">
      <w:pPr>
        <w:ind w:left="720"/>
      </w:pPr>
    </w:p>
    <w:p w:rsidR="00792E8C" w:rsidP="00B2113B" w:rsidRDefault="00792E8C">
      <w:pPr>
        <w:ind w:left="720"/>
      </w:pPr>
      <w:r>
        <w:lastRenderedPageBreak/>
        <w:t>No payment or gift is provided to these respondents</w:t>
      </w:r>
      <w:r w:rsidR="00766E0A">
        <w:t xml:space="preserve">, </w:t>
      </w:r>
      <w:r w:rsidRPr="008A0DCF" w:rsidR="00766E0A">
        <w:t>except any court-ordered benefits that are payable.</w:t>
      </w:r>
    </w:p>
    <w:p w:rsidR="00B2113B" w:rsidP="00B2113B" w:rsidRDefault="00B2113B">
      <w:pPr>
        <w:ind w:left="720"/>
      </w:pPr>
    </w:p>
    <w:p w:rsidR="00B2113B" w:rsidP="00B2113B" w:rsidRDefault="00B2113B">
      <w:pPr>
        <w:pStyle w:val="ListParagraph"/>
        <w:numPr>
          <w:ilvl w:val="0"/>
          <w:numId w:val="3"/>
        </w:numPr>
        <w:shd w:val="pct25" w:color="auto" w:fill="auto"/>
        <w:tabs>
          <w:tab w:val="left" w:pos="-720"/>
          <w:tab w:val="num" w:pos="630"/>
        </w:tabs>
        <w:suppressAutoHyphens/>
        <w:ind w:left="630" w:right="-288"/>
        <w:contextualSpacing/>
      </w:pPr>
      <w:bookmarkStart w:name="_Hlk44262387" w:id="10"/>
      <w:r>
        <w:t xml:space="preserve">  Describe any assurance of confidentiality provided to respondents and the basis for the   </w:t>
      </w:r>
    </w:p>
    <w:p w:rsidR="00792E8C" w:rsidP="00B2113B" w:rsidRDefault="00B2113B">
      <w:pPr>
        <w:pStyle w:val="ListParagraph"/>
        <w:shd w:val="pct25" w:color="auto" w:fill="auto"/>
        <w:tabs>
          <w:tab w:val="left" w:pos="-720"/>
        </w:tabs>
        <w:suppressAutoHyphens/>
        <w:ind w:left="270" w:right="-288"/>
        <w:contextualSpacing/>
      </w:pPr>
      <w:r>
        <w:tab/>
        <w:t xml:space="preserve"> assurance in statute, regulation, or agency policy.  </w:t>
      </w:r>
      <w:bookmarkEnd w:id="10"/>
    </w:p>
    <w:p w:rsidR="00792E8C" w:rsidRDefault="00792E8C"/>
    <w:p w:rsidR="00792E8C" w:rsidP="00B2113B" w:rsidRDefault="00792E8C">
      <w:pPr>
        <w:ind w:left="720"/>
      </w:pPr>
      <w:r>
        <w:t xml:space="preserve">This information collection is protected by the Privacy Act of 1974 and OPM regulations (5 CFR 831.106).  The routine uses for disclosure appear in the </w:t>
      </w:r>
      <w:r>
        <w:rPr>
          <w:i/>
        </w:rPr>
        <w:t>Federal Register</w:t>
      </w:r>
      <w:r>
        <w:t xml:space="preserve"> for OPM/Central-1 (</w:t>
      </w:r>
      <w:r w:rsidR="00BA6E37">
        <w:t>73</w:t>
      </w:r>
      <w:r>
        <w:t xml:space="preserve"> FR </w:t>
      </w:r>
      <w:r w:rsidR="00BA6E37">
        <w:t>15013</w:t>
      </w:r>
      <w:r>
        <w:t xml:space="preserve">, </w:t>
      </w:r>
      <w:r>
        <w:rPr>
          <w:i/>
        </w:rPr>
        <w:t>et seq</w:t>
      </w:r>
      <w:r>
        <w:t xml:space="preserve">., </w:t>
      </w:r>
      <w:r w:rsidR="00BA6E37">
        <w:t>March 20</w:t>
      </w:r>
      <w:r>
        <w:t xml:space="preserve">, </w:t>
      </w:r>
      <w:r w:rsidR="00BA6E37">
        <w:t>2008</w:t>
      </w:r>
      <w:r>
        <w:t>).</w:t>
      </w:r>
    </w:p>
    <w:p w:rsidR="00B2113B" w:rsidP="00B2113B" w:rsidRDefault="00B2113B">
      <w:pPr>
        <w:ind w:left="720"/>
      </w:pPr>
    </w:p>
    <w:p w:rsidRPr="00741061" w:rsidR="00B2113B" w:rsidP="00B2113B" w:rsidRDefault="00B2113B">
      <w:pPr>
        <w:pStyle w:val="ListParagraph"/>
        <w:numPr>
          <w:ilvl w:val="0"/>
          <w:numId w:val="4"/>
        </w:numPr>
        <w:shd w:val="pct25" w:color="auto" w:fill="auto"/>
        <w:tabs>
          <w:tab w:val="clear" w:pos="720"/>
          <w:tab w:val="left" w:pos="-720"/>
          <w:tab w:val="num" w:pos="630"/>
        </w:tabs>
        <w:suppressAutoHyphens/>
        <w:ind w:left="630"/>
        <w:contextualSpacing/>
      </w:pPr>
      <w:bookmarkStart w:name="_Hlk44262415" w:id="11"/>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bookmarkEnd w:id="11"/>
    <w:p w:rsidR="00B2113B" w:rsidP="00B2113B" w:rsidRDefault="00B2113B">
      <w:pPr>
        <w:ind w:left="720"/>
      </w:pPr>
    </w:p>
    <w:p w:rsidR="00792E8C" w:rsidP="00B2113B" w:rsidRDefault="00792E8C">
      <w:pPr>
        <w:ind w:left="720"/>
      </w:pPr>
      <w:r>
        <w:t>This information collection does not include questions of a sensitive nature, such as sexual behavior and attitudes, religious beliefs, and other matters that are commonly considered private.</w:t>
      </w:r>
    </w:p>
    <w:p w:rsidR="00B2113B" w:rsidP="00B2113B" w:rsidRDefault="00B2113B">
      <w:pPr>
        <w:ind w:left="720"/>
      </w:pPr>
    </w:p>
    <w:p w:rsidR="00D227E5" w:rsidP="00D227E5" w:rsidRDefault="00D227E5">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D227E5" w:rsidP="00D227E5" w:rsidRDefault="00D227E5">
      <w:pPr>
        <w:pStyle w:val="ListParagraph"/>
        <w:shd w:val="pct25" w:color="auto" w:fill="FFFFFF"/>
        <w:tabs>
          <w:tab w:val="left" w:pos="-720"/>
        </w:tabs>
        <w:suppressAutoHyphens/>
        <w:ind w:left="360"/>
      </w:pPr>
      <w:r>
        <w:tab/>
      </w:r>
      <w:r w:rsidRPr="00741061">
        <w:t>should:</w:t>
      </w:r>
    </w:p>
    <w:p w:rsidRPr="00741061" w:rsidR="00D227E5" w:rsidP="00D227E5" w:rsidRDefault="00D227E5">
      <w:pPr>
        <w:pStyle w:val="ListParagraph"/>
        <w:tabs>
          <w:tab w:val="left" w:pos="-720"/>
        </w:tabs>
        <w:suppressAutoHyphens/>
        <w:ind w:left="360"/>
      </w:pPr>
    </w:p>
    <w:p w:rsidRPr="008A0DCF" w:rsidR="00E9431D" w:rsidP="00E9431D" w:rsidRDefault="00E9431D">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E9431D" w:rsidP="00E9431D" w:rsidRDefault="00E9431D">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E9431D" w:rsidP="00E9431D" w:rsidRDefault="00E9431D">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92E8C" w:rsidRDefault="00792E8C"/>
    <w:p w:rsidR="00CA36DE" w:rsidP="00D227E5" w:rsidRDefault="00D227E5">
      <w:pPr>
        <w:ind w:left="720"/>
      </w:pPr>
      <w:r>
        <w:t>Approximately</w:t>
      </w:r>
      <w:r w:rsidR="00792E8C">
        <w:t xml:space="preserve"> </w:t>
      </w:r>
      <w:r w:rsidR="00C85B9F">
        <w:t>3</w:t>
      </w:r>
      <w:r w:rsidR="00792E8C">
        <w:t xml:space="preserve">0 </w:t>
      </w:r>
      <w:r w:rsidR="00CA36DE">
        <w:t>survivor elections</w:t>
      </w:r>
      <w:r w:rsidR="00792E8C">
        <w:t xml:space="preserve"> </w:t>
      </w:r>
      <w:r w:rsidR="002C6552">
        <w:t xml:space="preserve">on RI 20-64A </w:t>
      </w:r>
      <w:r w:rsidR="00792E8C">
        <w:t xml:space="preserve">will be </w:t>
      </w:r>
      <w:r w:rsidR="00CA36DE">
        <w:t>processed</w:t>
      </w:r>
      <w:r w:rsidR="00792E8C">
        <w:t xml:space="preserve"> per year</w:t>
      </w:r>
      <w:r w:rsidR="002C6552">
        <w:t xml:space="preserve"> and that of these 8 will use RI 20-64 to ask for information about electing a smaller survivor benefit</w:t>
      </w:r>
      <w:r w:rsidR="00792E8C">
        <w:t xml:space="preserve">.  </w:t>
      </w:r>
      <w:r w:rsidR="002C6552">
        <w:t>F</w:t>
      </w:r>
      <w:r w:rsidR="00792E8C">
        <w:t xml:space="preserve">orm </w:t>
      </w:r>
      <w:r w:rsidR="002C6552">
        <w:t xml:space="preserve">RI 20-64A </w:t>
      </w:r>
      <w:r w:rsidR="00792E8C">
        <w:t xml:space="preserve">requires </w:t>
      </w:r>
      <w:r w:rsidR="00CA36DE">
        <w:t>45</w:t>
      </w:r>
      <w:r w:rsidR="00792E8C">
        <w:t xml:space="preserve"> minutes to </w:t>
      </w:r>
      <w:r w:rsidR="00CA36DE">
        <w:t xml:space="preserve">complete for a burden of </w:t>
      </w:r>
      <w:r w:rsidR="00C85B9F">
        <w:t>23</w:t>
      </w:r>
      <w:r w:rsidR="00CA36DE">
        <w:t xml:space="preserve"> hours</w:t>
      </w:r>
      <w:r w:rsidR="00C85B9F">
        <w:t>.</w:t>
      </w:r>
      <w:r w:rsidR="002C6552">
        <w:t xml:space="preserve">  Form RI 20-64 requires 8 minutes to complete for a burden of one hour.  The total burden is 24 hours.</w:t>
      </w:r>
    </w:p>
    <w:p w:rsidR="00EB4F66" w:rsidP="00D227E5" w:rsidRDefault="00EB4F66">
      <w:pPr>
        <w:ind w:left="720"/>
      </w:pPr>
    </w:p>
    <w:p w:rsidR="00EB4F66" w:rsidP="00D227E5" w:rsidRDefault="00EB4F66">
      <w:pPr>
        <w:ind w:left="720"/>
      </w:pPr>
    </w:p>
    <w:p w:rsidR="00EB4F66" w:rsidP="00D227E5" w:rsidRDefault="00EB4F66">
      <w:pPr>
        <w:ind w:left="720"/>
      </w:pPr>
    </w:p>
    <w:p w:rsidR="00EB4F66" w:rsidP="00D227E5" w:rsidRDefault="00EB4F66">
      <w:pPr>
        <w:ind w:left="720"/>
      </w:pPr>
    </w:p>
    <w:p w:rsidR="00EB4F66" w:rsidP="00D227E5" w:rsidRDefault="00EB4F66">
      <w:pPr>
        <w:ind w:left="720"/>
      </w:pPr>
    </w:p>
    <w:p w:rsidR="00EB4F66" w:rsidP="00D227E5" w:rsidRDefault="00EB4F66">
      <w:pPr>
        <w:ind w:left="720"/>
      </w:pPr>
    </w:p>
    <w:tbl>
      <w:tblPr>
        <w:tblpPr w:leftFromText="180" w:rightFromText="180" w:vertAnchor="text" w:horzAnchor="margin" w:tblpY="20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E9431D" w:rsidTr="00E9431D">
        <w:trPr>
          <w:trHeight w:val="938"/>
        </w:trPr>
        <w:tc>
          <w:tcPr>
            <w:tcW w:w="1086"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E9431D" w:rsidP="00E9431D" w:rsidRDefault="00E9431D">
            <w:pPr>
              <w:spacing w:before="240"/>
              <w:rPr>
                <w:rFonts w:ascii="Arial" w:hAnsi="Arial" w:cs="Arial"/>
                <w:b/>
                <w:sz w:val="16"/>
                <w:szCs w:val="16"/>
              </w:rPr>
            </w:pPr>
            <w:r w:rsidRPr="005E399C">
              <w:rPr>
                <w:rFonts w:ascii="Arial" w:hAnsi="Arial" w:cs="Arial"/>
                <w:b/>
                <w:sz w:val="16"/>
                <w:szCs w:val="16"/>
              </w:rPr>
              <w:t>Total Annual Respondent Cost</w:t>
            </w:r>
          </w:p>
        </w:tc>
      </w:tr>
      <w:tr w:rsidR="00E9431D" w:rsidTr="00E9431D">
        <w:trPr>
          <w:trHeight w:val="1024"/>
        </w:trPr>
        <w:tc>
          <w:tcPr>
            <w:tcW w:w="1086" w:type="dxa"/>
            <w:shd w:val="clear" w:color="auto" w:fill="auto"/>
          </w:tcPr>
          <w:p w:rsidRPr="005E399C" w:rsidR="00E9431D" w:rsidP="00E9431D" w:rsidRDefault="00E9431D">
            <w:pPr>
              <w:spacing w:before="240"/>
              <w:rPr>
                <w:sz w:val="18"/>
                <w:szCs w:val="18"/>
              </w:rPr>
            </w:pPr>
            <w:r w:rsidRPr="00E82A9B">
              <w:rPr>
                <w:sz w:val="18"/>
                <w:szCs w:val="18"/>
              </w:rPr>
              <w:t>Letter Reply to Request for Information</w:t>
            </w:r>
          </w:p>
        </w:tc>
        <w:tc>
          <w:tcPr>
            <w:tcW w:w="995" w:type="dxa"/>
            <w:shd w:val="clear" w:color="auto" w:fill="auto"/>
          </w:tcPr>
          <w:p w:rsidRPr="005E399C" w:rsidR="00E9431D" w:rsidP="00E9431D" w:rsidRDefault="00E9431D">
            <w:pPr>
              <w:spacing w:before="240"/>
              <w:rPr>
                <w:sz w:val="18"/>
                <w:szCs w:val="18"/>
              </w:rPr>
            </w:pPr>
            <w:r>
              <w:rPr>
                <w:sz w:val="18"/>
                <w:szCs w:val="18"/>
              </w:rPr>
              <w:t>RI 20-64</w:t>
            </w:r>
          </w:p>
        </w:tc>
        <w:tc>
          <w:tcPr>
            <w:tcW w:w="1244" w:type="dxa"/>
            <w:shd w:val="clear" w:color="auto" w:fill="auto"/>
          </w:tcPr>
          <w:p w:rsidR="00E9431D" w:rsidP="00E9431D" w:rsidRDefault="00E9431D">
            <w:pPr>
              <w:jc w:val="right"/>
              <w:rPr>
                <w:sz w:val="18"/>
                <w:szCs w:val="18"/>
              </w:rPr>
            </w:pPr>
          </w:p>
          <w:p w:rsidRPr="005E399C" w:rsidR="00E9431D" w:rsidP="00E9431D" w:rsidRDefault="00E9431D">
            <w:pPr>
              <w:jc w:val="right"/>
              <w:rPr>
                <w:sz w:val="18"/>
                <w:szCs w:val="18"/>
              </w:rPr>
            </w:pPr>
            <w:r>
              <w:rPr>
                <w:sz w:val="18"/>
                <w:szCs w:val="18"/>
              </w:rPr>
              <w:t>8</w:t>
            </w:r>
            <w:r w:rsidRPr="00695D34">
              <w:rPr>
                <w:sz w:val="18"/>
                <w:szCs w:val="18"/>
              </w:rPr>
              <w:t xml:space="preserve"> </w:t>
            </w:r>
          </w:p>
        </w:tc>
        <w:tc>
          <w:tcPr>
            <w:tcW w:w="1178" w:type="dxa"/>
            <w:shd w:val="clear" w:color="auto" w:fill="auto"/>
          </w:tcPr>
          <w:p w:rsidRPr="005E399C" w:rsidR="00E9431D" w:rsidP="00E9431D" w:rsidRDefault="00E9431D">
            <w:pPr>
              <w:spacing w:before="240"/>
              <w:jc w:val="right"/>
              <w:rPr>
                <w:sz w:val="18"/>
                <w:szCs w:val="18"/>
              </w:rPr>
            </w:pPr>
            <w:r w:rsidRPr="005E399C">
              <w:rPr>
                <w:sz w:val="18"/>
                <w:szCs w:val="18"/>
              </w:rPr>
              <w:t>1</w:t>
            </w:r>
          </w:p>
          <w:p w:rsidRPr="005E399C" w:rsidR="00E9431D" w:rsidP="00E9431D" w:rsidRDefault="00E9431D">
            <w:pPr>
              <w:jc w:val="right"/>
              <w:rPr>
                <w:sz w:val="18"/>
                <w:szCs w:val="18"/>
              </w:rPr>
            </w:pPr>
          </w:p>
        </w:tc>
        <w:tc>
          <w:tcPr>
            <w:tcW w:w="1087" w:type="dxa"/>
            <w:shd w:val="clear" w:color="auto" w:fill="auto"/>
          </w:tcPr>
          <w:p w:rsidRPr="005E399C" w:rsidR="00E9431D" w:rsidP="00E9431D" w:rsidRDefault="00E9431D">
            <w:pPr>
              <w:spacing w:before="240"/>
              <w:jc w:val="center"/>
              <w:rPr>
                <w:sz w:val="18"/>
                <w:szCs w:val="18"/>
              </w:rPr>
            </w:pPr>
            <w:r>
              <w:rPr>
                <w:sz w:val="18"/>
                <w:szCs w:val="18"/>
              </w:rPr>
              <w:t xml:space="preserve">         .13</w:t>
            </w:r>
          </w:p>
        </w:tc>
        <w:tc>
          <w:tcPr>
            <w:tcW w:w="969" w:type="dxa"/>
            <w:shd w:val="clear" w:color="auto" w:fill="auto"/>
          </w:tcPr>
          <w:p w:rsidRPr="005E399C" w:rsidR="00E9431D" w:rsidP="00E9431D" w:rsidRDefault="00E9431D">
            <w:pPr>
              <w:spacing w:before="240"/>
              <w:jc w:val="right"/>
              <w:rPr>
                <w:sz w:val="18"/>
                <w:szCs w:val="18"/>
              </w:rPr>
            </w:pPr>
            <w:r>
              <w:rPr>
                <w:sz w:val="18"/>
                <w:szCs w:val="18"/>
              </w:rPr>
              <w:t>1</w:t>
            </w:r>
          </w:p>
          <w:p w:rsidRPr="005E399C" w:rsidR="00E9431D" w:rsidP="00E9431D" w:rsidRDefault="00E9431D">
            <w:pPr>
              <w:jc w:val="right"/>
              <w:rPr>
                <w:sz w:val="18"/>
                <w:szCs w:val="18"/>
              </w:rPr>
            </w:pPr>
          </w:p>
        </w:tc>
        <w:tc>
          <w:tcPr>
            <w:tcW w:w="1010" w:type="dxa"/>
            <w:shd w:val="clear" w:color="auto" w:fill="auto"/>
          </w:tcPr>
          <w:p w:rsidRPr="005E399C" w:rsidR="00E9431D" w:rsidP="00E9431D" w:rsidRDefault="00E9431D">
            <w:pPr>
              <w:spacing w:before="240"/>
              <w:jc w:val="right"/>
              <w:rPr>
                <w:sz w:val="18"/>
                <w:szCs w:val="18"/>
              </w:rPr>
            </w:pPr>
            <w:r>
              <w:rPr>
                <w:sz w:val="18"/>
                <w:szCs w:val="18"/>
              </w:rPr>
              <w:t xml:space="preserve">    $2.80</w:t>
            </w:r>
          </w:p>
          <w:p w:rsidRPr="005E399C" w:rsidR="00E9431D" w:rsidP="00E9431D" w:rsidRDefault="00E9431D">
            <w:pPr>
              <w:jc w:val="right"/>
              <w:rPr>
                <w:sz w:val="18"/>
                <w:szCs w:val="18"/>
              </w:rPr>
            </w:pPr>
          </w:p>
        </w:tc>
        <w:tc>
          <w:tcPr>
            <w:tcW w:w="1179" w:type="dxa"/>
            <w:shd w:val="clear" w:color="auto" w:fill="auto"/>
          </w:tcPr>
          <w:p w:rsidRPr="005E399C" w:rsidR="00E9431D" w:rsidP="00E9431D" w:rsidRDefault="00E9431D">
            <w:pPr>
              <w:spacing w:before="240"/>
              <w:jc w:val="right"/>
              <w:rPr>
                <w:sz w:val="18"/>
                <w:szCs w:val="18"/>
              </w:rPr>
            </w:pPr>
            <w:r>
              <w:rPr>
                <w:sz w:val="18"/>
                <w:szCs w:val="18"/>
              </w:rPr>
              <w:t>$28.00</w:t>
            </w:r>
          </w:p>
          <w:p w:rsidRPr="005E399C" w:rsidR="00E9431D" w:rsidP="00E9431D" w:rsidRDefault="00E9431D">
            <w:pPr>
              <w:jc w:val="right"/>
              <w:rPr>
                <w:sz w:val="18"/>
                <w:szCs w:val="18"/>
              </w:rPr>
            </w:pPr>
          </w:p>
          <w:p w:rsidRPr="005E399C" w:rsidR="00E9431D" w:rsidP="00E9431D" w:rsidRDefault="00E9431D">
            <w:pPr>
              <w:jc w:val="right"/>
              <w:rPr>
                <w:sz w:val="18"/>
                <w:szCs w:val="18"/>
              </w:rPr>
            </w:pPr>
          </w:p>
          <w:p w:rsidRPr="005E399C" w:rsidR="00E9431D" w:rsidP="00E9431D" w:rsidRDefault="00E9431D">
            <w:pPr>
              <w:jc w:val="right"/>
              <w:rPr>
                <w:sz w:val="18"/>
                <w:szCs w:val="18"/>
              </w:rPr>
            </w:pPr>
          </w:p>
        </w:tc>
      </w:tr>
      <w:tr w:rsidR="00E9431D" w:rsidTr="00E9431D">
        <w:trPr>
          <w:trHeight w:val="1024"/>
        </w:trPr>
        <w:tc>
          <w:tcPr>
            <w:tcW w:w="1086" w:type="dxa"/>
            <w:shd w:val="clear" w:color="auto" w:fill="auto"/>
          </w:tcPr>
          <w:p w:rsidRPr="00695D34" w:rsidR="00E9431D" w:rsidP="00E9431D" w:rsidRDefault="00E9431D">
            <w:pPr>
              <w:spacing w:before="240"/>
              <w:rPr>
                <w:sz w:val="18"/>
                <w:szCs w:val="18"/>
              </w:rPr>
            </w:pPr>
            <w:r w:rsidRPr="00E82A9B">
              <w:rPr>
                <w:sz w:val="18"/>
                <w:szCs w:val="18"/>
              </w:rPr>
              <w:t>Former Spouse Survivor Annuity Election</w:t>
            </w:r>
          </w:p>
        </w:tc>
        <w:tc>
          <w:tcPr>
            <w:tcW w:w="995" w:type="dxa"/>
            <w:shd w:val="clear" w:color="auto" w:fill="auto"/>
          </w:tcPr>
          <w:p w:rsidR="00E9431D" w:rsidP="00E9431D" w:rsidRDefault="00E9431D">
            <w:pPr>
              <w:spacing w:before="240"/>
              <w:rPr>
                <w:sz w:val="18"/>
                <w:szCs w:val="18"/>
              </w:rPr>
            </w:pPr>
            <w:r>
              <w:rPr>
                <w:sz w:val="18"/>
                <w:szCs w:val="18"/>
              </w:rPr>
              <w:t>RI 20-64A</w:t>
            </w:r>
          </w:p>
        </w:tc>
        <w:tc>
          <w:tcPr>
            <w:tcW w:w="1244" w:type="dxa"/>
            <w:shd w:val="clear" w:color="auto" w:fill="auto"/>
          </w:tcPr>
          <w:p w:rsidR="00E9431D" w:rsidP="00E9431D" w:rsidRDefault="00E9431D">
            <w:pPr>
              <w:jc w:val="right"/>
              <w:rPr>
                <w:sz w:val="18"/>
                <w:szCs w:val="18"/>
              </w:rPr>
            </w:pPr>
          </w:p>
          <w:p w:rsidR="00E9431D" w:rsidP="00E9431D" w:rsidRDefault="00E9431D">
            <w:pPr>
              <w:jc w:val="right"/>
              <w:rPr>
                <w:sz w:val="18"/>
                <w:szCs w:val="18"/>
              </w:rPr>
            </w:pPr>
            <w:r>
              <w:rPr>
                <w:sz w:val="18"/>
                <w:szCs w:val="18"/>
              </w:rPr>
              <w:t>30</w:t>
            </w:r>
          </w:p>
        </w:tc>
        <w:tc>
          <w:tcPr>
            <w:tcW w:w="1178" w:type="dxa"/>
            <w:shd w:val="clear" w:color="auto" w:fill="auto"/>
          </w:tcPr>
          <w:p w:rsidRPr="005E399C" w:rsidR="00E9431D" w:rsidP="00E9431D" w:rsidRDefault="00E9431D">
            <w:pPr>
              <w:spacing w:before="240"/>
              <w:jc w:val="right"/>
              <w:rPr>
                <w:sz w:val="18"/>
                <w:szCs w:val="18"/>
              </w:rPr>
            </w:pPr>
            <w:r>
              <w:rPr>
                <w:sz w:val="18"/>
                <w:szCs w:val="18"/>
              </w:rPr>
              <w:t>1</w:t>
            </w:r>
          </w:p>
        </w:tc>
        <w:tc>
          <w:tcPr>
            <w:tcW w:w="1087" w:type="dxa"/>
            <w:shd w:val="clear" w:color="auto" w:fill="auto"/>
          </w:tcPr>
          <w:p w:rsidR="00E9431D" w:rsidP="00E9431D" w:rsidRDefault="00E9431D">
            <w:pPr>
              <w:spacing w:before="240"/>
              <w:jc w:val="center"/>
              <w:rPr>
                <w:sz w:val="18"/>
                <w:szCs w:val="18"/>
              </w:rPr>
            </w:pPr>
            <w:r>
              <w:rPr>
                <w:sz w:val="18"/>
                <w:szCs w:val="18"/>
              </w:rPr>
              <w:t xml:space="preserve">         .75</w:t>
            </w:r>
          </w:p>
        </w:tc>
        <w:tc>
          <w:tcPr>
            <w:tcW w:w="969" w:type="dxa"/>
            <w:shd w:val="clear" w:color="auto" w:fill="auto"/>
          </w:tcPr>
          <w:p w:rsidR="00E9431D" w:rsidP="00E9431D" w:rsidRDefault="00E9431D">
            <w:pPr>
              <w:spacing w:before="240"/>
              <w:jc w:val="right"/>
              <w:rPr>
                <w:sz w:val="18"/>
                <w:szCs w:val="18"/>
              </w:rPr>
            </w:pPr>
            <w:r>
              <w:rPr>
                <w:sz w:val="18"/>
                <w:szCs w:val="18"/>
              </w:rPr>
              <w:t>23</w:t>
            </w:r>
          </w:p>
        </w:tc>
        <w:tc>
          <w:tcPr>
            <w:tcW w:w="1010" w:type="dxa"/>
            <w:shd w:val="clear" w:color="auto" w:fill="auto"/>
          </w:tcPr>
          <w:p w:rsidR="00E9431D" w:rsidP="00E9431D" w:rsidRDefault="00E9431D">
            <w:pPr>
              <w:spacing w:before="240"/>
              <w:jc w:val="right"/>
              <w:rPr>
                <w:sz w:val="18"/>
                <w:szCs w:val="18"/>
              </w:rPr>
            </w:pPr>
            <w:r>
              <w:rPr>
                <w:sz w:val="18"/>
                <w:szCs w:val="18"/>
              </w:rPr>
              <w:t xml:space="preserve">      $16.13</w:t>
            </w:r>
          </w:p>
        </w:tc>
        <w:tc>
          <w:tcPr>
            <w:tcW w:w="1179" w:type="dxa"/>
            <w:shd w:val="clear" w:color="auto" w:fill="auto"/>
          </w:tcPr>
          <w:p w:rsidR="00E9431D" w:rsidP="00E9431D" w:rsidRDefault="00E9431D">
            <w:pPr>
              <w:spacing w:before="240"/>
              <w:jc w:val="right"/>
              <w:rPr>
                <w:sz w:val="18"/>
                <w:szCs w:val="18"/>
              </w:rPr>
            </w:pPr>
            <w:r>
              <w:rPr>
                <w:sz w:val="18"/>
                <w:szCs w:val="18"/>
              </w:rPr>
              <w:t>$605.00</w:t>
            </w:r>
          </w:p>
        </w:tc>
      </w:tr>
    </w:tbl>
    <w:p w:rsidR="00865CFF" w:rsidP="00D227E5" w:rsidRDefault="00865CFF">
      <w:pPr>
        <w:ind w:left="720"/>
      </w:pPr>
    </w:p>
    <w:p w:rsidR="00D227E5" w:rsidP="00D227E5" w:rsidRDefault="00D227E5"/>
    <w:p w:rsidR="00E9431D" w:rsidP="00E9431D" w:rsidRDefault="00E9431D">
      <w:r>
        <w:t xml:space="preserve">        </w:t>
      </w:r>
    </w:p>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E9431D" w:rsidP="00E9431D" w:rsidRDefault="00E9431D"/>
    <w:p w:rsidR="00D227E5" w:rsidP="00E9431D" w:rsidRDefault="00E9431D">
      <w:r>
        <w:t xml:space="preserve">       </w:t>
      </w:r>
      <w:r w:rsidR="00D227E5">
        <w:t>The Total Annual Respondent Cost is $</w:t>
      </w:r>
      <w:r w:rsidR="003F3D2E">
        <w:t>633.00</w:t>
      </w:r>
      <w:r w:rsidR="00D227E5">
        <w:t>.</w:t>
      </w:r>
    </w:p>
    <w:p w:rsidR="00D227E5" w:rsidP="00D227E5" w:rsidRDefault="00D227E5">
      <w:pPr>
        <w:ind w:firstLine="720"/>
      </w:pPr>
    </w:p>
    <w:p w:rsidRPr="00741061" w:rsidR="00E9431D" w:rsidP="00E9431D" w:rsidRDefault="00E9431D">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E9431D" w:rsidP="00E9431D" w:rsidRDefault="00E9431D">
      <w:pPr>
        <w:pStyle w:val="ListParagraph"/>
        <w:shd w:val="pct25" w:color="auto" w:fill="auto"/>
        <w:tabs>
          <w:tab w:val="left" w:pos="-720"/>
        </w:tabs>
        <w:suppressAutoHyphens/>
        <w:ind w:left="0"/>
      </w:pPr>
    </w:p>
    <w:p w:rsidRPr="00741061" w:rsidR="00E9431D" w:rsidP="00E9431D" w:rsidRDefault="00E9431D">
      <w:pPr>
        <w:pStyle w:val="ListParagraph"/>
        <w:shd w:val="pct25" w:color="auto" w:fill="auto"/>
        <w:tabs>
          <w:tab w:val="left" w:pos="-720"/>
          <w:tab w:val="left" w:pos="810"/>
        </w:tabs>
        <w:suppressAutoHyphens/>
        <w:ind w:left="0"/>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E9431D" w:rsidP="00E9431D" w:rsidRDefault="00E9431D">
      <w:pPr>
        <w:pStyle w:val="ListParagraph"/>
        <w:shd w:val="pct25" w:color="auto" w:fill="FFFFFF"/>
        <w:tabs>
          <w:tab w:val="left" w:pos="-720"/>
        </w:tabs>
        <w:suppressAutoHyphens/>
        <w:ind w:left="0"/>
      </w:pPr>
    </w:p>
    <w:p w:rsidRPr="00741061" w:rsidR="00E9431D" w:rsidP="00E9431D" w:rsidRDefault="00E9431D">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E9431D" w:rsidP="00E9431D" w:rsidRDefault="00E9431D">
      <w:pPr>
        <w:pStyle w:val="ListParagraph"/>
        <w:shd w:val="pct25" w:color="auto" w:fill="FFFFFF"/>
        <w:tabs>
          <w:tab w:val="left" w:pos="-720"/>
        </w:tabs>
        <w:suppressAutoHyphens/>
        <w:ind w:left="0"/>
      </w:pPr>
    </w:p>
    <w:p w:rsidRPr="00741061" w:rsidR="00E9431D" w:rsidP="00E9431D" w:rsidRDefault="00E9431D">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D227E5" w:rsidP="00C85B9F" w:rsidRDefault="00D227E5">
      <w:pPr>
        <w:ind w:left="360"/>
      </w:pPr>
    </w:p>
    <w:p w:rsidR="00792E8C" w:rsidP="00D227E5" w:rsidRDefault="00D227E5">
      <w:r>
        <w:t xml:space="preserve">       T</w:t>
      </w:r>
      <w:r w:rsidR="00792E8C">
        <w:t>here is no cost to the respondent.</w:t>
      </w:r>
    </w:p>
    <w:p w:rsidR="00E9431D" w:rsidP="00D227E5" w:rsidRDefault="00E9431D"/>
    <w:p w:rsidR="00E9431D" w:rsidP="00D227E5" w:rsidRDefault="00E9431D"/>
    <w:p w:rsidR="00E9431D" w:rsidP="00D227E5" w:rsidRDefault="00E9431D"/>
    <w:p w:rsidR="00E9431D" w:rsidP="00D227E5" w:rsidRDefault="00E9431D"/>
    <w:p w:rsidR="00D227E5" w:rsidP="00D227E5" w:rsidRDefault="00D227E5">
      <w:pPr>
        <w:ind w:left="720"/>
      </w:pPr>
    </w:p>
    <w:p w:rsidR="00D227E5" w:rsidP="00D227E5" w:rsidRDefault="00D227E5">
      <w:pPr>
        <w:shd w:val="pct25" w:color="auto" w:fill="auto"/>
        <w:tabs>
          <w:tab w:val="left" w:pos="-720"/>
        </w:tabs>
        <w:suppressAutoHyphens/>
      </w:pPr>
      <w:bookmarkStart w:name="_Hlk44263344" w:id="12"/>
      <w:r w:rsidRPr="00741061">
        <w:t xml:space="preserve">14.  Provide estimates of annualized cost to the Federal Government.  Also, provide a description </w:t>
      </w:r>
    </w:p>
    <w:p w:rsidR="00D227E5" w:rsidP="00D227E5" w:rsidRDefault="00D227E5">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D227E5" w:rsidP="00D227E5" w:rsidRDefault="00D227E5">
      <w:pPr>
        <w:shd w:val="pct25" w:color="auto" w:fill="auto"/>
        <w:tabs>
          <w:tab w:val="left" w:pos="-720"/>
        </w:tabs>
        <w:suppressAutoHyphens/>
      </w:pPr>
      <w:r>
        <w:t xml:space="preserve">       </w:t>
      </w:r>
      <w:r w:rsidRPr="00741061">
        <w:t xml:space="preserve">operational expenses (such as equipment, overhead, printing and support staff), and any </w:t>
      </w:r>
    </w:p>
    <w:p w:rsidR="00D227E5" w:rsidP="00D227E5" w:rsidRDefault="00D227E5">
      <w:pPr>
        <w:shd w:val="pct25" w:color="auto" w:fill="auto"/>
        <w:tabs>
          <w:tab w:val="left" w:pos="-720"/>
        </w:tabs>
        <w:suppressAutoHyphens/>
      </w:pPr>
      <w:r>
        <w:t xml:space="preserve">       </w:t>
      </w:r>
      <w:r w:rsidRPr="00741061">
        <w:t xml:space="preserve">other expense that would have been incurred without this collection of information. </w:t>
      </w:r>
      <w:r>
        <w:t>Y</w:t>
      </w:r>
      <w:r w:rsidRPr="00741061">
        <w:t xml:space="preserve">ou </w:t>
      </w:r>
    </w:p>
    <w:p w:rsidR="00D227E5" w:rsidP="00D227E5" w:rsidRDefault="00D227E5">
      <w:pPr>
        <w:shd w:val="pct25" w:color="auto" w:fill="auto"/>
        <w:tabs>
          <w:tab w:val="left" w:pos="-720"/>
        </w:tabs>
        <w:suppressAutoHyphens/>
      </w:pPr>
      <w:r>
        <w:t xml:space="preserve">       </w:t>
      </w:r>
      <w:r w:rsidRPr="00741061">
        <w:t>may also aggregate cost estimates for Items 12,</w:t>
      </w:r>
      <w:r>
        <w:t xml:space="preserve"> 13, and 14 in a single table.</w:t>
      </w:r>
    </w:p>
    <w:bookmarkEnd w:id="12"/>
    <w:p w:rsidR="00E9431D" w:rsidP="00D227E5" w:rsidRDefault="00003354">
      <w:r>
        <w:t xml:space="preserve">    </w:t>
      </w:r>
      <w:r w:rsidR="00D227E5">
        <w:t xml:space="preserve">   </w:t>
      </w:r>
    </w:p>
    <w:p w:rsidR="00766E0A" w:rsidP="00E9431D" w:rsidRDefault="00E9431D">
      <w:r>
        <w:t xml:space="preserve">       </w:t>
      </w:r>
      <w:r w:rsidR="00766E0A">
        <w:t>We estimate that the annualized cost to the Government is approximately</w:t>
      </w:r>
      <w:r w:rsidR="00792E8C">
        <w:t xml:space="preserve"> $1,</w:t>
      </w:r>
      <w:r w:rsidR="005E6172">
        <w:t>412</w:t>
      </w:r>
      <w:r w:rsidR="00C85B9F">
        <w:t>.</w:t>
      </w:r>
      <w:r w:rsidR="00CA36DE">
        <w:t xml:space="preserve"> </w:t>
      </w:r>
      <w:r w:rsidR="00792E8C">
        <w:t xml:space="preserve">This </w:t>
      </w:r>
    </w:p>
    <w:p w:rsidR="00792E8C" w:rsidP="00D227E5" w:rsidRDefault="00766E0A">
      <w:r>
        <w:t xml:space="preserve">       </w:t>
      </w:r>
      <w:r w:rsidR="00792E8C">
        <w:t>cost includes employee salary hours devoted to the program, forms cost, and overhead.</w:t>
      </w:r>
    </w:p>
    <w:p w:rsidR="00792E8C" w:rsidRDefault="00792E8C"/>
    <w:p w:rsidR="00D227E5" w:rsidP="00D227E5" w:rsidRDefault="00D227E5">
      <w:pPr>
        <w:pStyle w:val="ListParagraph"/>
        <w:shd w:val="pct25" w:color="auto" w:fill="auto"/>
        <w:tabs>
          <w:tab w:val="left" w:pos="-720"/>
        </w:tabs>
        <w:suppressAutoHyphens/>
        <w:ind w:left="0"/>
      </w:pPr>
      <w:bookmarkStart w:name="_Hlk44263420" w:id="13"/>
      <w:r w:rsidRPr="00741061">
        <w:t xml:space="preserve">15.  Explain the reasons for any program changes or adjustments reported in Items 13 or 14 of </w:t>
      </w:r>
    </w:p>
    <w:p w:rsidR="00D227E5" w:rsidP="00D227E5" w:rsidRDefault="00D227E5">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D227E5" w:rsidP="00D227E5" w:rsidRDefault="00D227E5">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D227E5" w:rsidP="00D227E5" w:rsidRDefault="00D227E5">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D227E5" w:rsidP="00D227E5" w:rsidRDefault="00D227E5">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D227E5" w:rsidP="00D227E5" w:rsidRDefault="00D227E5">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D227E5" w:rsidP="00D227E5" w:rsidRDefault="00D227E5">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Pr="00741061" w:rsidR="00D227E5" w:rsidP="00D227E5" w:rsidRDefault="00D227E5">
      <w:pPr>
        <w:pStyle w:val="ListParagraph"/>
        <w:shd w:val="pct25" w:color="auto" w:fill="auto"/>
        <w:tabs>
          <w:tab w:val="left" w:pos="-720"/>
        </w:tabs>
        <w:suppressAutoHyphens/>
        <w:ind w:left="0"/>
      </w:pPr>
      <w:r>
        <w:t xml:space="preserve">      </w:t>
      </w:r>
      <w:r w:rsidRPr="00741061">
        <w:t xml:space="preserve">Federal government are recorded as adjustments. </w:t>
      </w:r>
    </w:p>
    <w:bookmarkEnd w:id="13"/>
    <w:p w:rsidR="00D227E5" w:rsidRDefault="00D227E5"/>
    <w:p w:rsidR="00792E8C" w:rsidP="00D227E5" w:rsidRDefault="00D227E5">
      <w:r>
        <w:t xml:space="preserve">      </w:t>
      </w:r>
      <w:r w:rsidR="00792E8C">
        <w:t xml:space="preserve">There is </w:t>
      </w:r>
      <w:r w:rsidR="004A0D8D">
        <w:t>no change in the respondent burden.</w:t>
      </w:r>
    </w:p>
    <w:p w:rsidR="00792E8C" w:rsidRDefault="00792E8C"/>
    <w:p w:rsidR="00D227E5" w:rsidP="00D227E5" w:rsidRDefault="00D227E5">
      <w:pPr>
        <w:pStyle w:val="ListParagraph"/>
        <w:shd w:val="pct25" w:color="auto" w:fill="auto"/>
        <w:tabs>
          <w:tab w:val="left" w:pos="-720"/>
        </w:tabs>
        <w:suppressAutoHyphens/>
        <w:ind w:left="0"/>
      </w:pPr>
      <w:bookmarkStart w:name="_Hlk44263447" w:id="14"/>
      <w:r w:rsidRPr="00741061">
        <w:t xml:space="preserve">16.  For collections of information whose results will be published, outline plans for tabulation </w:t>
      </w:r>
    </w:p>
    <w:p w:rsidR="00D227E5" w:rsidP="00D227E5" w:rsidRDefault="00D227E5">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D227E5" w:rsidP="00D227E5" w:rsidRDefault="00D227E5">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D227E5" w:rsidP="00D227E5" w:rsidRDefault="00D227E5">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bookmarkEnd w:id="14"/>
    <w:p w:rsidR="00D227E5" w:rsidRDefault="00D227E5"/>
    <w:p w:rsidR="00792E8C" w:rsidP="00D227E5" w:rsidRDefault="00D227E5">
      <w:r>
        <w:t xml:space="preserve">       </w:t>
      </w:r>
      <w:r w:rsidR="00792E8C">
        <w:t>The results of this information collection are not published.</w:t>
      </w:r>
    </w:p>
    <w:p w:rsidR="00D227E5" w:rsidP="00D227E5" w:rsidRDefault="00D227E5"/>
    <w:p w:rsidR="00D227E5" w:rsidP="00D227E5" w:rsidRDefault="00D227E5">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D227E5" w:rsidP="00D227E5" w:rsidRDefault="00D227E5">
      <w:pPr>
        <w:pStyle w:val="ListParagraph"/>
        <w:shd w:val="pct25" w:color="auto" w:fill="auto"/>
        <w:tabs>
          <w:tab w:val="left" w:pos="-720"/>
        </w:tabs>
        <w:suppressAutoHyphens/>
        <w:ind w:left="0"/>
      </w:pPr>
      <w:r>
        <w:t xml:space="preserve">       </w:t>
      </w:r>
      <w:r w:rsidRPr="00741061">
        <w:t>collection, explain reasons that display would be inappropriate.</w:t>
      </w:r>
    </w:p>
    <w:p w:rsidR="00D227E5" w:rsidP="00D227E5" w:rsidRDefault="00D227E5"/>
    <w:p w:rsidR="00D227E5" w:rsidP="00D227E5" w:rsidRDefault="00D227E5">
      <w:bookmarkStart w:name="_Hlk44263523" w:id="15"/>
      <w:r>
        <w:t xml:space="preserve">      </w:t>
      </w:r>
      <w:r w:rsidR="00003354">
        <w:t xml:space="preserve"> </w:t>
      </w:r>
      <w:r>
        <w:t xml:space="preserve">The Retirement Services program office is the lone processor of the data collected on these </w:t>
      </w:r>
    </w:p>
    <w:p w:rsidR="00D227E5" w:rsidP="00D227E5" w:rsidRDefault="00D227E5">
      <w:r>
        <w:t xml:space="preserve">       ICRs from approximately 2.8 million customers. The substance of each information  </w:t>
      </w:r>
    </w:p>
    <w:p w:rsidR="00D227E5" w:rsidP="00D227E5" w:rsidRDefault="00D227E5">
      <w:r>
        <w:t xml:space="preserve">       collection does not substantively change at each OMB renewal cycle, but according to  </w:t>
      </w:r>
    </w:p>
    <w:p w:rsidR="00D227E5" w:rsidP="00D227E5" w:rsidRDefault="00D227E5">
      <w:r>
        <w:t xml:space="preserve">       changes in law and regulation. These forms are printed and published (internet, intranet and </w:t>
      </w:r>
    </w:p>
    <w:p w:rsidR="00D227E5" w:rsidP="00D227E5" w:rsidRDefault="00D227E5">
      <w:r>
        <w:t xml:space="preserve">       on-board systems) through various agencies for distribution to and implementation by </w:t>
      </w:r>
    </w:p>
    <w:p w:rsidR="00D227E5" w:rsidP="00D227E5" w:rsidRDefault="00D227E5">
      <w:r>
        <w:t xml:space="preserve">       Government customers. Pursuant to title 5 CFR 1320.8(b)(1), it would not be appropriate to </w:t>
      </w:r>
    </w:p>
    <w:p w:rsidR="00D227E5" w:rsidP="00D227E5" w:rsidRDefault="00D227E5">
      <w:r>
        <w:t xml:space="preserve">       display the OMB clearance expiration date where the form will not be revised for the </w:t>
      </w:r>
    </w:p>
    <w:p w:rsidR="00D227E5" w:rsidP="00D227E5" w:rsidRDefault="00D227E5">
      <w:r>
        <w:t xml:space="preserve">       foreseeable future (e.g., because it is used to collect applicant, annuitant, or beneficiary </w:t>
      </w:r>
    </w:p>
    <w:p w:rsidR="00D227E5" w:rsidP="00D227E5" w:rsidRDefault="00D227E5">
      <w:r>
        <w:t xml:space="preserve">       information required by long-standing statutory provisions), where use of the paper form is </w:t>
      </w:r>
    </w:p>
    <w:p w:rsidR="00D227E5" w:rsidP="00D227E5" w:rsidRDefault="00D227E5">
      <w:r>
        <w:t xml:space="preserve">       prevalent, and where, accordingly, it will be expensive and burdensome to restock the paper </w:t>
      </w:r>
    </w:p>
    <w:p w:rsidR="00D227E5" w:rsidP="00D227E5" w:rsidRDefault="00D227E5">
      <w:r>
        <w:t xml:space="preserve">       forms inventory with a new version. Last year, under current practice, Retirement Services </w:t>
      </w:r>
    </w:p>
    <w:p w:rsidR="00D227E5" w:rsidP="00D227E5" w:rsidRDefault="00D227E5">
      <w:r>
        <w:t xml:space="preserve">       printed approximately 2 million documents subject to OMB clearance at a cost of </w:t>
      </w:r>
    </w:p>
    <w:p w:rsidR="00D227E5" w:rsidP="00D227E5" w:rsidRDefault="00D227E5">
      <w:r>
        <w:t xml:space="preserve">       approximately $85,000. Our costs would rise substantially if additional revision cycles are </w:t>
      </w:r>
    </w:p>
    <w:p w:rsidR="00D227E5" w:rsidP="00D227E5" w:rsidRDefault="00D227E5">
      <w:r>
        <w:t xml:space="preserve">       added. Lastly, by adding the OMB clearance expiration date to the existing format, the end </w:t>
      </w:r>
    </w:p>
    <w:p w:rsidR="00D227E5" w:rsidP="00D227E5" w:rsidRDefault="00D227E5">
      <w:r>
        <w:t xml:space="preserve">       users of OPM’s ICRs may erroneously assume that the expiration date affects the validity of  </w:t>
      </w:r>
    </w:p>
    <w:p w:rsidR="00D227E5" w:rsidP="00D227E5" w:rsidRDefault="00D227E5">
      <w:r>
        <w:t xml:space="preserve">       the information collection when it is the OMB clearance expiration date and not reflective of  </w:t>
      </w:r>
    </w:p>
    <w:p w:rsidR="00D227E5" w:rsidP="00D227E5" w:rsidRDefault="00D227E5">
      <w:r>
        <w:t xml:space="preserve">       the substance. This may lead to additional submissions by customers, possible litigation and   </w:t>
      </w:r>
    </w:p>
    <w:p w:rsidR="00D227E5" w:rsidP="00D227E5" w:rsidRDefault="00D227E5">
      <w:r>
        <w:t xml:space="preserve">       increasing pressures on our Operations workloads.  Therefore, we seek approval to not </w:t>
      </w:r>
    </w:p>
    <w:p w:rsidR="00865CFF" w:rsidP="00D227E5" w:rsidRDefault="00D227E5">
      <w:r>
        <w:t xml:space="preserve">      </w:t>
      </w:r>
      <w:r w:rsidR="00865CFF">
        <w:t xml:space="preserve"> </w:t>
      </w:r>
      <w:r>
        <w:t xml:space="preserve">display the OMB clearance expiration date on the forms and to communicate version </w:t>
      </w:r>
    </w:p>
    <w:p w:rsidR="00D227E5" w:rsidP="00D227E5" w:rsidRDefault="00865CFF">
      <w:r>
        <w:t xml:space="preserve">       </w:t>
      </w:r>
      <w:r w:rsidR="00D227E5">
        <w:t>changes to the public via the revision date. The results of this collection are not published.</w:t>
      </w:r>
    </w:p>
    <w:bookmarkEnd w:id="15"/>
    <w:p w:rsidR="00D227E5" w:rsidP="00D227E5" w:rsidRDefault="00D227E5"/>
    <w:p w:rsidRPr="00741061" w:rsidR="00D227E5" w:rsidP="00D227E5" w:rsidRDefault="00D227E5">
      <w:pPr>
        <w:pStyle w:val="ListParagraph"/>
        <w:shd w:val="pct25" w:color="auto" w:fill="auto"/>
        <w:tabs>
          <w:tab w:val="left" w:pos="-720"/>
        </w:tabs>
        <w:suppressAutoHyphens/>
        <w:ind w:left="0"/>
      </w:pPr>
      <w:bookmarkStart w:name="_Hlk44263544" w:id="16"/>
      <w:r w:rsidRPr="00741061">
        <w:t xml:space="preserve">18.  Explain each exception to the certification statement identified in Item 19 “Certification for </w:t>
      </w:r>
      <w:r>
        <w:br/>
        <w:t xml:space="preserve">       </w:t>
      </w:r>
      <w:r w:rsidRPr="00741061">
        <w:t>Paperwork Reduction Act Submissions,” of OMB Form 83-I.</w:t>
      </w:r>
    </w:p>
    <w:bookmarkEnd w:id="16"/>
    <w:p w:rsidR="00865CFF" w:rsidP="00D227E5" w:rsidRDefault="00D227E5">
      <w:r>
        <w:t xml:space="preserve">       </w:t>
      </w:r>
    </w:p>
    <w:p w:rsidR="00792E8C" w:rsidP="00865CFF" w:rsidRDefault="00865CFF">
      <w:r>
        <w:t xml:space="preserve">       </w:t>
      </w:r>
      <w:r w:rsidR="00792E8C">
        <w:t>There are no exceptions to the certification statement.</w:t>
      </w:r>
    </w:p>
    <w:sectPr w:rsidR="00792E8C">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551F"/>
    <w:multiLevelType w:val="singleLevel"/>
    <w:tmpl w:val="ABE04C94"/>
    <w:lvl w:ilvl="0">
      <w:start w:val="2"/>
      <w:numFmt w:val="decimal"/>
      <w:lvlText w:val="%1."/>
      <w:lvlJc w:val="left"/>
      <w:pPr>
        <w:tabs>
          <w:tab w:val="num" w:pos="720"/>
        </w:tabs>
        <w:ind w:left="720" w:hanging="360"/>
      </w:pPr>
      <w:rPr>
        <w:rFonts w:hint="default"/>
      </w:rPr>
    </w:lvl>
  </w:abstractNum>
  <w:abstractNum w:abstractNumId="1" w15:restartNumberingAfterBreak="0">
    <w:nsid w:val="530B26D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411"/>
    <w:rsid w:val="00003354"/>
    <w:rsid w:val="0001481B"/>
    <w:rsid w:val="00060AD2"/>
    <w:rsid w:val="000A4581"/>
    <w:rsid w:val="00155A95"/>
    <w:rsid w:val="002763B1"/>
    <w:rsid w:val="00286A7F"/>
    <w:rsid w:val="002B2411"/>
    <w:rsid w:val="002C6552"/>
    <w:rsid w:val="003C0333"/>
    <w:rsid w:val="003F3D2E"/>
    <w:rsid w:val="00452FBB"/>
    <w:rsid w:val="0049707D"/>
    <w:rsid w:val="004A0D8D"/>
    <w:rsid w:val="005E6172"/>
    <w:rsid w:val="00751878"/>
    <w:rsid w:val="00766E0A"/>
    <w:rsid w:val="00792E8C"/>
    <w:rsid w:val="00865CFF"/>
    <w:rsid w:val="008C7028"/>
    <w:rsid w:val="008F4E86"/>
    <w:rsid w:val="00947164"/>
    <w:rsid w:val="00956207"/>
    <w:rsid w:val="009624B4"/>
    <w:rsid w:val="009714E7"/>
    <w:rsid w:val="00AB500F"/>
    <w:rsid w:val="00B2113B"/>
    <w:rsid w:val="00B62912"/>
    <w:rsid w:val="00B64FE3"/>
    <w:rsid w:val="00BA6E37"/>
    <w:rsid w:val="00BF1B45"/>
    <w:rsid w:val="00C34BD8"/>
    <w:rsid w:val="00C85B9F"/>
    <w:rsid w:val="00CA36DE"/>
    <w:rsid w:val="00CD0272"/>
    <w:rsid w:val="00D227E5"/>
    <w:rsid w:val="00DF3D2A"/>
    <w:rsid w:val="00E0375E"/>
    <w:rsid w:val="00E127EB"/>
    <w:rsid w:val="00E82A9B"/>
    <w:rsid w:val="00E9431D"/>
    <w:rsid w:val="00EB4F66"/>
    <w:rsid w:val="00F06DF6"/>
    <w:rsid w:val="00F2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85056D-FD69-44E0-9EA1-13F6A057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B2113B"/>
    <w:pPr>
      <w:ind w:left="720"/>
    </w:pPr>
  </w:style>
  <w:style w:type="paragraph" w:styleId="BalloonText">
    <w:name w:val="Balloon Text"/>
    <w:basedOn w:val="Normal"/>
    <w:link w:val="BalloonTextChar"/>
    <w:uiPriority w:val="99"/>
    <w:semiHidden/>
    <w:unhideWhenUsed/>
    <w:rsid w:val="00766E0A"/>
    <w:rPr>
      <w:rFonts w:ascii="Segoe UI" w:hAnsi="Segoe UI" w:cs="Segoe UI"/>
      <w:sz w:val="18"/>
      <w:szCs w:val="18"/>
    </w:rPr>
  </w:style>
  <w:style w:type="character" w:customStyle="1" w:styleId="BalloonTextChar">
    <w:name w:val="Balloon Text Char"/>
    <w:link w:val="BalloonText"/>
    <w:uiPriority w:val="99"/>
    <w:semiHidden/>
    <w:rsid w:val="00766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2016-11-07T14:38:00Z</cp:lastPrinted>
  <dcterms:created xsi:type="dcterms:W3CDTF">2020-10-08T00:56:00Z</dcterms:created>
  <dcterms:modified xsi:type="dcterms:W3CDTF">2020-10-08T00:56:00Z</dcterms:modified>
</cp:coreProperties>
</file>