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3414" w:rsidR="000F4D0A" w:rsidP="00FA3A49" w:rsidRDefault="006B1273" w14:paraId="2C0CF1A9" w14:textId="77777777">
      <w:pPr>
        <w:jc w:val="center"/>
        <w:rPr>
          <w:b/>
          <w:bCs/>
        </w:rPr>
      </w:pPr>
      <w:r>
        <w:rPr>
          <w:b/>
          <w:bCs/>
        </w:rPr>
        <w:t xml:space="preserve"> </w:t>
      </w:r>
    </w:p>
    <w:p w:rsidRPr="00853414" w:rsidR="000F4D0A" w:rsidP="00FA3A49" w:rsidRDefault="000F4D0A" w14:paraId="079F9D77" w14:textId="77777777">
      <w:pPr>
        <w:jc w:val="center"/>
        <w:rPr>
          <w:b/>
          <w:bCs/>
        </w:rPr>
      </w:pPr>
    </w:p>
    <w:p w:rsidRPr="00853414" w:rsidR="000F4D0A" w:rsidP="00FA3A49" w:rsidRDefault="000F4D0A" w14:paraId="11689322" w14:textId="77777777">
      <w:pPr>
        <w:jc w:val="center"/>
        <w:rPr>
          <w:b/>
          <w:bCs/>
        </w:rPr>
      </w:pPr>
    </w:p>
    <w:p w:rsidRPr="00FD280F" w:rsidR="00853414" w:rsidP="00FA3A49" w:rsidRDefault="000F4D0A" w14:paraId="73E13BF7" w14:textId="77777777">
      <w:pPr>
        <w:jc w:val="center"/>
        <w:rPr>
          <w:b/>
          <w:bCs/>
          <w:sz w:val="32"/>
          <w:szCs w:val="32"/>
        </w:rPr>
      </w:pPr>
      <w:r w:rsidRPr="00FD280F">
        <w:rPr>
          <w:b/>
          <w:bCs/>
          <w:sz w:val="32"/>
          <w:szCs w:val="32"/>
        </w:rPr>
        <w:t>Supporting Statement</w:t>
      </w:r>
      <w:r w:rsidRPr="00FD280F" w:rsidR="00853414">
        <w:rPr>
          <w:b/>
          <w:bCs/>
          <w:sz w:val="32"/>
          <w:szCs w:val="32"/>
        </w:rPr>
        <w:t xml:space="preserve"> </w:t>
      </w:r>
      <w:r w:rsidRPr="00FD280F">
        <w:rPr>
          <w:b/>
          <w:bCs/>
          <w:sz w:val="32"/>
          <w:szCs w:val="32"/>
        </w:rPr>
        <w:t>For</w:t>
      </w:r>
    </w:p>
    <w:p w:rsidR="00137205" w:rsidP="00FA3A49" w:rsidRDefault="000F4D0A" w14:paraId="22C670E9" w14:textId="77777777">
      <w:pPr>
        <w:jc w:val="center"/>
        <w:rPr>
          <w:b/>
          <w:bCs/>
          <w:sz w:val="32"/>
          <w:szCs w:val="32"/>
        </w:rPr>
      </w:pPr>
      <w:r w:rsidRPr="00FD280F">
        <w:rPr>
          <w:b/>
          <w:bCs/>
          <w:sz w:val="32"/>
          <w:szCs w:val="32"/>
        </w:rPr>
        <w:t>Information Collection Request (ICR)</w:t>
      </w:r>
      <w:r w:rsidRPr="00FD280F" w:rsidR="00853414">
        <w:rPr>
          <w:b/>
          <w:bCs/>
          <w:sz w:val="32"/>
          <w:szCs w:val="32"/>
        </w:rPr>
        <w:t xml:space="preserve"> </w:t>
      </w:r>
    </w:p>
    <w:p w:rsidRPr="00FD280F" w:rsidR="000F4D0A" w:rsidP="00FA3A49" w:rsidRDefault="00853414" w14:paraId="31E66FFD" w14:textId="77777777">
      <w:pPr>
        <w:jc w:val="center"/>
        <w:rPr>
          <w:b/>
          <w:bCs/>
          <w:sz w:val="32"/>
          <w:szCs w:val="32"/>
        </w:rPr>
      </w:pPr>
      <w:r w:rsidRPr="00FD280F">
        <w:rPr>
          <w:b/>
          <w:bCs/>
          <w:sz w:val="32"/>
          <w:szCs w:val="32"/>
        </w:rPr>
        <w:t xml:space="preserve">Number </w:t>
      </w:r>
      <w:r w:rsidR="000732AC">
        <w:rPr>
          <w:b/>
          <w:bCs/>
          <w:sz w:val="32"/>
          <w:szCs w:val="32"/>
        </w:rPr>
        <w:t>0</w:t>
      </w:r>
      <w:r w:rsidRPr="00FD280F">
        <w:rPr>
          <w:b/>
          <w:bCs/>
          <w:sz w:val="32"/>
          <w:szCs w:val="32"/>
        </w:rPr>
        <w:t>801.2</w:t>
      </w:r>
      <w:r w:rsidR="00D85ADE">
        <w:rPr>
          <w:b/>
          <w:bCs/>
          <w:sz w:val="32"/>
          <w:szCs w:val="32"/>
        </w:rPr>
        <w:t>5</w:t>
      </w:r>
      <w:r w:rsidR="00137205">
        <w:rPr>
          <w:b/>
          <w:bCs/>
          <w:sz w:val="32"/>
          <w:szCs w:val="32"/>
        </w:rPr>
        <w:t xml:space="preserve">, </w:t>
      </w:r>
      <w:r w:rsidRPr="00137205" w:rsidR="00137205">
        <w:rPr>
          <w:b/>
          <w:bCs/>
          <w:sz w:val="32"/>
          <w:szCs w:val="32"/>
        </w:rPr>
        <w:t>OMB Control No. 2050-0039</w:t>
      </w:r>
    </w:p>
    <w:p w:rsidR="00CB1379" w:rsidP="00FA3A49" w:rsidRDefault="00765A25" w14:paraId="7063127A" w14:textId="77777777">
      <w:pPr>
        <w:jc w:val="center"/>
        <w:rPr>
          <w:b/>
          <w:bCs/>
          <w:sz w:val="32"/>
          <w:szCs w:val="32"/>
        </w:rPr>
      </w:pPr>
      <w:r w:rsidRPr="00FD280F">
        <w:rPr>
          <w:b/>
          <w:bCs/>
          <w:sz w:val="32"/>
          <w:szCs w:val="32"/>
        </w:rPr>
        <w:t>“</w:t>
      </w:r>
      <w:r w:rsidRPr="00FD280F" w:rsidR="000F4D0A">
        <w:rPr>
          <w:b/>
          <w:bCs/>
          <w:sz w:val="32"/>
          <w:szCs w:val="32"/>
        </w:rPr>
        <w:t>Requirements for Generators, Transporters,</w:t>
      </w:r>
      <w:r w:rsidRPr="00FD280F" w:rsidR="00E128AB">
        <w:rPr>
          <w:b/>
          <w:bCs/>
          <w:sz w:val="32"/>
          <w:szCs w:val="32"/>
        </w:rPr>
        <w:t xml:space="preserve"> and</w:t>
      </w:r>
      <w:r w:rsidRPr="00FD280F" w:rsidR="000F4D0A">
        <w:rPr>
          <w:b/>
          <w:bCs/>
          <w:sz w:val="32"/>
          <w:szCs w:val="32"/>
        </w:rPr>
        <w:t xml:space="preserve"> Waste Management Facilities</w:t>
      </w:r>
      <w:r w:rsidRPr="00FD280F" w:rsidR="00C55E82">
        <w:rPr>
          <w:b/>
          <w:bCs/>
          <w:sz w:val="32"/>
          <w:szCs w:val="32"/>
        </w:rPr>
        <w:t xml:space="preserve"> </w:t>
      </w:r>
      <w:r w:rsidRPr="00FD280F" w:rsidR="001F2EDC">
        <w:rPr>
          <w:b/>
          <w:bCs/>
          <w:sz w:val="32"/>
          <w:szCs w:val="32"/>
        </w:rPr>
        <w:t>u</w:t>
      </w:r>
      <w:r w:rsidRPr="00FD280F" w:rsidR="000F4D0A">
        <w:rPr>
          <w:b/>
          <w:bCs/>
          <w:sz w:val="32"/>
          <w:szCs w:val="32"/>
        </w:rPr>
        <w:t>nder the</w:t>
      </w:r>
      <w:r w:rsidRPr="00FD280F" w:rsidR="00E128AB">
        <w:rPr>
          <w:b/>
          <w:bCs/>
          <w:sz w:val="32"/>
          <w:szCs w:val="32"/>
        </w:rPr>
        <w:t xml:space="preserve"> </w:t>
      </w:r>
      <w:r w:rsidRPr="00FD280F" w:rsidR="000F4D0A">
        <w:rPr>
          <w:b/>
          <w:bCs/>
          <w:sz w:val="32"/>
          <w:szCs w:val="32"/>
        </w:rPr>
        <w:t xml:space="preserve">RCRA </w:t>
      </w:r>
    </w:p>
    <w:p w:rsidRPr="00853414" w:rsidR="008C349D" w:rsidP="00352918" w:rsidRDefault="000F4D0A" w14:paraId="7960F38A" w14:textId="1E797FF6">
      <w:pPr>
        <w:jc w:val="center"/>
      </w:pPr>
      <w:r w:rsidRPr="00FD280F">
        <w:rPr>
          <w:b/>
          <w:bCs/>
          <w:sz w:val="32"/>
          <w:szCs w:val="32"/>
        </w:rPr>
        <w:t xml:space="preserve">Hazardous Waste Manifest </w:t>
      </w:r>
      <w:r w:rsidRPr="00FD280F" w:rsidR="00C55E82">
        <w:rPr>
          <w:b/>
          <w:bCs/>
          <w:sz w:val="32"/>
          <w:szCs w:val="32"/>
        </w:rPr>
        <w:t>S</w:t>
      </w:r>
      <w:r w:rsidRPr="00FD280F">
        <w:rPr>
          <w:b/>
          <w:bCs/>
          <w:sz w:val="32"/>
          <w:szCs w:val="32"/>
        </w:rPr>
        <w:t>ystem</w:t>
      </w:r>
      <w:r w:rsidRPr="00FD280F" w:rsidR="00765A25">
        <w:rPr>
          <w:b/>
          <w:bCs/>
          <w:sz w:val="32"/>
          <w:szCs w:val="32"/>
        </w:rPr>
        <w:t>”</w:t>
      </w:r>
      <w:r w:rsidDel="00FA66CC" w:rsidR="00FA66CC">
        <w:rPr>
          <w:b/>
          <w:bCs/>
          <w:sz w:val="32"/>
          <w:szCs w:val="32"/>
        </w:rPr>
        <w:t xml:space="preserve"> </w:t>
      </w:r>
    </w:p>
    <w:p w:rsidRPr="00B443EB" w:rsidR="002A757C" w:rsidP="00FA3A49" w:rsidRDefault="002A757C" w14:paraId="502C80C3" w14:textId="77777777"/>
    <w:p w:rsidR="00DF4B1B" w:rsidP="00FA66CC" w:rsidRDefault="00DF4B1B" w14:paraId="0352667A" w14:textId="77777777">
      <w:pPr>
        <w:rPr>
          <w:b/>
        </w:rPr>
      </w:pPr>
      <w:bookmarkStart w:name="_Toc7446063" w:id="0"/>
    </w:p>
    <w:p w:rsidRPr="00C425CF" w:rsidR="00FA66CC" w:rsidP="00FA66CC" w:rsidRDefault="00FA66CC" w14:paraId="2B72F356" w14:textId="38DFF8A3">
      <w:pPr>
        <w:rPr>
          <w:b/>
        </w:rPr>
      </w:pPr>
      <w:r w:rsidRPr="00C425CF">
        <w:rPr>
          <w:b/>
        </w:rPr>
        <w:t>1. Explain the circumstances that make the collection of information necessary. Identify any</w:t>
      </w:r>
      <w:r>
        <w:rPr>
          <w:b/>
        </w:rPr>
        <w:t xml:space="preserve"> </w:t>
      </w:r>
      <w:r w:rsidRPr="00C425CF">
        <w:rPr>
          <w:b/>
        </w:rPr>
        <w:t>legal or administrative requirements that necessitate the collection. Attach a copy of the</w:t>
      </w:r>
      <w:r>
        <w:rPr>
          <w:b/>
        </w:rPr>
        <w:t xml:space="preserve"> </w:t>
      </w:r>
      <w:r w:rsidRPr="00C425CF">
        <w:rPr>
          <w:b/>
        </w:rPr>
        <w:t>appropriate section of each statute and regulation mandating or authorizing the collection of</w:t>
      </w:r>
      <w:r>
        <w:rPr>
          <w:b/>
        </w:rPr>
        <w:t xml:space="preserve"> </w:t>
      </w:r>
      <w:r w:rsidRPr="00C425CF">
        <w:rPr>
          <w:b/>
        </w:rPr>
        <w:t>information.</w:t>
      </w:r>
    </w:p>
    <w:bookmarkEnd w:id="0"/>
    <w:p w:rsidRPr="00853414" w:rsidR="000F4D0A" w:rsidP="00B443EB" w:rsidRDefault="000F4D0A" w14:paraId="4FFBF624" w14:textId="77777777">
      <w:pPr>
        <w:keepNext/>
      </w:pPr>
    </w:p>
    <w:p w:rsidR="00AF63C6" w:rsidP="00FA3A49" w:rsidRDefault="00697886" w14:paraId="101E9D38" w14:textId="77777777">
      <w:r w:rsidRPr="00853414">
        <w:t>EPA’s authority to require use of a hazardous waste manife</w:t>
      </w:r>
      <w:r w:rsidR="00C55E82">
        <w:t>st system stems primarily from s</w:t>
      </w:r>
      <w:r w:rsidRPr="00853414">
        <w:t>ection 3002(a)(5) of RCRA</w:t>
      </w:r>
      <w:r w:rsidR="003D416D">
        <w:t>, as discussed in Section 1B</w:t>
      </w:r>
      <w:r w:rsidR="000E6596">
        <w:t xml:space="preserve">. </w:t>
      </w:r>
      <w:r w:rsidR="00C55E82">
        <w:t>See also RCRA s</w:t>
      </w:r>
      <w:r w:rsidRPr="00853414">
        <w:t>ections 3003(a)(3) and 3004</w:t>
      </w:r>
      <w:r w:rsidR="000E6596">
        <w:t xml:space="preserve">. </w:t>
      </w:r>
      <w:r w:rsidR="00AF63C6">
        <w:t xml:space="preserve">In addition, </w:t>
      </w:r>
      <w:r w:rsidRPr="00AF63C6" w:rsidR="00AF63C6">
        <w:t xml:space="preserve">the </w:t>
      </w:r>
      <w:bookmarkStart w:name="OLE_LINK1" w:id="1"/>
      <w:r w:rsidRPr="00AF63C6" w:rsidR="00AF63C6">
        <w:t>Hazardous Waste Electronic Manifest Establishment Act, PL112-195</w:t>
      </w:r>
      <w:r w:rsidR="00AF63C6">
        <w:t xml:space="preserve"> </w:t>
      </w:r>
      <w:bookmarkEnd w:id="1"/>
      <w:r w:rsidR="00AF63C6">
        <w:t>was established by the U.S. Congress</w:t>
      </w:r>
      <w:r w:rsidRPr="00AF63C6" w:rsidR="00AF63C6">
        <w:t xml:space="preserve"> expressly to direct EPA to establish a national e-Manifest system, as well as to facilitate the establishment of the e-Manifest system by providing EPA with explicit statutory authority needed to implement the electronic manifest in a self-sustaining manner</w:t>
      </w:r>
      <w:r w:rsidR="000E6596">
        <w:t xml:space="preserve">. </w:t>
      </w:r>
      <w:r w:rsidRPr="00AF63C6" w:rsidR="00AF63C6">
        <w:t xml:space="preserve">Among other things, the e-Manifest </w:t>
      </w:r>
      <w:r w:rsidR="007C4B21">
        <w:t xml:space="preserve">Act </w:t>
      </w:r>
      <w:r w:rsidR="00AF63C6">
        <w:t>directs EPA to promulgate final regulations, after consultation with the Secretary of Transportation, authorizing the use of electronic manifests within 1 year of enactment</w:t>
      </w:r>
      <w:r w:rsidR="000E6596">
        <w:t xml:space="preserve">. </w:t>
      </w:r>
      <w:r w:rsidR="00AF63C6">
        <w:t xml:space="preserve">The Act also directs the Agency to establish an e-Manifest system that may be used by any user within </w:t>
      </w:r>
      <w:r w:rsidR="00C24DDC">
        <w:t>3</w:t>
      </w:r>
      <w:r w:rsidR="00AF63C6">
        <w:t xml:space="preserve"> years from the date of enactment of the Act.</w:t>
      </w:r>
    </w:p>
    <w:p w:rsidR="00697886" w:rsidP="00FA3A49" w:rsidRDefault="00697886" w14:paraId="01823488" w14:textId="77777777"/>
    <w:p w:rsidR="00AF63C6" w:rsidP="00FA3A49" w:rsidRDefault="00FB7E22" w14:paraId="7B25E7F2" w14:textId="77777777">
      <w:r>
        <w:t>T</w:t>
      </w:r>
      <w:r w:rsidR="00AF63C6">
        <w:t>he manifest</w:t>
      </w:r>
      <w:r>
        <w:t xml:space="preserve"> (including the electronic manifest)</w:t>
      </w:r>
      <w:r w:rsidR="00AF63C6">
        <w:t xml:space="preserve"> serves an essential role as a control and transport document that accompanies the waste from its generation site to its treatment, storage, or disposal site</w:t>
      </w:r>
      <w:r w:rsidR="000E6596">
        <w:t xml:space="preserve">. </w:t>
      </w:r>
      <w:r w:rsidR="00AF63C6">
        <w:t>Among other things, the manifest lists the wastes that are being shipped and the treatment, storage, or disposal facility (TSDF)</w:t>
      </w:r>
      <w:r w:rsidR="00542C8E">
        <w:t xml:space="preserve"> or other receiving facility</w:t>
      </w:r>
      <w:r w:rsidR="00AF63C6">
        <w:t xml:space="preserve"> to which the wastes are bound</w:t>
      </w:r>
      <w:r w:rsidR="000E6596">
        <w:t xml:space="preserve">. </w:t>
      </w:r>
      <w:r w:rsidR="00AF63C6">
        <w:t>The term "manifest system" refers to the overall set of requirements for the use of the manifest</w:t>
      </w:r>
      <w:r w:rsidR="000E6596">
        <w:t xml:space="preserve">. </w:t>
      </w:r>
    </w:p>
    <w:p w:rsidR="00AF63C6" w:rsidP="00FA3A49" w:rsidRDefault="00AF63C6" w14:paraId="78402500" w14:textId="77777777"/>
    <w:p w:rsidR="00697886" w:rsidP="00FA3A49" w:rsidRDefault="00697886" w14:paraId="4FD86091" w14:textId="77777777">
      <w:r>
        <w:t xml:space="preserve">The RCRA manifest requirements are needed to ensure that hazardous waste designated for delivery to an </w:t>
      </w:r>
      <w:r w:rsidR="00521F32">
        <w:t>offsite</w:t>
      </w:r>
      <w:r>
        <w:t xml:space="preserve"> </w:t>
      </w:r>
      <w:r w:rsidR="00542C8E">
        <w:t>facility</w:t>
      </w:r>
      <w:r>
        <w:t xml:space="preserve"> </w:t>
      </w:r>
      <w:proofErr w:type="gramStart"/>
      <w:r>
        <w:t>actually reaches</w:t>
      </w:r>
      <w:proofErr w:type="gramEnd"/>
      <w:r>
        <w:t xml:space="preserve"> its </w:t>
      </w:r>
      <w:r w:rsidR="004552B9">
        <w:t>receiving</w:t>
      </w:r>
      <w:r w:rsidR="000E6596">
        <w:t xml:space="preserve">. </w:t>
      </w:r>
      <w:r>
        <w:t xml:space="preserve">Thus, the manifest system serves as a self-enforcing mechanism that requires generators, transporters, and owner/operators of </w:t>
      </w:r>
      <w:r w:rsidR="007A510D">
        <w:t>designated facilities</w:t>
      </w:r>
      <w:r>
        <w:t xml:space="preserve"> to participate in an active hazardous waste tracking system</w:t>
      </w:r>
      <w:r w:rsidR="000E6596">
        <w:t xml:space="preserve">. </w:t>
      </w:r>
      <w:r>
        <w:t>This system does not ordinarily involve intervention on the part of EPA unless hazardous wastes do not reach their designated point of disposal within a specified timeframe</w:t>
      </w:r>
      <w:r w:rsidR="000E6596">
        <w:t xml:space="preserve">. </w:t>
      </w:r>
    </w:p>
    <w:p w:rsidR="00697886" w:rsidP="00FA3A49" w:rsidRDefault="00697886" w14:paraId="3AFD8659" w14:textId="77777777"/>
    <w:p w:rsidR="00697886" w:rsidP="00FA3A49" w:rsidRDefault="00697886" w14:paraId="2B17DED9" w14:textId="77777777">
      <w:r>
        <w:t>The critical components of the manifest system include the information required on the manifest itself, the transmittal of manifest copies to specified parties, the submission of exception, discrepancy, and un-manifested waste reports to EPA, and recordkeeping requirements</w:t>
      </w:r>
      <w:r w:rsidR="000E6596">
        <w:t xml:space="preserve">. </w:t>
      </w:r>
      <w:r>
        <w:t xml:space="preserve">Each of </w:t>
      </w:r>
      <w:r>
        <w:lastRenderedPageBreak/>
        <w:t>these components assists in tracking the waste and helps the Agency in reviewing whether hazardous waste shipments have been handled properly</w:t>
      </w:r>
      <w:r w:rsidR="000E6596">
        <w:t xml:space="preserve">. </w:t>
      </w:r>
      <w:r>
        <w:t>The manifest, by incorporating U.S. Department of Transportation (DOT) requirements applicable to shipping papers, also serves as an important safety tool</w:t>
      </w:r>
      <w:r w:rsidR="000E6596">
        <w:t xml:space="preserve">. </w:t>
      </w:r>
      <w:r>
        <w:t>In the event of an accident during transport or delivery, information on the manifest, such as the identification of the waste's hazard class, can be used to help response teams determine appropriate response actions.</w:t>
      </w:r>
    </w:p>
    <w:p w:rsidR="00697886" w:rsidP="00FA3A49" w:rsidRDefault="00697886" w14:paraId="4DCCEE7E" w14:textId="77777777"/>
    <w:p w:rsidR="000F4D0A" w:rsidP="00FA3A49" w:rsidRDefault="000F4D0A" w14:paraId="49E63270" w14:textId="77777777">
      <w:r w:rsidRPr="00853414">
        <w:t xml:space="preserve">Although the generators, transporters, </w:t>
      </w:r>
      <w:r w:rsidR="007A510D">
        <w:t>designated facilities</w:t>
      </w:r>
      <w:r w:rsidRPr="00853414">
        <w:t>, and emergency response teams (in the case of accidents) are the primary users of these records, EPA may review these documents during a facility inspection to make sure proper records are being kept and regulations are complied with</w:t>
      </w:r>
      <w:r w:rsidR="000E6596">
        <w:t xml:space="preserve">. </w:t>
      </w:r>
      <w:r w:rsidR="00CB2DBC">
        <w:t>EPA</w:t>
      </w:r>
      <w:r w:rsidRPr="00853414">
        <w:t xml:space="preserve"> also reviews and responds to exception reports, discrepancy reports, and un</w:t>
      </w:r>
      <w:r w:rsidR="00697886">
        <w:t>-</w:t>
      </w:r>
      <w:r w:rsidRPr="00853414">
        <w:t>manifested waste reports</w:t>
      </w:r>
      <w:r w:rsidR="000E6596">
        <w:t xml:space="preserve">. </w:t>
      </w:r>
      <w:r w:rsidR="00EA539A">
        <w:t>As envisioned, t</w:t>
      </w:r>
      <w:r w:rsidR="000831A4">
        <w:t>he public will also have access to data in the e-Manifest system.</w:t>
      </w:r>
    </w:p>
    <w:p w:rsidR="00AF63C6" w:rsidP="00FA3A49" w:rsidRDefault="00AF63C6" w14:paraId="1F29C449" w14:textId="77777777"/>
    <w:p w:rsidRPr="00C425CF" w:rsidR="00FA66CC" w:rsidP="00FA66CC" w:rsidRDefault="00FA66CC" w14:paraId="40305DCC" w14:textId="77777777">
      <w:pPr>
        <w:rPr>
          <w:b/>
        </w:rPr>
      </w:pPr>
      <w:bookmarkStart w:name="_Toc7446065" w:id="2"/>
      <w:r w:rsidRPr="00C425CF">
        <w:rPr>
          <w:b/>
        </w:rPr>
        <w:t>2. Indicate how, by whom, and for what purpose the information is to be used. Except for a new</w:t>
      </w:r>
      <w:r>
        <w:rPr>
          <w:b/>
        </w:rPr>
        <w:t xml:space="preserve"> </w:t>
      </w:r>
      <w:r w:rsidRPr="00C425CF">
        <w:rPr>
          <w:b/>
        </w:rPr>
        <w:t>collection, indicate the actual use the agency has made of the information received from the</w:t>
      </w:r>
      <w:r>
        <w:rPr>
          <w:b/>
        </w:rPr>
        <w:t xml:space="preserve"> </w:t>
      </w:r>
      <w:r w:rsidRPr="00C425CF">
        <w:rPr>
          <w:b/>
        </w:rPr>
        <w:t>current collection.</w:t>
      </w:r>
    </w:p>
    <w:bookmarkEnd w:id="2"/>
    <w:p w:rsidR="006808BD" w:rsidP="00FA3A49" w:rsidRDefault="006808BD" w14:paraId="19415EAA" w14:textId="77777777">
      <w:pPr>
        <w:rPr>
          <w:rFonts w:eastAsiaTheme="majorEastAsia" w:cstheme="majorBidi"/>
          <w:b/>
          <w:bCs/>
          <w:szCs w:val="26"/>
        </w:rPr>
      </w:pPr>
    </w:p>
    <w:p w:rsidR="00697886" w:rsidP="00FA3A49" w:rsidRDefault="00697886" w14:paraId="16423BEF" w14:textId="6B9DA149">
      <w:r>
        <w:t xml:space="preserve">The manifest serves </w:t>
      </w:r>
      <w:proofErr w:type="gramStart"/>
      <w:r>
        <w:t>a number of</w:t>
      </w:r>
      <w:proofErr w:type="gramEnd"/>
      <w:r>
        <w:t xml:space="preserve"> vital uses to industry, regulators</w:t>
      </w:r>
      <w:r w:rsidR="00C55E82">
        <w:t xml:space="preserve">, </w:t>
      </w:r>
      <w:r>
        <w:t>EPA</w:t>
      </w:r>
      <w:r w:rsidR="00C55E82">
        <w:t xml:space="preserve"> and the public</w:t>
      </w:r>
      <w:r w:rsidR="000E6596">
        <w:t xml:space="preserve">. </w:t>
      </w:r>
      <w:r>
        <w:t>For example, it:</w:t>
      </w:r>
    </w:p>
    <w:p w:rsidR="00697886" w:rsidP="00FA3A49" w:rsidRDefault="00697886" w14:paraId="06020F54" w14:textId="77777777"/>
    <w:p w:rsidR="00697886" w:rsidP="00FA3A49" w:rsidRDefault="00697886" w14:paraId="1812C948" w14:textId="77777777">
      <w:pPr>
        <w:pStyle w:val="NoSpacing"/>
        <w:widowControl/>
      </w:pPr>
      <w:r>
        <w:t>Is a chain-of-custody document used by industry and regulators to track each shipment of hazardous waste from the generator to designated facility</w:t>
      </w:r>
      <w:r w:rsidR="000E6596">
        <w:t xml:space="preserve">. </w:t>
      </w:r>
      <w:r>
        <w:t>Generators receive a copy of the manifest returned by the designated</w:t>
      </w:r>
      <w:r w:rsidR="007A510D">
        <w:t xml:space="preserve"> facility</w:t>
      </w:r>
      <w:r>
        <w:t xml:space="preserve"> to confirm receipt of shipment</w:t>
      </w:r>
      <w:r w:rsidR="000E6596">
        <w:t xml:space="preserve">. </w:t>
      </w:r>
      <w:r>
        <w:t>Each waste handler involved in the shipment keeps a copy and thus can be held accountable for proper handling and shipment</w:t>
      </w:r>
      <w:r w:rsidR="000E6596">
        <w:t xml:space="preserve">. </w:t>
      </w:r>
    </w:p>
    <w:p w:rsidR="00697886" w:rsidP="00FA3A49" w:rsidRDefault="00697886" w14:paraId="23C098BD" w14:textId="77777777">
      <w:pPr>
        <w:pStyle w:val="NoSpacing"/>
        <w:widowControl/>
        <w:numPr>
          <w:ilvl w:val="0"/>
          <w:numId w:val="0"/>
        </w:numPr>
        <w:ind w:left="1080"/>
      </w:pPr>
    </w:p>
    <w:p w:rsidR="00697886" w:rsidP="00FA3A49" w:rsidRDefault="00697886" w14:paraId="2EB04C60" w14:textId="77777777">
      <w:pPr>
        <w:pStyle w:val="NoSpacing"/>
        <w:widowControl/>
      </w:pPr>
      <w:r>
        <w:t>Provides information requirements sufficient to allow the use of a manifest in lieu of a United States Department of Transportation (USDOT) shipping paper or bill of lading, thereby reducing the duplication of paperwork to the regulated community.</w:t>
      </w:r>
    </w:p>
    <w:p w:rsidR="00697886" w:rsidP="00FA3A49" w:rsidRDefault="00697886" w14:paraId="3C6EBDD1" w14:textId="77777777">
      <w:pPr>
        <w:pStyle w:val="NoSpacing"/>
        <w:widowControl/>
        <w:numPr>
          <w:ilvl w:val="0"/>
          <w:numId w:val="0"/>
        </w:numPr>
        <w:ind w:left="1080"/>
      </w:pPr>
    </w:p>
    <w:p w:rsidR="00697886" w:rsidP="00FA3A49" w:rsidRDefault="00697886" w14:paraId="7F74C494" w14:textId="77777777">
      <w:pPr>
        <w:pStyle w:val="NoSpacing"/>
        <w:widowControl/>
      </w:pPr>
      <w:r>
        <w:t>Provides information to transporters and waste management facility workers on the hazardous properties of the waste</w:t>
      </w:r>
      <w:r w:rsidR="000E6596">
        <w:t xml:space="preserve">. </w:t>
      </w:r>
      <w:r>
        <w:t xml:space="preserve">When a waste is received at the </w:t>
      </w:r>
      <w:r w:rsidR="007A510D">
        <w:t>designated facility</w:t>
      </w:r>
      <w:r>
        <w:t>, fingerprint analyses are performed to ensure that the shipped wastes match the manifest (e.g., the facility may check for color, specific gravity, et</w:t>
      </w:r>
      <w:r w:rsidR="007D65DC">
        <w:t>c</w:t>
      </w:r>
      <w:r>
        <w:t>.)</w:t>
      </w:r>
      <w:r w:rsidR="000E6596">
        <w:t xml:space="preserve">. </w:t>
      </w:r>
      <w:r>
        <w:t xml:space="preserve">If a significant discrepancy between the waste and manifest is found, the </w:t>
      </w:r>
      <w:r w:rsidR="007A510D">
        <w:t>designated facility</w:t>
      </w:r>
      <w:r>
        <w:t xml:space="preserve"> needs to contact the generator to determine next steps</w:t>
      </w:r>
      <w:r w:rsidR="0088604D">
        <w:t xml:space="preserve"> (e.g., proper disposition of the waste)</w:t>
      </w:r>
      <w:r w:rsidR="000E6596">
        <w:t xml:space="preserve">. </w:t>
      </w:r>
      <w:r>
        <w:t xml:space="preserve">In this respect, the manifest facilitates the safe and proper handling, treatment, </w:t>
      </w:r>
      <w:proofErr w:type="gramStart"/>
      <w:r>
        <w:t>storage</w:t>
      </w:r>
      <w:proofErr w:type="gramEnd"/>
      <w:r>
        <w:t xml:space="preserve"> and disposal of the shipped wastes before and after </w:t>
      </w:r>
      <w:r w:rsidR="00D3102F">
        <w:t>designated facility</w:t>
      </w:r>
      <w:r>
        <w:t xml:space="preserve"> acceptance.</w:t>
      </w:r>
    </w:p>
    <w:p w:rsidR="00697886" w:rsidP="00FA3A49" w:rsidRDefault="00697886" w14:paraId="3DA650CF" w14:textId="77777777">
      <w:pPr>
        <w:ind w:left="1080" w:hanging="360"/>
      </w:pPr>
    </w:p>
    <w:p w:rsidR="00697886" w:rsidP="00E40AA3" w:rsidRDefault="00697886" w14:paraId="3076F688" w14:textId="77777777">
      <w:pPr>
        <w:pStyle w:val="ListParagraph"/>
        <w:widowControl/>
        <w:numPr>
          <w:ilvl w:val="0"/>
          <w:numId w:val="1"/>
        </w:numPr>
        <w:ind w:left="1080"/>
      </w:pPr>
      <w:r>
        <w:t>Informs emergency response teams of the waste's hazard in the event of an accident, spill, or leak.</w:t>
      </w:r>
    </w:p>
    <w:p w:rsidR="00697886" w:rsidP="00FA3A49" w:rsidRDefault="00697886" w14:paraId="5EDC975F" w14:textId="77777777">
      <w:pPr>
        <w:pStyle w:val="ListParagraph"/>
        <w:widowControl/>
      </w:pPr>
    </w:p>
    <w:p w:rsidR="00697886" w:rsidP="00E40AA3" w:rsidRDefault="00697886" w14:paraId="4FA7FACB" w14:textId="77777777">
      <w:pPr>
        <w:pStyle w:val="ListParagraph"/>
        <w:widowControl/>
        <w:numPr>
          <w:ilvl w:val="0"/>
          <w:numId w:val="1"/>
        </w:numPr>
        <w:ind w:left="1080"/>
      </w:pPr>
      <w:r>
        <w:t xml:space="preserve">Can be used by regulators </w:t>
      </w:r>
      <w:r w:rsidR="00C55E82">
        <w:t>and</w:t>
      </w:r>
      <w:r>
        <w:t xml:space="preserve"> the public to learn about shipments of hazardous wastes to and from generators and </w:t>
      </w:r>
      <w:r w:rsidR="007A510D">
        <w:t>designated facilitie</w:t>
      </w:r>
      <w:r>
        <w:t>s</w:t>
      </w:r>
      <w:r w:rsidR="000E6596">
        <w:t xml:space="preserve">. </w:t>
      </w:r>
      <w:r>
        <w:t xml:space="preserve">In addition, generators and </w:t>
      </w:r>
      <w:r w:rsidR="00722CAC">
        <w:t>designated facilities</w:t>
      </w:r>
      <w:r>
        <w:t xml:space="preserve"> often use manifest data as an input into the development of the </w:t>
      </w:r>
      <w:r>
        <w:lastRenderedPageBreak/>
        <w:t>Biennial Reports, which are required under Parts 262, 264, and 265</w:t>
      </w:r>
      <w:r w:rsidR="000E6596">
        <w:t xml:space="preserve">. </w:t>
      </w:r>
      <w:r>
        <w:t>These Biennial reports are made public by EPA.</w:t>
      </w:r>
    </w:p>
    <w:p w:rsidR="004D1CC2" w:rsidP="004D1CC2" w:rsidRDefault="004D1CC2" w14:paraId="7A4D0B12" w14:textId="77777777">
      <w:pPr>
        <w:pStyle w:val="ListParagraph"/>
        <w:widowControl/>
        <w:ind w:left="1080"/>
      </w:pPr>
    </w:p>
    <w:p w:rsidR="00FA66CC" w:rsidP="00FA66CC" w:rsidRDefault="00FA66CC" w14:paraId="6A7254D3" w14:textId="25A82BBE">
      <w:pPr>
        <w:rPr>
          <w:b/>
        </w:rPr>
      </w:pPr>
      <w:r w:rsidRPr="00C425CF">
        <w:rPr>
          <w:b/>
        </w:rPr>
        <w:t>3. Describe whether, and to what extent, the collection of information involves the use of</w:t>
      </w:r>
      <w:r>
        <w:rPr>
          <w:b/>
        </w:rPr>
        <w:t xml:space="preserve"> </w:t>
      </w:r>
      <w:r w:rsidRPr="00C425CF">
        <w:rPr>
          <w:b/>
        </w:rPr>
        <w:t>automated, electronic, mechanical, or other technological collection techniques or other</w:t>
      </w:r>
      <w:r>
        <w:rPr>
          <w:b/>
        </w:rPr>
        <w:t xml:space="preserve"> </w:t>
      </w:r>
      <w:r w:rsidRPr="00C425CF">
        <w:rPr>
          <w:b/>
        </w:rPr>
        <w:t>forms of information technology, e.g., permitting electronic submission of responses, and the</w:t>
      </w:r>
      <w:r>
        <w:rPr>
          <w:b/>
        </w:rPr>
        <w:t xml:space="preserve"> </w:t>
      </w:r>
      <w:r w:rsidRPr="00C425CF">
        <w:rPr>
          <w:b/>
        </w:rPr>
        <w:t>basis for the decision for adopting this means of collection. Also describe any consideration</w:t>
      </w:r>
      <w:r>
        <w:rPr>
          <w:b/>
        </w:rPr>
        <w:t xml:space="preserve"> </w:t>
      </w:r>
      <w:r w:rsidRPr="00C425CF">
        <w:rPr>
          <w:b/>
        </w:rPr>
        <w:t>of using information technology to reduce burden.</w:t>
      </w:r>
    </w:p>
    <w:p w:rsidR="00BD002B" w:rsidP="00DA5A00" w:rsidRDefault="00BD002B" w14:paraId="5AA652C6" w14:textId="77777777">
      <w:pPr>
        <w:rPr>
          <w:bCs/>
        </w:rPr>
      </w:pPr>
    </w:p>
    <w:p w:rsidR="00DA5A00" w:rsidP="00DA5A00" w:rsidRDefault="00DA5A00" w14:paraId="4E395DCB" w14:textId="26AD1FB6">
      <w:pPr>
        <w:rPr>
          <w:bCs/>
        </w:rPr>
      </w:pPr>
      <w:r w:rsidRPr="00FE43BA">
        <w:rPr>
          <w:bCs/>
        </w:rPr>
        <w:t>EPA established the e-Manifest system according to the Hazardous Waste Electronic Manifest Establishment Act</w:t>
      </w:r>
      <w:r>
        <w:rPr>
          <w:bCs/>
        </w:rPr>
        <w:t>,</w:t>
      </w:r>
      <w:r w:rsidRPr="00FE43BA">
        <w:rPr>
          <w:bCs/>
        </w:rPr>
        <w:t xml:space="preserve"> enacted into law on October 5, 2012. The e-Manifest Act authorizes EPA to implement a national electronic manifest system</w:t>
      </w:r>
      <w:r>
        <w:rPr>
          <w:bCs/>
        </w:rPr>
        <w:t xml:space="preserve"> aimed </w:t>
      </w:r>
      <w:r w:rsidRPr="009850CA">
        <w:rPr>
          <w:bCs/>
        </w:rPr>
        <w:t>to reduce</w:t>
      </w:r>
      <w:r>
        <w:rPr>
          <w:bCs/>
        </w:rPr>
        <w:t xml:space="preserve"> </w:t>
      </w:r>
      <w:r w:rsidRPr="009850CA">
        <w:rPr>
          <w:bCs/>
        </w:rPr>
        <w:t>the manifest system’s paperwork burden</w:t>
      </w:r>
      <w:r>
        <w:rPr>
          <w:bCs/>
        </w:rPr>
        <w:t xml:space="preserve"> </w:t>
      </w:r>
      <w:r w:rsidRPr="009850CA">
        <w:rPr>
          <w:bCs/>
        </w:rPr>
        <w:t xml:space="preserve">on users, while </w:t>
      </w:r>
      <w:r>
        <w:rPr>
          <w:bCs/>
        </w:rPr>
        <w:t xml:space="preserve">providing </w:t>
      </w:r>
      <w:r w:rsidRPr="00872889">
        <w:rPr>
          <w:bCs/>
        </w:rPr>
        <w:t>manifest users a more modern, efficient electronic manifest process option as compared to the traditionally paper-intensive process to track federally regulated or state-only regulated waste shipments requiring use of a manifest for transportation. Pursuant to the Act, EPA launched the national system on June 30, 2018, as a module component of the existing Resource Conservation and Recovery Act Information System (</w:t>
      </w:r>
      <w:proofErr w:type="spellStart"/>
      <w:r w:rsidRPr="00872889">
        <w:rPr>
          <w:bCs/>
        </w:rPr>
        <w:t>RCRAInfo</w:t>
      </w:r>
      <w:proofErr w:type="spellEnd"/>
      <w:r w:rsidRPr="00872889">
        <w:rPr>
          <w:bCs/>
        </w:rPr>
        <w:t>). Through the e-Manifest system, manifest users can create, edit, retrieve, sign, and store manifests electronically as well as retrieve status information on manifests.</w:t>
      </w:r>
      <w:r>
        <w:rPr>
          <w:bCs/>
        </w:rPr>
        <w:t xml:space="preserve"> Although, a generator may elect to use a paper manifest to track its regulated waste from cradle to grave, the paper manifest and corresponding data will be collected in the e-Manifest system as receiving facilities must register for e-Manifest and submit both electronic and paper manifests to the e-Manifest system. </w:t>
      </w:r>
    </w:p>
    <w:p w:rsidR="00DA5A00" w:rsidP="00DA5A00" w:rsidRDefault="00DA5A00" w14:paraId="09D0237E" w14:textId="77777777">
      <w:pPr>
        <w:rPr>
          <w:bCs/>
        </w:rPr>
      </w:pPr>
    </w:p>
    <w:p w:rsidR="00DA5A00" w:rsidP="00DA5A00" w:rsidRDefault="00DA5A00" w14:paraId="10EE5E16" w14:textId="77777777">
      <w:pPr>
        <w:rPr>
          <w:bCs/>
        </w:rPr>
      </w:pPr>
      <w:r>
        <w:rPr>
          <w:bCs/>
        </w:rPr>
        <w:t xml:space="preserve">If a generator opts out of e-Manifest and continues to use paper manifest forms, those manifests must be submitted to the e-Manifest system by the TSDF or some other receiving facility as scanned images of the paper manifests or as data plus scanned images. These generators can reduce their recordkeeping burden with respect to the image file copy of the initial manifest if they register for e-Manifest accounts so that image file copies can be stored in and retrieved from their e-Manifest accounts. </w:t>
      </w:r>
    </w:p>
    <w:p w:rsidR="00DA5A00" w:rsidP="00DA5A00" w:rsidRDefault="00DA5A00" w14:paraId="239C2625" w14:textId="77777777">
      <w:pPr>
        <w:rPr>
          <w:bCs/>
        </w:rPr>
      </w:pPr>
    </w:p>
    <w:p w:rsidR="0091760F" w:rsidP="00DA5A00" w:rsidRDefault="00DA5A00" w14:paraId="5738A598" w14:textId="38701D1A">
      <w:pPr>
        <w:rPr>
          <w:b/>
        </w:rPr>
      </w:pPr>
      <w:r>
        <w:rPr>
          <w:bCs/>
        </w:rPr>
        <w:t xml:space="preserve">Transporters and receiving facilities can also reduce their recordkeeping and reporting burden even if a generator opts out of e-Manifest. In such instances, generators may use hybrid manifests which allows them to track their wastes using paper forms but permit transporters to </w:t>
      </w:r>
      <w:r w:rsidRPr="001965C8">
        <w:rPr>
          <w:bCs/>
        </w:rPr>
        <w:t>transact the manifest electronically for the shipment (see section 262.24(c)(1))</w:t>
      </w:r>
      <w:r>
        <w:rPr>
          <w:bCs/>
        </w:rPr>
        <w:t xml:space="preserve"> EPA notes that transporters must be registered for e-Manifest to use hybrid manifests.</w:t>
      </w:r>
    </w:p>
    <w:p w:rsidR="00DA5A00" w:rsidP="00DA5A00" w:rsidRDefault="00DA5A00" w14:paraId="63D16792" w14:textId="488916B8">
      <w:pPr>
        <w:rPr>
          <w:bCs/>
        </w:rPr>
      </w:pPr>
    </w:p>
    <w:p w:rsidR="00FA66CC" w:rsidP="00FA66CC" w:rsidRDefault="00FA66CC" w14:paraId="2CACC1FF" w14:textId="264F4006">
      <w:pPr>
        <w:rPr>
          <w:b/>
        </w:rPr>
      </w:pPr>
      <w:bookmarkStart w:name="_Toc7446066" w:id="3"/>
      <w:r w:rsidRPr="00C425CF">
        <w:rPr>
          <w:b/>
        </w:rPr>
        <w:t>4. Describe efforts to identify duplication. Show specifically why any similar information</w:t>
      </w:r>
      <w:r>
        <w:rPr>
          <w:b/>
        </w:rPr>
        <w:t xml:space="preserve"> </w:t>
      </w:r>
      <w:r w:rsidRPr="00C425CF">
        <w:rPr>
          <w:b/>
        </w:rPr>
        <w:t>already available cannot be used or modified for use for the purposes described in Item 2</w:t>
      </w:r>
      <w:r>
        <w:rPr>
          <w:b/>
        </w:rPr>
        <w:t xml:space="preserve"> </w:t>
      </w:r>
      <w:r w:rsidRPr="00C425CF">
        <w:rPr>
          <w:b/>
        </w:rPr>
        <w:t>above.</w:t>
      </w:r>
    </w:p>
    <w:p w:rsidRPr="00C425CF" w:rsidR="00106F10" w:rsidP="00FA66CC" w:rsidRDefault="00106F10" w14:paraId="4957F4B4" w14:textId="77777777">
      <w:pPr>
        <w:rPr>
          <w:b/>
        </w:rPr>
      </w:pPr>
    </w:p>
    <w:bookmarkEnd w:id="3"/>
    <w:p w:rsidR="000F4D0A" w:rsidP="004D1CC2" w:rsidRDefault="000F4D0A" w14:paraId="48D603AC" w14:textId="2EA80D6F">
      <w:r w:rsidRPr="00853414">
        <w:t xml:space="preserve">No document identical or similar in purpose to the manifest is required by the </w:t>
      </w:r>
      <w:r w:rsidR="00521F32">
        <w:t>federal</w:t>
      </w:r>
      <w:r w:rsidRPr="00853414">
        <w:t xml:space="preserve"> government for the shipment of RCRA hazardous waste</w:t>
      </w:r>
      <w:r w:rsidR="000E6596">
        <w:t xml:space="preserve">. </w:t>
      </w:r>
      <w:r w:rsidRPr="00853414">
        <w:t>Although a USDOT hazardous materials shipping paper</w:t>
      </w:r>
      <w:r w:rsidRPr="00853414">
        <w:rPr>
          <w:rStyle w:val="FootnoteReference"/>
          <w:vertAlign w:val="superscript"/>
        </w:rPr>
        <w:footnoteReference w:id="1"/>
      </w:r>
      <w:r w:rsidRPr="00853414">
        <w:t xml:space="preserve"> contains most of the information contained on the manifest, it does not </w:t>
      </w:r>
      <w:r w:rsidRPr="00853414">
        <w:lastRenderedPageBreak/>
        <w:t>appear to be legally sufficient to track hazardous waste shipments from the generator to the designated facility (</w:t>
      </w:r>
      <w:proofErr w:type="gramStart"/>
      <w:r w:rsidRPr="00853414">
        <w:t>i.e.</w:t>
      </w:r>
      <w:proofErr w:type="gramEnd"/>
      <w:r w:rsidRPr="00853414">
        <w:t xml:space="preserve"> from “cradle-to-grave”)</w:t>
      </w:r>
      <w:r w:rsidR="000E6596">
        <w:t xml:space="preserve">. </w:t>
      </w:r>
      <w:r w:rsidRPr="00853414">
        <w:t xml:space="preserve">For example, USDOT’s shipping paper does not require </w:t>
      </w:r>
      <w:r w:rsidR="00CB2DBC">
        <w:t>EPA</w:t>
      </w:r>
      <w:r w:rsidRPr="00853414">
        <w:t xml:space="preserve"> ID numbers and signatures of the transporters and all other chain-of-custody entities involved in shipping or handling the hazardous waste</w:t>
      </w:r>
      <w:r w:rsidR="000E6596">
        <w:t xml:space="preserve">. </w:t>
      </w:r>
      <w:r w:rsidR="00CB2DBC">
        <w:t>EPA</w:t>
      </w:r>
      <w:r w:rsidRPr="00853414">
        <w:t xml:space="preserve"> requires such signatures and identification numbers on the manifest to ensure accountability of each waste handler during shipment of the hazardous waste</w:t>
      </w:r>
      <w:r w:rsidR="000E6596">
        <w:t xml:space="preserve">. </w:t>
      </w:r>
      <w:r w:rsidRPr="00853414">
        <w:t xml:space="preserve">Also, since </w:t>
      </w:r>
      <w:r w:rsidR="00CB2DBC">
        <w:t>EPA</w:t>
      </w:r>
      <w:r w:rsidRPr="00853414">
        <w:t xml:space="preserve"> coordinated the development of the manifest with USDOT, the manifest form can be used as a USDOT shipping paper, thus eliminating the need for the transporter to carry both documents</w:t>
      </w:r>
      <w:r w:rsidR="000E6596">
        <w:t xml:space="preserve">. </w:t>
      </w:r>
      <w:r w:rsidRPr="00853414">
        <w:t xml:space="preserve">Furthermore, the manifest form was developed as a means of standardizing the information requirements, both </w:t>
      </w:r>
      <w:r w:rsidR="00521F32">
        <w:t>federal</w:t>
      </w:r>
      <w:r w:rsidRPr="00853414">
        <w:t xml:space="preserve"> and </w:t>
      </w:r>
      <w:r w:rsidR="00521F32">
        <w:t>state</w:t>
      </w:r>
      <w:r w:rsidRPr="00853414">
        <w:t>, thereby eliminating the need for a generator to complete and a transporter to carry multiple manifests for interstate shipments.</w:t>
      </w:r>
    </w:p>
    <w:p w:rsidR="00FA66CC" w:rsidP="004D1CC2" w:rsidRDefault="00FA66CC" w14:paraId="00181D0A" w14:textId="381EC793"/>
    <w:p w:rsidR="00FA66CC" w:rsidP="00FA66CC" w:rsidRDefault="00FA66CC" w14:paraId="63D041C4" w14:textId="75C42AF4">
      <w:pPr>
        <w:rPr>
          <w:b/>
        </w:rPr>
      </w:pPr>
      <w:r w:rsidRPr="00C425CF">
        <w:rPr>
          <w:b/>
        </w:rPr>
        <w:t>5. If the collection of information impacts small businesses or other small entities, describe any</w:t>
      </w:r>
      <w:r>
        <w:rPr>
          <w:b/>
        </w:rPr>
        <w:t xml:space="preserve"> </w:t>
      </w:r>
      <w:r w:rsidRPr="00C425CF">
        <w:rPr>
          <w:b/>
        </w:rPr>
        <w:t>methods used to minimize burden.</w:t>
      </w:r>
    </w:p>
    <w:p w:rsidR="00106F10" w:rsidP="00FA66CC" w:rsidRDefault="00106F10" w14:paraId="01B0C8F5" w14:textId="77777777">
      <w:pPr>
        <w:rPr>
          <w:b/>
        </w:rPr>
      </w:pPr>
    </w:p>
    <w:p w:rsidR="00FA66CC" w:rsidP="00FA66CC" w:rsidRDefault="00FA66CC" w14:paraId="0996CD0D" w14:textId="77777777">
      <w:pPr>
        <w:tabs>
          <w:tab w:val="left" w:pos="-1200"/>
        </w:tabs>
      </w:pPr>
      <w:r w:rsidRPr="00853414">
        <w:t>The current regulations require both large and small quantity generators of hazardous waste to use the manifest to track shipments of hazardous waste</w:t>
      </w:r>
      <w:r>
        <w:t xml:space="preserve">. </w:t>
      </w:r>
      <w:r w:rsidRPr="00853414">
        <w:t>However, the Agency has found that most small businesses do not generate hazardous waste either at all or in large enough quantities to make them subject to regulation and, therefore, are not affected by the manifest requirements</w:t>
      </w:r>
      <w:r>
        <w:t>. Some waste types (e.g., universal wastes) and classes of waste handlers are exempt from the manifest regulations.</w:t>
      </w:r>
    </w:p>
    <w:p w:rsidR="00FA66CC" w:rsidP="00FA66CC" w:rsidRDefault="00FA66CC" w14:paraId="794521E5" w14:textId="77777777">
      <w:pPr>
        <w:tabs>
          <w:tab w:val="left" w:pos="-1200"/>
        </w:tabs>
      </w:pPr>
    </w:p>
    <w:p w:rsidR="00FA66CC" w:rsidP="00FA66CC" w:rsidRDefault="00FA66CC" w14:paraId="6C32348B" w14:textId="77777777">
      <w:pPr>
        <w:tabs>
          <w:tab w:val="left" w:pos="-1200"/>
        </w:tabs>
      </w:pPr>
      <w:r>
        <w:t>Following are some provisions that benefit both small and large waste handlers.</w:t>
      </w:r>
    </w:p>
    <w:p w:rsidR="00FA66CC" w:rsidP="00FA66CC" w:rsidRDefault="00FA66CC" w14:paraId="5D169721" w14:textId="77777777">
      <w:pPr>
        <w:tabs>
          <w:tab w:val="left" w:pos="-1200"/>
        </w:tabs>
      </w:pPr>
    </w:p>
    <w:p w:rsidRPr="00853414" w:rsidR="00FA66CC" w:rsidP="00FA66CC" w:rsidRDefault="00FA66CC" w14:paraId="46B0B6B6" w14:textId="77777777">
      <w:pPr>
        <w:tabs>
          <w:tab w:val="left" w:pos="-1200"/>
        </w:tabs>
        <w:ind w:left="1440" w:hanging="720"/>
      </w:pPr>
      <w:r w:rsidRPr="00853414">
        <w:t>(1)</w:t>
      </w:r>
      <w:r w:rsidRPr="00853414">
        <w:tab/>
        <w:t>Contractual Reclamation Agreements</w:t>
      </w:r>
    </w:p>
    <w:p w:rsidR="00FA66CC" w:rsidP="00FA66CC" w:rsidRDefault="00FA66CC" w14:paraId="045E4946" w14:textId="77777777">
      <w:pPr>
        <w:tabs>
          <w:tab w:val="left" w:pos="-1200"/>
        </w:tabs>
      </w:pPr>
    </w:p>
    <w:p w:rsidRPr="00853414" w:rsidR="00FA66CC" w:rsidP="00FA66CC" w:rsidRDefault="00FA66CC" w14:paraId="302DBE26" w14:textId="77777777">
      <w:pPr>
        <w:tabs>
          <w:tab w:val="left" w:pos="-1200"/>
        </w:tabs>
      </w:pPr>
      <w:r w:rsidRPr="00853414">
        <w:t xml:space="preserve">A small quantity generator (SQG) is exempt from the manifest requirements when his hazardous waste is reclaimed under a contractual agreement and he complies with limited requirements, including recordkeeping of the contractual agreement, as required by 40 CFR 262.20(e)(2). </w:t>
      </w:r>
    </w:p>
    <w:p w:rsidRPr="00853414" w:rsidR="00FA66CC" w:rsidP="00FA66CC" w:rsidRDefault="00FA66CC" w14:paraId="65E488BA" w14:textId="77777777">
      <w:pPr>
        <w:tabs>
          <w:tab w:val="left" w:pos="-1200"/>
        </w:tabs>
      </w:pPr>
    </w:p>
    <w:p w:rsidRPr="00853414" w:rsidR="00FA66CC" w:rsidP="00FA66CC" w:rsidRDefault="00FA66CC" w14:paraId="0B5E2802" w14:textId="77777777">
      <w:pPr>
        <w:tabs>
          <w:tab w:val="left" w:pos="-1200"/>
        </w:tabs>
        <w:ind w:left="1440" w:hanging="720"/>
      </w:pPr>
      <w:r w:rsidRPr="00853414">
        <w:t>(2)</w:t>
      </w:r>
      <w:r w:rsidRPr="00853414">
        <w:tab/>
        <w:t>Exception Reports</w:t>
      </w:r>
    </w:p>
    <w:p w:rsidRPr="00853414" w:rsidR="00FA66CC" w:rsidP="00FA66CC" w:rsidRDefault="00FA66CC" w14:paraId="36317F70" w14:textId="77777777">
      <w:pPr>
        <w:tabs>
          <w:tab w:val="left" w:pos="-1200"/>
        </w:tabs>
        <w:ind w:left="1440" w:hanging="720"/>
      </w:pPr>
    </w:p>
    <w:p w:rsidR="00FA66CC" w:rsidP="00FA66CC" w:rsidRDefault="00FA66CC" w14:paraId="23F2B3B2" w14:textId="77777777">
      <w:pPr>
        <w:tabs>
          <w:tab w:val="left" w:pos="-1200"/>
        </w:tabs>
      </w:pPr>
      <w:r w:rsidRPr="00853414">
        <w:t>The exception report requirements under 40 CFR 262.42 for SQGs are less stringent than those for large quantity generators (LQGs)</w:t>
      </w:r>
      <w:r>
        <w:t xml:space="preserve">. </w:t>
      </w:r>
      <w:r w:rsidRPr="00853414">
        <w:t xml:space="preserve">A SQG is only required to submit to </w:t>
      </w:r>
      <w:r>
        <w:t>EPA</w:t>
      </w:r>
      <w:r w:rsidRPr="00853414">
        <w:t xml:space="preserve"> a legible copy of the manifest with some indication he/she has not received confirmation of delivery and has 60 days to fulfill this requirement</w:t>
      </w:r>
      <w:r>
        <w:t xml:space="preserve">. </w:t>
      </w:r>
      <w:r w:rsidRPr="00853414">
        <w:t>LQGs, on the other hand, are required to contact the transporter or facility owner/operator if he/she has not received a copy of the manifest within 35 days</w:t>
      </w:r>
      <w:r>
        <w:t xml:space="preserve">. </w:t>
      </w:r>
      <w:r w:rsidRPr="00853414">
        <w:t>In addition, if 45 days have passed and the LQG still has not received a signed copy of the manifest, he/she must submit a copy of the manifest as well as a cover letter explaining the generator’s efforts to locate the hazardous waste</w:t>
      </w:r>
      <w:r>
        <w:t xml:space="preserve">. </w:t>
      </w:r>
      <w:r w:rsidRPr="00853414">
        <w:t xml:space="preserve">Hence, the exception report requirements for SQGs are not as burdensome. </w:t>
      </w:r>
    </w:p>
    <w:p w:rsidR="00FA66CC" w:rsidP="00FA66CC" w:rsidRDefault="00FA66CC" w14:paraId="30E47C7F" w14:textId="77777777">
      <w:pPr>
        <w:tabs>
          <w:tab w:val="left" w:pos="-1200"/>
        </w:tabs>
      </w:pPr>
    </w:p>
    <w:p w:rsidR="00FA66CC" w:rsidP="00FA66CC" w:rsidRDefault="00FA66CC" w14:paraId="4888DCE4" w14:textId="77777777">
      <w:pPr>
        <w:tabs>
          <w:tab w:val="left" w:pos="-1200"/>
        </w:tabs>
      </w:pPr>
      <w:r>
        <w:tab/>
        <w:t>(3)</w:t>
      </w:r>
      <w:r>
        <w:tab/>
        <w:t>e-Manifest System Flexibility</w:t>
      </w:r>
    </w:p>
    <w:p w:rsidR="00FA66CC" w:rsidP="00FA66CC" w:rsidRDefault="00FA66CC" w14:paraId="458EFEFA" w14:textId="77777777">
      <w:pPr>
        <w:tabs>
          <w:tab w:val="left" w:pos="-1200"/>
        </w:tabs>
      </w:pPr>
    </w:p>
    <w:p w:rsidR="00FA66CC" w:rsidP="00FA66CC" w:rsidRDefault="00FA66CC" w14:paraId="19D8A918" w14:textId="4EF2CED8">
      <w:pPr>
        <w:tabs>
          <w:tab w:val="left" w:pos="-1200"/>
        </w:tabs>
      </w:pPr>
      <w:r>
        <w:t xml:space="preserve">The e-Manifest system is designed to maximize flexibility for both large and small entities. For example, the system offers various methods to simplify the process of preparing and transmitting the electronic manifest. This includes, for example, allowing a generator to sign and keep a paper copy of the manifest, while allowing the transporter and designated facility to transact the manifest electronically for the shipment (see section 262.24(c)(1)). This allows the generator to participate in the e-Manifest system without having to comply with electronic signature requirements. Entities </w:t>
      </w:r>
      <w:proofErr w:type="gramStart"/>
      <w:r>
        <w:t>are able to</w:t>
      </w:r>
      <w:proofErr w:type="gramEnd"/>
      <w:r>
        <w:t xml:space="preserve"> choose the method that best suits their needs and capabilities. In addition, the e-Manifest is optional. Entities need not use the e-Manifest system to prepare </w:t>
      </w:r>
      <w:r w:rsidR="00BD002B">
        <w:t>and transmit</w:t>
      </w:r>
      <w:r>
        <w:t xml:space="preserve"> the manifest if they do not want to. </w:t>
      </w:r>
    </w:p>
    <w:p w:rsidRPr="00C425CF" w:rsidR="00FA66CC" w:rsidP="00FA66CC" w:rsidRDefault="00FA66CC" w14:paraId="1957449F" w14:textId="77777777">
      <w:pPr>
        <w:rPr>
          <w:b/>
        </w:rPr>
      </w:pPr>
    </w:p>
    <w:p w:rsidRPr="00C425CF" w:rsidR="00FA66CC" w:rsidP="00FA66CC" w:rsidRDefault="00FA66CC" w14:paraId="3EF44272" w14:textId="77777777">
      <w:pPr>
        <w:rPr>
          <w:b/>
        </w:rPr>
      </w:pPr>
      <w:r w:rsidRPr="00C425CF">
        <w:rPr>
          <w:b/>
        </w:rPr>
        <w:t>6. Describe the consequence to Federal program or policy activities if the collection is not</w:t>
      </w:r>
      <w:r>
        <w:rPr>
          <w:b/>
        </w:rPr>
        <w:t xml:space="preserve"> </w:t>
      </w:r>
      <w:r w:rsidRPr="00C425CF">
        <w:rPr>
          <w:b/>
        </w:rPr>
        <w:t>conducted</w:t>
      </w:r>
      <w:r>
        <w:rPr>
          <w:b/>
        </w:rPr>
        <w:t xml:space="preserve"> </w:t>
      </w:r>
      <w:r w:rsidRPr="00C425CF">
        <w:rPr>
          <w:b/>
        </w:rPr>
        <w:t>or is conducted less frequently, as well as any technical or legal obstacles to</w:t>
      </w:r>
      <w:r>
        <w:rPr>
          <w:b/>
        </w:rPr>
        <w:t xml:space="preserve"> </w:t>
      </w:r>
      <w:r w:rsidRPr="00C425CF">
        <w:rPr>
          <w:b/>
        </w:rPr>
        <w:t>reducing burden.</w:t>
      </w:r>
    </w:p>
    <w:p w:rsidR="00FA66CC" w:rsidP="004D1CC2" w:rsidRDefault="00FA66CC" w14:paraId="0FDB1C10" w14:textId="387F0EB0"/>
    <w:p w:rsidR="00FA66CC" w:rsidP="00FA66CC" w:rsidRDefault="00FA66CC" w14:paraId="1F846DA9" w14:textId="77777777">
      <w:r>
        <w:t>Since the manifest is required to accompany all shipments of hazardous waste when shipped offsite by the generator, less frequent preparation is not possible. The frequency of offsite shipment is determined by the generator and depends on</w:t>
      </w:r>
      <w:proofErr w:type="gramStart"/>
      <w:r>
        <w:t>:  (</w:t>
      </w:r>
      <w:proofErr w:type="gramEnd"/>
      <w:r>
        <w:t xml:space="preserve">1) the quantities of waste to be shipped as they impact the economies of shipment; (2) transporter scheduling; and (3) the applicable regulatory requirements. The present system gives the generator the opportunity to maximize the economies of offsite shipments by selecting a shipping frequency that is appropriate for the rate of waste generation. Further, by requiring a manifest to accompany each shipment, EPA ensures the manifest is available in the case of a discharge of hazardous waste during transportation. Information on the manifest could be useful to emergency response personnel responding to the scene. In this regard, less frequent manifesting could result in a less expedient or protective response to the release. </w:t>
      </w:r>
    </w:p>
    <w:p w:rsidRPr="00853414" w:rsidR="00FA66CC" w:rsidP="004D1CC2" w:rsidRDefault="00FA66CC" w14:paraId="7D634236" w14:textId="77777777"/>
    <w:p w:rsidRPr="00C425CF" w:rsidR="00FA66CC" w:rsidP="00FA66CC" w:rsidRDefault="00FA66CC" w14:paraId="4C153FAB" w14:textId="77777777">
      <w:pPr>
        <w:rPr>
          <w:b/>
        </w:rPr>
      </w:pPr>
      <w:r w:rsidRPr="00C425CF">
        <w:rPr>
          <w:b/>
        </w:rPr>
        <w:t>7. Explain any special circumstances that would cause an information collection to be</w:t>
      </w:r>
      <w:r>
        <w:rPr>
          <w:b/>
        </w:rPr>
        <w:t xml:space="preserve"> </w:t>
      </w:r>
      <w:r w:rsidRPr="00C425CF">
        <w:rPr>
          <w:b/>
        </w:rPr>
        <w:t>conducted in a manner:</w:t>
      </w:r>
    </w:p>
    <w:p w:rsidR="00FA66CC" w:rsidP="00FA66CC" w:rsidRDefault="00FA66CC" w14:paraId="66385038" w14:textId="77777777">
      <w:pPr>
        <w:pStyle w:val="ListParagraph"/>
        <w:widowControl/>
        <w:numPr>
          <w:ilvl w:val="0"/>
          <w:numId w:val="47"/>
        </w:numPr>
        <w:autoSpaceDE/>
        <w:autoSpaceDN/>
        <w:adjustRightInd/>
        <w:spacing w:line="259" w:lineRule="auto"/>
        <w:rPr>
          <w:b/>
        </w:rPr>
      </w:pPr>
      <w:r w:rsidRPr="00C425CF">
        <w:rPr>
          <w:b/>
        </w:rPr>
        <w:t xml:space="preserve">requiring respondents to report information to the agency more often than </w:t>
      </w:r>
      <w:proofErr w:type="gramStart"/>
      <w:r w:rsidRPr="00C425CF">
        <w:rPr>
          <w:b/>
        </w:rPr>
        <w:t>quarterly;</w:t>
      </w:r>
      <w:proofErr w:type="gramEnd"/>
    </w:p>
    <w:p w:rsidR="00FA66CC" w:rsidP="00FA66CC" w:rsidRDefault="00FA66CC" w14:paraId="196A7107" w14:textId="77777777">
      <w:pPr>
        <w:pStyle w:val="ListParagraph"/>
        <w:widowControl/>
        <w:numPr>
          <w:ilvl w:val="0"/>
          <w:numId w:val="47"/>
        </w:numPr>
        <w:autoSpaceDE/>
        <w:autoSpaceDN/>
        <w:adjustRightInd/>
        <w:spacing w:line="259" w:lineRule="auto"/>
        <w:rPr>
          <w:b/>
        </w:rPr>
      </w:pPr>
      <w:r w:rsidRPr="00C425CF">
        <w:rPr>
          <w:b/>
        </w:rPr>
        <w:t xml:space="preserve">requiring respondents to prepare a written response to a collection of information in fewer than 30 days after receipt of </w:t>
      </w:r>
      <w:proofErr w:type="gramStart"/>
      <w:r w:rsidRPr="00C425CF">
        <w:rPr>
          <w:b/>
        </w:rPr>
        <w:t>it;</w:t>
      </w:r>
      <w:proofErr w:type="gramEnd"/>
    </w:p>
    <w:p w:rsidR="00FA66CC" w:rsidP="00FA66CC" w:rsidRDefault="00FA66CC" w14:paraId="237ED69D" w14:textId="77777777">
      <w:pPr>
        <w:pStyle w:val="ListParagraph"/>
        <w:widowControl/>
        <w:numPr>
          <w:ilvl w:val="0"/>
          <w:numId w:val="47"/>
        </w:numPr>
        <w:autoSpaceDE/>
        <w:autoSpaceDN/>
        <w:adjustRightInd/>
        <w:spacing w:line="259" w:lineRule="auto"/>
        <w:rPr>
          <w:b/>
        </w:rPr>
      </w:pPr>
      <w:r w:rsidRPr="00C425CF">
        <w:rPr>
          <w:b/>
        </w:rPr>
        <w:t xml:space="preserve">requiring respondents to submit more than an original and two copies of any </w:t>
      </w:r>
      <w:proofErr w:type="gramStart"/>
      <w:r w:rsidRPr="00C425CF">
        <w:rPr>
          <w:b/>
        </w:rPr>
        <w:t>document;</w:t>
      </w:r>
      <w:proofErr w:type="gramEnd"/>
    </w:p>
    <w:p w:rsidR="00FA66CC" w:rsidP="00FA66CC" w:rsidRDefault="00FA66CC" w14:paraId="53FBF9EF" w14:textId="77777777">
      <w:pPr>
        <w:pStyle w:val="ListParagraph"/>
        <w:widowControl/>
        <w:numPr>
          <w:ilvl w:val="0"/>
          <w:numId w:val="47"/>
        </w:numPr>
        <w:autoSpaceDE/>
        <w:autoSpaceDN/>
        <w:adjustRightInd/>
        <w:spacing w:line="259" w:lineRule="auto"/>
        <w:rPr>
          <w:b/>
        </w:rPr>
      </w:pPr>
      <w:r w:rsidRPr="00C425CF">
        <w:rPr>
          <w:b/>
        </w:rPr>
        <w:t xml:space="preserve">requiring respondents to retain records, other than health, medical, government contract, grant-in-aid, or tax records, for more than three </w:t>
      </w:r>
      <w:proofErr w:type="gramStart"/>
      <w:r w:rsidRPr="00C425CF">
        <w:rPr>
          <w:b/>
        </w:rPr>
        <w:t>years;</w:t>
      </w:r>
      <w:proofErr w:type="gramEnd"/>
    </w:p>
    <w:p w:rsidR="00FA66CC" w:rsidP="00FA66CC" w:rsidRDefault="00FA66CC" w14:paraId="04B028CF" w14:textId="77777777">
      <w:pPr>
        <w:pStyle w:val="ListParagraph"/>
        <w:widowControl/>
        <w:numPr>
          <w:ilvl w:val="0"/>
          <w:numId w:val="47"/>
        </w:numPr>
        <w:autoSpaceDE/>
        <w:autoSpaceDN/>
        <w:adjustRightInd/>
        <w:spacing w:line="259" w:lineRule="auto"/>
        <w:rPr>
          <w:b/>
        </w:rPr>
      </w:pPr>
      <w:r w:rsidRPr="00C425CF">
        <w:rPr>
          <w:b/>
        </w:rPr>
        <w:t xml:space="preserve">in connection with a statistical survey, that is not designed to produce valid and reliable results that can be generalized to the universe of </w:t>
      </w:r>
      <w:proofErr w:type="gramStart"/>
      <w:r w:rsidRPr="00C425CF">
        <w:rPr>
          <w:b/>
        </w:rPr>
        <w:t>study;</w:t>
      </w:r>
      <w:proofErr w:type="gramEnd"/>
    </w:p>
    <w:p w:rsidR="00FA66CC" w:rsidP="00FA66CC" w:rsidRDefault="00FA66CC" w14:paraId="751A3EA6" w14:textId="77777777">
      <w:pPr>
        <w:pStyle w:val="ListParagraph"/>
        <w:widowControl/>
        <w:numPr>
          <w:ilvl w:val="0"/>
          <w:numId w:val="47"/>
        </w:numPr>
        <w:autoSpaceDE/>
        <w:autoSpaceDN/>
        <w:adjustRightInd/>
        <w:spacing w:line="259" w:lineRule="auto"/>
        <w:rPr>
          <w:b/>
        </w:rPr>
      </w:pPr>
      <w:r w:rsidRPr="00C425CF">
        <w:rPr>
          <w:b/>
        </w:rPr>
        <w:t xml:space="preserve">requiring the use of a statistical data classification that has not been reviewed and approved by </w:t>
      </w:r>
      <w:proofErr w:type="gramStart"/>
      <w:r w:rsidRPr="00C425CF">
        <w:rPr>
          <w:b/>
        </w:rPr>
        <w:t>OMB;</w:t>
      </w:r>
      <w:proofErr w:type="gramEnd"/>
    </w:p>
    <w:p w:rsidR="00FA66CC" w:rsidP="00FA66CC" w:rsidRDefault="00FA66CC" w14:paraId="0AE26204" w14:textId="77777777">
      <w:pPr>
        <w:pStyle w:val="ListParagraph"/>
        <w:widowControl/>
        <w:numPr>
          <w:ilvl w:val="0"/>
          <w:numId w:val="47"/>
        </w:numPr>
        <w:autoSpaceDE/>
        <w:autoSpaceDN/>
        <w:adjustRightInd/>
        <w:spacing w:line="259" w:lineRule="auto"/>
        <w:rPr>
          <w:b/>
        </w:rPr>
      </w:pPr>
      <w:r w:rsidRPr="00C425CF">
        <w:rPr>
          <w:b/>
        </w:rPr>
        <w:t xml:space="preserve">that includes a pledge of confidentiality that is not supported by authority established in statute or regulation, that is not supported by disclosure and data </w:t>
      </w:r>
      <w:r w:rsidRPr="00C425CF">
        <w:rPr>
          <w:b/>
        </w:rPr>
        <w:lastRenderedPageBreak/>
        <w:t>security policies that are consistent with the pledge, or which unnecessarily impedes sharing of data with other agencies for compatible confidential use; or</w:t>
      </w:r>
    </w:p>
    <w:p w:rsidRPr="00C425CF" w:rsidR="00FA66CC" w:rsidP="00FA66CC" w:rsidRDefault="00FA66CC" w14:paraId="29D6E2BC" w14:textId="77777777">
      <w:pPr>
        <w:pStyle w:val="ListParagraph"/>
        <w:widowControl/>
        <w:numPr>
          <w:ilvl w:val="0"/>
          <w:numId w:val="47"/>
        </w:numPr>
        <w:autoSpaceDE/>
        <w:autoSpaceDN/>
        <w:adjustRightInd/>
        <w:spacing w:line="259" w:lineRule="auto"/>
        <w:rPr>
          <w:b/>
        </w:rPr>
      </w:pPr>
      <w:r w:rsidRPr="00C425CF">
        <w:rPr>
          <w:b/>
        </w:rPr>
        <w:t>requiring respondents to submit proprietary trade secrets, or other confidential information unless the agency can demonstrate that it has instituted procedures to protect</w:t>
      </w:r>
      <w:r>
        <w:rPr>
          <w:b/>
        </w:rPr>
        <w:t xml:space="preserve"> </w:t>
      </w:r>
      <w:r w:rsidRPr="00C425CF">
        <w:rPr>
          <w:b/>
        </w:rPr>
        <w:t>the information's confidentiality to the extent permitted by law.</w:t>
      </w:r>
    </w:p>
    <w:p w:rsidR="000F4D0A" w:rsidP="00FA3A49" w:rsidRDefault="000F4D0A" w14:paraId="5557B2D4" w14:textId="4C9CA39C"/>
    <w:p w:rsidR="00FA66CC" w:rsidP="00FA66CC" w:rsidRDefault="00FA66CC" w14:paraId="3BBD9F66" w14:textId="77777777">
      <w:pPr>
        <w:keepNext/>
      </w:pPr>
      <w:r w:rsidRPr="00A45ED7">
        <w:t>This ICR adheres to the guidelines stated in the Paperwork Reduction Act</w:t>
      </w:r>
      <w:r>
        <w:t xml:space="preserve"> (PRA)</w:t>
      </w:r>
      <w:r w:rsidRPr="00A45ED7">
        <w:t xml:space="preserve"> of 1995, OMB’s implementing regulations, EPA’s ICR Handbook, and other applicable OMB guidance.</w:t>
      </w:r>
    </w:p>
    <w:p w:rsidRPr="00853414" w:rsidR="00FA66CC" w:rsidP="00FA3A49" w:rsidRDefault="00FA66CC" w14:paraId="303D6D2B" w14:textId="77777777"/>
    <w:p w:rsidR="00FA66CC" w:rsidP="00FA66CC" w:rsidRDefault="00FA66CC" w14:paraId="752768E6" w14:textId="77777777">
      <w:pPr>
        <w:rPr>
          <w:b/>
        </w:rPr>
      </w:pPr>
      <w:bookmarkStart w:name="a__" w:id="4"/>
      <w:bookmarkStart w:name="_Toc7446068" w:id="5"/>
      <w:bookmarkEnd w:id="4"/>
      <w:r w:rsidRPr="00C425CF">
        <w:rPr>
          <w:b/>
        </w:rPr>
        <w:t xml:space="preserve">8. If applicable, provide a copy and identify the date and page number of </w:t>
      </w:r>
      <w:proofErr w:type="gramStart"/>
      <w:r w:rsidRPr="00C425CF">
        <w:rPr>
          <w:b/>
        </w:rPr>
        <w:t>publication</w:t>
      </w:r>
      <w:proofErr w:type="gramEnd"/>
      <w:r w:rsidRPr="00C425CF">
        <w:rPr>
          <w:b/>
        </w:rPr>
        <w:t xml:space="preserve"> in the</w:t>
      </w:r>
      <w:r>
        <w:rPr>
          <w:b/>
        </w:rPr>
        <w:t xml:space="preserve"> </w:t>
      </w:r>
      <w:r w:rsidRPr="00C425CF">
        <w:rPr>
          <w:b/>
        </w:rPr>
        <w:t>Federal Register of the agency's notice, required by 5 CFR 1320.8(d), soliciting comments on</w:t>
      </w:r>
      <w:r>
        <w:rPr>
          <w:b/>
        </w:rPr>
        <w:t xml:space="preserve"> </w:t>
      </w:r>
      <w:r w:rsidRPr="00C425CF">
        <w:rPr>
          <w:b/>
        </w:rPr>
        <w:t>the information</w:t>
      </w:r>
      <w:r>
        <w:rPr>
          <w:b/>
        </w:rPr>
        <w:t xml:space="preserve"> </w:t>
      </w:r>
      <w:r w:rsidRPr="00C425CF">
        <w:rPr>
          <w:b/>
        </w:rPr>
        <w:t>collection prior to submission to OMB. Summarize public comments</w:t>
      </w:r>
      <w:r>
        <w:rPr>
          <w:b/>
        </w:rPr>
        <w:t xml:space="preserve"> </w:t>
      </w:r>
      <w:r w:rsidRPr="00C425CF">
        <w:rPr>
          <w:b/>
        </w:rPr>
        <w:t>received in response to that</w:t>
      </w:r>
      <w:r>
        <w:rPr>
          <w:b/>
        </w:rPr>
        <w:t xml:space="preserve"> </w:t>
      </w:r>
      <w:r w:rsidRPr="00C425CF">
        <w:rPr>
          <w:b/>
        </w:rPr>
        <w:t>notice and describe actions taken by the agency in response to</w:t>
      </w:r>
      <w:r>
        <w:rPr>
          <w:b/>
        </w:rPr>
        <w:t xml:space="preserve"> </w:t>
      </w:r>
      <w:r w:rsidRPr="00C425CF">
        <w:rPr>
          <w:b/>
        </w:rPr>
        <w:t>these comments. Specifically address</w:t>
      </w:r>
      <w:r>
        <w:rPr>
          <w:b/>
        </w:rPr>
        <w:t xml:space="preserve"> </w:t>
      </w:r>
      <w:r w:rsidRPr="00C425CF">
        <w:rPr>
          <w:b/>
        </w:rPr>
        <w:t>comments received on cost and hour burden.</w:t>
      </w:r>
      <w:r>
        <w:rPr>
          <w:b/>
        </w:rPr>
        <w:t xml:space="preserve"> </w:t>
      </w:r>
    </w:p>
    <w:p w:rsidR="00FA66CC" w:rsidP="00FA66CC" w:rsidRDefault="00FA66CC" w14:paraId="03F04289" w14:textId="77777777">
      <w:pPr>
        <w:rPr>
          <w:b/>
        </w:rPr>
      </w:pPr>
    </w:p>
    <w:p w:rsidR="00FA66CC" w:rsidP="00FA66CC" w:rsidRDefault="00FA66CC" w14:paraId="3335225D" w14:textId="77777777">
      <w:pPr>
        <w:rPr>
          <w:b/>
        </w:rPr>
      </w:pPr>
      <w:r w:rsidRPr="00C425CF">
        <w:rPr>
          <w:b/>
        </w:rPr>
        <w:t>Describe efforts to consult with persons outside the</w:t>
      </w:r>
      <w:r>
        <w:rPr>
          <w:b/>
        </w:rPr>
        <w:t xml:space="preserve"> </w:t>
      </w:r>
      <w:r w:rsidRPr="00C425CF">
        <w:rPr>
          <w:b/>
        </w:rPr>
        <w:t>agency to obtain their views on the</w:t>
      </w:r>
      <w:r>
        <w:rPr>
          <w:b/>
        </w:rPr>
        <w:t xml:space="preserve"> </w:t>
      </w:r>
      <w:r w:rsidRPr="00C425CF">
        <w:rPr>
          <w:b/>
        </w:rPr>
        <w:t>availability of data, frequency of collection, the clarity of</w:t>
      </w:r>
      <w:r>
        <w:rPr>
          <w:b/>
        </w:rPr>
        <w:t xml:space="preserve"> </w:t>
      </w:r>
      <w:r w:rsidRPr="00C425CF">
        <w:rPr>
          <w:b/>
        </w:rPr>
        <w:t>instructions and recordkeeping,</w:t>
      </w:r>
      <w:r>
        <w:rPr>
          <w:b/>
        </w:rPr>
        <w:t xml:space="preserve"> </w:t>
      </w:r>
      <w:r w:rsidRPr="00C425CF">
        <w:rPr>
          <w:b/>
        </w:rPr>
        <w:t>disclosure, or reporting format (if any), and on the data elements to be recorded, disclosed, or</w:t>
      </w:r>
      <w:r>
        <w:rPr>
          <w:b/>
        </w:rPr>
        <w:t xml:space="preserve"> </w:t>
      </w:r>
      <w:r w:rsidRPr="00C425CF">
        <w:rPr>
          <w:b/>
        </w:rPr>
        <w:t>reported.</w:t>
      </w:r>
    </w:p>
    <w:p w:rsidRPr="00C425CF" w:rsidR="00FA66CC" w:rsidP="00FA66CC" w:rsidRDefault="00FA66CC" w14:paraId="18742427" w14:textId="77777777">
      <w:pPr>
        <w:rPr>
          <w:b/>
        </w:rPr>
      </w:pPr>
    </w:p>
    <w:p w:rsidR="00FA66CC" w:rsidP="00FA66CC" w:rsidRDefault="00FA66CC" w14:paraId="3A9BA1E4" w14:textId="7B6F4D22">
      <w:pPr>
        <w:rPr>
          <w:b/>
        </w:rPr>
      </w:pPr>
      <w:r w:rsidRPr="00C425CF">
        <w:rPr>
          <w:b/>
        </w:rPr>
        <w:t>Consultation with representatives of those from whom information is to be obtained or those</w:t>
      </w:r>
      <w:r>
        <w:rPr>
          <w:b/>
        </w:rPr>
        <w:t xml:space="preserve"> </w:t>
      </w:r>
      <w:r w:rsidRPr="00C425CF">
        <w:rPr>
          <w:b/>
        </w:rPr>
        <w:t>who must compile records should occur at least once every 3 years - even if the collection of</w:t>
      </w:r>
      <w:r>
        <w:rPr>
          <w:b/>
        </w:rPr>
        <w:t xml:space="preserve"> </w:t>
      </w:r>
      <w:r w:rsidRPr="00C425CF">
        <w:rPr>
          <w:b/>
        </w:rPr>
        <w:t>information activity is the same as in prior periods. There may be circumstances that may</w:t>
      </w:r>
      <w:r>
        <w:rPr>
          <w:b/>
        </w:rPr>
        <w:t xml:space="preserve"> </w:t>
      </w:r>
      <w:r w:rsidRPr="00C425CF">
        <w:rPr>
          <w:b/>
        </w:rPr>
        <w:t>preclude consultation in a specific situation. These circumstances should be explained.</w:t>
      </w:r>
    </w:p>
    <w:p w:rsidRPr="00C425CF" w:rsidR="00106F10" w:rsidP="00FA66CC" w:rsidRDefault="00106F10" w14:paraId="77EF0EA1" w14:textId="77777777">
      <w:pPr>
        <w:rPr>
          <w:b/>
        </w:rPr>
      </w:pPr>
    </w:p>
    <w:bookmarkEnd w:id="5"/>
    <w:p w:rsidRPr="009E02D7" w:rsidR="00944F8E" w:rsidP="008E0BE5" w:rsidRDefault="00405A1A" w14:paraId="3FA2DC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3FE9">
        <w:t xml:space="preserve">In compliance with the Paperwork Reduction Act of 1995, EPA solicited public comments on this ICR through an announcement in the </w:t>
      </w:r>
      <w:r w:rsidRPr="00EA3FE9">
        <w:rPr>
          <w:u w:val="single"/>
        </w:rPr>
        <w:t>Federal Register</w:t>
      </w:r>
      <w:r w:rsidRPr="00EA3FE9">
        <w:t xml:space="preserve"> on </w:t>
      </w:r>
      <w:r w:rsidR="004E0659">
        <w:t>May 19, 2020</w:t>
      </w:r>
      <w:r w:rsidRPr="00EA3FE9">
        <w:t xml:space="preserve"> (8</w:t>
      </w:r>
      <w:r w:rsidR="004E0659">
        <w:t>5</w:t>
      </w:r>
      <w:r w:rsidRPr="00EA3FE9">
        <w:t xml:space="preserve"> </w:t>
      </w:r>
      <w:r w:rsidRPr="00EA3FE9">
        <w:rPr>
          <w:u w:val="single"/>
        </w:rPr>
        <w:t>FR</w:t>
      </w:r>
      <w:r w:rsidRPr="00EA3FE9">
        <w:t xml:space="preserve"> </w:t>
      </w:r>
      <w:r w:rsidR="004E0659">
        <w:t>29944</w:t>
      </w:r>
      <w:r w:rsidRPr="00EA3FE9">
        <w:t>)</w:t>
      </w:r>
      <w:r>
        <w:t xml:space="preserve">. </w:t>
      </w:r>
      <w:r w:rsidR="008E0BE5">
        <w:t>No comments related to the ICR were received</w:t>
      </w:r>
      <w:r w:rsidR="00633B7A">
        <w:t>.</w:t>
      </w:r>
      <w:r w:rsidRPr="00D73C91" w:rsidR="009E02D7">
        <w:rPr>
          <w:bCs/>
        </w:rPr>
        <w:t xml:space="preserve"> </w:t>
      </w:r>
    </w:p>
    <w:p w:rsidRPr="00853414" w:rsidR="00E631D6" w:rsidP="00FA3A49" w:rsidRDefault="00E631D6" w14:paraId="65E0E451" w14:textId="77777777"/>
    <w:p w:rsidR="00A70BDB" w:rsidP="00A70BDB" w:rsidRDefault="00A70BDB" w14:paraId="48884CE7" w14:textId="39BB2BDE">
      <w:r>
        <w:t>In July and August 20</w:t>
      </w:r>
      <w:r w:rsidR="00F95E11">
        <w:t>20</w:t>
      </w:r>
      <w:r>
        <w:t xml:space="preserve">, EPA contacted </w:t>
      </w:r>
      <w:r w:rsidR="00FB36E9">
        <w:t>five</w:t>
      </w:r>
      <w:r>
        <w:t xml:space="preserve"> industry representatives </w:t>
      </w:r>
      <w:r w:rsidRPr="00FE1533">
        <w:t>to request their</w:t>
      </w:r>
      <w:r>
        <w:t xml:space="preserve"> input</w:t>
      </w:r>
      <w:r w:rsidRPr="00FE1533">
        <w:t xml:space="preserve"> on </w:t>
      </w:r>
      <w:r>
        <w:t xml:space="preserve">this ICR’s </w:t>
      </w:r>
      <w:r w:rsidRPr="00FE1533">
        <w:t>burden estimates</w:t>
      </w:r>
      <w:r>
        <w:t xml:space="preserve"> and assumptions. </w:t>
      </w:r>
      <w:r w:rsidRPr="0018286F">
        <w:t>The table identifies the</w:t>
      </w:r>
      <w:r>
        <w:t xml:space="preserve"> organizations and their points of contact (</w:t>
      </w:r>
      <w:r w:rsidRPr="0018286F">
        <w:t>POCs</w:t>
      </w:r>
      <w:r>
        <w:t>)</w:t>
      </w:r>
      <w:r w:rsidRPr="0018286F">
        <w:t>.</w:t>
      </w:r>
      <w:r>
        <w:t xml:space="preserve"> </w:t>
      </w:r>
    </w:p>
    <w:p w:rsidR="002860F6" w:rsidP="00A70BDB" w:rsidRDefault="002860F6" w14:paraId="5C8EB804" w14:textId="6A365F85"/>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4"/>
        <w:gridCol w:w="1662"/>
        <w:gridCol w:w="3974"/>
      </w:tblGrid>
      <w:tr w:rsidRPr="00FF7328" w:rsidR="00026621" w:rsidTr="00722CC2" w14:paraId="5A26FC46" w14:textId="77777777">
        <w:trPr>
          <w:tblHeader/>
        </w:trPr>
        <w:tc>
          <w:tcPr>
            <w:tcW w:w="2214" w:type="dxa"/>
            <w:shd w:val="clear" w:color="auto" w:fill="D9D9D9" w:themeFill="background1" w:themeFillShade="D9"/>
            <w:vAlign w:val="center"/>
          </w:tcPr>
          <w:p w:rsidRPr="00746B82" w:rsidR="00026621" w:rsidP="00722CC2" w:rsidRDefault="00026621" w14:paraId="615CE2CF" w14:textId="77777777">
            <w:pPr>
              <w:jc w:val="center"/>
              <w:rPr>
                <w:b/>
                <w:sz w:val="22"/>
                <w:szCs w:val="22"/>
              </w:rPr>
            </w:pPr>
            <w:r w:rsidRPr="00746B82">
              <w:rPr>
                <w:b/>
                <w:sz w:val="22"/>
                <w:szCs w:val="22"/>
              </w:rPr>
              <w:t>Organization Name</w:t>
            </w:r>
          </w:p>
        </w:tc>
        <w:tc>
          <w:tcPr>
            <w:tcW w:w="1662" w:type="dxa"/>
            <w:shd w:val="clear" w:color="auto" w:fill="D9D9D9" w:themeFill="background1" w:themeFillShade="D9"/>
            <w:vAlign w:val="center"/>
          </w:tcPr>
          <w:p w:rsidRPr="00746B82" w:rsidR="00026621" w:rsidP="00722CC2" w:rsidRDefault="00026621" w14:paraId="4376198F" w14:textId="77777777">
            <w:pPr>
              <w:jc w:val="center"/>
              <w:rPr>
                <w:b/>
                <w:sz w:val="22"/>
                <w:szCs w:val="22"/>
              </w:rPr>
            </w:pPr>
            <w:r w:rsidRPr="00746B82">
              <w:rPr>
                <w:b/>
                <w:sz w:val="22"/>
                <w:szCs w:val="22"/>
              </w:rPr>
              <w:t>Phone Number</w:t>
            </w:r>
          </w:p>
        </w:tc>
        <w:tc>
          <w:tcPr>
            <w:tcW w:w="3974" w:type="dxa"/>
            <w:shd w:val="clear" w:color="auto" w:fill="D9D9D9" w:themeFill="background1" w:themeFillShade="D9"/>
            <w:vAlign w:val="center"/>
          </w:tcPr>
          <w:p w:rsidRPr="00746B82" w:rsidR="00026621" w:rsidP="00722CC2" w:rsidRDefault="00026621" w14:paraId="24BF4E2E" w14:textId="77777777">
            <w:pPr>
              <w:jc w:val="center"/>
              <w:rPr>
                <w:b/>
                <w:sz w:val="22"/>
                <w:szCs w:val="22"/>
              </w:rPr>
            </w:pPr>
            <w:r>
              <w:rPr>
                <w:b/>
                <w:sz w:val="22"/>
                <w:szCs w:val="22"/>
              </w:rPr>
              <w:t xml:space="preserve"> Company</w:t>
            </w:r>
          </w:p>
        </w:tc>
      </w:tr>
      <w:tr w:rsidRPr="00FF7328" w:rsidR="00026621" w:rsidTr="00722CC2" w14:paraId="2A0AD9DB" w14:textId="77777777">
        <w:tc>
          <w:tcPr>
            <w:tcW w:w="2214" w:type="dxa"/>
            <w:vAlign w:val="center"/>
          </w:tcPr>
          <w:p w:rsidR="00026621" w:rsidP="00722CC2" w:rsidRDefault="00026621" w14:paraId="7DC4C401" w14:textId="77777777">
            <w:pPr>
              <w:jc w:val="center"/>
              <w:rPr>
                <w:sz w:val="22"/>
                <w:szCs w:val="22"/>
              </w:rPr>
            </w:pPr>
            <w:r w:rsidRPr="00FB36E9">
              <w:rPr>
                <w:sz w:val="22"/>
                <w:szCs w:val="22"/>
              </w:rPr>
              <w:t>EBV Explosives Environmental Company</w:t>
            </w:r>
          </w:p>
        </w:tc>
        <w:tc>
          <w:tcPr>
            <w:tcW w:w="1662" w:type="dxa"/>
            <w:vAlign w:val="center"/>
          </w:tcPr>
          <w:p w:rsidRPr="0062512E" w:rsidR="00026621" w:rsidP="00722CC2" w:rsidRDefault="00026621" w14:paraId="00A048A9" w14:textId="77777777">
            <w:pPr>
              <w:jc w:val="center"/>
              <w:rPr>
                <w:sz w:val="22"/>
                <w:szCs w:val="22"/>
              </w:rPr>
            </w:pPr>
            <w:r>
              <w:rPr>
                <w:sz w:val="22"/>
                <w:szCs w:val="22"/>
              </w:rPr>
              <w:t>417-624-02126</w:t>
            </w:r>
          </w:p>
        </w:tc>
        <w:tc>
          <w:tcPr>
            <w:tcW w:w="3974" w:type="dxa"/>
            <w:vAlign w:val="center"/>
          </w:tcPr>
          <w:p w:rsidRPr="0062512E" w:rsidR="00026621" w:rsidP="00722CC2" w:rsidRDefault="00DC4F23" w14:paraId="20103D42" w14:textId="77777777">
            <w:pPr>
              <w:jc w:val="center"/>
              <w:rPr>
                <w:sz w:val="22"/>
                <w:szCs w:val="22"/>
              </w:rPr>
            </w:pPr>
            <w:hyperlink w:history="1" r:id="rId13">
              <w:r w:rsidRPr="008E0F33" w:rsidR="00026621">
                <w:rPr>
                  <w:rStyle w:val="Hyperlink"/>
                  <w:sz w:val="22"/>
                  <w:szCs w:val="22"/>
                </w:rPr>
                <w:t>www.wastebits.com/locator/location/ebv-explosives-environmental-company-1</w:t>
              </w:r>
            </w:hyperlink>
            <w:r w:rsidR="00026621">
              <w:rPr>
                <w:sz w:val="22"/>
                <w:szCs w:val="22"/>
              </w:rPr>
              <w:t xml:space="preserve"> </w:t>
            </w:r>
          </w:p>
        </w:tc>
      </w:tr>
      <w:tr w:rsidRPr="00FF7328" w:rsidR="00026621" w:rsidTr="00722CC2" w14:paraId="017C41C5" w14:textId="77777777">
        <w:tc>
          <w:tcPr>
            <w:tcW w:w="2214" w:type="dxa"/>
            <w:vAlign w:val="center"/>
          </w:tcPr>
          <w:p w:rsidR="00026621" w:rsidP="00722CC2" w:rsidRDefault="00026621" w14:paraId="2BDEC109" w14:textId="77777777">
            <w:pPr>
              <w:jc w:val="center"/>
              <w:rPr>
                <w:sz w:val="22"/>
                <w:szCs w:val="22"/>
              </w:rPr>
            </w:pPr>
            <w:r>
              <w:rPr>
                <w:sz w:val="22"/>
                <w:szCs w:val="22"/>
              </w:rPr>
              <w:t>The Flesh Company</w:t>
            </w:r>
          </w:p>
        </w:tc>
        <w:tc>
          <w:tcPr>
            <w:tcW w:w="1662" w:type="dxa"/>
            <w:vAlign w:val="center"/>
          </w:tcPr>
          <w:p w:rsidR="00026621" w:rsidP="00722CC2" w:rsidRDefault="00026621" w14:paraId="1BA050DC" w14:textId="77777777">
            <w:pPr>
              <w:jc w:val="center"/>
              <w:rPr>
                <w:sz w:val="22"/>
                <w:szCs w:val="22"/>
              </w:rPr>
            </w:pPr>
            <w:r>
              <w:rPr>
                <w:sz w:val="22"/>
                <w:szCs w:val="22"/>
              </w:rPr>
              <w:t>800-835-0098</w:t>
            </w:r>
          </w:p>
        </w:tc>
        <w:tc>
          <w:tcPr>
            <w:tcW w:w="3974" w:type="dxa"/>
            <w:vAlign w:val="center"/>
          </w:tcPr>
          <w:p w:rsidR="00026621" w:rsidP="00722CC2" w:rsidRDefault="002B3065" w14:paraId="704AD28C" w14:textId="1863A78F">
            <w:pPr>
              <w:jc w:val="center"/>
              <w:rPr>
                <w:sz w:val="22"/>
                <w:szCs w:val="22"/>
              </w:rPr>
            </w:pPr>
            <w:hyperlink w:history="1" r:id="rId14">
              <w:r w:rsidRPr="000F53C8">
                <w:rPr>
                  <w:rStyle w:val="Hyperlink"/>
                  <w:sz w:val="22"/>
                  <w:szCs w:val="22"/>
                </w:rPr>
                <w:t>www.fleshco.com/</w:t>
              </w:r>
            </w:hyperlink>
          </w:p>
        </w:tc>
      </w:tr>
      <w:tr w:rsidRPr="00FF7328" w:rsidR="00026621" w:rsidTr="00722CC2" w14:paraId="35457A8F" w14:textId="77777777">
        <w:tc>
          <w:tcPr>
            <w:tcW w:w="2214" w:type="dxa"/>
            <w:vAlign w:val="center"/>
          </w:tcPr>
          <w:p w:rsidRPr="00746B82" w:rsidR="00026621" w:rsidP="00722CC2" w:rsidRDefault="00026621" w14:paraId="223C431F" w14:textId="77777777">
            <w:pPr>
              <w:jc w:val="center"/>
              <w:rPr>
                <w:sz w:val="22"/>
                <w:szCs w:val="22"/>
              </w:rPr>
            </w:pPr>
            <w:r>
              <w:rPr>
                <w:sz w:val="22"/>
                <w:szCs w:val="22"/>
              </w:rPr>
              <w:t>Clean Harbors</w:t>
            </w:r>
          </w:p>
        </w:tc>
        <w:tc>
          <w:tcPr>
            <w:tcW w:w="1662" w:type="dxa"/>
            <w:vAlign w:val="center"/>
          </w:tcPr>
          <w:p w:rsidRPr="00746B82" w:rsidR="00026621" w:rsidP="00722CC2" w:rsidRDefault="00026621" w14:paraId="7CE7C161" w14:textId="77777777">
            <w:pPr>
              <w:jc w:val="center"/>
              <w:rPr>
                <w:sz w:val="22"/>
                <w:szCs w:val="22"/>
              </w:rPr>
            </w:pPr>
            <w:r>
              <w:rPr>
                <w:sz w:val="22"/>
                <w:szCs w:val="22"/>
              </w:rPr>
              <w:t>800-444-4244</w:t>
            </w:r>
          </w:p>
        </w:tc>
        <w:tc>
          <w:tcPr>
            <w:tcW w:w="3974" w:type="dxa"/>
            <w:vAlign w:val="center"/>
          </w:tcPr>
          <w:p w:rsidRPr="00746B82" w:rsidR="00026621" w:rsidP="00722CC2" w:rsidRDefault="002B3065" w14:paraId="61F2A8E0" w14:textId="322F2BB2">
            <w:pPr>
              <w:jc w:val="center"/>
              <w:rPr>
                <w:sz w:val="22"/>
                <w:szCs w:val="22"/>
              </w:rPr>
            </w:pPr>
            <w:hyperlink w:history="1" r:id="rId15">
              <w:r w:rsidRPr="000F53C8">
                <w:rPr>
                  <w:rStyle w:val="Hyperlink"/>
                  <w:sz w:val="22"/>
                  <w:szCs w:val="22"/>
                </w:rPr>
                <w:t>www.cleanharbors.com/</w:t>
              </w:r>
            </w:hyperlink>
            <w:r w:rsidRPr="001965C8" w:rsidDel="00FA66CC" w:rsidR="00026621">
              <w:rPr>
                <w:sz w:val="22"/>
                <w:szCs w:val="22"/>
              </w:rPr>
              <w:t xml:space="preserve"> </w:t>
            </w:r>
          </w:p>
        </w:tc>
      </w:tr>
      <w:tr w:rsidRPr="00FF7328" w:rsidR="00026621" w:rsidTr="00722CC2" w14:paraId="2CCB9FD5" w14:textId="77777777">
        <w:tc>
          <w:tcPr>
            <w:tcW w:w="2214" w:type="dxa"/>
            <w:vAlign w:val="center"/>
          </w:tcPr>
          <w:p w:rsidRPr="00746B82" w:rsidR="00026621" w:rsidP="00722CC2" w:rsidRDefault="00026621" w14:paraId="2F692758" w14:textId="77777777">
            <w:pPr>
              <w:jc w:val="center"/>
              <w:rPr>
                <w:sz w:val="22"/>
                <w:szCs w:val="22"/>
              </w:rPr>
            </w:pPr>
            <w:r>
              <w:rPr>
                <w:sz w:val="22"/>
                <w:szCs w:val="22"/>
              </w:rPr>
              <w:t>Genoa Business Forms, Inc.</w:t>
            </w:r>
          </w:p>
        </w:tc>
        <w:tc>
          <w:tcPr>
            <w:tcW w:w="1662" w:type="dxa"/>
            <w:vAlign w:val="center"/>
          </w:tcPr>
          <w:p w:rsidRPr="00746B82" w:rsidR="00026621" w:rsidP="00722CC2" w:rsidRDefault="00026621" w14:paraId="7017278B" w14:textId="77777777">
            <w:pPr>
              <w:jc w:val="center"/>
              <w:rPr>
                <w:sz w:val="22"/>
                <w:szCs w:val="22"/>
              </w:rPr>
            </w:pPr>
            <w:r>
              <w:rPr>
                <w:sz w:val="22"/>
                <w:szCs w:val="22"/>
              </w:rPr>
              <w:t>800-383-2801</w:t>
            </w:r>
          </w:p>
        </w:tc>
        <w:tc>
          <w:tcPr>
            <w:tcW w:w="3974" w:type="dxa"/>
            <w:vAlign w:val="center"/>
          </w:tcPr>
          <w:p w:rsidRPr="00746B82" w:rsidR="00026621" w:rsidP="00722CC2" w:rsidRDefault="002B3065" w14:paraId="4354F1C3" w14:textId="759007E6">
            <w:pPr>
              <w:jc w:val="center"/>
              <w:rPr>
                <w:sz w:val="22"/>
                <w:szCs w:val="22"/>
              </w:rPr>
            </w:pPr>
            <w:hyperlink w:history="1" r:id="rId16">
              <w:r w:rsidRPr="000F53C8">
                <w:rPr>
                  <w:rStyle w:val="Hyperlink"/>
                  <w:sz w:val="22"/>
                  <w:szCs w:val="22"/>
                </w:rPr>
                <w:t>www.genoabusforms.com/</w:t>
              </w:r>
            </w:hyperlink>
          </w:p>
        </w:tc>
      </w:tr>
      <w:tr w:rsidRPr="00D843B8" w:rsidR="00026621" w:rsidTr="00722CC2" w14:paraId="263316E8" w14:textId="77777777">
        <w:tc>
          <w:tcPr>
            <w:tcW w:w="2214" w:type="dxa"/>
            <w:vAlign w:val="center"/>
          </w:tcPr>
          <w:p w:rsidRPr="00746B82" w:rsidR="00026621" w:rsidP="00722CC2" w:rsidRDefault="00026621" w14:paraId="3BF73646" w14:textId="77777777">
            <w:pPr>
              <w:jc w:val="center"/>
              <w:rPr>
                <w:sz w:val="22"/>
                <w:szCs w:val="22"/>
              </w:rPr>
            </w:pPr>
            <w:r>
              <w:rPr>
                <w:sz w:val="22"/>
                <w:szCs w:val="22"/>
              </w:rPr>
              <w:t>Environmental Recycling Inc.</w:t>
            </w:r>
          </w:p>
        </w:tc>
        <w:tc>
          <w:tcPr>
            <w:tcW w:w="1662" w:type="dxa"/>
            <w:vAlign w:val="center"/>
          </w:tcPr>
          <w:p w:rsidRPr="00746B82" w:rsidR="00026621" w:rsidP="00722CC2" w:rsidRDefault="00026621" w14:paraId="15E9EA68" w14:textId="77777777">
            <w:pPr>
              <w:jc w:val="center"/>
              <w:rPr>
                <w:sz w:val="22"/>
                <w:szCs w:val="22"/>
              </w:rPr>
            </w:pPr>
            <w:r>
              <w:rPr>
                <w:sz w:val="22"/>
                <w:szCs w:val="22"/>
              </w:rPr>
              <w:t>800-575-4306</w:t>
            </w:r>
          </w:p>
        </w:tc>
        <w:tc>
          <w:tcPr>
            <w:tcW w:w="3974" w:type="dxa"/>
            <w:vAlign w:val="center"/>
          </w:tcPr>
          <w:p w:rsidRPr="00746B82" w:rsidR="00026621" w:rsidP="00722CC2" w:rsidRDefault="002B3065" w14:paraId="49D25C7D" w14:textId="262FE112">
            <w:pPr>
              <w:jc w:val="center"/>
              <w:rPr>
                <w:sz w:val="22"/>
                <w:szCs w:val="22"/>
              </w:rPr>
            </w:pPr>
            <w:hyperlink w:history="1" r:id="rId17">
              <w:r w:rsidRPr="000F53C8">
                <w:rPr>
                  <w:rStyle w:val="Hyperlink"/>
                  <w:sz w:val="22"/>
                  <w:szCs w:val="22"/>
                </w:rPr>
                <w:t>www.envrecycling.com/</w:t>
              </w:r>
            </w:hyperlink>
          </w:p>
        </w:tc>
      </w:tr>
    </w:tbl>
    <w:p w:rsidR="002860F6" w:rsidP="00A70BDB" w:rsidRDefault="002860F6" w14:paraId="42FB6B00" w14:textId="77777777"/>
    <w:p w:rsidR="004C7DAD" w:rsidP="004C7DAD" w:rsidRDefault="00FB36E9" w14:paraId="7EF65FCA" w14:textId="32E2F8EC">
      <w:r>
        <w:t xml:space="preserve"> </w:t>
      </w:r>
      <w:r w:rsidR="008A5E95">
        <w:t>Following is a summary of EPA’s questions and industry responses</w:t>
      </w:r>
      <w:r w:rsidR="0053008F">
        <w:t>:</w:t>
      </w:r>
    </w:p>
    <w:p w:rsidR="004C7DAD" w:rsidP="004C7DAD" w:rsidRDefault="004C7DAD" w14:paraId="4CC5B926" w14:textId="77777777"/>
    <w:p w:rsidRPr="00957E51" w:rsidR="00E63711" w:rsidRDefault="00A70BDB" w14:paraId="585CCEE1" w14:textId="77777777">
      <w:pPr>
        <w:pStyle w:val="ListParagraph"/>
        <w:numPr>
          <w:ilvl w:val="0"/>
          <w:numId w:val="42"/>
        </w:numPr>
      </w:pPr>
      <w:r w:rsidRPr="00957E51">
        <w:lastRenderedPageBreak/>
        <w:t xml:space="preserve">Under 40 CFR 262.21(d), an applicant to the EPA </w:t>
      </w:r>
      <w:r w:rsidRPr="00957E51" w:rsidR="00144F6C">
        <w:t>M</w:t>
      </w:r>
      <w:r w:rsidRPr="00957E51">
        <w:t xml:space="preserve">anifest </w:t>
      </w:r>
      <w:r w:rsidRPr="00957E51" w:rsidR="00144F6C">
        <w:t>R</w:t>
      </w:r>
      <w:r w:rsidRPr="00957E51">
        <w:t xml:space="preserve">egistry must submit several samples of </w:t>
      </w:r>
      <w:r w:rsidRPr="00957E51" w:rsidR="006F6843">
        <w:t>its</w:t>
      </w:r>
      <w:r w:rsidRPr="00957E51">
        <w:t xml:space="preserve"> </w:t>
      </w:r>
      <w:r w:rsidRPr="00957E51" w:rsidR="00C270C4">
        <w:t xml:space="preserve">proposed </w:t>
      </w:r>
      <w:r w:rsidRPr="00957E51">
        <w:t xml:space="preserve">manifest and continuation sheet for EPA's evaluation. Normally, </w:t>
      </w:r>
      <w:r w:rsidRPr="00957E51" w:rsidR="006F6843">
        <w:t xml:space="preserve">a </w:t>
      </w:r>
      <w:r w:rsidRPr="00957E51">
        <w:t>printer will produce a small batch of forms</w:t>
      </w:r>
      <w:r w:rsidRPr="00957E51" w:rsidR="00621440">
        <w:t xml:space="preserve"> (e.g., 500 forms)</w:t>
      </w:r>
      <w:r w:rsidRPr="00957E51">
        <w:t xml:space="preserve"> and select s</w:t>
      </w:r>
      <w:r w:rsidRPr="00957E51" w:rsidR="00144F6C">
        <w:t>amples</w:t>
      </w:r>
      <w:r w:rsidRPr="00957E51">
        <w:t xml:space="preserve"> for submittal</w:t>
      </w:r>
      <w:r w:rsidRPr="00957E51" w:rsidR="00801AE4">
        <w:t xml:space="preserve"> to EPA</w:t>
      </w:r>
      <w:r w:rsidRPr="00957E51" w:rsidR="00144F6C">
        <w:t>.</w:t>
      </w:r>
      <w:r w:rsidRPr="00957E51">
        <w:t xml:space="preserve"> EPA asked</w:t>
      </w:r>
      <w:r w:rsidRPr="00957E51" w:rsidR="00801AE4">
        <w:t xml:space="preserve"> two POCs</w:t>
      </w:r>
      <w:r w:rsidRPr="00957E51" w:rsidR="00C3445A">
        <w:t xml:space="preserve"> (currently approved printers)</w:t>
      </w:r>
      <w:r w:rsidRPr="00957E51">
        <w:t xml:space="preserve"> how much it costs to produce </w:t>
      </w:r>
      <w:r w:rsidRPr="00957E51" w:rsidR="00AF7909">
        <w:t>a small batch of forms for sample selection</w:t>
      </w:r>
      <w:r w:rsidRPr="00957E51">
        <w:t>. One POC estimated $900</w:t>
      </w:r>
      <w:r w:rsidRPr="00957E51" w:rsidR="00144F6C">
        <w:t xml:space="preserve"> and the </w:t>
      </w:r>
      <w:r w:rsidRPr="00957E51">
        <w:t>other estimated $1,350.</w:t>
      </w:r>
      <w:r w:rsidRPr="00957E51" w:rsidR="0062512E">
        <w:t xml:space="preserve"> EPA averaged the estimates </w:t>
      </w:r>
      <w:r w:rsidRPr="00957E51" w:rsidR="00E579E7">
        <w:t>(</w:t>
      </w:r>
      <w:r w:rsidRPr="00957E51" w:rsidR="0062512E">
        <w:t>$</w:t>
      </w:r>
      <w:r w:rsidRPr="00957E51" w:rsidR="00DD053D">
        <w:t>1,125</w:t>
      </w:r>
      <w:r w:rsidRPr="00957E51" w:rsidR="00AF7909">
        <w:t>) and incorporated this cost</w:t>
      </w:r>
      <w:r w:rsidRPr="00957E51" w:rsidR="00E579E7">
        <w:t xml:space="preserve"> into</w:t>
      </w:r>
      <w:r w:rsidRPr="00957E51" w:rsidR="00AF7909">
        <w:t xml:space="preserve"> the burden estimates of</w:t>
      </w:r>
      <w:r w:rsidRPr="00957E51" w:rsidR="00E579E7">
        <w:t xml:space="preserve"> this</w:t>
      </w:r>
      <w:r w:rsidRPr="00957E51" w:rsidR="00AF7909">
        <w:t xml:space="preserve"> document</w:t>
      </w:r>
      <w:r w:rsidRPr="00957E51" w:rsidR="0062512E">
        <w:t>.</w:t>
      </w:r>
      <w:r w:rsidRPr="00957E51" w:rsidR="00AF7909">
        <w:t xml:space="preserve"> See Section 6</w:t>
      </w:r>
      <w:r w:rsidRPr="00957E51" w:rsidR="00957E51">
        <w:t>D</w:t>
      </w:r>
      <w:r w:rsidRPr="00957E51" w:rsidR="00AF7909">
        <w:t>.</w:t>
      </w:r>
    </w:p>
    <w:p w:rsidRPr="00957E51" w:rsidR="00E63711" w:rsidRDefault="00E63711" w14:paraId="7B79730A" w14:textId="77777777">
      <w:pPr>
        <w:pStyle w:val="ListParagraph"/>
      </w:pPr>
    </w:p>
    <w:p w:rsidRPr="00957E51" w:rsidR="00E63711" w:rsidP="00007D96" w:rsidRDefault="0062512E" w14:paraId="7D3F36A6" w14:textId="77777777">
      <w:pPr>
        <w:pStyle w:val="ListParagraph"/>
        <w:numPr>
          <w:ilvl w:val="0"/>
          <w:numId w:val="42"/>
        </w:numPr>
      </w:pPr>
      <w:r w:rsidRPr="00957E51">
        <w:t xml:space="preserve">Under 40 CFR 264.71(a)(2)(v), a </w:t>
      </w:r>
      <w:r w:rsidR="004552B9">
        <w:t>receiving</w:t>
      </w:r>
      <w:r w:rsidRPr="00957E51">
        <w:t xml:space="preserve"> facility m</w:t>
      </w:r>
      <w:r w:rsidRPr="00957E51" w:rsidR="00401AD9">
        <w:t>ust</w:t>
      </w:r>
      <w:r w:rsidRPr="00957E51">
        <w:t xml:space="preserve"> submit the top copy of a paper-based manifest by </w:t>
      </w:r>
      <w:r w:rsidRPr="00957E51" w:rsidR="00401AD9">
        <w:t>paper</w:t>
      </w:r>
      <w:r w:rsidRPr="00957E51">
        <w:t>, image file, or data set and image file</w:t>
      </w:r>
      <w:r w:rsidRPr="00957E51" w:rsidR="00A51855">
        <w:t xml:space="preserve"> to EPA</w:t>
      </w:r>
      <w:r w:rsidRPr="00957E51">
        <w:t>. EPA asked</w:t>
      </w:r>
      <w:r w:rsidRPr="00957E51" w:rsidR="00A51855">
        <w:t xml:space="preserve"> </w:t>
      </w:r>
      <w:r w:rsidRPr="00957E51" w:rsidR="00007D96">
        <w:t xml:space="preserve">three </w:t>
      </w:r>
      <w:r w:rsidRPr="00957E51" w:rsidR="00A51855">
        <w:t>POC</w:t>
      </w:r>
      <w:r w:rsidRPr="00957E51" w:rsidR="00007D96">
        <w:t>s</w:t>
      </w:r>
      <w:r w:rsidRPr="00957E51" w:rsidR="00C3445A">
        <w:t xml:space="preserve"> (</w:t>
      </w:r>
      <w:r w:rsidR="004552B9">
        <w:t>receiving</w:t>
      </w:r>
      <w:r w:rsidRPr="00957E51" w:rsidR="00C3445A">
        <w:t xml:space="preserve"> facilities)</w:t>
      </w:r>
      <w:r w:rsidRPr="00957E51">
        <w:t xml:space="preserve"> </w:t>
      </w:r>
      <w:r w:rsidRPr="00957E51" w:rsidR="00A51855">
        <w:t xml:space="preserve">how </w:t>
      </w:r>
      <w:r w:rsidRPr="00957E51">
        <w:t xml:space="preserve">much </w:t>
      </w:r>
      <w:r w:rsidRPr="00957E51" w:rsidR="001A5C43">
        <w:t xml:space="preserve">time </w:t>
      </w:r>
      <w:r w:rsidRPr="00957E51" w:rsidR="003032BB">
        <w:t xml:space="preserve">it takes to </w:t>
      </w:r>
      <w:r w:rsidRPr="00957E51" w:rsidR="00007D96">
        <w:t xml:space="preserve">1) scan and upload a </w:t>
      </w:r>
      <w:r w:rsidRPr="00957E51" w:rsidR="00CC4B26">
        <w:t xml:space="preserve">manifest </w:t>
      </w:r>
      <w:r w:rsidRPr="00957E51" w:rsidR="00007D96">
        <w:t xml:space="preserve">copy to the e-Manifest system </w:t>
      </w:r>
      <w:r w:rsidRPr="00957E51" w:rsidR="00FD3E70">
        <w:t>or</w:t>
      </w:r>
      <w:r w:rsidRPr="00957E51" w:rsidR="00007D96">
        <w:t xml:space="preserve"> 2) </w:t>
      </w:r>
      <w:r w:rsidRPr="00957E51">
        <w:t>submit data set</w:t>
      </w:r>
      <w:r w:rsidRPr="00957E51" w:rsidR="00A15FB0">
        <w:t>s</w:t>
      </w:r>
      <w:r w:rsidRPr="00957E51">
        <w:t xml:space="preserve"> and image file</w:t>
      </w:r>
      <w:r w:rsidRPr="00957E51" w:rsidR="00A15FB0">
        <w:t>s</w:t>
      </w:r>
      <w:r w:rsidRPr="00957E51" w:rsidR="00007D96">
        <w:t xml:space="preserve"> to the system</w:t>
      </w:r>
      <w:r w:rsidRPr="00957E51">
        <w:t xml:space="preserve">. </w:t>
      </w:r>
      <w:proofErr w:type="gramStart"/>
      <w:r w:rsidRPr="00957E51" w:rsidR="00007D96">
        <w:t>In regard to</w:t>
      </w:r>
      <w:proofErr w:type="gramEnd"/>
      <w:r w:rsidRPr="00957E51" w:rsidR="00007D96">
        <w:t xml:space="preserve"> scanning and uploading a copy, one POC </w:t>
      </w:r>
      <w:r w:rsidRPr="00957E51" w:rsidR="00363A95">
        <w:t>estimated 2-3</w:t>
      </w:r>
      <w:r w:rsidRPr="00957E51" w:rsidR="00007D96">
        <w:t xml:space="preserve"> minutes and another </w:t>
      </w:r>
      <w:r w:rsidRPr="00957E51" w:rsidR="00363A95">
        <w:t>estimated 2-4</w:t>
      </w:r>
      <w:r w:rsidRPr="00957E51" w:rsidR="00007D96">
        <w:t xml:space="preserve"> minutes. EPA </w:t>
      </w:r>
      <w:r w:rsidRPr="00957E51" w:rsidR="00363A95">
        <w:t>believes</w:t>
      </w:r>
      <w:r w:rsidRPr="00957E51" w:rsidR="00007D96">
        <w:t xml:space="preserve"> </w:t>
      </w:r>
      <w:r w:rsidRPr="00957E51" w:rsidR="00363A95">
        <w:t>3</w:t>
      </w:r>
      <w:r w:rsidRPr="00957E51" w:rsidR="00007D96">
        <w:t xml:space="preserve"> minutes </w:t>
      </w:r>
      <w:r w:rsidRPr="00957E51" w:rsidR="00F2484E">
        <w:t xml:space="preserve">per copy </w:t>
      </w:r>
      <w:r w:rsidRPr="00957E51" w:rsidR="00007D96">
        <w:t xml:space="preserve">is a reasonable estimate and </w:t>
      </w:r>
      <w:r w:rsidRPr="00957E51" w:rsidR="00363A95">
        <w:t>incorporated</w:t>
      </w:r>
      <w:r w:rsidRPr="00957E51" w:rsidR="009149E9">
        <w:t xml:space="preserve"> </w:t>
      </w:r>
      <w:r w:rsidRPr="00957E51" w:rsidR="00F2484E">
        <w:t>it</w:t>
      </w:r>
      <w:r w:rsidRPr="00957E51" w:rsidR="00363A95">
        <w:t xml:space="preserve"> into the burden estimates of this document</w:t>
      </w:r>
      <w:r w:rsidRPr="00957E51" w:rsidR="00007D96">
        <w:t xml:space="preserve">. </w:t>
      </w:r>
      <w:proofErr w:type="gramStart"/>
      <w:r w:rsidRPr="00957E51" w:rsidR="00363A95">
        <w:t>In regard to</w:t>
      </w:r>
      <w:proofErr w:type="gramEnd"/>
      <w:r w:rsidRPr="00957E51" w:rsidR="00363A95">
        <w:t xml:space="preserve"> uploading data sets and images, a </w:t>
      </w:r>
      <w:r w:rsidRPr="00957E51">
        <w:t>POC stated that the</w:t>
      </w:r>
      <w:r w:rsidRPr="00957E51" w:rsidR="00363A95">
        <w:t xml:space="preserve"> data sets </w:t>
      </w:r>
      <w:r w:rsidRPr="00957E51">
        <w:t xml:space="preserve">are uploaded automatically by </w:t>
      </w:r>
      <w:r w:rsidRPr="00957E51" w:rsidR="00F2484E">
        <w:t>the facility’s</w:t>
      </w:r>
      <w:r w:rsidRPr="00957E51">
        <w:t xml:space="preserve"> internal data system. A facility spends 20 hours/month</w:t>
      </w:r>
      <w:r w:rsidRPr="00957E51" w:rsidR="00A15FB0">
        <w:t>, or 240 hours annually,</w:t>
      </w:r>
      <w:r w:rsidRPr="00957E51">
        <w:t xml:space="preserve"> to maintain and upgrade the system</w:t>
      </w:r>
      <w:r w:rsidRPr="00957E51" w:rsidR="000058C0">
        <w:t xml:space="preserve"> on average</w:t>
      </w:r>
      <w:r w:rsidRPr="00957E51">
        <w:t>.</w:t>
      </w:r>
      <w:r w:rsidRPr="00957E51" w:rsidR="002E6C7D">
        <w:t xml:space="preserve"> </w:t>
      </w:r>
      <w:r w:rsidRPr="00957E51" w:rsidR="00363A95">
        <w:t>EPA incorporated</w:t>
      </w:r>
      <w:r w:rsidRPr="00957E51" w:rsidR="002E6C7D">
        <w:t xml:space="preserve"> </w:t>
      </w:r>
      <w:r w:rsidRPr="00957E51" w:rsidR="009149E9">
        <w:t xml:space="preserve">this input </w:t>
      </w:r>
      <w:r w:rsidRPr="00957E51" w:rsidR="00363A95">
        <w:t>into the burden estimates of this document</w:t>
      </w:r>
      <w:r w:rsidRPr="00957E51" w:rsidR="00E579E7">
        <w:t>.</w:t>
      </w:r>
      <w:r w:rsidRPr="00957E51" w:rsidR="00AF7909">
        <w:t xml:space="preserve"> See Section 6</w:t>
      </w:r>
      <w:r w:rsidRPr="00957E51" w:rsidR="00957E51">
        <w:t>D</w:t>
      </w:r>
      <w:r w:rsidRPr="00957E51" w:rsidR="00AF7909">
        <w:t>.</w:t>
      </w:r>
    </w:p>
    <w:p w:rsidRPr="00957E51" w:rsidR="00E31342" w:rsidP="00FA3A49" w:rsidRDefault="00E31342" w14:paraId="7D206D6C" w14:textId="77777777">
      <w:pPr>
        <w:tabs>
          <w:tab w:val="left" w:pos="-1440"/>
        </w:tabs>
      </w:pPr>
    </w:p>
    <w:p w:rsidRPr="00C425CF" w:rsidR="00643FD8" w:rsidP="00643FD8" w:rsidRDefault="00643FD8" w14:paraId="75D8CB91" w14:textId="77777777">
      <w:pPr>
        <w:rPr>
          <w:b/>
        </w:rPr>
      </w:pPr>
      <w:r w:rsidRPr="00C425CF">
        <w:rPr>
          <w:b/>
        </w:rPr>
        <w:t>9. Explain any decision to provide any payment or gift to respondents, other than remuneration</w:t>
      </w:r>
      <w:r>
        <w:rPr>
          <w:b/>
        </w:rPr>
        <w:t xml:space="preserve"> </w:t>
      </w:r>
      <w:r w:rsidRPr="00C425CF">
        <w:rPr>
          <w:b/>
        </w:rPr>
        <w:t>of contractors or grantees.</w:t>
      </w:r>
    </w:p>
    <w:p w:rsidR="003B77E7" w:rsidP="00643FD8" w:rsidRDefault="003B77E7" w14:paraId="5032A3D6" w14:textId="77777777"/>
    <w:p w:rsidR="00643FD8" w:rsidP="00643FD8" w:rsidRDefault="00690F62" w14:paraId="19066307" w14:textId="56356E2C">
      <w:pPr>
        <w:rPr>
          <w:bCs/>
        </w:rPr>
      </w:pPr>
      <w:r>
        <w:t>There are no payments or gifts associated with this collection of information.</w:t>
      </w:r>
    </w:p>
    <w:p w:rsidRPr="00BE00ED" w:rsidR="00BE00ED" w:rsidP="00643FD8" w:rsidRDefault="00BE00ED" w14:paraId="673276EC" w14:textId="77777777">
      <w:pPr>
        <w:rPr>
          <w:bCs/>
        </w:rPr>
      </w:pPr>
    </w:p>
    <w:p w:rsidRPr="00C425CF" w:rsidR="00643FD8" w:rsidP="00643FD8" w:rsidRDefault="00643FD8" w14:paraId="2511C602" w14:textId="77777777">
      <w:pPr>
        <w:rPr>
          <w:b/>
        </w:rPr>
      </w:pPr>
      <w:r w:rsidRPr="00C425CF">
        <w:rPr>
          <w:b/>
        </w:rPr>
        <w:t>10. Describe any assurance of confidentiality provided to respondents and the basis for the</w:t>
      </w:r>
      <w:r>
        <w:rPr>
          <w:b/>
        </w:rPr>
        <w:t xml:space="preserve"> </w:t>
      </w:r>
      <w:r w:rsidRPr="00C425CF">
        <w:rPr>
          <w:b/>
        </w:rPr>
        <w:t xml:space="preserve">assurance in statute, regulation, or agency policy. If the collection requires a </w:t>
      </w:r>
      <w:proofErr w:type="gramStart"/>
      <w:r w:rsidRPr="00C425CF">
        <w:rPr>
          <w:b/>
        </w:rPr>
        <w:t>systems of</w:t>
      </w:r>
      <w:r>
        <w:rPr>
          <w:b/>
        </w:rPr>
        <w:t xml:space="preserve"> </w:t>
      </w:r>
      <w:r w:rsidRPr="00C425CF">
        <w:rPr>
          <w:b/>
        </w:rPr>
        <w:t>records notice (SORN)</w:t>
      </w:r>
      <w:proofErr w:type="gramEnd"/>
      <w:r w:rsidRPr="00C425CF">
        <w:rPr>
          <w:b/>
        </w:rPr>
        <w:t xml:space="preserve"> or privacy impact assessment (PIA), those should be cited and</w:t>
      </w:r>
      <w:r>
        <w:rPr>
          <w:b/>
        </w:rPr>
        <w:t xml:space="preserve"> </w:t>
      </w:r>
      <w:r w:rsidRPr="00C425CF">
        <w:rPr>
          <w:b/>
        </w:rPr>
        <w:t>described here.</w:t>
      </w:r>
    </w:p>
    <w:p w:rsidR="00BD002B" w:rsidP="00FA3A49" w:rsidRDefault="00BD002B" w14:paraId="23BA856A" w14:textId="77777777"/>
    <w:p w:rsidR="002C179A" w:rsidP="00FA3A49" w:rsidRDefault="000F4D0A" w14:paraId="291AC1F1" w14:textId="53F61CC5">
      <w:r w:rsidRPr="00853414">
        <w:t>Section 3007(b) of RCRA and 40 CFR</w:t>
      </w:r>
      <w:r w:rsidR="00D62EE6">
        <w:t xml:space="preserve"> Part</w:t>
      </w:r>
      <w:r w:rsidRPr="00853414">
        <w:t xml:space="preserve"> 2</w:t>
      </w:r>
      <w:r w:rsidR="00D62EE6">
        <w:t>, S</w:t>
      </w:r>
      <w:r w:rsidRPr="00853414">
        <w:t xml:space="preserve">ubpart B, which define </w:t>
      </w:r>
      <w:r w:rsidR="00CB2DBC">
        <w:t>EPA</w:t>
      </w:r>
      <w:r w:rsidRPr="00853414">
        <w:t>’s general policy on the public disclosure of information, contain provisions for confidentiality</w:t>
      </w:r>
      <w:r w:rsidR="000E6596">
        <w:t xml:space="preserve">. </w:t>
      </w:r>
      <w:r w:rsidR="002C3148">
        <w:t>In addition, 40 CFR</w:t>
      </w:r>
      <w:r w:rsidR="00D62EE6">
        <w:t xml:space="preserve"> 260.2(a), which was amended by the final e-Manifest rule, provides that any information provided to EPA under 40 CFR Parts 260 through 266 and 268 will be made available to the public to the extent and in the manner authorized by the Freedom of Information Act, 5 U.S.C. section 552, section 3007(b) of RCRA and EPA regulations implementing the Freedom of Information Act and section 3007(b), and Part 2, as applicable</w:t>
      </w:r>
      <w:r w:rsidR="000E6596">
        <w:t xml:space="preserve">. </w:t>
      </w:r>
    </w:p>
    <w:p w:rsidR="002C179A" w:rsidP="00FA3A49" w:rsidRDefault="002C179A" w14:paraId="028F0D33" w14:textId="77777777"/>
    <w:p w:rsidRPr="007370BB" w:rsidR="00B05DFB" w:rsidP="00B05DFB" w:rsidRDefault="009D4227" w14:paraId="44FA1E6A" w14:textId="77777777">
      <w:r w:rsidRPr="007370BB">
        <w:t>40 CFR 260.2(b) provides that, except as provided under section 260.2(c) and (d), any</w:t>
      </w:r>
    </w:p>
    <w:p w:rsidRPr="007370BB" w:rsidR="00B05DFB" w:rsidP="00B05DFB" w:rsidRDefault="009D4227" w14:paraId="4A6DADE3" w14:textId="77777777">
      <w:r w:rsidRPr="007370BB">
        <w:t>person who submits information to EPA in accordance with parts 260 through 266 and 268 may</w:t>
      </w:r>
    </w:p>
    <w:p w:rsidRPr="007370BB" w:rsidR="00B05DFB" w:rsidP="00B05DFB" w:rsidRDefault="009D4227" w14:paraId="6CB4C517" w14:textId="77777777">
      <w:r w:rsidRPr="007370BB">
        <w:t xml:space="preserve">assert a claim of business confidentiality covering part or </w:t>
      </w:r>
      <w:proofErr w:type="gramStart"/>
      <w:r w:rsidRPr="007370BB">
        <w:t>all of</w:t>
      </w:r>
      <w:proofErr w:type="gramEnd"/>
      <w:r w:rsidRPr="007370BB">
        <w:t xml:space="preserve"> that information by following the procedures set forth in section 2.203(b). Information covered by such a claim will</w:t>
      </w:r>
    </w:p>
    <w:p w:rsidR="00B05DFB" w:rsidP="00B05DFB" w:rsidRDefault="009D4227" w14:paraId="6DF9E536" w14:textId="77777777">
      <w:r w:rsidRPr="007370BB">
        <w:t xml:space="preserve">be disclosed by EPA only to the extent, and by means of the procedures, set forth in part 2, </w:t>
      </w:r>
      <w:r w:rsidR="003A6E8F">
        <w:t>Subpart</w:t>
      </w:r>
      <w:r w:rsidRPr="007370BB">
        <w:t xml:space="preserve"> B.</w:t>
      </w:r>
    </w:p>
    <w:p w:rsidR="006330A6" w:rsidP="00FA3A49" w:rsidRDefault="006330A6" w14:paraId="26DB2B26" w14:textId="77777777"/>
    <w:p w:rsidR="00D62EE6" w:rsidP="00FA3A49" w:rsidRDefault="00D62EE6" w14:paraId="41132540" w14:textId="77777777">
      <w:r>
        <w:lastRenderedPageBreak/>
        <w:t>Section 260.2(c) clarifies that no claim of business confidentiality may be asserted by any person with respect to information entered on a Hazardous Waste Manifest (EPA Form 8700-22), a Hazardous Waste Manifest Continuation Sheet (EPA Form 8700-22A), or an electronic manifest format that may be prepared and used in accordance with section 262.20(a)(3)</w:t>
      </w:r>
      <w:r w:rsidR="000E6596">
        <w:t xml:space="preserve">. </w:t>
      </w:r>
      <w:r w:rsidRPr="00D62EE6">
        <w:t>EPA will make any electronic manifest that is prepar</w:t>
      </w:r>
      <w:r>
        <w:t>ed and used in accordance with section</w:t>
      </w:r>
      <w:r w:rsidRPr="00D62EE6">
        <w:t xml:space="preserve"> 262.20(a)(3), or any paper manifest that is submitted to the system under </w:t>
      </w:r>
      <w:r>
        <w:t>sections</w:t>
      </w:r>
      <w:r w:rsidRPr="00D62EE6">
        <w:t xml:space="preserve"> 264.71(a)(6) or 265.71</w:t>
      </w:r>
      <w:proofErr w:type="gramStart"/>
      <w:r w:rsidRPr="00D62EE6">
        <w:t>( a</w:t>
      </w:r>
      <w:proofErr w:type="gramEnd"/>
      <w:r w:rsidRPr="00D62EE6">
        <w:t>)(6) available to the public when the electronic or paper manifest is a complete and final document</w:t>
      </w:r>
      <w:r w:rsidR="000E6596">
        <w:t xml:space="preserve">. </w:t>
      </w:r>
      <w:r w:rsidRPr="00D62EE6">
        <w:t>Electronic manifests and paper manifests submitted to the system are considered by EPA to be complete and final documents and publicly available information after 90 days have passed since the delivery to the designated facility of the hazardous waste shipment identified in the manifest.</w:t>
      </w:r>
    </w:p>
    <w:p w:rsidR="00617914" w:rsidP="00FA3A49" w:rsidRDefault="00617914" w14:paraId="1688D6ED" w14:textId="77777777"/>
    <w:p w:rsidRPr="00C425CF" w:rsidR="00643FD8" w:rsidP="00643FD8" w:rsidRDefault="00643FD8" w14:paraId="2ED33E25" w14:textId="77777777">
      <w:pPr>
        <w:rPr>
          <w:b/>
        </w:rPr>
      </w:pPr>
      <w:bookmarkStart w:name="_Toc7446073" w:id="6"/>
      <w:r w:rsidRPr="00C425CF">
        <w:rPr>
          <w:b/>
        </w:rPr>
        <w:t>11. Provide additional justification for any questions of a sensitive nature, such as sexual</w:t>
      </w:r>
      <w:r>
        <w:rPr>
          <w:b/>
        </w:rPr>
        <w:t xml:space="preserve"> </w:t>
      </w:r>
      <w:r w:rsidRPr="00C425CF">
        <w:rPr>
          <w:b/>
        </w:rPr>
        <w:t>behavior and attitudes, religious beliefs, and other matters that are commonly considered</w:t>
      </w:r>
      <w:r>
        <w:rPr>
          <w:b/>
        </w:rPr>
        <w:t xml:space="preserve"> </w:t>
      </w:r>
      <w:r w:rsidRPr="00C425CF">
        <w:rPr>
          <w:b/>
        </w:rPr>
        <w:t>private. This justification should include the reasons why the agency considers the questions</w:t>
      </w:r>
      <w:r>
        <w:rPr>
          <w:b/>
        </w:rPr>
        <w:t xml:space="preserve"> </w:t>
      </w:r>
      <w:r w:rsidRPr="00C425CF">
        <w:rPr>
          <w:b/>
        </w:rPr>
        <w:t>necessary, the specific uses to be made of the information, the explanation to be given to</w:t>
      </w:r>
      <w:r>
        <w:rPr>
          <w:b/>
        </w:rPr>
        <w:t xml:space="preserve"> </w:t>
      </w:r>
      <w:r w:rsidRPr="00C425CF">
        <w:rPr>
          <w:b/>
        </w:rPr>
        <w:t>persons from whom the information is requested, and any steps to be taken to obtain their</w:t>
      </w:r>
      <w:r>
        <w:rPr>
          <w:b/>
        </w:rPr>
        <w:t xml:space="preserve"> </w:t>
      </w:r>
      <w:r w:rsidRPr="00C425CF">
        <w:rPr>
          <w:b/>
        </w:rPr>
        <w:t>consent.</w:t>
      </w:r>
    </w:p>
    <w:p w:rsidR="00BD002B" w:rsidP="00D11382" w:rsidRDefault="00BD002B" w14:paraId="30CEB247" w14:textId="77777777">
      <w:pPr>
        <w:keepNext/>
        <w:keepLines/>
      </w:pPr>
      <w:bookmarkStart w:name="_Hlk92282887" w:id="7"/>
      <w:bookmarkEnd w:id="6"/>
    </w:p>
    <w:p w:rsidR="00283097" w:rsidP="00D11382" w:rsidRDefault="000F4D0A" w14:paraId="3905EFD7" w14:textId="459CF0CD">
      <w:pPr>
        <w:keepNext/>
        <w:keepLines/>
      </w:pPr>
      <w:r w:rsidRPr="00853414">
        <w:t>No questions of a sensitive nature are included in any of the information collection requirements.</w:t>
      </w:r>
    </w:p>
    <w:bookmarkEnd w:id="7"/>
    <w:p w:rsidR="00961E52" w:rsidP="00643FD8" w:rsidRDefault="000F211F" w14:paraId="7D22CE8C" w14:textId="61228D1F">
      <w:pPr>
        <w:rPr>
          <w:b/>
        </w:rPr>
      </w:pPr>
      <w:r>
        <w:br w:type="page"/>
      </w:r>
      <w:bookmarkStart w:name="_Toc7446074" w:id="8"/>
    </w:p>
    <w:p w:rsidRPr="00C425CF" w:rsidR="00643FD8" w:rsidP="00643FD8" w:rsidRDefault="00643FD8" w14:paraId="718F24D6" w14:textId="608C3038">
      <w:pPr>
        <w:rPr>
          <w:b/>
        </w:rPr>
      </w:pPr>
      <w:r w:rsidRPr="00C425CF">
        <w:rPr>
          <w:b/>
        </w:rPr>
        <w:lastRenderedPageBreak/>
        <w:t>12. Provide estimates of the hour burden of the collection of information. The statement should:</w:t>
      </w:r>
    </w:p>
    <w:p w:rsidR="00643FD8" w:rsidP="00643FD8" w:rsidRDefault="00643FD8" w14:paraId="1B851157" w14:textId="38682BF9">
      <w:pPr>
        <w:pStyle w:val="ListParagraph"/>
        <w:widowControl/>
        <w:numPr>
          <w:ilvl w:val="0"/>
          <w:numId w:val="48"/>
        </w:numPr>
        <w:autoSpaceDE/>
        <w:autoSpaceDN/>
        <w:adjustRightInd/>
        <w:spacing w:line="259" w:lineRule="auto"/>
        <w:rPr>
          <w:b/>
        </w:rPr>
      </w:pPr>
      <w:r w:rsidRPr="009C5921">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925B1" w:rsidP="00352918" w:rsidRDefault="00F925B1" w14:paraId="0F6BCC12" w14:textId="26771CE1">
      <w:pPr>
        <w:pStyle w:val="ListParagraph"/>
        <w:widowControl/>
        <w:autoSpaceDE/>
        <w:autoSpaceDN/>
        <w:adjustRightInd/>
        <w:spacing w:line="259" w:lineRule="auto"/>
        <w:rPr>
          <w:b/>
        </w:rPr>
      </w:pPr>
    </w:p>
    <w:p w:rsidR="00643FD8" w:rsidP="00643FD8" w:rsidRDefault="00643FD8" w14:paraId="5AF70A26" w14:textId="102F6BD9">
      <w:pPr>
        <w:pStyle w:val="ListParagraph"/>
        <w:widowControl/>
        <w:numPr>
          <w:ilvl w:val="0"/>
          <w:numId w:val="48"/>
        </w:numPr>
        <w:autoSpaceDE/>
        <w:autoSpaceDN/>
        <w:adjustRightInd/>
        <w:spacing w:line="259" w:lineRule="auto"/>
        <w:rPr>
          <w:b/>
        </w:rPr>
      </w:pPr>
      <w:r w:rsidRPr="009C5921">
        <w:rPr>
          <w:b/>
        </w:rPr>
        <w:t xml:space="preserve">If this request for approval covers more than one form, provide separate hour burden estimates for each </w:t>
      </w:r>
      <w:proofErr w:type="gramStart"/>
      <w:r w:rsidRPr="009C5921">
        <w:rPr>
          <w:b/>
        </w:rPr>
        <w:t>form</w:t>
      </w:r>
      <w:proofErr w:type="gramEnd"/>
      <w:r w:rsidRPr="009C5921">
        <w:rPr>
          <w:b/>
        </w:rPr>
        <w:t xml:space="preserve"> and aggregate the hour burdens.</w:t>
      </w:r>
    </w:p>
    <w:p w:rsidR="001206EB" w:rsidP="00352918" w:rsidRDefault="001206EB" w14:paraId="06491EA8" w14:textId="4802CA4C">
      <w:pPr>
        <w:pStyle w:val="ListParagraph"/>
        <w:widowControl/>
        <w:autoSpaceDE/>
        <w:autoSpaceDN/>
        <w:adjustRightInd/>
        <w:spacing w:line="259" w:lineRule="auto"/>
        <w:rPr>
          <w:b/>
        </w:rPr>
      </w:pPr>
    </w:p>
    <w:p w:rsidR="00643FD8" w:rsidP="00643FD8" w:rsidRDefault="00643FD8" w14:paraId="524D41F3" w14:textId="175CA888">
      <w:pPr>
        <w:pStyle w:val="ListParagraph"/>
        <w:widowControl/>
        <w:numPr>
          <w:ilvl w:val="0"/>
          <w:numId w:val="48"/>
        </w:numPr>
        <w:autoSpaceDE/>
        <w:autoSpaceDN/>
        <w:adjustRightInd/>
        <w:spacing w:line="259" w:lineRule="auto"/>
        <w:rPr>
          <w:b/>
        </w:rPr>
      </w:pPr>
      <w:r w:rsidRPr="009C5921">
        <w:rPr>
          <w:b/>
        </w:rPr>
        <w:t xml:space="preserve">Provide estimates of annualized cost to respondents for the hour burdens for collections of information, identifying and using appropriate wage rate categories. The cost of </w:t>
      </w:r>
      <w:proofErr w:type="gramStart"/>
      <w:r w:rsidRPr="009C5921">
        <w:rPr>
          <w:b/>
        </w:rPr>
        <w:t>contracting  out</w:t>
      </w:r>
      <w:proofErr w:type="gramEnd"/>
      <w:r w:rsidRPr="009C5921">
        <w:rPr>
          <w:b/>
        </w:rPr>
        <w:t xml:space="preserve"> or paying outside parties for information collection activities should not be included here. Instead, this cost should be included under ‘Annual Cost to Federal</w:t>
      </w:r>
      <w:r>
        <w:rPr>
          <w:b/>
        </w:rPr>
        <w:t xml:space="preserve"> </w:t>
      </w:r>
      <w:r w:rsidRPr="009C5921">
        <w:rPr>
          <w:b/>
        </w:rPr>
        <w:t>Government’.</w:t>
      </w:r>
    </w:p>
    <w:p w:rsidR="00AE1601" w:rsidP="00855F7F" w:rsidRDefault="00AE1601" w14:paraId="74FF9608" w14:textId="77777777">
      <w:pPr>
        <w:pStyle w:val="ListParagraph"/>
        <w:widowControl/>
        <w:autoSpaceDE/>
        <w:autoSpaceDN/>
        <w:adjustRightInd/>
        <w:spacing w:line="259" w:lineRule="auto"/>
        <w:rPr>
          <w:bCs/>
        </w:rPr>
      </w:pPr>
    </w:p>
    <w:p w:rsidR="00424FEA" w:rsidP="00855F7F" w:rsidRDefault="00855F7F" w14:paraId="58BA1517" w14:textId="538373D5">
      <w:pPr>
        <w:pStyle w:val="ListParagraph"/>
        <w:widowControl/>
        <w:autoSpaceDE/>
        <w:autoSpaceDN/>
        <w:adjustRightInd/>
        <w:spacing w:line="259" w:lineRule="auto"/>
        <w:rPr>
          <w:bCs/>
        </w:rPr>
      </w:pPr>
      <w:r w:rsidRPr="00352918">
        <w:rPr>
          <w:bCs/>
        </w:rPr>
        <w:t xml:space="preserve">Estimates of annualized cost to respondents </w:t>
      </w:r>
      <w:r w:rsidRPr="00352918" w:rsidR="004C355D">
        <w:rPr>
          <w:bCs/>
        </w:rPr>
        <w:t>for the hour burdens for collections of information are as follows:</w:t>
      </w:r>
    </w:p>
    <w:p w:rsidRPr="00352918" w:rsidR="009E6F36" w:rsidP="000E3EC8" w:rsidRDefault="000E3EC8" w14:paraId="0CDDC1C4" w14:textId="4E058969">
      <w:pPr>
        <w:pStyle w:val="ListParagraph"/>
        <w:widowControl/>
        <w:autoSpaceDE/>
        <w:autoSpaceDN/>
        <w:adjustRightInd/>
        <w:spacing w:line="259" w:lineRule="auto"/>
        <w:rPr>
          <w:bCs/>
        </w:rPr>
      </w:pPr>
      <w:r w:rsidRPr="000E3EC8">
        <w:rPr>
          <w:bCs/>
        </w:rPr>
        <w:t>Total estimated cost: $118,940,729 (per year), includes $70,957 annualized capital costs and $28,972,277 operation &amp; maintenance costs.</w:t>
      </w:r>
    </w:p>
    <w:p w:rsidRPr="00352918" w:rsidR="004C355D" w:rsidP="00352918" w:rsidRDefault="004C355D" w14:paraId="3A78A632" w14:textId="77777777">
      <w:pPr>
        <w:pStyle w:val="ListParagraph"/>
        <w:widowControl/>
        <w:autoSpaceDE/>
        <w:autoSpaceDN/>
        <w:adjustRightInd/>
        <w:spacing w:line="259" w:lineRule="auto"/>
        <w:rPr>
          <w:bCs/>
        </w:rPr>
      </w:pPr>
    </w:p>
    <w:bookmarkEnd w:id="8"/>
    <w:p w:rsidRPr="00853414" w:rsidR="00823ACA" w:rsidP="00FA3A49" w:rsidRDefault="00823ACA" w14:paraId="7D815F37" w14:textId="77777777">
      <w:pPr>
        <w:keepNext/>
        <w:keepLines/>
        <w:rPr>
          <w:color w:val="000000"/>
        </w:rPr>
      </w:pPr>
      <w:r w:rsidRPr="00853414">
        <w:rPr>
          <w:color w:val="000000"/>
        </w:rPr>
        <w:t>Following are the Standard Industrial Classification (SIC) codes and the North American Industry Classification System (NAICS) codes of facilities most likely subject to the requirements in this ICR.</w:t>
      </w:r>
    </w:p>
    <w:p w:rsidR="000F4D0A" w:rsidP="00FA3A49" w:rsidRDefault="000F4D0A" w14:paraId="672ECD18" w14:textId="77777777"/>
    <w:tbl>
      <w:tblPr>
        <w:tblW w:w="0" w:type="auto"/>
        <w:tblInd w:w="120" w:type="dxa"/>
        <w:tblLayout w:type="fixed"/>
        <w:tblCellMar>
          <w:left w:w="120" w:type="dxa"/>
          <w:right w:w="120" w:type="dxa"/>
        </w:tblCellMar>
        <w:tblLook w:val="0000" w:firstRow="0" w:lastRow="0" w:firstColumn="0" w:lastColumn="0" w:noHBand="0" w:noVBand="0"/>
      </w:tblPr>
      <w:tblGrid>
        <w:gridCol w:w="4410"/>
        <w:gridCol w:w="2880"/>
        <w:gridCol w:w="1980"/>
      </w:tblGrid>
      <w:tr w:rsidRPr="00222ED0" w:rsidR="00823ACA" w:rsidTr="00840B76" w14:paraId="71CC4E49" w14:textId="77777777">
        <w:trPr>
          <w:tblHeader/>
        </w:trPr>
        <w:tc>
          <w:tcPr>
            <w:tcW w:w="4410" w:type="dxa"/>
            <w:tcBorders>
              <w:top w:val="single" w:color="000000" w:sz="7" w:space="0"/>
              <w:left w:val="single" w:color="000000" w:sz="7" w:space="0"/>
              <w:bottom w:val="single" w:color="FFFFFF" w:sz="6" w:space="0"/>
              <w:right w:val="single" w:color="FFFFFF" w:sz="6" w:space="0"/>
            </w:tcBorders>
            <w:shd w:val="clear" w:color="auto" w:fill="BFBFBF" w:themeFill="background1" w:themeFillShade="BF"/>
          </w:tcPr>
          <w:p w:rsidRPr="00222ED0" w:rsidR="00823ACA" w:rsidP="00D43D0C" w:rsidRDefault="00823ACA" w14:paraId="097F0556" w14:textId="77777777">
            <w:pPr>
              <w:keepNext/>
              <w:spacing w:line="120" w:lineRule="exact"/>
              <w:rPr>
                <w:b/>
                <w:sz w:val="22"/>
                <w:szCs w:val="22"/>
              </w:rPr>
            </w:pPr>
          </w:p>
          <w:p w:rsidRPr="00222ED0" w:rsidR="00823ACA" w:rsidP="00D43D0C" w:rsidRDefault="00823ACA" w14:paraId="68FC7221" w14:textId="77777777">
            <w:pPr>
              <w:keepNext/>
              <w:spacing w:after="58"/>
              <w:jc w:val="center"/>
              <w:rPr>
                <w:b/>
                <w:sz w:val="22"/>
                <w:szCs w:val="22"/>
              </w:rPr>
            </w:pPr>
            <w:r w:rsidRPr="00222ED0">
              <w:rPr>
                <w:b/>
                <w:sz w:val="22"/>
                <w:szCs w:val="22"/>
              </w:rPr>
              <w:t>Industrial Sector</w:t>
            </w:r>
          </w:p>
        </w:tc>
        <w:tc>
          <w:tcPr>
            <w:tcW w:w="2880" w:type="dxa"/>
            <w:tcBorders>
              <w:top w:val="single" w:color="000000" w:sz="7" w:space="0"/>
              <w:left w:val="single" w:color="000000" w:sz="7" w:space="0"/>
              <w:bottom w:val="single" w:color="FFFFFF" w:sz="6" w:space="0"/>
              <w:right w:val="single" w:color="FFFFFF" w:sz="6" w:space="0"/>
            </w:tcBorders>
            <w:shd w:val="clear" w:color="auto" w:fill="BFBFBF" w:themeFill="background1" w:themeFillShade="BF"/>
          </w:tcPr>
          <w:p w:rsidRPr="00222ED0" w:rsidR="00823ACA" w:rsidP="00D43D0C" w:rsidRDefault="00823ACA" w14:paraId="37B35D8A" w14:textId="77777777">
            <w:pPr>
              <w:keepNext/>
              <w:spacing w:line="120" w:lineRule="exact"/>
              <w:rPr>
                <w:b/>
                <w:sz w:val="22"/>
                <w:szCs w:val="22"/>
              </w:rPr>
            </w:pPr>
          </w:p>
          <w:p w:rsidRPr="00222ED0" w:rsidR="00823ACA" w:rsidP="00D43D0C" w:rsidRDefault="00823ACA" w14:paraId="77185324" w14:textId="77777777">
            <w:pPr>
              <w:keepNext/>
              <w:spacing w:after="58"/>
              <w:jc w:val="center"/>
              <w:rPr>
                <w:b/>
                <w:sz w:val="22"/>
                <w:szCs w:val="22"/>
              </w:rPr>
            </w:pPr>
            <w:r w:rsidRPr="00222ED0">
              <w:rPr>
                <w:b/>
                <w:sz w:val="22"/>
                <w:szCs w:val="22"/>
              </w:rPr>
              <w:t>SIC Code(s)</w:t>
            </w:r>
          </w:p>
        </w:tc>
        <w:tc>
          <w:tcPr>
            <w:tcW w:w="1980" w:type="dxa"/>
            <w:tcBorders>
              <w:top w:val="single" w:color="000000" w:sz="7" w:space="0"/>
              <w:left w:val="single" w:color="000000" w:sz="7" w:space="0"/>
              <w:bottom w:val="single" w:color="FFFFFF" w:sz="6" w:space="0"/>
              <w:right w:val="single" w:color="000000" w:sz="7" w:space="0"/>
            </w:tcBorders>
            <w:shd w:val="clear" w:color="auto" w:fill="BFBFBF" w:themeFill="background1" w:themeFillShade="BF"/>
          </w:tcPr>
          <w:p w:rsidRPr="00222ED0" w:rsidR="00823ACA" w:rsidP="00D43D0C" w:rsidRDefault="00823ACA" w14:paraId="7B3A8E60" w14:textId="77777777">
            <w:pPr>
              <w:keepNext/>
              <w:spacing w:line="120" w:lineRule="exact"/>
              <w:rPr>
                <w:b/>
                <w:sz w:val="22"/>
                <w:szCs w:val="22"/>
              </w:rPr>
            </w:pPr>
          </w:p>
          <w:p w:rsidRPr="00222ED0" w:rsidR="00823ACA" w:rsidP="00D43D0C" w:rsidRDefault="00823ACA" w14:paraId="1074F449" w14:textId="77777777">
            <w:pPr>
              <w:keepNext/>
              <w:spacing w:after="58"/>
              <w:jc w:val="center"/>
              <w:rPr>
                <w:b/>
                <w:sz w:val="22"/>
                <w:szCs w:val="22"/>
              </w:rPr>
            </w:pPr>
            <w:r w:rsidRPr="00222ED0">
              <w:rPr>
                <w:b/>
                <w:sz w:val="22"/>
                <w:szCs w:val="22"/>
              </w:rPr>
              <w:t>NAICS Code(s)</w:t>
            </w:r>
          </w:p>
        </w:tc>
      </w:tr>
      <w:tr w:rsidRPr="00222ED0" w:rsidR="00823ACA" w14:paraId="425B09AD"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D43D0C" w:rsidRDefault="00823ACA" w14:paraId="45E44872" w14:textId="77777777">
            <w:pPr>
              <w:keepNext/>
              <w:spacing w:line="120" w:lineRule="exact"/>
              <w:rPr>
                <w:sz w:val="22"/>
                <w:szCs w:val="22"/>
              </w:rPr>
            </w:pPr>
          </w:p>
          <w:p w:rsidRPr="00222ED0" w:rsidR="00823ACA" w:rsidP="00D43D0C" w:rsidRDefault="00823ACA" w14:paraId="61BC160D" w14:textId="77777777">
            <w:pPr>
              <w:keepNext/>
              <w:spacing w:after="58"/>
              <w:rPr>
                <w:sz w:val="22"/>
                <w:szCs w:val="22"/>
              </w:rPr>
            </w:pPr>
            <w:r w:rsidRPr="00222ED0">
              <w:rPr>
                <w:sz w:val="22"/>
                <w:szCs w:val="22"/>
              </w:rPr>
              <w:t>Agriculture, Forestry, Fishing, and Hunting</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D43D0C" w:rsidRDefault="00823ACA" w14:paraId="07A6EC5C" w14:textId="77777777">
            <w:pPr>
              <w:keepNext/>
              <w:spacing w:line="120" w:lineRule="exact"/>
              <w:rPr>
                <w:sz w:val="22"/>
                <w:szCs w:val="22"/>
              </w:rPr>
            </w:pPr>
          </w:p>
          <w:p w:rsidRPr="00222ED0" w:rsidR="00823ACA" w:rsidP="00D43D0C" w:rsidRDefault="00823ACA" w14:paraId="29C62DA9" w14:textId="77777777">
            <w:pPr>
              <w:keepNext/>
              <w:spacing w:after="58"/>
              <w:jc w:val="center"/>
              <w:rPr>
                <w:sz w:val="22"/>
                <w:szCs w:val="22"/>
              </w:rPr>
            </w:pPr>
            <w:r w:rsidRPr="00222ED0">
              <w:rPr>
                <w:sz w:val="22"/>
                <w:szCs w:val="22"/>
              </w:rPr>
              <w:t>01-09</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D43D0C" w:rsidRDefault="00823ACA" w14:paraId="32D274A0" w14:textId="77777777">
            <w:pPr>
              <w:keepNext/>
              <w:spacing w:line="120" w:lineRule="exact"/>
              <w:rPr>
                <w:sz w:val="22"/>
                <w:szCs w:val="22"/>
              </w:rPr>
            </w:pPr>
          </w:p>
          <w:p w:rsidRPr="00222ED0" w:rsidR="00823ACA" w:rsidP="00D43D0C" w:rsidRDefault="00823ACA" w14:paraId="4ED0FBDC" w14:textId="77777777">
            <w:pPr>
              <w:keepNext/>
              <w:spacing w:after="58"/>
              <w:jc w:val="center"/>
              <w:rPr>
                <w:sz w:val="22"/>
                <w:szCs w:val="22"/>
              </w:rPr>
            </w:pPr>
            <w:r w:rsidRPr="00222ED0">
              <w:rPr>
                <w:sz w:val="22"/>
                <w:szCs w:val="22"/>
              </w:rPr>
              <w:t>11</w:t>
            </w:r>
          </w:p>
        </w:tc>
      </w:tr>
      <w:tr w:rsidRPr="00222ED0" w:rsidR="00823ACA" w14:paraId="616CCC40"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398F1B1F" w14:textId="77777777">
            <w:pPr>
              <w:spacing w:line="120" w:lineRule="exact"/>
              <w:rPr>
                <w:sz w:val="22"/>
                <w:szCs w:val="22"/>
              </w:rPr>
            </w:pPr>
          </w:p>
          <w:p w:rsidRPr="00222ED0" w:rsidR="00823ACA" w:rsidP="00FA3A49" w:rsidRDefault="00823ACA" w14:paraId="421055F8" w14:textId="77777777">
            <w:pPr>
              <w:spacing w:after="58"/>
              <w:rPr>
                <w:sz w:val="22"/>
                <w:szCs w:val="22"/>
              </w:rPr>
            </w:pPr>
            <w:r w:rsidRPr="00222ED0">
              <w:rPr>
                <w:sz w:val="22"/>
                <w:szCs w:val="22"/>
              </w:rPr>
              <w:t>Mining</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07BEDF8B" w14:textId="77777777">
            <w:pPr>
              <w:spacing w:line="120" w:lineRule="exact"/>
              <w:rPr>
                <w:sz w:val="22"/>
                <w:szCs w:val="22"/>
              </w:rPr>
            </w:pPr>
          </w:p>
          <w:p w:rsidRPr="00222ED0" w:rsidR="00823ACA" w:rsidP="00FA3A49" w:rsidRDefault="00823ACA" w14:paraId="40927FCF" w14:textId="77777777">
            <w:pPr>
              <w:spacing w:after="58"/>
              <w:jc w:val="center"/>
              <w:rPr>
                <w:sz w:val="22"/>
                <w:szCs w:val="22"/>
              </w:rPr>
            </w:pPr>
            <w:r w:rsidRPr="00222ED0">
              <w:rPr>
                <w:sz w:val="22"/>
                <w:szCs w:val="22"/>
              </w:rPr>
              <w:t>10-14</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4F3DF766" w14:textId="77777777">
            <w:pPr>
              <w:spacing w:line="120" w:lineRule="exact"/>
              <w:rPr>
                <w:sz w:val="22"/>
                <w:szCs w:val="22"/>
              </w:rPr>
            </w:pPr>
          </w:p>
          <w:p w:rsidRPr="00222ED0" w:rsidR="00823ACA" w:rsidP="00FA3A49" w:rsidRDefault="00823ACA" w14:paraId="1748DDAC" w14:textId="77777777">
            <w:pPr>
              <w:spacing w:after="58"/>
              <w:jc w:val="center"/>
              <w:rPr>
                <w:sz w:val="22"/>
                <w:szCs w:val="22"/>
              </w:rPr>
            </w:pPr>
            <w:r w:rsidRPr="00222ED0">
              <w:rPr>
                <w:sz w:val="22"/>
                <w:szCs w:val="22"/>
              </w:rPr>
              <w:t>21</w:t>
            </w:r>
          </w:p>
        </w:tc>
      </w:tr>
      <w:tr w:rsidRPr="00222ED0" w:rsidR="00823ACA" w14:paraId="249DD821"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25E49901" w14:textId="77777777">
            <w:pPr>
              <w:spacing w:line="120" w:lineRule="exact"/>
              <w:rPr>
                <w:sz w:val="22"/>
                <w:szCs w:val="22"/>
              </w:rPr>
            </w:pPr>
          </w:p>
          <w:p w:rsidRPr="00222ED0" w:rsidR="00823ACA" w:rsidP="00FA3A49" w:rsidRDefault="00823ACA" w14:paraId="4DCE8877" w14:textId="77777777">
            <w:pPr>
              <w:spacing w:after="58"/>
              <w:rPr>
                <w:sz w:val="22"/>
                <w:szCs w:val="22"/>
              </w:rPr>
            </w:pPr>
            <w:r w:rsidRPr="00222ED0">
              <w:rPr>
                <w:sz w:val="22"/>
                <w:szCs w:val="22"/>
              </w:rPr>
              <w:t>Utilities</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0756138D" w14:textId="77777777">
            <w:pPr>
              <w:spacing w:line="120" w:lineRule="exact"/>
              <w:rPr>
                <w:sz w:val="22"/>
                <w:szCs w:val="22"/>
              </w:rPr>
            </w:pPr>
          </w:p>
          <w:p w:rsidRPr="00222ED0" w:rsidR="00823ACA" w:rsidP="00FA3A49" w:rsidRDefault="00823ACA" w14:paraId="0C38C54B" w14:textId="77777777">
            <w:pPr>
              <w:spacing w:after="58"/>
              <w:jc w:val="center"/>
              <w:rPr>
                <w:sz w:val="22"/>
                <w:szCs w:val="22"/>
              </w:rPr>
            </w:pPr>
            <w:r w:rsidRPr="00222ED0">
              <w:rPr>
                <w:sz w:val="22"/>
                <w:szCs w:val="22"/>
              </w:rPr>
              <w:t>49</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78F58324" w14:textId="77777777">
            <w:pPr>
              <w:spacing w:line="120" w:lineRule="exact"/>
              <w:rPr>
                <w:sz w:val="22"/>
                <w:szCs w:val="22"/>
              </w:rPr>
            </w:pPr>
          </w:p>
          <w:p w:rsidRPr="00222ED0" w:rsidR="00823ACA" w:rsidP="00FA3A49" w:rsidRDefault="00823ACA" w14:paraId="7DB5056B" w14:textId="77777777">
            <w:pPr>
              <w:spacing w:after="58"/>
              <w:jc w:val="center"/>
              <w:rPr>
                <w:sz w:val="22"/>
                <w:szCs w:val="22"/>
              </w:rPr>
            </w:pPr>
            <w:r w:rsidRPr="00222ED0">
              <w:rPr>
                <w:sz w:val="22"/>
                <w:szCs w:val="22"/>
              </w:rPr>
              <w:t>22</w:t>
            </w:r>
          </w:p>
        </w:tc>
      </w:tr>
      <w:tr w:rsidRPr="00222ED0" w:rsidR="00823ACA" w14:paraId="047E2E11"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56792003" w14:textId="77777777">
            <w:pPr>
              <w:spacing w:line="120" w:lineRule="exact"/>
              <w:rPr>
                <w:sz w:val="22"/>
                <w:szCs w:val="22"/>
              </w:rPr>
            </w:pPr>
          </w:p>
          <w:p w:rsidRPr="00222ED0" w:rsidR="00823ACA" w:rsidP="00FA3A49" w:rsidRDefault="00823ACA" w14:paraId="7FCDEB80" w14:textId="77777777">
            <w:pPr>
              <w:spacing w:after="58"/>
              <w:rPr>
                <w:sz w:val="22"/>
                <w:szCs w:val="22"/>
              </w:rPr>
            </w:pPr>
            <w:r w:rsidRPr="00222ED0">
              <w:rPr>
                <w:sz w:val="22"/>
                <w:szCs w:val="22"/>
              </w:rPr>
              <w:t xml:space="preserve">Construction </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19D09A98" w14:textId="77777777">
            <w:pPr>
              <w:spacing w:line="120" w:lineRule="exact"/>
              <w:rPr>
                <w:sz w:val="22"/>
                <w:szCs w:val="22"/>
              </w:rPr>
            </w:pPr>
          </w:p>
          <w:p w:rsidRPr="00222ED0" w:rsidR="00823ACA" w:rsidP="00FA3A49" w:rsidRDefault="00823ACA" w14:paraId="72C76DE4" w14:textId="77777777">
            <w:pPr>
              <w:spacing w:after="58"/>
              <w:jc w:val="center"/>
              <w:rPr>
                <w:sz w:val="22"/>
                <w:szCs w:val="22"/>
              </w:rPr>
            </w:pPr>
            <w:r w:rsidRPr="00222ED0">
              <w:rPr>
                <w:sz w:val="22"/>
                <w:szCs w:val="22"/>
              </w:rPr>
              <w:t>15-17</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67CFB844" w14:textId="77777777">
            <w:pPr>
              <w:spacing w:line="120" w:lineRule="exact"/>
              <w:rPr>
                <w:sz w:val="22"/>
                <w:szCs w:val="22"/>
              </w:rPr>
            </w:pPr>
          </w:p>
          <w:p w:rsidRPr="00222ED0" w:rsidR="00823ACA" w:rsidP="00FA3A49" w:rsidRDefault="00823ACA" w14:paraId="26DCED09" w14:textId="77777777">
            <w:pPr>
              <w:spacing w:after="58"/>
              <w:jc w:val="center"/>
              <w:rPr>
                <w:sz w:val="22"/>
                <w:szCs w:val="22"/>
              </w:rPr>
            </w:pPr>
            <w:r w:rsidRPr="00222ED0">
              <w:rPr>
                <w:sz w:val="22"/>
                <w:szCs w:val="22"/>
              </w:rPr>
              <w:t>23</w:t>
            </w:r>
          </w:p>
        </w:tc>
      </w:tr>
      <w:tr w:rsidRPr="00222ED0" w:rsidR="00823ACA" w14:paraId="04CAE532"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77B9F3B3" w14:textId="77777777">
            <w:pPr>
              <w:spacing w:line="120" w:lineRule="exact"/>
              <w:rPr>
                <w:sz w:val="22"/>
                <w:szCs w:val="22"/>
              </w:rPr>
            </w:pPr>
          </w:p>
          <w:p w:rsidRPr="00222ED0" w:rsidR="00823ACA" w:rsidP="00FA3A49" w:rsidRDefault="00823ACA" w14:paraId="33C71CB4" w14:textId="77777777">
            <w:pPr>
              <w:spacing w:after="58"/>
              <w:rPr>
                <w:sz w:val="22"/>
                <w:szCs w:val="22"/>
              </w:rPr>
            </w:pPr>
            <w:r w:rsidRPr="00222ED0">
              <w:rPr>
                <w:sz w:val="22"/>
                <w:szCs w:val="22"/>
              </w:rPr>
              <w:t>Manufacturing</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78A4F6D6" w14:textId="77777777">
            <w:pPr>
              <w:spacing w:line="120" w:lineRule="exact"/>
              <w:rPr>
                <w:sz w:val="22"/>
                <w:szCs w:val="22"/>
              </w:rPr>
            </w:pPr>
          </w:p>
          <w:p w:rsidRPr="00222ED0" w:rsidR="00823ACA" w:rsidP="00FA3A49" w:rsidRDefault="00823ACA" w14:paraId="6B9E5A96" w14:textId="77777777">
            <w:pPr>
              <w:spacing w:after="58"/>
              <w:jc w:val="center"/>
              <w:rPr>
                <w:sz w:val="22"/>
                <w:szCs w:val="22"/>
              </w:rPr>
            </w:pPr>
            <w:r w:rsidRPr="00222ED0">
              <w:rPr>
                <w:sz w:val="22"/>
                <w:szCs w:val="22"/>
              </w:rPr>
              <w:t>20-39</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35062D98" w14:textId="77777777">
            <w:pPr>
              <w:spacing w:line="120" w:lineRule="exact"/>
              <w:rPr>
                <w:sz w:val="22"/>
                <w:szCs w:val="22"/>
              </w:rPr>
            </w:pPr>
          </w:p>
          <w:p w:rsidRPr="00222ED0" w:rsidR="00823ACA" w:rsidP="00FA3A49" w:rsidRDefault="00823ACA" w14:paraId="490FF8DC" w14:textId="77777777">
            <w:pPr>
              <w:spacing w:after="58"/>
              <w:jc w:val="center"/>
              <w:rPr>
                <w:sz w:val="22"/>
                <w:szCs w:val="22"/>
              </w:rPr>
            </w:pPr>
            <w:r w:rsidRPr="00222ED0">
              <w:rPr>
                <w:sz w:val="22"/>
                <w:szCs w:val="22"/>
              </w:rPr>
              <w:t>31-33</w:t>
            </w:r>
          </w:p>
        </w:tc>
      </w:tr>
      <w:tr w:rsidRPr="00222ED0" w:rsidR="00823ACA" w14:paraId="730C06D1"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76C75766" w14:textId="77777777">
            <w:pPr>
              <w:spacing w:line="120" w:lineRule="exact"/>
              <w:rPr>
                <w:sz w:val="22"/>
                <w:szCs w:val="22"/>
              </w:rPr>
            </w:pPr>
          </w:p>
          <w:p w:rsidRPr="00222ED0" w:rsidR="00823ACA" w:rsidP="00FA3A49" w:rsidRDefault="00823ACA" w14:paraId="5870D2A6" w14:textId="77777777">
            <w:pPr>
              <w:spacing w:after="58"/>
              <w:rPr>
                <w:sz w:val="22"/>
                <w:szCs w:val="22"/>
              </w:rPr>
            </w:pPr>
            <w:r w:rsidRPr="00222ED0">
              <w:rPr>
                <w:sz w:val="22"/>
                <w:szCs w:val="22"/>
              </w:rPr>
              <w:t>Wholesale Trade</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7B4E0809" w14:textId="77777777">
            <w:pPr>
              <w:spacing w:line="120" w:lineRule="exact"/>
              <w:rPr>
                <w:sz w:val="22"/>
                <w:szCs w:val="22"/>
              </w:rPr>
            </w:pPr>
          </w:p>
          <w:p w:rsidRPr="00222ED0" w:rsidR="00823ACA" w:rsidP="00FA3A49" w:rsidRDefault="00823ACA" w14:paraId="7B974A63" w14:textId="77777777">
            <w:pPr>
              <w:spacing w:after="58"/>
              <w:jc w:val="center"/>
              <w:rPr>
                <w:sz w:val="22"/>
                <w:szCs w:val="22"/>
              </w:rPr>
            </w:pPr>
            <w:r w:rsidRPr="00222ED0">
              <w:rPr>
                <w:sz w:val="22"/>
                <w:szCs w:val="22"/>
              </w:rPr>
              <w:t>50-51</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760DA163" w14:textId="77777777">
            <w:pPr>
              <w:spacing w:line="120" w:lineRule="exact"/>
              <w:rPr>
                <w:sz w:val="22"/>
                <w:szCs w:val="22"/>
              </w:rPr>
            </w:pPr>
          </w:p>
          <w:p w:rsidRPr="00222ED0" w:rsidR="00823ACA" w:rsidP="00FA3A49" w:rsidRDefault="00823ACA" w14:paraId="03F542B0" w14:textId="77777777">
            <w:pPr>
              <w:spacing w:after="58"/>
              <w:jc w:val="center"/>
              <w:rPr>
                <w:sz w:val="22"/>
                <w:szCs w:val="22"/>
              </w:rPr>
            </w:pPr>
            <w:r w:rsidRPr="00222ED0">
              <w:rPr>
                <w:sz w:val="22"/>
                <w:szCs w:val="22"/>
              </w:rPr>
              <w:t>42</w:t>
            </w:r>
          </w:p>
        </w:tc>
      </w:tr>
      <w:tr w:rsidRPr="00222ED0" w:rsidR="00823ACA" w14:paraId="747A11AE"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2F6E7890" w14:textId="77777777">
            <w:pPr>
              <w:spacing w:line="120" w:lineRule="exact"/>
              <w:rPr>
                <w:sz w:val="22"/>
                <w:szCs w:val="22"/>
              </w:rPr>
            </w:pPr>
          </w:p>
          <w:p w:rsidRPr="00222ED0" w:rsidR="00823ACA" w:rsidP="00FA3A49" w:rsidRDefault="00823ACA" w14:paraId="3C13F0DF" w14:textId="77777777">
            <w:pPr>
              <w:spacing w:after="58"/>
              <w:rPr>
                <w:sz w:val="22"/>
                <w:szCs w:val="22"/>
              </w:rPr>
            </w:pPr>
            <w:r w:rsidRPr="00222ED0">
              <w:rPr>
                <w:sz w:val="22"/>
                <w:szCs w:val="22"/>
              </w:rPr>
              <w:t>Retail Trade</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640C7C91" w14:textId="77777777">
            <w:pPr>
              <w:spacing w:line="120" w:lineRule="exact"/>
              <w:rPr>
                <w:sz w:val="22"/>
                <w:szCs w:val="22"/>
              </w:rPr>
            </w:pPr>
          </w:p>
          <w:p w:rsidRPr="00222ED0" w:rsidR="00823ACA" w:rsidP="00FA3A49" w:rsidRDefault="00823ACA" w14:paraId="4E13B38C" w14:textId="77777777">
            <w:pPr>
              <w:spacing w:after="58"/>
              <w:jc w:val="center"/>
              <w:rPr>
                <w:sz w:val="22"/>
                <w:szCs w:val="22"/>
              </w:rPr>
            </w:pPr>
            <w:r w:rsidRPr="00222ED0">
              <w:rPr>
                <w:sz w:val="22"/>
                <w:szCs w:val="22"/>
              </w:rPr>
              <w:t>52-59</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64DBD8C6" w14:textId="77777777">
            <w:pPr>
              <w:spacing w:line="120" w:lineRule="exact"/>
              <w:rPr>
                <w:sz w:val="22"/>
                <w:szCs w:val="22"/>
              </w:rPr>
            </w:pPr>
          </w:p>
          <w:p w:rsidRPr="00222ED0" w:rsidR="00823ACA" w:rsidP="00FA3A49" w:rsidRDefault="00823ACA" w14:paraId="611818BE" w14:textId="77777777">
            <w:pPr>
              <w:spacing w:after="58"/>
              <w:jc w:val="center"/>
              <w:rPr>
                <w:sz w:val="22"/>
                <w:szCs w:val="22"/>
              </w:rPr>
            </w:pPr>
            <w:r w:rsidRPr="00222ED0">
              <w:rPr>
                <w:sz w:val="22"/>
                <w:szCs w:val="22"/>
              </w:rPr>
              <w:t>44-45</w:t>
            </w:r>
          </w:p>
        </w:tc>
      </w:tr>
      <w:tr w:rsidRPr="00222ED0" w:rsidR="00823ACA" w14:paraId="1A36FBE1"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0A052631" w14:textId="77777777">
            <w:pPr>
              <w:spacing w:line="120" w:lineRule="exact"/>
              <w:rPr>
                <w:sz w:val="22"/>
                <w:szCs w:val="22"/>
              </w:rPr>
            </w:pPr>
          </w:p>
          <w:p w:rsidRPr="00222ED0" w:rsidR="00823ACA" w:rsidP="00FA3A49" w:rsidRDefault="00823ACA" w14:paraId="0296E186" w14:textId="77777777">
            <w:pPr>
              <w:spacing w:after="58"/>
              <w:rPr>
                <w:sz w:val="22"/>
                <w:szCs w:val="22"/>
              </w:rPr>
            </w:pPr>
            <w:r w:rsidRPr="00222ED0">
              <w:rPr>
                <w:sz w:val="22"/>
                <w:szCs w:val="22"/>
              </w:rPr>
              <w:t>Transportation and Warehousing</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71567C3C" w14:textId="77777777">
            <w:pPr>
              <w:spacing w:line="120" w:lineRule="exact"/>
              <w:rPr>
                <w:sz w:val="22"/>
                <w:szCs w:val="22"/>
              </w:rPr>
            </w:pPr>
          </w:p>
          <w:p w:rsidRPr="00222ED0" w:rsidR="00823ACA" w:rsidP="00FA3A49" w:rsidRDefault="00823ACA" w14:paraId="1DE91099" w14:textId="77777777">
            <w:pPr>
              <w:spacing w:after="58"/>
              <w:jc w:val="center"/>
              <w:rPr>
                <w:sz w:val="22"/>
                <w:szCs w:val="22"/>
              </w:rPr>
            </w:pPr>
            <w:r w:rsidRPr="00222ED0">
              <w:rPr>
                <w:sz w:val="22"/>
                <w:szCs w:val="22"/>
              </w:rPr>
              <w:t>40-47</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112E7F4C" w14:textId="77777777">
            <w:pPr>
              <w:spacing w:line="120" w:lineRule="exact"/>
              <w:rPr>
                <w:sz w:val="22"/>
                <w:szCs w:val="22"/>
              </w:rPr>
            </w:pPr>
          </w:p>
          <w:p w:rsidRPr="00222ED0" w:rsidR="00823ACA" w:rsidP="00FA3A49" w:rsidRDefault="00823ACA" w14:paraId="3FD6458D" w14:textId="77777777">
            <w:pPr>
              <w:spacing w:after="58"/>
              <w:jc w:val="center"/>
              <w:rPr>
                <w:sz w:val="22"/>
                <w:szCs w:val="22"/>
              </w:rPr>
            </w:pPr>
            <w:r w:rsidRPr="00222ED0">
              <w:rPr>
                <w:sz w:val="22"/>
                <w:szCs w:val="22"/>
              </w:rPr>
              <w:t>48-49</w:t>
            </w:r>
          </w:p>
        </w:tc>
      </w:tr>
      <w:tr w:rsidRPr="00222ED0" w:rsidR="00823ACA" w14:paraId="3FF33354"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4A69AF6B" w14:textId="77777777">
            <w:pPr>
              <w:spacing w:line="120" w:lineRule="exact"/>
              <w:rPr>
                <w:sz w:val="22"/>
                <w:szCs w:val="22"/>
              </w:rPr>
            </w:pPr>
          </w:p>
          <w:p w:rsidRPr="00222ED0" w:rsidR="00823ACA" w:rsidP="00FA3A49" w:rsidRDefault="00823ACA" w14:paraId="537B7D0D" w14:textId="77777777">
            <w:pPr>
              <w:keepNext/>
              <w:keepLines/>
              <w:spacing w:after="58"/>
              <w:rPr>
                <w:sz w:val="22"/>
                <w:szCs w:val="22"/>
              </w:rPr>
            </w:pPr>
            <w:r w:rsidRPr="00222ED0">
              <w:rPr>
                <w:sz w:val="22"/>
                <w:szCs w:val="22"/>
              </w:rPr>
              <w:t>Information</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43794C1D" w14:textId="77777777">
            <w:pPr>
              <w:spacing w:line="120" w:lineRule="exact"/>
              <w:rPr>
                <w:sz w:val="22"/>
                <w:szCs w:val="22"/>
              </w:rPr>
            </w:pPr>
          </w:p>
          <w:p w:rsidRPr="00222ED0" w:rsidR="00823ACA" w:rsidP="00FA3A49" w:rsidRDefault="00823ACA" w14:paraId="1F69E00F" w14:textId="77777777">
            <w:pPr>
              <w:keepNext/>
              <w:keepLines/>
              <w:spacing w:after="58"/>
              <w:jc w:val="center"/>
              <w:rPr>
                <w:sz w:val="22"/>
                <w:szCs w:val="22"/>
              </w:rPr>
            </w:pPr>
            <w:r w:rsidRPr="00222ED0">
              <w:rPr>
                <w:sz w:val="22"/>
                <w:szCs w:val="22"/>
              </w:rPr>
              <w:t>27, 48, 73 (partial), 78</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3BC56C07" w14:textId="77777777">
            <w:pPr>
              <w:spacing w:line="120" w:lineRule="exact"/>
              <w:rPr>
                <w:sz w:val="22"/>
                <w:szCs w:val="22"/>
              </w:rPr>
            </w:pPr>
          </w:p>
          <w:p w:rsidRPr="00222ED0" w:rsidR="00823ACA" w:rsidP="00FA3A49" w:rsidRDefault="00823ACA" w14:paraId="1FCE1473" w14:textId="77777777">
            <w:pPr>
              <w:keepNext/>
              <w:keepLines/>
              <w:spacing w:after="58"/>
              <w:jc w:val="center"/>
              <w:rPr>
                <w:sz w:val="22"/>
                <w:szCs w:val="22"/>
              </w:rPr>
            </w:pPr>
            <w:r w:rsidRPr="00222ED0">
              <w:rPr>
                <w:sz w:val="22"/>
                <w:szCs w:val="22"/>
              </w:rPr>
              <w:t>51</w:t>
            </w:r>
          </w:p>
        </w:tc>
      </w:tr>
      <w:tr w:rsidRPr="00222ED0" w:rsidR="00823ACA" w14:paraId="0785CC67" w14:textId="77777777">
        <w:tc>
          <w:tcPr>
            <w:tcW w:w="441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7004F627" w14:textId="77777777">
            <w:pPr>
              <w:spacing w:line="120" w:lineRule="exact"/>
              <w:rPr>
                <w:sz w:val="22"/>
                <w:szCs w:val="22"/>
              </w:rPr>
            </w:pPr>
          </w:p>
          <w:p w:rsidRPr="00222ED0" w:rsidR="00823ACA" w:rsidP="00FA3A49" w:rsidRDefault="00823ACA" w14:paraId="096431CE" w14:textId="77777777">
            <w:pPr>
              <w:keepNext/>
              <w:keepLines/>
              <w:spacing w:after="58"/>
              <w:rPr>
                <w:sz w:val="22"/>
                <w:szCs w:val="22"/>
              </w:rPr>
            </w:pPr>
            <w:r w:rsidRPr="00222ED0">
              <w:rPr>
                <w:sz w:val="22"/>
                <w:szCs w:val="22"/>
              </w:rPr>
              <w:t>Waste Management &amp; Remediation Services</w:t>
            </w:r>
          </w:p>
        </w:tc>
        <w:tc>
          <w:tcPr>
            <w:tcW w:w="2880" w:type="dxa"/>
            <w:tcBorders>
              <w:top w:val="single" w:color="000000" w:sz="7" w:space="0"/>
              <w:left w:val="single" w:color="000000" w:sz="7" w:space="0"/>
              <w:bottom w:val="single" w:color="FFFFFF" w:sz="6" w:space="0"/>
              <w:right w:val="single" w:color="FFFFFF" w:sz="6" w:space="0"/>
            </w:tcBorders>
          </w:tcPr>
          <w:p w:rsidRPr="00222ED0" w:rsidR="00823ACA" w:rsidP="00FA3A49" w:rsidRDefault="00823ACA" w14:paraId="63D75438" w14:textId="77777777">
            <w:pPr>
              <w:spacing w:line="120" w:lineRule="exact"/>
              <w:rPr>
                <w:sz w:val="22"/>
                <w:szCs w:val="22"/>
              </w:rPr>
            </w:pPr>
          </w:p>
          <w:p w:rsidRPr="00222ED0" w:rsidR="00823ACA" w:rsidP="00FA3A49" w:rsidRDefault="00823ACA" w14:paraId="56C6E4E0" w14:textId="77777777">
            <w:pPr>
              <w:keepNext/>
              <w:keepLines/>
              <w:spacing w:after="58"/>
              <w:jc w:val="center"/>
              <w:rPr>
                <w:sz w:val="22"/>
                <w:szCs w:val="22"/>
              </w:rPr>
            </w:pPr>
            <w:r w:rsidRPr="00222ED0">
              <w:rPr>
                <w:sz w:val="22"/>
                <w:szCs w:val="22"/>
              </w:rPr>
              <w:t>1799, 4953, 4959</w:t>
            </w:r>
          </w:p>
        </w:tc>
        <w:tc>
          <w:tcPr>
            <w:tcW w:w="1980" w:type="dxa"/>
            <w:tcBorders>
              <w:top w:val="single" w:color="000000" w:sz="7" w:space="0"/>
              <w:left w:val="single" w:color="000000" w:sz="7" w:space="0"/>
              <w:bottom w:val="single" w:color="FFFFFF" w:sz="6" w:space="0"/>
              <w:right w:val="single" w:color="000000" w:sz="7" w:space="0"/>
            </w:tcBorders>
          </w:tcPr>
          <w:p w:rsidRPr="00222ED0" w:rsidR="00823ACA" w:rsidP="00FA3A49" w:rsidRDefault="00823ACA" w14:paraId="27473ADF" w14:textId="77777777">
            <w:pPr>
              <w:spacing w:line="120" w:lineRule="exact"/>
              <w:rPr>
                <w:sz w:val="22"/>
                <w:szCs w:val="22"/>
              </w:rPr>
            </w:pPr>
          </w:p>
          <w:p w:rsidRPr="00222ED0" w:rsidR="00823ACA" w:rsidP="00FA3A49" w:rsidRDefault="00823ACA" w14:paraId="72AA3A27" w14:textId="77777777">
            <w:pPr>
              <w:keepNext/>
              <w:keepLines/>
              <w:spacing w:after="58"/>
              <w:jc w:val="center"/>
              <w:rPr>
                <w:sz w:val="22"/>
                <w:szCs w:val="22"/>
              </w:rPr>
            </w:pPr>
            <w:r w:rsidRPr="00222ED0">
              <w:rPr>
                <w:sz w:val="22"/>
                <w:szCs w:val="22"/>
              </w:rPr>
              <w:t>562</w:t>
            </w:r>
          </w:p>
        </w:tc>
      </w:tr>
      <w:tr w:rsidRPr="00222ED0" w:rsidR="00823ACA" w14:paraId="67C8BF7B" w14:textId="77777777">
        <w:tc>
          <w:tcPr>
            <w:tcW w:w="4410" w:type="dxa"/>
            <w:tcBorders>
              <w:top w:val="single" w:color="000000" w:sz="7" w:space="0"/>
              <w:left w:val="single" w:color="000000" w:sz="7" w:space="0"/>
              <w:bottom w:val="single" w:color="000000" w:sz="7" w:space="0"/>
              <w:right w:val="single" w:color="FFFFFF" w:sz="6" w:space="0"/>
            </w:tcBorders>
          </w:tcPr>
          <w:p w:rsidRPr="00222ED0" w:rsidR="00823ACA" w:rsidP="00FA3A49" w:rsidRDefault="00823ACA" w14:paraId="32FF43FD" w14:textId="77777777">
            <w:pPr>
              <w:spacing w:line="120" w:lineRule="exact"/>
              <w:rPr>
                <w:sz w:val="22"/>
                <w:szCs w:val="22"/>
              </w:rPr>
            </w:pPr>
          </w:p>
          <w:p w:rsidRPr="00222ED0" w:rsidR="00823ACA" w:rsidP="00FA3A49" w:rsidRDefault="00823ACA" w14:paraId="05E02013" w14:textId="77777777">
            <w:pPr>
              <w:keepNext/>
              <w:keepLines/>
              <w:spacing w:after="58"/>
              <w:rPr>
                <w:sz w:val="22"/>
                <w:szCs w:val="22"/>
              </w:rPr>
            </w:pPr>
            <w:r w:rsidRPr="00222ED0">
              <w:rPr>
                <w:sz w:val="22"/>
                <w:szCs w:val="22"/>
              </w:rPr>
              <w:t>Public Administration</w:t>
            </w:r>
          </w:p>
        </w:tc>
        <w:tc>
          <w:tcPr>
            <w:tcW w:w="2880" w:type="dxa"/>
            <w:tcBorders>
              <w:top w:val="single" w:color="000000" w:sz="7" w:space="0"/>
              <w:left w:val="single" w:color="000000" w:sz="7" w:space="0"/>
              <w:bottom w:val="single" w:color="000000" w:sz="7" w:space="0"/>
              <w:right w:val="single" w:color="FFFFFF" w:sz="6" w:space="0"/>
            </w:tcBorders>
          </w:tcPr>
          <w:p w:rsidRPr="00222ED0" w:rsidR="00823ACA" w:rsidP="00FA3A49" w:rsidRDefault="00823ACA" w14:paraId="023B203E" w14:textId="77777777">
            <w:pPr>
              <w:spacing w:line="120" w:lineRule="exact"/>
              <w:rPr>
                <w:sz w:val="22"/>
                <w:szCs w:val="22"/>
              </w:rPr>
            </w:pPr>
          </w:p>
          <w:p w:rsidRPr="00222ED0" w:rsidR="00823ACA" w:rsidP="00FA3A49" w:rsidRDefault="00823ACA" w14:paraId="3150ABDD" w14:textId="77777777">
            <w:pPr>
              <w:keepNext/>
              <w:keepLines/>
              <w:spacing w:after="58"/>
              <w:jc w:val="center"/>
              <w:rPr>
                <w:sz w:val="22"/>
                <w:szCs w:val="22"/>
              </w:rPr>
            </w:pPr>
            <w:r w:rsidRPr="00222ED0">
              <w:rPr>
                <w:sz w:val="22"/>
                <w:szCs w:val="22"/>
              </w:rPr>
              <w:t>91-97</w:t>
            </w:r>
          </w:p>
        </w:tc>
        <w:tc>
          <w:tcPr>
            <w:tcW w:w="1980" w:type="dxa"/>
            <w:tcBorders>
              <w:top w:val="single" w:color="000000" w:sz="7" w:space="0"/>
              <w:left w:val="single" w:color="000000" w:sz="7" w:space="0"/>
              <w:bottom w:val="single" w:color="000000" w:sz="7" w:space="0"/>
              <w:right w:val="single" w:color="000000" w:sz="7" w:space="0"/>
            </w:tcBorders>
          </w:tcPr>
          <w:p w:rsidRPr="00222ED0" w:rsidR="00823ACA" w:rsidP="00FA3A49" w:rsidRDefault="00823ACA" w14:paraId="7EDDFFBF" w14:textId="77777777">
            <w:pPr>
              <w:spacing w:line="120" w:lineRule="exact"/>
              <w:rPr>
                <w:sz w:val="22"/>
                <w:szCs w:val="22"/>
              </w:rPr>
            </w:pPr>
          </w:p>
          <w:p w:rsidRPr="00222ED0" w:rsidR="00823ACA" w:rsidP="00FA3A49" w:rsidRDefault="00823ACA" w14:paraId="25A937A7" w14:textId="77777777">
            <w:pPr>
              <w:keepNext/>
              <w:keepLines/>
              <w:spacing w:after="58"/>
              <w:jc w:val="center"/>
              <w:rPr>
                <w:sz w:val="22"/>
                <w:szCs w:val="22"/>
              </w:rPr>
            </w:pPr>
            <w:r w:rsidRPr="00222ED0">
              <w:rPr>
                <w:sz w:val="22"/>
                <w:szCs w:val="22"/>
              </w:rPr>
              <w:t>92</w:t>
            </w:r>
          </w:p>
        </w:tc>
      </w:tr>
    </w:tbl>
    <w:p w:rsidRPr="00853414" w:rsidR="000F4D0A" w:rsidP="00FA3A49" w:rsidRDefault="000F4D0A" w14:paraId="1B66CC45" w14:textId="77777777">
      <w:pPr>
        <w:keepLines/>
      </w:pPr>
    </w:p>
    <w:p w:rsidR="001334EB" w:rsidP="00FA3A49" w:rsidRDefault="000F4D0A" w14:paraId="318715B9" w14:textId="77777777">
      <w:pPr>
        <w:keepNext/>
      </w:pPr>
      <w:r w:rsidRPr="00853414">
        <w:t xml:space="preserve">There are </w:t>
      </w:r>
      <w:r w:rsidR="005B3DB4">
        <w:t>4</w:t>
      </w:r>
      <w:r w:rsidRPr="00853414">
        <w:t xml:space="preserve"> categories of </w:t>
      </w:r>
      <w:r w:rsidR="00051359">
        <w:t>respondents</w:t>
      </w:r>
      <w:r w:rsidR="00A86E70">
        <w:t xml:space="preserve"> that will perform the</w:t>
      </w:r>
      <w:r w:rsidR="007A4260">
        <w:t>se</w:t>
      </w:r>
      <w:r w:rsidR="00A86E70">
        <w:t xml:space="preserve"> </w:t>
      </w:r>
      <w:r w:rsidR="00E212B8">
        <w:t>requirements</w:t>
      </w:r>
      <w:r w:rsidR="001334EB">
        <w:t>, described below</w:t>
      </w:r>
      <w:r w:rsidR="000E6596">
        <w:t xml:space="preserve">. </w:t>
      </w:r>
      <w:r w:rsidR="001334EB">
        <w:t xml:space="preserve">This section describes the </w:t>
      </w:r>
      <w:r w:rsidR="00E212B8">
        <w:t>requirements</w:t>
      </w:r>
      <w:r w:rsidR="001334EB">
        <w:t xml:space="preserve"> that apply to each category.</w:t>
      </w:r>
    </w:p>
    <w:p w:rsidRPr="00853414" w:rsidR="00DD5FD8" w:rsidP="00FA3A49" w:rsidRDefault="00DD5FD8" w14:paraId="26591900" w14:textId="77777777"/>
    <w:p w:rsidRPr="00AC38D2" w:rsidR="000F4D0A" w:rsidP="00FA3A49" w:rsidRDefault="005C60A2" w14:paraId="4320D0B8" w14:textId="77777777">
      <w:pPr>
        <w:pStyle w:val="NoSpacing"/>
        <w:widowControl/>
      </w:pPr>
      <w:r w:rsidRPr="00AC38D2">
        <w:t>Manifest printer registrant o</w:t>
      </w:r>
      <w:r w:rsidRPr="00AC38D2" w:rsidR="000F4D0A">
        <w:t xml:space="preserve">rganizations </w:t>
      </w:r>
      <w:r w:rsidRPr="00AC38D2" w:rsidR="00593D77">
        <w:t>– organizations that apply to EPA for approval to produce the paper manifest for use and distribution.</w:t>
      </w:r>
    </w:p>
    <w:p w:rsidRPr="00AC38D2" w:rsidR="00A86E70" w:rsidP="00FA3A49" w:rsidRDefault="000F4D0A" w14:paraId="5CF3F3C4" w14:textId="77777777">
      <w:pPr>
        <w:pStyle w:val="NoSpacing"/>
        <w:widowControl/>
      </w:pPr>
      <w:r w:rsidRPr="00AC38D2">
        <w:t xml:space="preserve">Hazardous waste generators </w:t>
      </w:r>
      <w:r w:rsidRPr="00AC38D2" w:rsidR="00593D77">
        <w:t>– sites that generate hazardous waste and ship it offsite.</w:t>
      </w:r>
    </w:p>
    <w:p w:rsidRPr="00AC38D2" w:rsidR="000F4D0A" w:rsidP="00FA3A49" w:rsidRDefault="000F4D0A" w14:paraId="15DB86A4" w14:textId="77777777">
      <w:pPr>
        <w:pStyle w:val="NoSpacing"/>
        <w:widowControl/>
      </w:pPr>
      <w:r w:rsidRPr="00AC38D2">
        <w:t>Hazardous waste transporters</w:t>
      </w:r>
      <w:r w:rsidRPr="00AC38D2" w:rsidR="00593D77">
        <w:t xml:space="preserve"> – entities that transport hazardous waste on public roads.</w:t>
      </w:r>
    </w:p>
    <w:p w:rsidRPr="00AC38D2" w:rsidR="000F4D0A" w:rsidP="00FA3A49" w:rsidRDefault="005C60A2" w14:paraId="21C8EC4A" w14:textId="77777777">
      <w:pPr>
        <w:pStyle w:val="NoSpacing"/>
        <w:widowControl/>
      </w:pPr>
      <w:r w:rsidRPr="00AC38D2">
        <w:t xml:space="preserve">Designated </w:t>
      </w:r>
      <w:r w:rsidR="0072400B">
        <w:t>(</w:t>
      </w:r>
      <w:r w:rsidR="004552B9">
        <w:t>receiving</w:t>
      </w:r>
      <w:r w:rsidR="0072400B">
        <w:t xml:space="preserve">) </w:t>
      </w:r>
      <w:r w:rsidRPr="00AC38D2">
        <w:t>f</w:t>
      </w:r>
      <w:r w:rsidRPr="00AC38D2" w:rsidR="00A86E70">
        <w:t>acilities</w:t>
      </w:r>
      <w:r w:rsidRPr="00AC38D2" w:rsidR="00593D77">
        <w:t xml:space="preserve"> – facilities that receive offsite shipments for management and disposal.</w:t>
      </w:r>
      <w:r w:rsidRPr="00AC38D2" w:rsidR="003D7476">
        <w:rPr>
          <w:rStyle w:val="FootnoteReference"/>
          <w:vertAlign w:val="superscript"/>
        </w:rPr>
        <w:footnoteReference w:id="2"/>
      </w:r>
      <w:r w:rsidRPr="00AC38D2" w:rsidR="00593D77">
        <w:t xml:space="preserve">  Note that, normally, </w:t>
      </w:r>
      <w:r w:rsidR="0072400B">
        <w:t>these</w:t>
      </w:r>
      <w:r w:rsidRPr="00AC38D2" w:rsidR="00593D77">
        <w:t xml:space="preserve"> </w:t>
      </w:r>
      <w:r w:rsidRPr="00AC38D2" w:rsidR="00F325DF">
        <w:t>facilities</w:t>
      </w:r>
      <w:r w:rsidRPr="00AC38D2" w:rsidR="00593D77">
        <w:t xml:space="preserve"> also generate hazardous waste and therefore qualify as hazardous waste generators</w:t>
      </w:r>
      <w:r w:rsidRPr="00AC38D2" w:rsidR="000E6596">
        <w:t xml:space="preserve">. </w:t>
      </w:r>
    </w:p>
    <w:p w:rsidRPr="00AC38D2" w:rsidR="00EC57F9" w:rsidP="00EC57F9" w:rsidRDefault="00EC57F9" w14:paraId="341D9AE4" w14:textId="77777777">
      <w:pPr>
        <w:keepNext/>
      </w:pPr>
    </w:p>
    <w:p w:rsidRPr="00AC38D2" w:rsidR="0087757C" w:rsidP="00FA3A49" w:rsidRDefault="00EC57F9" w14:paraId="6ECBE5A8" w14:textId="77777777">
      <w:pPr>
        <w:keepNext/>
      </w:pPr>
      <w:r w:rsidRPr="00AC38D2">
        <w:t xml:space="preserve">The </w:t>
      </w:r>
      <w:r w:rsidRPr="00AC38D2" w:rsidR="000D3587">
        <w:t xml:space="preserve">respondents </w:t>
      </w:r>
      <w:r w:rsidRPr="00AC38D2">
        <w:t xml:space="preserve">in each category </w:t>
      </w:r>
      <w:r w:rsidRPr="00AC38D2" w:rsidR="00F15E38">
        <w:t>are</w:t>
      </w:r>
      <w:r w:rsidRPr="00AC38D2">
        <w:t xml:space="preserve"> expected to read the manifest regulations and, for electronic manifests, the e</w:t>
      </w:r>
      <w:r w:rsidRPr="00AC38D2" w:rsidR="00F15E38">
        <w:t>-</w:t>
      </w:r>
      <w:r w:rsidRPr="00AC38D2">
        <w:t>Manifest User Guide</w:t>
      </w:r>
      <w:r w:rsidR="009A7AE6">
        <w:t xml:space="preserve"> each year</w:t>
      </w:r>
      <w:r w:rsidRPr="00AC38D2">
        <w:t>.</w:t>
      </w:r>
    </w:p>
    <w:p w:rsidRPr="00AC38D2" w:rsidR="00121969" w:rsidP="00FA3A49" w:rsidRDefault="00121969" w14:paraId="1F364D27" w14:textId="77777777">
      <w:pPr>
        <w:keepNext/>
      </w:pPr>
    </w:p>
    <w:p w:rsidRPr="00AC38D2" w:rsidR="000F4D0A" w:rsidP="00FA3A49" w:rsidRDefault="000F4D0A" w14:paraId="013A9309" w14:textId="77777777">
      <w:pPr>
        <w:tabs>
          <w:tab w:val="left" w:pos="-1200"/>
        </w:tabs>
        <w:ind w:left="720" w:hanging="720"/>
      </w:pPr>
      <w:r w:rsidRPr="00AC38D2">
        <w:rPr>
          <w:b/>
          <w:bCs/>
        </w:rPr>
        <w:t xml:space="preserve">Manifest Printer Registrant </w:t>
      </w:r>
      <w:r w:rsidRPr="00AC38D2" w:rsidR="00A86E70">
        <w:rPr>
          <w:b/>
          <w:bCs/>
        </w:rPr>
        <w:t>Organizations</w:t>
      </w:r>
    </w:p>
    <w:p w:rsidRPr="00AC38D2" w:rsidR="000F4D0A" w:rsidP="00FA3A49" w:rsidRDefault="000F4D0A" w14:paraId="3F2766C8" w14:textId="77777777">
      <w:pPr>
        <w:tabs>
          <w:tab w:val="left" w:pos="-1200"/>
        </w:tabs>
      </w:pPr>
    </w:p>
    <w:p w:rsidRPr="00AC38D2" w:rsidR="000F4D0A" w:rsidP="00FA3A49" w:rsidRDefault="000F4D0A" w14:paraId="659EEE6E" w14:textId="77777777">
      <w:pPr>
        <w:tabs>
          <w:tab w:val="left" w:pos="-1200"/>
        </w:tabs>
        <w:ind w:left="1440" w:hanging="720"/>
      </w:pPr>
      <w:r w:rsidRPr="00AC38D2">
        <w:t>(a)</w:t>
      </w:r>
      <w:r w:rsidRPr="00AC38D2">
        <w:tab/>
        <w:t>Applying to the Registry</w:t>
      </w:r>
    </w:p>
    <w:p w:rsidRPr="00AC38D2" w:rsidR="000F4D0A" w:rsidP="00FA3A49" w:rsidRDefault="000F4D0A" w14:paraId="1D2DED38" w14:textId="77777777">
      <w:pPr>
        <w:tabs>
          <w:tab w:val="left" w:pos="-1200"/>
        </w:tabs>
      </w:pPr>
    </w:p>
    <w:p w:rsidRPr="00853414" w:rsidR="000F4D0A" w:rsidP="00FA3A49" w:rsidRDefault="000F4D0A" w14:paraId="05F24F78" w14:textId="77777777">
      <w:pPr>
        <w:tabs>
          <w:tab w:val="left" w:pos="-1200"/>
        </w:tabs>
      </w:pPr>
      <w:r w:rsidRPr="00AC38D2">
        <w:t>40 CFR 262.21(a) provides that a person may</w:t>
      </w:r>
      <w:r w:rsidRPr="00853414">
        <w:t xml:space="preserve"> not print the manifest for use or distribution unless his/her organization (e.g., company, </w:t>
      </w:r>
      <w:r w:rsidR="00521F32">
        <w:t>state</w:t>
      </w:r>
      <w:r w:rsidRPr="00853414">
        <w:t xml:space="preserve"> agency) has received approval from </w:t>
      </w:r>
      <w:r w:rsidR="00CB2DBC">
        <w:t>EPA</w:t>
      </w:r>
      <w:r w:rsidRPr="00853414">
        <w:t xml:space="preserve"> to do so under 40 CFR 262.21(c) and (e)</w:t>
      </w:r>
      <w:r w:rsidR="000E6596">
        <w:t xml:space="preserve">. </w:t>
      </w:r>
      <w:proofErr w:type="gramStart"/>
      <w:r w:rsidRPr="00853414">
        <w:t>In order to</w:t>
      </w:r>
      <w:proofErr w:type="gramEnd"/>
      <w:r w:rsidRPr="00853414">
        <w:t xml:space="preserve"> receive </w:t>
      </w:r>
      <w:r w:rsidR="00CB2DBC">
        <w:t>EPA</w:t>
      </w:r>
      <w:r w:rsidRPr="00853414">
        <w:t xml:space="preserve"> approval, a registrant must submit to </w:t>
      </w:r>
      <w:r w:rsidR="00CB2DBC">
        <w:t>EPA</w:t>
      </w:r>
      <w:r w:rsidRPr="00853414">
        <w:t xml:space="preserve"> an application that contains the information specified in 40 CFR 262.21(b)</w:t>
      </w:r>
      <w:r w:rsidR="000E6596">
        <w:t xml:space="preserve">. </w:t>
      </w:r>
      <w:r w:rsidRPr="00853414">
        <w:t xml:space="preserve">Upon </w:t>
      </w:r>
      <w:r w:rsidR="00CB2DBC">
        <w:t>EPA</w:t>
      </w:r>
      <w:r w:rsidRPr="00853414">
        <w:t xml:space="preserve"> approval of the application, the registrant must submit </w:t>
      </w:r>
      <w:r w:rsidR="00C24DDC">
        <w:t>3</w:t>
      </w:r>
      <w:r w:rsidRPr="00853414">
        <w:t xml:space="preserve"> fully assembled manifests and, if needed, continuation sheets that meet the specifications of 40 CFR 262.21(f) and a description of the form samples, as specified in 40 CFR 262.21(</w:t>
      </w:r>
      <w:r w:rsidRPr="00855996">
        <w:t>d)</w:t>
      </w:r>
      <w:r w:rsidRPr="00855996" w:rsidR="000E6596">
        <w:t xml:space="preserve">. </w:t>
      </w:r>
      <w:r w:rsidRPr="00855996">
        <w:t xml:space="preserve">In reviewing these submittals, </w:t>
      </w:r>
      <w:r w:rsidRPr="00855996" w:rsidR="00CB2DBC">
        <w:t>EPA</w:t>
      </w:r>
      <w:r w:rsidRPr="00855996">
        <w:t xml:space="preserve"> may request modification to them before approval.</w:t>
      </w:r>
    </w:p>
    <w:p w:rsidR="00A42F76" w:rsidP="00FA3A49" w:rsidRDefault="00A42F76" w14:paraId="3BDF6511" w14:textId="77777777">
      <w:pPr>
        <w:tabs>
          <w:tab w:val="left" w:pos="-1200"/>
        </w:tabs>
      </w:pPr>
    </w:p>
    <w:p w:rsidRPr="00853414" w:rsidR="000F4D0A" w:rsidP="00FA3A49" w:rsidRDefault="00886BEF" w14:paraId="0435190B" w14:textId="77777777">
      <w:pPr>
        <w:keepNext/>
        <w:keepLines/>
        <w:tabs>
          <w:tab w:val="left" w:pos="-1200"/>
        </w:tabs>
        <w:ind w:firstLine="720"/>
      </w:pPr>
      <w:r w:rsidRPr="00886BEF">
        <w:rPr>
          <w:u w:val="single"/>
        </w:rPr>
        <w:t>Data Items</w:t>
      </w:r>
    </w:p>
    <w:p w:rsidR="00051359" w:rsidP="00FA3A49" w:rsidRDefault="00051359" w14:paraId="040E62A3" w14:textId="77777777">
      <w:pPr>
        <w:pStyle w:val="NoSpacing"/>
        <w:widowControl/>
        <w:numPr>
          <w:ilvl w:val="0"/>
          <w:numId w:val="0"/>
        </w:numPr>
        <w:ind w:left="1080"/>
      </w:pPr>
    </w:p>
    <w:p w:rsidR="00425D37" w:rsidRDefault="000F4D0A" w14:paraId="36EABE10" w14:textId="77777777">
      <w:pPr>
        <w:pStyle w:val="NoSpacing"/>
        <w:widowControl/>
      </w:pPr>
      <w:r w:rsidRPr="00215FC3">
        <w:t>An application</w:t>
      </w:r>
      <w:r w:rsidR="00E64056">
        <w:t xml:space="preserve"> to the Registry.</w:t>
      </w:r>
      <w:r w:rsidRPr="00215FC3">
        <w:t xml:space="preserve"> </w:t>
      </w:r>
    </w:p>
    <w:p w:rsidRPr="00853414" w:rsidR="000F4D0A" w:rsidP="00FA3A49" w:rsidRDefault="000F4D0A" w14:paraId="668A4427" w14:textId="77777777">
      <w:pPr>
        <w:pStyle w:val="NoSpacing"/>
        <w:widowControl/>
      </w:pPr>
      <w:r w:rsidRPr="00853414">
        <w:t>Three fully assembled manifests and, if needed, continuation sheets.</w:t>
      </w:r>
    </w:p>
    <w:p w:rsidR="00425D37" w:rsidRDefault="000F4D0A" w14:paraId="61656BED" w14:textId="77777777">
      <w:pPr>
        <w:pStyle w:val="NoSpacing"/>
        <w:widowControl/>
      </w:pPr>
      <w:r w:rsidRPr="00853414">
        <w:t>A description of the manifest samples</w:t>
      </w:r>
      <w:r w:rsidRPr="00943BE3">
        <w:t>.</w:t>
      </w:r>
    </w:p>
    <w:p w:rsidRPr="00853414" w:rsidR="000F4D0A" w:rsidP="00FA3A49" w:rsidRDefault="000F4D0A" w14:paraId="0AEA422F" w14:textId="77777777">
      <w:pPr>
        <w:tabs>
          <w:tab w:val="left" w:pos="-1200"/>
        </w:tabs>
      </w:pPr>
    </w:p>
    <w:p w:rsidRPr="00853414" w:rsidR="000F4D0A" w:rsidP="00FA3A49" w:rsidRDefault="00886BEF" w14:paraId="57F9CBCE" w14:textId="77777777">
      <w:pPr>
        <w:keepNext/>
        <w:keepLines/>
        <w:tabs>
          <w:tab w:val="left" w:pos="-1200"/>
        </w:tabs>
        <w:ind w:left="720"/>
      </w:pPr>
      <w:r w:rsidRPr="00886BEF">
        <w:rPr>
          <w:u w:val="single"/>
        </w:rPr>
        <w:lastRenderedPageBreak/>
        <w:t>Respondent Activities</w:t>
      </w:r>
    </w:p>
    <w:p w:rsidR="004466A8" w:rsidP="00FA3A49" w:rsidRDefault="004466A8" w14:paraId="250C89A9" w14:textId="77777777">
      <w:pPr>
        <w:pStyle w:val="NoSpacing"/>
        <w:keepNext/>
        <w:widowControl/>
        <w:numPr>
          <w:ilvl w:val="0"/>
          <w:numId w:val="0"/>
        </w:numPr>
        <w:ind w:left="1080"/>
      </w:pPr>
    </w:p>
    <w:p w:rsidRPr="00853414" w:rsidR="000F4D0A" w:rsidP="00FA3A49" w:rsidRDefault="000F4D0A" w14:paraId="6D09DA7B" w14:textId="77777777">
      <w:pPr>
        <w:pStyle w:val="NoSpacing"/>
        <w:keepNext/>
        <w:widowControl/>
      </w:pPr>
      <w:r w:rsidRPr="00853414">
        <w:t>Prepare and submit initial application.</w:t>
      </w:r>
    </w:p>
    <w:p w:rsidRPr="00853414" w:rsidR="000F4D0A" w:rsidP="00FA3A49" w:rsidRDefault="000F4D0A" w14:paraId="2E0F8277" w14:textId="77777777">
      <w:pPr>
        <w:pStyle w:val="NoSpacing"/>
        <w:widowControl/>
      </w:pPr>
      <w:r w:rsidRPr="00853414">
        <w:t xml:space="preserve">Submit revised initial application to </w:t>
      </w:r>
      <w:r w:rsidR="00CB2DBC">
        <w:t>EPA</w:t>
      </w:r>
      <w:r w:rsidRPr="00853414">
        <w:t>, if requested.</w:t>
      </w:r>
    </w:p>
    <w:p w:rsidRPr="00084C33" w:rsidR="000F4D0A" w:rsidP="00FA3A49" w:rsidRDefault="000F4D0A" w14:paraId="240CEAB8" w14:textId="77777777">
      <w:pPr>
        <w:pStyle w:val="NoSpacing"/>
        <w:widowControl/>
      </w:pPr>
      <w:r w:rsidRPr="00084C33">
        <w:t xml:space="preserve">Submit </w:t>
      </w:r>
      <w:r w:rsidRPr="00084C33" w:rsidR="00C24DDC">
        <w:t>3</w:t>
      </w:r>
      <w:r w:rsidRPr="00084C33">
        <w:t xml:space="preserve"> fully assembled manifests and, if needed, continuation sheets and a description of the form samples. </w:t>
      </w:r>
    </w:p>
    <w:p w:rsidRPr="00853414" w:rsidR="000F4D0A" w:rsidP="00FA3A49" w:rsidRDefault="000F4D0A" w14:paraId="1E95665E" w14:textId="77777777">
      <w:pPr>
        <w:pStyle w:val="NoSpacing"/>
        <w:widowControl/>
      </w:pPr>
      <w:r w:rsidRPr="00853414">
        <w:t xml:space="preserve">Submit revised form samples based on </w:t>
      </w:r>
      <w:r w:rsidR="00CB2DBC">
        <w:t>EPA</w:t>
      </w:r>
      <w:r w:rsidRPr="00853414">
        <w:t xml:space="preserve"> comment on the initial samples, if requested.</w:t>
      </w:r>
    </w:p>
    <w:p w:rsidRPr="00853414" w:rsidR="000F4D0A" w:rsidP="00FA3A49" w:rsidRDefault="000F4D0A" w14:paraId="6484EF99" w14:textId="77777777">
      <w:pPr>
        <w:tabs>
          <w:tab w:val="left" w:pos="-1200"/>
        </w:tabs>
      </w:pPr>
    </w:p>
    <w:p w:rsidRPr="00853414" w:rsidR="000F4D0A" w:rsidP="009F0295" w:rsidRDefault="000F4D0A" w14:paraId="5AE8BD69" w14:textId="77777777">
      <w:pPr>
        <w:keepNext/>
        <w:tabs>
          <w:tab w:val="left" w:pos="-1200"/>
        </w:tabs>
        <w:ind w:left="1440" w:hanging="720"/>
      </w:pPr>
      <w:r w:rsidRPr="00853414">
        <w:t>(b)</w:t>
      </w:r>
      <w:r w:rsidRPr="00853414">
        <w:tab/>
        <w:t>Updating General Information in the Approved Application</w:t>
      </w:r>
    </w:p>
    <w:p w:rsidRPr="00853414" w:rsidR="000F4D0A" w:rsidP="009F0295" w:rsidRDefault="000F4D0A" w14:paraId="2DB75683" w14:textId="77777777">
      <w:pPr>
        <w:keepNext/>
        <w:tabs>
          <w:tab w:val="left" w:pos="-1200"/>
        </w:tabs>
      </w:pPr>
    </w:p>
    <w:p w:rsidRPr="00853414" w:rsidR="000F4D0A" w:rsidP="009F0295" w:rsidRDefault="000F4D0A" w14:paraId="6D7EB29C" w14:textId="77777777">
      <w:pPr>
        <w:keepNext/>
        <w:tabs>
          <w:tab w:val="left" w:pos="-1200"/>
        </w:tabs>
      </w:pPr>
      <w:r w:rsidRPr="00853414">
        <w:t xml:space="preserve">40 CFR 262.21(h)(1) provides that, if an approved registrant would like to update any of the information provided in its application (e.g., to update a company phone number or name of contact person), the registrant must revise the application and submit it to </w:t>
      </w:r>
      <w:r w:rsidR="00CB2DBC">
        <w:t>EPA</w:t>
      </w:r>
      <w:r w:rsidRPr="00853414">
        <w:t>, along with an indication or explanation of the update, as soon as practicable after the change occurs</w:t>
      </w:r>
      <w:r w:rsidR="000E6596">
        <w:t xml:space="preserve">. </w:t>
      </w:r>
      <w:r w:rsidR="00CB2DBC">
        <w:t>EPA</w:t>
      </w:r>
      <w:r w:rsidRPr="00853414">
        <w:t xml:space="preserve"> will review and either approve or deny the revision</w:t>
      </w:r>
      <w:r w:rsidR="000E6596">
        <w:t xml:space="preserve">. </w:t>
      </w:r>
      <w:r w:rsidRPr="00853414">
        <w:t>If the revision is denied, the registrant must respond to the Agency’s concerns.</w:t>
      </w:r>
    </w:p>
    <w:p w:rsidRPr="00853414" w:rsidR="000F4D0A" w:rsidP="00FA3A49" w:rsidRDefault="000F4D0A" w14:paraId="3096EE67" w14:textId="77777777">
      <w:pPr>
        <w:tabs>
          <w:tab w:val="left" w:pos="-1200"/>
        </w:tabs>
      </w:pPr>
    </w:p>
    <w:p w:rsidRPr="00361F4A" w:rsidR="000F4D0A" w:rsidP="00FA3A49" w:rsidRDefault="000F4D0A" w14:paraId="2944B644" w14:textId="77777777">
      <w:pPr>
        <w:tabs>
          <w:tab w:val="left" w:pos="-1200"/>
        </w:tabs>
        <w:ind w:firstLine="720"/>
        <w:rPr>
          <w:u w:val="single"/>
        </w:rPr>
      </w:pPr>
      <w:r w:rsidRPr="00361F4A">
        <w:rPr>
          <w:u w:val="single"/>
        </w:rPr>
        <w:t>Data Item</w:t>
      </w:r>
    </w:p>
    <w:p w:rsidRPr="00853414" w:rsidR="004466A8" w:rsidP="00FA3A49" w:rsidRDefault="004466A8" w14:paraId="4C11282B" w14:textId="77777777">
      <w:pPr>
        <w:tabs>
          <w:tab w:val="left" w:pos="-1200"/>
        </w:tabs>
      </w:pPr>
    </w:p>
    <w:p w:rsidR="000F4D0A" w:rsidP="00FA3A49" w:rsidRDefault="000F4D0A" w14:paraId="493ECED0" w14:textId="77777777">
      <w:pPr>
        <w:pStyle w:val="NoSpacing"/>
        <w:widowControl/>
      </w:pPr>
      <w:r w:rsidRPr="00853414">
        <w:t>Revised application, along with an indication or explanation of the update.</w:t>
      </w:r>
    </w:p>
    <w:p w:rsidRPr="00853414" w:rsidR="004466A8" w:rsidP="00FA3A49" w:rsidRDefault="004466A8" w14:paraId="0990EF90" w14:textId="77777777">
      <w:pPr>
        <w:pStyle w:val="NoSpacing"/>
        <w:widowControl/>
        <w:numPr>
          <w:ilvl w:val="0"/>
          <w:numId w:val="0"/>
        </w:numPr>
        <w:ind w:left="1080"/>
      </w:pPr>
    </w:p>
    <w:p w:rsidR="000F4D0A" w:rsidP="00FA3A49" w:rsidRDefault="00886BEF" w14:paraId="18430D4E" w14:textId="77777777">
      <w:pPr>
        <w:pStyle w:val="NoSpacing"/>
        <w:widowControl/>
        <w:numPr>
          <w:ilvl w:val="0"/>
          <w:numId w:val="0"/>
        </w:numPr>
        <w:ind w:left="1080" w:hanging="360"/>
      </w:pPr>
      <w:r w:rsidRPr="00886BEF">
        <w:rPr>
          <w:u w:val="single"/>
        </w:rPr>
        <w:t>Respondent Activities</w:t>
      </w:r>
    </w:p>
    <w:p w:rsidRPr="00853414" w:rsidR="004466A8" w:rsidP="00FA3A49" w:rsidRDefault="004466A8" w14:paraId="5F622055" w14:textId="77777777">
      <w:pPr>
        <w:pStyle w:val="NoSpacing"/>
        <w:widowControl/>
        <w:numPr>
          <w:ilvl w:val="0"/>
          <w:numId w:val="0"/>
        </w:numPr>
        <w:ind w:left="1080" w:hanging="360"/>
      </w:pPr>
    </w:p>
    <w:p w:rsidRPr="00853414" w:rsidR="000F4D0A" w:rsidP="00FA3A49" w:rsidRDefault="000F4D0A" w14:paraId="527F4328" w14:textId="77777777">
      <w:pPr>
        <w:pStyle w:val="NoSpacing"/>
        <w:widowControl/>
      </w:pPr>
      <w:r w:rsidRPr="00853414">
        <w:t xml:space="preserve">Revise and submit the application to </w:t>
      </w:r>
      <w:r w:rsidR="00CB2DBC">
        <w:t>EPA</w:t>
      </w:r>
      <w:r w:rsidRPr="00853414">
        <w:t>, along with an indication or explanation of the update.</w:t>
      </w:r>
    </w:p>
    <w:p w:rsidRPr="00853414" w:rsidR="000F4D0A" w:rsidP="00FA3A49" w:rsidRDefault="000F4D0A" w14:paraId="77402D0B" w14:textId="77777777">
      <w:pPr>
        <w:pStyle w:val="NoSpacing"/>
        <w:widowControl/>
      </w:pPr>
      <w:r w:rsidRPr="00853414">
        <w:t>Respond to the Agency’s concerns, if applicable.</w:t>
      </w:r>
    </w:p>
    <w:p w:rsidRPr="00853414" w:rsidR="000F4D0A" w:rsidP="00FA3A49" w:rsidRDefault="000F4D0A" w14:paraId="740D0531" w14:textId="77777777">
      <w:pPr>
        <w:tabs>
          <w:tab w:val="left" w:pos="-1200"/>
        </w:tabs>
      </w:pPr>
    </w:p>
    <w:p w:rsidRPr="00853414" w:rsidR="000F4D0A" w:rsidP="00FA3A49" w:rsidRDefault="000F4D0A" w14:paraId="328D0EEE" w14:textId="77777777">
      <w:pPr>
        <w:tabs>
          <w:tab w:val="left" w:pos="-1200"/>
        </w:tabs>
        <w:ind w:left="1440" w:hanging="720"/>
      </w:pPr>
      <w:r w:rsidRPr="00853414">
        <w:t>(c)</w:t>
      </w:r>
      <w:r w:rsidRPr="00853414">
        <w:tab/>
        <w:t>Requesting Approval for a New Tracking Number Suffix</w:t>
      </w:r>
    </w:p>
    <w:p w:rsidRPr="00853414" w:rsidR="000F4D0A" w:rsidP="00FA3A49" w:rsidRDefault="000F4D0A" w14:paraId="68828A1D" w14:textId="77777777">
      <w:pPr>
        <w:tabs>
          <w:tab w:val="left" w:pos="-1200"/>
        </w:tabs>
      </w:pPr>
    </w:p>
    <w:p w:rsidRPr="00853414" w:rsidR="000F4D0A" w:rsidP="00FA3A49" w:rsidRDefault="000F4D0A" w14:paraId="72F96993" w14:textId="77777777">
      <w:pPr>
        <w:tabs>
          <w:tab w:val="left" w:pos="-1200"/>
        </w:tabs>
      </w:pPr>
      <w:r w:rsidRPr="00853414">
        <w:t xml:space="preserve">40 CFR 262.21(h)(2) provides that, if an approved registrant would like a new tracking number suffix, the registrant must submit a proposed suffix to </w:t>
      </w:r>
      <w:r w:rsidR="00CB2DBC">
        <w:t>EPA</w:t>
      </w:r>
      <w:r w:rsidRPr="00853414">
        <w:t xml:space="preserve">, along with the reason for requesting it. </w:t>
      </w:r>
    </w:p>
    <w:p w:rsidRPr="00853414" w:rsidR="000F4D0A" w:rsidP="00FA3A49" w:rsidRDefault="000F4D0A" w14:paraId="655433F2" w14:textId="77777777">
      <w:pPr>
        <w:tabs>
          <w:tab w:val="left" w:pos="-1200"/>
        </w:tabs>
      </w:pPr>
    </w:p>
    <w:p w:rsidRPr="00853414" w:rsidR="000F4D0A" w:rsidP="00FA3A49" w:rsidRDefault="00361F4A" w14:paraId="6A59BB61" w14:textId="77777777">
      <w:pPr>
        <w:tabs>
          <w:tab w:val="left" w:pos="-1200"/>
        </w:tabs>
        <w:ind w:firstLine="720"/>
      </w:pPr>
      <w:r w:rsidRPr="00361F4A">
        <w:rPr>
          <w:u w:val="single"/>
        </w:rPr>
        <w:t>Data Item</w:t>
      </w:r>
    </w:p>
    <w:p w:rsidR="004466A8" w:rsidP="00FA3A49" w:rsidRDefault="004466A8" w14:paraId="0F766ABB" w14:textId="77777777">
      <w:pPr>
        <w:pStyle w:val="Level1"/>
        <w:widowControl/>
        <w:tabs>
          <w:tab w:val="left" w:pos="-1200"/>
        </w:tabs>
        <w:ind w:left="720" w:firstLine="0"/>
        <w:outlineLvl w:val="9"/>
      </w:pPr>
    </w:p>
    <w:p w:rsidRPr="00853414" w:rsidR="000F4D0A" w:rsidP="00FA3A49" w:rsidRDefault="000F4D0A" w14:paraId="4CE95064" w14:textId="77777777">
      <w:pPr>
        <w:pStyle w:val="NoSpacing"/>
        <w:widowControl/>
      </w:pPr>
      <w:r w:rsidRPr="00853414">
        <w:t>Proposed tracking number suffix, along with the reason for requesting it.</w:t>
      </w:r>
    </w:p>
    <w:p w:rsidR="00FC55F2" w:rsidP="00FA3A49" w:rsidRDefault="00FC55F2" w14:paraId="2DBDD89B" w14:textId="77777777">
      <w:pPr>
        <w:keepNext/>
        <w:keepLines/>
        <w:tabs>
          <w:tab w:val="left" w:pos="-1200"/>
        </w:tabs>
        <w:ind w:left="720"/>
        <w:rPr>
          <w:u w:val="single"/>
        </w:rPr>
      </w:pPr>
    </w:p>
    <w:p w:rsidRPr="00361F4A" w:rsidR="000F4D0A" w:rsidP="008F1F1B" w:rsidRDefault="000F4D0A" w14:paraId="672B88B3" w14:textId="77777777">
      <w:pPr>
        <w:keepNext/>
        <w:tabs>
          <w:tab w:val="left" w:pos="-1200"/>
        </w:tabs>
        <w:ind w:left="720"/>
        <w:rPr>
          <w:u w:val="single"/>
        </w:rPr>
      </w:pPr>
      <w:r w:rsidRPr="00361F4A">
        <w:rPr>
          <w:u w:val="single"/>
        </w:rPr>
        <w:t>Respondent Activity</w:t>
      </w:r>
    </w:p>
    <w:p w:rsidR="004466A8" w:rsidP="008F1F1B" w:rsidRDefault="004466A8" w14:paraId="0C28256E" w14:textId="77777777">
      <w:pPr>
        <w:pStyle w:val="Level1"/>
        <w:keepNext/>
        <w:widowControl/>
        <w:tabs>
          <w:tab w:val="left" w:pos="-1200"/>
        </w:tabs>
        <w:ind w:left="720" w:firstLine="0"/>
        <w:outlineLvl w:val="9"/>
      </w:pPr>
    </w:p>
    <w:p w:rsidRPr="00853414" w:rsidR="000F4D0A" w:rsidP="008F1F1B" w:rsidRDefault="000F4D0A" w14:paraId="7B309DBC" w14:textId="77777777">
      <w:pPr>
        <w:pStyle w:val="NoSpacing"/>
        <w:keepNext/>
        <w:widowControl/>
      </w:pPr>
      <w:r w:rsidRPr="00853414">
        <w:t>Submit a proposed tracking number suffix, along with the reason for requesting it.</w:t>
      </w:r>
    </w:p>
    <w:p w:rsidR="0025395F" w:rsidP="008F1F1B" w:rsidRDefault="0025395F" w14:paraId="13203F05" w14:textId="77777777">
      <w:pPr>
        <w:keepNext/>
        <w:tabs>
          <w:tab w:val="left" w:pos="-1200"/>
        </w:tabs>
        <w:ind w:left="1440" w:hanging="720"/>
      </w:pPr>
    </w:p>
    <w:p w:rsidRPr="00853414" w:rsidR="000F4D0A" w:rsidP="00396870" w:rsidRDefault="000F4D0A" w14:paraId="571E50E5" w14:textId="77777777">
      <w:pPr>
        <w:keepNext/>
        <w:tabs>
          <w:tab w:val="left" w:pos="-1200"/>
        </w:tabs>
        <w:ind w:left="1440" w:hanging="720"/>
      </w:pPr>
      <w:r w:rsidRPr="00853414">
        <w:t>(d)</w:t>
      </w:r>
      <w:r w:rsidRPr="00853414">
        <w:tab/>
        <w:t>Requesting Approval for Changes to Printing Specifications or Use of a New Printer</w:t>
      </w:r>
    </w:p>
    <w:p w:rsidRPr="00853414" w:rsidR="000F4D0A" w:rsidP="00396870" w:rsidRDefault="000F4D0A" w14:paraId="4112563B" w14:textId="77777777">
      <w:pPr>
        <w:keepNext/>
        <w:tabs>
          <w:tab w:val="left" w:pos="-1200"/>
        </w:tabs>
      </w:pPr>
    </w:p>
    <w:p w:rsidRPr="00853414" w:rsidR="000F4D0A" w:rsidP="00396870" w:rsidRDefault="000F4D0A" w14:paraId="7782E4A1" w14:textId="77777777">
      <w:pPr>
        <w:keepNext/>
        <w:tabs>
          <w:tab w:val="left" w:pos="-1200"/>
        </w:tabs>
      </w:pPr>
      <w:r w:rsidRPr="00853414">
        <w:t xml:space="preserve">40 CFR 262.21(h)(3) provides that, if a registrant would like to change the paper type, paper weight, ink color of the manifest instructions, or binding method of its manifest or continuation sheet </w:t>
      </w:r>
      <w:proofErr w:type="gramStart"/>
      <w:r w:rsidRPr="00853414">
        <w:t>subsequent to</w:t>
      </w:r>
      <w:proofErr w:type="gramEnd"/>
      <w:r w:rsidRPr="00853414">
        <w:t xml:space="preserve"> approval under 40 CFR 262.21(e), then the registrant must submit </w:t>
      </w:r>
      <w:r w:rsidR="00C24DDC">
        <w:t>3</w:t>
      </w:r>
      <w:r w:rsidRPr="00853414">
        <w:t xml:space="preserve"> samples of the revised form for </w:t>
      </w:r>
      <w:r w:rsidR="00CB2DBC">
        <w:t>EPA</w:t>
      </w:r>
      <w:r w:rsidRPr="00853414">
        <w:t xml:space="preserve"> review and approval</w:t>
      </w:r>
      <w:r w:rsidR="000E6596">
        <w:t xml:space="preserve">. </w:t>
      </w:r>
      <w:r w:rsidRPr="00853414">
        <w:t xml:space="preserve">If the approved registrant would like to use a new printer, the registrant must submit </w:t>
      </w:r>
      <w:r w:rsidR="00C24DDC">
        <w:t>3</w:t>
      </w:r>
      <w:r w:rsidRPr="00853414">
        <w:t xml:space="preserve"> manifest samples printed by the new printer, along with a brief description of the printer’s qualifications to print the manifest</w:t>
      </w:r>
      <w:r w:rsidR="000E6596">
        <w:t xml:space="preserve">. </w:t>
      </w:r>
      <w:r w:rsidRPr="00853414">
        <w:t xml:space="preserve">In reviewing these submittals, </w:t>
      </w:r>
      <w:r w:rsidR="00CB2DBC">
        <w:t>EPA</w:t>
      </w:r>
      <w:r w:rsidRPr="00853414">
        <w:t xml:space="preserve"> may request modification to them before approval.</w:t>
      </w:r>
    </w:p>
    <w:p w:rsidRPr="00853414" w:rsidR="000F4D0A" w:rsidP="00FA3A49" w:rsidRDefault="000F4D0A" w14:paraId="7389F477" w14:textId="77777777">
      <w:pPr>
        <w:tabs>
          <w:tab w:val="left" w:pos="-1200"/>
        </w:tabs>
      </w:pPr>
    </w:p>
    <w:p w:rsidR="000F4D0A" w:rsidP="009F0295" w:rsidRDefault="00886BEF" w14:paraId="0E745C5D" w14:textId="77777777">
      <w:pPr>
        <w:keepNext/>
        <w:tabs>
          <w:tab w:val="left" w:pos="-1200"/>
        </w:tabs>
        <w:ind w:firstLine="720"/>
      </w:pPr>
      <w:r w:rsidRPr="00886BEF">
        <w:rPr>
          <w:u w:val="single"/>
        </w:rPr>
        <w:t>Data Items</w:t>
      </w:r>
    </w:p>
    <w:p w:rsidRPr="00853414" w:rsidR="004466A8" w:rsidP="009F0295" w:rsidRDefault="004466A8" w14:paraId="21081B40" w14:textId="77777777">
      <w:pPr>
        <w:keepNext/>
        <w:tabs>
          <w:tab w:val="left" w:pos="-1200"/>
        </w:tabs>
      </w:pPr>
    </w:p>
    <w:p w:rsidRPr="00853414" w:rsidR="000F4D0A" w:rsidP="009F0295" w:rsidRDefault="000F4D0A" w14:paraId="4F0A3A52" w14:textId="77777777">
      <w:pPr>
        <w:pStyle w:val="NoSpacing"/>
        <w:keepNext/>
        <w:widowControl/>
      </w:pPr>
      <w:r w:rsidRPr="00853414">
        <w:t>Three samples of the manifest form and/or continuation sheet.</w:t>
      </w:r>
    </w:p>
    <w:p w:rsidRPr="00853414" w:rsidR="000F4D0A" w:rsidP="00FA3A49" w:rsidRDefault="000F4D0A" w14:paraId="566C2DFC" w14:textId="77777777">
      <w:pPr>
        <w:pStyle w:val="NoSpacing"/>
        <w:widowControl/>
      </w:pPr>
      <w:r w:rsidRPr="00853414">
        <w:t>A brief description of the qualifications of the new printer, if applicable.</w:t>
      </w:r>
    </w:p>
    <w:p w:rsidRPr="00853414" w:rsidR="000F4D0A" w:rsidP="00FA3A49" w:rsidRDefault="000F4D0A" w14:paraId="0F2D005B" w14:textId="77777777">
      <w:pPr>
        <w:tabs>
          <w:tab w:val="left" w:pos="-1200"/>
        </w:tabs>
      </w:pPr>
    </w:p>
    <w:p w:rsidRPr="00853414" w:rsidR="000F4D0A" w:rsidP="00FA3A49" w:rsidRDefault="00361F4A" w14:paraId="4C735470" w14:textId="77777777">
      <w:pPr>
        <w:tabs>
          <w:tab w:val="left" w:pos="-1200"/>
        </w:tabs>
        <w:ind w:left="720"/>
      </w:pPr>
      <w:r w:rsidRPr="00361F4A">
        <w:rPr>
          <w:u w:val="single"/>
        </w:rPr>
        <w:t>Respondent Activit</w:t>
      </w:r>
      <w:r>
        <w:rPr>
          <w:u w:val="single"/>
        </w:rPr>
        <w:t>ies</w:t>
      </w:r>
    </w:p>
    <w:p w:rsidR="004466A8" w:rsidP="00FA3A49" w:rsidRDefault="004466A8" w14:paraId="7F7B1B0F" w14:textId="77777777">
      <w:pPr>
        <w:pStyle w:val="Level1"/>
        <w:widowControl/>
        <w:tabs>
          <w:tab w:val="left" w:pos="-1200"/>
        </w:tabs>
        <w:ind w:left="720" w:firstLine="0"/>
        <w:outlineLvl w:val="9"/>
      </w:pPr>
    </w:p>
    <w:p w:rsidRPr="00853414" w:rsidR="000F4D0A" w:rsidP="00FA3A49" w:rsidRDefault="000F4D0A" w14:paraId="30CA0E81" w14:textId="77777777">
      <w:pPr>
        <w:pStyle w:val="NoSpacing"/>
        <w:widowControl/>
      </w:pPr>
      <w:r w:rsidRPr="00853414">
        <w:t xml:space="preserve">Submit </w:t>
      </w:r>
      <w:r w:rsidR="00C24DDC">
        <w:t>3</w:t>
      </w:r>
      <w:r w:rsidRPr="00853414">
        <w:t xml:space="preserve"> samples of the manifest form and/or continuation sheet and, if applicable, a brief description of the qualifications of the new printer.</w:t>
      </w:r>
    </w:p>
    <w:p w:rsidRPr="00853414" w:rsidR="000F4D0A" w:rsidP="00FA3A49" w:rsidRDefault="000F4D0A" w14:paraId="529B2EAC" w14:textId="77777777">
      <w:pPr>
        <w:pStyle w:val="NoSpacing"/>
        <w:widowControl/>
      </w:pPr>
      <w:r w:rsidRPr="00853414">
        <w:t xml:space="preserve">Submit revised manifest form and/or continuation sheet samples to </w:t>
      </w:r>
      <w:r w:rsidR="00CB2DBC">
        <w:t>EPA</w:t>
      </w:r>
      <w:r w:rsidRPr="00853414">
        <w:t>, if requested.</w:t>
      </w:r>
    </w:p>
    <w:p w:rsidRPr="00853414" w:rsidR="000F4D0A" w:rsidP="00FA3A49" w:rsidRDefault="000F4D0A" w14:paraId="265A6516" w14:textId="77777777">
      <w:pPr>
        <w:tabs>
          <w:tab w:val="left" w:pos="-1200"/>
        </w:tabs>
      </w:pPr>
    </w:p>
    <w:p w:rsidRPr="00853414" w:rsidR="000F4D0A" w:rsidP="00FA3A49" w:rsidRDefault="000F4D0A" w14:paraId="74E4C658" w14:textId="77777777">
      <w:pPr>
        <w:tabs>
          <w:tab w:val="left" w:pos="-1200"/>
        </w:tabs>
        <w:ind w:left="1440" w:hanging="720"/>
      </w:pPr>
      <w:r w:rsidRPr="00853414">
        <w:t xml:space="preserve">(e) </w:t>
      </w:r>
      <w:r w:rsidRPr="00853414">
        <w:tab/>
        <w:t>Typesetting the Manifest Form Subsequent to its Approval</w:t>
      </w:r>
    </w:p>
    <w:p w:rsidRPr="00853414" w:rsidR="000F4D0A" w:rsidP="00FA3A49" w:rsidRDefault="000F4D0A" w14:paraId="079A1782" w14:textId="77777777">
      <w:pPr>
        <w:tabs>
          <w:tab w:val="left" w:pos="-1200"/>
        </w:tabs>
      </w:pPr>
    </w:p>
    <w:p w:rsidRPr="00853414" w:rsidR="000F4D0A" w:rsidP="00FA3A49" w:rsidRDefault="000F4D0A" w14:paraId="3D847B51" w14:textId="77777777">
      <w:pPr>
        <w:tabs>
          <w:tab w:val="left" w:pos="-1200"/>
        </w:tabs>
      </w:pPr>
      <w:r w:rsidRPr="00853414">
        <w:t xml:space="preserve">40 CFR 262.21(i) provides that, if </w:t>
      </w:r>
      <w:proofErr w:type="gramStart"/>
      <w:r w:rsidRPr="00853414">
        <w:t>subsequent to</w:t>
      </w:r>
      <w:proofErr w:type="gramEnd"/>
      <w:r w:rsidRPr="00853414">
        <w:t xml:space="preserve"> its approval under 40 CFR 262.21(e), a registrant typesets its manifest or continuation sheet instead of using the electronic file of the forms provided by </w:t>
      </w:r>
      <w:r w:rsidR="00CB2DBC">
        <w:t>EPA</w:t>
      </w:r>
      <w:r w:rsidRPr="00853414">
        <w:t xml:space="preserve">, it must submit </w:t>
      </w:r>
      <w:r w:rsidR="00C24DDC">
        <w:t>3</w:t>
      </w:r>
      <w:r w:rsidRPr="00853414">
        <w:t xml:space="preserve"> samples of the manifest or continuation sheet to the registry for approval</w:t>
      </w:r>
      <w:r w:rsidR="000E6596">
        <w:t xml:space="preserve">. </w:t>
      </w:r>
      <w:r w:rsidRPr="00853414">
        <w:t xml:space="preserve">The registrant cannot use or distribute its typeset forms until </w:t>
      </w:r>
      <w:r w:rsidR="00CB2DBC">
        <w:t>EPA</w:t>
      </w:r>
      <w:r w:rsidRPr="00853414">
        <w:t xml:space="preserve"> approves them</w:t>
      </w:r>
      <w:r w:rsidR="000E6596">
        <w:t xml:space="preserve">. </w:t>
      </w:r>
    </w:p>
    <w:p w:rsidRPr="00853414" w:rsidR="000F4D0A" w:rsidP="00FA3A49" w:rsidRDefault="000F4D0A" w14:paraId="1E7BA8E5" w14:textId="77777777">
      <w:pPr>
        <w:tabs>
          <w:tab w:val="left" w:pos="-1200"/>
        </w:tabs>
        <w:ind w:left="720"/>
      </w:pPr>
    </w:p>
    <w:p w:rsidR="000F4D0A" w:rsidP="00FA3A49" w:rsidRDefault="00886BEF" w14:paraId="090B2433" w14:textId="77777777">
      <w:pPr>
        <w:keepNext/>
        <w:keepLines/>
        <w:tabs>
          <w:tab w:val="left" w:pos="-1200"/>
        </w:tabs>
        <w:ind w:firstLine="720"/>
      </w:pPr>
      <w:r w:rsidRPr="00886BEF">
        <w:rPr>
          <w:u w:val="single"/>
        </w:rPr>
        <w:t>Data Item</w:t>
      </w:r>
    </w:p>
    <w:p w:rsidRPr="00853414" w:rsidR="007F006F" w:rsidP="00FA3A49" w:rsidRDefault="007F006F" w14:paraId="0B786530" w14:textId="77777777">
      <w:pPr>
        <w:keepNext/>
        <w:keepLines/>
        <w:tabs>
          <w:tab w:val="left" w:pos="-1200"/>
        </w:tabs>
        <w:ind w:firstLine="720"/>
      </w:pPr>
    </w:p>
    <w:p w:rsidRPr="00853414" w:rsidR="000F4D0A" w:rsidP="00FA3A49" w:rsidRDefault="000F4D0A" w14:paraId="24CE9FCE" w14:textId="77777777">
      <w:pPr>
        <w:pStyle w:val="NoSpacing"/>
        <w:widowControl/>
      </w:pPr>
      <w:r w:rsidRPr="00853414">
        <w:t>Three samples of the manifest or continuation sheet.</w:t>
      </w:r>
    </w:p>
    <w:p w:rsidRPr="00853414" w:rsidR="000F4D0A" w:rsidP="00FA3A49" w:rsidRDefault="000F4D0A" w14:paraId="25D5729C" w14:textId="77777777">
      <w:pPr>
        <w:tabs>
          <w:tab w:val="left" w:pos="-1200"/>
        </w:tabs>
      </w:pPr>
    </w:p>
    <w:p w:rsidRPr="00853414" w:rsidR="000F4D0A" w:rsidP="001D67C6" w:rsidRDefault="00361F4A" w14:paraId="089A9D2C" w14:textId="77777777">
      <w:pPr>
        <w:keepNext/>
        <w:keepLines/>
        <w:tabs>
          <w:tab w:val="left" w:pos="-1200"/>
        </w:tabs>
        <w:ind w:left="720"/>
      </w:pPr>
      <w:r w:rsidRPr="00361F4A">
        <w:rPr>
          <w:u w:val="single"/>
        </w:rPr>
        <w:t>Respondent Activity</w:t>
      </w:r>
    </w:p>
    <w:p w:rsidR="007F006F" w:rsidP="001D67C6" w:rsidRDefault="007F006F" w14:paraId="2E8C53F0" w14:textId="77777777">
      <w:pPr>
        <w:pStyle w:val="Level1"/>
        <w:keepNext/>
        <w:keepLines/>
        <w:widowControl/>
        <w:tabs>
          <w:tab w:val="left" w:pos="-1200"/>
        </w:tabs>
        <w:ind w:left="720" w:firstLine="0"/>
        <w:outlineLvl w:val="9"/>
      </w:pPr>
    </w:p>
    <w:p w:rsidRPr="00853414" w:rsidR="000F4D0A" w:rsidP="001D67C6" w:rsidRDefault="000F4D0A" w14:paraId="587CE571" w14:textId="77777777">
      <w:pPr>
        <w:pStyle w:val="NoSpacing"/>
        <w:keepNext/>
        <w:keepLines/>
        <w:widowControl/>
      </w:pPr>
      <w:r w:rsidRPr="00853414">
        <w:t xml:space="preserve">Submit </w:t>
      </w:r>
      <w:r w:rsidR="00C24DDC">
        <w:t>3</w:t>
      </w:r>
      <w:r w:rsidRPr="00853414">
        <w:t xml:space="preserve"> samples of the manifest or continuation sheet to the registry for approval.</w:t>
      </w:r>
    </w:p>
    <w:p w:rsidRPr="00853414" w:rsidR="000F4D0A" w:rsidP="00FA3A49" w:rsidRDefault="000F4D0A" w14:paraId="4A7B164A" w14:textId="77777777">
      <w:pPr>
        <w:tabs>
          <w:tab w:val="left" w:pos="-1200"/>
        </w:tabs>
      </w:pPr>
    </w:p>
    <w:p w:rsidRPr="00853414" w:rsidR="000F4D0A" w:rsidP="00FA3A49" w:rsidRDefault="000F4D0A" w14:paraId="6F12E07C" w14:textId="77777777">
      <w:pPr>
        <w:keepNext/>
        <w:tabs>
          <w:tab w:val="left" w:pos="-1200"/>
        </w:tabs>
        <w:ind w:left="1440" w:hanging="720"/>
      </w:pPr>
      <w:r w:rsidRPr="00853414">
        <w:lastRenderedPageBreak/>
        <w:t xml:space="preserve">(f) </w:t>
      </w:r>
      <w:r w:rsidRPr="00853414">
        <w:tab/>
        <w:t>Requesting an Exemption</w:t>
      </w:r>
    </w:p>
    <w:p w:rsidRPr="00853414" w:rsidR="000F4D0A" w:rsidP="00FA3A49" w:rsidRDefault="000F4D0A" w14:paraId="423AD973" w14:textId="77777777">
      <w:pPr>
        <w:keepNext/>
        <w:tabs>
          <w:tab w:val="left" w:pos="-1200"/>
        </w:tabs>
        <w:ind w:firstLine="720"/>
      </w:pPr>
    </w:p>
    <w:p w:rsidRPr="00853414" w:rsidR="000F4D0A" w:rsidP="00FA3A49" w:rsidRDefault="000F4D0A" w14:paraId="66B4F9E6" w14:textId="77777777">
      <w:pPr>
        <w:keepNext/>
        <w:tabs>
          <w:tab w:val="left" w:pos="-1200"/>
        </w:tabs>
      </w:pPr>
      <w:r w:rsidRPr="00853414">
        <w:t xml:space="preserve">40 CFR 262.21(j) provides that </w:t>
      </w:r>
      <w:r w:rsidR="00CB2DBC">
        <w:t>EPA</w:t>
      </w:r>
      <w:r w:rsidRPr="00853414">
        <w:t xml:space="preserve"> may exempt a registrant from the requirement to submit form samples under 40 CFR 262.21(d) or 262.21(h)(3) if the Agency is persuaded that a separate review of the registrant’s forms would serve little purpose in informing an approval decision (e.g., a registrant certifies that it will print the manifest using the same paper type, paper weight, ink color of the instructions, and binding method of the form samples approved for some other registrant)</w:t>
      </w:r>
      <w:r w:rsidR="000E6596">
        <w:t xml:space="preserve">. </w:t>
      </w:r>
      <w:r w:rsidRPr="00853414">
        <w:t xml:space="preserve">A registrant may request an exemption from </w:t>
      </w:r>
      <w:r w:rsidR="00CB2DBC">
        <w:t>EPA</w:t>
      </w:r>
      <w:r w:rsidRPr="00853414">
        <w:t xml:space="preserve"> by indicating why an exemption is warranted. </w:t>
      </w:r>
    </w:p>
    <w:p w:rsidRPr="00853414" w:rsidR="000F4D0A" w:rsidP="00FA3A49" w:rsidRDefault="000F4D0A" w14:paraId="47E3E6B0" w14:textId="77777777">
      <w:pPr>
        <w:tabs>
          <w:tab w:val="left" w:pos="-1200"/>
        </w:tabs>
        <w:ind w:left="720" w:firstLine="720"/>
      </w:pPr>
    </w:p>
    <w:p w:rsidR="000F4D0A" w:rsidP="00FC55F2" w:rsidRDefault="00361F4A" w14:paraId="0D15CAA1" w14:textId="77777777">
      <w:pPr>
        <w:keepNext/>
        <w:keepLines/>
        <w:tabs>
          <w:tab w:val="left" w:pos="-1200"/>
        </w:tabs>
        <w:ind w:firstLine="720"/>
      </w:pPr>
      <w:r w:rsidRPr="00361F4A">
        <w:rPr>
          <w:u w:val="single"/>
        </w:rPr>
        <w:t>Data Item</w:t>
      </w:r>
    </w:p>
    <w:p w:rsidRPr="00853414" w:rsidR="007F006F" w:rsidP="00FC55F2" w:rsidRDefault="007F006F" w14:paraId="180B2A0E" w14:textId="77777777">
      <w:pPr>
        <w:keepNext/>
        <w:keepLines/>
        <w:tabs>
          <w:tab w:val="left" w:pos="-1200"/>
        </w:tabs>
        <w:ind w:firstLine="720"/>
      </w:pPr>
    </w:p>
    <w:p w:rsidRPr="00853414" w:rsidR="000F4D0A" w:rsidP="00FC55F2" w:rsidRDefault="000F4D0A" w14:paraId="7F590AF6" w14:textId="77777777">
      <w:pPr>
        <w:pStyle w:val="NoSpacing"/>
        <w:keepNext/>
        <w:keepLines/>
        <w:widowControl/>
      </w:pPr>
      <w:r w:rsidRPr="00853414">
        <w:t>Documentation indicating why an exemption is warranted.</w:t>
      </w:r>
    </w:p>
    <w:p w:rsidRPr="00853414" w:rsidR="000F4D0A" w:rsidP="00FA3A49" w:rsidRDefault="000F4D0A" w14:paraId="16068232" w14:textId="77777777">
      <w:pPr>
        <w:keepLines/>
        <w:tabs>
          <w:tab w:val="left" w:pos="-1200"/>
        </w:tabs>
      </w:pPr>
    </w:p>
    <w:p w:rsidR="000F4D0A" w:rsidP="00FC55F2" w:rsidRDefault="00361F4A" w14:paraId="12BD7156" w14:textId="77777777">
      <w:pPr>
        <w:keepNext/>
        <w:tabs>
          <w:tab w:val="left" w:pos="-1200"/>
        </w:tabs>
        <w:ind w:left="720"/>
      </w:pPr>
      <w:r w:rsidRPr="00361F4A">
        <w:rPr>
          <w:u w:val="single"/>
        </w:rPr>
        <w:t>Respondent Activity</w:t>
      </w:r>
    </w:p>
    <w:p w:rsidRPr="00853414" w:rsidR="007F006F" w:rsidP="00FC55F2" w:rsidRDefault="007F006F" w14:paraId="08B1BA6D" w14:textId="77777777">
      <w:pPr>
        <w:keepNext/>
        <w:tabs>
          <w:tab w:val="left" w:pos="-1200"/>
        </w:tabs>
        <w:ind w:left="720"/>
      </w:pPr>
    </w:p>
    <w:p w:rsidRPr="00853414" w:rsidR="000F4D0A" w:rsidP="00FC55F2" w:rsidRDefault="000F4D0A" w14:paraId="25499455" w14:textId="77777777">
      <w:pPr>
        <w:pStyle w:val="NoSpacing"/>
        <w:keepNext/>
        <w:widowControl/>
      </w:pPr>
      <w:r w:rsidRPr="00853414">
        <w:t xml:space="preserve">Submit documentation to </w:t>
      </w:r>
      <w:r w:rsidR="00CB2DBC">
        <w:t>EPA</w:t>
      </w:r>
      <w:r w:rsidRPr="00853414">
        <w:t xml:space="preserve"> indicating why an exemption is warranted.</w:t>
      </w:r>
    </w:p>
    <w:p w:rsidRPr="00853414" w:rsidR="000F4D0A" w:rsidP="00FA3A49" w:rsidRDefault="000F4D0A" w14:paraId="12CC4537" w14:textId="77777777">
      <w:pPr>
        <w:tabs>
          <w:tab w:val="left" w:pos="-1200"/>
        </w:tabs>
      </w:pPr>
    </w:p>
    <w:p w:rsidRPr="00853414" w:rsidR="000F4D0A" w:rsidP="009F0295" w:rsidRDefault="000F4D0A" w14:paraId="41881BA2" w14:textId="77777777">
      <w:pPr>
        <w:keepNext/>
        <w:tabs>
          <w:tab w:val="left" w:pos="-1200"/>
        </w:tabs>
        <w:ind w:left="1440" w:hanging="720"/>
      </w:pPr>
      <w:r w:rsidRPr="00853414">
        <w:t>(g)</w:t>
      </w:r>
      <w:r w:rsidRPr="00853414">
        <w:tab/>
        <w:t xml:space="preserve">Notifying </w:t>
      </w:r>
      <w:r w:rsidR="00CB2DBC">
        <w:t>EPA</w:t>
      </w:r>
      <w:r w:rsidRPr="00853414">
        <w:t xml:space="preserve"> of a Printing Specification Violation</w:t>
      </w:r>
    </w:p>
    <w:p w:rsidRPr="00853414" w:rsidR="000F4D0A" w:rsidP="009F0295" w:rsidRDefault="000F4D0A" w14:paraId="1D98E8BA" w14:textId="77777777">
      <w:pPr>
        <w:keepNext/>
        <w:tabs>
          <w:tab w:val="left" w:pos="-1200"/>
        </w:tabs>
      </w:pPr>
    </w:p>
    <w:p w:rsidRPr="00853414" w:rsidR="000F4D0A" w:rsidP="009F0295" w:rsidRDefault="000F4D0A" w14:paraId="0E24D701" w14:textId="77777777">
      <w:pPr>
        <w:keepNext/>
        <w:tabs>
          <w:tab w:val="left" w:pos="-1200"/>
        </w:tabs>
      </w:pPr>
      <w:r w:rsidRPr="00853414">
        <w:t xml:space="preserve">40 CFR 262.21(k) requires an approved registrant to notify </w:t>
      </w:r>
      <w:r w:rsidR="00CB2DBC">
        <w:t>EPA</w:t>
      </w:r>
      <w:r w:rsidRPr="00853414">
        <w:t xml:space="preserve"> by phone or email as soon as it becomes aware that it has used or distributed manifests that contain duplicated manifest tracking numbers.</w:t>
      </w:r>
    </w:p>
    <w:p w:rsidRPr="00853414" w:rsidR="000F4D0A" w:rsidP="00FA3A49" w:rsidRDefault="000F4D0A" w14:paraId="3658F404" w14:textId="77777777">
      <w:pPr>
        <w:tabs>
          <w:tab w:val="left" w:pos="-1200"/>
        </w:tabs>
        <w:ind w:left="720" w:firstLine="1440"/>
      </w:pPr>
    </w:p>
    <w:p w:rsidR="000F4D0A" w:rsidP="00FA3A49" w:rsidRDefault="00361F4A" w14:paraId="0D960F34" w14:textId="77777777">
      <w:pPr>
        <w:tabs>
          <w:tab w:val="left" w:pos="-1200"/>
        </w:tabs>
        <w:ind w:firstLine="720"/>
      </w:pPr>
      <w:r w:rsidRPr="00361F4A">
        <w:rPr>
          <w:u w:val="single"/>
        </w:rPr>
        <w:t>Data Item</w:t>
      </w:r>
    </w:p>
    <w:p w:rsidRPr="00853414" w:rsidR="007F006F" w:rsidP="00FA3A49" w:rsidRDefault="007F006F" w14:paraId="50D1F7E2" w14:textId="77777777">
      <w:pPr>
        <w:tabs>
          <w:tab w:val="left" w:pos="-1200"/>
        </w:tabs>
        <w:ind w:firstLine="720"/>
      </w:pPr>
    </w:p>
    <w:p w:rsidRPr="00853414" w:rsidR="000F4D0A" w:rsidP="00FA3A49" w:rsidRDefault="000F4D0A" w14:paraId="221F8992" w14:textId="77777777">
      <w:pPr>
        <w:pStyle w:val="NoSpacing"/>
        <w:widowControl/>
      </w:pPr>
      <w:r w:rsidRPr="00853414">
        <w:t>Notification of duplicated manifest tracking numbers.</w:t>
      </w:r>
    </w:p>
    <w:p w:rsidRPr="00853414" w:rsidR="000F4D0A" w:rsidP="00FA3A49" w:rsidRDefault="000F4D0A" w14:paraId="2EED722B" w14:textId="77777777">
      <w:pPr>
        <w:tabs>
          <w:tab w:val="left" w:pos="-1200"/>
        </w:tabs>
      </w:pPr>
    </w:p>
    <w:p w:rsidR="000F4D0A" w:rsidP="00FA3A49" w:rsidRDefault="00361F4A" w14:paraId="6641A413" w14:textId="77777777">
      <w:pPr>
        <w:tabs>
          <w:tab w:val="left" w:pos="-1200"/>
        </w:tabs>
        <w:ind w:left="720"/>
      </w:pPr>
      <w:r w:rsidRPr="00361F4A">
        <w:rPr>
          <w:u w:val="single"/>
        </w:rPr>
        <w:t>Respondent Activity</w:t>
      </w:r>
    </w:p>
    <w:p w:rsidRPr="00853414" w:rsidR="007F006F" w:rsidP="00FA3A49" w:rsidRDefault="007F006F" w14:paraId="7F405F8A" w14:textId="77777777">
      <w:pPr>
        <w:tabs>
          <w:tab w:val="left" w:pos="-1200"/>
        </w:tabs>
        <w:ind w:left="720"/>
      </w:pPr>
    </w:p>
    <w:p w:rsidRPr="00853414" w:rsidR="000F4D0A" w:rsidP="00FA3A49" w:rsidRDefault="000F4D0A" w14:paraId="639E2DE3" w14:textId="77777777">
      <w:pPr>
        <w:pStyle w:val="NoSpacing"/>
        <w:widowControl/>
      </w:pPr>
      <w:r w:rsidRPr="00853414">
        <w:t xml:space="preserve">Notify </w:t>
      </w:r>
      <w:r w:rsidR="00CB2DBC">
        <w:t>EPA</w:t>
      </w:r>
      <w:r w:rsidRPr="00853414">
        <w:t xml:space="preserve"> of duplicated manifest tracking numbers.</w:t>
      </w:r>
    </w:p>
    <w:p w:rsidRPr="00853414" w:rsidR="000F4D0A" w:rsidP="00FA3A49" w:rsidRDefault="000F4D0A" w14:paraId="465347F0" w14:textId="77777777">
      <w:pPr>
        <w:tabs>
          <w:tab w:val="left" w:pos="-1200"/>
        </w:tabs>
      </w:pPr>
    </w:p>
    <w:p w:rsidRPr="00853414" w:rsidR="000F4D0A" w:rsidP="00FA3A49" w:rsidRDefault="000F4D0A" w14:paraId="03FBA04D" w14:textId="77777777">
      <w:pPr>
        <w:tabs>
          <w:tab w:val="left" w:pos="-1200"/>
        </w:tabs>
        <w:ind w:left="1440" w:hanging="720"/>
      </w:pPr>
      <w:r w:rsidRPr="00853414">
        <w:t>(h)</w:t>
      </w:r>
      <w:r w:rsidRPr="00853414">
        <w:tab/>
        <w:t xml:space="preserve">Revising the Approved Manifest if Requested by </w:t>
      </w:r>
      <w:r w:rsidR="00CB2DBC">
        <w:t>EPA</w:t>
      </w:r>
    </w:p>
    <w:p w:rsidRPr="00853414" w:rsidR="000F4D0A" w:rsidP="00FA3A49" w:rsidRDefault="000F4D0A" w14:paraId="674162D7" w14:textId="77777777">
      <w:pPr>
        <w:tabs>
          <w:tab w:val="left" w:pos="-1200"/>
        </w:tabs>
      </w:pPr>
    </w:p>
    <w:p w:rsidRPr="00853414" w:rsidR="000F4D0A" w:rsidP="00FA3A49" w:rsidRDefault="000F4D0A" w14:paraId="5279CD23" w14:textId="77777777">
      <w:pPr>
        <w:tabs>
          <w:tab w:val="left" w:pos="-1200"/>
        </w:tabs>
      </w:pPr>
      <w:r w:rsidRPr="00853414">
        <w:t xml:space="preserve">40 CFR 262.21(l) provides that, if, </w:t>
      </w:r>
      <w:proofErr w:type="gramStart"/>
      <w:r w:rsidRPr="00853414">
        <w:t>subsequent to</w:t>
      </w:r>
      <w:proofErr w:type="gramEnd"/>
      <w:r w:rsidRPr="00853414">
        <w:t xml:space="preserve"> approval of a registrant under 40 CFR 262.21(e), </w:t>
      </w:r>
      <w:r w:rsidR="00CB2DBC">
        <w:t>EPA</w:t>
      </w:r>
      <w:r w:rsidRPr="00853414">
        <w:t xml:space="preserve"> becomes aware that the registrant’s approved form does not satisfactorily meet the print specifications in 40 CFR 262.21(f), </w:t>
      </w:r>
      <w:r w:rsidR="00CB2DBC">
        <w:t>EPA</w:t>
      </w:r>
      <w:r w:rsidRPr="00853414">
        <w:t xml:space="preserve"> will contact the registrant and require modifications to the form.</w:t>
      </w:r>
    </w:p>
    <w:p w:rsidRPr="00853414" w:rsidR="000F4D0A" w:rsidP="00FA3A49" w:rsidRDefault="000F4D0A" w14:paraId="25BF9B4C" w14:textId="77777777">
      <w:pPr>
        <w:tabs>
          <w:tab w:val="left" w:pos="-1200"/>
        </w:tabs>
        <w:ind w:firstLine="1440"/>
      </w:pPr>
    </w:p>
    <w:p w:rsidRPr="00853414" w:rsidR="000F4D0A" w:rsidP="001D67C6" w:rsidRDefault="00361F4A" w14:paraId="42B57572" w14:textId="77777777">
      <w:pPr>
        <w:keepNext/>
        <w:tabs>
          <w:tab w:val="left" w:pos="-1200"/>
        </w:tabs>
        <w:ind w:firstLine="720"/>
      </w:pPr>
      <w:r w:rsidRPr="00361F4A">
        <w:rPr>
          <w:u w:val="single"/>
        </w:rPr>
        <w:t>Data Item</w:t>
      </w:r>
    </w:p>
    <w:p w:rsidR="00573E2C" w:rsidP="001D67C6" w:rsidRDefault="00573E2C" w14:paraId="46677127" w14:textId="77777777">
      <w:pPr>
        <w:pStyle w:val="NoSpacing"/>
        <w:keepNext/>
        <w:widowControl/>
        <w:numPr>
          <w:ilvl w:val="0"/>
          <w:numId w:val="0"/>
        </w:numPr>
        <w:ind w:left="1080"/>
      </w:pPr>
    </w:p>
    <w:p w:rsidRPr="00853414" w:rsidR="000F4D0A" w:rsidP="001D67C6" w:rsidRDefault="000F4D0A" w14:paraId="096CBDBD" w14:textId="77777777">
      <w:pPr>
        <w:pStyle w:val="NoSpacing"/>
        <w:keepNext/>
        <w:widowControl/>
      </w:pPr>
      <w:r w:rsidRPr="00853414">
        <w:t>Revised manifest form samples.</w:t>
      </w:r>
    </w:p>
    <w:p w:rsidRPr="00853414" w:rsidR="000F4D0A" w:rsidP="00FA3A49" w:rsidRDefault="000F4D0A" w14:paraId="2BB7A399" w14:textId="77777777">
      <w:pPr>
        <w:tabs>
          <w:tab w:val="left" w:pos="-1200"/>
        </w:tabs>
      </w:pPr>
    </w:p>
    <w:p w:rsidRPr="00853414" w:rsidR="000F4D0A" w:rsidP="00FA3A49" w:rsidRDefault="00361F4A" w14:paraId="3F0BF74E" w14:textId="77777777">
      <w:pPr>
        <w:keepNext/>
        <w:keepLines/>
        <w:tabs>
          <w:tab w:val="left" w:pos="-1200"/>
        </w:tabs>
        <w:ind w:left="720"/>
      </w:pPr>
      <w:r w:rsidRPr="00361F4A">
        <w:rPr>
          <w:u w:val="single"/>
        </w:rPr>
        <w:lastRenderedPageBreak/>
        <w:t>Respondent Activity</w:t>
      </w:r>
    </w:p>
    <w:p w:rsidR="00573E2C" w:rsidP="00FA3A49" w:rsidRDefault="00573E2C" w14:paraId="491B3331" w14:textId="77777777">
      <w:pPr>
        <w:pStyle w:val="NoSpacing"/>
        <w:keepNext/>
        <w:keepLines/>
        <w:widowControl/>
        <w:numPr>
          <w:ilvl w:val="0"/>
          <w:numId w:val="0"/>
        </w:numPr>
        <w:ind w:left="1080"/>
      </w:pPr>
    </w:p>
    <w:p w:rsidRPr="00853414" w:rsidR="000F4D0A" w:rsidP="00FA3A49" w:rsidRDefault="000F4D0A" w14:paraId="3387C00F" w14:textId="77777777">
      <w:pPr>
        <w:pStyle w:val="NoSpacing"/>
        <w:keepNext/>
        <w:keepLines/>
        <w:widowControl/>
      </w:pPr>
      <w:r w:rsidRPr="00853414">
        <w:t xml:space="preserve">Submit revised manifest form samples to </w:t>
      </w:r>
      <w:r w:rsidR="00CB2DBC">
        <w:t>EPA</w:t>
      </w:r>
      <w:r w:rsidRPr="00853414">
        <w:t>, if requested.</w:t>
      </w:r>
    </w:p>
    <w:p w:rsidRPr="00853414" w:rsidR="000F4D0A" w:rsidP="00FA3A49" w:rsidRDefault="000F4D0A" w14:paraId="79DFD072" w14:textId="77777777">
      <w:pPr>
        <w:tabs>
          <w:tab w:val="left" w:pos="-1200"/>
        </w:tabs>
      </w:pPr>
    </w:p>
    <w:p w:rsidRPr="00853414" w:rsidR="000F4D0A" w:rsidP="00FA3A49" w:rsidRDefault="000F4D0A" w14:paraId="1A4C8CD1" w14:textId="77777777">
      <w:pPr>
        <w:tabs>
          <w:tab w:val="left" w:pos="-1200"/>
        </w:tabs>
        <w:ind w:left="1440" w:hanging="720"/>
      </w:pPr>
      <w:r w:rsidRPr="00853414">
        <w:t>(i)</w:t>
      </w:r>
      <w:r w:rsidRPr="00853414">
        <w:tab/>
        <w:t>Responding to Suspension and Revocation Procedures</w:t>
      </w:r>
    </w:p>
    <w:p w:rsidRPr="00853414" w:rsidR="000F4D0A" w:rsidP="00FA3A49" w:rsidRDefault="000F4D0A" w14:paraId="05C2FAE2" w14:textId="77777777">
      <w:pPr>
        <w:tabs>
          <w:tab w:val="left" w:pos="-1200"/>
        </w:tabs>
      </w:pPr>
    </w:p>
    <w:p w:rsidRPr="00853414" w:rsidR="000F4D0A" w:rsidP="00FA3A49" w:rsidRDefault="000F4D0A" w14:paraId="241F521F" w14:textId="77777777">
      <w:pPr>
        <w:tabs>
          <w:tab w:val="left" w:pos="-1200"/>
        </w:tabs>
      </w:pPr>
      <w:r w:rsidRPr="00853414">
        <w:t xml:space="preserve">40 CFR 262.21(m) provides that </w:t>
      </w:r>
      <w:r w:rsidR="00CB2DBC">
        <w:t>EPA</w:t>
      </w:r>
      <w:r w:rsidRPr="00853414">
        <w:t xml:space="preserve"> may suspend and, if necessary, revoke printing privileges if it finds that the registrant: (i) has deviated from its application approved under 40 CFR 262.21(c) in printing the form; (ii) has knowingly used or distributed forms that deviate from its approved form samples in regard to paper weight, paper type, ink color of the instructions, or binding method; or (iii) exhibits a continuing pattern of behavior in using or distributing manifests that contain duplicate manifest tracking numbers</w:t>
      </w:r>
      <w:r w:rsidR="000E6596">
        <w:t xml:space="preserve">. </w:t>
      </w:r>
      <w:r w:rsidR="00CB2DBC">
        <w:t>EPA</w:t>
      </w:r>
      <w:r w:rsidRPr="00853414">
        <w:t xml:space="preserve"> will send a warning letter to the registrant that specifies the date by which it must come into compliance with the requirements</w:t>
      </w:r>
      <w:r w:rsidR="000E6596">
        <w:t xml:space="preserve">. </w:t>
      </w:r>
      <w:r w:rsidRPr="00853414">
        <w:t xml:space="preserve">If the registrant does not come in compliance by the specified date, </w:t>
      </w:r>
      <w:r w:rsidR="00CB2DBC">
        <w:t>EPA</w:t>
      </w:r>
      <w:r w:rsidRPr="00853414">
        <w:t xml:space="preserve"> will send a second letter notifying the registrant that </w:t>
      </w:r>
      <w:r w:rsidR="00CB2DBC">
        <w:t>EPA</w:t>
      </w:r>
      <w:r w:rsidRPr="00853414">
        <w:t xml:space="preserve"> has suspended or revoked its printing privileges</w:t>
      </w:r>
      <w:r w:rsidR="000E6596">
        <w:t xml:space="preserve">. </w:t>
      </w:r>
      <w:r w:rsidRPr="00853414">
        <w:t xml:space="preserve">An approved registrant must provide information on its printing activities to </w:t>
      </w:r>
      <w:r w:rsidR="00CB2DBC">
        <w:t>EPA</w:t>
      </w:r>
      <w:r w:rsidRPr="00853414">
        <w:t xml:space="preserve"> if requested</w:t>
      </w:r>
      <w:r w:rsidR="000E6596">
        <w:t xml:space="preserve">. </w:t>
      </w:r>
    </w:p>
    <w:p w:rsidRPr="00853414" w:rsidR="000F4D0A" w:rsidP="00FA3A49" w:rsidRDefault="000F4D0A" w14:paraId="609E3492" w14:textId="77777777">
      <w:pPr>
        <w:tabs>
          <w:tab w:val="left" w:pos="-1200"/>
        </w:tabs>
      </w:pPr>
    </w:p>
    <w:p w:rsidR="000F4D0A" w:rsidP="009F0295" w:rsidRDefault="00361F4A" w14:paraId="30539F8E" w14:textId="77777777">
      <w:pPr>
        <w:keepNext/>
        <w:keepLines/>
        <w:tabs>
          <w:tab w:val="left" w:pos="-1200"/>
        </w:tabs>
        <w:ind w:firstLine="720"/>
      </w:pPr>
      <w:r w:rsidRPr="00361F4A">
        <w:rPr>
          <w:u w:val="single"/>
        </w:rPr>
        <w:t>Data Item</w:t>
      </w:r>
    </w:p>
    <w:p w:rsidRPr="00853414" w:rsidR="00573E2C" w:rsidP="009F0295" w:rsidRDefault="00573E2C" w14:paraId="131CCE40" w14:textId="77777777">
      <w:pPr>
        <w:keepNext/>
        <w:keepLines/>
        <w:tabs>
          <w:tab w:val="left" w:pos="-1200"/>
        </w:tabs>
        <w:ind w:firstLine="720"/>
      </w:pPr>
    </w:p>
    <w:p w:rsidRPr="00853414" w:rsidR="000F4D0A" w:rsidP="009F0295" w:rsidRDefault="000F4D0A" w14:paraId="5321218D" w14:textId="77777777">
      <w:pPr>
        <w:pStyle w:val="NoSpacing"/>
        <w:keepNext/>
        <w:keepLines/>
        <w:widowControl/>
      </w:pPr>
      <w:r w:rsidRPr="00853414">
        <w:t xml:space="preserve">Information requested by </w:t>
      </w:r>
      <w:r w:rsidR="00CB2DBC">
        <w:t>EPA</w:t>
      </w:r>
      <w:r w:rsidRPr="00853414">
        <w:t>.</w:t>
      </w:r>
    </w:p>
    <w:p w:rsidRPr="00853414" w:rsidR="000F4D0A" w:rsidP="00FA3A49" w:rsidRDefault="000F4D0A" w14:paraId="3910EFD2" w14:textId="77777777">
      <w:pPr>
        <w:tabs>
          <w:tab w:val="left" w:pos="-1200"/>
        </w:tabs>
      </w:pPr>
    </w:p>
    <w:p w:rsidR="000F4D0A" w:rsidP="009F0295" w:rsidRDefault="00361F4A" w14:paraId="59CD1DB5" w14:textId="77777777">
      <w:pPr>
        <w:keepNext/>
        <w:tabs>
          <w:tab w:val="left" w:pos="-1200"/>
        </w:tabs>
        <w:ind w:left="720"/>
      </w:pPr>
      <w:r w:rsidRPr="00361F4A">
        <w:rPr>
          <w:u w:val="single"/>
        </w:rPr>
        <w:t>Respondent Activity</w:t>
      </w:r>
    </w:p>
    <w:p w:rsidRPr="00853414" w:rsidR="00573E2C" w:rsidP="009F0295" w:rsidRDefault="00573E2C" w14:paraId="2CF9A177" w14:textId="77777777">
      <w:pPr>
        <w:keepNext/>
        <w:tabs>
          <w:tab w:val="left" w:pos="-1200"/>
        </w:tabs>
        <w:ind w:left="720"/>
      </w:pPr>
    </w:p>
    <w:p w:rsidRPr="00853414" w:rsidR="000F4D0A" w:rsidP="009F0295" w:rsidRDefault="000F4D0A" w14:paraId="7FB41D9B" w14:textId="77777777">
      <w:pPr>
        <w:pStyle w:val="NoSpacing"/>
        <w:keepNext/>
        <w:widowControl/>
      </w:pPr>
      <w:r w:rsidRPr="00853414">
        <w:t xml:space="preserve">Submit information if requested by </w:t>
      </w:r>
      <w:r w:rsidR="00CB2DBC">
        <w:t>EPA</w:t>
      </w:r>
      <w:r w:rsidRPr="00853414">
        <w:t>.</w:t>
      </w:r>
    </w:p>
    <w:p w:rsidRPr="00853414" w:rsidR="000F4D0A" w:rsidP="00FA3A49" w:rsidRDefault="000F4D0A" w14:paraId="3BE0B92C" w14:textId="77777777">
      <w:pPr>
        <w:tabs>
          <w:tab w:val="left" w:pos="-1200"/>
        </w:tabs>
      </w:pPr>
    </w:p>
    <w:p w:rsidRPr="00853414" w:rsidR="000F4D0A" w:rsidP="00B20A22" w:rsidRDefault="00FF623D" w14:paraId="372C9C2F" w14:textId="77777777">
      <w:pPr>
        <w:tabs>
          <w:tab w:val="left" w:pos="-1200"/>
        </w:tabs>
        <w:ind w:left="720" w:hanging="720"/>
      </w:pPr>
      <w:r>
        <w:rPr>
          <w:b/>
          <w:bCs/>
        </w:rPr>
        <w:t>Hazardous Waste Generator</w:t>
      </w:r>
      <w:r w:rsidRPr="00853414" w:rsidR="000F4D0A">
        <w:rPr>
          <w:b/>
          <w:bCs/>
        </w:rPr>
        <w:t>s</w:t>
      </w:r>
    </w:p>
    <w:p w:rsidR="003B5F85" w:rsidP="00B20A22" w:rsidRDefault="003B5F85" w14:paraId="457090B0" w14:textId="77777777">
      <w:pPr>
        <w:tabs>
          <w:tab w:val="left" w:pos="-1200"/>
        </w:tabs>
        <w:ind w:left="1440" w:hanging="720"/>
      </w:pPr>
    </w:p>
    <w:p w:rsidRPr="00853414" w:rsidR="000F4D0A" w:rsidP="00B20A22" w:rsidRDefault="000F4D0A" w14:paraId="0A6B9312" w14:textId="77777777">
      <w:pPr>
        <w:tabs>
          <w:tab w:val="left" w:pos="-1200"/>
        </w:tabs>
        <w:ind w:left="1440" w:hanging="720"/>
      </w:pPr>
      <w:r w:rsidRPr="00853414">
        <w:t>(</w:t>
      </w:r>
      <w:r w:rsidR="003B5F85">
        <w:t>a</w:t>
      </w:r>
      <w:r w:rsidRPr="00853414">
        <w:t>)</w:t>
      </w:r>
      <w:r w:rsidRPr="00853414">
        <w:tab/>
        <w:t>Manifest Completion</w:t>
      </w:r>
    </w:p>
    <w:p w:rsidRPr="00853414" w:rsidR="000F4D0A" w:rsidP="00B20A22" w:rsidRDefault="000F4D0A" w14:paraId="5BF5D8ED" w14:textId="77777777">
      <w:pPr>
        <w:tabs>
          <w:tab w:val="left" w:pos="-1200"/>
        </w:tabs>
      </w:pPr>
    </w:p>
    <w:p w:rsidR="00F15091" w:rsidP="00B20A22" w:rsidRDefault="000F4D0A" w14:paraId="018FEF91" w14:textId="77777777">
      <w:pPr>
        <w:tabs>
          <w:tab w:val="left" w:pos="-1200"/>
        </w:tabs>
      </w:pPr>
      <w:r w:rsidRPr="00853414">
        <w:t>40 CFR 262.20</w:t>
      </w:r>
      <w:r w:rsidR="008C0AD3">
        <w:t>(a)(1)</w:t>
      </w:r>
      <w:r w:rsidRPr="00853414">
        <w:t xml:space="preserve"> requires </w:t>
      </w:r>
      <w:r w:rsidRPr="0061104F" w:rsidR="0061104F">
        <w:t>generator</w:t>
      </w:r>
      <w:r w:rsidR="0061104F">
        <w:t>s</w:t>
      </w:r>
      <w:r w:rsidRPr="0061104F" w:rsidR="0061104F">
        <w:t xml:space="preserve"> </w:t>
      </w:r>
      <w:r w:rsidR="0061104F">
        <w:t xml:space="preserve">who </w:t>
      </w:r>
      <w:r w:rsidRPr="0061104F" w:rsidR="0061104F">
        <w:t xml:space="preserve">transport, or offer for transport a hazardous waste for offsite treatment, storage, or disposal, or a treatment, storage, or disposal facility who offers for transport a rejected hazardous waste load, </w:t>
      </w:r>
      <w:r w:rsidR="0061104F">
        <w:t>to</w:t>
      </w:r>
      <w:r w:rsidRPr="0061104F" w:rsidR="0061104F">
        <w:t xml:space="preserve"> prepare a </w:t>
      </w:r>
      <w:r w:rsidR="00E431DA">
        <w:t>m</w:t>
      </w:r>
      <w:r w:rsidRPr="0061104F" w:rsidR="0061104F">
        <w:t>anifest (OMB Control number 2050-0039) on EPA Form 8700-22, and, if necessary, EPA Form 8700-22A</w:t>
      </w:r>
      <w:r w:rsidRPr="00853414">
        <w:t xml:space="preserve">. </w:t>
      </w:r>
      <w:r w:rsidR="008C0AD3">
        <w:t>Section 262.20(a)(3) provides that, in lieu of using the manifest form specified in section 262.20(a)(1), a person required to prepare a manifest under section 262.20(a)(1) may prepare and use an electronic manifest, provided that the person complies with the requirements in section 262.24 for use of electronic manifests, and</w:t>
      </w:r>
      <w:r w:rsidR="00291D8D">
        <w:t xml:space="preserve"> </w:t>
      </w:r>
      <w:r w:rsidR="008C0AD3">
        <w:t>the requirements of 40 CFR 3.10 for the reporting of electronic documents to EPA</w:t>
      </w:r>
      <w:r w:rsidR="000E6596">
        <w:t xml:space="preserve">. </w:t>
      </w:r>
    </w:p>
    <w:p w:rsidR="00F15091" w:rsidP="00B20A22" w:rsidRDefault="00F15091" w14:paraId="09E63DA2" w14:textId="77777777">
      <w:pPr>
        <w:tabs>
          <w:tab w:val="left" w:pos="-1200"/>
        </w:tabs>
      </w:pPr>
    </w:p>
    <w:p w:rsidR="00F15091" w:rsidP="00B20A22" w:rsidRDefault="00F15091" w14:paraId="60D72CEB" w14:textId="77777777">
      <w:pPr>
        <w:tabs>
          <w:tab w:val="left" w:pos="-1200"/>
        </w:tabs>
      </w:pPr>
      <w:r>
        <w:t>Section 262.20(b) provides that a generator must designate on the manifest one facility which is permitted to handle the waste described on the manifest. Section 262.20(c) provides that a generator may also designate on the manifest one alternate facility which is permitted to handle his waste in the event an emergency prevents delivery of the waste to the primary designated facility.</w:t>
      </w:r>
    </w:p>
    <w:p w:rsidR="00495504" w:rsidP="00B20A22" w:rsidRDefault="00495504" w14:paraId="39E31A23" w14:textId="77777777">
      <w:pPr>
        <w:tabs>
          <w:tab w:val="left" w:pos="-1200"/>
        </w:tabs>
      </w:pPr>
    </w:p>
    <w:p w:rsidR="00232C57" w:rsidP="00232C57" w:rsidRDefault="00495504" w14:paraId="586E7BF1" w14:textId="77777777">
      <w:pPr>
        <w:tabs>
          <w:tab w:val="left" w:pos="-1200"/>
        </w:tabs>
      </w:pPr>
      <w:r w:rsidRPr="00273CD6">
        <w:lastRenderedPageBreak/>
        <w:t xml:space="preserve">In addition, 40 CFR 262.83(c) and 262.84(c) establish </w:t>
      </w:r>
      <w:r w:rsidRPr="00273CD6" w:rsidR="00BD77EC">
        <w:t xml:space="preserve">special </w:t>
      </w:r>
      <w:r w:rsidRPr="00273CD6">
        <w:t>manifest</w:t>
      </w:r>
      <w:r w:rsidRPr="00273CD6" w:rsidR="00F7687A">
        <w:t>ing</w:t>
      </w:r>
      <w:r w:rsidRPr="00273CD6">
        <w:t xml:space="preserve"> </w:t>
      </w:r>
      <w:r w:rsidRPr="00273CD6" w:rsidR="004C1981">
        <w:t xml:space="preserve">completion </w:t>
      </w:r>
      <w:r w:rsidRPr="00273CD6">
        <w:t>requirements for hazardous waste exporters and importers, respectively</w:t>
      </w:r>
      <w:r w:rsidRPr="00273CD6" w:rsidR="00BD77EC">
        <w:t xml:space="preserve">, and state that they are also subject to </w:t>
      </w:r>
      <w:r w:rsidRPr="00273CD6" w:rsidR="00232C57">
        <w:t xml:space="preserve">the manifest requirements of </w:t>
      </w:r>
      <w:r w:rsidRPr="00273CD6" w:rsidR="00BD77EC">
        <w:t>Part 262 as applicable.</w:t>
      </w:r>
      <w:r w:rsidRPr="00273CD6" w:rsidR="00232C57">
        <w:t xml:space="preserve"> [Note: </w:t>
      </w:r>
      <w:proofErr w:type="gramStart"/>
      <w:r w:rsidRPr="00273CD6" w:rsidR="004C1981">
        <w:t>In regard to</w:t>
      </w:r>
      <w:proofErr w:type="gramEnd"/>
      <w:r w:rsidRPr="00273CD6" w:rsidR="004C1981">
        <w:t xml:space="preserve"> exporters and importers, t</w:t>
      </w:r>
      <w:r w:rsidRPr="00273CD6" w:rsidR="00232C57">
        <w:t xml:space="preserve">his ICR addresses the manifest requirements </w:t>
      </w:r>
      <w:r w:rsidRPr="00273CD6" w:rsidR="00F7687A">
        <w:t>applicable to</w:t>
      </w:r>
      <w:r w:rsidRPr="00273CD6" w:rsidR="004C1981">
        <w:t xml:space="preserve"> their manifests</w:t>
      </w:r>
      <w:r w:rsidRPr="00273CD6" w:rsidR="00232C57">
        <w:t xml:space="preserve"> </w:t>
      </w:r>
      <w:r w:rsidRPr="00273CD6" w:rsidR="00230890">
        <w:t>under</w:t>
      </w:r>
      <w:r w:rsidRPr="00273CD6" w:rsidR="00B2607D">
        <w:t xml:space="preserve"> </w:t>
      </w:r>
      <w:r w:rsidRPr="00273CD6" w:rsidR="00E07E19">
        <w:t xml:space="preserve">Part 262, </w:t>
      </w:r>
      <w:r w:rsidRPr="00273CD6" w:rsidR="00C1467F">
        <w:t>Subpart B as well as the requirements of</w:t>
      </w:r>
      <w:r w:rsidRPr="00273CD6" w:rsidR="00F7687A">
        <w:t xml:space="preserve"> sections </w:t>
      </w:r>
      <w:r w:rsidRPr="00273CD6" w:rsidR="00B2607D">
        <w:t xml:space="preserve">262.83(c) and 262.84(c) which are found </w:t>
      </w:r>
      <w:r w:rsidRPr="00273CD6" w:rsidR="00230890">
        <w:t>in</w:t>
      </w:r>
      <w:r w:rsidRPr="00273CD6" w:rsidR="00232C57">
        <w:t xml:space="preserve"> </w:t>
      </w:r>
      <w:r w:rsidRPr="00273CD6" w:rsidR="00E07E19">
        <w:t xml:space="preserve">Part 262, </w:t>
      </w:r>
      <w:r w:rsidRPr="00273CD6" w:rsidR="00232C57">
        <w:t xml:space="preserve">Subpart H. The ICR, “Hazardous Waste Generator Standards” (EPA ICR Number 820, OMB Control 2050-0035), addresses </w:t>
      </w:r>
      <w:r w:rsidRPr="00273CD6" w:rsidR="00B2607D">
        <w:t xml:space="preserve">the </w:t>
      </w:r>
      <w:r w:rsidRPr="00273CD6" w:rsidR="00232C57">
        <w:t>other Subpart H requirements</w:t>
      </w:r>
      <w:r w:rsidRPr="00273CD6" w:rsidR="002B60B9">
        <w:t xml:space="preserve"> applicable to exporters and importers</w:t>
      </w:r>
      <w:r w:rsidRPr="00273CD6" w:rsidR="00232C57">
        <w:t xml:space="preserve">. Throughout this </w:t>
      </w:r>
      <w:r w:rsidRPr="00273CD6" w:rsidR="00AF672F">
        <w:t>Manifest ICR</w:t>
      </w:r>
      <w:r w:rsidRPr="00273CD6" w:rsidR="00232C57">
        <w:t>, EPA uses the term “generator” to apply to any</w:t>
      </w:r>
      <w:r w:rsidRPr="00273CD6" w:rsidR="00311195">
        <w:t xml:space="preserve"> person</w:t>
      </w:r>
      <w:r w:rsidRPr="00273CD6" w:rsidR="00232C57">
        <w:t xml:space="preserve"> who is required to prepare a manifest for </w:t>
      </w:r>
      <w:r w:rsidRPr="00273CD6" w:rsidR="00E659F4">
        <w:t xml:space="preserve">a </w:t>
      </w:r>
      <w:r w:rsidRPr="00273CD6" w:rsidR="00232C57">
        <w:t>domestic</w:t>
      </w:r>
      <w:r w:rsidRPr="00273CD6" w:rsidR="004C1981">
        <w:t>, export or import</w:t>
      </w:r>
      <w:r w:rsidRPr="00273CD6" w:rsidR="00232C57">
        <w:t xml:space="preserve"> shipment.]</w:t>
      </w:r>
    </w:p>
    <w:p w:rsidR="00F15091" w:rsidP="00FA3A49" w:rsidRDefault="00F15091" w14:paraId="2195B47A" w14:textId="77777777">
      <w:pPr>
        <w:keepNext/>
        <w:tabs>
          <w:tab w:val="left" w:pos="-1200"/>
        </w:tabs>
      </w:pPr>
    </w:p>
    <w:p w:rsidR="003E724D" w:rsidP="00FA3A49" w:rsidRDefault="00311195" w14:paraId="073983B1" w14:textId="77777777">
      <w:pPr>
        <w:keepNext/>
        <w:tabs>
          <w:tab w:val="left" w:pos="-1200"/>
        </w:tabs>
      </w:pPr>
      <w:r w:rsidRPr="001818A5">
        <w:t>G</w:t>
      </w:r>
      <w:r w:rsidRPr="001818A5" w:rsidR="008C0AD3">
        <w:t xml:space="preserve">enerators </w:t>
      </w:r>
      <w:r w:rsidRPr="001818A5" w:rsidR="007C3BC6">
        <w:t>completing</w:t>
      </w:r>
      <w:r w:rsidRPr="001818A5" w:rsidR="008C0AD3">
        <w:t xml:space="preserve"> paper and electronic manifests must comply with </w:t>
      </w:r>
      <w:r w:rsidRPr="001818A5" w:rsidR="002927A6">
        <w:t xml:space="preserve">all </w:t>
      </w:r>
      <w:r w:rsidRPr="001818A5" w:rsidR="00F71E31">
        <w:t xml:space="preserve">other </w:t>
      </w:r>
      <w:r w:rsidRPr="001818A5" w:rsidR="000B773F">
        <w:t xml:space="preserve">manifest </w:t>
      </w:r>
      <w:r w:rsidRPr="001818A5" w:rsidR="008A7F67">
        <w:t xml:space="preserve">requirements </w:t>
      </w:r>
      <w:r w:rsidRPr="001818A5" w:rsidR="008C0AD3">
        <w:t xml:space="preserve">of </w:t>
      </w:r>
      <w:r w:rsidRPr="001818A5" w:rsidR="005E7A28">
        <w:t>Part 262</w:t>
      </w:r>
      <w:r w:rsidRPr="001818A5" w:rsidR="000B773F">
        <w:t xml:space="preserve"> as applicable,</w:t>
      </w:r>
      <w:r w:rsidRPr="001818A5" w:rsidR="009057C8">
        <w:t xml:space="preserve"> </w:t>
      </w:r>
      <w:r w:rsidRPr="001818A5" w:rsidR="009D4227">
        <w:t xml:space="preserve">including sections </w:t>
      </w:r>
      <w:r w:rsidRPr="001818A5" w:rsidR="00BF0187">
        <w:t xml:space="preserve">262.22, </w:t>
      </w:r>
      <w:r w:rsidRPr="001818A5" w:rsidR="009D4227">
        <w:t xml:space="preserve">262.23, </w:t>
      </w:r>
      <w:r w:rsidRPr="001818A5" w:rsidR="00905D84">
        <w:t xml:space="preserve">262.24, </w:t>
      </w:r>
      <w:r w:rsidRPr="001818A5" w:rsidR="006A13E7">
        <w:t xml:space="preserve">262.25, </w:t>
      </w:r>
      <w:r w:rsidRPr="001818A5" w:rsidR="006C30D4">
        <w:t xml:space="preserve">and </w:t>
      </w:r>
      <w:r w:rsidRPr="001818A5" w:rsidR="006A13E7">
        <w:t>262.27</w:t>
      </w:r>
      <w:r w:rsidRPr="001818A5" w:rsidR="009D4227">
        <w:t xml:space="preserve"> as well as the instructions </w:t>
      </w:r>
      <w:r w:rsidRPr="001818A5" w:rsidR="00774F3C">
        <w:t xml:space="preserve">associated with </w:t>
      </w:r>
      <w:r w:rsidRPr="001818A5" w:rsidR="009D4227">
        <w:t>the</w:t>
      </w:r>
      <w:r w:rsidRPr="001818A5" w:rsidR="00214A92">
        <w:t xml:space="preserve"> manifest and continuation sheet</w:t>
      </w:r>
      <w:r w:rsidRPr="001818A5" w:rsidR="009D4227">
        <w:t>.</w:t>
      </w:r>
      <w:r w:rsidR="00DD1C98">
        <w:t xml:space="preserve"> </w:t>
      </w:r>
    </w:p>
    <w:p w:rsidR="000F4D0A" w:rsidP="00FA3A49" w:rsidRDefault="000F4D0A" w14:paraId="447DC8D6" w14:textId="77777777">
      <w:pPr>
        <w:tabs>
          <w:tab w:val="left" w:pos="-1200"/>
        </w:tabs>
      </w:pPr>
    </w:p>
    <w:p w:rsidR="00BB607D" w:rsidP="00FA3A49" w:rsidRDefault="00BB607D" w14:paraId="288E81AD" w14:textId="77777777">
      <w:pPr>
        <w:tabs>
          <w:tab w:val="left" w:pos="-1200"/>
        </w:tabs>
      </w:pPr>
      <w:r>
        <w:t>40 CFR 262.24 establishes the legal equivalence of the e-Manifest to the paper manifest</w:t>
      </w:r>
      <w:r w:rsidR="000E6596">
        <w:t xml:space="preserve">. </w:t>
      </w:r>
      <w:r>
        <w:t>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w:t>
      </w:r>
      <w:r w:rsidR="000E6596">
        <w:t xml:space="preserve">. </w:t>
      </w:r>
      <w:r w:rsidR="00D03A0A">
        <w:t xml:space="preserve">It also addresses other issues </w:t>
      </w:r>
      <w:r w:rsidR="00F04A35">
        <w:t xml:space="preserve">related to e-Manifests </w:t>
      </w:r>
      <w:r w:rsidR="00D03A0A">
        <w:t>(e.g., requirements for a printed copy of the manifest)</w:t>
      </w:r>
      <w:r w:rsidR="000E6596">
        <w:t xml:space="preserve">. </w:t>
      </w:r>
      <w:r w:rsidR="00184D34">
        <w:t xml:space="preserve">[Note: </w:t>
      </w:r>
      <w:r>
        <w:t>Refer to “Use of the Electronic Manifest” in this section for additional information.</w:t>
      </w:r>
      <w:r w:rsidR="00184D34">
        <w:t>]</w:t>
      </w:r>
      <w:r>
        <w:t xml:space="preserve">  </w:t>
      </w:r>
    </w:p>
    <w:p w:rsidRPr="00853414" w:rsidR="00BB607D" w:rsidP="00FA3A49" w:rsidRDefault="00BB607D" w14:paraId="7E118BB5" w14:textId="77777777">
      <w:pPr>
        <w:tabs>
          <w:tab w:val="left" w:pos="-1200"/>
        </w:tabs>
      </w:pPr>
    </w:p>
    <w:p w:rsidR="000F4D0A" w:rsidP="00FA3A49" w:rsidRDefault="00886BEF" w14:paraId="022991FF" w14:textId="77777777">
      <w:pPr>
        <w:tabs>
          <w:tab w:val="left" w:pos="-1200"/>
        </w:tabs>
        <w:ind w:firstLine="720"/>
      </w:pPr>
      <w:r w:rsidRPr="00886BEF">
        <w:rPr>
          <w:u w:val="single"/>
        </w:rPr>
        <w:t>Data Items</w:t>
      </w:r>
    </w:p>
    <w:p w:rsidRPr="00853414" w:rsidR="00943BE3" w:rsidP="00FA3A49" w:rsidRDefault="00943BE3" w14:paraId="0FD2A534" w14:textId="77777777">
      <w:pPr>
        <w:tabs>
          <w:tab w:val="left" w:pos="-1200"/>
        </w:tabs>
        <w:ind w:firstLine="720"/>
      </w:pPr>
    </w:p>
    <w:p w:rsidR="00425D37" w:rsidRDefault="00BB607D" w14:paraId="1F186CE6" w14:textId="77777777">
      <w:pPr>
        <w:pStyle w:val="NoSpacing"/>
        <w:widowControl/>
      </w:pPr>
      <w:r>
        <w:t>Paper or electronic manifest</w:t>
      </w:r>
      <w:r w:rsidR="002163E7">
        <w:t xml:space="preserve"> and, if needed, continuation sheet</w:t>
      </w:r>
      <w:r w:rsidR="00455AB4">
        <w:t>.</w:t>
      </w:r>
    </w:p>
    <w:p w:rsidR="002163E7" w:rsidP="00FA3A49" w:rsidRDefault="002163E7" w14:paraId="07167618" w14:textId="77777777">
      <w:pPr>
        <w:keepNext/>
        <w:keepLines/>
        <w:tabs>
          <w:tab w:val="left" w:pos="-1200"/>
        </w:tabs>
        <w:ind w:left="720"/>
        <w:rPr>
          <w:u w:val="single"/>
        </w:rPr>
      </w:pPr>
    </w:p>
    <w:p w:rsidR="000F4D0A" w:rsidP="00FA3A49" w:rsidRDefault="00886BEF" w14:paraId="03BD3596" w14:textId="77777777">
      <w:pPr>
        <w:keepNext/>
        <w:keepLines/>
        <w:tabs>
          <w:tab w:val="left" w:pos="-1200"/>
        </w:tabs>
        <w:ind w:left="720"/>
      </w:pPr>
      <w:r w:rsidRPr="00886BEF">
        <w:rPr>
          <w:u w:val="single"/>
        </w:rPr>
        <w:t>Respondent Activities</w:t>
      </w:r>
    </w:p>
    <w:p w:rsidR="00943BE3" w:rsidP="00FA3A49" w:rsidRDefault="00943BE3" w14:paraId="0CBD7E2F" w14:textId="77777777">
      <w:pPr>
        <w:keepNext/>
        <w:keepLines/>
        <w:tabs>
          <w:tab w:val="left" w:pos="-1200"/>
        </w:tabs>
        <w:ind w:left="720"/>
      </w:pPr>
    </w:p>
    <w:p w:rsidRPr="00D03A0A" w:rsidR="00D03A0A" w:rsidP="00FA3A49" w:rsidRDefault="00D03A0A" w14:paraId="5C9E7783" w14:textId="77777777">
      <w:pPr>
        <w:keepNext/>
        <w:keepLines/>
        <w:tabs>
          <w:tab w:val="left" w:pos="-1200"/>
        </w:tabs>
        <w:ind w:left="720"/>
        <w:rPr>
          <w:b/>
        </w:rPr>
      </w:pPr>
      <w:r w:rsidRPr="00D03A0A">
        <w:rPr>
          <w:b/>
        </w:rPr>
        <w:t>Paper Manifest</w:t>
      </w:r>
    </w:p>
    <w:p w:rsidR="00D03A0A" w:rsidP="00FA3A49" w:rsidRDefault="00D03A0A" w14:paraId="465BBD66" w14:textId="77777777">
      <w:pPr>
        <w:keepNext/>
        <w:keepLines/>
        <w:tabs>
          <w:tab w:val="left" w:pos="-1200"/>
        </w:tabs>
        <w:ind w:left="720"/>
      </w:pPr>
    </w:p>
    <w:p w:rsidRPr="002F2B1D" w:rsidR="007D30E5" w:rsidP="00FA3A49" w:rsidRDefault="00A01CD1" w14:paraId="487DBF9B" w14:textId="77777777">
      <w:pPr>
        <w:pStyle w:val="NoSpacing"/>
        <w:keepNext/>
        <w:keepLines/>
        <w:widowControl/>
      </w:pPr>
      <w:r w:rsidRPr="002F2B1D">
        <w:t>Generators</w:t>
      </w:r>
      <w:r w:rsidRPr="002F2B1D" w:rsidR="009D4227">
        <w:t xml:space="preserve"> must</w:t>
      </w:r>
      <w:r w:rsidRPr="002F2B1D">
        <w:t xml:space="preserve"> </w:t>
      </w:r>
      <w:r w:rsidRPr="002F2B1D" w:rsidR="007D30E5">
        <w:t>perform the following:</w:t>
      </w:r>
      <w:r w:rsidRPr="002F2B1D" w:rsidR="00424742">
        <w:rPr>
          <w:rStyle w:val="FootnoteReference"/>
          <w:b/>
          <w:bCs/>
          <w:vertAlign w:val="superscript"/>
        </w:rPr>
        <w:t xml:space="preserve"> </w:t>
      </w:r>
    </w:p>
    <w:p w:rsidRPr="002F2B1D" w:rsidR="000F4D0A" w:rsidP="00FA3A49" w:rsidRDefault="007D30E5" w14:paraId="1B2C7713" w14:textId="77777777">
      <w:pPr>
        <w:pStyle w:val="Subtitle"/>
      </w:pPr>
      <w:r w:rsidRPr="002F2B1D">
        <w:t>C</w:t>
      </w:r>
      <w:r w:rsidRPr="002F2B1D" w:rsidR="000F4D0A">
        <w:t>omplete the manifest for domestic, ex</w:t>
      </w:r>
      <w:r w:rsidRPr="002F2B1D" w:rsidR="00746E13">
        <w:t xml:space="preserve">port, and </w:t>
      </w:r>
      <w:r w:rsidRPr="00670BB7" w:rsidR="00670BB7">
        <w:rPr>
          <w:u w:val="single"/>
        </w:rPr>
        <w:t>i</w:t>
      </w:r>
      <w:r w:rsidRPr="002F2B1D" w:rsidR="00746E13">
        <w:t>mport shipments; and</w:t>
      </w:r>
    </w:p>
    <w:p w:rsidRPr="002F2B1D" w:rsidR="000F4D0A" w:rsidP="00FA3A49" w:rsidRDefault="007D30E5" w14:paraId="13E0DE9C" w14:textId="77777777">
      <w:pPr>
        <w:pStyle w:val="Subtitle"/>
      </w:pPr>
      <w:r w:rsidRPr="002F2B1D">
        <w:t>C</w:t>
      </w:r>
      <w:r w:rsidRPr="002F2B1D" w:rsidR="000F4D0A">
        <w:t>omplete continuation sheet, if required.</w:t>
      </w:r>
    </w:p>
    <w:p w:rsidRPr="002F2B1D" w:rsidR="00BE70A6" w:rsidP="00FA3A49" w:rsidRDefault="00BE70A6" w14:paraId="34C8BDD2" w14:textId="77777777">
      <w:pPr>
        <w:tabs>
          <w:tab w:val="left" w:pos="-1200"/>
        </w:tabs>
        <w:ind w:left="1440" w:hanging="720"/>
      </w:pPr>
    </w:p>
    <w:p w:rsidRPr="002F2B1D" w:rsidR="00D03A0A" w:rsidP="00FA3A49" w:rsidRDefault="00D03A0A" w14:paraId="1426EF24" w14:textId="77777777">
      <w:pPr>
        <w:keepNext/>
        <w:tabs>
          <w:tab w:val="left" w:pos="-1200"/>
        </w:tabs>
        <w:rPr>
          <w:b/>
        </w:rPr>
      </w:pPr>
      <w:r w:rsidRPr="002F2B1D">
        <w:rPr>
          <w:b/>
        </w:rPr>
        <w:tab/>
        <w:t>Electronic Manifest</w:t>
      </w:r>
    </w:p>
    <w:p w:rsidRPr="002F2B1D" w:rsidR="00D03A0A" w:rsidP="00FA3A49" w:rsidRDefault="00D03A0A" w14:paraId="34B1075A" w14:textId="77777777">
      <w:pPr>
        <w:keepNext/>
        <w:tabs>
          <w:tab w:val="left" w:pos="-1200"/>
        </w:tabs>
      </w:pPr>
    </w:p>
    <w:p w:rsidR="00D03A0A" w:rsidP="00E40AA3" w:rsidRDefault="00D03A0A" w14:paraId="0673E848" w14:textId="77777777">
      <w:pPr>
        <w:pStyle w:val="ListParagraph"/>
        <w:keepNext/>
        <w:widowControl/>
        <w:numPr>
          <w:ilvl w:val="0"/>
          <w:numId w:val="6"/>
        </w:numPr>
      </w:pPr>
      <w:r w:rsidRPr="002F2B1D">
        <w:t>Generators</w:t>
      </w:r>
      <w:r w:rsidRPr="002F2B1D" w:rsidR="009D4227">
        <w:t xml:space="preserve"> must</w:t>
      </w:r>
      <w:r w:rsidRPr="002F2B1D">
        <w:t xml:space="preserve"> perform the above activities</w:t>
      </w:r>
      <w:r>
        <w:t xml:space="preserve"> for completing the electronic manifest.</w:t>
      </w:r>
    </w:p>
    <w:p w:rsidR="00D03A0A" w:rsidP="00FA3A49" w:rsidRDefault="00D03A0A" w14:paraId="27A2CACE" w14:textId="77777777">
      <w:pPr>
        <w:tabs>
          <w:tab w:val="left" w:pos="-1200"/>
        </w:tabs>
        <w:ind w:left="1440" w:hanging="720"/>
      </w:pPr>
    </w:p>
    <w:p w:rsidRPr="00853414" w:rsidR="000F4D0A" w:rsidP="009F0295" w:rsidRDefault="00156849" w14:paraId="2B4B009A" w14:textId="77777777">
      <w:pPr>
        <w:keepNext/>
        <w:tabs>
          <w:tab w:val="left" w:pos="-1200"/>
        </w:tabs>
        <w:ind w:left="1440" w:hanging="720"/>
      </w:pPr>
      <w:r>
        <w:t>(</w:t>
      </w:r>
      <w:r w:rsidR="003B5F85">
        <w:t>b</w:t>
      </w:r>
      <w:r w:rsidRPr="00853414" w:rsidR="000F4D0A">
        <w:t>)</w:t>
      </w:r>
      <w:r w:rsidRPr="00853414" w:rsidR="000F4D0A">
        <w:tab/>
        <w:t>Compliance with State Program Requirements</w:t>
      </w:r>
    </w:p>
    <w:p w:rsidRPr="00853414" w:rsidR="000F4D0A" w:rsidP="009F0295" w:rsidRDefault="000F4D0A" w14:paraId="7762DD86" w14:textId="77777777">
      <w:pPr>
        <w:keepNext/>
        <w:tabs>
          <w:tab w:val="left" w:pos="-1200"/>
        </w:tabs>
      </w:pPr>
    </w:p>
    <w:p w:rsidRPr="00853414" w:rsidR="000F4D0A" w:rsidP="009F0295" w:rsidRDefault="000F4D0A" w14:paraId="26D945C2" w14:textId="77777777">
      <w:pPr>
        <w:keepNext/>
        <w:tabs>
          <w:tab w:val="left" w:pos="-1200"/>
        </w:tabs>
      </w:pPr>
      <w:r w:rsidRPr="00853414">
        <w:t xml:space="preserve">Under 40 CFR 262.21(g)(2), generators must determine whether the consignment </w:t>
      </w:r>
      <w:r w:rsidR="00521F32">
        <w:t>state</w:t>
      </w:r>
      <w:r w:rsidRPr="00853414">
        <w:t xml:space="preserve"> regulates any additional wastes (beyond those regulated </w:t>
      </w:r>
      <w:r w:rsidR="00521F32">
        <w:t>federal</w:t>
      </w:r>
      <w:r w:rsidRPr="00853414">
        <w:t xml:space="preserve">ly) as hazardous wastes under its </w:t>
      </w:r>
      <w:r w:rsidR="00521F32">
        <w:t>state</w:t>
      </w:r>
      <w:r w:rsidRPr="00853414">
        <w:t xml:space="preserve"> </w:t>
      </w:r>
      <w:r w:rsidRPr="00853414">
        <w:lastRenderedPageBreak/>
        <w:t>hazardous waste program</w:t>
      </w:r>
      <w:r w:rsidR="000E6596">
        <w:t xml:space="preserve">. </w:t>
      </w:r>
      <w:r w:rsidRPr="00853414">
        <w:t xml:space="preserve">Generators must also determine whether the consignment </w:t>
      </w:r>
      <w:r w:rsidR="00521F32">
        <w:t>state</w:t>
      </w:r>
      <w:r w:rsidRPr="00853414">
        <w:t xml:space="preserve"> or generator </w:t>
      </w:r>
      <w:r w:rsidR="00521F32">
        <w:t>state</w:t>
      </w:r>
      <w:r w:rsidRPr="00853414">
        <w:t xml:space="preserve"> requires the generator to submit any copies of the manifest to these </w:t>
      </w:r>
      <w:r w:rsidR="00521F32">
        <w:t>state</w:t>
      </w:r>
      <w:r w:rsidRPr="00853414">
        <w:t>s.</w:t>
      </w:r>
    </w:p>
    <w:p w:rsidRPr="00853414" w:rsidR="000F4D0A" w:rsidP="00FA3A49" w:rsidRDefault="000F4D0A" w14:paraId="7855E27D" w14:textId="77777777">
      <w:pPr>
        <w:tabs>
          <w:tab w:val="left" w:pos="-1200"/>
        </w:tabs>
      </w:pPr>
    </w:p>
    <w:p w:rsidR="000F4D0A" w:rsidP="00FA3A49" w:rsidRDefault="00361F4A" w14:paraId="11DECC66" w14:textId="77777777">
      <w:pPr>
        <w:tabs>
          <w:tab w:val="left" w:pos="-1200"/>
        </w:tabs>
        <w:ind w:firstLine="720"/>
      </w:pPr>
      <w:r w:rsidRPr="00361F4A">
        <w:rPr>
          <w:u w:val="single"/>
        </w:rPr>
        <w:t>Data Item</w:t>
      </w:r>
    </w:p>
    <w:p w:rsidRPr="00853414" w:rsidR="00BE70A6" w:rsidP="00FA3A49" w:rsidRDefault="00BE70A6" w14:paraId="2B54299E" w14:textId="77777777">
      <w:pPr>
        <w:tabs>
          <w:tab w:val="left" w:pos="-1200"/>
        </w:tabs>
        <w:ind w:firstLine="720"/>
      </w:pPr>
    </w:p>
    <w:p w:rsidRPr="00853414" w:rsidR="000F4D0A" w:rsidP="00FA3A49" w:rsidRDefault="000F4D0A" w14:paraId="56CD4D97" w14:textId="77777777">
      <w:pPr>
        <w:pStyle w:val="NoSpacing"/>
        <w:widowControl/>
      </w:pPr>
      <w:r w:rsidRPr="00853414">
        <w:t xml:space="preserve">Information provided by the </w:t>
      </w:r>
      <w:r w:rsidR="00521F32">
        <w:t>state</w:t>
      </w:r>
      <w:r w:rsidRPr="00853414">
        <w:t xml:space="preserve"> on its manifest program.</w:t>
      </w:r>
    </w:p>
    <w:p w:rsidR="00AE0022" w:rsidP="00FA3A49" w:rsidRDefault="00AE0022" w14:paraId="1D2686BB" w14:textId="77777777">
      <w:pPr>
        <w:keepNext/>
        <w:tabs>
          <w:tab w:val="left" w:pos="-1200"/>
        </w:tabs>
        <w:ind w:left="720"/>
        <w:rPr>
          <w:u w:val="single"/>
        </w:rPr>
      </w:pPr>
    </w:p>
    <w:p w:rsidR="000F4D0A" w:rsidP="00AE0022" w:rsidRDefault="00886BEF" w14:paraId="6A0B647C" w14:textId="77777777">
      <w:pPr>
        <w:tabs>
          <w:tab w:val="left" w:pos="-1200"/>
        </w:tabs>
        <w:ind w:left="720"/>
      </w:pPr>
      <w:r w:rsidRPr="00886BEF">
        <w:rPr>
          <w:u w:val="single"/>
        </w:rPr>
        <w:t>Respondent Activities</w:t>
      </w:r>
    </w:p>
    <w:p w:rsidRPr="00853414" w:rsidR="00BE70A6" w:rsidP="00AE0022" w:rsidRDefault="00BE70A6" w14:paraId="521ADDDC" w14:textId="77777777">
      <w:pPr>
        <w:tabs>
          <w:tab w:val="left" w:pos="-1200"/>
        </w:tabs>
        <w:ind w:left="720"/>
      </w:pPr>
    </w:p>
    <w:p w:rsidR="000F4D0A" w:rsidP="00AE0022" w:rsidRDefault="007744F1" w14:paraId="6BBE2194" w14:textId="77777777">
      <w:pPr>
        <w:pStyle w:val="NoSpacing"/>
        <w:widowControl/>
      </w:pPr>
      <w:r w:rsidRPr="007F688A">
        <w:t>Generators must c</w:t>
      </w:r>
      <w:r w:rsidRPr="007F688A" w:rsidR="000F4D0A">
        <w:t xml:space="preserve">ontact the consignment/generator </w:t>
      </w:r>
      <w:r w:rsidRPr="007F688A" w:rsidR="00521F32">
        <w:t>state</w:t>
      </w:r>
      <w:r w:rsidRPr="007F688A" w:rsidR="000F4D0A">
        <w:t xml:space="preserve"> if needed and submit any copies of the manifest to these </w:t>
      </w:r>
      <w:r w:rsidRPr="007F688A" w:rsidR="00521F32">
        <w:t>state</w:t>
      </w:r>
      <w:r w:rsidRPr="007F688A" w:rsidR="000F4D0A">
        <w:t>s, as applicable.</w:t>
      </w:r>
    </w:p>
    <w:p w:rsidRPr="007F688A" w:rsidR="00CB6C55" w:rsidP="00AE0022" w:rsidRDefault="00CB6C55" w14:paraId="781B10BD" w14:textId="77777777">
      <w:pPr>
        <w:pStyle w:val="NoSpacing"/>
        <w:widowControl/>
        <w:numPr>
          <w:ilvl w:val="0"/>
          <w:numId w:val="0"/>
        </w:numPr>
        <w:ind w:left="1080"/>
      </w:pPr>
    </w:p>
    <w:p w:rsidRPr="007F688A" w:rsidR="000F4D0A" w:rsidP="00AE0022" w:rsidRDefault="003B5F85" w14:paraId="415E2B1B" w14:textId="77777777">
      <w:pPr>
        <w:tabs>
          <w:tab w:val="left" w:pos="-1200"/>
        </w:tabs>
        <w:ind w:left="1440" w:hanging="720"/>
      </w:pPr>
      <w:r w:rsidRPr="007F688A">
        <w:t>(c</w:t>
      </w:r>
      <w:r w:rsidRPr="007F688A" w:rsidR="000F4D0A">
        <w:t>)</w:t>
      </w:r>
      <w:r w:rsidRPr="007F688A" w:rsidR="000F4D0A">
        <w:tab/>
        <w:t>Manifest Transmittal and Recordkeeping</w:t>
      </w:r>
    </w:p>
    <w:p w:rsidRPr="007F688A" w:rsidR="000F4D0A" w:rsidP="00AE0022" w:rsidRDefault="000F4D0A" w14:paraId="54A87BCE" w14:textId="77777777">
      <w:pPr>
        <w:tabs>
          <w:tab w:val="left" w:pos="-1200"/>
        </w:tabs>
      </w:pPr>
    </w:p>
    <w:p w:rsidR="007B0501" w:rsidP="00AE0022" w:rsidRDefault="000F4D0A" w14:paraId="5EA2753C" w14:textId="77777777">
      <w:pPr>
        <w:tabs>
          <w:tab w:val="left" w:pos="-1200"/>
        </w:tabs>
      </w:pPr>
      <w:r w:rsidRPr="007F688A">
        <w:t>Generators must transmit and keep records of the manifest in accordance with 40 CFR 262.23, 262.40, 262.44,</w:t>
      </w:r>
      <w:r w:rsidRPr="007F688A" w:rsidR="00701336">
        <w:t xml:space="preserve"> </w:t>
      </w:r>
      <w:r w:rsidRPr="007F688A" w:rsidR="00D04FCA">
        <w:t>262.83</w:t>
      </w:r>
      <w:r w:rsidRPr="007F688A" w:rsidR="000B213E">
        <w:t>(c)</w:t>
      </w:r>
      <w:r w:rsidRPr="007F688A" w:rsidR="00D04FCA">
        <w:t xml:space="preserve"> and 262.84</w:t>
      </w:r>
      <w:r w:rsidRPr="007F688A" w:rsidR="000B213E">
        <w:t>(c)</w:t>
      </w:r>
      <w:r w:rsidRPr="007F688A">
        <w:t xml:space="preserve"> as appropriate.</w:t>
      </w:r>
      <w:r w:rsidRPr="007F688A" w:rsidR="00B5681C">
        <w:t xml:space="preserve"> </w:t>
      </w:r>
      <w:r w:rsidRPr="007F688A" w:rsidR="007F06D2">
        <w:t>A generator must sign</w:t>
      </w:r>
      <w:r w:rsidRPr="007F688A" w:rsidR="00505504">
        <w:t xml:space="preserve">, </w:t>
      </w:r>
      <w:proofErr w:type="gramStart"/>
      <w:r w:rsidRPr="007F688A" w:rsidR="00505504">
        <w:t>date</w:t>
      </w:r>
      <w:proofErr w:type="gramEnd"/>
      <w:r w:rsidRPr="007F688A" w:rsidR="007F06D2">
        <w:t xml:space="preserve"> and give copies of the manifest to the transporter along with the hazardous and retain copies of the manifest</w:t>
      </w:r>
      <w:r w:rsidRPr="007F688A" w:rsidR="000E6596">
        <w:t xml:space="preserve">. </w:t>
      </w:r>
      <w:r w:rsidRPr="007F688A" w:rsidR="007F06D2">
        <w:t>For shipments of hazardous waste within the US solely by water (bulk shipments only), the generator, as required by 40 CFR 262.23(c),</w:t>
      </w:r>
      <w:r w:rsidR="007F06D2">
        <w:t xml:space="preserve"> must send </w:t>
      </w:r>
      <w:r w:rsidR="00C24DDC">
        <w:t>3</w:t>
      </w:r>
      <w:r w:rsidR="007F06D2">
        <w:t xml:space="preserve"> copies of the manifest to the owner/operator of the designated facility or the last water transporter to handle the waste in the US if exported by water</w:t>
      </w:r>
      <w:r w:rsidR="000E6596">
        <w:t xml:space="preserve">. </w:t>
      </w:r>
      <w:r w:rsidR="007F06D2">
        <w:t xml:space="preserve">For rail shipments of hazardous waste within the US which originate at the site of generation, the generator, as required under 40 CFR 262.23(d), must send at least </w:t>
      </w:r>
      <w:r w:rsidR="00C24DDC">
        <w:t>3</w:t>
      </w:r>
      <w:r w:rsidR="007F06D2">
        <w:t xml:space="preserve"> copies of the manifest to the next non-rail transporter, the designated facility, or the last rail transporter to handle the waste in the US if exported by rail. </w:t>
      </w:r>
      <w:r w:rsidR="00DD7616">
        <w:t xml:space="preserve">For shipments of hazardous waste to a designated facility in an authorized State which has not yet obtained authorization to regulate that </w:t>
      </w:r>
      <w:proofErr w:type="gramStart"/>
      <w:r w:rsidR="00DD7616">
        <w:t>particular waste</w:t>
      </w:r>
      <w:proofErr w:type="gramEnd"/>
      <w:r w:rsidR="00DD7616">
        <w:t xml:space="preserve"> as hazardous, the generator must assure that the designated facility agrees to </w:t>
      </w:r>
      <w:r w:rsidRPr="005867D0" w:rsidR="00DD7616">
        <w:t>sign and return the manifest to the generator, and that any out-of-state transporter signs and forwards the manifest to the designated facility, as required under 40 CFR 262.23(e).</w:t>
      </w:r>
      <w:r w:rsidRPr="005867D0" w:rsidR="00FA6422">
        <w:t xml:space="preserve"> </w:t>
      </w:r>
      <w:r w:rsidRPr="005867D0" w:rsidR="00CF160D">
        <w:t xml:space="preserve">In addition, </w:t>
      </w:r>
      <w:r w:rsidRPr="005867D0" w:rsidR="00D04FCA">
        <w:t xml:space="preserve">40 CFR </w:t>
      </w:r>
      <w:r w:rsidRPr="005867D0" w:rsidR="00FA6422">
        <w:rPr>
          <w:color w:val="000000"/>
          <w:shd w:val="clear" w:color="auto" w:fill="FFFFFF"/>
        </w:rPr>
        <w:t xml:space="preserve">262.84(c)(4) requires the importer to </w:t>
      </w:r>
      <w:r w:rsidRPr="005867D0" w:rsidR="00D04FCA">
        <w:t>provide the transporter with an additional copy of the manifest to be submitted by the receiving facility to U.S. EPA in accordance with 40 CFR 264.71(a)(3) and 265.71(a)(3)</w:t>
      </w:r>
      <w:r w:rsidRPr="005867D0" w:rsidR="000E6596">
        <w:t xml:space="preserve">. </w:t>
      </w:r>
    </w:p>
    <w:p w:rsidR="007B0501" w:rsidP="00AE0022" w:rsidRDefault="007B0501" w14:paraId="1978721D" w14:textId="77777777">
      <w:pPr>
        <w:tabs>
          <w:tab w:val="left" w:pos="-1200"/>
        </w:tabs>
      </w:pPr>
    </w:p>
    <w:p w:rsidR="007F06D2" w:rsidP="00AE0022" w:rsidRDefault="001473C1" w14:paraId="3CBE8AEB" w14:textId="77777777">
      <w:pPr>
        <w:tabs>
          <w:tab w:val="left" w:pos="-1200"/>
        </w:tabs>
      </w:pPr>
      <w:r>
        <w:t>In the event a small quantity generator’s (</w:t>
      </w:r>
      <w:r w:rsidR="007F06D2">
        <w:t>SQG’s</w:t>
      </w:r>
      <w:r>
        <w:t>)</w:t>
      </w:r>
      <w:r w:rsidR="007F06D2">
        <w:t xml:space="preserve"> waste is reclaimed under a contractual agreement pursuant to 40 CFR 262.20(e)(1), the SQG must retain the reclamation agreement for at least </w:t>
      </w:r>
      <w:r w:rsidR="00C24DDC">
        <w:t>3</w:t>
      </w:r>
      <w:r w:rsidR="007F06D2">
        <w:t xml:space="preserve"> years from the date of termination or expiration of the agreement, as required by 40 CFR 262.20(e)(2). </w:t>
      </w:r>
    </w:p>
    <w:p w:rsidR="00667E17" w:rsidP="00AE0022" w:rsidRDefault="00667E17" w14:paraId="74E41EAD" w14:textId="77777777">
      <w:pPr>
        <w:tabs>
          <w:tab w:val="left" w:pos="-1200"/>
        </w:tabs>
      </w:pPr>
    </w:p>
    <w:p w:rsidR="00426C32" w:rsidP="00AE0022" w:rsidRDefault="00426C32" w14:paraId="6E79D3B9" w14:textId="77777777">
      <w:pPr>
        <w:tabs>
          <w:tab w:val="left" w:pos="-1200"/>
        </w:tabs>
      </w:pPr>
      <w:r>
        <w:t>40 CFR 262.24 establishes the legal equivalence of the e-Manifest to the paper manifest</w:t>
      </w:r>
      <w:r w:rsidR="000E6596">
        <w:t xml:space="preserve">. </w:t>
      </w:r>
      <w:r>
        <w:t xml:space="preserve">It provides that electronic manifests that are obtained, completed, and transmitted in accordance with section 262.20(a)(3), and used in accordance with section </w:t>
      </w:r>
      <w:proofErr w:type="gramStart"/>
      <w:r>
        <w:t>262.24  in</w:t>
      </w:r>
      <w:proofErr w:type="gramEnd"/>
      <w:r>
        <w:t xml:space="preserve"> lieu of EPA Forms 8700-22 and 8700-22A are the legal equivalent of paper manifest forms bearing handwritten signatures, and satisfy for all purposes any requirement in these regulations to obtain, complete, sign, provide, use, or retain a manifest</w:t>
      </w:r>
      <w:r w:rsidR="000E6596">
        <w:t xml:space="preserve">. </w:t>
      </w:r>
      <w:r>
        <w:t>It also addresses other issues related to e-Manifests (e.g., requirements for a printed copy of the manifest)</w:t>
      </w:r>
      <w:r w:rsidR="000E6596">
        <w:t xml:space="preserve">. </w:t>
      </w:r>
      <w:r w:rsidR="002E3924">
        <w:t xml:space="preserve">Note that EPA </w:t>
      </w:r>
      <w:r w:rsidR="00545395">
        <w:t>amend</w:t>
      </w:r>
      <w:r w:rsidR="002E3924">
        <w:t>ed</w:t>
      </w:r>
      <w:r w:rsidR="00545395">
        <w:t xml:space="preserve"> section 262.24(c) regarding restriction on the use of the manifest</w:t>
      </w:r>
      <w:r w:rsidR="000E6596">
        <w:t xml:space="preserve">. </w:t>
      </w:r>
      <w:r>
        <w:t>[Note: Refer to “Use of the Electronic Manifest” in this section for additional information.]</w:t>
      </w:r>
    </w:p>
    <w:p w:rsidRPr="00853414" w:rsidR="007F06D2" w:rsidP="00FA3A49" w:rsidRDefault="007F06D2" w14:paraId="52BC4A3B" w14:textId="77777777">
      <w:pPr>
        <w:tabs>
          <w:tab w:val="left" w:pos="-1200"/>
        </w:tabs>
      </w:pPr>
    </w:p>
    <w:p w:rsidRPr="00853414" w:rsidR="000F4D0A" w:rsidP="009F0295" w:rsidRDefault="00886BEF" w14:paraId="1C78942D" w14:textId="77777777">
      <w:pPr>
        <w:keepNext/>
        <w:tabs>
          <w:tab w:val="left" w:pos="-1200"/>
        </w:tabs>
        <w:ind w:firstLine="720"/>
      </w:pPr>
      <w:r w:rsidRPr="00886BEF">
        <w:rPr>
          <w:u w:val="single"/>
        </w:rPr>
        <w:t>Data Items</w:t>
      </w:r>
    </w:p>
    <w:p w:rsidRPr="00853414" w:rsidR="000F4D0A" w:rsidP="009F0295" w:rsidRDefault="000F4D0A" w14:paraId="58D9348C" w14:textId="77777777">
      <w:pPr>
        <w:keepNext/>
        <w:tabs>
          <w:tab w:val="left" w:pos="-1200"/>
        </w:tabs>
        <w:ind w:firstLine="720"/>
      </w:pPr>
    </w:p>
    <w:p w:rsidR="00667E17" w:rsidP="009F0295" w:rsidRDefault="00667E17" w14:paraId="1FC1D386" w14:textId="77777777">
      <w:pPr>
        <w:pStyle w:val="NoSpacing"/>
        <w:keepNext/>
        <w:widowControl/>
      </w:pPr>
      <w:r>
        <w:t>Paper or electronic manifest.</w:t>
      </w:r>
    </w:p>
    <w:p w:rsidRPr="00853414" w:rsidR="000F4D0A" w:rsidP="00FA3A49" w:rsidRDefault="00B43559" w14:paraId="69DC8E66" w14:textId="77777777">
      <w:pPr>
        <w:pStyle w:val="NoSpacing"/>
        <w:widowControl/>
      </w:pPr>
      <w:r>
        <w:t>R</w:t>
      </w:r>
      <w:r w:rsidRPr="00853414" w:rsidR="000F4D0A">
        <w:t>eclamation agreement</w:t>
      </w:r>
      <w:r w:rsidR="007F06D2">
        <w:t xml:space="preserve"> for SQG tolling arrangements</w:t>
      </w:r>
      <w:r w:rsidRPr="00853414" w:rsidR="000F4D0A">
        <w:t xml:space="preserve">. </w:t>
      </w:r>
    </w:p>
    <w:p w:rsidRPr="00853414" w:rsidR="000F4D0A" w:rsidP="00FA3A49" w:rsidRDefault="000F4D0A" w14:paraId="4D4FCD46" w14:textId="77777777">
      <w:pPr>
        <w:tabs>
          <w:tab w:val="left" w:pos="-1200"/>
        </w:tabs>
      </w:pPr>
    </w:p>
    <w:p w:rsidR="000F4D0A" w:rsidP="003A4450" w:rsidRDefault="00886BEF" w14:paraId="0982D7B1" w14:textId="77777777">
      <w:pPr>
        <w:tabs>
          <w:tab w:val="left" w:pos="-1200"/>
        </w:tabs>
        <w:ind w:firstLine="720"/>
      </w:pPr>
      <w:r w:rsidRPr="00886BEF">
        <w:rPr>
          <w:u w:val="single"/>
        </w:rPr>
        <w:t>Respondent Activities</w:t>
      </w:r>
    </w:p>
    <w:p w:rsidR="00BE70A6" w:rsidP="003A4450" w:rsidRDefault="00BE70A6" w14:paraId="7B994BEF" w14:textId="77777777">
      <w:pPr>
        <w:tabs>
          <w:tab w:val="left" w:pos="-1200"/>
        </w:tabs>
        <w:ind w:firstLine="720"/>
      </w:pPr>
    </w:p>
    <w:p w:rsidRPr="003B0A38" w:rsidR="003B0A38" w:rsidP="003A4450" w:rsidRDefault="003B0A38" w14:paraId="4302F73A" w14:textId="77777777">
      <w:pPr>
        <w:tabs>
          <w:tab w:val="left" w:pos="-1200"/>
        </w:tabs>
        <w:ind w:firstLine="720"/>
        <w:rPr>
          <w:b/>
        </w:rPr>
      </w:pPr>
      <w:r w:rsidRPr="003B0A38">
        <w:rPr>
          <w:b/>
        </w:rPr>
        <w:t>Paper Manifest</w:t>
      </w:r>
    </w:p>
    <w:p w:rsidRPr="00853414" w:rsidR="003B0A38" w:rsidP="003A4450" w:rsidRDefault="003B0A38" w14:paraId="63D33905" w14:textId="77777777">
      <w:pPr>
        <w:tabs>
          <w:tab w:val="left" w:pos="-1200"/>
        </w:tabs>
        <w:ind w:firstLine="720"/>
      </w:pPr>
    </w:p>
    <w:p w:rsidRPr="005867D0" w:rsidR="007744F1" w:rsidP="003A4450" w:rsidRDefault="007744F1" w14:paraId="393F6390" w14:textId="77777777">
      <w:pPr>
        <w:pStyle w:val="NoSpacing"/>
        <w:widowControl/>
      </w:pPr>
      <w:r w:rsidRPr="005867D0">
        <w:t>Generators must perform the following:</w:t>
      </w:r>
    </w:p>
    <w:p w:rsidRPr="005867D0" w:rsidR="003B289E" w:rsidP="003A4450" w:rsidRDefault="003B289E" w14:paraId="4FDB509F" w14:textId="77777777">
      <w:pPr>
        <w:pStyle w:val="NoSpacing"/>
        <w:widowControl/>
        <w:numPr>
          <w:ilvl w:val="0"/>
          <w:numId w:val="0"/>
        </w:numPr>
        <w:ind w:left="1080"/>
      </w:pPr>
    </w:p>
    <w:p w:rsidRPr="00853414" w:rsidR="000F4D0A" w:rsidP="003A4450" w:rsidRDefault="000F4D0A" w14:paraId="2BB0BE47" w14:textId="77777777">
      <w:pPr>
        <w:pStyle w:val="Subtitle"/>
        <w:keepNext w:val="0"/>
        <w:keepLines w:val="0"/>
      </w:pPr>
      <w:r w:rsidRPr="005867D0">
        <w:t>Sign the manifest certification and obtain the signature of the initial transporter and date of acceptance on the manifest in accordance</w:t>
      </w:r>
      <w:r w:rsidRPr="00853414">
        <w:t xml:space="preserve"> with 40 CFR 262.23(a)</w:t>
      </w:r>
      <w:r w:rsidR="004C1428">
        <w:t xml:space="preserve"> and 262.84(c)</w:t>
      </w:r>
      <w:r w:rsidRPr="00853414">
        <w:t>.</w:t>
      </w:r>
    </w:p>
    <w:p w:rsidRPr="00AA1CC5" w:rsidR="000F4D0A" w:rsidP="003A4450" w:rsidRDefault="000F4D0A" w14:paraId="36806D74" w14:textId="77777777">
      <w:pPr>
        <w:pStyle w:val="Subtitle"/>
        <w:keepNext w:val="0"/>
        <w:keepLines w:val="0"/>
      </w:pPr>
      <w:r w:rsidRPr="00853414">
        <w:t xml:space="preserve">Keep a copy of the manifest and give the remaining copies to </w:t>
      </w:r>
      <w:r w:rsidRPr="00AA1CC5">
        <w:t>the initial transporter, in accordance with 40 CFR 262.23(a) &amp; (b)</w:t>
      </w:r>
      <w:r w:rsidRPr="00AA1CC5" w:rsidR="004C1428">
        <w:t xml:space="preserve"> and 262.84(c)</w:t>
      </w:r>
      <w:r w:rsidRPr="00AA1CC5">
        <w:t>.</w:t>
      </w:r>
    </w:p>
    <w:p w:rsidRPr="00AA1CC5" w:rsidR="000F4D0A" w:rsidP="003A4450" w:rsidRDefault="000F4D0A" w14:paraId="77F3D5CD" w14:textId="77777777">
      <w:pPr>
        <w:pStyle w:val="Subtitle"/>
        <w:keepNext w:val="0"/>
        <w:keepLines w:val="0"/>
      </w:pPr>
      <w:r w:rsidRPr="00AA1CC5">
        <w:t>Keep a copy of the manifest returned from the designated facility</w:t>
      </w:r>
      <w:r w:rsidRPr="00AA1CC5" w:rsidR="001F0F42">
        <w:t xml:space="preserve"> </w:t>
      </w:r>
      <w:r w:rsidRPr="00AA1CC5" w:rsidR="00C03DB0">
        <w:t>f</w:t>
      </w:r>
      <w:r w:rsidRPr="00AA1CC5">
        <w:t xml:space="preserve">or at least </w:t>
      </w:r>
      <w:r w:rsidRPr="00AA1CC5" w:rsidR="00C24DDC">
        <w:t>3</w:t>
      </w:r>
      <w:r w:rsidRPr="00AA1CC5">
        <w:t xml:space="preserve"> years from the date the waste was accepted by the initial waste transporter, in accordance with 40 CFR 262.40(a) or 262.44(a).</w:t>
      </w:r>
    </w:p>
    <w:p w:rsidRPr="00853414" w:rsidR="000F4D0A" w:rsidP="003A4450" w:rsidRDefault="000F4D0A" w14:paraId="605E116E" w14:textId="77777777">
      <w:pPr>
        <w:pStyle w:val="Subtitle"/>
        <w:keepNext w:val="0"/>
        <w:keepLines w:val="0"/>
      </w:pPr>
      <w:r w:rsidRPr="00AA1CC5">
        <w:t xml:space="preserve">For shipments solely by water, send </w:t>
      </w:r>
      <w:r w:rsidRPr="00AA1CC5" w:rsidR="00C24DDC">
        <w:t>3</w:t>
      </w:r>
      <w:r w:rsidRPr="00AA1CC5">
        <w:t xml:space="preserve"> copies of the manifest, </w:t>
      </w:r>
      <w:proofErr w:type="gramStart"/>
      <w:r w:rsidRPr="00AA1CC5">
        <w:t>dated</w:t>
      </w:r>
      <w:proofErr w:type="gramEnd"/>
      <w:r w:rsidRPr="00AA1CC5">
        <w:t xml:space="preserve"> and signed</w:t>
      </w:r>
      <w:r w:rsidRPr="00853414">
        <w:t xml:space="preserve"> in accordance with 40 CFR 262.23(a), to the designated facility or the last water transporter to handle the waste in the US, as required by 40 CFR 262.23(c)</w:t>
      </w:r>
      <w:r w:rsidR="000E6596">
        <w:t xml:space="preserve">. </w:t>
      </w:r>
      <w:r w:rsidRPr="00853414">
        <w:t>[Note:  Copies of the manifest are not required for each transporter.]</w:t>
      </w:r>
    </w:p>
    <w:p w:rsidR="000F4D0A" w:rsidP="00FA3A49" w:rsidRDefault="000F4D0A" w14:paraId="13CFA1D3" w14:textId="77777777">
      <w:pPr>
        <w:pStyle w:val="Subtitle"/>
      </w:pPr>
      <w:r w:rsidRPr="00853414">
        <w:t xml:space="preserve">For shipments by rail originating at the site of generation, send at least </w:t>
      </w:r>
      <w:r w:rsidR="00C24DDC">
        <w:t>3</w:t>
      </w:r>
      <w:r w:rsidRPr="00853414">
        <w:t xml:space="preserve"> copies of the manifest to the next non-rail transporter, the designated facility, or the last rail transporter to handle the waste in the US, as required by 40 CFR 262.23(d).</w:t>
      </w:r>
    </w:p>
    <w:p w:rsidR="006F2215" w:rsidP="003D12B3" w:rsidRDefault="006F2215" w14:paraId="1F7FCE9B" w14:textId="77777777">
      <w:pPr>
        <w:pStyle w:val="NoSpacing"/>
        <w:widowControl/>
        <w:numPr>
          <w:ilvl w:val="0"/>
          <w:numId w:val="0"/>
        </w:numPr>
      </w:pPr>
    </w:p>
    <w:p w:rsidRPr="005867D0" w:rsidR="008C70B2" w:rsidP="008C70B2" w:rsidRDefault="008C70B2" w14:paraId="0525D792" w14:textId="77777777">
      <w:pPr>
        <w:pStyle w:val="NoSpacing"/>
        <w:widowControl/>
        <w:numPr>
          <w:ilvl w:val="0"/>
          <w:numId w:val="38"/>
        </w:numPr>
        <w:ind w:left="1080"/>
      </w:pPr>
      <w:r w:rsidRPr="005867D0">
        <w:t xml:space="preserve">For shipments of hazardous waste to a designated facility in an authorized State which has not yet obtained authorization to regulate that </w:t>
      </w:r>
      <w:proofErr w:type="gramStart"/>
      <w:r w:rsidRPr="005867D0">
        <w:t>particular waste</w:t>
      </w:r>
      <w:proofErr w:type="gramEnd"/>
      <w:r w:rsidRPr="005867D0">
        <w:t xml:space="preserve"> as hazardous, </w:t>
      </w:r>
      <w:r w:rsidRPr="005867D0" w:rsidR="0080432C">
        <w:t xml:space="preserve">contact </w:t>
      </w:r>
      <w:r w:rsidRPr="005867D0">
        <w:t>the designated facility</w:t>
      </w:r>
      <w:r w:rsidRPr="005867D0" w:rsidR="0080432C">
        <w:t xml:space="preserve"> to assure it</w:t>
      </w:r>
      <w:r w:rsidRPr="005867D0">
        <w:t xml:space="preserve"> agrees to sign and return the manifest to the generator and that any out-of-state transporter signs and forwards the manifest to the designated facility, as required under 40 CFR 262.23(e).</w:t>
      </w:r>
    </w:p>
    <w:p w:rsidRPr="005867D0" w:rsidR="00B5681C" w:rsidP="00B5681C" w:rsidRDefault="00B5681C" w14:paraId="17CBA58D" w14:textId="77777777">
      <w:pPr>
        <w:pStyle w:val="NoSpacing"/>
        <w:widowControl/>
        <w:numPr>
          <w:ilvl w:val="0"/>
          <w:numId w:val="0"/>
        </w:numPr>
        <w:ind w:left="1080"/>
      </w:pPr>
    </w:p>
    <w:p w:rsidRPr="005867D0" w:rsidR="00D04FCA" w:rsidP="00D04FCA" w:rsidRDefault="00D04FCA" w14:paraId="7A9ADDD2" w14:textId="77777777">
      <w:pPr>
        <w:pStyle w:val="NoSpacing"/>
        <w:keepNext/>
        <w:widowControl/>
        <w:numPr>
          <w:ilvl w:val="0"/>
          <w:numId w:val="23"/>
        </w:numPr>
        <w:tabs>
          <w:tab w:val="left" w:pos="-1200"/>
        </w:tabs>
      </w:pPr>
      <w:r w:rsidRPr="005867D0">
        <w:t>Importers of hazardous waste must provide the transporter with an additional copy of the manifest to be submitted by the receiving facility to U.S. EPA in accordance with 40 CFR 264.71(a)(3) and 265.71(a)(3), as required by 40 CFR 262.84(c)(4).</w:t>
      </w:r>
    </w:p>
    <w:p w:rsidRPr="005867D0" w:rsidR="00231BE9" w:rsidP="00FA3A49" w:rsidRDefault="00231BE9" w14:paraId="223CCC0F" w14:textId="77777777">
      <w:pPr>
        <w:pStyle w:val="NoSpacing"/>
        <w:widowControl/>
        <w:numPr>
          <w:ilvl w:val="0"/>
          <w:numId w:val="0"/>
        </w:numPr>
        <w:ind w:left="1080"/>
      </w:pPr>
    </w:p>
    <w:p w:rsidRPr="00853414" w:rsidR="000F4D0A" w:rsidP="00FA3A49" w:rsidRDefault="000F4D0A" w14:paraId="116D1E37" w14:textId="77777777">
      <w:pPr>
        <w:pStyle w:val="NoSpacing"/>
        <w:widowControl/>
      </w:pPr>
      <w:r w:rsidRPr="005867D0">
        <w:t>An SQG operating</w:t>
      </w:r>
      <w:r w:rsidRPr="00853414">
        <w:t xml:space="preserve"> under a tolling agreement must retain a copy of each reclamation agreement, if applicable, for at least </w:t>
      </w:r>
      <w:r w:rsidR="00C24DDC">
        <w:t>3</w:t>
      </w:r>
      <w:r w:rsidRPr="00853414">
        <w:t xml:space="preserve"> years after the termination or expiration of the agreement, as required by 40 CFR 262.20(e)(2).</w:t>
      </w:r>
    </w:p>
    <w:p w:rsidR="000F4D0A" w:rsidP="00FA3A49" w:rsidRDefault="000F4D0A" w14:paraId="222CD164" w14:textId="77777777">
      <w:pPr>
        <w:tabs>
          <w:tab w:val="left" w:pos="-1200"/>
        </w:tabs>
      </w:pPr>
    </w:p>
    <w:p w:rsidRPr="003B0A38" w:rsidR="003B0A38" w:rsidP="00FA3A49" w:rsidRDefault="003B0A38" w14:paraId="2C699FA7" w14:textId="77777777">
      <w:pPr>
        <w:tabs>
          <w:tab w:val="left" w:pos="-1200"/>
        </w:tabs>
        <w:rPr>
          <w:b/>
        </w:rPr>
      </w:pPr>
      <w:r>
        <w:tab/>
      </w:r>
      <w:r>
        <w:rPr>
          <w:b/>
        </w:rPr>
        <w:t>Electronic M</w:t>
      </w:r>
      <w:r w:rsidRPr="003B0A38">
        <w:rPr>
          <w:b/>
        </w:rPr>
        <w:t>anifest</w:t>
      </w:r>
    </w:p>
    <w:p w:rsidR="003B0A38" w:rsidP="00FA3A49" w:rsidRDefault="003B0A38" w14:paraId="6B1E9797" w14:textId="77777777">
      <w:pPr>
        <w:tabs>
          <w:tab w:val="left" w:pos="-1200"/>
        </w:tabs>
      </w:pPr>
    </w:p>
    <w:p w:rsidR="001D275F" w:rsidP="00E40AA3" w:rsidRDefault="001D275F" w14:paraId="0FAA7877" w14:textId="77777777">
      <w:pPr>
        <w:pStyle w:val="ListParagraph"/>
        <w:widowControl/>
        <w:numPr>
          <w:ilvl w:val="0"/>
          <w:numId w:val="6"/>
        </w:numPr>
      </w:pPr>
      <w:r>
        <w:t xml:space="preserve">Generators must perform the above activities for completing, signing, providing, </w:t>
      </w:r>
      <w:proofErr w:type="gramStart"/>
      <w:r>
        <w:t>using</w:t>
      </w:r>
      <w:proofErr w:type="gramEnd"/>
      <w:r>
        <w:t xml:space="preserve"> and retaining the electronic manifest</w:t>
      </w:r>
      <w:r w:rsidR="000E6596">
        <w:t xml:space="preserve">. </w:t>
      </w:r>
      <w:r w:rsidR="0073781C">
        <w:t>Note that, u</w:t>
      </w:r>
      <w:r w:rsidR="009F1C9F">
        <w:t xml:space="preserve">nder </w:t>
      </w:r>
      <w:r w:rsidR="0025439B">
        <w:t>40 CFR</w:t>
      </w:r>
      <w:r w:rsidR="009F1C9F">
        <w:t xml:space="preserve"> 262.2</w:t>
      </w:r>
      <w:r w:rsidR="0073781C">
        <w:t>4</w:t>
      </w:r>
      <w:r w:rsidR="009F1C9F">
        <w:t>(c)(1), a</w:t>
      </w:r>
      <w:r w:rsidRPr="0006792B" w:rsidR="009F1C9F">
        <w:t xml:space="preserve"> </w:t>
      </w:r>
      <w:r w:rsidRPr="0006792B" w:rsidR="009F1C9F">
        <w:lastRenderedPageBreak/>
        <w:t>generator may sign</w:t>
      </w:r>
      <w:r w:rsidR="009F1C9F">
        <w:t xml:space="preserve"> by hand</w:t>
      </w:r>
      <w:r w:rsidRPr="0006792B" w:rsidR="009F1C9F">
        <w:t xml:space="preserve"> and retain a paper copy of the</w:t>
      </w:r>
      <w:r w:rsidR="009F1C9F">
        <w:t xml:space="preserve"> electronic</w:t>
      </w:r>
      <w:r w:rsidRPr="0006792B" w:rsidR="009F1C9F">
        <w:t xml:space="preserve"> manifest</w:t>
      </w:r>
      <w:r w:rsidR="009F1C9F">
        <w:t xml:space="preserve">, rather than electronically signing it, thereby allowing the </w:t>
      </w:r>
      <w:r w:rsidRPr="0006792B" w:rsidR="009F1C9F">
        <w:t xml:space="preserve">transporter and subsequent waste handlers to </w:t>
      </w:r>
      <w:r w:rsidR="009F1C9F">
        <w:t>use the electronic manifest for that shipment.</w:t>
      </w:r>
    </w:p>
    <w:p w:rsidR="001D275F" w:rsidP="00FA3A49" w:rsidRDefault="001D275F" w14:paraId="19DC2368" w14:textId="77777777">
      <w:pPr>
        <w:tabs>
          <w:tab w:val="left" w:pos="-1200"/>
        </w:tabs>
      </w:pPr>
    </w:p>
    <w:p w:rsidRPr="00853414" w:rsidR="00BE70A6" w:rsidP="009F0295" w:rsidRDefault="003B5F85" w14:paraId="2D470CC5" w14:textId="77777777">
      <w:pPr>
        <w:keepNext/>
        <w:tabs>
          <w:tab w:val="left" w:pos="-1200"/>
        </w:tabs>
        <w:ind w:left="1440" w:hanging="720"/>
      </w:pPr>
      <w:r>
        <w:t>(d</w:t>
      </w:r>
      <w:r w:rsidRPr="00853414" w:rsidR="00BE70A6">
        <w:t>)</w:t>
      </w:r>
      <w:r w:rsidRPr="00853414" w:rsidR="00BE70A6">
        <w:tab/>
      </w:r>
      <w:r w:rsidR="00BE70A6">
        <w:t>Use of the Electronic Manifest</w:t>
      </w:r>
    </w:p>
    <w:p w:rsidR="00BE70A6" w:rsidP="009F0295" w:rsidRDefault="00BE70A6" w14:paraId="19C1C00E" w14:textId="77777777">
      <w:pPr>
        <w:keepNext/>
        <w:tabs>
          <w:tab w:val="left" w:pos="-1200"/>
        </w:tabs>
        <w:ind w:left="1440" w:hanging="720"/>
      </w:pPr>
    </w:p>
    <w:p w:rsidRPr="001606CD" w:rsidR="00BE70A6" w:rsidP="009F0295" w:rsidRDefault="00BE70A6" w14:paraId="38F18E70" w14:textId="77777777">
      <w:pPr>
        <w:keepNext/>
        <w:tabs>
          <w:tab w:val="left" w:pos="-1200"/>
        </w:tabs>
        <w:ind w:left="1440" w:hanging="720"/>
        <w:rPr>
          <w:i/>
        </w:rPr>
      </w:pPr>
      <w:r w:rsidRPr="001606CD">
        <w:rPr>
          <w:i/>
        </w:rPr>
        <w:t>(</w:t>
      </w:r>
      <w:r w:rsidR="003B5F85">
        <w:rPr>
          <w:i/>
        </w:rPr>
        <w:t>d</w:t>
      </w:r>
      <w:r w:rsidRPr="001606CD" w:rsidR="001606CD">
        <w:rPr>
          <w:i/>
        </w:rPr>
        <w:t>1</w:t>
      </w:r>
      <w:r w:rsidRPr="001606CD">
        <w:rPr>
          <w:i/>
        </w:rPr>
        <w:t>)</w:t>
      </w:r>
      <w:r w:rsidRPr="001606CD">
        <w:rPr>
          <w:i/>
        </w:rPr>
        <w:tab/>
        <w:t>Legal Equivalence to Paper Manifest</w:t>
      </w:r>
    </w:p>
    <w:p w:rsidR="00BE70A6" w:rsidP="009F0295" w:rsidRDefault="00BE70A6" w14:paraId="25F21EC1" w14:textId="77777777">
      <w:pPr>
        <w:keepNext/>
        <w:tabs>
          <w:tab w:val="left" w:pos="-1200"/>
        </w:tabs>
        <w:ind w:left="1440" w:hanging="720"/>
      </w:pPr>
    </w:p>
    <w:p w:rsidR="002A34AD" w:rsidP="009F0295" w:rsidRDefault="00BE70A6" w14:paraId="54929134" w14:textId="77777777">
      <w:pPr>
        <w:keepNext/>
        <w:tabs>
          <w:tab w:val="left" w:pos="-1200"/>
        </w:tabs>
      </w:pPr>
      <w:r>
        <w:t>40 CFR 262.24(a) establishes the legal equivalence of the e-Manifest to paper manifests</w:t>
      </w:r>
      <w:r w:rsidR="000E6596">
        <w:t xml:space="preserve">. </w:t>
      </w:r>
      <w:r>
        <w:t xml:space="preserve">It provides that electronic manifests that are obtained, completed, and transmitted in accordance with section 262.20(a)(3), and used in accordance with section </w:t>
      </w:r>
      <w:proofErr w:type="gramStart"/>
      <w:r>
        <w:t>262.24  in</w:t>
      </w:r>
      <w:proofErr w:type="gramEnd"/>
      <w:r>
        <w:t xml:space="preserve"> lieu of EPA Forms 8700-22 and 8700-22A are the legal equivalent of paper manifest forms bearing handwritten signatures, and satisfy for all purposes any requirement in these regulations to obtain, complete, sign,  provide, use, or retain a manifest</w:t>
      </w:r>
      <w:r w:rsidR="000E6596">
        <w:t xml:space="preserve">. </w:t>
      </w:r>
      <w:r>
        <w:t>It provides that (1) any requirement in these regulations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return to another person a copy of the manifest is satisfied when an electronic manifest is transmitted to the other person by submission to the system; (3) any requirement in these regulations for a generator to keep or retain a copy of each manifest is satisfied by retention of a signed electronic manifest in the generator’s account on the national e-Manifest system, provided that such copies are readily available for viewing and production if requested by any EPA or authorized</w:t>
      </w:r>
      <w:r w:rsidR="005277CC">
        <w:t xml:space="preserve"> </w:t>
      </w:r>
      <w:r w:rsidR="00521F32">
        <w:t>state</w:t>
      </w:r>
      <w:r w:rsidR="005277CC">
        <w:t xml:space="preserve"> i</w:t>
      </w:r>
      <w:r>
        <w:t>nspector; (4) no generator may be held liable for the inability to produce an electronic manifest for inspection under this section if the generator can demonstrate that the inability to produce the electronic manifest is due exclusively to a technical difficulty with the electronic manifest system for which the generator bears no responsibility</w:t>
      </w:r>
      <w:r w:rsidR="000E6596">
        <w:t xml:space="preserve">. </w:t>
      </w:r>
      <w:r w:rsidR="002A34AD">
        <w:t>[Note:  There are no data items or activities associated with section 262.24(a).]</w:t>
      </w:r>
    </w:p>
    <w:p w:rsidR="00BE70A6" w:rsidP="00FA3A49" w:rsidRDefault="00BE70A6" w14:paraId="15D94F7C" w14:textId="77777777">
      <w:pPr>
        <w:tabs>
          <w:tab w:val="left" w:pos="-1200"/>
        </w:tabs>
        <w:ind w:left="1440" w:hanging="720"/>
      </w:pPr>
    </w:p>
    <w:p w:rsidRPr="00B629A6" w:rsidR="00B629A6" w:rsidP="00FA3A49" w:rsidRDefault="003B5F85" w14:paraId="4CCB087C" w14:textId="77777777">
      <w:pPr>
        <w:tabs>
          <w:tab w:val="left" w:pos="-1200"/>
        </w:tabs>
        <w:ind w:left="1440" w:hanging="720"/>
        <w:rPr>
          <w:i/>
        </w:rPr>
      </w:pPr>
      <w:r>
        <w:rPr>
          <w:i/>
        </w:rPr>
        <w:t>(d</w:t>
      </w:r>
      <w:r w:rsidRPr="00B629A6" w:rsidR="00B629A6">
        <w:rPr>
          <w:i/>
        </w:rPr>
        <w:t>2)</w:t>
      </w:r>
      <w:r w:rsidRPr="00B629A6" w:rsidR="00B629A6">
        <w:rPr>
          <w:i/>
        </w:rPr>
        <w:tab/>
        <w:t>Accessing the e-Manifest</w:t>
      </w:r>
    </w:p>
    <w:p w:rsidR="00B629A6" w:rsidP="00FA3A49" w:rsidRDefault="00B629A6" w14:paraId="24115EFB" w14:textId="77777777">
      <w:pPr>
        <w:tabs>
          <w:tab w:val="left" w:pos="-1200"/>
        </w:tabs>
        <w:ind w:left="1440" w:hanging="720"/>
      </w:pPr>
    </w:p>
    <w:p w:rsidR="00BE70A6" w:rsidP="00FA3A49" w:rsidRDefault="00B629A6" w14:paraId="4975862B" w14:textId="77777777">
      <w:pPr>
        <w:tabs>
          <w:tab w:val="left" w:pos="-1200"/>
        </w:tabs>
      </w:pPr>
      <w:r>
        <w:t xml:space="preserve">40 CFR </w:t>
      </w:r>
      <w:r w:rsidR="00BE70A6">
        <w:t xml:space="preserve">262.24(b) provides that a generator may participate in the electronic manifest system either by accessing the electronic manifest system from its own electronic equipment, or by accessing the electronic manifest system from portable equipment brought to the generator’s site by the transporter who accepts the hazardous waste shipment from the generator for </w:t>
      </w:r>
      <w:r w:rsidR="00521F32">
        <w:t>offsite</w:t>
      </w:r>
      <w:r w:rsidR="00BE70A6">
        <w:t xml:space="preserve"> transportation. [Note:  There are no </w:t>
      </w:r>
      <w:r w:rsidR="00CB3918">
        <w:t>data items or activities</w:t>
      </w:r>
      <w:r w:rsidR="003D7C35">
        <w:t xml:space="preserve"> </w:t>
      </w:r>
      <w:r w:rsidR="00BF7555">
        <w:t>associated with</w:t>
      </w:r>
      <w:r w:rsidR="00BE70A6">
        <w:t xml:space="preserve"> section 262.24(b).]</w:t>
      </w:r>
    </w:p>
    <w:p w:rsidR="00BE70A6" w:rsidP="00FA3A49" w:rsidRDefault="00BE70A6" w14:paraId="3CA9084C" w14:textId="77777777">
      <w:pPr>
        <w:tabs>
          <w:tab w:val="left" w:pos="-1200"/>
        </w:tabs>
        <w:ind w:left="1440" w:hanging="720"/>
      </w:pPr>
    </w:p>
    <w:p w:rsidRPr="001606CD" w:rsidR="00BE70A6" w:rsidP="001D67C6" w:rsidRDefault="003B5F85" w14:paraId="3BB01BEF" w14:textId="77777777">
      <w:pPr>
        <w:keepNext/>
        <w:tabs>
          <w:tab w:val="left" w:pos="-1200"/>
        </w:tabs>
        <w:ind w:left="1440" w:hanging="720"/>
        <w:rPr>
          <w:i/>
        </w:rPr>
      </w:pPr>
      <w:r>
        <w:rPr>
          <w:i/>
        </w:rPr>
        <w:t>(d</w:t>
      </w:r>
      <w:r w:rsidR="00B629A6">
        <w:rPr>
          <w:i/>
        </w:rPr>
        <w:t>3</w:t>
      </w:r>
      <w:r w:rsidR="00BF7555">
        <w:rPr>
          <w:i/>
        </w:rPr>
        <w:t>)</w:t>
      </w:r>
      <w:r w:rsidR="00BF7555">
        <w:rPr>
          <w:i/>
        </w:rPr>
        <w:tab/>
        <w:t>Restriction on U</w:t>
      </w:r>
      <w:r w:rsidR="001606CD">
        <w:rPr>
          <w:i/>
        </w:rPr>
        <w:t>se of Electronic M</w:t>
      </w:r>
      <w:r w:rsidRPr="001606CD" w:rsidR="00BE70A6">
        <w:rPr>
          <w:i/>
        </w:rPr>
        <w:t>anifests</w:t>
      </w:r>
    </w:p>
    <w:p w:rsidR="00BE70A6" w:rsidP="001D67C6" w:rsidRDefault="00BE70A6" w14:paraId="6E2C6EDF" w14:textId="77777777">
      <w:pPr>
        <w:keepNext/>
        <w:tabs>
          <w:tab w:val="left" w:pos="-1200"/>
        </w:tabs>
        <w:ind w:left="1440" w:hanging="720"/>
      </w:pPr>
    </w:p>
    <w:p w:rsidR="002725D1" w:rsidP="001D67C6" w:rsidRDefault="00B629A6" w14:paraId="39A6530E" w14:textId="77777777">
      <w:pPr>
        <w:keepNext/>
        <w:tabs>
          <w:tab w:val="left" w:pos="-1200"/>
        </w:tabs>
      </w:pPr>
      <w:r>
        <w:t>40 CFR</w:t>
      </w:r>
      <w:r w:rsidR="00BE70A6">
        <w:t xml:space="preserve"> 262.24(c) </w:t>
      </w:r>
      <w:r w:rsidR="002725D1">
        <w:t>provide</w:t>
      </w:r>
      <w:r w:rsidR="003B5F85">
        <w:t>s</w:t>
      </w:r>
      <w:r w:rsidR="002725D1">
        <w:t xml:space="preserve"> that a generator may use an electronic manifest for the tracking of waste shipments involving any RCRA hazardous waste only if it is known at the time the manifest is originated that all waste handlers named on the manifest participate in the use of the electronic manifest, except that a generator may sign by hand and retain a paper copy of the manifest signed by hand by the initial transporter, in lieu of executing the generator copy electronically, thereby enabling the transporter and subsequent waste handlers to execute the remainder of the manifest copies electronically</w:t>
      </w:r>
      <w:r w:rsidR="000E6596">
        <w:t xml:space="preserve">. </w:t>
      </w:r>
      <w:r w:rsidR="002725D1">
        <w:t>[Note:  Refer to “</w:t>
      </w:r>
      <w:r w:rsidRPr="00853414" w:rsidR="002725D1">
        <w:t xml:space="preserve">Manifest Transmittal and </w:t>
      </w:r>
      <w:r w:rsidRPr="00853414" w:rsidR="002725D1">
        <w:lastRenderedPageBreak/>
        <w:t>Recordkeeping</w:t>
      </w:r>
      <w:r w:rsidR="002725D1">
        <w:t>” in this section for generator data items and activities associated with this provision.]</w:t>
      </w:r>
    </w:p>
    <w:p w:rsidR="00BE70A6" w:rsidP="00FA3A49" w:rsidRDefault="00BE70A6" w14:paraId="3CCD053F" w14:textId="77777777">
      <w:pPr>
        <w:tabs>
          <w:tab w:val="left" w:pos="-1200"/>
        </w:tabs>
      </w:pPr>
    </w:p>
    <w:p w:rsidRPr="001606CD" w:rsidR="00BE70A6" w:rsidP="009F0295" w:rsidRDefault="003B5F85" w14:paraId="204F0E77" w14:textId="77777777">
      <w:pPr>
        <w:keepNext/>
        <w:tabs>
          <w:tab w:val="left" w:pos="-1200"/>
        </w:tabs>
        <w:ind w:left="1440" w:hanging="720"/>
        <w:rPr>
          <w:i/>
        </w:rPr>
      </w:pPr>
      <w:r>
        <w:rPr>
          <w:i/>
        </w:rPr>
        <w:t>(d</w:t>
      </w:r>
      <w:r w:rsidR="00B629A6">
        <w:rPr>
          <w:i/>
        </w:rPr>
        <w:t>4</w:t>
      </w:r>
      <w:r w:rsidRPr="001606CD" w:rsidR="001606CD">
        <w:rPr>
          <w:i/>
        </w:rPr>
        <w:t>)</w:t>
      </w:r>
      <w:r w:rsidRPr="001606CD" w:rsidR="001606CD">
        <w:rPr>
          <w:i/>
        </w:rPr>
        <w:tab/>
      </w:r>
      <w:r w:rsidR="00BF7555">
        <w:rPr>
          <w:i/>
        </w:rPr>
        <w:t>Requirement for One Printed C</w:t>
      </w:r>
      <w:r w:rsidRPr="001606CD" w:rsidR="00BE70A6">
        <w:rPr>
          <w:i/>
        </w:rPr>
        <w:t xml:space="preserve">opy  </w:t>
      </w:r>
    </w:p>
    <w:p w:rsidR="00BE70A6" w:rsidP="009F0295" w:rsidRDefault="00BE70A6" w14:paraId="13EAB723" w14:textId="77777777">
      <w:pPr>
        <w:keepNext/>
        <w:tabs>
          <w:tab w:val="left" w:pos="-1200"/>
        </w:tabs>
        <w:ind w:left="1440" w:hanging="720"/>
      </w:pPr>
    </w:p>
    <w:p w:rsidR="001606CD" w:rsidP="009F0295" w:rsidRDefault="00B629A6" w14:paraId="2E806D44" w14:textId="77777777">
      <w:pPr>
        <w:keepNext/>
        <w:tabs>
          <w:tab w:val="left" w:pos="-1200"/>
        </w:tabs>
      </w:pPr>
      <w:r>
        <w:t>40 CFR</w:t>
      </w:r>
      <w:r w:rsidR="00BE70A6">
        <w:t xml:space="preserve"> 262.24(d) provides that, to the extent the Hazardous Materials regulation on shipping papers for carriage by public highway requires shippers of hazardous materials to supply a paper document for compliance with 49 CFR 177.817, a generator originating an electronic manifest must also provide the initial transporter with</w:t>
      </w:r>
      <w:r w:rsidR="00B452E1">
        <w:t xml:space="preserve"> </w:t>
      </w:r>
      <w:r w:rsidR="00C24DDC">
        <w:t>1</w:t>
      </w:r>
      <w:r w:rsidR="00B452E1">
        <w:t xml:space="preserve"> </w:t>
      </w:r>
      <w:r w:rsidR="00BE70A6">
        <w:t>printed copy of the electronic manifest</w:t>
      </w:r>
      <w:r w:rsidR="000E6596">
        <w:t xml:space="preserve">. </w:t>
      </w:r>
      <w:r w:rsidR="001606CD">
        <w:t>[Note:  Refer to “</w:t>
      </w:r>
      <w:r w:rsidRPr="00853414" w:rsidR="001606CD">
        <w:t>Manifest Transmittal and Recordkeeping</w:t>
      </w:r>
      <w:r w:rsidR="001606CD">
        <w:t xml:space="preserve">” </w:t>
      </w:r>
      <w:r w:rsidR="006044CF">
        <w:t xml:space="preserve">in this section for </w:t>
      </w:r>
      <w:r w:rsidR="001606CD">
        <w:t>generator</w:t>
      </w:r>
      <w:r w:rsidR="006044CF">
        <w:t xml:space="preserve"> data items and activities associated with</w:t>
      </w:r>
      <w:r w:rsidR="001606CD">
        <w:t xml:space="preserve"> transmitting a paper manifest </w:t>
      </w:r>
      <w:r w:rsidR="006044CF">
        <w:t>with the e-Manifest</w:t>
      </w:r>
      <w:r w:rsidR="001606CD">
        <w:t>.]</w:t>
      </w:r>
    </w:p>
    <w:p w:rsidR="00BE70A6" w:rsidP="001815E2" w:rsidRDefault="00BE70A6" w14:paraId="0FECA259" w14:textId="77777777">
      <w:pPr>
        <w:tabs>
          <w:tab w:val="left" w:pos="-1200"/>
        </w:tabs>
        <w:ind w:left="1440" w:hanging="720"/>
      </w:pPr>
    </w:p>
    <w:p w:rsidRPr="001606CD" w:rsidR="00BE70A6" w:rsidP="006D6063" w:rsidRDefault="00BE70A6" w14:paraId="041CDF3E" w14:textId="77777777">
      <w:pPr>
        <w:tabs>
          <w:tab w:val="left" w:pos="-1200"/>
        </w:tabs>
        <w:ind w:left="1440" w:hanging="720"/>
        <w:rPr>
          <w:i/>
        </w:rPr>
      </w:pPr>
      <w:r w:rsidRPr="001606CD">
        <w:rPr>
          <w:i/>
        </w:rPr>
        <w:t>(</w:t>
      </w:r>
      <w:r w:rsidR="003B5F85">
        <w:rPr>
          <w:i/>
        </w:rPr>
        <w:t>d</w:t>
      </w:r>
      <w:r w:rsidR="00B629A6">
        <w:rPr>
          <w:i/>
        </w:rPr>
        <w:t>5</w:t>
      </w:r>
      <w:r w:rsidR="001606CD">
        <w:rPr>
          <w:i/>
        </w:rPr>
        <w:t>)</w:t>
      </w:r>
      <w:r w:rsidR="001606CD">
        <w:rPr>
          <w:i/>
        </w:rPr>
        <w:tab/>
        <w:t>Special Procedures when Electronic Manifest is Unavailable</w:t>
      </w:r>
    </w:p>
    <w:p w:rsidR="001606CD" w:rsidP="006D6063" w:rsidRDefault="001606CD" w14:paraId="62ACF5C2" w14:textId="77777777">
      <w:pPr>
        <w:tabs>
          <w:tab w:val="left" w:pos="-1200"/>
        </w:tabs>
        <w:ind w:left="1440" w:hanging="720"/>
      </w:pPr>
    </w:p>
    <w:p w:rsidR="00BE70A6" w:rsidP="006D6063" w:rsidRDefault="00B629A6" w14:paraId="205D0213" w14:textId="77777777">
      <w:pPr>
        <w:tabs>
          <w:tab w:val="left" w:pos="-1200"/>
        </w:tabs>
      </w:pPr>
      <w:r>
        <w:t>40 CFR</w:t>
      </w:r>
      <w:r w:rsidR="00BE70A6">
        <w:t xml:space="preserve"> 262.24(e) provides that, if a generator has prepared an electronic manifest for a hazardous waste shipment, but the electronic manifest system becomes unavailable for any reason prior to the time that the initial transporter has signed electronically to acknowledge the receipt of the hazardous waste from the generator, then the generator must obtain and complete a paper manifest and if necessary, a continuation sheet (EPA Forms 8700-22 and 8700-22A) in accordance with the manifest instructions in the appendix to </w:t>
      </w:r>
      <w:r w:rsidR="001606CD">
        <w:t>Part 262</w:t>
      </w:r>
      <w:r w:rsidR="00BE70A6">
        <w:t xml:space="preserve"> and use these paper forms from this point forward in accordance with the requirements of 40 CFR 262.23</w:t>
      </w:r>
      <w:r w:rsidR="000E6596">
        <w:t xml:space="preserve">. </w:t>
      </w:r>
      <w:r w:rsidR="001606CD">
        <w:t>[</w:t>
      </w:r>
      <w:r w:rsidR="00BE70A6">
        <w:t>Note:  Refer to “Manifest Completion”</w:t>
      </w:r>
      <w:r w:rsidR="006044CF">
        <w:t xml:space="preserve"> in this section</w:t>
      </w:r>
      <w:r w:rsidR="001606CD">
        <w:t xml:space="preserve"> for</w:t>
      </w:r>
      <w:r w:rsidR="006044CF">
        <w:t xml:space="preserve"> generator data items and activities associated with paper manifest completion.</w:t>
      </w:r>
      <w:r w:rsidR="00BE70A6">
        <w:t>]</w:t>
      </w:r>
    </w:p>
    <w:p w:rsidR="00BE70A6" w:rsidP="00FA3A49" w:rsidRDefault="00BE70A6" w14:paraId="2B254A47" w14:textId="77777777">
      <w:pPr>
        <w:tabs>
          <w:tab w:val="left" w:pos="-1200"/>
        </w:tabs>
      </w:pPr>
    </w:p>
    <w:p w:rsidRPr="004C25BE" w:rsidR="003D7C35" w:rsidP="00BA5F36" w:rsidRDefault="003B5F85" w14:paraId="509F422F" w14:textId="77777777">
      <w:pPr>
        <w:keepNext/>
        <w:tabs>
          <w:tab w:val="left" w:pos="-1200"/>
        </w:tabs>
        <w:ind w:left="1440" w:hanging="720"/>
        <w:rPr>
          <w:i/>
        </w:rPr>
      </w:pPr>
      <w:r>
        <w:rPr>
          <w:i/>
        </w:rPr>
        <w:t>(d</w:t>
      </w:r>
      <w:r w:rsidR="00B629A6">
        <w:rPr>
          <w:i/>
        </w:rPr>
        <w:t>6</w:t>
      </w:r>
      <w:r w:rsidRPr="004C25BE" w:rsidR="00BF7555">
        <w:rPr>
          <w:i/>
        </w:rPr>
        <w:t>)</w:t>
      </w:r>
      <w:r w:rsidRPr="004C25BE" w:rsidR="00BF7555">
        <w:rPr>
          <w:i/>
        </w:rPr>
        <w:tab/>
      </w:r>
      <w:r w:rsidRPr="004C25BE" w:rsidR="003D7C35">
        <w:rPr>
          <w:i/>
        </w:rPr>
        <w:t>Special Procedures for Electronic Signature Methods Undergoing T</w:t>
      </w:r>
      <w:r w:rsidRPr="004C25BE" w:rsidR="00BF7555">
        <w:rPr>
          <w:i/>
        </w:rPr>
        <w:t xml:space="preserve">ests  </w:t>
      </w:r>
    </w:p>
    <w:p w:rsidR="003D7C35" w:rsidP="00BA5F36" w:rsidRDefault="003D7C35" w14:paraId="08BAEE5A" w14:textId="77777777">
      <w:pPr>
        <w:keepNext/>
        <w:tabs>
          <w:tab w:val="left" w:pos="-1200"/>
        </w:tabs>
        <w:ind w:left="720"/>
      </w:pPr>
    </w:p>
    <w:p w:rsidRPr="00612BEC" w:rsidR="003D7C35" w:rsidP="00BA5F36" w:rsidRDefault="00B629A6" w14:paraId="0656AE0B" w14:textId="77777777">
      <w:pPr>
        <w:keepNext/>
        <w:tabs>
          <w:tab w:val="left" w:pos="-1200"/>
        </w:tabs>
      </w:pPr>
      <w:r>
        <w:t>40 CFR</w:t>
      </w:r>
      <w:r w:rsidR="003D7C35">
        <w:t xml:space="preserve"> 262.24(f) provides that, if </w:t>
      </w:r>
      <w:r w:rsidR="00BF7555">
        <w:t>a generator has prepared an electronic manifest for a hazardous waste shipment, and signs this manifest electronically using an electronic signature method which is undergoing pilot or demonstration tests aimed at demonstrating the practicality or legal dependability of the signature method, then the generator shall also sign with an ink signature the generator/offeror certification on the printed copy of the manifest provided under</w:t>
      </w:r>
      <w:r w:rsidR="003D7C35">
        <w:t xml:space="preserve"> </w:t>
      </w:r>
      <w:r w:rsidRPr="00612BEC" w:rsidR="003D7C35">
        <w:t>section 262.24(d)</w:t>
      </w:r>
      <w:r w:rsidR="000E6596">
        <w:t xml:space="preserve">. </w:t>
      </w:r>
      <w:r w:rsidRPr="00612BEC" w:rsidR="003D7C35">
        <w:t xml:space="preserve">[Note:  Refer to “Manifest Transmittal and Recordkeeping” </w:t>
      </w:r>
      <w:r w:rsidRPr="00612BEC" w:rsidR="006044CF">
        <w:t xml:space="preserve">in this section </w:t>
      </w:r>
      <w:r w:rsidRPr="00612BEC" w:rsidR="003D7C35">
        <w:t>for</w:t>
      </w:r>
      <w:r w:rsidRPr="00612BEC" w:rsidR="006044CF">
        <w:t xml:space="preserve"> generator data items and activities associated with </w:t>
      </w:r>
      <w:r w:rsidRPr="00612BEC" w:rsidR="002F0D44">
        <w:t xml:space="preserve">electronically </w:t>
      </w:r>
      <w:r w:rsidRPr="00612BEC" w:rsidR="003D7C35">
        <w:t xml:space="preserve">signing a </w:t>
      </w:r>
      <w:r w:rsidRPr="00612BEC" w:rsidR="006044CF">
        <w:t>manifest</w:t>
      </w:r>
      <w:r w:rsidRPr="00612BEC" w:rsidR="003D7C35">
        <w:t>.]</w:t>
      </w:r>
    </w:p>
    <w:p w:rsidRPr="00612BEC" w:rsidR="003D0BFA" w:rsidP="00FA3A49" w:rsidRDefault="003D0BFA" w14:paraId="465F8A14" w14:textId="77777777">
      <w:pPr>
        <w:tabs>
          <w:tab w:val="left" w:pos="-1200"/>
        </w:tabs>
      </w:pPr>
    </w:p>
    <w:p w:rsidRPr="00612BEC" w:rsidR="003D7C35" w:rsidP="003D0BFA" w:rsidRDefault="00B629A6" w14:paraId="5A40EFF0" w14:textId="77777777">
      <w:pPr>
        <w:tabs>
          <w:tab w:val="left" w:pos="-1200"/>
        </w:tabs>
        <w:rPr>
          <w:i/>
        </w:rPr>
      </w:pPr>
      <w:r w:rsidRPr="00612BEC">
        <w:rPr>
          <w:i/>
        </w:rPr>
        <w:tab/>
        <w:t>(</w:t>
      </w:r>
      <w:r w:rsidRPr="00612BEC" w:rsidR="003D0BFA">
        <w:rPr>
          <w:i/>
        </w:rPr>
        <w:t>d</w:t>
      </w:r>
      <w:r w:rsidRPr="00612BEC">
        <w:rPr>
          <w:i/>
        </w:rPr>
        <w:t>7</w:t>
      </w:r>
      <w:r w:rsidRPr="00612BEC" w:rsidR="004C25BE">
        <w:rPr>
          <w:i/>
        </w:rPr>
        <w:t>)</w:t>
      </w:r>
      <w:r w:rsidRPr="00612BEC" w:rsidR="004C25BE">
        <w:rPr>
          <w:i/>
        </w:rPr>
        <w:tab/>
      </w:r>
      <w:r w:rsidRPr="00612BEC" w:rsidR="00F10724">
        <w:rPr>
          <w:i/>
        </w:rPr>
        <w:t>Post-</w:t>
      </w:r>
      <w:r w:rsidRPr="00612BEC" w:rsidR="00490736">
        <w:rPr>
          <w:i/>
        </w:rPr>
        <w:t>R</w:t>
      </w:r>
      <w:r w:rsidRPr="00612BEC" w:rsidR="00F10724">
        <w:rPr>
          <w:i/>
        </w:rPr>
        <w:t>eceipt</w:t>
      </w:r>
      <w:r w:rsidRPr="00612BEC" w:rsidR="00490736">
        <w:rPr>
          <w:i/>
        </w:rPr>
        <w:t xml:space="preserve"> M</w:t>
      </w:r>
      <w:r w:rsidRPr="00612BEC" w:rsidR="00F10724">
        <w:rPr>
          <w:i/>
        </w:rPr>
        <w:t>anifest</w:t>
      </w:r>
      <w:r w:rsidRPr="00612BEC" w:rsidR="00490736">
        <w:rPr>
          <w:i/>
        </w:rPr>
        <w:t xml:space="preserve"> D</w:t>
      </w:r>
      <w:r w:rsidRPr="00612BEC" w:rsidR="00F10724">
        <w:rPr>
          <w:i/>
        </w:rPr>
        <w:t xml:space="preserve">ata </w:t>
      </w:r>
      <w:r w:rsidRPr="00612BEC" w:rsidR="00490736">
        <w:rPr>
          <w:i/>
        </w:rPr>
        <w:t>C</w:t>
      </w:r>
      <w:r w:rsidRPr="00612BEC" w:rsidR="00F10724">
        <w:rPr>
          <w:i/>
        </w:rPr>
        <w:t>orrections</w:t>
      </w:r>
    </w:p>
    <w:p w:rsidRPr="00612BEC" w:rsidR="003D7C35" w:rsidP="003D0BFA" w:rsidRDefault="003D7C35" w14:paraId="0841BFC1" w14:textId="77777777">
      <w:pPr>
        <w:tabs>
          <w:tab w:val="left" w:pos="-1200"/>
        </w:tabs>
      </w:pPr>
    </w:p>
    <w:p w:rsidRPr="004162A4" w:rsidR="00A231E0" w:rsidP="003D0BFA" w:rsidRDefault="00F10724" w14:paraId="5D66025D" w14:textId="77777777">
      <w:pPr>
        <w:tabs>
          <w:tab w:val="left" w:pos="-1200"/>
        </w:tabs>
      </w:pPr>
      <w:r w:rsidRPr="00612BEC">
        <w:t xml:space="preserve">40 CFR 262.24(h) provides that, </w:t>
      </w:r>
      <w:r w:rsidR="00814188">
        <w:t>a</w:t>
      </w:r>
      <w:r w:rsidRPr="00814188" w:rsidR="00814188">
        <w:t>fter facilities have certified to the receipt of hazardous wastes by signing Item 20 of the manifest, any post-receipt data corrections may be submitted at any time by any interested person (e.g., waste handler) named on the manifest. Generators may participate electronically in the post-receipt data corrections process by following the process described in 40 CFR 264.71(l), which applies to corrections made to either paper or electronic manifest records.</w:t>
      </w:r>
      <w:r w:rsidRPr="00612BEC" w:rsidR="00A231E0">
        <w:t xml:space="preserve"> [Refer to “Post-Receipt Manifest Data Corrections” for designated TSDFs in this section for additional information.]</w:t>
      </w:r>
    </w:p>
    <w:p w:rsidRPr="004162A4" w:rsidR="00F10724" w:rsidP="00FA3A49" w:rsidRDefault="00F10724" w14:paraId="2D758CEB" w14:textId="77777777">
      <w:pPr>
        <w:tabs>
          <w:tab w:val="left" w:pos="-1200"/>
        </w:tabs>
      </w:pPr>
    </w:p>
    <w:p w:rsidRPr="004162A4" w:rsidR="00A231E0" w:rsidP="009F0295" w:rsidRDefault="00A231E0" w14:paraId="11ABD2C3" w14:textId="77777777">
      <w:pPr>
        <w:keepNext/>
        <w:tabs>
          <w:tab w:val="left" w:pos="-1200"/>
        </w:tabs>
        <w:ind w:firstLine="720"/>
      </w:pPr>
      <w:r w:rsidRPr="004162A4">
        <w:rPr>
          <w:u w:val="single"/>
        </w:rPr>
        <w:lastRenderedPageBreak/>
        <w:t>Data Item</w:t>
      </w:r>
    </w:p>
    <w:p w:rsidRPr="004162A4" w:rsidR="00A231E0" w:rsidP="009F0295" w:rsidRDefault="00A231E0" w14:paraId="07C14FF2" w14:textId="77777777">
      <w:pPr>
        <w:keepNext/>
        <w:tabs>
          <w:tab w:val="left" w:pos="-1200"/>
        </w:tabs>
        <w:ind w:firstLine="720"/>
      </w:pPr>
    </w:p>
    <w:p w:rsidR="00425D37" w:rsidRDefault="00B160BD" w14:paraId="1E24A6DF" w14:textId="77777777">
      <w:pPr>
        <w:pStyle w:val="ListParagraph"/>
        <w:keepNext/>
        <w:widowControl/>
        <w:numPr>
          <w:ilvl w:val="0"/>
          <w:numId w:val="6"/>
        </w:numPr>
        <w:tabs>
          <w:tab w:val="left" w:pos="-1200"/>
        </w:tabs>
      </w:pPr>
      <w:r>
        <w:t>A c</w:t>
      </w:r>
      <w:r w:rsidRPr="004162A4" w:rsidR="00A231E0">
        <w:t>orrection submission</w:t>
      </w:r>
      <w:r w:rsidR="00633B7A">
        <w:t>.</w:t>
      </w:r>
    </w:p>
    <w:p w:rsidRPr="004162A4" w:rsidR="00825CFF" w:rsidP="00A231E0" w:rsidRDefault="00825CFF" w14:paraId="7F227613" w14:textId="77777777">
      <w:pPr>
        <w:tabs>
          <w:tab w:val="left" w:pos="-1200"/>
        </w:tabs>
      </w:pPr>
    </w:p>
    <w:p w:rsidRPr="004162A4" w:rsidR="00E3385F" w:rsidP="00E3385F" w:rsidRDefault="00E3385F" w14:paraId="6818B887" w14:textId="77777777">
      <w:pPr>
        <w:keepNext/>
        <w:tabs>
          <w:tab w:val="left" w:pos="-1200"/>
        </w:tabs>
        <w:ind w:firstLine="720"/>
      </w:pPr>
      <w:r w:rsidRPr="004162A4">
        <w:rPr>
          <w:u w:val="single"/>
        </w:rPr>
        <w:t>Respondent Activit</w:t>
      </w:r>
      <w:r w:rsidRPr="004162A4" w:rsidR="003D0BFA">
        <w:rPr>
          <w:u w:val="single"/>
        </w:rPr>
        <w:t>ies</w:t>
      </w:r>
    </w:p>
    <w:p w:rsidRPr="004162A4" w:rsidR="00825CFF" w:rsidP="00A231E0" w:rsidRDefault="00825CFF" w14:paraId="176BF62D" w14:textId="77777777">
      <w:pPr>
        <w:tabs>
          <w:tab w:val="left" w:pos="-1200"/>
        </w:tabs>
      </w:pPr>
    </w:p>
    <w:p w:rsidRPr="004162A4" w:rsidR="00825CFF" w:rsidP="00E40AA3" w:rsidRDefault="009A0648" w14:paraId="23CFDBBD" w14:textId="77777777">
      <w:pPr>
        <w:pStyle w:val="ListParagraph"/>
        <w:widowControl/>
        <w:numPr>
          <w:ilvl w:val="0"/>
          <w:numId w:val="6"/>
        </w:numPr>
        <w:tabs>
          <w:tab w:val="left" w:pos="-1200"/>
        </w:tabs>
      </w:pPr>
      <w:r w:rsidRPr="004162A4">
        <w:t>Off-line generators</w:t>
      </w:r>
      <w:r w:rsidRPr="004162A4" w:rsidR="00C8190F">
        <w:t xml:space="preserve"> (i.e., generators that do not have system access)</w:t>
      </w:r>
      <w:r w:rsidRPr="004162A4">
        <w:t xml:space="preserve"> </w:t>
      </w:r>
      <w:r w:rsidR="004162A4">
        <w:t>will</w:t>
      </w:r>
      <w:r w:rsidRPr="004162A4" w:rsidR="004162A4">
        <w:t xml:space="preserve"> </w:t>
      </w:r>
      <w:r w:rsidRPr="004162A4">
        <w:t>submit their email address and related contact information to the system to be notified of manifest corrections</w:t>
      </w:r>
      <w:r w:rsidRPr="004162A4" w:rsidR="00D96072">
        <w:t xml:space="preserve"> by other parties</w:t>
      </w:r>
      <w:r w:rsidRPr="004162A4">
        <w:t>.</w:t>
      </w:r>
    </w:p>
    <w:p w:rsidRPr="004162A4" w:rsidR="009A0648" w:rsidP="009A0648" w:rsidRDefault="009A0648" w14:paraId="782DAEC2" w14:textId="77777777">
      <w:pPr>
        <w:pStyle w:val="ListParagraph"/>
        <w:widowControl/>
        <w:tabs>
          <w:tab w:val="left" w:pos="-1200"/>
        </w:tabs>
        <w:ind w:left="1080"/>
      </w:pPr>
    </w:p>
    <w:p w:rsidR="009A0648" w:rsidP="00E40AA3" w:rsidRDefault="0046445D" w14:paraId="0B964529" w14:textId="77777777">
      <w:pPr>
        <w:pStyle w:val="ListParagraph"/>
        <w:widowControl/>
        <w:numPr>
          <w:ilvl w:val="0"/>
          <w:numId w:val="6"/>
        </w:numPr>
        <w:tabs>
          <w:tab w:val="left" w:pos="-1200"/>
        </w:tabs>
      </w:pPr>
      <w:r w:rsidRPr="004162A4">
        <w:t>G</w:t>
      </w:r>
      <w:r w:rsidRPr="004162A4" w:rsidR="009A0648">
        <w:t>enerator</w:t>
      </w:r>
      <w:r w:rsidRPr="004162A4">
        <w:t>s</w:t>
      </w:r>
      <w:r w:rsidRPr="004162A4" w:rsidR="009A0648">
        <w:t xml:space="preserve"> with system access may submit a correction </w:t>
      </w:r>
      <w:r w:rsidRPr="004162A4" w:rsidR="006E7E7F">
        <w:t xml:space="preserve">or receive a notice of another submitter’s correction and respond with comments to the submitter or </w:t>
      </w:r>
      <w:r w:rsidRPr="004162A4">
        <w:t xml:space="preserve">submit </w:t>
      </w:r>
      <w:r w:rsidRPr="004162A4" w:rsidR="006E7E7F">
        <w:t>another correction to the system</w:t>
      </w:r>
      <w:r w:rsidRPr="004162A4" w:rsidR="009A0648">
        <w:t>.</w:t>
      </w:r>
    </w:p>
    <w:p w:rsidR="00825CFF" w:rsidP="00A231E0" w:rsidRDefault="00825CFF" w14:paraId="1EE7F2F7" w14:textId="77777777">
      <w:pPr>
        <w:tabs>
          <w:tab w:val="left" w:pos="-1200"/>
        </w:tabs>
      </w:pPr>
    </w:p>
    <w:p w:rsidR="00CB3918" w:rsidP="00B23417" w:rsidRDefault="00CB3918" w14:paraId="4360A2A1" w14:textId="77777777">
      <w:pPr>
        <w:keepNext/>
        <w:tabs>
          <w:tab w:val="left" w:pos="-1200"/>
        </w:tabs>
      </w:pPr>
      <w:r>
        <w:tab/>
        <w:t>(</w:t>
      </w:r>
      <w:r w:rsidR="0014205A">
        <w:t>e</w:t>
      </w:r>
      <w:r>
        <w:t>)</w:t>
      </w:r>
      <w:r>
        <w:tab/>
        <w:t>Electronic Manifest Signatures</w:t>
      </w:r>
    </w:p>
    <w:p w:rsidR="00CB3918" w:rsidP="00B23417" w:rsidRDefault="00CB3918" w14:paraId="6D4BDD77" w14:textId="77777777">
      <w:pPr>
        <w:keepNext/>
        <w:tabs>
          <w:tab w:val="left" w:pos="-1200"/>
        </w:tabs>
      </w:pPr>
    </w:p>
    <w:p w:rsidR="00CB3918" w:rsidP="00B23417" w:rsidRDefault="00CB3918" w14:paraId="127C1C6A" w14:textId="77777777">
      <w:pPr>
        <w:keepNext/>
        <w:tabs>
          <w:tab w:val="left" w:pos="-1200"/>
        </w:tabs>
      </w:pPr>
      <w:r>
        <w:t xml:space="preserve">40 CFR 262.25(a) provides that electronic signature methods for the e-Manifest system shall (1) be a legally valid and enforceable signature under applicable EPA and other </w:t>
      </w:r>
      <w:r w:rsidR="00521F32">
        <w:t>federal</w:t>
      </w:r>
      <w:r>
        <w:t xml:space="preserve"> requirements pertaining to electronic signatures; and (2) be a method that is designed and implemented in a manner that EPA considers to be as cost-effective and practical as possible for the users of the manifest. [Note:  There are no data items or activities associated with section 262.25(a).]</w:t>
      </w:r>
    </w:p>
    <w:p w:rsidR="00CB3918" w:rsidP="00FA3A49" w:rsidRDefault="00CB3918" w14:paraId="3E5ABD7D" w14:textId="77777777">
      <w:pPr>
        <w:tabs>
          <w:tab w:val="left" w:pos="-1200"/>
        </w:tabs>
      </w:pPr>
    </w:p>
    <w:p w:rsidRPr="00853414" w:rsidR="000F4D0A" w:rsidP="00116950" w:rsidRDefault="00D46CB2" w14:paraId="3A2439FB" w14:textId="77777777">
      <w:pPr>
        <w:tabs>
          <w:tab w:val="left" w:pos="-1200"/>
        </w:tabs>
        <w:ind w:left="1440" w:hanging="720"/>
      </w:pPr>
      <w:r>
        <w:t>(</w:t>
      </w:r>
      <w:r w:rsidR="0014205A">
        <w:t>f</w:t>
      </w:r>
      <w:r w:rsidRPr="00853414" w:rsidR="000F4D0A">
        <w:t>)</w:t>
      </w:r>
      <w:r w:rsidRPr="00853414" w:rsidR="000F4D0A">
        <w:tab/>
        <w:t>Undeliverable Shipments</w:t>
      </w:r>
    </w:p>
    <w:p w:rsidRPr="00853414" w:rsidR="000F4D0A" w:rsidP="00116950" w:rsidRDefault="000F4D0A" w14:paraId="1AD1164C" w14:textId="77777777">
      <w:pPr>
        <w:tabs>
          <w:tab w:val="left" w:pos="-1200"/>
        </w:tabs>
      </w:pPr>
    </w:p>
    <w:p w:rsidR="00201D1C" w:rsidP="0015446A" w:rsidRDefault="0015446A" w14:paraId="6251195B" w14:textId="77777777">
      <w:pPr>
        <w:tabs>
          <w:tab w:val="left" w:pos="-1200"/>
        </w:tabs>
      </w:pPr>
      <w:r w:rsidRPr="00E76B2E">
        <w:t>If the transporter is unable to deliver the hazardous waste to the designated facility or the alternate facility, the generator must either designate another facility or instruct the transporter to return the waste</w:t>
      </w:r>
      <w:r w:rsidRPr="00E76B2E" w:rsidR="000F4D0A">
        <w:t>, as required by 40 CFR 262.20(d)</w:t>
      </w:r>
      <w:r w:rsidRPr="00E76B2E" w:rsidR="000E6596">
        <w:t xml:space="preserve">. </w:t>
      </w:r>
      <w:r w:rsidRPr="00E76B2E" w:rsidR="009D4227">
        <w:t>40 CFR 262.84(c)(5) provides that, in lieu of the requirements of section 262.20(d), where a</w:t>
      </w:r>
      <w:r w:rsidRPr="00E76B2E" w:rsidR="00546D35">
        <w:t>n import</w:t>
      </w:r>
      <w:r w:rsidRPr="00E76B2E" w:rsidR="009D4227">
        <w:t xml:space="preserve"> shipment cannot be delivered for any reason to the receiving facility, the importer must instruct the transporter in writing via fax, </w:t>
      </w:r>
      <w:proofErr w:type="gramStart"/>
      <w:r w:rsidRPr="00E76B2E" w:rsidR="009D4227">
        <w:t>email</w:t>
      </w:r>
      <w:proofErr w:type="gramEnd"/>
      <w:r w:rsidRPr="00E76B2E" w:rsidR="009D4227">
        <w:t xml:space="preserve"> or mail to (i) return the hazardous waste to the foreign exporter or designate another facility within the United States; and (ii) revise the manifest in accordance with the importer’s instructions</w:t>
      </w:r>
      <w:r w:rsidRPr="00E76B2E" w:rsidR="00DF55D9">
        <w:t>.</w:t>
      </w:r>
      <w:r w:rsidRPr="00E76B2E" w:rsidR="001F00D1">
        <w:rPr>
          <w:rStyle w:val="FootnoteReference"/>
          <w:vertAlign w:val="superscript"/>
        </w:rPr>
        <w:footnoteReference w:id="3"/>
      </w:r>
    </w:p>
    <w:p w:rsidR="00A32A47" w:rsidP="0015446A" w:rsidRDefault="00A32A47" w14:paraId="5C46974B" w14:textId="77777777">
      <w:pPr>
        <w:tabs>
          <w:tab w:val="left" w:pos="-1200"/>
        </w:tabs>
      </w:pPr>
    </w:p>
    <w:p w:rsidR="000F4D0A" w:rsidP="00256E39" w:rsidRDefault="00361F4A" w14:paraId="1B26ECEB" w14:textId="77777777">
      <w:pPr>
        <w:keepNext/>
        <w:tabs>
          <w:tab w:val="left" w:pos="-1200"/>
        </w:tabs>
        <w:ind w:firstLine="720"/>
      </w:pPr>
      <w:r w:rsidRPr="00361F4A">
        <w:rPr>
          <w:u w:val="single"/>
        </w:rPr>
        <w:t>Data Item</w:t>
      </w:r>
      <w:r w:rsidR="00F747E9">
        <w:rPr>
          <w:u w:val="single"/>
        </w:rPr>
        <w:t>s</w:t>
      </w:r>
    </w:p>
    <w:p w:rsidRPr="00853414" w:rsidR="000F0B94" w:rsidP="00256E39" w:rsidRDefault="000F0B94" w14:paraId="3F5BB096" w14:textId="77777777">
      <w:pPr>
        <w:keepNext/>
        <w:tabs>
          <w:tab w:val="left" w:pos="-1200"/>
        </w:tabs>
        <w:ind w:firstLine="720"/>
      </w:pPr>
    </w:p>
    <w:p w:rsidRPr="00E76B2E" w:rsidR="000F4D0A" w:rsidP="00256E39" w:rsidRDefault="000F4D0A" w14:paraId="3B9253B1" w14:textId="77777777">
      <w:pPr>
        <w:pStyle w:val="NoSpacing"/>
        <w:keepNext/>
        <w:widowControl/>
      </w:pPr>
      <w:r w:rsidRPr="00E76B2E">
        <w:t xml:space="preserve">Instructions to the transporter on how to deal with shipments that cannot be delivered to the designated or the alternate </w:t>
      </w:r>
      <w:r w:rsidRPr="00E76B2E" w:rsidR="00D3102F">
        <w:t>designated facility</w:t>
      </w:r>
      <w:r w:rsidRPr="00E76B2E">
        <w:t>.</w:t>
      </w:r>
    </w:p>
    <w:p w:rsidRPr="00E76B2E" w:rsidR="00C17F5B" w:rsidP="00C17F5B" w:rsidRDefault="00C17F5B" w14:paraId="77A18809" w14:textId="77777777">
      <w:pPr>
        <w:pStyle w:val="NoSpacing"/>
        <w:keepNext/>
        <w:widowControl/>
        <w:numPr>
          <w:ilvl w:val="0"/>
          <w:numId w:val="0"/>
        </w:numPr>
        <w:ind w:left="1080"/>
      </w:pPr>
    </w:p>
    <w:p w:rsidRPr="00E76B2E" w:rsidR="00C17F5B" w:rsidP="00C17F5B" w:rsidRDefault="00C17F5B" w14:paraId="0AECC034" w14:textId="77777777">
      <w:pPr>
        <w:pStyle w:val="NoSpacing"/>
        <w:keepNext/>
        <w:widowControl/>
      </w:pPr>
      <w:r w:rsidRPr="00E76B2E">
        <w:t>For imports: I</w:t>
      </w:r>
      <w:r w:rsidRPr="00E76B2E" w:rsidR="00D04FCA">
        <w:t>nstruct</w:t>
      </w:r>
      <w:r w:rsidRPr="00E76B2E" w:rsidR="001973B5">
        <w:t xml:space="preserve">ions to </w:t>
      </w:r>
      <w:r w:rsidRPr="00E76B2E" w:rsidR="00D04FCA">
        <w:t xml:space="preserve">the transporter in writing via fax, </w:t>
      </w:r>
      <w:proofErr w:type="gramStart"/>
      <w:r w:rsidRPr="00E76B2E" w:rsidR="00D04FCA">
        <w:t>email</w:t>
      </w:r>
      <w:proofErr w:type="gramEnd"/>
      <w:r w:rsidRPr="00E76B2E" w:rsidR="00D04FCA">
        <w:t xml:space="preserve"> or mail</w:t>
      </w:r>
      <w:r w:rsidRPr="00E76B2E" w:rsidR="001973B5">
        <w:t>, as specified.</w:t>
      </w:r>
    </w:p>
    <w:p w:rsidRPr="00E76B2E" w:rsidR="000F4D0A" w:rsidP="00FA3A49" w:rsidRDefault="000F4D0A" w14:paraId="379632FA" w14:textId="77777777">
      <w:pPr>
        <w:tabs>
          <w:tab w:val="left" w:pos="-1200"/>
        </w:tabs>
      </w:pPr>
    </w:p>
    <w:p w:rsidRPr="00E76B2E" w:rsidR="000F4D0A" w:rsidP="00C17F5B" w:rsidRDefault="00361F4A" w14:paraId="182E817B" w14:textId="77777777">
      <w:pPr>
        <w:tabs>
          <w:tab w:val="left" w:pos="-1200"/>
        </w:tabs>
        <w:ind w:firstLine="720"/>
      </w:pPr>
      <w:r w:rsidRPr="00E76B2E">
        <w:rPr>
          <w:u w:val="single"/>
        </w:rPr>
        <w:t>Respondent Activit</w:t>
      </w:r>
      <w:r w:rsidRPr="00E76B2E" w:rsidR="00F747E9">
        <w:rPr>
          <w:u w:val="single"/>
        </w:rPr>
        <w:t>ies</w:t>
      </w:r>
    </w:p>
    <w:p w:rsidRPr="00E76B2E" w:rsidR="000F0B94" w:rsidP="00C17F5B" w:rsidRDefault="000F0B94" w14:paraId="4B2A0B4C" w14:textId="77777777">
      <w:pPr>
        <w:tabs>
          <w:tab w:val="left" w:pos="-1200"/>
        </w:tabs>
        <w:ind w:firstLine="720"/>
      </w:pPr>
    </w:p>
    <w:p w:rsidRPr="00E76B2E" w:rsidR="00D04FCA" w:rsidP="00D04FCA" w:rsidRDefault="00C17F5B" w14:paraId="2700449E" w14:textId="77777777">
      <w:pPr>
        <w:pStyle w:val="NoSpacing"/>
        <w:widowControl/>
      </w:pPr>
      <w:r w:rsidRPr="00E76B2E">
        <w:lastRenderedPageBreak/>
        <w:t>For</w:t>
      </w:r>
      <w:r w:rsidRPr="00E76B2E" w:rsidR="00006824">
        <w:t xml:space="preserve"> </w:t>
      </w:r>
      <w:r w:rsidRPr="00E76B2E">
        <w:t>shipments that a transporter is unable to deliver to the designated facility or the alternate facility, generators must designate another facility or instruct the transporter to return the waste, as required by section 262.20(d).</w:t>
      </w:r>
    </w:p>
    <w:p w:rsidRPr="00E76B2E" w:rsidR="00C17F5B" w:rsidP="00C17F5B" w:rsidRDefault="00C17F5B" w14:paraId="50552B5A" w14:textId="77777777">
      <w:pPr>
        <w:pStyle w:val="NoSpacing"/>
        <w:widowControl/>
        <w:numPr>
          <w:ilvl w:val="0"/>
          <w:numId w:val="0"/>
        </w:numPr>
        <w:ind w:left="1080"/>
      </w:pPr>
    </w:p>
    <w:p w:rsidRPr="00E76B2E" w:rsidR="00D04FCA" w:rsidP="00D04FCA" w:rsidRDefault="00C17F5B" w14:paraId="6E6D003F" w14:textId="77777777">
      <w:pPr>
        <w:pStyle w:val="ListParagraph"/>
        <w:widowControl/>
        <w:numPr>
          <w:ilvl w:val="0"/>
          <w:numId w:val="35"/>
        </w:numPr>
        <w:tabs>
          <w:tab w:val="left" w:pos="-1200"/>
        </w:tabs>
        <w:ind w:left="1080"/>
      </w:pPr>
      <w:r w:rsidRPr="00E76B2E">
        <w:t>I</w:t>
      </w:r>
      <w:r w:rsidRPr="00E76B2E" w:rsidR="00D04FCA">
        <w:t>n lieu of the requirements of section 262.20(d), where a</w:t>
      </w:r>
      <w:r w:rsidRPr="00E76B2E" w:rsidR="00006824">
        <w:t>n import</w:t>
      </w:r>
      <w:r w:rsidRPr="00E76B2E" w:rsidR="00D04FCA">
        <w:t xml:space="preserve"> shipment cannot be delivered for any reason to the receiving facility, the importer must instruct the transporter in writing via fax, </w:t>
      </w:r>
      <w:proofErr w:type="gramStart"/>
      <w:r w:rsidRPr="00E76B2E" w:rsidR="00D04FCA">
        <w:t>email</w:t>
      </w:r>
      <w:proofErr w:type="gramEnd"/>
      <w:r w:rsidRPr="00E76B2E" w:rsidR="00D04FCA">
        <w:t xml:space="preserve"> or mail to (i) return the hazardous waste to the foreign exporter or designate another facility within the United States; and (ii) revise the manifest in accordance with the importer’s instructions</w:t>
      </w:r>
      <w:r w:rsidRPr="00E76B2E">
        <w:t>.</w:t>
      </w:r>
    </w:p>
    <w:p w:rsidR="00E76B2E" w:rsidP="00E76B2E" w:rsidRDefault="00E76B2E" w14:paraId="66AF67F2" w14:textId="77777777">
      <w:pPr>
        <w:pStyle w:val="ListParagraph"/>
        <w:widowControl/>
        <w:tabs>
          <w:tab w:val="left" w:pos="-1200"/>
        </w:tabs>
        <w:ind w:left="1080"/>
      </w:pPr>
    </w:p>
    <w:p w:rsidRPr="00853414" w:rsidR="000F4D0A" w:rsidP="00FA3A49" w:rsidRDefault="00BE70A6" w14:paraId="7233A0E1" w14:textId="77777777">
      <w:pPr>
        <w:ind w:firstLine="720"/>
      </w:pPr>
      <w:r>
        <w:t>(</w:t>
      </w:r>
      <w:r w:rsidR="0014205A">
        <w:t>g</w:t>
      </w:r>
      <w:r w:rsidR="00D46CB2">
        <w:t>)</w:t>
      </w:r>
      <w:r w:rsidR="00D46CB2">
        <w:tab/>
      </w:r>
      <w:r w:rsidRPr="00853414" w:rsidR="000F4D0A">
        <w:t>Rejected Waste and Container Residues</w:t>
      </w:r>
    </w:p>
    <w:p w:rsidRPr="00853414" w:rsidR="000F4D0A" w:rsidP="00FA3A49" w:rsidRDefault="000F4D0A" w14:paraId="41AFBC24" w14:textId="77777777">
      <w:pPr>
        <w:tabs>
          <w:tab w:val="left" w:pos="-1200"/>
        </w:tabs>
      </w:pPr>
    </w:p>
    <w:p w:rsidR="008A31A2" w:rsidP="008A31A2" w:rsidRDefault="008A31A2" w14:paraId="0DD19A35" w14:textId="77777777">
      <w:pPr>
        <w:tabs>
          <w:tab w:val="left" w:pos="-1200"/>
        </w:tabs>
        <w:rPr>
          <w:highlight w:val="yellow"/>
        </w:rPr>
      </w:pPr>
      <w:r w:rsidRPr="00E76B2E">
        <w:t>Under 40 CFR 262.23(f), for rejected shipments of hazardous waste or container residues contained in non-empty containers that are returned</w:t>
      </w:r>
      <w:r>
        <w:t xml:space="preserve"> to the generator by the designated facility (following the procedures of 40 CFR 264.72(f) or 265.72(f)), the generator must sign either (i) Item 20 of the new manifest if a new manifest is used for the returned shipment; or (ii) Item 18c of the original manifest if the original manifest is used for the returned shipment. The generator must provide the transporter a copy of the manifest and, within 30 days of delivery of the rejected shipment or container residues contained in non-empty containers, the generator must send a copy of the manifest to the designated facility that returned the shipment to the generator and retain at the generator’s site a copy of each manifest for at least three years from the date of delivery.</w:t>
      </w:r>
    </w:p>
    <w:p w:rsidRPr="00853414" w:rsidR="000F4D0A" w:rsidP="00FA3A49" w:rsidRDefault="000F4D0A" w14:paraId="3D1590A9" w14:textId="77777777">
      <w:pPr>
        <w:tabs>
          <w:tab w:val="left" w:pos="-1200"/>
        </w:tabs>
      </w:pPr>
    </w:p>
    <w:p w:rsidRPr="00853414" w:rsidR="000F4D0A" w:rsidP="001D67C6" w:rsidRDefault="00361F4A" w14:paraId="7F5B8014" w14:textId="77777777">
      <w:pPr>
        <w:keepNext/>
        <w:tabs>
          <w:tab w:val="left" w:pos="-1200"/>
        </w:tabs>
        <w:ind w:firstLine="720"/>
        <w:rPr>
          <w:lang w:val="pt-BR"/>
        </w:rPr>
      </w:pPr>
      <w:r w:rsidRPr="00361F4A">
        <w:rPr>
          <w:u w:val="single"/>
          <w:lang w:val="pt-BR"/>
        </w:rPr>
        <w:t>Data Item</w:t>
      </w:r>
    </w:p>
    <w:p w:rsidR="007B49D3" w:rsidP="001D67C6" w:rsidRDefault="007B49D3" w14:paraId="744D738D" w14:textId="77777777">
      <w:pPr>
        <w:pStyle w:val="a"/>
        <w:keepNext/>
        <w:widowControl/>
        <w:tabs>
          <w:tab w:val="left" w:pos="-1200"/>
        </w:tabs>
      </w:pPr>
    </w:p>
    <w:p w:rsidRPr="00853414" w:rsidR="000F4D0A" w:rsidP="001D67C6" w:rsidRDefault="00E271D2" w14:paraId="5A56E4D4" w14:textId="77777777">
      <w:pPr>
        <w:pStyle w:val="NoSpacing"/>
        <w:keepNext/>
        <w:widowControl/>
        <w:rPr>
          <w:lang w:val="pt-BR"/>
        </w:rPr>
      </w:pPr>
      <w:r>
        <w:rPr>
          <w:lang w:val="pt-BR"/>
        </w:rPr>
        <w:t>A</w:t>
      </w:r>
      <w:r w:rsidRPr="00853414" w:rsidR="000F4D0A">
        <w:rPr>
          <w:lang w:val="pt-BR"/>
        </w:rPr>
        <w:t xml:space="preserve"> </w:t>
      </w:r>
      <w:r w:rsidR="00BF3E2E">
        <w:rPr>
          <w:lang w:val="pt-BR"/>
        </w:rPr>
        <w:t xml:space="preserve">paper or electronic </w:t>
      </w:r>
      <w:r w:rsidRPr="00853414" w:rsidR="000F4D0A">
        <w:rPr>
          <w:lang w:val="pt-BR"/>
        </w:rPr>
        <w:t>manifest.</w:t>
      </w:r>
    </w:p>
    <w:p w:rsidRPr="00853414" w:rsidR="000F4D0A" w:rsidP="00FA3A49" w:rsidRDefault="000F4D0A" w14:paraId="5295758D" w14:textId="77777777">
      <w:pPr>
        <w:tabs>
          <w:tab w:val="left" w:pos="-1200"/>
        </w:tabs>
        <w:ind w:firstLine="720"/>
        <w:rPr>
          <w:lang w:val="pt-BR"/>
        </w:rPr>
      </w:pPr>
    </w:p>
    <w:p w:rsidRPr="00853414" w:rsidR="000F4D0A" w:rsidP="00FA3A49" w:rsidRDefault="00886BEF" w14:paraId="4ACB8893" w14:textId="77777777">
      <w:pPr>
        <w:tabs>
          <w:tab w:val="left" w:pos="-1200"/>
        </w:tabs>
        <w:ind w:firstLine="720"/>
      </w:pPr>
      <w:r w:rsidRPr="00886BEF">
        <w:rPr>
          <w:u w:val="single"/>
        </w:rPr>
        <w:t>Respondent Activities</w:t>
      </w:r>
    </w:p>
    <w:p w:rsidR="007B49D3" w:rsidP="00FA3A49" w:rsidRDefault="007B49D3" w14:paraId="7D434DE2" w14:textId="77777777">
      <w:pPr>
        <w:pStyle w:val="Level1"/>
        <w:widowControl/>
        <w:tabs>
          <w:tab w:val="left" w:pos="-1200"/>
        </w:tabs>
        <w:ind w:left="720" w:firstLine="0"/>
        <w:outlineLvl w:val="9"/>
      </w:pPr>
    </w:p>
    <w:p w:rsidRPr="003B0A38" w:rsidR="003B0A38" w:rsidP="00FA3A49" w:rsidRDefault="003B0A38" w14:paraId="1A0FD92E" w14:textId="77777777">
      <w:pPr>
        <w:pStyle w:val="Level1"/>
        <w:widowControl/>
        <w:tabs>
          <w:tab w:val="left" w:pos="-1200"/>
        </w:tabs>
        <w:ind w:left="720" w:firstLine="0"/>
        <w:outlineLvl w:val="9"/>
        <w:rPr>
          <w:b/>
        </w:rPr>
      </w:pPr>
      <w:r w:rsidRPr="003B0A38">
        <w:rPr>
          <w:b/>
        </w:rPr>
        <w:t>Paper Manifest</w:t>
      </w:r>
    </w:p>
    <w:p w:rsidR="003B0A38" w:rsidP="00FA3A49" w:rsidRDefault="003B0A38" w14:paraId="6D0B79C6" w14:textId="77777777">
      <w:pPr>
        <w:pStyle w:val="Level1"/>
        <w:widowControl/>
        <w:tabs>
          <w:tab w:val="left" w:pos="-1200"/>
        </w:tabs>
        <w:ind w:left="720" w:firstLine="0"/>
        <w:outlineLvl w:val="9"/>
      </w:pPr>
    </w:p>
    <w:p w:rsidR="009C22D4" w:rsidP="00FA3A49" w:rsidRDefault="009C22D4" w14:paraId="6C4B8661" w14:textId="77777777">
      <w:pPr>
        <w:pStyle w:val="NoSpacing"/>
        <w:widowControl/>
      </w:pPr>
      <w:r>
        <w:t>Generators must perform the following activities:</w:t>
      </w:r>
    </w:p>
    <w:p w:rsidRPr="00853414" w:rsidR="000F4D0A" w:rsidP="00FA3A49" w:rsidRDefault="000F4D0A" w14:paraId="286F3558" w14:textId="77777777">
      <w:pPr>
        <w:pStyle w:val="Subtitle"/>
        <w:keepNext w:val="0"/>
        <w:keepLines w:val="0"/>
      </w:pPr>
      <w:r w:rsidRPr="00853414">
        <w:t xml:space="preserve">Sign Item 18c of the </w:t>
      </w:r>
      <w:proofErr w:type="gramStart"/>
      <w:r w:rsidRPr="00853414">
        <w:t>manifest, if</w:t>
      </w:r>
      <w:proofErr w:type="gramEnd"/>
      <w:r w:rsidRPr="00853414">
        <w:t xml:space="preserve"> the transporter returned the shipment using the original manifest.</w:t>
      </w:r>
    </w:p>
    <w:p w:rsidR="000F4D0A" w:rsidP="00FA3A49" w:rsidRDefault="000F4D0A" w14:paraId="4D5E3F6B" w14:textId="77777777">
      <w:pPr>
        <w:pStyle w:val="Subtitle"/>
        <w:keepNext w:val="0"/>
        <w:keepLines w:val="0"/>
      </w:pPr>
      <w:r w:rsidRPr="00853414">
        <w:t>Sign Item 20 of the manifest, if the transporter returned the shipment using a new manifest.</w:t>
      </w:r>
    </w:p>
    <w:p w:rsidR="007B49D3" w:rsidP="00FA3A49" w:rsidRDefault="007B49D3" w14:paraId="33B3CC88" w14:textId="77777777">
      <w:pPr>
        <w:pStyle w:val="Subtitle"/>
        <w:keepNext w:val="0"/>
        <w:keepLines w:val="0"/>
      </w:pPr>
      <w:r>
        <w:t>Provide the transporter a copy of the manifest.</w:t>
      </w:r>
    </w:p>
    <w:p w:rsidR="007B49D3" w:rsidP="00FA3A49" w:rsidRDefault="007B49D3" w14:paraId="13BA3D06" w14:textId="77777777">
      <w:pPr>
        <w:pStyle w:val="Subtitle"/>
        <w:keepNext w:val="0"/>
        <w:keepLines w:val="0"/>
      </w:pPr>
      <w:r>
        <w:t>Within 30 days of delivery, send a copy to the designated</w:t>
      </w:r>
      <w:r w:rsidR="00D3102F">
        <w:t xml:space="preserve"> facility</w:t>
      </w:r>
      <w:r>
        <w:t xml:space="preserve"> that returned the shipment to the generator.</w:t>
      </w:r>
    </w:p>
    <w:p w:rsidR="007B49D3" w:rsidP="00FA3A49" w:rsidRDefault="007B49D3" w14:paraId="6AC3CAD2" w14:textId="77777777">
      <w:pPr>
        <w:pStyle w:val="Subtitle"/>
        <w:keepNext w:val="0"/>
        <w:keepLines w:val="0"/>
      </w:pPr>
      <w:r>
        <w:t>Retain a copy.</w:t>
      </w:r>
    </w:p>
    <w:p w:rsidR="000F4D0A" w:rsidP="00FA3A49" w:rsidRDefault="000F4D0A" w14:paraId="7448CA9B" w14:textId="77777777">
      <w:pPr>
        <w:pStyle w:val="NoSpacing"/>
        <w:widowControl/>
        <w:numPr>
          <w:ilvl w:val="0"/>
          <w:numId w:val="0"/>
        </w:numPr>
        <w:ind w:left="1080" w:hanging="360"/>
      </w:pPr>
    </w:p>
    <w:p w:rsidRPr="003B0A38" w:rsidR="003B0A38" w:rsidP="000152A7" w:rsidRDefault="003B0A38" w14:paraId="279180DD" w14:textId="77777777">
      <w:pPr>
        <w:pStyle w:val="NoSpacing"/>
        <w:keepNext/>
        <w:widowControl/>
        <w:numPr>
          <w:ilvl w:val="0"/>
          <w:numId w:val="0"/>
        </w:numPr>
        <w:ind w:left="1080" w:hanging="360"/>
        <w:rPr>
          <w:b/>
        </w:rPr>
      </w:pPr>
      <w:r w:rsidRPr="003B0A38">
        <w:rPr>
          <w:b/>
        </w:rPr>
        <w:lastRenderedPageBreak/>
        <w:t>Electronic Manifest</w:t>
      </w:r>
    </w:p>
    <w:p w:rsidR="003B0A38" w:rsidP="000152A7" w:rsidRDefault="003B0A38" w14:paraId="14096F23" w14:textId="77777777">
      <w:pPr>
        <w:pStyle w:val="ListParagraph"/>
        <w:keepNext/>
        <w:widowControl/>
        <w:ind w:left="1080"/>
      </w:pPr>
    </w:p>
    <w:p w:rsidR="003D6E1D" w:rsidP="0087757C" w:rsidRDefault="003B0A38" w14:paraId="48F944D1" w14:textId="77777777">
      <w:pPr>
        <w:pStyle w:val="ListParagraph"/>
        <w:keepNext/>
        <w:widowControl/>
        <w:numPr>
          <w:ilvl w:val="0"/>
          <w:numId w:val="6"/>
        </w:numPr>
      </w:pPr>
      <w:r>
        <w:t xml:space="preserve">Generators must </w:t>
      </w:r>
      <w:r w:rsidR="00323FE4">
        <w:t>perform the above activities</w:t>
      </w:r>
      <w:r>
        <w:t xml:space="preserve"> in accordance with sections 262.20(a)(3) and 262.24 for completing, signing, providing, </w:t>
      </w:r>
      <w:proofErr w:type="gramStart"/>
      <w:r>
        <w:t>using</w:t>
      </w:r>
      <w:proofErr w:type="gramEnd"/>
      <w:r>
        <w:t xml:space="preserve"> </w:t>
      </w:r>
      <w:r w:rsidR="00323FE4">
        <w:t>and</w:t>
      </w:r>
      <w:r>
        <w:t xml:space="preserve"> retaining the electronic manifest.</w:t>
      </w:r>
    </w:p>
    <w:p w:rsidRPr="00853414" w:rsidR="003B0A38" w:rsidP="00FA3A49" w:rsidRDefault="003B0A38" w14:paraId="1DD1DB1F" w14:textId="77777777">
      <w:pPr>
        <w:pStyle w:val="NoSpacing"/>
        <w:widowControl/>
        <w:numPr>
          <w:ilvl w:val="0"/>
          <w:numId w:val="0"/>
        </w:numPr>
        <w:ind w:left="1080" w:hanging="360"/>
      </w:pPr>
    </w:p>
    <w:p w:rsidRPr="00853414" w:rsidR="000F4D0A" w:rsidP="00FA3A49" w:rsidRDefault="00D46CB2" w14:paraId="16CFFBE5" w14:textId="77777777">
      <w:pPr>
        <w:keepNext/>
        <w:tabs>
          <w:tab w:val="left" w:pos="-1200"/>
        </w:tabs>
        <w:ind w:left="1440" w:hanging="720"/>
      </w:pPr>
      <w:r>
        <w:t>(</w:t>
      </w:r>
      <w:r w:rsidR="0014205A">
        <w:t>h</w:t>
      </w:r>
      <w:r w:rsidRPr="00853414" w:rsidR="000F4D0A">
        <w:t>)</w:t>
      </w:r>
      <w:r w:rsidRPr="00853414" w:rsidR="000F4D0A">
        <w:tab/>
        <w:t>Exception Reports:  Completion, Submission, and Recordkeeping</w:t>
      </w:r>
    </w:p>
    <w:p w:rsidRPr="00853414" w:rsidR="000F4D0A" w:rsidP="00FA3A49" w:rsidRDefault="000F4D0A" w14:paraId="43FF4C8B" w14:textId="77777777">
      <w:pPr>
        <w:keepNext/>
        <w:tabs>
          <w:tab w:val="left" w:pos="-1200"/>
        </w:tabs>
      </w:pPr>
    </w:p>
    <w:p w:rsidRPr="00853414" w:rsidR="000F4D0A" w:rsidP="00FA3A49" w:rsidRDefault="00B345C2" w14:paraId="34284DDC" w14:textId="77777777">
      <w:pPr>
        <w:keepNext/>
        <w:tabs>
          <w:tab w:val="left" w:pos="-1200"/>
        </w:tabs>
      </w:pPr>
      <w:r>
        <w:t>In the event a large quantity generator (</w:t>
      </w:r>
      <w:r w:rsidRPr="00853414" w:rsidR="000F4D0A">
        <w:t>LQG</w:t>
      </w:r>
      <w:r>
        <w:t>)</w:t>
      </w:r>
      <w:r w:rsidRPr="00853414" w:rsidR="000F4D0A">
        <w:t xml:space="preserve"> does not receive a copy of the signed manifest from the designated facility owner/operator within 35 days of the date the waste was accepted by the initial transporter, the LQG must contact the transporter and/or the owner/operator of the designated facility to determine the status of the hazardous waste</w:t>
      </w:r>
      <w:r w:rsidR="000E6596">
        <w:t xml:space="preserve">. </w:t>
      </w:r>
      <w:r w:rsidRPr="00853414" w:rsidR="000F4D0A">
        <w:t xml:space="preserve">The LQG must submit an exception report to </w:t>
      </w:r>
      <w:r w:rsidR="00CB2DBC">
        <w:t>EPA</w:t>
      </w:r>
      <w:r w:rsidRPr="00853414" w:rsidR="000F4D0A">
        <w:t xml:space="preserve"> if he/she has not received a copy of the signed manifest from the designated facility owner/operator within 45 days of the date the waste was accepted by the initial transporter and must retain a copy of the exception report for at least </w:t>
      </w:r>
      <w:r w:rsidR="00C24DDC">
        <w:t>3</w:t>
      </w:r>
      <w:r w:rsidRPr="00853414" w:rsidR="000F4D0A">
        <w:t xml:space="preserve"> years from the due date of the report, in accordance with 40 CFR 262.42(a) and 262.40(b)</w:t>
      </w:r>
      <w:r w:rsidR="000E6596">
        <w:t xml:space="preserve">. </w:t>
      </w:r>
    </w:p>
    <w:p w:rsidR="000F4D0A" w:rsidP="00FA3A49" w:rsidRDefault="000F4D0A" w14:paraId="093FB0D7" w14:textId="77777777">
      <w:pPr>
        <w:tabs>
          <w:tab w:val="left" w:pos="-1200"/>
        </w:tabs>
      </w:pPr>
    </w:p>
    <w:p w:rsidRPr="005C6F87" w:rsidR="005C6F87" w:rsidP="005C6F87" w:rsidRDefault="005C6F87" w14:paraId="6B6FD942" w14:textId="77777777">
      <w:pPr>
        <w:keepNext/>
        <w:tabs>
          <w:tab w:val="left" w:pos="-1200"/>
        </w:tabs>
      </w:pPr>
      <w:r w:rsidRPr="00853414">
        <w:t xml:space="preserve">In the event an SQG does not receive a copy of the signed manifest from the owner/operator of the designated facility within 60 days of the date the waste was accepted by the initial transporter, he/she must submit to the </w:t>
      </w:r>
      <w:r>
        <w:t>EPA</w:t>
      </w:r>
      <w:r w:rsidRPr="00853414">
        <w:t xml:space="preserve"> Regional Administrator a legible copy of the manifest with some indication that he has not received confirmation of delivery, in accordance with 40 CFR 262.42(b)</w:t>
      </w:r>
      <w:r w:rsidR="000E6596">
        <w:t xml:space="preserve">. </w:t>
      </w:r>
    </w:p>
    <w:p w:rsidRPr="005C6F87" w:rsidR="005C6F87" w:rsidP="00FA3A49" w:rsidRDefault="005C6F87" w14:paraId="3CEE98CF" w14:textId="77777777">
      <w:pPr>
        <w:tabs>
          <w:tab w:val="left" w:pos="-1200"/>
        </w:tabs>
      </w:pPr>
    </w:p>
    <w:p w:rsidR="005C6F87" w:rsidP="005C6F87" w:rsidRDefault="005C6F87" w14:paraId="28692354" w14:textId="77777777">
      <w:r>
        <w:t>As required by 40 CFR 262.42(c), f</w:t>
      </w:r>
      <w:r w:rsidRPr="005C6F87">
        <w:t>or rejected shipments of hazardous waste or container residues contained in non-empty containers that are forwarded to an alternate facility</w:t>
      </w:r>
      <w:r>
        <w:t xml:space="preserve"> </w:t>
      </w:r>
      <w:r w:rsidRPr="005C6F87">
        <w:t>by a designated facility using a new manifest (following the procedures of 40 CFR 264.72(e)(1) through (6) or 40 CFR 265.72(e)(1) through (6)), the generator must comply with the requirements of 40 CFR 262.42(a) or (b), as applicable, for the shipment forwarding the material from the designated facility to the alternate facility instead of for the shipment from the generator to the designated facility. For purposes of paragraph (a) or (b) for a shipment forwarding such waste to an alternate facility by a designated facility, the copy of the manifest received by the generator must have the handwritten signature of the owner or operator of the alternate facility in place of the signature of the owner or operator of the designated facility</w:t>
      </w:r>
      <w:r w:rsidR="000E6596">
        <w:t xml:space="preserve">. </w:t>
      </w:r>
      <w:r w:rsidRPr="005C6F87">
        <w:t>The 35/45/60-day timeframes begin the date the waste was accepted by the initial transporter forwarding the hazardous waste shipment from the designated facility to the alternate facility.</w:t>
      </w:r>
      <w:r w:rsidRPr="00CB1209" w:rsidR="00CB1209">
        <w:rPr>
          <w:rStyle w:val="FootnoteReference"/>
          <w:vertAlign w:val="superscript"/>
        </w:rPr>
        <w:t xml:space="preserve"> </w:t>
      </w:r>
      <w:r w:rsidRPr="00362661" w:rsidR="00CB1209">
        <w:rPr>
          <w:rStyle w:val="FootnoteReference"/>
          <w:vertAlign w:val="superscript"/>
        </w:rPr>
        <w:footnoteReference w:id="4"/>
      </w:r>
    </w:p>
    <w:p w:rsidRPr="005C6F87" w:rsidR="00A37642" w:rsidP="005C6F87" w:rsidRDefault="00A37642" w14:paraId="647D1718" w14:textId="77777777"/>
    <w:p w:rsidR="000F4D0A" w:rsidP="00FA3A49" w:rsidRDefault="00886BEF" w14:paraId="2DEBDBCC" w14:textId="77777777">
      <w:pPr>
        <w:tabs>
          <w:tab w:val="left" w:pos="-1200"/>
        </w:tabs>
        <w:ind w:firstLine="720"/>
      </w:pPr>
      <w:r w:rsidRPr="00886BEF">
        <w:rPr>
          <w:u w:val="single"/>
        </w:rPr>
        <w:t>Data Item</w:t>
      </w:r>
    </w:p>
    <w:p w:rsidRPr="00853414" w:rsidR="007B49D3" w:rsidP="00FA3A49" w:rsidRDefault="007B49D3" w14:paraId="4C5BE00C" w14:textId="77777777">
      <w:pPr>
        <w:tabs>
          <w:tab w:val="left" w:pos="-1200"/>
        </w:tabs>
        <w:ind w:firstLine="720"/>
      </w:pPr>
    </w:p>
    <w:p w:rsidR="00425D37" w:rsidRDefault="00B160BD" w14:paraId="7BAF1C60" w14:textId="77777777">
      <w:pPr>
        <w:pStyle w:val="NoSpacing"/>
        <w:widowControl/>
      </w:pPr>
      <w:r>
        <w:t>An e</w:t>
      </w:r>
      <w:r w:rsidRPr="00853414" w:rsidR="000F4D0A">
        <w:t>xception report</w:t>
      </w:r>
      <w:r>
        <w:t xml:space="preserve"> (for LQGs) or a</w:t>
      </w:r>
      <w:r w:rsidRPr="00853414">
        <w:t xml:space="preserve"> legible copy of the manifest with some indication that the SQG has not received confirmation of delivery</w:t>
      </w:r>
      <w:r>
        <w:t xml:space="preserve"> letter (for SQGs).</w:t>
      </w:r>
      <w:r w:rsidRPr="00853414" w:rsidR="005C6F87">
        <w:t xml:space="preserve"> </w:t>
      </w:r>
    </w:p>
    <w:p w:rsidRPr="00853414" w:rsidR="005C6F87" w:rsidP="00FA3A49" w:rsidRDefault="005C6F87" w14:paraId="07E07DEC" w14:textId="77777777">
      <w:pPr>
        <w:tabs>
          <w:tab w:val="left" w:pos="-1200"/>
        </w:tabs>
      </w:pPr>
    </w:p>
    <w:p w:rsidRPr="004C157B" w:rsidR="000F4D0A" w:rsidP="00FA3A49" w:rsidRDefault="00886BEF" w14:paraId="4A4B81B4" w14:textId="77777777">
      <w:pPr>
        <w:keepNext/>
        <w:keepLines/>
        <w:tabs>
          <w:tab w:val="left" w:pos="-1200"/>
        </w:tabs>
        <w:ind w:firstLine="720"/>
      </w:pPr>
      <w:r w:rsidRPr="004C157B">
        <w:rPr>
          <w:u w:val="single"/>
        </w:rPr>
        <w:lastRenderedPageBreak/>
        <w:t>Respondent Activities</w:t>
      </w:r>
    </w:p>
    <w:p w:rsidRPr="004C157B" w:rsidR="007B49D3" w:rsidP="00FA3A49" w:rsidRDefault="007B49D3" w14:paraId="4DBBAE5B" w14:textId="77777777">
      <w:pPr>
        <w:keepNext/>
        <w:keepLines/>
        <w:tabs>
          <w:tab w:val="left" w:pos="-1200"/>
        </w:tabs>
        <w:ind w:firstLine="720"/>
      </w:pPr>
    </w:p>
    <w:p w:rsidRPr="004C157B" w:rsidR="009C22D4" w:rsidP="00FA3A49" w:rsidRDefault="009C22D4" w14:paraId="341CBC57" w14:textId="77777777">
      <w:pPr>
        <w:pStyle w:val="NoSpacing"/>
        <w:widowControl/>
      </w:pPr>
      <w:r w:rsidRPr="004C157B">
        <w:t>LQGs must perform the following:</w:t>
      </w:r>
    </w:p>
    <w:p w:rsidRPr="004C157B" w:rsidR="000F4D0A" w:rsidP="00FA3A49" w:rsidRDefault="000F4D0A" w14:paraId="4D7222EE" w14:textId="77777777">
      <w:pPr>
        <w:pStyle w:val="Subtitle"/>
      </w:pPr>
      <w:r w:rsidRPr="004C157B">
        <w:t xml:space="preserve">Prepare and submit a signed cover letter to </w:t>
      </w:r>
      <w:r w:rsidRPr="004C157B" w:rsidR="00CB2DBC">
        <w:t>EPA</w:t>
      </w:r>
      <w:r w:rsidRPr="004C157B">
        <w:t xml:space="preserve"> explaining the generator’s efforts to locate the hazardous waste and the results of those efforts, along with a legible copy of the manifest, in accordance with 40 CFR 262.42(a)(2)(i) and (ii).</w:t>
      </w:r>
    </w:p>
    <w:p w:rsidRPr="004C157B" w:rsidR="000F4D0A" w:rsidP="00FA3A49" w:rsidRDefault="000F4D0A" w14:paraId="2EB2EFAF" w14:textId="77777777">
      <w:pPr>
        <w:pStyle w:val="Subtitle"/>
      </w:pPr>
      <w:r w:rsidRPr="004C157B">
        <w:t>Keep a copy of each exception report, as required by 40 CFR 262.40(b).</w:t>
      </w:r>
    </w:p>
    <w:p w:rsidRPr="004C157B" w:rsidR="000F4D0A" w:rsidP="00FA3A49" w:rsidRDefault="000F4D0A" w14:paraId="21A1E3A5" w14:textId="77777777">
      <w:pPr>
        <w:tabs>
          <w:tab w:val="left" w:pos="-1200"/>
        </w:tabs>
      </w:pPr>
    </w:p>
    <w:p w:rsidRPr="004C157B" w:rsidR="00EE09D8" w:rsidRDefault="000F4D0A" w14:paraId="5AA6E6F7" w14:textId="77777777">
      <w:pPr>
        <w:pStyle w:val="NoSpacing"/>
        <w:widowControl/>
      </w:pPr>
      <w:r w:rsidRPr="004C157B">
        <w:t>S</w:t>
      </w:r>
      <w:r w:rsidRPr="004C157B" w:rsidR="009C22D4">
        <w:t>QGs must s</w:t>
      </w:r>
      <w:r w:rsidRPr="004C157B">
        <w:t>ubmit a legible copy of the manifest with some indication that the waste has not been delivered.</w:t>
      </w:r>
    </w:p>
    <w:p w:rsidR="00B958AC" w:rsidP="00FA3A49" w:rsidRDefault="00B958AC" w14:paraId="4FF76A25" w14:textId="77777777">
      <w:pPr>
        <w:tabs>
          <w:tab w:val="left" w:pos="-1200"/>
        </w:tabs>
        <w:ind w:left="720" w:hanging="720"/>
        <w:rPr>
          <w:b/>
          <w:bCs/>
        </w:rPr>
      </w:pPr>
    </w:p>
    <w:p w:rsidRPr="00853414" w:rsidR="000F4D0A" w:rsidP="009F0295" w:rsidRDefault="00FF623D" w14:paraId="61AFF42B" w14:textId="77777777">
      <w:pPr>
        <w:keepNext/>
        <w:tabs>
          <w:tab w:val="left" w:pos="-1200"/>
        </w:tabs>
        <w:ind w:left="720" w:hanging="720"/>
      </w:pPr>
      <w:r>
        <w:rPr>
          <w:b/>
          <w:bCs/>
        </w:rPr>
        <w:t>Hazardous Waste Transporter</w:t>
      </w:r>
      <w:r w:rsidRPr="00853414" w:rsidR="000F4D0A">
        <w:rPr>
          <w:b/>
          <w:bCs/>
        </w:rPr>
        <w:t>s</w:t>
      </w:r>
    </w:p>
    <w:p w:rsidR="001E5DE4" w:rsidP="009F0295" w:rsidRDefault="001E5DE4" w14:paraId="3636F096" w14:textId="77777777">
      <w:pPr>
        <w:keepNext/>
        <w:tabs>
          <w:tab w:val="left" w:pos="-1200"/>
        </w:tabs>
        <w:ind w:left="1440" w:hanging="720"/>
      </w:pPr>
    </w:p>
    <w:p w:rsidRPr="00853414" w:rsidR="000F4D0A" w:rsidP="009F0295" w:rsidRDefault="000F4D0A" w14:paraId="74B87199" w14:textId="77777777">
      <w:pPr>
        <w:keepNext/>
        <w:tabs>
          <w:tab w:val="left" w:pos="-1200"/>
        </w:tabs>
        <w:ind w:left="1440" w:hanging="720"/>
      </w:pPr>
      <w:r w:rsidRPr="00853414">
        <w:t>(</w:t>
      </w:r>
      <w:r w:rsidR="001E5DE4">
        <w:t>a</w:t>
      </w:r>
      <w:r w:rsidRPr="00853414">
        <w:t>)</w:t>
      </w:r>
      <w:r w:rsidRPr="00853414">
        <w:tab/>
        <w:t>Manifest Completion, Transmittal, and Recordkeeping</w:t>
      </w:r>
    </w:p>
    <w:p w:rsidRPr="00853414" w:rsidR="000F4D0A" w:rsidP="009F0295" w:rsidRDefault="000F4D0A" w14:paraId="62EAE2E1" w14:textId="77777777">
      <w:pPr>
        <w:keepNext/>
        <w:tabs>
          <w:tab w:val="left" w:pos="-1200"/>
        </w:tabs>
      </w:pPr>
    </w:p>
    <w:p w:rsidR="00D55BCB" w:rsidP="009F0295" w:rsidRDefault="000F4D0A" w14:paraId="680ECBF2" w14:textId="77777777">
      <w:pPr>
        <w:keepNext/>
        <w:tabs>
          <w:tab w:val="left" w:pos="-1200"/>
        </w:tabs>
      </w:pPr>
      <w:r w:rsidRPr="00853414">
        <w:t>40 CFR 263.20, 263.21 &amp; 263.22 detail the completion, transmittal, and recordkeeping requirements of manifests or shipping papers for hazardous waste transporters, including those exporting hazardous waste outside the US</w:t>
      </w:r>
      <w:r w:rsidR="000E6596">
        <w:t xml:space="preserve">. </w:t>
      </w:r>
    </w:p>
    <w:p w:rsidR="00FF7623" w:rsidP="001E5DE4" w:rsidRDefault="00FF7623" w14:paraId="1AB2E692" w14:textId="77777777">
      <w:pPr>
        <w:tabs>
          <w:tab w:val="left" w:pos="-1200"/>
        </w:tabs>
      </w:pPr>
    </w:p>
    <w:p w:rsidR="00D55BCB" w:rsidP="00FA3A49" w:rsidRDefault="00D55BCB" w14:paraId="5C4438D8" w14:textId="77777777">
      <w:pPr>
        <w:tabs>
          <w:tab w:val="left" w:pos="-1200"/>
        </w:tabs>
      </w:pPr>
      <w:r>
        <w:rPr>
          <w:iCs/>
        </w:rPr>
        <w:t>40 CFR 263.20(a)(4) provides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263.20</w:t>
      </w:r>
      <w:r w:rsidR="00194BF7">
        <w:rPr>
          <w:iCs/>
        </w:rPr>
        <w:t>(a)(4)</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sidR="00A72F5B">
        <w:rPr>
          <w:iCs/>
        </w:rPr>
        <w:t xml:space="preserve">. </w:t>
      </w:r>
      <w:r w:rsidR="005E72E1">
        <w:rPr>
          <w:iCs/>
        </w:rPr>
        <w:t>Section 263.20(a)(5)-</w:t>
      </w:r>
      <w:r w:rsidR="0087413A">
        <w:rPr>
          <w:iCs/>
        </w:rPr>
        <w:t>(8) address other issues related to the e-Manifest (e.g., special procedures for electronic signatures undergoing tests)</w:t>
      </w:r>
      <w:r w:rsidR="000E6596">
        <w:rPr>
          <w:iCs/>
        </w:rPr>
        <w:t xml:space="preserve">. </w:t>
      </w:r>
      <w:r w:rsidR="0087413A">
        <w:rPr>
          <w:iCs/>
        </w:rPr>
        <w:t>[</w:t>
      </w:r>
      <w:r>
        <w:t>Note: Refer to “Use of the Electronic Manifest” in this section for additional information</w:t>
      </w:r>
      <w:r w:rsidR="000438CC">
        <w:t>.</w:t>
      </w:r>
      <w:r>
        <w:t>]</w:t>
      </w:r>
    </w:p>
    <w:p w:rsidRPr="00853414" w:rsidR="000F4D0A" w:rsidP="00FA3A49" w:rsidRDefault="000F4D0A" w14:paraId="40458D16" w14:textId="77777777">
      <w:pPr>
        <w:tabs>
          <w:tab w:val="left" w:pos="-1200"/>
        </w:tabs>
      </w:pPr>
    </w:p>
    <w:p w:rsidRPr="00853414" w:rsidR="000F4D0A" w:rsidP="00FA3A49" w:rsidRDefault="000F4D0A" w14:paraId="47425DEF" w14:textId="77777777">
      <w:pPr>
        <w:keepNext/>
        <w:tabs>
          <w:tab w:val="left" w:pos="-1200"/>
        </w:tabs>
        <w:ind w:left="1440" w:hanging="720"/>
      </w:pPr>
      <w:r w:rsidRPr="00853414">
        <w:rPr>
          <w:i/>
          <w:iCs/>
        </w:rPr>
        <w:t>(</w:t>
      </w:r>
      <w:r w:rsidR="001E5DE4">
        <w:rPr>
          <w:i/>
          <w:iCs/>
        </w:rPr>
        <w:t>a</w:t>
      </w:r>
      <w:r w:rsidRPr="00853414">
        <w:rPr>
          <w:i/>
          <w:iCs/>
        </w:rPr>
        <w:t>1)</w:t>
      </w:r>
      <w:r w:rsidRPr="00853414">
        <w:rPr>
          <w:i/>
          <w:iCs/>
        </w:rPr>
        <w:tab/>
        <w:t>Hazardous Waste Transporters (except as exempted by 40 CFR 263.20(e) and (f))</w:t>
      </w:r>
    </w:p>
    <w:p w:rsidRPr="00853414" w:rsidR="000F4D0A" w:rsidP="00FA3A49" w:rsidRDefault="000F4D0A" w14:paraId="581A649A" w14:textId="77777777">
      <w:pPr>
        <w:keepNext/>
        <w:tabs>
          <w:tab w:val="left" w:pos="-1200"/>
        </w:tabs>
      </w:pPr>
    </w:p>
    <w:p w:rsidRPr="00C87E54" w:rsidR="009244D6" w:rsidP="009244D6" w:rsidRDefault="00506FCE" w14:paraId="07924C6E" w14:textId="77777777">
      <w:pPr>
        <w:keepNext/>
        <w:tabs>
          <w:tab w:val="left" w:pos="-1200"/>
        </w:tabs>
      </w:pPr>
      <w:r w:rsidRPr="009244D6">
        <w:t>40 CFR 263.20(a)(1) provides that a transporter may not accept hazardous waste from a generator unless the transporter is also provided with a manifest form (EPA Form 8700-22, and if necessary, EPA Form 8700-22A) signed in accordance with the requirement of section 262.23, or is provided with an electronic manifest that is obtained, completed, and transmitted in accordance with section 262.20(a)(3), and signed with a valid and enforceable electronic signature as described in section 262.25</w:t>
      </w:r>
      <w:r w:rsidR="000E6596">
        <w:t xml:space="preserve">. </w:t>
      </w:r>
      <w:r w:rsidRPr="009244D6" w:rsidR="009244D6">
        <w:t>Section 263</w:t>
      </w:r>
      <w:r w:rsidR="009244D6">
        <w:t>.</w:t>
      </w:r>
      <w:r w:rsidRPr="009244D6" w:rsidR="009244D6">
        <w:t>20(a)(2) provides that, for exports of hazardous</w:t>
      </w:r>
      <w:r w:rsidR="009244D6">
        <w:t xml:space="preserve"> </w:t>
      </w:r>
      <w:r w:rsidRPr="009244D6" w:rsidR="009244D6">
        <w:t xml:space="preserve">waste subject to the requirements of </w:t>
      </w:r>
      <w:r w:rsidR="003A6E8F">
        <w:t>Subpart</w:t>
      </w:r>
      <w:r w:rsidRPr="009244D6" w:rsidR="009244D6">
        <w:t xml:space="preserve"> H of 40 </w:t>
      </w:r>
      <w:r w:rsidR="003A6E8F">
        <w:t>CFR Part</w:t>
      </w:r>
      <w:r w:rsidRPr="009244D6" w:rsidR="009244D6">
        <w:t xml:space="preserve"> 262, a transporter may not accept hazardous waste without a manifest signed by the generator in accordance with section 263.20, as appropriate, and for exports occurring under the terms of a consent issued by EPA on or after December 31, 2016, a movement document that includes all information required by 40 CFR 262.83(d).</w:t>
      </w:r>
    </w:p>
    <w:p w:rsidRPr="00C87E54" w:rsidR="005A3486" w:rsidP="00FA3A49" w:rsidRDefault="005A3486" w14:paraId="128ABB55" w14:textId="77777777">
      <w:pPr>
        <w:tabs>
          <w:tab w:val="left" w:pos="-1200"/>
        </w:tabs>
      </w:pPr>
    </w:p>
    <w:p w:rsidRPr="00C87E54" w:rsidR="00C87E54" w:rsidP="00C87E54" w:rsidRDefault="00C87E54" w14:paraId="6F415529" w14:textId="77777777">
      <w:r w:rsidRPr="001154FB">
        <w:t xml:space="preserve">40 CFR 263.20(b) provides that, before transporting the hazardous waste, the transporter must sign and date the manifest acknowledging acceptance of the hazardous waste from the generator. The transporter must return a signed copy to the generator before leaving the generator’s property. Section 263.20(c) requires the transporter to ensure that the manifest accompanies the </w:t>
      </w:r>
      <w:r w:rsidRPr="001154FB">
        <w:lastRenderedPageBreak/>
        <w:t>hazardous waste. Section 263.</w:t>
      </w:r>
      <w:r w:rsidRPr="001154FB" w:rsidR="00320396">
        <w:t>2</w:t>
      </w:r>
      <w:r w:rsidRPr="001154FB">
        <w:t>0(d) provides that a transporter who delivers a hazardous waste to another transporter or to the designated facility must obtain the date of delivery and the handwritten signature of that transporter or of the owner or operator of the designated facility on the manifest and retain one copy of the manifest in accordance with section 263.22</w:t>
      </w:r>
      <w:r w:rsidRPr="001154FB" w:rsidR="000E6596">
        <w:t xml:space="preserve">. </w:t>
      </w:r>
      <w:r w:rsidRPr="001154FB">
        <w:t>The transporter must give the remaining copies of the manifest to the accepting transporter or designated facility.</w:t>
      </w:r>
    </w:p>
    <w:p w:rsidRPr="00C87E54" w:rsidR="009244D6" w:rsidP="00FA3A49" w:rsidRDefault="009244D6" w14:paraId="386D0952" w14:textId="77777777">
      <w:pPr>
        <w:tabs>
          <w:tab w:val="left" w:pos="-1200"/>
        </w:tabs>
      </w:pPr>
    </w:p>
    <w:p w:rsidRPr="00853414" w:rsidR="000F4D0A" w:rsidP="009F0295" w:rsidRDefault="00361F4A" w14:paraId="4A0B5958" w14:textId="77777777">
      <w:pPr>
        <w:keepNext/>
        <w:tabs>
          <w:tab w:val="left" w:pos="-1200"/>
        </w:tabs>
        <w:ind w:left="720"/>
      </w:pPr>
      <w:r w:rsidRPr="00361F4A">
        <w:rPr>
          <w:u w:val="single"/>
        </w:rPr>
        <w:t>Data Item</w:t>
      </w:r>
    </w:p>
    <w:p w:rsidR="005A3486" w:rsidP="009F0295" w:rsidRDefault="005A3486" w14:paraId="306F548B" w14:textId="77777777">
      <w:pPr>
        <w:pStyle w:val="NoSpacing"/>
        <w:keepNext/>
        <w:widowControl/>
        <w:numPr>
          <w:ilvl w:val="0"/>
          <w:numId w:val="0"/>
        </w:numPr>
        <w:ind w:left="1080"/>
      </w:pPr>
    </w:p>
    <w:p w:rsidR="001D2D81" w:rsidP="009F0295" w:rsidRDefault="005A3486" w14:paraId="3A0B2E97" w14:textId="77777777">
      <w:pPr>
        <w:pStyle w:val="NoSpacing"/>
        <w:keepNext/>
        <w:widowControl/>
      </w:pPr>
      <w:r>
        <w:t>A</w:t>
      </w:r>
      <w:r w:rsidRPr="00853414" w:rsidR="000F4D0A">
        <w:t xml:space="preserve"> </w:t>
      </w:r>
      <w:r w:rsidR="001D2D81">
        <w:t xml:space="preserve">paper or electronic </w:t>
      </w:r>
      <w:r w:rsidRPr="00853414" w:rsidR="000F4D0A">
        <w:t>manifest</w:t>
      </w:r>
      <w:r w:rsidR="001D2D81">
        <w:t>.</w:t>
      </w:r>
      <w:r w:rsidRPr="00853414" w:rsidR="000F4D0A">
        <w:t xml:space="preserve"> </w:t>
      </w:r>
    </w:p>
    <w:p w:rsidRPr="00853414" w:rsidR="000F4D0A" w:rsidP="00F06382" w:rsidRDefault="000F4D0A" w14:paraId="5A072561" w14:textId="77777777">
      <w:pPr>
        <w:tabs>
          <w:tab w:val="left" w:pos="-1200"/>
        </w:tabs>
      </w:pPr>
    </w:p>
    <w:p w:rsidR="000F4D0A" w:rsidP="00F06382" w:rsidRDefault="00886BEF" w14:paraId="5F31E1DD" w14:textId="77777777">
      <w:pPr>
        <w:tabs>
          <w:tab w:val="left" w:pos="-1200"/>
        </w:tabs>
        <w:ind w:firstLine="720"/>
      </w:pPr>
      <w:r w:rsidRPr="00886BEF">
        <w:rPr>
          <w:u w:val="single"/>
        </w:rPr>
        <w:t>Respondent Activities</w:t>
      </w:r>
    </w:p>
    <w:p w:rsidR="005A3486" w:rsidP="00F06382" w:rsidRDefault="005A3486" w14:paraId="17B2BD25" w14:textId="77777777">
      <w:pPr>
        <w:tabs>
          <w:tab w:val="left" w:pos="-1200"/>
        </w:tabs>
        <w:ind w:firstLine="720"/>
      </w:pPr>
    </w:p>
    <w:p w:rsidR="000438CC" w:rsidP="00F06382" w:rsidRDefault="000438CC" w14:paraId="3F0EF076" w14:textId="77777777">
      <w:pPr>
        <w:tabs>
          <w:tab w:val="left" w:pos="-1200"/>
        </w:tabs>
        <w:ind w:firstLine="720"/>
        <w:rPr>
          <w:b/>
        </w:rPr>
      </w:pPr>
      <w:r w:rsidRPr="000438CC">
        <w:rPr>
          <w:b/>
        </w:rPr>
        <w:t>Paper Manifest</w:t>
      </w:r>
    </w:p>
    <w:p w:rsidRPr="000438CC" w:rsidR="000438CC" w:rsidP="00F06382" w:rsidRDefault="000438CC" w14:paraId="3B2BA54D" w14:textId="77777777">
      <w:pPr>
        <w:tabs>
          <w:tab w:val="left" w:pos="-1200"/>
        </w:tabs>
        <w:ind w:firstLine="720"/>
        <w:rPr>
          <w:b/>
        </w:rPr>
      </w:pPr>
    </w:p>
    <w:p w:rsidRPr="001154FB" w:rsidR="005A3486" w:rsidP="00F06382" w:rsidRDefault="005A3486" w14:paraId="14714AED" w14:textId="77777777">
      <w:pPr>
        <w:pStyle w:val="NoSpacing"/>
        <w:widowControl/>
      </w:pPr>
      <w:r w:rsidRPr="001154FB">
        <w:t xml:space="preserve">Transporters must perform the </w:t>
      </w:r>
      <w:proofErr w:type="gramStart"/>
      <w:r w:rsidRPr="001154FB">
        <w:t>following;</w:t>
      </w:r>
      <w:proofErr w:type="gramEnd"/>
    </w:p>
    <w:p w:rsidRPr="001154FB" w:rsidR="000F4D0A" w:rsidP="00F06382" w:rsidRDefault="000F4D0A" w14:paraId="5954124E" w14:textId="77777777">
      <w:pPr>
        <w:pStyle w:val="Subtitle"/>
        <w:keepNext w:val="0"/>
        <w:keepLines w:val="0"/>
      </w:pPr>
      <w:r w:rsidRPr="001154FB">
        <w:t>Sign and date the manifest, as required by 40 CFR 263.20(b).</w:t>
      </w:r>
    </w:p>
    <w:p w:rsidRPr="001154FB" w:rsidR="000F4D0A" w:rsidP="00F06382" w:rsidRDefault="000F4D0A" w14:paraId="094F1A9F" w14:textId="77777777">
      <w:pPr>
        <w:pStyle w:val="Subtitle"/>
        <w:keepNext w:val="0"/>
        <w:keepLines w:val="0"/>
      </w:pPr>
      <w:r w:rsidRPr="001154FB">
        <w:t>Return a signed copy of the manifest to the generator, as required under 40 CFR 263.20(b).</w:t>
      </w:r>
    </w:p>
    <w:p w:rsidRPr="001154FB" w:rsidR="000F4D0A" w:rsidP="00F06382" w:rsidRDefault="000F4D0A" w14:paraId="3ABD08E6" w14:textId="77777777">
      <w:pPr>
        <w:pStyle w:val="Subtitle"/>
        <w:keepNext w:val="0"/>
        <w:keepLines w:val="0"/>
      </w:pPr>
      <w:r w:rsidRPr="001154FB">
        <w:t>Ensure that the manifest</w:t>
      </w:r>
      <w:r w:rsidRPr="001154FB" w:rsidR="00BF0F48">
        <w:t xml:space="preserve"> </w:t>
      </w:r>
      <w:r w:rsidRPr="001154FB">
        <w:t>accompan</w:t>
      </w:r>
      <w:r w:rsidRPr="001154FB" w:rsidR="004877B4">
        <w:t>ies</w:t>
      </w:r>
      <w:r w:rsidRPr="001154FB">
        <w:t xml:space="preserve"> the waste to its destination, as required by 40 CFR 263.20(c).</w:t>
      </w:r>
    </w:p>
    <w:p w:rsidRPr="001154FB" w:rsidR="000F4D0A" w:rsidP="00F06382" w:rsidRDefault="000F4D0A" w14:paraId="010B2FCF" w14:textId="77777777">
      <w:pPr>
        <w:pStyle w:val="Subtitle"/>
        <w:keepNext w:val="0"/>
        <w:keepLines w:val="0"/>
      </w:pPr>
      <w:r w:rsidRPr="001154FB">
        <w:t>In delivering the hazardous waste and manifest to another transporter or to the designated facility, perform the following activities, as required by 40 CFR 263.20(d):</w:t>
      </w:r>
    </w:p>
    <w:p w:rsidRPr="00853414" w:rsidR="000F4D0A" w:rsidP="00F06382" w:rsidRDefault="000F4D0A" w14:paraId="2535B9EB" w14:textId="77777777">
      <w:pPr>
        <w:pStyle w:val="Title"/>
        <w:widowControl/>
      </w:pPr>
      <w:r w:rsidRPr="001154FB">
        <w:t>Obtain the</w:t>
      </w:r>
      <w:r w:rsidRPr="00853414">
        <w:t xml:space="preserve"> date of delivery and signature of that transporter or the owner/operator of the facility or alternate facility designated on the manifest, pursuant to 40 CFR 263.20(d)(1).</w:t>
      </w:r>
    </w:p>
    <w:p w:rsidRPr="00853414" w:rsidR="000F4D0A" w:rsidP="00F06382" w:rsidRDefault="000F4D0A" w14:paraId="192A3C2C" w14:textId="77777777">
      <w:pPr>
        <w:pStyle w:val="Title"/>
        <w:widowControl/>
      </w:pPr>
      <w:r w:rsidRPr="00853414">
        <w:t>Retain a copy of the manifest pursuant to 40 CFR 263.22(a).</w:t>
      </w:r>
    </w:p>
    <w:p w:rsidR="000F4D0A" w:rsidP="00F06382" w:rsidRDefault="000F4D0A" w14:paraId="04533420" w14:textId="77777777">
      <w:pPr>
        <w:pStyle w:val="Title"/>
        <w:widowControl/>
      </w:pPr>
      <w:r w:rsidRPr="00853414">
        <w:t xml:space="preserve">Give remaining copies of the manifest to the accepting transporter or facility, in accordance with 40 CFR 263.20(d)(3). </w:t>
      </w:r>
    </w:p>
    <w:p w:rsidRPr="00B465CA" w:rsidR="00B465CA" w:rsidP="00B465CA" w:rsidRDefault="00B465CA" w14:paraId="07035A13" w14:textId="77777777"/>
    <w:p w:rsidRPr="000438CC" w:rsidR="000438CC" w:rsidP="00B465CA" w:rsidRDefault="000438CC" w14:paraId="26A34DB4" w14:textId="77777777">
      <w:pPr>
        <w:tabs>
          <w:tab w:val="left" w:pos="-1200"/>
        </w:tabs>
        <w:rPr>
          <w:b/>
        </w:rPr>
      </w:pPr>
      <w:r w:rsidRPr="000438CC">
        <w:rPr>
          <w:b/>
        </w:rPr>
        <w:tab/>
        <w:t>Electronic Manifest</w:t>
      </w:r>
    </w:p>
    <w:p w:rsidR="000438CC" w:rsidP="00B465CA" w:rsidRDefault="000438CC" w14:paraId="61E8B676" w14:textId="77777777">
      <w:pPr>
        <w:tabs>
          <w:tab w:val="left" w:pos="-1200"/>
        </w:tabs>
        <w:ind w:left="1440" w:hanging="720"/>
      </w:pPr>
    </w:p>
    <w:p w:rsidR="00C1220A" w:rsidP="00B465CA" w:rsidRDefault="00C1220A" w14:paraId="37ACBAAD" w14:textId="77777777">
      <w:pPr>
        <w:pStyle w:val="ListParagraph"/>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w:t>
      </w:r>
      <w:r w:rsidRPr="0087413A">
        <w:rPr>
          <w:iCs/>
        </w:rPr>
        <w:t>(</w:t>
      </w:r>
      <w:r>
        <w:rPr>
          <w:iCs/>
        </w:rPr>
        <w:t>8</w:t>
      </w:r>
      <w:r w:rsidRPr="0087413A">
        <w:rPr>
          <w:iCs/>
        </w:rPr>
        <w:t xml:space="preserve">), as applicable, </w:t>
      </w:r>
      <w:r w:rsidRPr="0087413A">
        <w:t xml:space="preserve">for completing, signing, providing, </w:t>
      </w:r>
      <w:proofErr w:type="gramStart"/>
      <w:r w:rsidRPr="0087413A">
        <w:t>using</w:t>
      </w:r>
      <w:proofErr w:type="gramEnd"/>
      <w:r w:rsidRPr="0087413A">
        <w:t xml:space="preserve"> and retaining the electronic manifest.</w:t>
      </w:r>
    </w:p>
    <w:p w:rsidR="000438CC" w:rsidP="00B465CA" w:rsidRDefault="000438CC" w14:paraId="78824CEB" w14:textId="77777777">
      <w:pPr>
        <w:tabs>
          <w:tab w:val="left" w:pos="-1200"/>
        </w:tabs>
        <w:ind w:left="1440" w:hanging="720"/>
      </w:pPr>
    </w:p>
    <w:p w:rsidRPr="00853414" w:rsidR="000F4D0A" w:rsidP="00905B1B" w:rsidRDefault="000F4D0A" w14:paraId="39CDDDEA" w14:textId="77777777">
      <w:pPr>
        <w:keepNext/>
        <w:tabs>
          <w:tab w:val="left" w:pos="-1200"/>
        </w:tabs>
        <w:ind w:left="1440" w:hanging="720"/>
      </w:pPr>
      <w:r w:rsidRPr="00853414">
        <w:rPr>
          <w:i/>
          <w:iCs/>
        </w:rPr>
        <w:t>(</w:t>
      </w:r>
      <w:r w:rsidR="001E5DE4">
        <w:rPr>
          <w:i/>
          <w:iCs/>
        </w:rPr>
        <w:t>a</w:t>
      </w:r>
      <w:r w:rsidRPr="00853414">
        <w:rPr>
          <w:i/>
          <w:iCs/>
        </w:rPr>
        <w:t>2)</w:t>
      </w:r>
      <w:r w:rsidRPr="00853414">
        <w:rPr>
          <w:i/>
          <w:iCs/>
        </w:rPr>
        <w:tab/>
        <w:t>Water (Bulk Shipment) Transporters Regulated under 40 CFR 263.20(e)</w:t>
      </w:r>
    </w:p>
    <w:p w:rsidRPr="00853414" w:rsidR="000F4D0A" w:rsidP="00905B1B" w:rsidRDefault="000F4D0A" w14:paraId="29C72E4E" w14:textId="77777777">
      <w:pPr>
        <w:keepNext/>
        <w:tabs>
          <w:tab w:val="left" w:pos="-1200"/>
        </w:tabs>
      </w:pPr>
    </w:p>
    <w:p w:rsidRPr="00723593" w:rsidR="00723593" w:rsidP="00723593" w:rsidRDefault="00D04FCA" w14:paraId="59482713" w14:textId="77777777">
      <w:pPr>
        <w:keepNext/>
        <w:tabs>
          <w:tab w:val="left" w:pos="-1200"/>
        </w:tabs>
      </w:pPr>
      <w:r w:rsidRPr="00270078">
        <w:rPr>
          <w:color w:val="000000"/>
        </w:rPr>
        <w:t>40 CFR 263.20(e) provides that the requirements of section 263.20 (c), (d) and (f) do not apply to water (bulk shipment) transporters if they comply with the section 263.20(e) procedures</w:t>
      </w:r>
      <w:r w:rsidRPr="00270078" w:rsidR="000E6596">
        <w:rPr>
          <w:color w:val="000000"/>
        </w:rPr>
        <w:t xml:space="preserve">. </w:t>
      </w:r>
      <w:r w:rsidRPr="00270078">
        <w:rPr>
          <w:color w:val="000000"/>
        </w:rPr>
        <w:t xml:space="preserve">They </w:t>
      </w:r>
      <w:r w:rsidRPr="00270078">
        <w:t>mu</w:t>
      </w:r>
      <w:r w:rsidRPr="00270078" w:rsidR="000F4D0A">
        <w:t>st sign and date the manifest upon receipt of the hazardous waste</w:t>
      </w:r>
      <w:r w:rsidRPr="00270078" w:rsidR="00723593">
        <w:t xml:space="preserve">. </w:t>
      </w:r>
      <w:r w:rsidRPr="00270078" w:rsidR="000C7DB4">
        <w:t>They must ensure that a</w:t>
      </w:r>
      <w:r w:rsidRPr="00270078" w:rsidR="00723593">
        <w:t xml:space="preserve"> shipping paper containing all the information required on the manifest (excluding the EPA identification numbers, generator certification, and signatures) accompanies the hazardous waste. The delivering transporter must obtain the date of delivery and handwritten signature of the owner or operator of the designated facility on either the manifest or the shipping paper. The </w:t>
      </w:r>
      <w:r w:rsidRPr="00270078" w:rsidR="00723593">
        <w:lastRenderedPageBreak/>
        <w:t>person delivering the hazardous waste to the initial water (bulk shipment) transporter must obtain the date of delivery and signature of the water (bulk shipment) transporter on the manifest and forward it to the designated facility. A copy of the shipping paper or manifest must be retained</w:t>
      </w:r>
      <w:r w:rsidRPr="00723593" w:rsidR="00723593">
        <w:t xml:space="preserve"> by each water (bulk shipment) transporter in accordance with section 263.22.</w:t>
      </w:r>
    </w:p>
    <w:p w:rsidR="005A3486" w:rsidP="00FA3A49" w:rsidRDefault="005A3486" w14:paraId="400FDB58" w14:textId="77777777">
      <w:pPr>
        <w:tabs>
          <w:tab w:val="left" w:pos="-1200"/>
        </w:tabs>
        <w:ind w:firstLine="720"/>
      </w:pPr>
    </w:p>
    <w:p w:rsidRPr="00853414" w:rsidR="000F4D0A" w:rsidP="00FA3A49" w:rsidRDefault="00886BEF" w14:paraId="3B5E97D6" w14:textId="77777777">
      <w:pPr>
        <w:keepNext/>
        <w:keepLines/>
        <w:tabs>
          <w:tab w:val="left" w:pos="-1200"/>
        </w:tabs>
        <w:ind w:firstLine="720"/>
      </w:pPr>
      <w:r w:rsidRPr="00886BEF">
        <w:rPr>
          <w:u w:val="single"/>
        </w:rPr>
        <w:t>Data Items</w:t>
      </w:r>
    </w:p>
    <w:p w:rsidR="005A3486" w:rsidP="00FA3A49" w:rsidRDefault="005A3486" w14:paraId="36F3B08E" w14:textId="77777777">
      <w:pPr>
        <w:pStyle w:val="a"/>
        <w:keepNext/>
        <w:keepLines/>
        <w:widowControl/>
        <w:tabs>
          <w:tab w:val="left" w:pos="-1200"/>
        </w:tabs>
      </w:pPr>
    </w:p>
    <w:p w:rsidRPr="00270078" w:rsidR="00D04FCA" w:rsidP="00D04FCA" w:rsidRDefault="001D2D81" w14:paraId="3DC8F9D3" w14:textId="77777777">
      <w:pPr>
        <w:pStyle w:val="NoSpacing"/>
        <w:keepNext/>
        <w:keepLines/>
        <w:widowControl/>
      </w:pPr>
      <w:r w:rsidRPr="00270078">
        <w:t>Paper or electronic</w:t>
      </w:r>
      <w:r w:rsidRPr="00270078" w:rsidR="000F4D0A">
        <w:t xml:space="preserve"> manifest.</w:t>
      </w:r>
    </w:p>
    <w:p w:rsidRPr="00270078" w:rsidR="000F4D0A" w:rsidP="00B25036" w:rsidRDefault="00D04FCA" w14:paraId="6224DD01" w14:textId="77777777">
      <w:pPr>
        <w:pStyle w:val="NoSpacing"/>
        <w:keepNext/>
        <w:keepLines/>
        <w:widowControl/>
      </w:pPr>
      <w:r w:rsidRPr="00270078">
        <w:t>A shipping paper</w:t>
      </w:r>
      <w:r w:rsidRPr="00270078" w:rsidR="00F253B4">
        <w:t>.</w:t>
      </w:r>
    </w:p>
    <w:p w:rsidRPr="00853414" w:rsidR="00B25036" w:rsidP="00B25036" w:rsidRDefault="00B25036" w14:paraId="3B3F68E6" w14:textId="77777777">
      <w:pPr>
        <w:pStyle w:val="NoSpacing"/>
        <w:keepNext/>
        <w:keepLines/>
        <w:widowControl/>
        <w:numPr>
          <w:ilvl w:val="0"/>
          <w:numId w:val="0"/>
        </w:numPr>
        <w:ind w:left="1080"/>
      </w:pPr>
    </w:p>
    <w:p w:rsidR="000F4D0A" w:rsidP="009F0295" w:rsidRDefault="00886BEF" w14:paraId="0AA80ADC" w14:textId="77777777">
      <w:pPr>
        <w:keepNext/>
        <w:tabs>
          <w:tab w:val="left" w:pos="-1200"/>
        </w:tabs>
        <w:ind w:left="720"/>
      </w:pPr>
      <w:r w:rsidRPr="00886BEF">
        <w:rPr>
          <w:u w:val="single"/>
        </w:rPr>
        <w:t>Respondent Activities</w:t>
      </w:r>
    </w:p>
    <w:p w:rsidR="005A3486" w:rsidP="009F0295" w:rsidRDefault="005A3486" w14:paraId="6BB56273" w14:textId="77777777">
      <w:pPr>
        <w:keepNext/>
        <w:tabs>
          <w:tab w:val="left" w:pos="-1200"/>
        </w:tabs>
        <w:ind w:left="720"/>
      </w:pPr>
    </w:p>
    <w:p w:rsidRPr="00524269" w:rsidR="00524269" w:rsidP="009F0295" w:rsidRDefault="00524269" w14:paraId="288ECF63" w14:textId="77777777">
      <w:pPr>
        <w:keepNext/>
        <w:tabs>
          <w:tab w:val="left" w:pos="-1200"/>
        </w:tabs>
        <w:ind w:left="720"/>
        <w:rPr>
          <w:b/>
        </w:rPr>
      </w:pPr>
      <w:r w:rsidRPr="00524269">
        <w:rPr>
          <w:b/>
        </w:rPr>
        <w:t>Paper Manifest</w:t>
      </w:r>
    </w:p>
    <w:p w:rsidR="00524269" w:rsidP="009F0295" w:rsidRDefault="00524269" w14:paraId="09B6DB51" w14:textId="77777777">
      <w:pPr>
        <w:pStyle w:val="NoSpacing"/>
        <w:keepNext/>
        <w:widowControl/>
        <w:numPr>
          <w:ilvl w:val="0"/>
          <w:numId w:val="0"/>
        </w:numPr>
        <w:ind w:left="1080"/>
      </w:pPr>
    </w:p>
    <w:p w:rsidR="00460F6E" w:rsidP="009F0295" w:rsidRDefault="00460F6E" w14:paraId="47085771" w14:textId="77777777">
      <w:pPr>
        <w:pStyle w:val="NoSpacing"/>
        <w:keepNext/>
        <w:widowControl/>
      </w:pPr>
      <w:r>
        <w:t>The person delivering hazardous waste to the initial water transporter must:</w:t>
      </w:r>
    </w:p>
    <w:p w:rsidRPr="00853414" w:rsidR="000F4D0A" w:rsidP="00FA3A49" w:rsidRDefault="000F4D0A" w14:paraId="260F598D" w14:textId="77777777">
      <w:pPr>
        <w:pStyle w:val="Subtitle"/>
      </w:pPr>
      <w:r w:rsidRPr="00853414">
        <w:t>Obtain the date of delivery and signature of the initial water transporter on the manifest, in accordance with 40 CFR 263.20(e)(4).</w:t>
      </w:r>
    </w:p>
    <w:p w:rsidR="000F4D0A" w:rsidP="00FA3A49" w:rsidRDefault="000F4D0A" w14:paraId="35EB4559" w14:textId="77777777">
      <w:pPr>
        <w:pStyle w:val="Subtitle"/>
      </w:pPr>
      <w:r w:rsidRPr="00853414">
        <w:t>Forward the manifest to the designated facility, in accordance with 40 CFR 263.20(e)(4).</w:t>
      </w:r>
    </w:p>
    <w:p w:rsidR="00460F6E" w:rsidP="00FA3A49" w:rsidRDefault="00460F6E" w14:paraId="1DD039FB" w14:textId="77777777"/>
    <w:p w:rsidRPr="00DD20AB" w:rsidR="000F4D0A" w:rsidP="00FA3A49" w:rsidRDefault="000F4D0A" w14:paraId="584D1312" w14:textId="77777777">
      <w:pPr>
        <w:pStyle w:val="NoSpacing"/>
        <w:widowControl/>
      </w:pPr>
      <w:r w:rsidRPr="00853414">
        <w:t xml:space="preserve">Bulk </w:t>
      </w:r>
      <w:r w:rsidRPr="00DD20AB">
        <w:t xml:space="preserve">water transporters </w:t>
      </w:r>
      <w:r w:rsidRPr="00DD20AB" w:rsidR="00460F6E">
        <w:t>subject to section</w:t>
      </w:r>
      <w:r w:rsidRPr="00DD20AB">
        <w:t xml:space="preserve"> 263.20(e) must perform the following activities:</w:t>
      </w:r>
    </w:p>
    <w:p w:rsidRPr="00DD20AB" w:rsidR="000F4D0A" w:rsidP="00FA3A49" w:rsidRDefault="000F4D0A" w14:paraId="1FE17EEB" w14:textId="77777777">
      <w:pPr>
        <w:pStyle w:val="Subtitle"/>
      </w:pPr>
      <w:r w:rsidRPr="00DD20AB">
        <w:t>Ensure that the shipping paper accompan</w:t>
      </w:r>
      <w:r w:rsidRPr="00DD20AB" w:rsidR="004877B4">
        <w:t>ies</w:t>
      </w:r>
      <w:r w:rsidRPr="00DD20AB">
        <w:t xml:space="preserve"> the waste to its destination, as required by 40 CFR 263.20(e)(2). </w:t>
      </w:r>
    </w:p>
    <w:p w:rsidRPr="00DD20AB" w:rsidR="000F4D0A" w:rsidP="00FA3A49" w:rsidRDefault="000F4D0A" w14:paraId="28CECDFF" w14:textId="77777777">
      <w:pPr>
        <w:pStyle w:val="Subtitle"/>
      </w:pPr>
      <w:r w:rsidRPr="00DD20AB">
        <w:t xml:space="preserve">If the delivering (water) transporter, obtain the date of delivery and signature of the owner/operator of the designated facility on either the manifest or shipping paper, as required by 40 CFR 263.20(e)(3). </w:t>
      </w:r>
    </w:p>
    <w:p w:rsidRPr="00853414" w:rsidR="000F4D0A" w:rsidP="00FA3A49" w:rsidRDefault="000F4D0A" w14:paraId="20C17433" w14:textId="77777777">
      <w:pPr>
        <w:pStyle w:val="Subtitle"/>
      </w:pPr>
      <w:r w:rsidRPr="00DD20AB">
        <w:t xml:space="preserve">If the initial water transporter, </w:t>
      </w:r>
      <w:proofErr w:type="gramStart"/>
      <w:r w:rsidRPr="00DD20AB">
        <w:t>sign</w:t>
      </w:r>
      <w:proofErr w:type="gramEnd"/>
      <w:r w:rsidRPr="00DD20AB">
        <w:t xml:space="preserve"> and date the manifest and return it to the delivering</w:t>
      </w:r>
      <w:r w:rsidRPr="00853414">
        <w:t xml:space="preserve"> transporter so that the manifest can be forwarded to the designated facility owner/operator, as required by 40 CFR 263.20(e)(4).</w:t>
      </w:r>
    </w:p>
    <w:p w:rsidRPr="00853414" w:rsidR="000F4D0A" w:rsidP="00FA3A49" w:rsidRDefault="000F4D0A" w14:paraId="389383B9" w14:textId="77777777">
      <w:pPr>
        <w:pStyle w:val="Subtitle"/>
      </w:pPr>
      <w:r w:rsidRPr="00853414">
        <w:t>Retain a copy of the manifest or shipping paper, as required by 40 CFR 263.22(b).</w:t>
      </w:r>
    </w:p>
    <w:p w:rsidR="000F4D0A" w:rsidP="00FA3A49" w:rsidRDefault="000F4D0A" w14:paraId="0E3116B8" w14:textId="77777777">
      <w:pPr>
        <w:tabs>
          <w:tab w:val="left" w:pos="-1200"/>
        </w:tabs>
      </w:pPr>
    </w:p>
    <w:p w:rsidRPr="000438CC" w:rsidR="00524269" w:rsidP="00FA3A49" w:rsidRDefault="00524269" w14:paraId="0C414167" w14:textId="77777777">
      <w:pPr>
        <w:tabs>
          <w:tab w:val="left" w:pos="-1200"/>
        </w:tabs>
        <w:rPr>
          <w:b/>
        </w:rPr>
      </w:pPr>
      <w:r>
        <w:rPr>
          <w:b/>
        </w:rPr>
        <w:tab/>
      </w:r>
      <w:r w:rsidRPr="000438CC">
        <w:rPr>
          <w:b/>
        </w:rPr>
        <w:t>Electronic Manifest</w:t>
      </w:r>
    </w:p>
    <w:p w:rsidR="00524269" w:rsidP="00FA3A49" w:rsidRDefault="00524269" w14:paraId="3E76B481" w14:textId="77777777">
      <w:pPr>
        <w:keepNext/>
        <w:keepLines/>
        <w:tabs>
          <w:tab w:val="left" w:pos="-1200"/>
        </w:tabs>
        <w:ind w:left="1440" w:hanging="720"/>
      </w:pPr>
    </w:p>
    <w:p w:rsidR="00C1220A" w:rsidP="00E40AA3" w:rsidRDefault="00C1220A" w14:paraId="6AF79985" w14:textId="77777777">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 xml:space="preserve">for completing, signing, providing, </w:t>
      </w:r>
      <w:proofErr w:type="gramStart"/>
      <w:r w:rsidRPr="0087413A">
        <w:t>using</w:t>
      </w:r>
      <w:proofErr w:type="gramEnd"/>
      <w:r w:rsidRPr="0087413A">
        <w:t xml:space="preserve"> and retaining the electronic manifest.</w:t>
      </w:r>
    </w:p>
    <w:p w:rsidRPr="00853414" w:rsidR="00524269" w:rsidP="00FA3A49" w:rsidRDefault="00524269" w14:paraId="37C9694B" w14:textId="77777777">
      <w:pPr>
        <w:tabs>
          <w:tab w:val="left" w:pos="-1200"/>
        </w:tabs>
      </w:pPr>
    </w:p>
    <w:p w:rsidRPr="00853414" w:rsidR="000F4D0A" w:rsidP="00FA3A49" w:rsidRDefault="000F4D0A" w14:paraId="44D94454" w14:textId="77777777">
      <w:pPr>
        <w:keepNext/>
        <w:keepLines/>
        <w:tabs>
          <w:tab w:val="left" w:pos="-1200"/>
        </w:tabs>
        <w:ind w:left="1440" w:hanging="720"/>
      </w:pPr>
      <w:r w:rsidRPr="00853414">
        <w:rPr>
          <w:i/>
          <w:iCs/>
        </w:rPr>
        <w:lastRenderedPageBreak/>
        <w:t>(</w:t>
      </w:r>
      <w:r w:rsidR="001E5DE4">
        <w:rPr>
          <w:i/>
          <w:iCs/>
        </w:rPr>
        <w:t>a</w:t>
      </w:r>
      <w:r w:rsidRPr="00853414">
        <w:rPr>
          <w:i/>
          <w:iCs/>
        </w:rPr>
        <w:t>3)</w:t>
      </w:r>
      <w:r w:rsidRPr="00853414">
        <w:rPr>
          <w:i/>
          <w:iCs/>
        </w:rPr>
        <w:tab/>
        <w:t>Rail Transporters Regulated under 40 CFR 263.20(f)</w:t>
      </w:r>
    </w:p>
    <w:p w:rsidRPr="00853414" w:rsidR="000F4D0A" w:rsidP="00FA3A49" w:rsidRDefault="000F4D0A" w14:paraId="5E1F1B70" w14:textId="77777777">
      <w:pPr>
        <w:keepNext/>
        <w:keepLines/>
        <w:tabs>
          <w:tab w:val="left" w:pos="-1200"/>
        </w:tabs>
      </w:pPr>
    </w:p>
    <w:p w:rsidR="000F4D0A" w:rsidP="00AE18E5" w:rsidRDefault="00914FAC" w14:paraId="6A6C781E" w14:textId="77777777">
      <w:pPr>
        <w:keepLines/>
        <w:tabs>
          <w:tab w:val="left" w:pos="-1200"/>
        </w:tabs>
      </w:pPr>
      <w:r w:rsidRPr="00DD20AB">
        <w:rPr>
          <w:color w:val="000000"/>
          <w:shd w:val="clear" w:color="auto" w:fill="FFFFFF"/>
        </w:rPr>
        <w:t>40 CFR 263.20(f) provides that, for shipments involving rail transportation, the requirements of section 263.20 (c), (d) and (e) do not apply and the requirements at section 263.20(f) do apply</w:t>
      </w:r>
      <w:r w:rsidRPr="00DD20AB" w:rsidR="000E6596">
        <w:rPr>
          <w:color w:val="000000"/>
          <w:shd w:val="clear" w:color="auto" w:fill="FFFFFF"/>
        </w:rPr>
        <w:t xml:space="preserve">. </w:t>
      </w:r>
      <w:r w:rsidRPr="00DD20AB">
        <w:t>Initial</w:t>
      </w:r>
      <w:r w:rsidRPr="00DD20AB" w:rsidR="000F4D0A">
        <w:t xml:space="preserve"> rail transporters must sign and date the manifest acknowledging acceptance of the hazardous waste; return or transmit a signed copy of the manifest to the non-rail transporter; and forward at least </w:t>
      </w:r>
      <w:r w:rsidRPr="00DD20AB" w:rsidR="00C24DDC">
        <w:t>3</w:t>
      </w:r>
      <w:r w:rsidRPr="00DD20AB" w:rsidR="000F4D0A">
        <w:t xml:space="preserve"> copies of the manifest to the next non-rail transporter, the designated facility, if the shipment is delivered to that facility by rail, or the last rail transporter designated to handle the waste</w:t>
      </w:r>
      <w:r w:rsidRPr="000953B8" w:rsidR="000F4D0A">
        <w:t xml:space="preserve"> in the US;</w:t>
      </w:r>
      <w:r w:rsidRPr="00853414" w:rsidR="000F4D0A">
        <w:t xml:space="preserve"> and retain a copy of the manifest and rail shipping paper in accordance with 40 CFR 263.22.</w:t>
      </w:r>
    </w:p>
    <w:p w:rsidRPr="00853414" w:rsidR="00804214" w:rsidP="00FA3A49" w:rsidRDefault="00804214" w14:paraId="5E490E55" w14:textId="77777777">
      <w:pPr>
        <w:keepLines/>
        <w:tabs>
          <w:tab w:val="left" w:pos="-1200"/>
        </w:tabs>
      </w:pPr>
    </w:p>
    <w:p w:rsidRPr="004A3AB9" w:rsidR="000238E4" w:rsidP="00C5416D" w:rsidRDefault="00914FAC" w14:paraId="33B7C140" w14:textId="77777777">
      <w:pPr>
        <w:tabs>
          <w:tab w:val="left" w:pos="-1200"/>
        </w:tabs>
      </w:pPr>
      <w:r w:rsidRPr="004A3AB9">
        <w:t xml:space="preserve">Rail transporters must ensure that a shipping paper containing all the information required on the manifest (excluding the EPA identification numbers, generator certification, and signatures) accompanies the hazardous waste at all </w:t>
      </w:r>
      <w:proofErr w:type="gramStart"/>
      <w:r w:rsidRPr="004A3AB9">
        <w:t>times</w:t>
      </w:r>
      <w:proofErr w:type="gramEnd"/>
      <w:r w:rsidRPr="004A3AB9" w:rsidR="000F4D0A">
        <w:t xml:space="preserve">. </w:t>
      </w:r>
    </w:p>
    <w:p w:rsidRPr="004A3AB9" w:rsidR="000238E4" w:rsidP="00C5416D" w:rsidRDefault="000238E4" w14:paraId="2B7D7D15" w14:textId="77777777">
      <w:pPr>
        <w:tabs>
          <w:tab w:val="left" w:pos="-1200"/>
        </w:tabs>
      </w:pPr>
    </w:p>
    <w:p w:rsidR="000238E4" w:rsidP="00C5416D" w:rsidRDefault="000F4D0A" w14:paraId="08345763" w14:textId="77777777">
      <w:pPr>
        <w:tabs>
          <w:tab w:val="left" w:pos="-1200"/>
        </w:tabs>
      </w:pPr>
      <w:r w:rsidRPr="004A3AB9">
        <w:t>When delivering hazardous waste to the designated facility, a rail transporter must obtain the date</w:t>
      </w:r>
      <w:r w:rsidRPr="00853414">
        <w:t xml:space="preserve"> of delivery and signature of the owner or operator of the designated facility on the manifest, or a signature on the shipping paper (if the manifest has not been received by the facility) and retain a copy of the manifest or signed shipping paper</w:t>
      </w:r>
      <w:r w:rsidR="000E6596">
        <w:t xml:space="preserve">. </w:t>
      </w:r>
    </w:p>
    <w:p w:rsidR="000238E4" w:rsidP="00C5416D" w:rsidRDefault="000238E4" w14:paraId="5B0932C0" w14:textId="77777777">
      <w:pPr>
        <w:tabs>
          <w:tab w:val="left" w:pos="-1200"/>
        </w:tabs>
      </w:pPr>
    </w:p>
    <w:p w:rsidR="000F4D0A" w:rsidP="00C5416D" w:rsidRDefault="000F4D0A" w14:paraId="0AECDC06" w14:textId="77777777">
      <w:pPr>
        <w:tabs>
          <w:tab w:val="left" w:pos="-1200"/>
        </w:tabs>
      </w:pPr>
      <w:r w:rsidRPr="00853414">
        <w:t>When delivering hazardous waste to a non-rail transporter, a rail transporter must obtain the date of delivery and the signature of the next non-rail transporter on the manifest and retain a copy of the manifest, as required under 40 CFR 263.20(f)(4)</w:t>
      </w:r>
      <w:r w:rsidR="000E6596">
        <w:t xml:space="preserve">. </w:t>
      </w:r>
      <w:r w:rsidRPr="00853414">
        <w:t>Before accepting hazardous waste from a rail transporter, a non-rail transporter must sign and date the manifest and provide a copy to the rail transporter.</w:t>
      </w:r>
    </w:p>
    <w:p w:rsidRPr="00853414" w:rsidR="004A3AB9" w:rsidP="00C5416D" w:rsidRDefault="004A3AB9" w14:paraId="3BC197B7" w14:textId="77777777">
      <w:pPr>
        <w:tabs>
          <w:tab w:val="left" w:pos="-1200"/>
        </w:tabs>
      </w:pPr>
    </w:p>
    <w:p w:rsidRPr="004A3AB9" w:rsidR="000F4D0A" w:rsidP="00FA3A49" w:rsidRDefault="00886BEF" w14:paraId="0CE6108A" w14:textId="77777777">
      <w:pPr>
        <w:tabs>
          <w:tab w:val="left" w:pos="-1200"/>
        </w:tabs>
        <w:ind w:firstLine="720"/>
        <w:rPr>
          <w:lang w:val="pt-BR"/>
        </w:rPr>
      </w:pPr>
      <w:r w:rsidRPr="004A3AB9">
        <w:rPr>
          <w:u w:val="single"/>
          <w:lang w:val="pt-BR"/>
        </w:rPr>
        <w:t>Data Items</w:t>
      </w:r>
    </w:p>
    <w:p w:rsidRPr="004A3AB9" w:rsidR="00E76E0F" w:rsidP="00FA3A49" w:rsidRDefault="00E76E0F" w14:paraId="7115356D" w14:textId="77777777">
      <w:pPr>
        <w:pStyle w:val="NoSpacing"/>
        <w:widowControl/>
        <w:numPr>
          <w:ilvl w:val="0"/>
          <w:numId w:val="0"/>
        </w:numPr>
        <w:ind w:left="1080"/>
        <w:rPr>
          <w:lang w:val="pt-BR"/>
        </w:rPr>
      </w:pPr>
    </w:p>
    <w:p w:rsidRPr="004A3AB9" w:rsidR="000F4D0A" w:rsidP="00FA3A49" w:rsidRDefault="00E76E0F" w14:paraId="55AF98BF" w14:textId="77777777">
      <w:pPr>
        <w:pStyle w:val="NoSpacing"/>
        <w:widowControl/>
        <w:rPr>
          <w:lang w:val="pt-BR"/>
        </w:rPr>
      </w:pPr>
      <w:r w:rsidRPr="004A3AB9">
        <w:rPr>
          <w:lang w:val="pt-BR"/>
        </w:rPr>
        <w:t>A</w:t>
      </w:r>
      <w:r w:rsidRPr="004A3AB9" w:rsidR="000F4D0A">
        <w:rPr>
          <w:lang w:val="pt-BR"/>
        </w:rPr>
        <w:t xml:space="preserve"> </w:t>
      </w:r>
      <w:r w:rsidRPr="004A3AB9" w:rsidR="001D2D81">
        <w:rPr>
          <w:lang w:val="pt-BR"/>
        </w:rPr>
        <w:t xml:space="preserve">paper or electronic </w:t>
      </w:r>
      <w:r w:rsidRPr="004A3AB9" w:rsidR="000F4D0A">
        <w:rPr>
          <w:lang w:val="pt-BR"/>
        </w:rPr>
        <w:t>manifest.</w:t>
      </w:r>
    </w:p>
    <w:p w:rsidRPr="004A3AB9" w:rsidR="000F4D0A" w:rsidP="001056CD" w:rsidRDefault="00914FAC" w14:paraId="4C83C4DB" w14:textId="77777777">
      <w:pPr>
        <w:pStyle w:val="NoSpacing"/>
        <w:widowControl/>
      </w:pPr>
      <w:r w:rsidRPr="004A3AB9">
        <w:t>A shipping paper</w:t>
      </w:r>
      <w:r w:rsidRPr="004A3AB9" w:rsidR="00F259C1">
        <w:t>.</w:t>
      </w:r>
    </w:p>
    <w:p w:rsidRPr="004A3AB9" w:rsidR="000F4D0A" w:rsidP="00FA3A49" w:rsidRDefault="000F4D0A" w14:paraId="7623EDDB" w14:textId="77777777">
      <w:pPr>
        <w:tabs>
          <w:tab w:val="left" w:pos="-1200"/>
        </w:tabs>
      </w:pPr>
    </w:p>
    <w:p w:rsidRPr="004A3AB9" w:rsidR="000F4D0A" w:rsidP="00FA3A49" w:rsidRDefault="00886BEF" w14:paraId="5B68E4C4" w14:textId="77777777">
      <w:pPr>
        <w:tabs>
          <w:tab w:val="left" w:pos="-1200"/>
        </w:tabs>
        <w:ind w:left="720"/>
      </w:pPr>
      <w:r w:rsidRPr="004A3AB9">
        <w:rPr>
          <w:u w:val="single"/>
        </w:rPr>
        <w:t>Respondent Activities</w:t>
      </w:r>
    </w:p>
    <w:p w:rsidRPr="004A3AB9" w:rsidR="00524269" w:rsidP="00FA3A49" w:rsidRDefault="00524269" w14:paraId="621D16EE" w14:textId="77777777">
      <w:pPr>
        <w:pStyle w:val="NoSpacing"/>
        <w:widowControl/>
        <w:numPr>
          <w:ilvl w:val="0"/>
          <w:numId w:val="0"/>
        </w:numPr>
        <w:ind w:left="1080"/>
      </w:pPr>
    </w:p>
    <w:p w:rsidRPr="004A3AB9" w:rsidR="00524269" w:rsidP="00FA3A49" w:rsidRDefault="00524269" w14:paraId="11059F9A" w14:textId="77777777">
      <w:pPr>
        <w:pStyle w:val="NoSpacing"/>
        <w:widowControl/>
        <w:numPr>
          <w:ilvl w:val="0"/>
          <w:numId w:val="0"/>
        </w:numPr>
        <w:ind w:left="1080" w:hanging="360"/>
        <w:rPr>
          <w:b/>
        </w:rPr>
      </w:pPr>
      <w:r w:rsidRPr="004A3AB9">
        <w:rPr>
          <w:b/>
        </w:rPr>
        <w:t>Paper Manifest</w:t>
      </w:r>
    </w:p>
    <w:p w:rsidRPr="004A3AB9" w:rsidR="00524269" w:rsidP="00FA3A49" w:rsidRDefault="00524269" w14:paraId="1FC88315" w14:textId="77777777">
      <w:pPr>
        <w:pStyle w:val="NoSpacing"/>
        <w:widowControl/>
        <w:numPr>
          <w:ilvl w:val="0"/>
          <w:numId w:val="0"/>
        </w:numPr>
        <w:ind w:left="1080"/>
      </w:pPr>
    </w:p>
    <w:p w:rsidRPr="004A3AB9" w:rsidR="000F4D0A" w:rsidP="00FA3A49" w:rsidRDefault="000F4D0A" w14:paraId="6A596F94" w14:textId="77777777">
      <w:pPr>
        <w:pStyle w:val="NoSpacing"/>
        <w:widowControl/>
      </w:pPr>
      <w:r w:rsidRPr="004A3AB9">
        <w:t xml:space="preserve">When accepting waste from a non-rail transporter, </w:t>
      </w:r>
      <w:proofErr w:type="gramStart"/>
      <w:r w:rsidRPr="004A3AB9">
        <w:t>sign</w:t>
      </w:r>
      <w:proofErr w:type="gramEnd"/>
      <w:r w:rsidRPr="004A3AB9">
        <w:t xml:space="preserve"> and date the manifest, as required by 40 CFR 263.20(f)(1)(i) and return or transmit a signed copy of the manifest to the non-rail transporter, as required by 40 CFR 263.20(f)(1)(ii).</w:t>
      </w:r>
    </w:p>
    <w:p w:rsidRPr="004A3AB9" w:rsidR="000F4D0A" w:rsidP="00FA3A49" w:rsidRDefault="000F4D0A" w14:paraId="041A6E64" w14:textId="77777777">
      <w:pPr>
        <w:pStyle w:val="NoSpacing"/>
        <w:widowControl/>
      </w:pPr>
      <w:r w:rsidRPr="004A3AB9">
        <w:t xml:space="preserve">Forward at least </w:t>
      </w:r>
      <w:r w:rsidRPr="004A3AB9" w:rsidR="00C24DDC">
        <w:t>3</w:t>
      </w:r>
      <w:r w:rsidRPr="004A3AB9">
        <w:t xml:space="preserve"> copies of the manifest to either the next non-rail transporter, the designated facility, or the last rail transporter designated to handle the waste in the US, as required by 40 CFR 263.20(f)(1)(iii).</w:t>
      </w:r>
    </w:p>
    <w:p w:rsidRPr="004A3AB9" w:rsidR="000F4D0A" w:rsidP="00FA3A49" w:rsidRDefault="000F4D0A" w14:paraId="05099BD8" w14:textId="77777777">
      <w:pPr>
        <w:pStyle w:val="NoSpacing"/>
        <w:widowControl/>
      </w:pPr>
      <w:r w:rsidRPr="004A3AB9">
        <w:t xml:space="preserve">Ensure </w:t>
      </w:r>
      <w:r w:rsidRPr="004A3AB9" w:rsidR="00D04FCA">
        <w:t>a shipping paper accompan</w:t>
      </w:r>
      <w:r w:rsidRPr="004A3AB9" w:rsidR="00D30336">
        <w:t>ies</w:t>
      </w:r>
      <w:r w:rsidRPr="004A3AB9" w:rsidR="00D04FCA">
        <w:t xml:space="preserve"> the waste,</w:t>
      </w:r>
      <w:r w:rsidRPr="004A3AB9">
        <w:t xml:space="preserve"> as required under 40 CFR 263.20(f)(2).</w:t>
      </w:r>
    </w:p>
    <w:p w:rsidRPr="00853414" w:rsidR="000F4D0A" w:rsidP="00FA3A49" w:rsidRDefault="000F4D0A" w14:paraId="5CAC52B5" w14:textId="77777777">
      <w:pPr>
        <w:pStyle w:val="NoSpacing"/>
        <w:widowControl/>
      </w:pPr>
      <w:r w:rsidRPr="004A3AB9">
        <w:t>When delivering hazardous waste to the designated facility or to the next non-rail transporter, obtain the</w:t>
      </w:r>
      <w:r w:rsidRPr="00853414">
        <w:t xml:space="preserve"> signature and date of delivery of the facility or non-rail transporter on the manifest, as required under 40 CFR 263.20(f)(3)(i) or (f)(4)(i).</w:t>
      </w:r>
    </w:p>
    <w:p w:rsidRPr="00853414" w:rsidR="000F4D0A" w:rsidP="00FA3A49" w:rsidRDefault="000F4D0A" w14:paraId="59EDCE28" w14:textId="77777777">
      <w:pPr>
        <w:pStyle w:val="NoSpacing"/>
        <w:widowControl/>
      </w:pPr>
      <w:r w:rsidRPr="00853414">
        <w:lastRenderedPageBreak/>
        <w:t>Retain a copy of the manifest and/or rail shipping paper, as required under 40 CFR 263.20(f)(1)(iv), 263.20(f)(3)(ii), 263.20(f)(4)(ii) and 263.22, as applicable.</w:t>
      </w:r>
    </w:p>
    <w:p w:rsidRPr="00853414" w:rsidR="000F4D0A" w:rsidP="00FA3A49" w:rsidRDefault="000F4D0A" w14:paraId="130ABDA9" w14:textId="77777777">
      <w:pPr>
        <w:pStyle w:val="NoSpacing"/>
        <w:widowControl/>
      </w:pPr>
      <w:r w:rsidRPr="00853414">
        <w:t xml:space="preserve">Before accepting hazardous waste from a rail transporter, </w:t>
      </w:r>
      <w:proofErr w:type="gramStart"/>
      <w:r w:rsidRPr="00853414">
        <w:t>sign</w:t>
      </w:r>
      <w:proofErr w:type="gramEnd"/>
      <w:r w:rsidRPr="00853414">
        <w:t xml:space="preserve"> and date the manifest and provide a copy to the rail transporter, as required under 40 CFR 263.20(f)(5).</w:t>
      </w:r>
    </w:p>
    <w:p w:rsidR="000F4D0A" w:rsidP="00FA3A49" w:rsidRDefault="000F4D0A" w14:paraId="1E1AA9CE" w14:textId="77777777">
      <w:pPr>
        <w:tabs>
          <w:tab w:val="left" w:pos="-1200"/>
        </w:tabs>
      </w:pPr>
    </w:p>
    <w:p w:rsidRPr="000438CC" w:rsidR="00524269" w:rsidP="00FA3A49" w:rsidRDefault="00524269" w14:paraId="7FF0FA28" w14:textId="77777777">
      <w:pPr>
        <w:tabs>
          <w:tab w:val="left" w:pos="-1200"/>
        </w:tabs>
        <w:rPr>
          <w:b/>
        </w:rPr>
      </w:pPr>
      <w:r>
        <w:rPr>
          <w:b/>
        </w:rPr>
        <w:tab/>
      </w:r>
      <w:r w:rsidRPr="000438CC">
        <w:rPr>
          <w:b/>
        </w:rPr>
        <w:t>Electronic Manifest</w:t>
      </w:r>
    </w:p>
    <w:p w:rsidR="00524269" w:rsidP="00FA3A49" w:rsidRDefault="00524269" w14:paraId="5AB9C4D2" w14:textId="77777777">
      <w:pPr>
        <w:keepNext/>
        <w:keepLines/>
        <w:tabs>
          <w:tab w:val="left" w:pos="-1200"/>
        </w:tabs>
        <w:ind w:left="1440" w:hanging="720"/>
      </w:pPr>
    </w:p>
    <w:p w:rsidR="00524269" w:rsidP="00E40AA3" w:rsidRDefault="00C1220A" w14:paraId="23C08289" w14:textId="77777777">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 xml:space="preserve">for completing, signing, providing, </w:t>
      </w:r>
      <w:proofErr w:type="gramStart"/>
      <w:r w:rsidRPr="0087413A">
        <w:t>using</w:t>
      </w:r>
      <w:proofErr w:type="gramEnd"/>
      <w:r w:rsidRPr="0087413A">
        <w:t xml:space="preserve"> and retaining the electronic manifest</w:t>
      </w:r>
      <w:r w:rsidRPr="0087413A" w:rsidR="0087413A">
        <w:t>.</w:t>
      </w:r>
    </w:p>
    <w:p w:rsidRPr="00853414" w:rsidR="00524269" w:rsidP="00FA3A49" w:rsidRDefault="00524269" w14:paraId="2B5C77DF" w14:textId="77777777">
      <w:pPr>
        <w:tabs>
          <w:tab w:val="left" w:pos="-1200"/>
        </w:tabs>
      </w:pPr>
    </w:p>
    <w:p w:rsidRPr="005409AA" w:rsidR="000F4D0A" w:rsidP="00FA3A49" w:rsidRDefault="00C83812" w14:paraId="156F5F09" w14:textId="77777777">
      <w:pPr>
        <w:tabs>
          <w:tab w:val="left" w:pos="-1200"/>
        </w:tabs>
        <w:ind w:left="1440" w:hanging="720"/>
        <w:rPr>
          <w:i/>
        </w:rPr>
      </w:pPr>
      <w:r w:rsidRPr="005409AA">
        <w:rPr>
          <w:i/>
          <w:iCs/>
        </w:rPr>
        <w:t>(</w:t>
      </w:r>
      <w:r w:rsidRPr="005409AA" w:rsidR="001E5DE4">
        <w:rPr>
          <w:i/>
          <w:iCs/>
        </w:rPr>
        <w:t>a</w:t>
      </w:r>
      <w:r w:rsidRPr="005409AA" w:rsidR="000F4D0A">
        <w:rPr>
          <w:i/>
          <w:iCs/>
        </w:rPr>
        <w:t>4)</w:t>
      </w:r>
      <w:r w:rsidRPr="005409AA" w:rsidR="000F4D0A">
        <w:rPr>
          <w:i/>
          <w:iCs/>
        </w:rPr>
        <w:tab/>
        <w:t xml:space="preserve">Transporters Who Export Hazardous Wastes </w:t>
      </w:r>
    </w:p>
    <w:p w:rsidRPr="005409AA" w:rsidR="00EE09D8" w:rsidRDefault="0094288B" w14:paraId="6C9D9882" w14:textId="77777777">
      <w:pPr>
        <w:tabs>
          <w:tab w:val="left" w:pos="-1200"/>
        </w:tabs>
        <w:rPr>
          <w:i/>
        </w:rPr>
      </w:pPr>
      <w:r w:rsidRPr="005409AA">
        <w:rPr>
          <w:i/>
        </w:rPr>
        <w:tab/>
      </w:r>
    </w:p>
    <w:p w:rsidRPr="005409AA" w:rsidR="003B21F2" w:rsidP="003B21F2" w:rsidRDefault="00D04FCA" w14:paraId="74F0B4ED" w14:textId="77777777">
      <w:r w:rsidRPr="005409AA">
        <w:t>Under 40 CFR 263.20(g), transporters who transport hazardous waste out of the United States must sign and date the manifest in the International Shipments block to indicate the date that the shipment left the United States</w:t>
      </w:r>
      <w:r w:rsidR="00457C09">
        <w:t>. They must</w:t>
      </w:r>
      <w:r w:rsidRPr="005409AA">
        <w:t xml:space="preserve"> retain one copy in accordance with section 263.22(d)</w:t>
      </w:r>
      <w:r w:rsidR="00457C09">
        <w:t xml:space="preserve"> and</w:t>
      </w:r>
      <w:r w:rsidRPr="005409AA">
        <w:t xml:space="preserve"> return a signed copy of the manifest to the generator</w:t>
      </w:r>
      <w:r w:rsidR="00457C09">
        <w:t>. F</w:t>
      </w:r>
      <w:r w:rsidRPr="005409AA">
        <w:t>or paper manifests only,</w:t>
      </w:r>
      <w:r w:rsidR="00457C09">
        <w:t xml:space="preserve"> they must</w:t>
      </w:r>
      <w:r w:rsidRPr="005409AA">
        <w:t xml:space="preserve"> (i) send a copy of the manifest to the e-Manifest system in accordance with the allowable methods specified in 40 CFR 264.71(a)(2)(v) and (ii) for shipments initiated prior to the AES filing compliance date,</w:t>
      </w:r>
      <w:r w:rsidRPr="005409AA" w:rsidR="0060342C">
        <w:rPr>
          <w:rStyle w:val="FootnoteReference"/>
          <w:vertAlign w:val="superscript"/>
        </w:rPr>
        <w:footnoteReference w:id="5"/>
      </w:r>
      <w:r w:rsidRPr="005409AA">
        <w:t xml:space="preserve"> when instructed by the exporter to do so, give a copy of the manifest to a U.S. Customs official at the point of departure from the United States.</w:t>
      </w:r>
      <w:r w:rsidRPr="005409AA" w:rsidR="003B21F2">
        <w:t xml:space="preserve"> </w:t>
      </w:r>
    </w:p>
    <w:p w:rsidRPr="005409AA" w:rsidR="000F4D0A" w:rsidP="00FA3A49" w:rsidRDefault="000F4D0A" w14:paraId="5159D21F" w14:textId="77777777">
      <w:pPr>
        <w:tabs>
          <w:tab w:val="left" w:pos="-1200"/>
        </w:tabs>
      </w:pPr>
    </w:p>
    <w:p w:rsidRPr="00853414" w:rsidR="000F4D0A" w:rsidP="00FA3A49" w:rsidRDefault="00886BEF" w14:paraId="7DDEC9FF" w14:textId="77777777">
      <w:pPr>
        <w:keepNext/>
        <w:keepLines/>
        <w:tabs>
          <w:tab w:val="left" w:pos="-1200"/>
        </w:tabs>
        <w:ind w:left="720"/>
      </w:pPr>
      <w:r w:rsidRPr="005409AA">
        <w:rPr>
          <w:u w:val="single"/>
        </w:rPr>
        <w:t>Data Items</w:t>
      </w:r>
    </w:p>
    <w:p w:rsidR="00E76E0F" w:rsidP="00FA3A49" w:rsidRDefault="00E76E0F" w14:paraId="66F83A90" w14:textId="77777777">
      <w:pPr>
        <w:pStyle w:val="a"/>
        <w:keepNext/>
        <w:keepLines/>
        <w:widowControl/>
        <w:tabs>
          <w:tab w:val="left" w:pos="-1200"/>
        </w:tabs>
      </w:pPr>
    </w:p>
    <w:p w:rsidR="001D2D81" w:rsidP="00FA3A49" w:rsidRDefault="00E76E0F" w14:paraId="5BEB9B20" w14:textId="77777777">
      <w:pPr>
        <w:pStyle w:val="NoSpacing"/>
        <w:widowControl/>
      </w:pPr>
      <w:r>
        <w:t>A</w:t>
      </w:r>
      <w:r w:rsidRPr="00853414" w:rsidR="000F4D0A">
        <w:t xml:space="preserve"> </w:t>
      </w:r>
      <w:r w:rsidR="001D2D81">
        <w:t xml:space="preserve">paper or electronic </w:t>
      </w:r>
      <w:r w:rsidRPr="00853414" w:rsidR="000F4D0A">
        <w:t>manifest</w:t>
      </w:r>
      <w:r w:rsidR="001D2D81">
        <w:t>.</w:t>
      </w:r>
    </w:p>
    <w:p w:rsidR="0094288B" w:rsidP="0094288B" w:rsidRDefault="0094288B" w14:paraId="78AAFB48" w14:textId="77777777">
      <w:pPr>
        <w:pStyle w:val="NoSpacing"/>
        <w:numPr>
          <w:ilvl w:val="0"/>
          <w:numId w:val="0"/>
        </w:numPr>
        <w:ind w:left="1080"/>
      </w:pPr>
    </w:p>
    <w:p w:rsidR="000F4D0A" w:rsidP="00FA3A49" w:rsidRDefault="00886BEF" w14:paraId="5276DF22" w14:textId="77777777">
      <w:pPr>
        <w:tabs>
          <w:tab w:val="left" w:pos="-1200"/>
        </w:tabs>
        <w:ind w:left="720"/>
      </w:pPr>
      <w:r w:rsidRPr="00886BEF">
        <w:rPr>
          <w:u w:val="single"/>
        </w:rPr>
        <w:t>Respondent Activities</w:t>
      </w:r>
    </w:p>
    <w:p w:rsidR="00E76E0F" w:rsidP="00FA3A49" w:rsidRDefault="00E76E0F" w14:paraId="355AFD6F" w14:textId="77777777">
      <w:pPr>
        <w:tabs>
          <w:tab w:val="left" w:pos="-1200"/>
        </w:tabs>
        <w:ind w:left="720"/>
      </w:pPr>
    </w:p>
    <w:p w:rsidRPr="00524269" w:rsidR="00524269" w:rsidP="00FA3A49" w:rsidRDefault="00524269" w14:paraId="7EB95C3E" w14:textId="77777777">
      <w:pPr>
        <w:tabs>
          <w:tab w:val="left" w:pos="-1200"/>
        </w:tabs>
        <w:ind w:left="720"/>
        <w:rPr>
          <w:b/>
        </w:rPr>
      </w:pPr>
      <w:r w:rsidRPr="00524269">
        <w:rPr>
          <w:b/>
        </w:rPr>
        <w:t>Paper Manifest</w:t>
      </w:r>
    </w:p>
    <w:p w:rsidR="00524269" w:rsidP="00FA3A49" w:rsidRDefault="00524269" w14:paraId="2814BD52" w14:textId="77777777">
      <w:pPr>
        <w:pStyle w:val="NoSpacing"/>
        <w:widowControl/>
        <w:numPr>
          <w:ilvl w:val="0"/>
          <w:numId w:val="0"/>
        </w:numPr>
        <w:ind w:left="1080"/>
      </w:pPr>
    </w:p>
    <w:p w:rsidRPr="005D73A2" w:rsidR="00447B2F" w:rsidP="00F3285A" w:rsidRDefault="00D04FCA" w14:paraId="3EAFC3F0" w14:textId="77777777">
      <w:pPr>
        <w:pStyle w:val="NoSpacing"/>
        <w:widowControl/>
      </w:pPr>
      <w:bookmarkStart w:name="OLE_LINK3" w:id="9"/>
      <w:r w:rsidRPr="005D73A2">
        <w:t>For exports</w:t>
      </w:r>
      <w:r w:rsidRPr="005D73A2" w:rsidR="006C0EC0">
        <w:t>, transporters must perform the following</w:t>
      </w:r>
      <w:r w:rsidRPr="005D73A2">
        <w:t>:</w:t>
      </w:r>
    </w:p>
    <w:p w:rsidRPr="005D73A2" w:rsidR="00F4750C" w:rsidP="00407520" w:rsidRDefault="00F4750C" w14:paraId="77FC9D29" w14:textId="55438922">
      <w:pPr>
        <w:pStyle w:val="NoSpacing"/>
        <w:widowControl/>
        <w:numPr>
          <w:ilvl w:val="0"/>
          <w:numId w:val="39"/>
        </w:numPr>
        <w:tabs>
          <w:tab w:val="left" w:pos="-1200"/>
        </w:tabs>
        <w:ind w:left="1440"/>
      </w:pPr>
      <w:bookmarkStart w:name="OLE_LINK4" w:id="10"/>
      <w:bookmarkEnd w:id="9"/>
      <w:r w:rsidRPr="005D73A2">
        <w:t>S</w:t>
      </w:r>
      <w:r w:rsidRPr="005D73A2" w:rsidR="00D04FCA">
        <w:t>ign and date the manifest in the International Shipments block</w:t>
      </w:r>
      <w:bookmarkEnd w:id="10"/>
      <w:r w:rsidR="006A6D72">
        <w:t>.</w:t>
      </w:r>
    </w:p>
    <w:p w:rsidRPr="005D73A2" w:rsidR="00F4750C" w:rsidP="00407520" w:rsidRDefault="00F4750C" w14:paraId="312618F8" w14:textId="77777777">
      <w:pPr>
        <w:pStyle w:val="NoSpacing"/>
        <w:widowControl/>
        <w:numPr>
          <w:ilvl w:val="0"/>
          <w:numId w:val="39"/>
        </w:numPr>
        <w:tabs>
          <w:tab w:val="left" w:pos="-1200"/>
        </w:tabs>
        <w:ind w:left="1440"/>
      </w:pPr>
      <w:r w:rsidRPr="005D73A2">
        <w:t>R</w:t>
      </w:r>
      <w:r w:rsidRPr="005D73A2" w:rsidR="00D04FCA">
        <w:t>etain one copy in acc</w:t>
      </w:r>
      <w:r w:rsidR="006A6D72">
        <w:t>ordance with section 263.22(d).</w:t>
      </w:r>
    </w:p>
    <w:p w:rsidRPr="005D73A2" w:rsidR="00F4750C" w:rsidP="00407520" w:rsidRDefault="00F4750C" w14:paraId="1D98AB4D" w14:textId="77777777">
      <w:pPr>
        <w:pStyle w:val="NoSpacing"/>
        <w:widowControl/>
        <w:numPr>
          <w:ilvl w:val="0"/>
          <w:numId w:val="39"/>
        </w:numPr>
        <w:tabs>
          <w:tab w:val="left" w:pos="-1200"/>
        </w:tabs>
        <w:ind w:left="1440"/>
      </w:pPr>
      <w:r w:rsidRPr="005D73A2">
        <w:t>R</w:t>
      </w:r>
      <w:r w:rsidRPr="005D73A2" w:rsidR="00D04FCA">
        <w:t>eturn a signed copy of</w:t>
      </w:r>
      <w:r w:rsidR="006A6D72">
        <w:t xml:space="preserve"> the manifest to the generator.</w:t>
      </w:r>
    </w:p>
    <w:p w:rsidRPr="005D73A2" w:rsidR="00447B2F" w:rsidP="00407520" w:rsidRDefault="00F4750C" w14:paraId="04F06E36" w14:textId="77777777">
      <w:pPr>
        <w:pStyle w:val="NoSpacing"/>
        <w:widowControl/>
        <w:numPr>
          <w:ilvl w:val="0"/>
          <w:numId w:val="39"/>
        </w:numPr>
        <w:tabs>
          <w:tab w:val="left" w:pos="-1200"/>
        </w:tabs>
        <w:ind w:left="1440"/>
      </w:pPr>
      <w:r w:rsidRPr="005D73A2">
        <w:t>Fo</w:t>
      </w:r>
      <w:r w:rsidRPr="005D73A2" w:rsidR="00D04FCA">
        <w:t>r paper manifests only, send a copy of the manifest to the e-Manifest system and for shipments initiated prior to the AES filing compliance date, when instructed by the exporter to do so, give a copy of the manifest to a U.S. Customs official at the point of departure from the United States.</w:t>
      </w:r>
    </w:p>
    <w:p w:rsidR="00F4750C" w:rsidP="00407520" w:rsidRDefault="00F4750C" w14:paraId="16C0BACD" w14:textId="77777777">
      <w:pPr>
        <w:pStyle w:val="NoSpacing"/>
        <w:widowControl/>
        <w:numPr>
          <w:ilvl w:val="0"/>
          <w:numId w:val="0"/>
        </w:numPr>
        <w:tabs>
          <w:tab w:val="left" w:pos="-1200"/>
        </w:tabs>
        <w:ind w:left="1440" w:hanging="360"/>
      </w:pPr>
    </w:p>
    <w:p w:rsidRPr="000438CC" w:rsidR="00524269" w:rsidP="00FA3A49" w:rsidRDefault="00524269" w14:paraId="7ACB1240" w14:textId="77777777">
      <w:pPr>
        <w:tabs>
          <w:tab w:val="left" w:pos="-1200"/>
        </w:tabs>
        <w:rPr>
          <w:b/>
        </w:rPr>
      </w:pPr>
      <w:r>
        <w:rPr>
          <w:b/>
        </w:rPr>
        <w:tab/>
      </w:r>
      <w:r w:rsidRPr="000438CC">
        <w:rPr>
          <w:b/>
        </w:rPr>
        <w:t>Electronic Manifest</w:t>
      </w:r>
    </w:p>
    <w:p w:rsidR="00524269" w:rsidP="00FA3A49" w:rsidRDefault="00524269" w14:paraId="5B8821E7" w14:textId="77777777">
      <w:pPr>
        <w:keepNext/>
        <w:keepLines/>
        <w:tabs>
          <w:tab w:val="left" w:pos="-1200"/>
        </w:tabs>
        <w:ind w:left="1440" w:hanging="720"/>
      </w:pPr>
    </w:p>
    <w:p w:rsidR="0087413A" w:rsidP="00E40AA3" w:rsidRDefault="00C1220A" w14:paraId="1089701D" w14:textId="77777777">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w:t>
      </w:r>
      <w:r w:rsidRPr="0087413A">
        <w:rPr>
          <w:iCs/>
        </w:rPr>
        <w:t>(</w:t>
      </w:r>
      <w:r>
        <w:rPr>
          <w:iCs/>
        </w:rPr>
        <w:t>8</w:t>
      </w:r>
      <w:r w:rsidRPr="0087413A">
        <w:rPr>
          <w:iCs/>
        </w:rPr>
        <w:t xml:space="preserve">), as applicable, </w:t>
      </w:r>
      <w:r w:rsidRPr="0087413A">
        <w:t xml:space="preserve">for completing, signing, providing, </w:t>
      </w:r>
      <w:proofErr w:type="gramStart"/>
      <w:r w:rsidRPr="0087413A">
        <w:t>using</w:t>
      </w:r>
      <w:proofErr w:type="gramEnd"/>
      <w:r w:rsidRPr="0087413A">
        <w:t xml:space="preserve"> and retaining the electronic manifest</w:t>
      </w:r>
      <w:r w:rsidRPr="0087413A" w:rsidR="0087413A">
        <w:t>.</w:t>
      </w:r>
    </w:p>
    <w:p w:rsidR="00524269" w:rsidP="00407520" w:rsidRDefault="00407520" w14:paraId="039ED02C" w14:textId="77777777">
      <w:pPr>
        <w:keepNext/>
        <w:keepLines/>
        <w:tabs>
          <w:tab w:val="left" w:pos="-1200"/>
          <w:tab w:val="left" w:pos="8651"/>
        </w:tabs>
      </w:pPr>
      <w:r>
        <w:tab/>
      </w:r>
    </w:p>
    <w:p w:rsidRPr="00853414" w:rsidR="000F4D0A" w:rsidP="00FA3A49" w:rsidRDefault="00C83812" w14:paraId="7EA4CDF8" w14:textId="77777777">
      <w:pPr>
        <w:keepNext/>
        <w:tabs>
          <w:tab w:val="left" w:pos="-1200"/>
        </w:tabs>
        <w:ind w:left="1440" w:hanging="720"/>
      </w:pPr>
      <w:r>
        <w:rPr>
          <w:i/>
          <w:iCs/>
        </w:rPr>
        <w:t>(</w:t>
      </w:r>
      <w:r w:rsidR="001E5DE4">
        <w:rPr>
          <w:i/>
          <w:iCs/>
        </w:rPr>
        <w:t>a</w:t>
      </w:r>
      <w:r w:rsidRPr="00853414" w:rsidR="000F4D0A">
        <w:rPr>
          <w:i/>
          <w:iCs/>
        </w:rPr>
        <w:t>5)</w:t>
      </w:r>
      <w:r w:rsidRPr="00853414" w:rsidR="000F4D0A">
        <w:rPr>
          <w:i/>
          <w:iCs/>
        </w:rPr>
        <w:tab/>
        <w:t>Transporters Who Transport Hazardous Waste Pursuant to a Reclamation Agreement (263.20(h))</w:t>
      </w:r>
    </w:p>
    <w:p w:rsidRPr="00853414" w:rsidR="000F4D0A" w:rsidP="00FA3A49" w:rsidRDefault="000F4D0A" w14:paraId="137EA6D2" w14:textId="77777777">
      <w:pPr>
        <w:keepNext/>
        <w:tabs>
          <w:tab w:val="left" w:pos="-1200"/>
        </w:tabs>
      </w:pPr>
    </w:p>
    <w:p w:rsidRPr="00853414" w:rsidR="000F4D0A" w:rsidP="00FA3A49" w:rsidRDefault="000F4D0A" w14:paraId="7CD28659" w14:textId="77777777">
      <w:pPr>
        <w:keepNext/>
        <w:tabs>
          <w:tab w:val="left" w:pos="-1200"/>
        </w:tabs>
      </w:pPr>
      <w:r w:rsidRPr="00853414">
        <w:t>40 CFR 263.20(h) provides that transporters can be exempt from the requirements of 40 CFR 263.20 &amp; 263.22 when transporting a SQG’s waste pursuant to a reclamation agreement in accordance with 40 CFR 262.20(e)</w:t>
      </w:r>
      <w:r w:rsidR="000E6596">
        <w:t xml:space="preserve">. </w:t>
      </w:r>
      <w:r w:rsidRPr="00853414">
        <w:t>These transporters are required to record data items on a log or shipping papers, carry the record to the reclamation facility, and retain these records, as required by 40 CFR 263.20(h).</w:t>
      </w:r>
    </w:p>
    <w:p w:rsidRPr="00853414" w:rsidR="000F4D0A" w:rsidP="00FA3A49" w:rsidRDefault="000F4D0A" w14:paraId="33791026" w14:textId="77777777">
      <w:pPr>
        <w:tabs>
          <w:tab w:val="left" w:pos="-1200"/>
        </w:tabs>
      </w:pPr>
    </w:p>
    <w:p w:rsidRPr="00853414" w:rsidR="000F4D0A" w:rsidP="009F0295" w:rsidRDefault="00886BEF" w14:paraId="466D598C" w14:textId="77777777">
      <w:pPr>
        <w:keepNext/>
        <w:tabs>
          <w:tab w:val="left" w:pos="-1200"/>
        </w:tabs>
        <w:ind w:firstLine="720"/>
      </w:pPr>
      <w:r w:rsidRPr="00886BEF">
        <w:rPr>
          <w:u w:val="single"/>
        </w:rPr>
        <w:t>Data Items</w:t>
      </w:r>
    </w:p>
    <w:p w:rsidR="00E76E0F" w:rsidP="009F0295" w:rsidRDefault="00E76E0F" w14:paraId="6C111E3B" w14:textId="77777777">
      <w:pPr>
        <w:pStyle w:val="NoSpacing"/>
        <w:keepNext/>
        <w:widowControl/>
        <w:numPr>
          <w:ilvl w:val="0"/>
          <w:numId w:val="0"/>
        </w:numPr>
        <w:ind w:left="1080"/>
      </w:pPr>
    </w:p>
    <w:p w:rsidR="00425D37" w:rsidRDefault="00583F16" w14:paraId="67C1BD7C" w14:textId="77777777">
      <w:pPr>
        <w:pStyle w:val="NoSpacing"/>
        <w:keepNext/>
        <w:widowControl/>
      </w:pPr>
      <w:r>
        <w:t>A reclamation agreement</w:t>
      </w:r>
      <w:r w:rsidRPr="00853414" w:rsidR="000F4D0A">
        <w:t xml:space="preserve">. </w:t>
      </w:r>
    </w:p>
    <w:p w:rsidRPr="00853414" w:rsidR="00E76E0F" w:rsidP="00FA3A49" w:rsidRDefault="00E76E0F" w14:paraId="0E8F2839" w14:textId="77777777">
      <w:pPr>
        <w:pStyle w:val="NoSpacing"/>
        <w:widowControl/>
        <w:numPr>
          <w:ilvl w:val="0"/>
          <w:numId w:val="0"/>
        </w:numPr>
        <w:ind w:left="1080"/>
      </w:pPr>
    </w:p>
    <w:p w:rsidR="000F4D0A" w:rsidP="009D281B" w:rsidRDefault="00886BEF" w14:paraId="2506D4F2" w14:textId="77777777">
      <w:pPr>
        <w:keepNext/>
        <w:tabs>
          <w:tab w:val="left" w:pos="-1200"/>
        </w:tabs>
        <w:ind w:left="720"/>
      </w:pPr>
      <w:r w:rsidRPr="00886BEF">
        <w:rPr>
          <w:u w:val="single"/>
        </w:rPr>
        <w:t>Respondent Activities</w:t>
      </w:r>
    </w:p>
    <w:p w:rsidRPr="00853414" w:rsidR="00E76E0F" w:rsidP="009D281B" w:rsidRDefault="00E76E0F" w14:paraId="12241146" w14:textId="77777777">
      <w:pPr>
        <w:keepNext/>
        <w:tabs>
          <w:tab w:val="left" w:pos="-1200"/>
        </w:tabs>
        <w:ind w:left="720"/>
      </w:pPr>
    </w:p>
    <w:p w:rsidRPr="00853414" w:rsidR="000F4D0A" w:rsidP="009D281B" w:rsidRDefault="000F4D0A" w14:paraId="0CB7573E" w14:textId="77777777">
      <w:pPr>
        <w:pStyle w:val="NoSpacing"/>
        <w:keepNext/>
        <w:widowControl/>
      </w:pPr>
      <w:r w:rsidRPr="00853414">
        <w:t>Record the waste information on a log or shipping paper, as required by 40 CFR 263.20(h)(2).</w:t>
      </w:r>
    </w:p>
    <w:p w:rsidRPr="00853414" w:rsidR="000F4D0A" w:rsidP="00FA3A49" w:rsidRDefault="000F4D0A" w14:paraId="709A8A76" w14:textId="77777777">
      <w:pPr>
        <w:pStyle w:val="NoSpacing"/>
        <w:widowControl/>
      </w:pPr>
      <w:r w:rsidRPr="00853414">
        <w:t>Carry the record when transporting waste to the reclamation facility, as required by 40 CFR 263.20(h)(3).</w:t>
      </w:r>
    </w:p>
    <w:p w:rsidRPr="00853414" w:rsidR="000F4D0A" w:rsidP="00FA3A49" w:rsidRDefault="000F4D0A" w14:paraId="73BEBFC2" w14:textId="77777777">
      <w:pPr>
        <w:pStyle w:val="NoSpacing"/>
        <w:widowControl/>
      </w:pPr>
      <w:r w:rsidRPr="00853414">
        <w:t xml:space="preserve">Retain the records for at least </w:t>
      </w:r>
      <w:r w:rsidR="00C24DDC">
        <w:t>3</w:t>
      </w:r>
      <w:r w:rsidRPr="00853414">
        <w:t xml:space="preserve"> years after termination or expiration of the agreement, as required by 40 CFR 263.20(h)(4).</w:t>
      </w:r>
    </w:p>
    <w:p w:rsidR="00C2787C" w:rsidP="00FA3A49" w:rsidRDefault="00C2787C" w14:paraId="77CF6F15" w14:textId="77777777">
      <w:pPr>
        <w:tabs>
          <w:tab w:val="left" w:pos="-1200"/>
        </w:tabs>
      </w:pPr>
    </w:p>
    <w:p w:rsidRPr="00ED5B2C" w:rsidR="00ED5B2C" w:rsidP="00FA3A49" w:rsidRDefault="00ED5B2C" w14:paraId="6BE57156" w14:textId="77777777">
      <w:pPr>
        <w:keepNext/>
        <w:keepLines/>
        <w:tabs>
          <w:tab w:val="left" w:pos="-1200"/>
        </w:tabs>
        <w:ind w:left="1440" w:hanging="720"/>
        <w:rPr>
          <w:i/>
        </w:rPr>
      </w:pPr>
      <w:r w:rsidRPr="00ED5B2C">
        <w:rPr>
          <w:i/>
        </w:rPr>
        <w:t>(</w:t>
      </w:r>
      <w:r w:rsidR="001E5DE4">
        <w:rPr>
          <w:i/>
        </w:rPr>
        <w:t>a</w:t>
      </w:r>
      <w:r w:rsidRPr="00ED5B2C">
        <w:rPr>
          <w:i/>
        </w:rPr>
        <w:t>6)</w:t>
      </w:r>
      <w:r w:rsidRPr="00ED5B2C">
        <w:rPr>
          <w:i/>
        </w:rPr>
        <w:tab/>
        <w:t>Undeliverable Shipments</w:t>
      </w:r>
    </w:p>
    <w:p w:rsidRPr="00853414" w:rsidR="00ED5B2C" w:rsidP="00FA3A49" w:rsidRDefault="00ED5B2C" w14:paraId="5C39E20F" w14:textId="77777777">
      <w:pPr>
        <w:keepNext/>
        <w:keepLines/>
        <w:tabs>
          <w:tab w:val="left" w:pos="-1200"/>
        </w:tabs>
      </w:pPr>
    </w:p>
    <w:p w:rsidR="00557424" w:rsidP="00FA3A49" w:rsidRDefault="00AD0C28" w14:paraId="33A22FFE" w14:textId="77777777">
      <w:r>
        <w:t xml:space="preserve">40 CFR </w:t>
      </w:r>
      <w:r w:rsidRPr="00853414" w:rsidR="00557424">
        <w:t>263.21(a)</w:t>
      </w:r>
      <w:r w:rsidR="00557424">
        <w:t xml:space="preserve"> provides that th</w:t>
      </w:r>
      <w:r w:rsidRPr="00853414" w:rsidR="00557424">
        <w:t>e transporter must deliver the entire quantity of hazardous waste which he has accepted from a generator or a transporter to the designated facility listed on the manifest; the alternate designated facility, the next designated transporter; or the place outside the U</w:t>
      </w:r>
      <w:r w:rsidR="00557424">
        <w:t>.</w:t>
      </w:r>
      <w:r w:rsidRPr="00853414" w:rsidR="00557424">
        <w:t>S</w:t>
      </w:r>
      <w:r w:rsidR="00557424">
        <w:t>.</w:t>
      </w:r>
      <w:r w:rsidRPr="00853414" w:rsidR="00557424">
        <w:t xml:space="preserve"> designated by the transporter</w:t>
      </w:r>
      <w:r w:rsidR="000E6596">
        <w:t xml:space="preserve">. </w:t>
      </w:r>
    </w:p>
    <w:p w:rsidR="00557424" w:rsidP="00FA3A49" w:rsidRDefault="00557424" w14:paraId="7017F53E" w14:textId="77777777"/>
    <w:p w:rsidR="00B465CA" w:rsidP="00360167" w:rsidRDefault="00AD0C28" w14:paraId="622840C9" w14:textId="77777777">
      <w:r>
        <w:t>40 CFR</w:t>
      </w:r>
      <w:r w:rsidR="00557424">
        <w:t xml:space="preserve"> 263.21(b)(1) provide</w:t>
      </w:r>
      <w:r>
        <w:t>s</w:t>
      </w:r>
      <w:r w:rsidR="00557424">
        <w:t xml:space="preserve"> that, if the hazardous waste cannot be delivered to the designated </w:t>
      </w:r>
      <w:r w:rsidR="00D3102F">
        <w:t>facility</w:t>
      </w:r>
      <w:r w:rsidR="00557424">
        <w:t xml:space="preserve">, alternate </w:t>
      </w:r>
      <w:proofErr w:type="gramStart"/>
      <w:r w:rsidR="00D3102F">
        <w:t>facility</w:t>
      </w:r>
      <w:proofErr w:type="gramEnd"/>
      <w:r w:rsidR="00557424">
        <w:t xml:space="preserve"> or place outside the U.S. because of an emergency condition other than rejection of the waste by the designated facility or alternate designated facility, then the transporter must contact the generator fo</w:t>
      </w:r>
      <w:r w:rsidR="0091544D">
        <w:t xml:space="preserve">r further instructions and </w:t>
      </w:r>
      <w:r w:rsidR="00557424">
        <w:t>revise the manifest according to the generator’s instructions.</w:t>
      </w:r>
    </w:p>
    <w:p w:rsidR="00B465CA" w:rsidP="00360167" w:rsidRDefault="00B465CA" w14:paraId="3D4A4333" w14:textId="77777777"/>
    <w:p w:rsidRPr="00FB6356" w:rsidR="00B465CA" w:rsidP="00360167" w:rsidRDefault="00AD0C28" w14:paraId="6500CFBF" w14:textId="77777777">
      <w:r w:rsidRPr="00FB6356">
        <w:t xml:space="preserve">40 CFR </w:t>
      </w:r>
      <w:r w:rsidRPr="00FB6356" w:rsidR="00557424">
        <w:t>263.21(b)(2) provide</w:t>
      </w:r>
      <w:r w:rsidRPr="00FB6356">
        <w:t>s</w:t>
      </w:r>
      <w:r w:rsidRPr="00FB6356" w:rsidR="00557424">
        <w:t xml:space="preserve"> that, if the hazardous waste is not delivered to the next designated transporter and the current transporter is without contractual authorization from the generator to act as the generator’s agent with respect to transporter additions or substitutions, then the current transporter must contact the generator for further instructions prior to making any revisions to the transporter designations on the manifest</w:t>
      </w:r>
      <w:r w:rsidR="000E6596">
        <w:t xml:space="preserve">. </w:t>
      </w:r>
      <w:r w:rsidRPr="00FB6356" w:rsidR="00557424">
        <w:t>The current transporter may thereafter make such revisions as specified</w:t>
      </w:r>
      <w:r w:rsidR="000E6596">
        <w:t xml:space="preserve">. </w:t>
      </w:r>
    </w:p>
    <w:p w:rsidRPr="00FB6356" w:rsidR="00B465CA" w:rsidP="00360167" w:rsidRDefault="00B465CA" w14:paraId="6B2EB284" w14:textId="77777777"/>
    <w:p w:rsidRPr="00FB6356" w:rsidR="00360167" w:rsidP="00360167" w:rsidRDefault="00360167" w14:paraId="798373E0" w14:textId="77777777">
      <w:r w:rsidRPr="00FB6356">
        <w:t>40 CFR 263.21(b)(3) provides that, if the hazardous waste is not delivered to the next designated transporter, and the current transporter has authorization from the generator to act as the generator’s agent, then the current transporter may change the transporter(s) designated on the manifest, or add a new transporter, during transportation without the generator’s prior, explicit approval, provided that the current transporter is authorized by a contractual provision that provides explicit and limited agency authority for the transporter to make such transporter changes on behalf of the generator and the transporter enters in Item 14 of each manifest for which such a change is made, the following statement of its agency authority: “Contract retained by generator confers agency authority on initial transporter to add or substitute additional transporters on generator’s behalf.”  The change in designated transporters must be necessary to respond to an emergency, or for purposes of transportation efficiency, convenience, or safety.</w:t>
      </w:r>
    </w:p>
    <w:p w:rsidRPr="00FB6356" w:rsidR="00360167" w:rsidP="00360167" w:rsidRDefault="00360167" w14:paraId="43015761" w14:textId="77777777"/>
    <w:p w:rsidRPr="00FB6356" w:rsidR="00ED5B2C" w:rsidP="00FA3A49" w:rsidRDefault="00ED5B2C" w14:paraId="2581F995" w14:textId="77777777">
      <w:pPr>
        <w:keepNext/>
        <w:keepLines/>
        <w:tabs>
          <w:tab w:val="left" w:pos="-1200"/>
        </w:tabs>
        <w:ind w:firstLine="720"/>
      </w:pPr>
      <w:r w:rsidRPr="00FB6356">
        <w:rPr>
          <w:u w:val="single"/>
        </w:rPr>
        <w:t>Data Item</w:t>
      </w:r>
      <w:r w:rsidRPr="00FB6356" w:rsidR="00F34025">
        <w:rPr>
          <w:u w:val="single"/>
        </w:rPr>
        <w:t>s</w:t>
      </w:r>
    </w:p>
    <w:p w:rsidRPr="00FB6356" w:rsidR="00ED5B2C" w:rsidP="00FA3A49" w:rsidRDefault="00ED5B2C" w14:paraId="06509EB3" w14:textId="77777777">
      <w:pPr>
        <w:keepNext/>
        <w:keepLines/>
        <w:tabs>
          <w:tab w:val="left" w:pos="-1200"/>
        </w:tabs>
        <w:ind w:firstLine="720"/>
      </w:pPr>
    </w:p>
    <w:p w:rsidRPr="00FB6356" w:rsidR="00ED5B2C" w:rsidP="00FA3A49" w:rsidRDefault="00ED5B2C" w14:paraId="5DE4FD23" w14:textId="77777777">
      <w:pPr>
        <w:pStyle w:val="NoSpacing"/>
        <w:widowControl/>
      </w:pPr>
      <w:r w:rsidRPr="00FB6356">
        <w:t>A</w:t>
      </w:r>
      <w:r w:rsidRPr="00FB6356" w:rsidR="00583F16">
        <w:t xml:space="preserve"> paper or electronic</w:t>
      </w:r>
      <w:r w:rsidRPr="00FB6356">
        <w:t xml:space="preserve"> manifest that has been revised</w:t>
      </w:r>
      <w:r w:rsidRPr="00FB6356" w:rsidR="001934C7">
        <w:t xml:space="preserve"> as specified</w:t>
      </w:r>
      <w:r w:rsidRPr="00FB6356">
        <w:t>.</w:t>
      </w:r>
    </w:p>
    <w:p w:rsidRPr="00FB6356" w:rsidR="001934C7" w:rsidP="001934C7" w:rsidRDefault="001934C7" w14:paraId="34D005D3" w14:textId="77777777">
      <w:pPr>
        <w:pStyle w:val="NoSpacing"/>
        <w:widowControl/>
        <w:numPr>
          <w:ilvl w:val="0"/>
          <w:numId w:val="0"/>
        </w:numPr>
        <w:ind w:left="1080"/>
      </w:pPr>
    </w:p>
    <w:p w:rsidRPr="00FB6356" w:rsidR="001934C7" w:rsidP="00FA3A49" w:rsidRDefault="001934C7" w14:paraId="2B7C4EE3" w14:textId="77777777">
      <w:pPr>
        <w:pStyle w:val="NoSpacing"/>
        <w:widowControl/>
      </w:pPr>
      <w:r w:rsidRPr="00FB6356">
        <w:t>Instructions from the generator as specified.</w:t>
      </w:r>
    </w:p>
    <w:p w:rsidRPr="00FB6356" w:rsidR="00F36EEC" w:rsidP="00FA3A49" w:rsidRDefault="00F36EEC" w14:paraId="5AEB2F22" w14:textId="77777777">
      <w:pPr>
        <w:pStyle w:val="NoSpacing"/>
        <w:widowControl/>
        <w:numPr>
          <w:ilvl w:val="0"/>
          <w:numId w:val="0"/>
        </w:numPr>
        <w:ind w:left="1080"/>
      </w:pPr>
    </w:p>
    <w:p w:rsidRPr="00FB6356" w:rsidR="00F36EEC" w:rsidP="00FA3A49" w:rsidRDefault="00F36EEC" w14:paraId="0B7C0EEF" w14:textId="77777777">
      <w:pPr>
        <w:pStyle w:val="NoSpacing"/>
        <w:widowControl/>
      </w:pPr>
      <w:r w:rsidRPr="00FB6356">
        <w:t>Contract authorization</w:t>
      </w:r>
      <w:r w:rsidRPr="00FB6356" w:rsidR="004E1A2E">
        <w:t xml:space="preserve"> provision</w:t>
      </w:r>
      <w:r w:rsidRPr="00FB6356">
        <w:t xml:space="preserve"> under </w:t>
      </w:r>
      <w:r w:rsidRPr="00FB6356" w:rsidR="001934C7">
        <w:t xml:space="preserve">40 CFR </w:t>
      </w:r>
      <w:r w:rsidRPr="00FB6356">
        <w:t>263.21(b)(3).</w:t>
      </w:r>
    </w:p>
    <w:p w:rsidRPr="00853414" w:rsidR="00ED5B2C" w:rsidP="00FA3A49" w:rsidRDefault="00ED5B2C" w14:paraId="3155A9A9" w14:textId="77777777">
      <w:pPr>
        <w:keepLines/>
        <w:tabs>
          <w:tab w:val="left" w:pos="-1200"/>
        </w:tabs>
        <w:ind w:firstLine="720"/>
      </w:pPr>
    </w:p>
    <w:p w:rsidR="00ED5B2C" w:rsidP="00FA3A49" w:rsidRDefault="00ED5B2C" w14:paraId="3E5A9322" w14:textId="77777777">
      <w:pPr>
        <w:tabs>
          <w:tab w:val="left" w:pos="-1200"/>
        </w:tabs>
        <w:ind w:firstLine="720"/>
      </w:pPr>
      <w:r w:rsidRPr="00886BEF">
        <w:rPr>
          <w:u w:val="single"/>
        </w:rPr>
        <w:t>Respondent Activit</w:t>
      </w:r>
      <w:r w:rsidR="00F34025">
        <w:rPr>
          <w:u w:val="single"/>
        </w:rPr>
        <w:t>ies</w:t>
      </w:r>
    </w:p>
    <w:p w:rsidR="00B30BC8" w:rsidP="00FA3A49" w:rsidRDefault="00B30BC8" w14:paraId="33CB57EB" w14:textId="77777777">
      <w:pPr>
        <w:pStyle w:val="NoSpacing"/>
        <w:widowControl/>
        <w:numPr>
          <w:ilvl w:val="0"/>
          <w:numId w:val="0"/>
        </w:numPr>
      </w:pPr>
    </w:p>
    <w:p w:rsidR="00ED5B2C" w:rsidP="00FA3A49" w:rsidRDefault="00B30BC8" w14:paraId="1AF8A0AC" w14:textId="77777777">
      <w:pPr>
        <w:pStyle w:val="NoSpacing"/>
        <w:widowControl/>
      </w:pPr>
      <w:r>
        <w:t>For undeliverable shipments under</w:t>
      </w:r>
      <w:r w:rsidR="00F9124E">
        <w:t xml:space="preserve"> </w:t>
      </w:r>
      <w:r w:rsidR="002B2C2A">
        <w:t xml:space="preserve">40 CFR </w:t>
      </w:r>
      <w:r>
        <w:t xml:space="preserve">263.21(b)(1) or (2), </w:t>
      </w:r>
      <w:r w:rsidR="00022C9F">
        <w:t xml:space="preserve">a transporter must </w:t>
      </w:r>
      <w:r>
        <w:t>c</w:t>
      </w:r>
      <w:r w:rsidRPr="00853414" w:rsidR="00ED5B2C">
        <w:t>ontact the generator and revise the manifest according to the generator’s instructions.</w:t>
      </w:r>
    </w:p>
    <w:p w:rsidR="00E0497B" w:rsidP="00FA3A49" w:rsidRDefault="00E0497B" w14:paraId="4F38B934" w14:textId="77777777">
      <w:pPr>
        <w:pStyle w:val="NoSpacing"/>
        <w:widowControl/>
        <w:numPr>
          <w:ilvl w:val="0"/>
          <w:numId w:val="0"/>
        </w:numPr>
        <w:ind w:left="1080"/>
      </w:pPr>
    </w:p>
    <w:p w:rsidR="00022C9F" w:rsidP="00FA3A49" w:rsidRDefault="00B30BC8" w14:paraId="4E25EE1C" w14:textId="77777777">
      <w:pPr>
        <w:pStyle w:val="NoSpacing"/>
        <w:widowControl/>
      </w:pPr>
      <w:r>
        <w:t xml:space="preserve">For undeliverable shipments under </w:t>
      </w:r>
      <w:r w:rsidR="002B2C2A">
        <w:t xml:space="preserve">40 CFR </w:t>
      </w:r>
      <w:r>
        <w:t>263.21(b)(3),</w:t>
      </w:r>
      <w:r w:rsidRPr="00B30BC8">
        <w:t xml:space="preserve"> </w:t>
      </w:r>
      <w:r w:rsidR="00022C9F">
        <w:t>a transporter must</w:t>
      </w:r>
      <w:r w:rsidR="00447F53">
        <w:t>:</w:t>
      </w:r>
    </w:p>
    <w:p w:rsidR="00022C9F" w:rsidP="00E40AA3" w:rsidRDefault="00022C9F" w14:paraId="202C896E" w14:textId="77777777">
      <w:pPr>
        <w:pStyle w:val="NoSpacing"/>
        <w:widowControl/>
        <w:numPr>
          <w:ilvl w:val="1"/>
          <w:numId w:val="2"/>
        </w:numPr>
      </w:pPr>
      <w:r>
        <w:t>E</w:t>
      </w:r>
      <w:r w:rsidR="00B30BC8">
        <w:t>stablish a contract provision authorizing the transporter to make revisions as specified</w:t>
      </w:r>
      <w:r>
        <w:t>;</w:t>
      </w:r>
      <w:r w:rsidR="00B30BC8">
        <w:t xml:space="preserve"> and</w:t>
      </w:r>
      <w:r w:rsidR="0052352C">
        <w:t xml:space="preserve"> </w:t>
      </w:r>
    </w:p>
    <w:p w:rsidRPr="00853414" w:rsidR="00B30BC8" w:rsidP="00E40AA3" w:rsidRDefault="00022C9F" w14:paraId="67A111F5" w14:textId="77777777">
      <w:pPr>
        <w:pStyle w:val="NoSpacing"/>
        <w:widowControl/>
        <w:numPr>
          <w:ilvl w:val="1"/>
          <w:numId w:val="2"/>
        </w:numPr>
      </w:pPr>
      <w:r>
        <w:t>R</w:t>
      </w:r>
      <w:r w:rsidR="00B30BC8">
        <w:t xml:space="preserve">evise the manifest </w:t>
      </w:r>
      <w:r w:rsidR="002B2C2A">
        <w:t>including the statement in Item 14</w:t>
      </w:r>
      <w:r w:rsidR="00867798">
        <w:t>, as specified</w:t>
      </w:r>
      <w:r w:rsidR="00B30BC8">
        <w:t>.</w:t>
      </w:r>
    </w:p>
    <w:p w:rsidRPr="00853414" w:rsidR="00ED5B2C" w:rsidP="00FA3A49" w:rsidRDefault="00ED5B2C" w14:paraId="293ACB68" w14:textId="77777777">
      <w:pPr>
        <w:tabs>
          <w:tab w:val="left" w:pos="-1200"/>
        </w:tabs>
        <w:ind w:left="1440" w:hanging="720"/>
      </w:pPr>
    </w:p>
    <w:p w:rsidRPr="00ED5B2C" w:rsidR="00ED5B2C" w:rsidP="00FA3A49" w:rsidRDefault="00ED5B2C" w14:paraId="4F9A21BB" w14:textId="77777777">
      <w:pPr>
        <w:tabs>
          <w:tab w:val="left" w:pos="-1200"/>
        </w:tabs>
        <w:ind w:left="1440" w:hanging="720"/>
        <w:rPr>
          <w:i/>
        </w:rPr>
      </w:pPr>
      <w:r w:rsidRPr="00ED5B2C">
        <w:rPr>
          <w:i/>
        </w:rPr>
        <w:t>(</w:t>
      </w:r>
      <w:r w:rsidR="001E5DE4">
        <w:rPr>
          <w:i/>
        </w:rPr>
        <w:t>a</w:t>
      </w:r>
      <w:r w:rsidRPr="00ED5B2C">
        <w:rPr>
          <w:i/>
        </w:rPr>
        <w:t>7)</w:t>
      </w:r>
      <w:r w:rsidRPr="00ED5B2C">
        <w:rPr>
          <w:i/>
        </w:rPr>
        <w:tab/>
        <w:t>Rejected Waste and Container Residues</w:t>
      </w:r>
    </w:p>
    <w:p w:rsidRPr="00853414" w:rsidR="00ED5B2C" w:rsidP="00FA3A49" w:rsidRDefault="00ED5B2C" w14:paraId="670CF1AD" w14:textId="77777777">
      <w:pPr>
        <w:tabs>
          <w:tab w:val="left" w:pos="-1200"/>
        </w:tabs>
      </w:pPr>
    </w:p>
    <w:p w:rsidR="00ED5B2C" w:rsidP="00FA3A49" w:rsidRDefault="00ED5B2C" w14:paraId="76A06584" w14:textId="77777777">
      <w:pPr>
        <w:tabs>
          <w:tab w:val="left" w:pos="-1200"/>
        </w:tabs>
      </w:pPr>
      <w:r w:rsidRPr="00853414">
        <w:t>Under 40 CFR 263.21(</w:t>
      </w:r>
      <w:r w:rsidR="008D2DDB">
        <w:t>c</w:t>
      </w:r>
      <w:r w:rsidRPr="00853414">
        <w:t>), if a hazardous waste is rejected or a container residue is identified by the designated facility listed on the manifest while the transporter is on the facility’s premises, then the transporter must comply with the appropriate procedures:</w:t>
      </w:r>
    </w:p>
    <w:p w:rsidRPr="00853414" w:rsidR="00376667" w:rsidP="00FA3A49" w:rsidRDefault="00376667" w14:paraId="026379D5" w14:textId="77777777">
      <w:pPr>
        <w:tabs>
          <w:tab w:val="left" w:pos="-1200"/>
        </w:tabs>
      </w:pPr>
    </w:p>
    <w:p w:rsidR="00ED5B2C" w:rsidP="00FA3A49" w:rsidRDefault="00493C01" w14:paraId="3D45A40A" w14:textId="77777777">
      <w:pPr>
        <w:pStyle w:val="NoSpacing"/>
        <w:widowControl/>
      </w:pPr>
      <w:r w:rsidRPr="00493C01">
        <w:t>For a partial load rejection or for regulated quantities of container residues</w:t>
      </w:r>
      <w:r w:rsidRPr="00853414" w:rsidR="00ED5B2C">
        <w:t xml:space="preserve">:  </w:t>
      </w:r>
      <w:r w:rsidR="00FD2001">
        <w:t xml:space="preserve">The transporter must obtain </w:t>
      </w:r>
      <w:r w:rsidRPr="00FD2001" w:rsidR="00FD2001">
        <w:t xml:space="preserve">a copy of the original manifest that includes the facility's date and signature, and the Manifest Tracking Number of the new manifest that will accompany the shipment, and a description of the partial rejection or container residue in the discrepancy block of the original manifest. The transporter must retain a copy of this manifest in accordance with </w:t>
      </w:r>
      <w:r w:rsidR="00FD2001">
        <w:t xml:space="preserve">40 CFR </w:t>
      </w:r>
      <w:proofErr w:type="gramStart"/>
      <w:r w:rsidRPr="00FD2001" w:rsidR="00FD2001">
        <w:t>263.22, and</w:t>
      </w:r>
      <w:proofErr w:type="gramEnd"/>
      <w:r w:rsidRPr="00FD2001" w:rsidR="00FD2001">
        <w:t xml:space="preserve"> give the remaining copies of the original manifest to the rejecting designated facility. If the transporter is forwarding the rejected part of the shipment or a regulated container residue to an alternate facility or returning it to the generator, the transporter must obtain a new </w:t>
      </w:r>
      <w:r w:rsidRPr="00FD2001" w:rsidR="00FD2001">
        <w:lastRenderedPageBreak/>
        <w:t>manifest to accompany the shipment, and the new manifest must include all of the information required in 40 CFR 264.72(e)(1) through (6) or (f)(1) through (6) or 40 CFR 265.72(e)(1) through (6) or (f)(1) through (6).</w:t>
      </w:r>
    </w:p>
    <w:p w:rsidRPr="00853414" w:rsidR="001177C5" w:rsidP="00FA3A49" w:rsidRDefault="001177C5" w14:paraId="33B2EE4D" w14:textId="77777777">
      <w:pPr>
        <w:pStyle w:val="NoSpacing"/>
        <w:widowControl/>
        <w:numPr>
          <w:ilvl w:val="0"/>
          <w:numId w:val="0"/>
        </w:numPr>
        <w:ind w:left="1080"/>
      </w:pPr>
    </w:p>
    <w:p w:rsidRPr="00853414" w:rsidR="00ED5B2C" w:rsidP="00FA3A49" w:rsidRDefault="00493C01" w14:paraId="726CC235" w14:textId="77777777">
      <w:pPr>
        <w:pStyle w:val="NoSpacing"/>
        <w:widowControl/>
      </w:pPr>
      <w:r w:rsidRPr="00493C01">
        <w:t>For a full load rejection that will be taken back by the transporter</w:t>
      </w:r>
      <w:r w:rsidRPr="00853414" w:rsidR="00ED5B2C">
        <w:t xml:space="preserve">: The transporter must obtain </w:t>
      </w:r>
      <w:r w:rsidRPr="00394A99" w:rsidR="00394A99">
        <w:t xml:space="preserve">a copy of the original manifest that includes the rejecting facility's signature and date attesting to the rejection, the description of the rejection in the discrepancy block of the manifest, and the name, address, phone number, and Identification Number for the alternate facility or generator to whom the shipment must be delivered. The transporter must retain a copy of the manifest in accordance with </w:t>
      </w:r>
      <w:r w:rsidR="00394A99">
        <w:t xml:space="preserve">40 CFR </w:t>
      </w:r>
      <w:proofErr w:type="gramStart"/>
      <w:r w:rsidRPr="00394A99" w:rsidR="00394A99">
        <w:t>263.22, and</w:t>
      </w:r>
      <w:proofErr w:type="gramEnd"/>
      <w:r w:rsidRPr="00394A99" w:rsidR="00394A99">
        <w:t xml:space="preserve"> give a copy of the manifest containing this information to the rejecting designated facility. If the original manifest is not used, then the transporter must obtain a new manifest for the shipment and comply with 40 CFR 264.72(e)(1) through (6) or 40 CFR 265.72(e)(1) through (6).</w:t>
      </w:r>
    </w:p>
    <w:p w:rsidRPr="00853414" w:rsidR="00ED5B2C" w:rsidP="00FA3A49" w:rsidRDefault="00ED5B2C" w14:paraId="51635AF9" w14:textId="77777777">
      <w:pPr>
        <w:tabs>
          <w:tab w:val="left" w:pos="-1200"/>
        </w:tabs>
      </w:pPr>
    </w:p>
    <w:p w:rsidR="00ED5B2C" w:rsidP="009F0295" w:rsidRDefault="00ED5B2C" w14:paraId="6BA5D5B3" w14:textId="77777777">
      <w:pPr>
        <w:keepNext/>
        <w:tabs>
          <w:tab w:val="left" w:pos="-1200"/>
        </w:tabs>
        <w:ind w:firstLine="720"/>
        <w:rPr>
          <w:lang w:val="pt-BR"/>
        </w:rPr>
      </w:pPr>
      <w:r w:rsidRPr="00361F4A">
        <w:rPr>
          <w:u w:val="single"/>
          <w:lang w:val="pt-BR"/>
        </w:rPr>
        <w:t>Data Item</w:t>
      </w:r>
    </w:p>
    <w:p w:rsidRPr="00853414" w:rsidR="00ED5B2C" w:rsidP="009F0295" w:rsidRDefault="00ED5B2C" w14:paraId="54042CA9" w14:textId="77777777">
      <w:pPr>
        <w:keepNext/>
        <w:tabs>
          <w:tab w:val="left" w:pos="-1200"/>
        </w:tabs>
        <w:ind w:firstLine="720"/>
        <w:rPr>
          <w:lang w:val="pt-BR"/>
        </w:rPr>
      </w:pPr>
    </w:p>
    <w:p w:rsidRPr="00853414" w:rsidR="00ED5B2C" w:rsidP="009F0295" w:rsidRDefault="00ED5B2C" w14:paraId="3F323A51" w14:textId="77777777">
      <w:pPr>
        <w:pStyle w:val="a"/>
        <w:keepNext/>
        <w:widowControl/>
        <w:tabs>
          <w:tab w:val="left" w:pos="-1200"/>
        </w:tabs>
        <w:ind w:left="1170" w:hanging="450"/>
        <w:rPr>
          <w:lang w:val="pt-BR"/>
        </w:rPr>
      </w:pPr>
      <w:r w:rsidRPr="00853414">
        <w:sym w:font="Symbol" w:char="F0B7"/>
      </w:r>
      <w:r w:rsidRPr="00853414">
        <w:rPr>
          <w:lang w:val="pt-BR"/>
        </w:rPr>
        <w:tab/>
      </w:r>
      <w:r>
        <w:rPr>
          <w:lang w:val="pt-BR"/>
        </w:rPr>
        <w:t>A</w:t>
      </w:r>
      <w:r w:rsidRPr="00853414">
        <w:rPr>
          <w:lang w:val="pt-BR"/>
        </w:rPr>
        <w:t xml:space="preserve"> </w:t>
      </w:r>
      <w:r w:rsidR="00420B7A">
        <w:rPr>
          <w:lang w:val="pt-BR"/>
        </w:rPr>
        <w:t xml:space="preserve">paper or electronic </w:t>
      </w:r>
      <w:r w:rsidRPr="00853414">
        <w:rPr>
          <w:lang w:val="pt-BR"/>
        </w:rPr>
        <w:t>manifest.</w:t>
      </w:r>
    </w:p>
    <w:p w:rsidRPr="00853414" w:rsidR="00ED5B2C" w:rsidP="00FA3A49" w:rsidRDefault="00ED5B2C" w14:paraId="04F416FD" w14:textId="77777777">
      <w:pPr>
        <w:keepLines/>
        <w:tabs>
          <w:tab w:val="left" w:pos="-1200"/>
        </w:tabs>
        <w:ind w:firstLine="720"/>
        <w:rPr>
          <w:lang w:val="pt-BR"/>
        </w:rPr>
      </w:pPr>
    </w:p>
    <w:p w:rsidRPr="00853414" w:rsidR="00ED5B2C" w:rsidP="00FA3A49" w:rsidRDefault="00ED5B2C" w14:paraId="2322880E" w14:textId="77777777">
      <w:pPr>
        <w:keepNext/>
        <w:tabs>
          <w:tab w:val="left" w:pos="-1200"/>
        </w:tabs>
        <w:ind w:firstLine="720"/>
      </w:pPr>
      <w:r w:rsidRPr="00886BEF">
        <w:rPr>
          <w:u w:val="single"/>
        </w:rPr>
        <w:t>Respondent Activities</w:t>
      </w:r>
    </w:p>
    <w:p w:rsidR="00ED5B2C" w:rsidP="00FA3A49" w:rsidRDefault="00ED5B2C" w14:paraId="7ECA5800" w14:textId="77777777">
      <w:pPr>
        <w:pStyle w:val="NoSpacing"/>
        <w:keepNext/>
        <w:widowControl/>
        <w:numPr>
          <w:ilvl w:val="0"/>
          <w:numId w:val="0"/>
        </w:numPr>
        <w:ind w:left="1080" w:hanging="360"/>
      </w:pPr>
    </w:p>
    <w:p w:rsidRPr="00524269" w:rsidR="00524269" w:rsidP="00FA3A49" w:rsidRDefault="00524269" w14:paraId="339EECD0" w14:textId="77777777">
      <w:pPr>
        <w:pStyle w:val="NoSpacing"/>
        <w:keepNext/>
        <w:widowControl/>
        <w:numPr>
          <w:ilvl w:val="0"/>
          <w:numId w:val="0"/>
        </w:numPr>
        <w:ind w:left="1080" w:hanging="360"/>
        <w:rPr>
          <w:b/>
        </w:rPr>
      </w:pPr>
      <w:r w:rsidRPr="00524269">
        <w:rPr>
          <w:b/>
        </w:rPr>
        <w:t>Paper Manifest</w:t>
      </w:r>
    </w:p>
    <w:p w:rsidR="00524269" w:rsidP="00FA3A49" w:rsidRDefault="00524269" w14:paraId="72EFC84B" w14:textId="77777777">
      <w:pPr>
        <w:pStyle w:val="NoSpacing"/>
        <w:keepNext/>
        <w:widowControl/>
        <w:numPr>
          <w:ilvl w:val="0"/>
          <w:numId w:val="0"/>
        </w:numPr>
        <w:ind w:left="1080" w:hanging="360"/>
      </w:pPr>
    </w:p>
    <w:p w:rsidRPr="000E3421" w:rsidR="000E3421" w:rsidP="000E3421" w:rsidRDefault="000E3421" w14:paraId="73E3D230" w14:textId="77777777">
      <w:pPr>
        <w:pStyle w:val="ListParagraph"/>
        <w:numPr>
          <w:ilvl w:val="0"/>
          <w:numId w:val="6"/>
        </w:numPr>
      </w:pPr>
      <w:r w:rsidRPr="000E3421">
        <w:t>For a partial load rejection or for regulated quantities of container residues, obtain a copy of the original manifest, retain a copy, give remaining copies to rejecting facility, and if forwarding or returning the rejection or residue, obtain a new manifest.</w:t>
      </w:r>
    </w:p>
    <w:p w:rsidR="00ED5B2C" w:rsidP="000E3421" w:rsidRDefault="00ED5B2C" w14:paraId="06037FD7" w14:textId="77777777">
      <w:pPr>
        <w:pStyle w:val="NoSpacing"/>
        <w:keepNext/>
        <w:widowControl/>
        <w:numPr>
          <w:ilvl w:val="0"/>
          <w:numId w:val="0"/>
        </w:numPr>
      </w:pPr>
    </w:p>
    <w:p w:rsidRPr="00853414" w:rsidR="006D45F5" w:rsidP="000E3421" w:rsidRDefault="000E3421" w14:paraId="4F4C0D15" w14:textId="77777777">
      <w:pPr>
        <w:pStyle w:val="NoSpacing"/>
        <w:keepNext/>
        <w:widowControl/>
        <w:numPr>
          <w:ilvl w:val="0"/>
          <w:numId w:val="6"/>
        </w:numPr>
      </w:pPr>
      <w:r w:rsidRPr="000E3421">
        <w:t xml:space="preserve">For a full load rejection, obtain a copy of the original manifest, retain a copy, give a copy to rejecting facility, or if the original manifest is not used, obtain a new </w:t>
      </w:r>
      <w:proofErr w:type="gramStart"/>
      <w:r w:rsidRPr="000E3421">
        <w:t>manifest</w:t>
      </w:r>
      <w:proofErr w:type="gramEnd"/>
      <w:r w:rsidRPr="000E3421">
        <w:t xml:space="preserve"> and comply with applicable requirements.</w:t>
      </w:r>
    </w:p>
    <w:p w:rsidR="00524269" w:rsidP="00FA3A49" w:rsidRDefault="00524269" w14:paraId="339EBE63" w14:textId="77777777">
      <w:pPr>
        <w:pStyle w:val="NoSpacing"/>
        <w:widowControl/>
        <w:numPr>
          <w:ilvl w:val="0"/>
          <w:numId w:val="0"/>
        </w:numPr>
        <w:ind w:left="1080" w:hanging="360"/>
      </w:pPr>
    </w:p>
    <w:p w:rsidRPr="000438CC" w:rsidR="00524269" w:rsidP="00FA3A49" w:rsidRDefault="00524269" w14:paraId="6BFABB0C" w14:textId="77777777">
      <w:pPr>
        <w:tabs>
          <w:tab w:val="left" w:pos="-1200"/>
        </w:tabs>
        <w:rPr>
          <w:b/>
        </w:rPr>
      </w:pPr>
      <w:r>
        <w:rPr>
          <w:b/>
        </w:rPr>
        <w:tab/>
      </w:r>
      <w:r w:rsidRPr="000438CC">
        <w:rPr>
          <w:b/>
        </w:rPr>
        <w:t>Electronic Manifest</w:t>
      </w:r>
    </w:p>
    <w:p w:rsidR="00524269" w:rsidP="00FA3A49" w:rsidRDefault="00524269" w14:paraId="0CE6A875" w14:textId="77777777">
      <w:pPr>
        <w:keepNext/>
        <w:keepLines/>
        <w:tabs>
          <w:tab w:val="left" w:pos="-1200"/>
        </w:tabs>
        <w:ind w:left="1440" w:hanging="720"/>
      </w:pPr>
    </w:p>
    <w:p w:rsidR="00524269" w:rsidP="00E40AA3" w:rsidRDefault="0087413A" w14:paraId="07D955F7" w14:textId="77777777">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sidR="00C1220A">
        <w:rPr>
          <w:iCs/>
        </w:rPr>
        <w:t>-</w:t>
      </w:r>
      <w:r>
        <w:rPr>
          <w:iCs/>
        </w:rPr>
        <w:t xml:space="preserve"> </w:t>
      </w:r>
      <w:r w:rsidRPr="0087413A">
        <w:rPr>
          <w:iCs/>
        </w:rPr>
        <w:t>(</w:t>
      </w:r>
      <w:r w:rsidR="00C1220A">
        <w:rPr>
          <w:iCs/>
        </w:rPr>
        <w:t>8</w:t>
      </w:r>
      <w:r w:rsidRPr="0087413A">
        <w:rPr>
          <w:iCs/>
        </w:rPr>
        <w:t xml:space="preserve">), as applicable, </w:t>
      </w:r>
      <w:r w:rsidRPr="0087413A">
        <w:t xml:space="preserve">for completing, signing, providing, </w:t>
      </w:r>
      <w:proofErr w:type="gramStart"/>
      <w:r w:rsidRPr="0087413A">
        <w:t>using</w:t>
      </w:r>
      <w:proofErr w:type="gramEnd"/>
      <w:r w:rsidRPr="0087413A">
        <w:t xml:space="preserve"> and retaining the electronic manifest.</w:t>
      </w:r>
    </w:p>
    <w:p w:rsidR="00ED5B2C" w:rsidP="00FA3A49" w:rsidRDefault="00ED5B2C" w14:paraId="37C3A6D1" w14:textId="77777777">
      <w:pPr>
        <w:tabs>
          <w:tab w:val="left" w:pos="-1200"/>
        </w:tabs>
        <w:ind w:left="1440" w:hanging="720"/>
      </w:pPr>
    </w:p>
    <w:p w:rsidRPr="00853414" w:rsidR="00740C89" w:rsidP="00FA3A49" w:rsidRDefault="00740C89" w14:paraId="67E381B5" w14:textId="77777777">
      <w:pPr>
        <w:tabs>
          <w:tab w:val="left" w:pos="-1200"/>
        </w:tabs>
        <w:ind w:left="1440" w:hanging="720"/>
      </w:pPr>
      <w:r>
        <w:t>(</w:t>
      </w:r>
      <w:r w:rsidR="001E5DE4">
        <w:t>b</w:t>
      </w:r>
      <w:r w:rsidRPr="00853414">
        <w:t>)</w:t>
      </w:r>
      <w:r w:rsidRPr="00853414">
        <w:tab/>
      </w:r>
      <w:r>
        <w:t>Use of the Electronic Manifest</w:t>
      </w:r>
    </w:p>
    <w:p w:rsidR="00740C89" w:rsidP="00FA3A49" w:rsidRDefault="00740C89" w14:paraId="1DF3D82B" w14:textId="77777777">
      <w:pPr>
        <w:tabs>
          <w:tab w:val="left" w:pos="-1200"/>
        </w:tabs>
        <w:ind w:left="1440" w:hanging="720"/>
      </w:pPr>
    </w:p>
    <w:p w:rsidRPr="001606CD" w:rsidR="00740C89" w:rsidP="00FA3A49" w:rsidRDefault="00740C89" w14:paraId="2EB8B42D" w14:textId="77777777">
      <w:pPr>
        <w:tabs>
          <w:tab w:val="left" w:pos="-1200"/>
        </w:tabs>
        <w:ind w:left="1440" w:hanging="720"/>
        <w:rPr>
          <w:i/>
        </w:rPr>
      </w:pPr>
      <w:r w:rsidRPr="001606CD">
        <w:rPr>
          <w:i/>
        </w:rPr>
        <w:t>(</w:t>
      </w:r>
      <w:r w:rsidR="001E5DE4">
        <w:rPr>
          <w:i/>
        </w:rPr>
        <w:t>b</w:t>
      </w:r>
      <w:r w:rsidRPr="001606CD">
        <w:rPr>
          <w:i/>
        </w:rPr>
        <w:t>1)</w:t>
      </w:r>
      <w:r w:rsidRPr="001606CD">
        <w:rPr>
          <w:i/>
        </w:rPr>
        <w:tab/>
        <w:t>Legal Equivalence to Paper Manifest</w:t>
      </w:r>
    </w:p>
    <w:p w:rsidR="00740C89" w:rsidP="00FA3A49" w:rsidRDefault="00740C89" w14:paraId="7EE4F1EB" w14:textId="77777777">
      <w:pPr>
        <w:rPr>
          <w:iCs/>
        </w:rPr>
      </w:pPr>
    </w:p>
    <w:p w:rsidRPr="003862CE" w:rsidR="00740C89" w:rsidP="00FA3A49" w:rsidRDefault="00740C89" w14:paraId="3021C0D4" w14:textId="77777777">
      <w:r>
        <w:rPr>
          <w:iCs/>
        </w:rPr>
        <w:t>40 CFR 263.20(a)(4) provides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263.20</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sidR="000E6596">
        <w:rPr>
          <w:iCs/>
        </w:rPr>
        <w:t xml:space="preserve">. </w:t>
      </w:r>
      <w:r>
        <w:rPr>
          <w:iCs/>
        </w:rPr>
        <w:t>It provides that (1) a</w:t>
      </w:r>
      <w:r w:rsidRPr="00415B5B">
        <w:rPr>
          <w:iCs/>
        </w:rPr>
        <w:t xml:space="preserve">ny </w:t>
      </w:r>
      <w:r w:rsidRPr="00415B5B">
        <w:rPr>
          <w:iCs/>
        </w:rPr>
        <w:lastRenderedPageBreak/>
        <w:t xml:space="preserve">requirement in these regulations to sign a manifest or manifest certification by hand, or to obtain a handwritten signature, is satisfied by signing with or obtaining a valid and enforceable electronic signature within the meaning of </w:t>
      </w:r>
      <w:r>
        <w:rPr>
          <w:iCs/>
        </w:rPr>
        <w:t>section 262.25(a); (2) a</w:t>
      </w:r>
      <w:r w:rsidRPr="00415B5B">
        <w:rPr>
          <w:iCs/>
        </w:rPr>
        <w:t>ny requirement in these regulations to give, provide, send, forward, or return to another person a copy of the manifest is satisfied when a copy of an electronic manifest is transmitted to the other per</w:t>
      </w:r>
      <w:r>
        <w:rPr>
          <w:iCs/>
        </w:rPr>
        <w:t>son by submission to the system; (3) a</w:t>
      </w:r>
      <w:r w:rsidRPr="00415B5B">
        <w:rPr>
          <w:iCs/>
        </w:rPr>
        <w:t xml:space="preserve">ny requirement in these regulations for a manifest to accompany a hazardous waste shipment is satisfied when a copy of an electronic manifest is accessible during transportation and forwarded to the person or persons who are scheduled to receive delivery of </w:t>
      </w:r>
      <w:r>
        <w:rPr>
          <w:iCs/>
        </w:rPr>
        <w:t>the waste shipment, except that t</w:t>
      </w:r>
      <w:r w:rsidRPr="00415B5B">
        <w:rPr>
          <w:iCs/>
        </w:rPr>
        <w:t>o the extent that the Hazardous Materials regulation on shipping papers for carriage by public highway requires transporters of hazardous materials to carry a paper document to comply with 49 CFR 177.817, a hazardous waste transporter must carry</w:t>
      </w:r>
      <w:r w:rsidR="00B452E1">
        <w:rPr>
          <w:iCs/>
        </w:rPr>
        <w:t xml:space="preserve"> </w:t>
      </w:r>
      <w:r w:rsidR="00C24DDC">
        <w:rPr>
          <w:iCs/>
        </w:rPr>
        <w:t>1</w:t>
      </w:r>
      <w:r w:rsidR="00B452E1">
        <w:rPr>
          <w:iCs/>
        </w:rPr>
        <w:t xml:space="preserve"> </w:t>
      </w:r>
      <w:r w:rsidRPr="00415B5B">
        <w:rPr>
          <w:iCs/>
        </w:rPr>
        <w:t>printed copy of the electronic ma</w:t>
      </w:r>
      <w:r>
        <w:rPr>
          <w:iCs/>
        </w:rPr>
        <w:t>nifest on the transport vehicle; (4) a</w:t>
      </w:r>
      <w:r w:rsidRPr="00415B5B">
        <w:rPr>
          <w:iCs/>
        </w:rPr>
        <w:t xml:space="preserve">ny requirement in these regulations for a transporter to keep or retain a copy of a manifest is satisfied by the retention of an electronic manifest in the transporter’s account on the e-Manifest system, provided that such copies are </w:t>
      </w:r>
      <w:r w:rsidRPr="003862CE">
        <w:rPr>
          <w:iCs/>
        </w:rPr>
        <w:t>readily available for viewing and production if requested by any EPA or authorized</w:t>
      </w:r>
      <w:r w:rsidR="005277CC">
        <w:rPr>
          <w:iCs/>
        </w:rPr>
        <w:t xml:space="preserve"> </w:t>
      </w:r>
      <w:r w:rsidR="00521F32">
        <w:rPr>
          <w:iCs/>
        </w:rPr>
        <w:t>state</w:t>
      </w:r>
      <w:r w:rsidR="005277CC">
        <w:rPr>
          <w:iCs/>
        </w:rPr>
        <w:t xml:space="preserve"> i</w:t>
      </w:r>
      <w:r w:rsidRPr="003862CE">
        <w:rPr>
          <w:iCs/>
        </w:rPr>
        <w:t>nspector; and (5) no transporter may be held liable for the inability to produce an electronic manifest for inspection under this section if that transporter can demonstrate that the inability to produce the electronic manifest is exclusively due to a technical difficulty with the EPA system for which the transporter bears no responsibility</w:t>
      </w:r>
      <w:r w:rsidR="000E6596">
        <w:rPr>
          <w:iCs/>
        </w:rPr>
        <w:t xml:space="preserve">. </w:t>
      </w:r>
      <w:r w:rsidRPr="003862CE">
        <w:t xml:space="preserve">[Note:  </w:t>
      </w:r>
      <w:r w:rsidR="002C3F2D">
        <w:t>There are no data items or activities associated with section 263.20(a)(4)</w:t>
      </w:r>
      <w:r w:rsidRPr="003862CE" w:rsidR="003862CE">
        <w:t>.]</w:t>
      </w:r>
    </w:p>
    <w:p w:rsidR="00740C89" w:rsidP="00FA3A49" w:rsidRDefault="00740C89" w14:paraId="19EF539E" w14:textId="77777777">
      <w:pPr>
        <w:rPr>
          <w:iCs/>
        </w:rPr>
      </w:pPr>
    </w:p>
    <w:p w:rsidRPr="001606CD" w:rsidR="001A2F28" w:rsidP="000152A7" w:rsidRDefault="001A2F28" w14:paraId="0D679CA2" w14:textId="77777777">
      <w:pPr>
        <w:keepNext/>
        <w:tabs>
          <w:tab w:val="left" w:pos="-1200"/>
        </w:tabs>
        <w:ind w:left="1440" w:hanging="720"/>
        <w:rPr>
          <w:i/>
        </w:rPr>
      </w:pPr>
      <w:r w:rsidRPr="001606CD">
        <w:rPr>
          <w:i/>
        </w:rPr>
        <w:t>(</w:t>
      </w:r>
      <w:r w:rsidR="001E5DE4">
        <w:rPr>
          <w:i/>
        </w:rPr>
        <w:t>b</w:t>
      </w:r>
      <w:r>
        <w:rPr>
          <w:i/>
        </w:rPr>
        <w:t>2</w:t>
      </w:r>
      <w:r w:rsidRPr="001606CD">
        <w:rPr>
          <w:i/>
        </w:rPr>
        <w:t>)</w:t>
      </w:r>
      <w:r w:rsidRPr="001606CD">
        <w:rPr>
          <w:i/>
        </w:rPr>
        <w:tab/>
      </w:r>
      <w:r>
        <w:rPr>
          <w:i/>
        </w:rPr>
        <w:t>Accessing the e-Manifest</w:t>
      </w:r>
    </w:p>
    <w:p w:rsidRPr="003862CE" w:rsidR="001A2F28" w:rsidP="000152A7" w:rsidRDefault="001A2F28" w14:paraId="5AF0AA39" w14:textId="77777777">
      <w:pPr>
        <w:keepNext/>
        <w:rPr>
          <w:iCs/>
        </w:rPr>
      </w:pPr>
    </w:p>
    <w:p w:rsidR="00740C89" w:rsidP="000152A7" w:rsidRDefault="001A2F28" w14:paraId="5DBF2F76" w14:textId="77777777">
      <w:pPr>
        <w:keepNext/>
      </w:pPr>
      <w:r>
        <w:rPr>
          <w:iCs/>
        </w:rPr>
        <w:t>40 CFR</w:t>
      </w:r>
      <w:r w:rsidR="00740C89">
        <w:rPr>
          <w:iCs/>
        </w:rPr>
        <w:t xml:space="preserve"> 263.20(a)</w:t>
      </w:r>
      <w:r w:rsidRPr="00415B5B" w:rsidR="00740C89">
        <w:rPr>
          <w:iCs/>
        </w:rPr>
        <w:t>(5)</w:t>
      </w:r>
      <w:r w:rsidR="00740C89">
        <w:rPr>
          <w:iCs/>
        </w:rPr>
        <w:t xml:space="preserve"> provides that a</w:t>
      </w:r>
      <w:r w:rsidRPr="00415B5B" w:rsidR="00740C89">
        <w:rPr>
          <w:iCs/>
        </w:rPr>
        <w:t xml:space="preserve"> transporter may participate in the electronic manifest system either by accessing the electronic manifest system from the transporter’s own electronic equipment, or by accessing the electronic manifest system from the equipment provided by a participating generator, by another transporter, or by a designated facility. </w:t>
      </w:r>
      <w:r w:rsidR="00740C89">
        <w:t>[Note:  There are no data items or activities associated with section 263.20(a)(5).]</w:t>
      </w:r>
    </w:p>
    <w:p w:rsidR="00740C89" w:rsidP="00FA3A49" w:rsidRDefault="00740C89" w14:paraId="0A8CAB25" w14:textId="77777777">
      <w:pPr>
        <w:rPr>
          <w:iCs/>
        </w:rPr>
      </w:pPr>
    </w:p>
    <w:p w:rsidR="00740C89" w:rsidP="00FA3A49" w:rsidRDefault="00740C89" w14:paraId="518E65C9" w14:textId="77777777">
      <w:pPr>
        <w:ind w:firstLine="720"/>
        <w:rPr>
          <w:iCs/>
        </w:rPr>
      </w:pPr>
      <w:r>
        <w:rPr>
          <w:i/>
        </w:rPr>
        <w:t>(</w:t>
      </w:r>
      <w:r w:rsidR="001E5DE4">
        <w:rPr>
          <w:i/>
        </w:rPr>
        <w:t>b</w:t>
      </w:r>
      <w:r w:rsidR="001A2F28">
        <w:rPr>
          <w:i/>
        </w:rPr>
        <w:t>3</w:t>
      </w:r>
      <w:r w:rsidRPr="001606CD">
        <w:rPr>
          <w:i/>
        </w:rPr>
        <w:t>)</w:t>
      </w:r>
      <w:r w:rsidRPr="001606CD">
        <w:rPr>
          <w:i/>
        </w:rPr>
        <w:tab/>
      </w:r>
      <w:r w:rsidRPr="00A7099E">
        <w:rPr>
          <w:i/>
          <w:iCs/>
        </w:rPr>
        <w:t>Special Procedures when Electronic Manifest is Not Available</w:t>
      </w:r>
      <w:r w:rsidRPr="00415B5B">
        <w:rPr>
          <w:iCs/>
        </w:rPr>
        <w:t xml:space="preserve">  </w:t>
      </w:r>
    </w:p>
    <w:p w:rsidR="00740C89" w:rsidP="00FA3A49" w:rsidRDefault="00740C89" w14:paraId="5EE3A476" w14:textId="77777777">
      <w:pPr>
        <w:rPr>
          <w:iCs/>
        </w:rPr>
      </w:pPr>
    </w:p>
    <w:p w:rsidR="00740C89" w:rsidP="00FA3A49" w:rsidRDefault="001A2F28" w14:paraId="5E2937E7" w14:textId="77777777">
      <w:pPr>
        <w:rPr>
          <w:iCs/>
        </w:rPr>
      </w:pPr>
      <w:r>
        <w:rPr>
          <w:iCs/>
        </w:rPr>
        <w:t>40 CFR</w:t>
      </w:r>
      <w:r w:rsidR="00740C89">
        <w:rPr>
          <w:iCs/>
        </w:rPr>
        <w:t xml:space="preserve"> 263.20(a)(6) provides that, i</w:t>
      </w:r>
      <w:r w:rsidRPr="00415B5B" w:rsidR="00740C89">
        <w:rPr>
          <w:iCs/>
        </w:rPr>
        <w:t>f after a manifest has been originated electronically and signed electronically by the initial transporter, and the electronic manifest system should become unavailable for any reason, then</w:t>
      </w:r>
      <w:r w:rsidR="00740C89">
        <w:rPr>
          <w:iCs/>
        </w:rPr>
        <w:t xml:space="preserve"> the</w:t>
      </w:r>
      <w:r w:rsidR="007617C4">
        <w:rPr>
          <w:iCs/>
        </w:rPr>
        <w:t xml:space="preserve"> transporter</w:t>
      </w:r>
      <w:r w:rsidR="00740C89">
        <w:rPr>
          <w:iCs/>
        </w:rPr>
        <w:t xml:space="preserve"> must perform the activities spelled out in section 263.20(a)(6)(i)-(iv).</w:t>
      </w:r>
      <w:r w:rsidRPr="00415B5B" w:rsidR="00740C89">
        <w:rPr>
          <w:iCs/>
        </w:rPr>
        <w:t xml:space="preserve"> </w:t>
      </w:r>
      <w:r w:rsidR="00740C89">
        <w:rPr>
          <w:iCs/>
        </w:rPr>
        <w:t>These procedures include the following:</w:t>
      </w:r>
    </w:p>
    <w:p w:rsidR="00740C89" w:rsidP="00FA3A49" w:rsidRDefault="00740C89" w14:paraId="6E528E7A" w14:textId="77777777">
      <w:pPr>
        <w:rPr>
          <w:iCs/>
        </w:rPr>
      </w:pPr>
    </w:p>
    <w:p w:rsidR="00740C89" w:rsidP="00FA3A49" w:rsidRDefault="00740C89" w14:paraId="7030DE4C" w14:textId="77777777">
      <w:pPr>
        <w:pStyle w:val="NoSpacing"/>
        <w:widowControl/>
      </w:pPr>
      <w:r w:rsidRPr="00AF3B7C">
        <w:t>The transporter in possession of the hazardous waste when the electronic manifest becomes unavailable shall reproduce sufficient copies of the printed manifest that is carried on the transport vehicle pursuant to section 263.20(a)(4)(iii)(A) or obtain and complete another paper manifest for this purpose</w:t>
      </w:r>
      <w:r w:rsidR="000E6596">
        <w:t xml:space="preserve">. </w:t>
      </w:r>
      <w:r w:rsidRPr="00AF3B7C">
        <w:t>The transporter shall reproduce sufficient copies to provide the transporter and all subsequent waste handlers with a copy for their files, plus two additional copies that will be delivered to the designated facility with the hazardous waste. (263.20(a)(6)(i)</w:t>
      </w:r>
      <w:r>
        <w:t>)</w:t>
      </w:r>
    </w:p>
    <w:p w:rsidR="00740C89" w:rsidP="00FA3A49" w:rsidRDefault="00740C89" w14:paraId="1DCCECBE" w14:textId="77777777">
      <w:pPr>
        <w:pStyle w:val="NoSpacing"/>
        <w:widowControl/>
      </w:pPr>
      <w:r w:rsidRPr="00AF3B7C">
        <w:t xml:space="preserve">On each printed copy, the transporter shall include a notation in the Special Handling and Additional Description space (Item 14) that the paper manifest is a replacement manifest for a manifest originated in the electronic manifest system, shall include (if </w:t>
      </w:r>
      <w:r w:rsidRPr="00AF3B7C">
        <w:lastRenderedPageBreak/>
        <w:t>not pre-printed on the replacement manifest) the manifest tracking number of the electronic manifest that is replaced by the paper manifest, and shall also include a brief explanation why the electronic manifest was not available for completing the tracking of the shipment electronically. (263.20(a)(6)(ii)</w:t>
      </w:r>
      <w:r>
        <w:t>)</w:t>
      </w:r>
    </w:p>
    <w:p w:rsidR="00740C89" w:rsidP="00FA3A49" w:rsidRDefault="00740C89" w14:paraId="59A2F47D" w14:textId="77777777">
      <w:pPr>
        <w:pStyle w:val="NoSpacing"/>
        <w:widowControl/>
      </w:pPr>
      <w:r w:rsidRPr="00AF3B7C">
        <w:t>A transporter signing a replacement manifest to acknowledge receipt of the hazardous waste must ensure that each paper copy is individually signed and that a legible handwritten signature appears on each copy</w:t>
      </w:r>
      <w:r w:rsidR="000E6596">
        <w:t xml:space="preserve">. </w:t>
      </w:r>
      <w:r w:rsidRPr="00AF3B7C">
        <w:t>(263.20(a)(6)(ii</w:t>
      </w:r>
      <w:r>
        <w:t>i))</w:t>
      </w:r>
    </w:p>
    <w:p w:rsidRPr="00AF3B7C" w:rsidR="00740C89" w:rsidP="00FA3A49" w:rsidRDefault="00740C89" w14:paraId="5B8A337A" w14:textId="77777777">
      <w:pPr>
        <w:pStyle w:val="NoSpacing"/>
        <w:widowControl/>
      </w:pPr>
      <w:r w:rsidRPr="00AF3B7C">
        <w:t>From the point at which the electronic manifest is no longer available for tracking the waste shipment, the paper replacement manifest copies shall be carried, signed, retained as records, and given to a subsequent transporter or to the designated facility, following the instructions, procedures, and requirements that apply to the use of all other paper manifests</w:t>
      </w:r>
      <w:r w:rsidR="000E6596">
        <w:t xml:space="preserve">. </w:t>
      </w:r>
      <w:r w:rsidRPr="00AF3B7C">
        <w:t>(263.20(a)(6)(iv)</w:t>
      </w:r>
      <w:r>
        <w:t>)</w:t>
      </w:r>
    </w:p>
    <w:p w:rsidR="00740C89" w:rsidP="00FA3A49" w:rsidRDefault="00740C89" w14:paraId="5FE5C7E1" w14:textId="77777777">
      <w:pPr>
        <w:rPr>
          <w:iCs/>
        </w:rPr>
      </w:pPr>
    </w:p>
    <w:p w:rsidR="007617C4" w:rsidP="009D281B" w:rsidRDefault="007617C4" w14:paraId="0D31E68C" w14:textId="77777777">
      <w:pPr>
        <w:keepNext/>
        <w:ind w:firstLine="720"/>
      </w:pPr>
      <w:r w:rsidRPr="00886BEF">
        <w:rPr>
          <w:u w:val="single"/>
        </w:rPr>
        <w:t>Data Items</w:t>
      </w:r>
    </w:p>
    <w:p w:rsidR="007617C4" w:rsidP="009D281B" w:rsidRDefault="007617C4" w14:paraId="4E663A3D" w14:textId="77777777">
      <w:pPr>
        <w:keepNext/>
      </w:pPr>
    </w:p>
    <w:p w:rsidR="007617C4" w:rsidP="009D281B" w:rsidRDefault="007617C4" w14:paraId="42D50489" w14:textId="77777777">
      <w:pPr>
        <w:pStyle w:val="NoSpacing"/>
        <w:keepNext/>
        <w:widowControl/>
      </w:pPr>
      <w:r>
        <w:t>Copies of the printed manifest or a new paper manifest.</w:t>
      </w:r>
    </w:p>
    <w:p w:rsidR="007617C4" w:rsidP="007617C4" w:rsidRDefault="007617C4" w14:paraId="011BD576" w14:textId="77777777"/>
    <w:p w:rsidR="007617C4" w:rsidP="009F0295" w:rsidRDefault="007617C4" w14:paraId="23D8D39B" w14:textId="77777777">
      <w:pPr>
        <w:keepNext/>
        <w:ind w:firstLine="720"/>
      </w:pPr>
      <w:r w:rsidRPr="00886BEF">
        <w:rPr>
          <w:u w:val="single"/>
        </w:rPr>
        <w:t>Respondent Activities</w:t>
      </w:r>
    </w:p>
    <w:p w:rsidR="007617C4" w:rsidP="009F0295" w:rsidRDefault="007617C4" w14:paraId="503A9C94" w14:textId="77777777">
      <w:pPr>
        <w:keepNext/>
      </w:pPr>
    </w:p>
    <w:p w:rsidR="007617C4" w:rsidP="009F0295" w:rsidRDefault="007617C4" w14:paraId="7395B2BD" w14:textId="77777777">
      <w:pPr>
        <w:keepNext/>
        <w:rPr>
          <w:iCs/>
        </w:rPr>
      </w:pPr>
      <w:r>
        <w:rPr>
          <w:iCs/>
        </w:rPr>
        <w:t>As required by section 263.20(a)(6), t</w:t>
      </w:r>
      <w:r w:rsidRPr="00415B5B">
        <w:rPr>
          <w:iCs/>
        </w:rPr>
        <w:t xml:space="preserve">he transporter in possession of the hazardous waste when the electronic manifest becomes unavailable shall </w:t>
      </w:r>
      <w:r>
        <w:rPr>
          <w:iCs/>
        </w:rPr>
        <w:t>perform the following:</w:t>
      </w:r>
    </w:p>
    <w:p w:rsidR="007617C4" w:rsidP="007617C4" w:rsidRDefault="007617C4" w14:paraId="50F7046E" w14:textId="77777777">
      <w:pPr>
        <w:rPr>
          <w:iCs/>
        </w:rPr>
      </w:pPr>
    </w:p>
    <w:p w:rsidRPr="007E4F29" w:rsidR="007617C4" w:rsidP="007617C4" w:rsidRDefault="007617C4" w14:paraId="2F71CEE5" w14:textId="77777777">
      <w:pPr>
        <w:pStyle w:val="NoSpacing"/>
        <w:widowControl/>
      </w:pPr>
      <w:r w:rsidRPr="007E4F29">
        <w:t xml:space="preserve">Reproduce sufficient copies of the </w:t>
      </w:r>
      <w:r>
        <w:t>p</w:t>
      </w:r>
      <w:r w:rsidRPr="00AF3B7C">
        <w:t>rinted manifest that is carried on the transport vehicle</w:t>
      </w:r>
      <w:r w:rsidRPr="007E4F29">
        <w:t xml:space="preserve"> and complete </w:t>
      </w:r>
      <w:r>
        <w:t xml:space="preserve">it as specified; </w:t>
      </w:r>
      <w:r w:rsidRPr="007E4F29">
        <w:t>or</w:t>
      </w:r>
      <w:r>
        <w:t xml:space="preserve"> </w:t>
      </w:r>
    </w:p>
    <w:p w:rsidR="007617C4" w:rsidP="007617C4" w:rsidRDefault="007617C4" w14:paraId="3C1B065A" w14:textId="77777777">
      <w:pPr>
        <w:pStyle w:val="NoSpacing"/>
        <w:widowControl/>
      </w:pPr>
      <w:r w:rsidRPr="007E4F29">
        <w:t xml:space="preserve">Obtain and complete another </w:t>
      </w:r>
      <w:r>
        <w:t xml:space="preserve">paper manifest as </w:t>
      </w:r>
      <w:proofErr w:type="gramStart"/>
      <w:r>
        <w:t>specified;</w:t>
      </w:r>
      <w:proofErr w:type="gramEnd"/>
    </w:p>
    <w:p w:rsidR="007617C4" w:rsidP="007617C4" w:rsidRDefault="007617C4" w14:paraId="73CF7865" w14:textId="77777777">
      <w:pPr>
        <w:pStyle w:val="NoSpacing"/>
        <w:widowControl/>
      </w:pPr>
      <w:r>
        <w:t>Retain a copy of the manifest; and</w:t>
      </w:r>
    </w:p>
    <w:p w:rsidRPr="007E4F29" w:rsidR="007617C4" w:rsidP="007617C4" w:rsidRDefault="007617C4" w14:paraId="794AA264" w14:textId="77777777">
      <w:pPr>
        <w:pStyle w:val="NoSpacing"/>
        <w:widowControl/>
      </w:pPr>
      <w:r>
        <w:t>Give remaining copies of the manifest to the accepting transporter or facility</w:t>
      </w:r>
      <w:r w:rsidR="000E6596">
        <w:t xml:space="preserve">. </w:t>
      </w:r>
    </w:p>
    <w:p w:rsidR="007617C4" w:rsidP="00FA3A49" w:rsidRDefault="007617C4" w14:paraId="3F44BF27" w14:textId="77777777">
      <w:pPr>
        <w:rPr>
          <w:iCs/>
        </w:rPr>
      </w:pPr>
    </w:p>
    <w:p w:rsidRPr="00784C66" w:rsidR="00740C89" w:rsidP="00FA3A49" w:rsidRDefault="00C83812" w14:paraId="4B661981" w14:textId="77777777">
      <w:pPr>
        <w:ind w:firstLine="720"/>
        <w:rPr>
          <w:i/>
          <w:iCs/>
        </w:rPr>
      </w:pPr>
      <w:r>
        <w:rPr>
          <w:i/>
          <w:iCs/>
        </w:rPr>
        <w:t>(</w:t>
      </w:r>
      <w:r w:rsidR="001E5DE4">
        <w:rPr>
          <w:i/>
          <w:iCs/>
        </w:rPr>
        <w:t>b</w:t>
      </w:r>
      <w:r w:rsidR="001A2F28">
        <w:rPr>
          <w:i/>
          <w:iCs/>
        </w:rPr>
        <w:t>4</w:t>
      </w:r>
      <w:r w:rsidRPr="00784C66" w:rsidR="00740C89">
        <w:rPr>
          <w:i/>
          <w:iCs/>
        </w:rPr>
        <w:t>)</w:t>
      </w:r>
      <w:r w:rsidRPr="00784C66" w:rsidR="00740C89">
        <w:rPr>
          <w:i/>
          <w:iCs/>
        </w:rPr>
        <w:tab/>
      </w:r>
      <w:r w:rsidR="00740C89">
        <w:rPr>
          <w:i/>
          <w:iCs/>
        </w:rPr>
        <w:t>Special P</w:t>
      </w:r>
      <w:r w:rsidRPr="00784C66" w:rsidR="00740C89">
        <w:rPr>
          <w:i/>
          <w:iCs/>
        </w:rPr>
        <w:t xml:space="preserve">rocedures for </w:t>
      </w:r>
      <w:r w:rsidR="00740C89">
        <w:rPr>
          <w:i/>
          <w:iCs/>
        </w:rPr>
        <w:t>Electronic Signature M</w:t>
      </w:r>
      <w:r w:rsidRPr="00784C66" w:rsidR="00740C89">
        <w:rPr>
          <w:i/>
          <w:iCs/>
        </w:rPr>
        <w:t xml:space="preserve">ethods </w:t>
      </w:r>
      <w:r w:rsidR="00740C89">
        <w:rPr>
          <w:i/>
          <w:iCs/>
        </w:rPr>
        <w:t>U</w:t>
      </w:r>
      <w:r w:rsidRPr="00784C66" w:rsidR="00740C89">
        <w:rPr>
          <w:i/>
          <w:iCs/>
        </w:rPr>
        <w:t>ndergoing</w:t>
      </w:r>
      <w:r w:rsidR="00740C89">
        <w:rPr>
          <w:i/>
          <w:iCs/>
        </w:rPr>
        <w:t xml:space="preserve"> T</w:t>
      </w:r>
      <w:r w:rsidRPr="00784C66" w:rsidR="00740C89">
        <w:rPr>
          <w:i/>
          <w:iCs/>
        </w:rPr>
        <w:t xml:space="preserve">ests  </w:t>
      </w:r>
    </w:p>
    <w:p w:rsidR="00740C89" w:rsidP="00FA3A49" w:rsidRDefault="00740C89" w14:paraId="26ED37A4" w14:textId="77777777">
      <w:pPr>
        <w:rPr>
          <w:iCs/>
        </w:rPr>
      </w:pPr>
    </w:p>
    <w:p w:rsidR="00740C89" w:rsidP="00FA3A49" w:rsidRDefault="00560C58" w14:paraId="757C56E2" w14:textId="77777777">
      <w:r>
        <w:rPr>
          <w:iCs/>
        </w:rPr>
        <w:t xml:space="preserve">40 CFR </w:t>
      </w:r>
      <w:r w:rsidR="00740C89">
        <w:rPr>
          <w:iCs/>
        </w:rPr>
        <w:t>263.20(a)</w:t>
      </w:r>
      <w:r w:rsidRPr="00415B5B" w:rsidR="00740C89">
        <w:rPr>
          <w:iCs/>
        </w:rPr>
        <w:t>(7)</w:t>
      </w:r>
      <w:r w:rsidR="00740C89">
        <w:rPr>
          <w:iCs/>
        </w:rPr>
        <w:t xml:space="preserve"> provides that, i</w:t>
      </w:r>
      <w:r w:rsidRPr="00415B5B" w:rsidR="00740C89">
        <w:rPr>
          <w:iCs/>
        </w:rPr>
        <w:t xml:space="preserve">f a transporter using an electronic manifest signs this manifest electronically using an electronic signature method which is undergoing pilot or demonstration tests aimed at demonstrating the practicality or legal dependability of the signature method, then the transporter shall sign the electronic manifest electronically and also sign with an ink signature the transporter acknowledgement of receipt of materials on the printed copy of the manifest that is carried on the vehicle in accordance with </w:t>
      </w:r>
      <w:r w:rsidR="00740C89">
        <w:rPr>
          <w:iCs/>
        </w:rPr>
        <w:t>section 263.20</w:t>
      </w:r>
      <w:r w:rsidRPr="00415B5B" w:rsidR="00740C89">
        <w:rPr>
          <w:iCs/>
        </w:rPr>
        <w:t>(a)(4)(iii)(A)</w:t>
      </w:r>
      <w:r w:rsidR="000E6596">
        <w:rPr>
          <w:iCs/>
        </w:rPr>
        <w:t xml:space="preserve">. </w:t>
      </w:r>
      <w:r w:rsidRPr="00415B5B" w:rsidR="00740C89">
        <w:rPr>
          <w:iCs/>
        </w:rPr>
        <w:t xml:space="preserve">This printed copy bearing the </w:t>
      </w:r>
      <w:proofErr w:type="gramStart"/>
      <w:r w:rsidRPr="00415B5B" w:rsidR="00740C89">
        <w:rPr>
          <w:iCs/>
        </w:rPr>
        <w:t>generator’s</w:t>
      </w:r>
      <w:proofErr w:type="gramEnd"/>
      <w:r w:rsidRPr="00415B5B" w:rsidR="00740C89">
        <w:rPr>
          <w:iCs/>
        </w:rPr>
        <w:t xml:space="preserve"> and transporter’s ink signatures shall also be presented by the transporter to the designated facility to sign in ink to indicate the receipt of the waste materials or to indicate discrepancies</w:t>
      </w:r>
      <w:r w:rsidR="000E6596">
        <w:rPr>
          <w:iCs/>
        </w:rPr>
        <w:t xml:space="preserve">. </w:t>
      </w:r>
      <w:r w:rsidRPr="00415B5B" w:rsidR="00740C89">
        <w:rPr>
          <w:iCs/>
        </w:rPr>
        <w:t>After the owner/operator of the designated facility has signed this printed manifest copy with its ink signature, the printed manifest copy shall be delivered to the designated facility with the waste materials</w:t>
      </w:r>
      <w:r w:rsidR="000E6596">
        <w:rPr>
          <w:iCs/>
        </w:rPr>
        <w:t xml:space="preserve">. </w:t>
      </w:r>
      <w:r w:rsidR="00740C89">
        <w:t>[Note:  Refer to “</w:t>
      </w:r>
      <w:r w:rsidRPr="00853414" w:rsidR="00740C89">
        <w:t xml:space="preserve">Manifest </w:t>
      </w:r>
      <w:r w:rsidR="00740C89">
        <w:t xml:space="preserve">Completion, </w:t>
      </w:r>
      <w:r w:rsidRPr="00853414" w:rsidR="00740C89">
        <w:t>Transmittal and Recordkeeping</w:t>
      </w:r>
      <w:r w:rsidR="00740C89">
        <w:t xml:space="preserve">” in this section for </w:t>
      </w:r>
      <w:r w:rsidR="001A2F28">
        <w:t>transporter data items and activities associated with</w:t>
      </w:r>
      <w:r w:rsidR="00FE73FE">
        <w:t xml:space="preserve"> </w:t>
      </w:r>
      <w:r w:rsidR="001A2F28">
        <w:t>signing a manifest</w:t>
      </w:r>
      <w:r w:rsidR="000E6596">
        <w:t xml:space="preserve">. </w:t>
      </w:r>
      <w:r w:rsidR="001A2F28">
        <w:t>Refer to</w:t>
      </w:r>
      <w:r w:rsidR="00740C89">
        <w:t xml:space="preserve"> “Manifest Completion, Transmittal and Recordkeeping” in the Designated Treatment, Storage and Disposal Facility section for facility </w:t>
      </w:r>
      <w:r w:rsidR="001A2F28">
        <w:t xml:space="preserve">data items and activities associated with </w:t>
      </w:r>
      <w:r w:rsidR="00740C89">
        <w:t>recordkeeping the paper copy.]</w:t>
      </w:r>
    </w:p>
    <w:p w:rsidR="00740C89" w:rsidP="00FA3A49" w:rsidRDefault="00740C89" w14:paraId="3E1E00CE" w14:textId="77777777">
      <w:pPr>
        <w:rPr>
          <w:iCs/>
        </w:rPr>
      </w:pPr>
    </w:p>
    <w:p w:rsidRPr="007E4F29" w:rsidR="00740C89" w:rsidP="00E7759D" w:rsidRDefault="00C83812" w14:paraId="2011BD79" w14:textId="77777777">
      <w:pPr>
        <w:keepNext/>
        <w:ind w:firstLine="720"/>
        <w:rPr>
          <w:i/>
          <w:iCs/>
        </w:rPr>
      </w:pPr>
      <w:r>
        <w:rPr>
          <w:i/>
          <w:iCs/>
        </w:rPr>
        <w:lastRenderedPageBreak/>
        <w:t>(</w:t>
      </w:r>
      <w:r w:rsidR="001E5DE4">
        <w:rPr>
          <w:i/>
          <w:iCs/>
        </w:rPr>
        <w:t>b</w:t>
      </w:r>
      <w:r w:rsidR="006A3B8F">
        <w:rPr>
          <w:i/>
          <w:iCs/>
        </w:rPr>
        <w:t>5</w:t>
      </w:r>
      <w:r w:rsidRPr="007E4F29" w:rsidR="00740C89">
        <w:rPr>
          <w:i/>
          <w:iCs/>
        </w:rPr>
        <w:t>)</w:t>
      </w:r>
      <w:r w:rsidRPr="007E4F29" w:rsidR="00740C89">
        <w:rPr>
          <w:i/>
          <w:iCs/>
        </w:rPr>
        <w:tab/>
      </w:r>
      <w:r w:rsidR="007617C4">
        <w:rPr>
          <w:i/>
          <w:iCs/>
        </w:rPr>
        <w:t>Post-Receipt Manifest Data Corrections</w:t>
      </w:r>
      <w:r w:rsidRPr="007E4F29" w:rsidR="00740C89">
        <w:rPr>
          <w:i/>
          <w:iCs/>
        </w:rPr>
        <w:t xml:space="preserve">  </w:t>
      </w:r>
    </w:p>
    <w:p w:rsidR="00740C89" w:rsidP="00E7759D" w:rsidRDefault="00740C89" w14:paraId="639E8E3E" w14:textId="77777777">
      <w:pPr>
        <w:keepNext/>
        <w:rPr>
          <w:iCs/>
        </w:rPr>
      </w:pPr>
    </w:p>
    <w:p w:rsidRPr="00CE3D76" w:rsidR="007617C4" w:rsidP="00E7759D" w:rsidRDefault="007617C4" w14:paraId="54C3BEB5" w14:textId="77777777">
      <w:pPr>
        <w:keepNext/>
        <w:tabs>
          <w:tab w:val="left" w:pos="-1200"/>
        </w:tabs>
      </w:pPr>
      <w:r>
        <w:t xml:space="preserve">40 CFR 263.20(a)(9) provides that, </w:t>
      </w:r>
      <w:r w:rsidR="00E66DFC">
        <w:t>a</w:t>
      </w:r>
      <w:r w:rsidRPr="00E66DFC" w:rsidR="00E66DFC">
        <w:t xml:space="preserve">fter facilities have certified to the receipt of hazardous wastes by signing Item 20 of the manifest, any post-receipt data corrections may be submitted at any time by any interested person (e.g., waste handler) named on the manifest. Transporters may participate electronically in the post-receipt data corrections process by following the process described in </w:t>
      </w:r>
      <w:r w:rsidR="00E66DFC">
        <w:t>40 CFR 264.71(l)</w:t>
      </w:r>
      <w:r w:rsidRPr="00E66DFC" w:rsidR="00E66DFC">
        <w:t>, which applies to corrections made to either paper or electronic manifest records.</w:t>
      </w:r>
      <w:r w:rsidRPr="00CE3D76">
        <w:t xml:space="preserve"> [Refer to “Post-Receipt Manifest Data Corrections” for designated TSDFs in this section for additional information.]</w:t>
      </w:r>
    </w:p>
    <w:p w:rsidRPr="00CE3D76" w:rsidR="007617C4" w:rsidP="007617C4" w:rsidRDefault="007617C4" w14:paraId="74780BF4" w14:textId="77777777">
      <w:pPr>
        <w:tabs>
          <w:tab w:val="left" w:pos="-1200"/>
        </w:tabs>
      </w:pPr>
    </w:p>
    <w:p w:rsidRPr="00CE3D76" w:rsidR="007617C4" w:rsidP="009D281B" w:rsidRDefault="007617C4" w14:paraId="3C6F868D" w14:textId="77777777">
      <w:pPr>
        <w:keepNext/>
        <w:tabs>
          <w:tab w:val="left" w:pos="-1200"/>
        </w:tabs>
        <w:ind w:firstLine="720"/>
      </w:pPr>
      <w:r w:rsidRPr="00CE3D76">
        <w:rPr>
          <w:u w:val="single"/>
        </w:rPr>
        <w:t>Data Item</w:t>
      </w:r>
    </w:p>
    <w:p w:rsidRPr="00CE3D76" w:rsidR="007617C4" w:rsidP="009D281B" w:rsidRDefault="007617C4" w14:paraId="1D89B341" w14:textId="77777777">
      <w:pPr>
        <w:keepNext/>
        <w:tabs>
          <w:tab w:val="left" w:pos="-1200"/>
        </w:tabs>
        <w:ind w:firstLine="720"/>
      </w:pPr>
    </w:p>
    <w:p w:rsidR="00425D37" w:rsidRDefault="00B160BD" w14:paraId="46AE8AE5" w14:textId="77777777">
      <w:pPr>
        <w:pStyle w:val="ListParagraph"/>
        <w:keepNext/>
        <w:widowControl/>
        <w:numPr>
          <w:ilvl w:val="0"/>
          <w:numId w:val="6"/>
        </w:numPr>
        <w:tabs>
          <w:tab w:val="left" w:pos="-1200"/>
        </w:tabs>
      </w:pPr>
      <w:r>
        <w:t xml:space="preserve">A </w:t>
      </w:r>
      <w:r w:rsidRPr="00CE3D76" w:rsidR="007617C4">
        <w:t>correction submission.</w:t>
      </w:r>
    </w:p>
    <w:p w:rsidRPr="00CE3D76" w:rsidR="007617C4" w:rsidP="007617C4" w:rsidRDefault="007617C4" w14:paraId="31135B91" w14:textId="77777777">
      <w:pPr>
        <w:tabs>
          <w:tab w:val="left" w:pos="-1200"/>
        </w:tabs>
      </w:pPr>
    </w:p>
    <w:p w:rsidRPr="00CE3D76" w:rsidR="007617C4" w:rsidP="007617C4" w:rsidRDefault="007617C4" w14:paraId="4EACA47D" w14:textId="77777777">
      <w:pPr>
        <w:keepNext/>
        <w:tabs>
          <w:tab w:val="left" w:pos="-1200"/>
        </w:tabs>
        <w:ind w:firstLine="720"/>
      </w:pPr>
      <w:r w:rsidRPr="00CE3D76">
        <w:rPr>
          <w:u w:val="single"/>
        </w:rPr>
        <w:t>Respondent Activities</w:t>
      </w:r>
    </w:p>
    <w:p w:rsidRPr="00CE3D76" w:rsidR="007617C4" w:rsidP="007617C4" w:rsidRDefault="007617C4" w14:paraId="502F2EF1" w14:textId="77777777">
      <w:pPr>
        <w:tabs>
          <w:tab w:val="left" w:pos="-1200"/>
        </w:tabs>
      </w:pPr>
    </w:p>
    <w:p w:rsidRPr="00CE3D76" w:rsidR="007617C4" w:rsidP="00E40AA3" w:rsidRDefault="007617C4" w14:paraId="3D28C418" w14:textId="77777777">
      <w:pPr>
        <w:pStyle w:val="ListParagraph"/>
        <w:widowControl/>
        <w:numPr>
          <w:ilvl w:val="0"/>
          <w:numId w:val="6"/>
        </w:numPr>
        <w:tabs>
          <w:tab w:val="left" w:pos="-1200"/>
        </w:tabs>
      </w:pPr>
      <w:r w:rsidRPr="00CE3D76">
        <w:t>Off-line transporters (i.e., transporters that do not have system access) submit their email address and related contact information to the system to be notified of manifest corrections by other parties.</w:t>
      </w:r>
    </w:p>
    <w:p w:rsidRPr="00CE3D76" w:rsidR="007617C4" w:rsidP="007617C4" w:rsidRDefault="007617C4" w14:paraId="5FF79FD0" w14:textId="77777777">
      <w:pPr>
        <w:pStyle w:val="ListParagraph"/>
        <w:widowControl/>
        <w:tabs>
          <w:tab w:val="left" w:pos="-1200"/>
        </w:tabs>
        <w:ind w:left="1080"/>
      </w:pPr>
    </w:p>
    <w:p w:rsidRPr="00CE3D76" w:rsidR="007617C4" w:rsidP="00E40AA3" w:rsidRDefault="00F43950" w14:paraId="39BAD943" w14:textId="77777777">
      <w:pPr>
        <w:pStyle w:val="ListParagraph"/>
        <w:widowControl/>
        <w:numPr>
          <w:ilvl w:val="0"/>
          <w:numId w:val="6"/>
        </w:numPr>
        <w:tabs>
          <w:tab w:val="left" w:pos="-1200"/>
        </w:tabs>
      </w:pPr>
      <w:r w:rsidRPr="00CE3D76">
        <w:t>Transporters</w:t>
      </w:r>
      <w:r w:rsidRPr="00CE3D76" w:rsidR="007617C4">
        <w:t xml:space="preserve"> with system access may submit a correction or receive a notice of another submitter’s correction and respond with comments to the submitter or submit another correction to the system.</w:t>
      </w:r>
    </w:p>
    <w:p w:rsidRPr="00CE3D76" w:rsidR="007617C4" w:rsidP="00FA3A49" w:rsidRDefault="007617C4" w14:paraId="502DABFE" w14:textId="77777777">
      <w:pPr>
        <w:tabs>
          <w:tab w:val="left" w:pos="-1200"/>
        </w:tabs>
      </w:pPr>
    </w:p>
    <w:p w:rsidRPr="00CE3D76" w:rsidR="000F4D0A" w:rsidP="00FA3A49" w:rsidRDefault="001E5DE4" w14:paraId="032C0226" w14:textId="77777777">
      <w:pPr>
        <w:tabs>
          <w:tab w:val="left" w:pos="-1200"/>
        </w:tabs>
        <w:ind w:left="1440" w:hanging="720"/>
      </w:pPr>
      <w:r w:rsidRPr="00CE3D76">
        <w:t>(c</w:t>
      </w:r>
      <w:r w:rsidRPr="00CE3D76" w:rsidR="000F4D0A">
        <w:t>)</w:t>
      </w:r>
      <w:r w:rsidRPr="00CE3D76" w:rsidR="000F4D0A">
        <w:tab/>
        <w:t>Notification of Discharge of Hazardous Waste</w:t>
      </w:r>
    </w:p>
    <w:p w:rsidRPr="00CE3D76" w:rsidR="000F4D0A" w:rsidP="00FA3A49" w:rsidRDefault="000F4D0A" w14:paraId="4A5B1B3C" w14:textId="77777777">
      <w:pPr>
        <w:tabs>
          <w:tab w:val="left" w:pos="-1200"/>
        </w:tabs>
      </w:pPr>
    </w:p>
    <w:p w:rsidRPr="00853414" w:rsidR="000F4D0A" w:rsidP="00FA3A49" w:rsidRDefault="000F4D0A" w14:paraId="2430A5D1" w14:textId="77777777">
      <w:pPr>
        <w:tabs>
          <w:tab w:val="left" w:pos="-1200"/>
        </w:tabs>
      </w:pPr>
      <w:r w:rsidRPr="00CE3D76">
        <w:t>In the event of a discharge of hazardous waste during transportation, 40 CFR</w:t>
      </w:r>
      <w:r w:rsidRPr="00853414">
        <w:t xml:space="preserve"> 263.30(a) requires the transporter to take appropriate immediate action to protect human health and the environment, for example, notifying local authorities</w:t>
      </w:r>
      <w:r w:rsidR="000E6596">
        <w:t xml:space="preserve">. </w:t>
      </w:r>
      <w:r w:rsidRPr="00853414">
        <w:t>40 CFR 263.30(c) requires an air, rail, highway, or water transporter who has discharged hazardous waste to give notice, if required by 49 CFR 171.15, to NRC and to report in writing to USDOT as required by 49 CFR 171.16</w:t>
      </w:r>
      <w:r w:rsidR="000E6596">
        <w:t xml:space="preserve">. </w:t>
      </w:r>
      <w:r w:rsidRPr="00853414">
        <w:t>40 CFR 263.30(d) requires a water (bulk shipment) transporter who has discharged hazardous waste to give the same notice as required by 33 CFR 153.203 for oil and hazardous substances, if not already required under 33 CFR 153.203</w:t>
      </w:r>
      <w:r w:rsidR="000E6596">
        <w:t xml:space="preserve">. </w:t>
      </w:r>
      <w:r w:rsidRPr="00853414">
        <w:t>Water (bulk shipment) transporters, as soon as they have knowledge of any discharge of hazardous waste, must immediately notify NRC, US Coast Guard, as required by 33 CFR 153.203</w:t>
      </w:r>
      <w:r w:rsidR="000E6596">
        <w:t xml:space="preserve">. </w:t>
      </w:r>
      <w:r w:rsidRPr="00853414">
        <w:t xml:space="preserve">If the direct reporting to the NRC is not practicable, reports may be made to the US Coast Guard or </w:t>
      </w:r>
      <w:r w:rsidR="00CB2DBC">
        <w:t>EPA</w:t>
      </w:r>
      <w:r w:rsidRPr="00853414">
        <w:t xml:space="preserve"> predesignated OSC for the geographic area where the discharge occurs</w:t>
      </w:r>
      <w:r w:rsidR="000E6596">
        <w:t xml:space="preserve">. </w:t>
      </w:r>
      <w:r w:rsidRPr="00853414">
        <w:t>If it is not possible to notify the NRC or the predesignated OSC immediately, reports may be made immediately to the nearest US Coast Guard unit, provided the transporter notifies the NRC as soon as possible.</w:t>
      </w:r>
    </w:p>
    <w:p w:rsidRPr="00853414" w:rsidR="000F4D0A" w:rsidP="00FA3A49" w:rsidRDefault="000F4D0A" w14:paraId="7956054F" w14:textId="77777777">
      <w:pPr>
        <w:tabs>
          <w:tab w:val="left" w:pos="-1200"/>
        </w:tabs>
      </w:pPr>
    </w:p>
    <w:p w:rsidR="000F4D0A" w:rsidP="009D281B" w:rsidRDefault="00361F4A" w14:paraId="7416A55A" w14:textId="77777777">
      <w:pPr>
        <w:keepNext/>
        <w:keepLines/>
        <w:tabs>
          <w:tab w:val="left" w:pos="-1200"/>
        </w:tabs>
        <w:ind w:firstLine="720"/>
      </w:pPr>
      <w:r w:rsidRPr="00361F4A">
        <w:rPr>
          <w:u w:val="single"/>
        </w:rPr>
        <w:t>Data Item</w:t>
      </w:r>
    </w:p>
    <w:p w:rsidRPr="00853414" w:rsidR="00DC4C45" w:rsidP="009D281B" w:rsidRDefault="00DC4C45" w14:paraId="23D25F10" w14:textId="77777777">
      <w:pPr>
        <w:keepNext/>
        <w:keepLines/>
        <w:tabs>
          <w:tab w:val="left" w:pos="-1200"/>
        </w:tabs>
        <w:ind w:firstLine="720"/>
      </w:pPr>
    </w:p>
    <w:p w:rsidRPr="00853414" w:rsidR="000F4D0A" w:rsidP="009D281B" w:rsidRDefault="000F4D0A" w14:paraId="5895BBE8" w14:textId="77777777">
      <w:pPr>
        <w:pStyle w:val="NoSpacing"/>
        <w:keepNext/>
        <w:widowControl/>
      </w:pPr>
      <w:r w:rsidRPr="00853414">
        <w:t>Notification of a discharge of hazardous waste</w:t>
      </w:r>
    </w:p>
    <w:p w:rsidRPr="00853414" w:rsidR="000F4D0A" w:rsidP="00FA3A49" w:rsidRDefault="000F4D0A" w14:paraId="03569DFC" w14:textId="77777777">
      <w:pPr>
        <w:keepLines/>
        <w:tabs>
          <w:tab w:val="left" w:pos="-1200"/>
        </w:tabs>
      </w:pPr>
    </w:p>
    <w:p w:rsidR="000F4D0A" w:rsidP="009D281B" w:rsidRDefault="00886BEF" w14:paraId="2CF772D6" w14:textId="77777777">
      <w:pPr>
        <w:keepNext/>
        <w:keepLines/>
        <w:tabs>
          <w:tab w:val="left" w:pos="-1200"/>
        </w:tabs>
        <w:ind w:firstLine="720"/>
      </w:pPr>
      <w:r w:rsidRPr="00886BEF">
        <w:rPr>
          <w:u w:val="single"/>
        </w:rPr>
        <w:lastRenderedPageBreak/>
        <w:t>Respondent Activities</w:t>
      </w:r>
    </w:p>
    <w:p w:rsidRPr="00853414" w:rsidR="00DC4C45" w:rsidP="009D281B" w:rsidRDefault="00DC4C45" w14:paraId="2BFD4E9D" w14:textId="77777777">
      <w:pPr>
        <w:keepNext/>
        <w:keepLines/>
        <w:tabs>
          <w:tab w:val="left" w:pos="-1200"/>
        </w:tabs>
        <w:ind w:firstLine="720"/>
      </w:pPr>
    </w:p>
    <w:p w:rsidRPr="00853414" w:rsidR="000F4D0A" w:rsidP="009D281B" w:rsidRDefault="000F4D0A" w14:paraId="2FBDB2D4" w14:textId="77777777">
      <w:pPr>
        <w:pStyle w:val="NoSpacing"/>
        <w:keepNext/>
        <w:widowControl/>
      </w:pPr>
      <w:r w:rsidRPr="00853414">
        <w:t>In the event of a discharge of hazardous waste during transportation, the transporter must take appropriate action to protect human health and the environment, including notification of the discharge to local authorities, as required by 40 CFR 263.30(a).</w:t>
      </w:r>
    </w:p>
    <w:p w:rsidR="00DC4C45" w:rsidP="00FA3A49" w:rsidRDefault="000F4D0A" w14:paraId="1B824808" w14:textId="77777777">
      <w:pPr>
        <w:pStyle w:val="NoSpacing"/>
        <w:widowControl/>
      </w:pPr>
      <w:r w:rsidRPr="00853414">
        <w:t>Water (bulk shipment) transporters must immediately notify NRC of the discharge or, if it is not practicable to notify the NRC, a predesignated OSC can be notified</w:t>
      </w:r>
      <w:r w:rsidR="000E6596">
        <w:t xml:space="preserve">. </w:t>
      </w:r>
      <w:r w:rsidRPr="00853414">
        <w:t>If the OSC is notified, the transporter must notify the NRC of the discharge as soon as possible, as required by 40 CFR 263.30(d) and 33 CFR 153.203.</w:t>
      </w:r>
      <w:r w:rsidR="00DC4C45">
        <w:t xml:space="preserve"> </w:t>
      </w:r>
    </w:p>
    <w:p w:rsidR="00DC4C45" w:rsidP="00FA3A49" w:rsidRDefault="00DC4C45" w14:paraId="70122CA7" w14:textId="77777777">
      <w:pPr>
        <w:pStyle w:val="NoSpacing"/>
        <w:widowControl/>
        <w:numPr>
          <w:ilvl w:val="0"/>
          <w:numId w:val="0"/>
        </w:numPr>
        <w:ind w:left="1080"/>
      </w:pPr>
    </w:p>
    <w:p w:rsidR="000F4D0A" w:rsidP="00FA3A49" w:rsidRDefault="00DC4C45" w14:paraId="0447E308" w14:textId="77777777">
      <w:pPr>
        <w:pStyle w:val="NoSpacing"/>
        <w:widowControl/>
        <w:numPr>
          <w:ilvl w:val="0"/>
          <w:numId w:val="0"/>
        </w:numPr>
        <w:ind w:left="720"/>
      </w:pPr>
      <w:r>
        <w:t>[</w:t>
      </w:r>
      <w:r w:rsidRPr="00853414" w:rsidR="000F4D0A">
        <w:t>Note:  This ICR does not include hour and cost burden estimates for activities associated with the 49 CFR</w:t>
      </w:r>
      <w:r>
        <w:t xml:space="preserve"> Part</w:t>
      </w:r>
      <w:r w:rsidRPr="00853414" w:rsidR="000F4D0A">
        <w:t xml:space="preserve"> 171 notification requirements referenced in 40 CFR</w:t>
      </w:r>
      <w:r>
        <w:t xml:space="preserve"> Part</w:t>
      </w:r>
      <w:r w:rsidRPr="00853414" w:rsidR="000F4D0A">
        <w:t xml:space="preserve"> 263 since Part 263 does not add any notification requirements to those already in </w:t>
      </w:r>
      <w:r>
        <w:t>Part</w:t>
      </w:r>
      <w:r w:rsidRPr="00853414" w:rsidR="000F4D0A">
        <w:t xml:space="preserve"> 171.] </w:t>
      </w:r>
    </w:p>
    <w:p w:rsidRPr="00853414" w:rsidR="001473C1" w:rsidP="00FA3A49" w:rsidRDefault="001473C1" w14:paraId="54DD4DCC" w14:textId="77777777">
      <w:pPr>
        <w:pStyle w:val="NoSpacing"/>
        <w:widowControl/>
        <w:numPr>
          <w:ilvl w:val="0"/>
          <w:numId w:val="0"/>
        </w:numPr>
        <w:ind w:left="720"/>
      </w:pPr>
    </w:p>
    <w:p w:rsidRPr="00853414" w:rsidR="000F4D0A" w:rsidP="001473C1" w:rsidRDefault="000F4D0A" w14:paraId="48FE652C" w14:textId="77777777">
      <w:pPr>
        <w:tabs>
          <w:tab w:val="left" w:pos="-1200"/>
        </w:tabs>
        <w:ind w:left="720" w:hanging="720"/>
      </w:pPr>
      <w:r w:rsidRPr="00853414">
        <w:rPr>
          <w:b/>
          <w:bCs/>
        </w:rPr>
        <w:t>Designated Treatment</w:t>
      </w:r>
      <w:r w:rsidR="00FF623D">
        <w:rPr>
          <w:b/>
          <w:bCs/>
        </w:rPr>
        <w:t>, Storage and Disposal Facilities</w:t>
      </w:r>
      <w:r w:rsidRPr="00853414">
        <w:rPr>
          <w:b/>
          <w:bCs/>
        </w:rPr>
        <w:t xml:space="preserve"> </w:t>
      </w:r>
      <w:r w:rsidRPr="00070BCF" w:rsidR="00BF3A17">
        <w:rPr>
          <w:rStyle w:val="FootnoteReference"/>
          <w:vertAlign w:val="superscript"/>
        </w:rPr>
        <w:footnoteReference w:id="6"/>
      </w:r>
    </w:p>
    <w:p w:rsidRPr="00853414" w:rsidR="000F4D0A" w:rsidP="001473C1" w:rsidRDefault="000F4D0A" w14:paraId="627C2F8F" w14:textId="77777777">
      <w:pPr>
        <w:tabs>
          <w:tab w:val="left" w:pos="-1200"/>
        </w:tabs>
        <w:ind w:left="720" w:hanging="720"/>
      </w:pPr>
    </w:p>
    <w:p w:rsidR="000F4D0A" w:rsidP="001473C1" w:rsidRDefault="00C46489" w14:paraId="51397457" w14:textId="77777777">
      <w:pPr>
        <w:tabs>
          <w:tab w:val="left" w:pos="-1200"/>
        </w:tabs>
        <w:ind w:left="1440" w:hanging="720"/>
      </w:pPr>
      <w:r>
        <w:t>(</w:t>
      </w:r>
      <w:r w:rsidR="007A46FC">
        <w:t>a</w:t>
      </w:r>
      <w:r w:rsidRPr="00853414" w:rsidR="000F4D0A">
        <w:t>)</w:t>
      </w:r>
      <w:r w:rsidRPr="00853414" w:rsidR="000F4D0A">
        <w:tab/>
      </w:r>
      <w:r w:rsidR="000D66C0">
        <w:t>Transmitting the Manifest and Reporting to EPA</w:t>
      </w:r>
    </w:p>
    <w:p w:rsidR="000D66C0" w:rsidP="001473C1" w:rsidRDefault="000D66C0" w14:paraId="2430FCF5" w14:textId="77777777">
      <w:pPr>
        <w:tabs>
          <w:tab w:val="left" w:pos="-1200"/>
        </w:tabs>
        <w:ind w:left="1440" w:hanging="720"/>
      </w:pPr>
    </w:p>
    <w:p w:rsidRPr="000D66C0" w:rsidR="000D66C0" w:rsidP="001473C1" w:rsidRDefault="000D66C0" w14:paraId="06650432" w14:textId="77777777">
      <w:pPr>
        <w:tabs>
          <w:tab w:val="left" w:pos="-1200"/>
        </w:tabs>
        <w:ind w:left="1440" w:hanging="720"/>
        <w:rPr>
          <w:i/>
        </w:rPr>
      </w:pPr>
      <w:r w:rsidRPr="000D66C0">
        <w:rPr>
          <w:i/>
        </w:rPr>
        <w:t>(</w:t>
      </w:r>
      <w:r w:rsidR="00910981">
        <w:rPr>
          <w:i/>
        </w:rPr>
        <w:t>a</w:t>
      </w:r>
      <w:r w:rsidRPr="000D66C0">
        <w:rPr>
          <w:i/>
        </w:rPr>
        <w:t>1)</w:t>
      </w:r>
      <w:r w:rsidRPr="000D66C0">
        <w:rPr>
          <w:i/>
        </w:rPr>
        <w:tab/>
        <w:t>Manifest Completion, Transmittal and Recordkeeping</w:t>
      </w:r>
    </w:p>
    <w:p w:rsidRPr="00853414" w:rsidR="000F4D0A" w:rsidP="001473C1" w:rsidRDefault="000F4D0A" w14:paraId="6C5EA6B0" w14:textId="77777777">
      <w:pPr>
        <w:tabs>
          <w:tab w:val="left" w:pos="-1200"/>
        </w:tabs>
        <w:rPr>
          <w:b/>
          <w:bCs/>
        </w:rPr>
      </w:pPr>
    </w:p>
    <w:p w:rsidRPr="00926C71" w:rsidR="00557B14" w:rsidP="00557B14" w:rsidRDefault="000F4D0A" w14:paraId="062D9471" w14:textId="77777777">
      <w:r w:rsidRPr="00853414">
        <w:t>40 CFR 264.71(a</w:t>
      </w:r>
      <w:proofErr w:type="gramStart"/>
      <w:r w:rsidRPr="00853414">
        <w:t>),(</w:t>
      </w:r>
      <w:proofErr w:type="gramEnd"/>
      <w:r w:rsidRPr="00853414">
        <w:t>b) and 40 CFR 265.71(a),(b) set forth completion, transmittal, and recordkeeping requirements for TSDFs that receive hazardous waste accompanied by a manifest or shipping paper</w:t>
      </w:r>
      <w:r w:rsidR="000E6596">
        <w:t xml:space="preserve">. </w:t>
      </w:r>
      <w:r w:rsidRPr="00853414">
        <w:t xml:space="preserve">40 CFR 264.71(a),(b) and 40 CFR 265.71(a),(b) provide that, if a facility receives hazardous waste accompanied by a manifest (or shipping paper, for certain rail or water shipments), the </w:t>
      </w:r>
      <w:r w:rsidR="00D3102F">
        <w:t>facility</w:t>
      </w:r>
      <w:r w:rsidRPr="00853414">
        <w:t xml:space="preserve"> or his/her agent must sign and date each copy</w:t>
      </w:r>
      <w:r w:rsidR="0001748A">
        <w:t xml:space="preserve"> of the manifest</w:t>
      </w:r>
      <w:r w:rsidRPr="00853414">
        <w:t xml:space="preserve">; note any significant discrepancies on each copy; immediately </w:t>
      </w:r>
      <w:r w:rsidR="0001748A">
        <w:t>give</w:t>
      </w:r>
      <w:r w:rsidRPr="00853414">
        <w:t xml:space="preserve"> the transporter</w:t>
      </w:r>
      <w:r w:rsidR="0001748A">
        <w:t xml:space="preserve"> at least</w:t>
      </w:r>
      <w:r w:rsidR="00B452E1">
        <w:t xml:space="preserve"> </w:t>
      </w:r>
      <w:r w:rsidR="00C24DDC">
        <w:t>1</w:t>
      </w:r>
      <w:r w:rsidR="00B452E1">
        <w:t xml:space="preserve"> </w:t>
      </w:r>
      <w:r w:rsidRPr="00853414">
        <w:t>copy</w:t>
      </w:r>
      <w:r w:rsidR="0001748A">
        <w:t xml:space="preserve"> of the manifest</w:t>
      </w:r>
      <w:r w:rsidRPr="00853414">
        <w:t>;</w:t>
      </w:r>
      <w:r w:rsidR="0001748A">
        <w:t xml:space="preserve"> and </w:t>
      </w:r>
      <w:r w:rsidR="00535E11">
        <w:t>w</w:t>
      </w:r>
      <w:r w:rsidRPr="00535E11" w:rsidR="00535E11">
        <w:t>ithin 30 days of delivery, sen</w:t>
      </w:r>
      <w:r w:rsidR="00535E11">
        <w:t xml:space="preserve">d </w:t>
      </w:r>
      <w:r w:rsidR="0001748A">
        <w:t>a copy (Page 3) of the</w:t>
      </w:r>
      <w:r w:rsidR="00535E11">
        <w:t xml:space="preserve"> </w:t>
      </w:r>
      <w:r w:rsidRPr="002F4E07" w:rsidR="00535E11">
        <w:t xml:space="preserve">manifest </w:t>
      </w:r>
      <w:r w:rsidRPr="002F4E07" w:rsidR="0001748A">
        <w:t xml:space="preserve">to </w:t>
      </w:r>
      <w:r w:rsidRPr="002F4E07">
        <w:t>the generator</w:t>
      </w:r>
      <w:r w:rsidRPr="002F4E07" w:rsidR="0001748A">
        <w:t xml:space="preserve">; and </w:t>
      </w:r>
      <w:r w:rsidRPr="002F4E07">
        <w:t>retain</w:t>
      </w:r>
      <w:r w:rsidRPr="002F4E07" w:rsidR="0001748A">
        <w:t xml:space="preserve"> at the facility</w:t>
      </w:r>
      <w:r w:rsidRPr="002F4E07">
        <w:t xml:space="preserve"> a copy </w:t>
      </w:r>
      <w:r w:rsidRPr="002F4E07" w:rsidR="0001748A">
        <w:t xml:space="preserve">of each manifest </w:t>
      </w:r>
      <w:r w:rsidRPr="002F4E07">
        <w:t xml:space="preserve">for at least </w:t>
      </w:r>
      <w:r w:rsidRPr="002F4E07" w:rsidR="00C24DDC">
        <w:t>3</w:t>
      </w:r>
      <w:r w:rsidRPr="002F4E07">
        <w:t xml:space="preserve"> years from the date of delivery</w:t>
      </w:r>
      <w:r w:rsidRPr="002F4E07" w:rsidR="000E6596">
        <w:t xml:space="preserve">. </w:t>
      </w:r>
      <w:r w:rsidRPr="002F4E07" w:rsidR="00D04FCA">
        <w:t xml:space="preserve">40 CFR 264.71(a)(3) and 265.71(a)(3) provide that the owner or operator of a facility receiving hazardous waste subject to 40 </w:t>
      </w:r>
      <w:r w:rsidRPr="002F4E07" w:rsidR="003A6E8F">
        <w:t>CFR Part</w:t>
      </w:r>
      <w:r w:rsidRPr="002F4E07" w:rsidR="00D04FCA">
        <w:t xml:space="preserve"> 262, </w:t>
      </w:r>
      <w:r w:rsidRPr="002F4E07" w:rsidR="003A6E8F">
        <w:t>Subpart</w:t>
      </w:r>
      <w:r w:rsidRPr="002F4E07" w:rsidR="00D04FCA">
        <w:t xml:space="preserve"> H from a foreign source must additionally list the relevant consent number from consent documentation supplied by EPA to the facility for each waste listed on the manifest, matched to the relevant list number for the waste from block 9b. If additional space is needed, the owner or operator should use a Continuation Sheet(s) (EPA Form 8700–22A) and send a copy of the manifest within thirty (30) days of delivery to EPA using the addresses listed in 40 CFR 262.82(e) until the facility can submit such a copy to the e-Manifest system.</w:t>
      </w:r>
    </w:p>
    <w:p w:rsidR="00646155" w:rsidP="003F3AA6" w:rsidRDefault="00646155" w14:paraId="1DA4791C" w14:textId="77777777">
      <w:pPr>
        <w:tabs>
          <w:tab w:val="left" w:pos="-1200"/>
        </w:tabs>
      </w:pPr>
    </w:p>
    <w:p w:rsidR="00646155" w:rsidP="003F3AA6" w:rsidRDefault="00132878" w14:paraId="49C6FAA4" w14:textId="77777777">
      <w:pPr>
        <w:tabs>
          <w:tab w:val="left" w:pos="-1200"/>
        </w:tabs>
      </w:pPr>
      <w:r w:rsidRPr="000362DB">
        <w:t xml:space="preserve">In addition, 40 CFR 264.71(a)(2)(v) and 265.71(a)(2)(v) establish options for compliance beginning on June 30, </w:t>
      </w:r>
      <w:proofErr w:type="gramStart"/>
      <w:r w:rsidRPr="000362DB">
        <w:t>2018</w:t>
      </w:r>
      <w:proofErr w:type="gramEnd"/>
      <w:r w:rsidRPr="000362DB" w:rsidR="000F4D0A">
        <w:t xml:space="preserve"> </w:t>
      </w:r>
      <w:r w:rsidRPr="000362DB">
        <w:t>and on June 30, 2021</w:t>
      </w:r>
      <w:r w:rsidR="000E6596">
        <w:t xml:space="preserve">. </w:t>
      </w:r>
      <w:r w:rsidRPr="000362DB" w:rsidR="001C4AB9">
        <w:t xml:space="preserve">Beginning on June 30, 2018, the facility must send the top copy (Page 1) of any paper manifest and any paper continuation sheet to the e-Manifest system for purposes of data entry and processing, or in lieu of submitting the paper copy to EPA, it may transmit to the EPA system an image file of Page 1 of the manifest and any continuation sheet, or both a data file and image file corresponding to Page 1 of the manifest and </w:t>
      </w:r>
      <w:r w:rsidRPr="000362DB" w:rsidR="001C4AB9">
        <w:lastRenderedPageBreak/>
        <w:t>any continuation sheet, within 30 days of the date of delivery</w:t>
      </w:r>
      <w:r w:rsidR="000E6596">
        <w:t xml:space="preserve">. </w:t>
      </w:r>
      <w:r w:rsidRPr="008043FE" w:rsidR="008043FE">
        <w:t>Beginning on June 30, 2021, EPA will not accept mailed paper manifests from facilities for processing in e-Manifest</w:t>
      </w:r>
      <w:r w:rsidR="000E6596">
        <w:t xml:space="preserve">. </w:t>
      </w:r>
      <w:r w:rsidRPr="000362DB" w:rsidR="001C4AB9">
        <w:t xml:space="preserve">Beginning </w:t>
      </w:r>
      <w:r w:rsidRPr="000362DB" w:rsidR="00434581">
        <w:t xml:space="preserve">on </w:t>
      </w:r>
      <w:r w:rsidRPr="000362DB" w:rsidR="001C4AB9">
        <w:t xml:space="preserve">June 30, 2021, the requirement to submit the top copy (Page 1) of the paper manifest and any paper continuation sheet to the e-Manifest system for purposes of data entry and processing may be met by the facility only by transmitting to the EPA system an image file of Page 1 of the manifest and any continuation sheet, or by transmitting to the EPA system both a </w:t>
      </w:r>
      <w:r w:rsidR="00777E1F">
        <w:t>data</w:t>
      </w:r>
      <w:r w:rsidRPr="000362DB" w:rsidR="001C4AB9">
        <w:t xml:space="preserve"> file and the image file corresponding to Page 1 of the manifest and any continuation sheet, within 30 days of the date of delivery. Submissions of copies to the e-Manifest system shall be made to the electronic mail/submission address specified at the e-Manifest program web site’s directory of services.</w:t>
      </w:r>
    </w:p>
    <w:p w:rsidRPr="00926C71" w:rsidR="00A421A5" w:rsidP="00A421A5" w:rsidRDefault="00A421A5" w14:paraId="718A4CC0" w14:textId="77777777"/>
    <w:p w:rsidRPr="00A17DE6" w:rsidR="005B720B" w:rsidP="005B720B" w:rsidRDefault="005B720B" w14:paraId="61AF6685" w14:textId="77777777">
      <w:pPr>
        <w:pStyle w:val="Subtitle"/>
        <w:keepNext w:val="0"/>
        <w:keepLines w:val="0"/>
        <w:numPr>
          <w:ilvl w:val="0"/>
          <w:numId w:val="0"/>
        </w:numPr>
        <w:tabs>
          <w:tab w:val="clear" w:pos="1080"/>
          <w:tab w:val="left" w:pos="0"/>
        </w:tabs>
      </w:pPr>
      <w:r w:rsidRPr="00224565">
        <w:t>At the time of submission of the upload, a responsible representative of the receiving facility must make a CROMERR</w:t>
      </w:r>
      <w:r w:rsidRPr="00224565" w:rsidR="002D0015">
        <w:rPr>
          <w:rStyle w:val="FootnoteReference"/>
          <w:vertAlign w:val="superscript"/>
        </w:rPr>
        <w:footnoteReference w:id="7"/>
      </w:r>
      <w:r w:rsidRPr="00224565" w:rsidR="002D0015">
        <w:t xml:space="preserve"> </w:t>
      </w:r>
      <w:r w:rsidRPr="00224565">
        <w:t>compliant certification that to the representative’s knowledge or belief, the submission (e.g., data and images) is accurate and complete representations of the facility’s received manifests, and that the facility acknowledges that it is obligated to pay the applicable per manifest fee for each manifest included in the submission, in accordance with 40 CFR 264.1311(b) or (c) or 265.1311(b) or (c).</w:t>
      </w:r>
    </w:p>
    <w:p w:rsidR="00980B70" w:rsidP="005B720B" w:rsidRDefault="00980B70" w14:paraId="20FCF76D" w14:textId="77777777"/>
    <w:p w:rsidR="00245E3E" w:rsidP="00FA3A49" w:rsidRDefault="00245E3E" w14:paraId="23ACD4C9" w14:textId="77777777">
      <w:pPr>
        <w:tabs>
          <w:tab w:val="left" w:pos="-1200"/>
        </w:tabs>
      </w:pPr>
      <w:r>
        <w:rPr>
          <w:iCs/>
        </w:rPr>
        <w:t>40 CFR 264.71(f) and 265.71(f) provide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264.71(f) or 265.71(f)</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sidR="00A72F5B">
        <w:rPr>
          <w:iCs/>
        </w:rPr>
        <w:t xml:space="preserve">. </w:t>
      </w:r>
      <w:r>
        <w:rPr>
          <w:iCs/>
        </w:rPr>
        <w:t>Sections 264.71(g)-(k) and 265.71(g)-(k) address other issues related to the e-Manifest (e.g., special procedures for electronic signature methods undergoing tests)</w:t>
      </w:r>
      <w:r w:rsidR="000E6596">
        <w:rPr>
          <w:iCs/>
        </w:rPr>
        <w:t xml:space="preserve">. </w:t>
      </w:r>
      <w:r>
        <w:rPr>
          <w:iCs/>
        </w:rPr>
        <w:t>[</w:t>
      </w:r>
      <w:r>
        <w:t>Refer to “Use of the Electronic Manifest” in this section for additional information.]</w:t>
      </w:r>
    </w:p>
    <w:p w:rsidR="00245E3E" w:rsidP="00FA3A49" w:rsidRDefault="00245E3E" w14:paraId="386BE1BC" w14:textId="77777777">
      <w:pPr>
        <w:keepNext/>
        <w:keepLines/>
        <w:tabs>
          <w:tab w:val="left" w:pos="-1200"/>
        </w:tabs>
      </w:pPr>
    </w:p>
    <w:p w:rsidR="00A43D65" w:rsidP="00A43D65" w:rsidRDefault="00A43D65" w14:paraId="1DBFC469" w14:textId="77777777">
      <w:pPr>
        <w:tabs>
          <w:tab w:val="left" w:pos="-1200"/>
        </w:tabs>
      </w:pPr>
      <w:r w:rsidRPr="00224565">
        <w:t>40 CFR 260.4(a) provides that, in any case in which the state in which waste is generated, or the state in which waste will be transported to a designated facility, requires that the waste be regulated as a hazardous waste or otherwise be tracked through a hazardous waste manifest, the designated facility that receives the waste shall, regardless of the state in which the facility is located, (1) complete the facility portion of the applicable manifest; (2) sign and date the facility certification; (3) submit to the e-Manifest system a final copy of the manifest for data processing purposes</w:t>
      </w:r>
      <w:r w:rsidR="00560B0B">
        <w:t>; and (</w:t>
      </w:r>
      <w:r w:rsidRPr="00560B0B" w:rsidR="00560B0B">
        <w:t xml:space="preserve">4) </w:t>
      </w:r>
      <w:r w:rsidR="00560B0B">
        <w:t>p</w:t>
      </w:r>
      <w:r w:rsidRPr="00560B0B" w:rsidR="00560B0B">
        <w:t xml:space="preserve">ay the appropriate per manifest fee to EPA for each manifest submitted to the e-Manifest system, subject to the fee determination methodology, payment methods, dispute procedures, sanctions, and other fee requirements specified in </w:t>
      </w:r>
      <w:r w:rsidR="00614F26">
        <w:t>S</w:t>
      </w:r>
      <w:r w:rsidRPr="00560B0B" w:rsidR="00560B0B">
        <w:t xml:space="preserve">ubpart FF of </w:t>
      </w:r>
      <w:r w:rsidR="00614F26">
        <w:t>40 CFR P</w:t>
      </w:r>
      <w:r w:rsidRPr="00560B0B" w:rsidR="00560B0B">
        <w:t>art 264.</w:t>
      </w:r>
      <w:r w:rsidR="00560B0B">
        <w:t xml:space="preserve"> </w:t>
      </w:r>
      <w:r w:rsidRPr="00560B0B" w:rsidR="00560B0B">
        <w:t>[Refer to “Fees for the Electronic Hazardous Waste Manifest Program” in this section for facility data items and activities associated with these fee-related requirements.]</w:t>
      </w:r>
    </w:p>
    <w:p w:rsidR="00A43D65" w:rsidP="00FA3A49" w:rsidRDefault="00A43D65" w14:paraId="60DEC530" w14:textId="77777777">
      <w:pPr>
        <w:keepNext/>
        <w:keepLines/>
        <w:tabs>
          <w:tab w:val="left" w:pos="-1200"/>
        </w:tabs>
      </w:pPr>
    </w:p>
    <w:p w:rsidRPr="00EE162F" w:rsidR="00614F26" w:rsidP="00980B70" w:rsidRDefault="00614F26" w14:paraId="5D3FA27E" w14:textId="77777777">
      <w:r>
        <w:t>40 CFR 260.5(b) provides that, i</w:t>
      </w:r>
      <w:r w:rsidRPr="00472B88">
        <w:t>n any case in which a state requires a RCRA manifest to be used under state law to track the shipment and transportation of a state-only regulated waste to a receiving facility, the facility receiving such a waste shipment for management shall</w:t>
      </w:r>
      <w:r>
        <w:t xml:space="preserve"> </w:t>
      </w:r>
      <w:r w:rsidRPr="00472B88">
        <w:t xml:space="preserve">(1) </w:t>
      </w:r>
      <w:r>
        <w:t>c</w:t>
      </w:r>
      <w:r w:rsidRPr="00472B88">
        <w:t xml:space="preserve">omply with the provisions of </w:t>
      </w:r>
      <w:r>
        <w:t xml:space="preserve">40 CFR </w:t>
      </w:r>
      <w:r w:rsidRPr="00472B88">
        <w:t xml:space="preserve">264.71 (use of the manifest) and </w:t>
      </w:r>
      <w:r>
        <w:t xml:space="preserve">40 CFR </w:t>
      </w:r>
      <w:r w:rsidRPr="00472B88">
        <w:t>264.72 (manifest discrepancies), and</w:t>
      </w:r>
      <w:r>
        <w:t xml:space="preserve"> </w:t>
      </w:r>
      <w:r w:rsidRPr="00472B88">
        <w:t xml:space="preserve">(2) </w:t>
      </w:r>
      <w:r>
        <w:t>p</w:t>
      </w:r>
      <w:r w:rsidRPr="00472B88">
        <w:t xml:space="preserve">ay the appropriate per manifest fee to EPA for each manifest submitted to the e-Manifest system, subject to the fee determination methodology, payment methods, </w:t>
      </w:r>
      <w:r w:rsidRPr="00472B88">
        <w:lastRenderedPageBreak/>
        <w:t xml:space="preserve">dispute procedures, sanctions, and other fee requirements specified in </w:t>
      </w:r>
      <w:r>
        <w:t>S</w:t>
      </w:r>
      <w:r w:rsidRPr="00472B88">
        <w:t xml:space="preserve">ubpart FF of </w:t>
      </w:r>
      <w:r>
        <w:t>40 CFR P</w:t>
      </w:r>
      <w:r w:rsidRPr="00472B88">
        <w:t>art 264</w:t>
      </w:r>
      <w:r>
        <w:t>. [Refer to “</w:t>
      </w:r>
      <w:r w:rsidRPr="00BB6B68">
        <w:t>Fees for the Electronic Hazardous Waste Manifest Program</w:t>
      </w:r>
      <w:r>
        <w:t xml:space="preserve">” in this section </w:t>
      </w:r>
      <w:r w:rsidRPr="000542A8">
        <w:t>for facility data items and activities associated</w:t>
      </w:r>
      <w:r>
        <w:t xml:space="preserve"> with these fee-related requirements.]</w:t>
      </w:r>
    </w:p>
    <w:p w:rsidRPr="00EE162F" w:rsidR="004E01FF" w:rsidP="00FA3A49" w:rsidRDefault="004E01FF" w14:paraId="6D49B6BA" w14:textId="77777777">
      <w:pPr>
        <w:keepNext/>
        <w:keepLines/>
        <w:tabs>
          <w:tab w:val="left" w:pos="-1200"/>
        </w:tabs>
      </w:pPr>
    </w:p>
    <w:p w:rsidR="000F4D0A" w:rsidP="00FA3A49" w:rsidRDefault="00886BEF" w14:paraId="3FF4008C" w14:textId="77777777">
      <w:pPr>
        <w:tabs>
          <w:tab w:val="left" w:pos="-1200"/>
        </w:tabs>
        <w:ind w:firstLine="720"/>
      </w:pPr>
      <w:r w:rsidRPr="00886BEF">
        <w:rPr>
          <w:u w:val="single"/>
        </w:rPr>
        <w:t>Data Item</w:t>
      </w:r>
    </w:p>
    <w:p w:rsidRPr="00853414" w:rsidR="00245E3E" w:rsidP="00FA3A49" w:rsidRDefault="00245E3E" w14:paraId="0EC5C1D2" w14:textId="77777777">
      <w:pPr>
        <w:tabs>
          <w:tab w:val="left" w:pos="-1200"/>
        </w:tabs>
        <w:ind w:firstLine="720"/>
      </w:pPr>
    </w:p>
    <w:p w:rsidR="00245E3E" w:rsidP="00FA3A49" w:rsidRDefault="00245E3E" w14:paraId="53A9494A" w14:textId="77777777">
      <w:pPr>
        <w:pStyle w:val="NoSpacing"/>
        <w:widowControl/>
      </w:pPr>
      <w:r>
        <w:t xml:space="preserve">Paper or electronic </w:t>
      </w:r>
      <w:r w:rsidRPr="00853414" w:rsidR="000F4D0A">
        <w:t>manifest</w:t>
      </w:r>
      <w:r>
        <w:t>.</w:t>
      </w:r>
    </w:p>
    <w:p w:rsidRPr="00341909" w:rsidR="000F4D0A" w:rsidP="00FA3A49" w:rsidRDefault="00245E3E" w14:paraId="206D77F9" w14:textId="77777777">
      <w:pPr>
        <w:pStyle w:val="NoSpacing"/>
        <w:widowControl/>
        <w:rPr>
          <w:strike/>
        </w:rPr>
      </w:pPr>
      <w:r>
        <w:t>S</w:t>
      </w:r>
      <w:r w:rsidRPr="00853414" w:rsidR="000F4D0A">
        <w:t>hipping paper.</w:t>
      </w:r>
    </w:p>
    <w:p w:rsidR="002B210B" w:rsidP="00FA3A49" w:rsidRDefault="002B210B" w14:paraId="22A04800" w14:textId="77777777">
      <w:pPr>
        <w:pStyle w:val="NoSpacing"/>
        <w:widowControl/>
      </w:pPr>
      <w:r>
        <w:t>A CROMERR compliant certification if applicable.</w:t>
      </w:r>
    </w:p>
    <w:p w:rsidRPr="00853414" w:rsidR="000F4D0A" w:rsidP="00FA3A49" w:rsidRDefault="000F4D0A" w14:paraId="79F6F8D8" w14:textId="77777777">
      <w:pPr>
        <w:tabs>
          <w:tab w:val="left" w:pos="-1200"/>
        </w:tabs>
      </w:pPr>
    </w:p>
    <w:p w:rsidR="000F4D0A" w:rsidP="000152A7" w:rsidRDefault="00886BEF" w14:paraId="12B5764D" w14:textId="77777777">
      <w:pPr>
        <w:keepNext/>
        <w:keepLines/>
        <w:tabs>
          <w:tab w:val="left" w:pos="-1200"/>
        </w:tabs>
        <w:ind w:firstLine="720"/>
      </w:pPr>
      <w:r w:rsidRPr="00886BEF">
        <w:rPr>
          <w:u w:val="single"/>
        </w:rPr>
        <w:t>Respondent Activities</w:t>
      </w:r>
      <w:r w:rsidRPr="00853414" w:rsidR="000F4D0A">
        <w:t xml:space="preserve"> </w:t>
      </w:r>
    </w:p>
    <w:p w:rsidR="0066023A" w:rsidP="000152A7" w:rsidRDefault="0066023A" w14:paraId="568816F4" w14:textId="77777777">
      <w:pPr>
        <w:keepNext/>
        <w:keepLines/>
        <w:tabs>
          <w:tab w:val="left" w:pos="-1200"/>
        </w:tabs>
        <w:ind w:firstLine="720"/>
      </w:pPr>
    </w:p>
    <w:p w:rsidRPr="00245E3E" w:rsidR="00245E3E" w:rsidP="000152A7" w:rsidRDefault="00245E3E" w14:paraId="3DE56436" w14:textId="77777777">
      <w:pPr>
        <w:keepNext/>
        <w:keepLines/>
        <w:tabs>
          <w:tab w:val="left" w:pos="-1200"/>
        </w:tabs>
        <w:ind w:firstLine="720"/>
        <w:rPr>
          <w:b/>
        </w:rPr>
      </w:pPr>
      <w:r w:rsidRPr="00245E3E">
        <w:rPr>
          <w:b/>
        </w:rPr>
        <w:t>Paper Manifest</w:t>
      </w:r>
    </w:p>
    <w:p w:rsidR="00245E3E" w:rsidP="000152A7" w:rsidRDefault="00245E3E" w14:paraId="24422FBB" w14:textId="77777777">
      <w:pPr>
        <w:pStyle w:val="NoSpacing"/>
        <w:keepNext/>
        <w:widowControl/>
        <w:numPr>
          <w:ilvl w:val="0"/>
          <w:numId w:val="0"/>
        </w:numPr>
        <w:ind w:left="1080"/>
      </w:pPr>
    </w:p>
    <w:p w:rsidRPr="006B3CB2" w:rsidR="000F4D0A" w:rsidP="000152A7" w:rsidRDefault="000F4D0A" w14:paraId="1A2DD0AF" w14:textId="77777777">
      <w:pPr>
        <w:pStyle w:val="NoSpacing"/>
        <w:keepNext/>
        <w:widowControl/>
      </w:pPr>
      <w:r w:rsidRPr="006B3CB2">
        <w:t>Complete, transmit, and retain copies of the manifest, as required by 40 CFR</w:t>
      </w:r>
      <w:r w:rsidRPr="006B3CB2" w:rsidR="00F2651D">
        <w:t xml:space="preserve"> 260.4,</w:t>
      </w:r>
      <w:r w:rsidRPr="006B3CB2">
        <w:t xml:space="preserve"> </w:t>
      </w:r>
      <w:r w:rsidRPr="006B3CB2" w:rsidR="00BA1321">
        <w:t xml:space="preserve">260.5, </w:t>
      </w:r>
      <w:r w:rsidRPr="006B3CB2">
        <w:t>264.71(a),</w:t>
      </w:r>
      <w:r w:rsidRPr="006B3CB2" w:rsidR="00695090">
        <w:t xml:space="preserve"> </w:t>
      </w:r>
      <w:r w:rsidRPr="006B3CB2">
        <w:t>(b) or 40 CFR 265.71(a),</w:t>
      </w:r>
      <w:r w:rsidRPr="006B3CB2" w:rsidR="00695090">
        <w:t xml:space="preserve"> </w:t>
      </w:r>
      <w:r w:rsidRPr="006B3CB2">
        <w:t>(b) and the manifest instructions:</w:t>
      </w:r>
    </w:p>
    <w:p w:rsidRPr="006B3CB2" w:rsidR="000F4D0A" w:rsidP="00FA3A49" w:rsidRDefault="000F4D0A" w14:paraId="6AAB8271" w14:textId="77777777">
      <w:pPr>
        <w:pStyle w:val="Subtitle"/>
        <w:keepNext w:val="0"/>
        <w:keepLines w:val="0"/>
      </w:pPr>
      <w:r w:rsidRPr="006B3CB2">
        <w:t>Enter the name of the person accepting the waste and sign and date each copy of the manifest (or shipping paper, if applicable).</w:t>
      </w:r>
    </w:p>
    <w:p w:rsidRPr="006B3CB2" w:rsidR="000F4D0A" w:rsidP="00FA3A49" w:rsidRDefault="000F4D0A" w14:paraId="50B82415" w14:textId="77777777">
      <w:pPr>
        <w:pStyle w:val="Subtitle"/>
        <w:keepNext w:val="0"/>
        <w:keepLines w:val="0"/>
      </w:pPr>
      <w:r w:rsidRPr="006B3CB2">
        <w:t>Complete the management method codes.</w:t>
      </w:r>
    </w:p>
    <w:p w:rsidRPr="006B3CB2" w:rsidR="00D04FCA" w:rsidP="000F6983" w:rsidRDefault="00D04FCA" w14:paraId="434D1D35" w14:textId="77777777">
      <w:pPr>
        <w:pStyle w:val="ListParagraph"/>
        <w:numPr>
          <w:ilvl w:val="0"/>
          <w:numId w:val="40"/>
        </w:numPr>
        <w:ind w:left="1440"/>
      </w:pPr>
      <w:r w:rsidRPr="006B3CB2">
        <w:t>For imports, list the relevant consent number from consent documentation supplied by EPA to the facility for each waste listed on the manifest, matched to the relevant list number for the waste from block 9b.</w:t>
      </w:r>
    </w:p>
    <w:p w:rsidRPr="006B3CB2" w:rsidR="000F4D0A" w:rsidP="00FA3A49" w:rsidRDefault="000F4D0A" w14:paraId="00666375" w14:textId="77777777">
      <w:pPr>
        <w:pStyle w:val="Subtitle"/>
        <w:keepNext w:val="0"/>
        <w:keepLines w:val="0"/>
      </w:pPr>
      <w:r w:rsidRPr="006B3CB2">
        <w:t xml:space="preserve">Note any discrepancies (as defined in 40 CFR 264.72(a) </w:t>
      </w:r>
      <w:r w:rsidRPr="006B3CB2" w:rsidR="00F107FE">
        <w:t xml:space="preserve">or 265.72(a)) </w:t>
      </w:r>
      <w:r w:rsidRPr="006B3CB2">
        <w:t>on each copy of the manifest (or shipping paper, if applicable).</w:t>
      </w:r>
    </w:p>
    <w:p w:rsidRPr="006B3CB2" w:rsidR="000F4D0A" w:rsidP="00FA3A49" w:rsidRDefault="000F4D0A" w14:paraId="730233E0" w14:textId="77777777">
      <w:pPr>
        <w:pStyle w:val="Subtitle"/>
        <w:keepNext w:val="0"/>
        <w:keepLines w:val="0"/>
      </w:pPr>
      <w:r w:rsidRPr="006B3CB2">
        <w:t>Immediately give the transporter at least</w:t>
      </w:r>
      <w:r w:rsidRPr="006B3CB2" w:rsidR="00B452E1">
        <w:t xml:space="preserve"> </w:t>
      </w:r>
      <w:r w:rsidRPr="006B3CB2" w:rsidR="00C24DDC">
        <w:t>1</w:t>
      </w:r>
      <w:r w:rsidRPr="006B3CB2" w:rsidR="00B452E1">
        <w:t xml:space="preserve"> </w:t>
      </w:r>
      <w:r w:rsidRPr="006B3CB2">
        <w:t>copy of the manifest (or shipping paper).</w:t>
      </w:r>
    </w:p>
    <w:p w:rsidRPr="006B3CB2" w:rsidR="00D04FCA" w:rsidP="000F6983" w:rsidRDefault="00D04FCA" w14:paraId="368D174E" w14:textId="77777777">
      <w:pPr>
        <w:pStyle w:val="ListParagraph"/>
        <w:numPr>
          <w:ilvl w:val="0"/>
          <w:numId w:val="40"/>
        </w:numPr>
        <w:ind w:left="1440"/>
      </w:pPr>
      <w:r w:rsidRPr="006B3CB2">
        <w:t>Within 30 days of delivery, send a copy (Page 3) of the manifest to the generator</w:t>
      </w:r>
      <w:r w:rsidRPr="006B3CB2" w:rsidR="005750C8">
        <w:t>.</w:t>
      </w:r>
    </w:p>
    <w:p w:rsidRPr="006B3CB2" w:rsidR="003941B0" w:rsidP="00AE7D71" w:rsidRDefault="00D04FCA" w14:paraId="5DC3E805" w14:textId="77777777">
      <w:pPr>
        <w:pStyle w:val="Subtitle"/>
        <w:keepNext w:val="0"/>
        <w:keepLines w:val="0"/>
      </w:pPr>
      <w:r w:rsidRPr="006B3CB2">
        <w:t>Send a copy of the manifest to EPA as follows:</w:t>
      </w:r>
    </w:p>
    <w:p w:rsidR="00D04FCA" w:rsidP="00D04FCA" w:rsidRDefault="00A17DE6" w14:paraId="3FA8FC1B" w14:textId="77777777">
      <w:pPr>
        <w:pStyle w:val="Subtitle"/>
        <w:keepNext w:val="0"/>
        <w:keepLines w:val="0"/>
        <w:numPr>
          <w:ilvl w:val="1"/>
          <w:numId w:val="3"/>
        </w:numPr>
        <w:ind w:left="1710" w:hanging="270"/>
      </w:pPr>
      <w:r w:rsidRPr="006B3CB2">
        <w:t>Beginning on June 30, 2018, send the top copy (Page 1) of any paper manifest and</w:t>
      </w:r>
      <w:r w:rsidRPr="0099172D">
        <w:t xml:space="preserve"> any paper continuation sheet to the e-Manifest, or in lieu of submitting the paper copy to EPA, transmit to the EPA system an image file of Page 1 of the manifest and any continuation sheet, or both a data file and image file corresponding to Page 1 of the manifest and any continuation sheet, within 30 days of the date of delivery</w:t>
      </w:r>
      <w:r w:rsidRPr="0099172D" w:rsidR="00AE7D71">
        <w:t xml:space="preserve">, including a CROMERR compliant certification </w:t>
      </w:r>
      <w:r w:rsidRPr="0099172D" w:rsidR="002B210B">
        <w:t>(if applicable)</w:t>
      </w:r>
      <w:r w:rsidRPr="0099172D" w:rsidR="00AE7D71">
        <w:t>.</w:t>
      </w:r>
    </w:p>
    <w:p w:rsidRPr="002F5213" w:rsidR="00F107FE" w:rsidP="000F6983" w:rsidRDefault="00A17DE6" w14:paraId="50DC6E0D" w14:textId="77777777">
      <w:pPr>
        <w:pStyle w:val="Subtitle"/>
        <w:keepNext w:val="0"/>
        <w:keepLines w:val="0"/>
        <w:numPr>
          <w:ilvl w:val="1"/>
          <w:numId w:val="3"/>
        </w:numPr>
        <w:ind w:left="1710" w:hanging="270"/>
      </w:pPr>
      <w:r w:rsidRPr="0099172D">
        <w:t xml:space="preserve">Beginning on June 30, 2021, transmit to the EPA system an image file of Page 1 of the manifest and any continuation sheet or both a </w:t>
      </w:r>
      <w:r w:rsidR="00777E1F">
        <w:t>data</w:t>
      </w:r>
      <w:r w:rsidRPr="0099172D">
        <w:t xml:space="preserve"> file and the image file corresponding to Page 1 of the manifest and any continuation sheet, within </w:t>
      </w:r>
      <w:r w:rsidRPr="002F5213">
        <w:t>30 days of the date of delivery</w:t>
      </w:r>
      <w:r w:rsidRPr="002F5213" w:rsidR="00AE7D71">
        <w:t>, including a CROMERR compliant certification</w:t>
      </w:r>
      <w:r w:rsidRPr="002F5213">
        <w:t>.</w:t>
      </w:r>
    </w:p>
    <w:p w:rsidRPr="002F5213" w:rsidR="00D04FCA" w:rsidP="000F6983" w:rsidRDefault="00D04FCA" w14:paraId="3376C52F" w14:textId="77777777">
      <w:pPr>
        <w:pStyle w:val="ListParagraph"/>
        <w:numPr>
          <w:ilvl w:val="1"/>
          <w:numId w:val="3"/>
        </w:numPr>
        <w:ind w:left="1710" w:hanging="270"/>
      </w:pPr>
      <w:r w:rsidRPr="002F5213">
        <w:t>For imports, send a copy of the manifest within thirty (30) days of delivery to EPA using the addresses listed in 40 CFR 262.82(e) until the facility can submit such a copy to the e-Manifest system.</w:t>
      </w:r>
    </w:p>
    <w:p w:rsidRPr="0099172D" w:rsidR="0066023A" w:rsidP="00FA3A49" w:rsidRDefault="000F4D0A" w14:paraId="6E777B75" w14:textId="77777777">
      <w:pPr>
        <w:pStyle w:val="Subtitle"/>
        <w:keepNext w:val="0"/>
        <w:keepLines w:val="0"/>
      </w:pPr>
      <w:r w:rsidRPr="002F5213">
        <w:t xml:space="preserve">Retain a copy of the manifest (or shipping paper) for at least </w:t>
      </w:r>
      <w:r w:rsidRPr="002F5213" w:rsidR="00C24DDC">
        <w:t>3</w:t>
      </w:r>
      <w:r w:rsidRPr="0099172D">
        <w:t xml:space="preserve"> years from the date of delivery</w:t>
      </w:r>
      <w:r w:rsidR="000E6596">
        <w:t xml:space="preserve">. </w:t>
      </w:r>
    </w:p>
    <w:p w:rsidR="008C7611" w:rsidP="00FA3A49" w:rsidRDefault="008C7611" w14:paraId="78C81A1B" w14:textId="77777777">
      <w:pPr>
        <w:pStyle w:val="Subtitle"/>
        <w:keepNext w:val="0"/>
        <w:keepLines w:val="0"/>
        <w:numPr>
          <w:ilvl w:val="0"/>
          <w:numId w:val="0"/>
        </w:numPr>
        <w:ind w:left="1080"/>
      </w:pPr>
    </w:p>
    <w:p w:rsidR="000F4D0A" w:rsidP="00FA3A49" w:rsidRDefault="000F4D0A" w14:paraId="2F9E7F83" w14:textId="77777777">
      <w:pPr>
        <w:pStyle w:val="Subtitle"/>
        <w:keepNext w:val="0"/>
        <w:keepLines w:val="0"/>
        <w:numPr>
          <w:ilvl w:val="0"/>
          <w:numId w:val="0"/>
        </w:numPr>
        <w:ind w:left="1080"/>
      </w:pPr>
      <w:r w:rsidRPr="00853414">
        <w:lastRenderedPageBreak/>
        <w:t>[Note:  Although the noting of manifest or shipping paper discrepancies is mentioned above, it is burdened in the subsection entitled “Discrepancy Reports.”]</w:t>
      </w:r>
    </w:p>
    <w:p w:rsidRPr="00DA549C" w:rsidR="00DA549C" w:rsidP="00DA549C" w:rsidRDefault="00DA549C" w14:paraId="6E8E883F" w14:textId="77777777"/>
    <w:p w:rsidRPr="008A355A" w:rsidR="00245E3E" w:rsidP="00FA3A49" w:rsidRDefault="00245E3E" w14:paraId="6D0DD9E9" w14:textId="77777777">
      <w:pPr>
        <w:keepNext/>
        <w:keepLines/>
        <w:tabs>
          <w:tab w:val="left" w:pos="-1200"/>
        </w:tabs>
        <w:rPr>
          <w:b/>
        </w:rPr>
      </w:pPr>
      <w:r w:rsidRPr="008A355A">
        <w:rPr>
          <w:b/>
        </w:rPr>
        <w:tab/>
        <w:t>Electronic Manifest</w:t>
      </w:r>
    </w:p>
    <w:p w:rsidR="00245E3E" w:rsidP="00FA3A49" w:rsidRDefault="00245E3E" w14:paraId="476DB7C1" w14:textId="77777777">
      <w:pPr>
        <w:pStyle w:val="ListParagraph"/>
        <w:keepNext/>
        <w:keepLines/>
        <w:widowControl/>
        <w:tabs>
          <w:tab w:val="left" w:pos="-1200"/>
        </w:tabs>
        <w:ind w:left="1080"/>
      </w:pPr>
    </w:p>
    <w:p w:rsidR="00245E3E" w:rsidP="00E40AA3" w:rsidRDefault="00245E3E" w14:paraId="572F478B" w14:textId="77777777">
      <w:pPr>
        <w:pStyle w:val="ListParagraph"/>
        <w:keepNext/>
        <w:keepLines/>
        <w:widowControl/>
        <w:numPr>
          <w:ilvl w:val="0"/>
          <w:numId w:val="6"/>
        </w:numPr>
        <w:tabs>
          <w:tab w:val="left" w:pos="-1200"/>
        </w:tabs>
      </w:pPr>
      <w:r>
        <w:t xml:space="preserve">Designated </w:t>
      </w:r>
      <w:r w:rsidR="00722CAC">
        <w:t>facilities</w:t>
      </w:r>
      <w:r w:rsidRPr="0087413A">
        <w:t xml:space="preserve"> must perform the above activities in accordance with section </w:t>
      </w:r>
      <w:r>
        <w:t>264.71(f)-(k) or 265.71(f)-(k)</w:t>
      </w:r>
      <w:r w:rsidRPr="008A355A">
        <w:rPr>
          <w:iCs/>
        </w:rPr>
        <w:t xml:space="preserve">, as applicable, </w:t>
      </w:r>
      <w:r w:rsidRPr="0087413A">
        <w:t xml:space="preserve">for completing, signing, providing, </w:t>
      </w:r>
      <w:proofErr w:type="gramStart"/>
      <w:r w:rsidRPr="0087413A">
        <w:t>using</w:t>
      </w:r>
      <w:proofErr w:type="gramEnd"/>
      <w:r w:rsidRPr="0087413A">
        <w:t xml:space="preserve"> and retaining the electronic manifest.</w:t>
      </w:r>
    </w:p>
    <w:p w:rsidRPr="00853414" w:rsidR="00245E3E" w:rsidP="00FA3A49" w:rsidRDefault="00245E3E" w14:paraId="4BD896EE" w14:textId="77777777">
      <w:pPr>
        <w:tabs>
          <w:tab w:val="left" w:pos="-1200"/>
        </w:tabs>
      </w:pPr>
    </w:p>
    <w:p w:rsidRPr="000D66C0" w:rsidR="000F4D0A" w:rsidP="00FA3A49" w:rsidRDefault="000F4D0A" w14:paraId="4F2316D4" w14:textId="77777777">
      <w:pPr>
        <w:tabs>
          <w:tab w:val="left" w:pos="-1200"/>
        </w:tabs>
        <w:ind w:left="1440" w:hanging="720"/>
        <w:rPr>
          <w:i/>
        </w:rPr>
      </w:pPr>
      <w:r w:rsidRPr="000D66C0">
        <w:rPr>
          <w:i/>
        </w:rPr>
        <w:t>(</w:t>
      </w:r>
      <w:r w:rsidR="00910981">
        <w:rPr>
          <w:i/>
        </w:rPr>
        <w:t>a</w:t>
      </w:r>
      <w:r w:rsidRPr="000D66C0" w:rsidR="000D66C0">
        <w:rPr>
          <w:i/>
        </w:rPr>
        <w:t>2</w:t>
      </w:r>
      <w:r w:rsidRPr="000D66C0">
        <w:rPr>
          <w:i/>
        </w:rPr>
        <w:t>)</w:t>
      </w:r>
      <w:r w:rsidRPr="000D66C0">
        <w:rPr>
          <w:i/>
        </w:rPr>
        <w:tab/>
        <w:t>Compliance with State Program Requirements</w:t>
      </w:r>
    </w:p>
    <w:p w:rsidRPr="00853414" w:rsidR="000F4D0A" w:rsidP="00FA3A49" w:rsidRDefault="000F4D0A" w14:paraId="102FB236" w14:textId="77777777">
      <w:pPr>
        <w:tabs>
          <w:tab w:val="left" w:pos="-1200"/>
        </w:tabs>
      </w:pPr>
    </w:p>
    <w:p w:rsidRPr="00853414" w:rsidR="000F4D0A" w:rsidP="00FA3A49" w:rsidRDefault="000F4D0A" w14:paraId="10D48A60" w14:textId="77777777">
      <w:pPr>
        <w:tabs>
          <w:tab w:val="left" w:pos="-1200"/>
        </w:tabs>
      </w:pPr>
      <w:r w:rsidRPr="00853414">
        <w:t xml:space="preserve">Under 40 CFR 264.71(e) and 40 CFR 265.71(e), </w:t>
      </w:r>
      <w:r w:rsidR="00722CAC">
        <w:t>designated facilities</w:t>
      </w:r>
      <w:r w:rsidRPr="00853414">
        <w:t xml:space="preserve"> must determine whether the consignment </w:t>
      </w:r>
      <w:r w:rsidR="00521F32">
        <w:t>state</w:t>
      </w:r>
      <w:r w:rsidRPr="00853414">
        <w:t xml:space="preserve"> for a shipment regulates any additional hazardous wastes (beyond those regulated </w:t>
      </w:r>
      <w:r w:rsidR="00521F32">
        <w:t>federal</w:t>
      </w:r>
      <w:r w:rsidRPr="00853414">
        <w:t>ly)</w:t>
      </w:r>
      <w:r w:rsidR="000E6596">
        <w:t xml:space="preserve">. </w:t>
      </w:r>
      <w:r w:rsidR="00891E6F">
        <w:t>Facilities</w:t>
      </w:r>
      <w:r w:rsidRPr="00853414">
        <w:t xml:space="preserve"> must also determine whether the consignment </w:t>
      </w:r>
      <w:r w:rsidR="00521F32">
        <w:t>state</w:t>
      </w:r>
      <w:r w:rsidRPr="00853414">
        <w:t xml:space="preserve"> or generator </w:t>
      </w:r>
      <w:r w:rsidR="00521F32">
        <w:t>state</w:t>
      </w:r>
      <w:r w:rsidRPr="00853414">
        <w:t xml:space="preserve"> requires the facility to submit any copies of the manifest to these </w:t>
      </w:r>
      <w:r w:rsidR="00521F32">
        <w:t>state</w:t>
      </w:r>
      <w:r w:rsidRPr="00853414">
        <w:t xml:space="preserve">s. </w:t>
      </w:r>
    </w:p>
    <w:p w:rsidRPr="00853414" w:rsidR="000F4D0A" w:rsidP="00FA3A49" w:rsidRDefault="000F4D0A" w14:paraId="44CD46A9" w14:textId="77777777">
      <w:pPr>
        <w:tabs>
          <w:tab w:val="left" w:pos="-1200"/>
        </w:tabs>
      </w:pPr>
    </w:p>
    <w:p w:rsidR="000F4D0A" w:rsidP="009D281B" w:rsidRDefault="00361F4A" w14:paraId="121CADAB" w14:textId="77777777">
      <w:pPr>
        <w:keepNext/>
        <w:keepLines/>
        <w:tabs>
          <w:tab w:val="left" w:pos="-1200"/>
        </w:tabs>
        <w:ind w:firstLine="720"/>
      </w:pPr>
      <w:r w:rsidRPr="00361F4A">
        <w:rPr>
          <w:u w:val="single"/>
        </w:rPr>
        <w:t>Data Item</w:t>
      </w:r>
    </w:p>
    <w:p w:rsidRPr="00853414" w:rsidR="0043780B" w:rsidP="009D281B" w:rsidRDefault="0043780B" w14:paraId="713F3EA7" w14:textId="77777777">
      <w:pPr>
        <w:keepNext/>
        <w:keepLines/>
        <w:tabs>
          <w:tab w:val="left" w:pos="-1200"/>
        </w:tabs>
        <w:ind w:firstLine="720"/>
      </w:pPr>
    </w:p>
    <w:p w:rsidRPr="00853414" w:rsidR="000F4D0A" w:rsidP="009D281B" w:rsidRDefault="000F4D0A" w14:paraId="22537C17" w14:textId="77777777">
      <w:pPr>
        <w:pStyle w:val="NoSpacing"/>
        <w:keepNext/>
        <w:widowControl/>
      </w:pPr>
      <w:r w:rsidRPr="00853414">
        <w:t xml:space="preserve">Information provided by the </w:t>
      </w:r>
      <w:r w:rsidR="00521F32">
        <w:t>state</w:t>
      </w:r>
      <w:r w:rsidRPr="00853414">
        <w:t xml:space="preserve"> on its manifest program.</w:t>
      </w:r>
    </w:p>
    <w:p w:rsidRPr="00853414" w:rsidR="000F4D0A" w:rsidP="00FA3A49" w:rsidRDefault="000F4D0A" w14:paraId="77CC35B9" w14:textId="77777777">
      <w:pPr>
        <w:tabs>
          <w:tab w:val="left" w:pos="-1200"/>
        </w:tabs>
      </w:pPr>
    </w:p>
    <w:p w:rsidRPr="00853414" w:rsidR="000F4D0A" w:rsidP="000152A7" w:rsidRDefault="00886BEF" w14:paraId="70360353" w14:textId="77777777">
      <w:pPr>
        <w:keepNext/>
        <w:keepLines/>
        <w:tabs>
          <w:tab w:val="left" w:pos="-1200"/>
        </w:tabs>
        <w:ind w:left="720"/>
      </w:pPr>
      <w:r w:rsidRPr="00886BEF">
        <w:rPr>
          <w:u w:val="single"/>
        </w:rPr>
        <w:t>Respondent Activities</w:t>
      </w:r>
    </w:p>
    <w:p w:rsidR="0043780B" w:rsidP="000152A7" w:rsidRDefault="0043780B" w14:paraId="632A7093" w14:textId="77777777">
      <w:pPr>
        <w:pStyle w:val="Level1"/>
        <w:keepNext/>
        <w:keepLines/>
        <w:widowControl/>
        <w:tabs>
          <w:tab w:val="left" w:pos="-1200"/>
        </w:tabs>
        <w:ind w:left="720" w:firstLine="0"/>
        <w:outlineLvl w:val="9"/>
      </w:pPr>
    </w:p>
    <w:p w:rsidRPr="00853414" w:rsidR="000F4D0A" w:rsidP="000152A7" w:rsidRDefault="000F4D0A" w14:paraId="6E2DA71E" w14:textId="77777777">
      <w:pPr>
        <w:pStyle w:val="NoSpacing"/>
        <w:keepNext/>
        <w:widowControl/>
      </w:pPr>
      <w:r w:rsidRPr="00853414">
        <w:t xml:space="preserve">Contact the consignment/generator </w:t>
      </w:r>
      <w:r w:rsidR="00521F32">
        <w:t>state</w:t>
      </w:r>
      <w:r w:rsidRPr="00853414">
        <w:t xml:space="preserve"> if needed and submit any copies of the manifest to these </w:t>
      </w:r>
      <w:r w:rsidR="00521F32">
        <w:t>state</w:t>
      </w:r>
      <w:r w:rsidRPr="00853414">
        <w:t>s, as applicable.</w:t>
      </w:r>
    </w:p>
    <w:p w:rsidR="000F4D0A" w:rsidP="00FA3A49" w:rsidRDefault="000F4D0A" w14:paraId="6871236E" w14:textId="77777777">
      <w:pPr>
        <w:tabs>
          <w:tab w:val="left" w:pos="-1200"/>
        </w:tabs>
      </w:pPr>
    </w:p>
    <w:p w:rsidRPr="000D66C0" w:rsidR="000D66C0" w:rsidP="00FA3A49" w:rsidRDefault="000D66C0" w14:paraId="576924C7" w14:textId="77777777">
      <w:pPr>
        <w:tabs>
          <w:tab w:val="left" w:pos="-1200"/>
        </w:tabs>
        <w:ind w:left="720"/>
        <w:rPr>
          <w:i/>
        </w:rPr>
      </w:pPr>
      <w:r w:rsidRPr="000D66C0">
        <w:rPr>
          <w:i/>
        </w:rPr>
        <w:t>(</w:t>
      </w:r>
      <w:r w:rsidR="00910981">
        <w:rPr>
          <w:i/>
        </w:rPr>
        <w:t>a</w:t>
      </w:r>
      <w:r w:rsidRPr="000D66C0">
        <w:rPr>
          <w:i/>
        </w:rPr>
        <w:t>3)</w:t>
      </w:r>
      <w:r w:rsidRPr="000D66C0">
        <w:rPr>
          <w:i/>
        </w:rPr>
        <w:tab/>
        <w:t>Discrepancy Reports</w:t>
      </w:r>
    </w:p>
    <w:p w:rsidRPr="00853414" w:rsidR="000D66C0" w:rsidP="00FA3A49" w:rsidRDefault="000D66C0" w14:paraId="77B4BCC2" w14:textId="77777777">
      <w:pPr>
        <w:tabs>
          <w:tab w:val="left" w:pos="-1200"/>
        </w:tabs>
      </w:pPr>
    </w:p>
    <w:p w:rsidRPr="00853414" w:rsidR="000D66C0" w:rsidP="00FA3A49" w:rsidRDefault="000D66C0" w14:paraId="6BBA4FD7" w14:textId="77777777">
      <w:pPr>
        <w:tabs>
          <w:tab w:val="left" w:pos="-1200"/>
        </w:tabs>
      </w:pPr>
      <w:r w:rsidRPr="00853414">
        <w:t xml:space="preserve">40 CFR 264.72 and 265.72 provide that, upon discovering a significant discrepancy, </w:t>
      </w:r>
      <w:r w:rsidR="00722CAC">
        <w:t>facilities</w:t>
      </w:r>
      <w:r w:rsidRPr="00853414">
        <w:t xml:space="preserve"> must attempt to reconcile the discrepancy with the waste generator or transporter</w:t>
      </w:r>
      <w:r w:rsidR="000E6596">
        <w:t xml:space="preserve">. </w:t>
      </w:r>
      <w:r w:rsidRPr="00853414">
        <w:t xml:space="preserve">If the discrepancy is not resolved within 15 days after receiving the waste, the owner/operator must immediately submit to </w:t>
      </w:r>
      <w:r>
        <w:t>EPA</w:t>
      </w:r>
      <w:r w:rsidRPr="00853414">
        <w:t xml:space="preserve"> a copy of the manifest or shipping paper in question, as well as a letter describing the discrepancy and attempts to reconcile it. </w:t>
      </w:r>
    </w:p>
    <w:p w:rsidRPr="00853414" w:rsidR="000D66C0" w:rsidP="00FA3A49" w:rsidRDefault="000D66C0" w14:paraId="6595E490" w14:textId="77777777">
      <w:pPr>
        <w:tabs>
          <w:tab w:val="left" w:pos="-1200"/>
        </w:tabs>
      </w:pPr>
    </w:p>
    <w:p w:rsidRPr="00853414" w:rsidR="000D66C0" w:rsidP="00FA3A49" w:rsidRDefault="000D66C0" w14:paraId="426E5316" w14:textId="77777777">
      <w:pPr>
        <w:tabs>
          <w:tab w:val="left" w:pos="-1200"/>
        </w:tabs>
        <w:ind w:left="720"/>
      </w:pPr>
      <w:r w:rsidRPr="00886BEF">
        <w:rPr>
          <w:u w:val="single"/>
        </w:rPr>
        <w:t>Data Items</w:t>
      </w:r>
    </w:p>
    <w:p w:rsidR="000D66C0" w:rsidP="00FA3A49" w:rsidRDefault="000D66C0" w14:paraId="1D76469D" w14:textId="77777777">
      <w:pPr>
        <w:pStyle w:val="NoSpacing"/>
        <w:widowControl/>
        <w:numPr>
          <w:ilvl w:val="0"/>
          <w:numId w:val="0"/>
        </w:numPr>
        <w:ind w:left="1080"/>
      </w:pPr>
    </w:p>
    <w:p w:rsidRPr="00853414" w:rsidR="000D66C0" w:rsidP="00FA3A49" w:rsidRDefault="000D66C0" w14:paraId="5D7FC3C9" w14:textId="77777777">
      <w:pPr>
        <w:pStyle w:val="NoSpacing"/>
        <w:widowControl/>
      </w:pPr>
      <w:r w:rsidRPr="00853414">
        <w:t>A copy of the manifest or shipping paper in question.</w:t>
      </w:r>
    </w:p>
    <w:p w:rsidRPr="00853414" w:rsidR="000D66C0" w:rsidP="00FA3A49" w:rsidRDefault="000D66C0" w14:paraId="0986CC31" w14:textId="77777777">
      <w:pPr>
        <w:pStyle w:val="NoSpacing"/>
        <w:widowControl/>
      </w:pPr>
      <w:r w:rsidRPr="00853414">
        <w:t>A letter describing the manifest discrepancy and the facility’s efforts to reconcile it.</w:t>
      </w:r>
    </w:p>
    <w:p w:rsidRPr="00853414" w:rsidR="000D66C0" w:rsidP="00FA3A49" w:rsidRDefault="000D66C0" w14:paraId="135422EF" w14:textId="77777777">
      <w:pPr>
        <w:tabs>
          <w:tab w:val="left" w:pos="-1200"/>
        </w:tabs>
      </w:pPr>
    </w:p>
    <w:p w:rsidRPr="00853414" w:rsidR="000D66C0" w:rsidP="009F0295" w:rsidRDefault="000D66C0" w14:paraId="1DCCE7F8" w14:textId="77777777">
      <w:pPr>
        <w:keepNext/>
        <w:tabs>
          <w:tab w:val="left" w:pos="-1200"/>
        </w:tabs>
        <w:ind w:firstLine="720"/>
      </w:pPr>
      <w:r w:rsidRPr="00886BEF">
        <w:rPr>
          <w:u w:val="single"/>
        </w:rPr>
        <w:t>Respondent Activities</w:t>
      </w:r>
    </w:p>
    <w:p w:rsidR="000D66C0" w:rsidP="009F0295" w:rsidRDefault="000D66C0" w14:paraId="58EBD0F6" w14:textId="77777777">
      <w:pPr>
        <w:pStyle w:val="Level1"/>
        <w:keepNext/>
        <w:widowControl/>
        <w:tabs>
          <w:tab w:val="left" w:pos="-1200"/>
        </w:tabs>
        <w:ind w:left="720" w:firstLine="0"/>
        <w:outlineLvl w:val="9"/>
      </w:pPr>
    </w:p>
    <w:p w:rsidRPr="00853414" w:rsidR="000D66C0" w:rsidP="009F0295" w:rsidRDefault="000D66C0" w14:paraId="69BC4C39" w14:textId="77777777">
      <w:pPr>
        <w:pStyle w:val="NoSpacing"/>
        <w:keepNext/>
        <w:widowControl/>
      </w:pPr>
      <w:r w:rsidRPr="00853414">
        <w:t>Attempt to reconcile any discrepancies, as required by 40 CFR 264.72(c) or 265.72(c).</w:t>
      </w:r>
    </w:p>
    <w:p w:rsidRPr="00853414" w:rsidR="000D66C0" w:rsidP="00FA3A49" w:rsidRDefault="000D66C0" w14:paraId="77C52542" w14:textId="77777777">
      <w:pPr>
        <w:pStyle w:val="NoSpacing"/>
        <w:widowControl/>
      </w:pPr>
      <w:r w:rsidRPr="00853414">
        <w:t xml:space="preserve">Prepare and submit a letter to </w:t>
      </w:r>
      <w:r>
        <w:t>EPA</w:t>
      </w:r>
      <w:r w:rsidRPr="00853414">
        <w:t xml:space="preserve"> describing the discrepancy and attempts to reconcile it, along with a copy of the manifest or shipping paper at issue, as required by 40 CFR 264.72(c) or 265.72(c).</w:t>
      </w:r>
    </w:p>
    <w:p w:rsidRPr="00853414" w:rsidR="000D66C0" w:rsidP="00FA3A49" w:rsidRDefault="000D66C0" w14:paraId="61334D29" w14:textId="77777777">
      <w:pPr>
        <w:tabs>
          <w:tab w:val="left" w:pos="-1200"/>
        </w:tabs>
      </w:pPr>
    </w:p>
    <w:p w:rsidRPr="00853414" w:rsidR="000D66C0" w:rsidP="00FA3A49" w:rsidRDefault="000D66C0" w14:paraId="08240539" w14:textId="77777777">
      <w:pPr>
        <w:keepNext/>
        <w:tabs>
          <w:tab w:val="left" w:pos="-1200"/>
        </w:tabs>
        <w:ind w:left="1440" w:hanging="720"/>
      </w:pPr>
      <w:r>
        <w:lastRenderedPageBreak/>
        <w:t>(</w:t>
      </w:r>
      <w:r w:rsidR="00910981">
        <w:t>b</w:t>
      </w:r>
      <w:r w:rsidRPr="00853414">
        <w:t>)</w:t>
      </w:r>
      <w:r w:rsidRPr="00853414">
        <w:tab/>
        <w:t>Rejected Waste and Container Residues</w:t>
      </w:r>
    </w:p>
    <w:p w:rsidRPr="00853414" w:rsidR="000D66C0" w:rsidP="00FA3A49" w:rsidRDefault="000D66C0" w14:paraId="68E921B0" w14:textId="77777777">
      <w:pPr>
        <w:keepNext/>
        <w:tabs>
          <w:tab w:val="left" w:pos="-1200"/>
        </w:tabs>
      </w:pPr>
    </w:p>
    <w:p w:rsidRPr="00853414" w:rsidR="000D66C0" w:rsidP="00FA3A49" w:rsidRDefault="000D66C0" w14:paraId="52BE4FCD" w14:textId="77777777">
      <w:pPr>
        <w:keepNext/>
        <w:tabs>
          <w:tab w:val="left" w:pos="-1200"/>
        </w:tabs>
      </w:pPr>
      <w:r w:rsidRPr="00853414">
        <w:t xml:space="preserve">40 CFR 264.72 and 40 CFR 265.72 provide that the </w:t>
      </w:r>
      <w:r w:rsidR="00D3102F">
        <w:t>facility</w:t>
      </w:r>
      <w:r w:rsidRPr="00853414">
        <w:t xml:space="preserve"> must forward rejected waste or container residues to an alternate facility that can accept the waste</w:t>
      </w:r>
      <w:r w:rsidR="000E6596">
        <w:t xml:space="preserve">. </w:t>
      </w:r>
      <w:r w:rsidRPr="00853414">
        <w:t xml:space="preserve">If the </w:t>
      </w:r>
      <w:r w:rsidR="00D3102F">
        <w:t>facility</w:t>
      </w:r>
      <w:r w:rsidRPr="00853414">
        <w:t xml:space="preserve"> is unable to locate an alternate facility to take the waste, then the </w:t>
      </w:r>
      <w:r w:rsidR="00D3102F">
        <w:t>facility</w:t>
      </w:r>
      <w:r w:rsidRPr="00853414">
        <w:t xml:space="preserve"> may return the shipment to the original generator</w:t>
      </w:r>
      <w:r w:rsidR="000E6596">
        <w:t xml:space="preserve">. </w:t>
      </w:r>
      <w:r w:rsidRPr="00853414">
        <w:t xml:space="preserve">40 CFR 264.72(d) through (g) and 40 CFR 265.72(d) through (g) describe manifest procedures for </w:t>
      </w:r>
      <w:r w:rsidR="00722CAC">
        <w:t>designated facilities</w:t>
      </w:r>
      <w:r w:rsidRPr="00853414">
        <w:t xml:space="preserve"> that originate a rejected waste or container residue.</w:t>
      </w:r>
    </w:p>
    <w:p w:rsidRPr="00853414" w:rsidR="000D66C0" w:rsidP="00FA3A49" w:rsidRDefault="000D66C0" w14:paraId="6A0856C5" w14:textId="77777777">
      <w:pPr>
        <w:tabs>
          <w:tab w:val="left" w:pos="-1200"/>
        </w:tabs>
      </w:pPr>
    </w:p>
    <w:p w:rsidRPr="00853414" w:rsidR="000D66C0" w:rsidP="00FA3A49" w:rsidRDefault="000D66C0" w14:paraId="5CF5A19A" w14:textId="77777777">
      <w:pPr>
        <w:tabs>
          <w:tab w:val="left" w:pos="-1200"/>
        </w:tabs>
        <w:ind w:left="1440" w:hanging="720"/>
        <w:rPr>
          <w:i/>
          <w:iCs/>
        </w:rPr>
      </w:pPr>
      <w:r>
        <w:rPr>
          <w:i/>
          <w:iCs/>
        </w:rPr>
        <w:t>(</w:t>
      </w:r>
      <w:r w:rsidR="00910981">
        <w:rPr>
          <w:i/>
          <w:iCs/>
        </w:rPr>
        <w:t>b</w:t>
      </w:r>
      <w:r w:rsidRPr="00853414">
        <w:rPr>
          <w:i/>
          <w:iCs/>
        </w:rPr>
        <w:t>1)</w:t>
      </w:r>
      <w:r w:rsidRPr="00853414">
        <w:rPr>
          <w:i/>
          <w:iCs/>
        </w:rPr>
        <w:tab/>
        <w:t>Rejection of Waste after the Transporter Leaves the Facility</w:t>
      </w:r>
    </w:p>
    <w:p w:rsidRPr="00853414" w:rsidR="000D66C0" w:rsidP="00FA3A49" w:rsidRDefault="000D66C0" w14:paraId="56456936" w14:textId="77777777">
      <w:pPr>
        <w:tabs>
          <w:tab w:val="left" w:pos="-1200"/>
        </w:tabs>
      </w:pPr>
    </w:p>
    <w:p w:rsidR="000D66C0" w:rsidP="00FA3A49" w:rsidRDefault="000D66C0" w14:paraId="3FE21568" w14:textId="77777777">
      <w:pPr>
        <w:tabs>
          <w:tab w:val="left" w:pos="-1200"/>
        </w:tabs>
      </w:pPr>
      <w:r w:rsidRPr="00853414">
        <w:t xml:space="preserve">For full or partial load rejections and residues that are to be sent </w:t>
      </w:r>
      <w:r w:rsidR="00F10159">
        <w:t>offsite</w:t>
      </w:r>
      <w:r w:rsidRPr="00853414">
        <w:t xml:space="preserve"> to an alternate facility or back to the generator after the transporter has left the facility, the facility is required to prepare a new manifest, as required by 40 CFR 264.72(d), (e)(1)-(6), or (f)(1)-(6) or 40 CFR 265.72(d), (e)(1)-(6), or (f)(1)-(6).</w:t>
      </w:r>
    </w:p>
    <w:p w:rsidRPr="00853414" w:rsidR="000D66C0" w:rsidP="00FA3A49" w:rsidRDefault="000D66C0" w14:paraId="5F5C19FC" w14:textId="77777777">
      <w:pPr>
        <w:tabs>
          <w:tab w:val="left" w:pos="-1200"/>
        </w:tabs>
      </w:pPr>
    </w:p>
    <w:p w:rsidRPr="00853414" w:rsidR="000D66C0" w:rsidP="00FA3A49" w:rsidRDefault="000D66C0" w14:paraId="6B5DC544" w14:textId="77777777">
      <w:pPr>
        <w:tabs>
          <w:tab w:val="left" w:pos="-1200"/>
        </w:tabs>
      </w:pPr>
      <w:r w:rsidRPr="00853414">
        <w:t xml:space="preserve">In addition, if a facility rejects a waste or identifies a container residue that exceeds the quantity limits for “empty” containers set forth in 40 CFR 261.7(b) after it has signed, dated, and </w:t>
      </w:r>
      <w:proofErr w:type="gramStart"/>
      <w:r w:rsidRPr="00853414">
        <w:t>returned  a</w:t>
      </w:r>
      <w:proofErr w:type="gramEnd"/>
      <w:r w:rsidRPr="00853414">
        <w:t xml:space="preserve"> copy of the manifest to the transporter, the facility must comply with 40 CFR 264.72(g) or 265.72(g)</w:t>
      </w:r>
      <w:r w:rsidR="000E6596">
        <w:t xml:space="preserve">. </w:t>
      </w:r>
      <w:r w:rsidRPr="00853414">
        <w:t xml:space="preserve">The facility must amend its copy of the manifest to indicate the rejected wastes or residues in the discrepancy space of the amended manifest. The facility must also copy the manifest tracking number from Item 4 of the new manifest to the Discrepancy space of the amended </w:t>
      </w:r>
      <w:proofErr w:type="gramStart"/>
      <w:r w:rsidRPr="00853414">
        <w:t>manifest, and</w:t>
      </w:r>
      <w:proofErr w:type="gramEnd"/>
      <w:r w:rsidRPr="00853414">
        <w:t xml:space="preserve"> must re</w:t>
      </w:r>
      <w:r w:rsidRPr="00853414">
        <w:noBreakHyphen/>
        <w:t>sign and date the manifest to certify to the information as amended</w:t>
      </w:r>
      <w:r w:rsidR="000E6596">
        <w:t xml:space="preserve">. </w:t>
      </w:r>
      <w:r w:rsidRPr="00853414">
        <w:t xml:space="preserve">The facility must retain the amended manifest for at least </w:t>
      </w:r>
      <w:r w:rsidR="00C24DDC">
        <w:t>3</w:t>
      </w:r>
      <w:r w:rsidRPr="00853414">
        <w:t xml:space="preserve"> years from the date of amendment, and must within 30 days, send a copy of the amended manifest to the delivering transporter and to the generator.</w:t>
      </w:r>
    </w:p>
    <w:p w:rsidRPr="00853414" w:rsidR="000D66C0" w:rsidP="00FA3A49" w:rsidRDefault="000D66C0" w14:paraId="0765B10D" w14:textId="77777777">
      <w:pPr>
        <w:tabs>
          <w:tab w:val="left" w:pos="-1200"/>
        </w:tabs>
      </w:pPr>
    </w:p>
    <w:p w:rsidRPr="00853414" w:rsidR="000D66C0" w:rsidP="00FA3A49" w:rsidRDefault="000D66C0" w14:paraId="6345F033" w14:textId="77777777">
      <w:pPr>
        <w:tabs>
          <w:tab w:val="left" w:pos="-1200"/>
        </w:tabs>
        <w:ind w:left="720"/>
      </w:pPr>
      <w:r w:rsidRPr="00886BEF">
        <w:rPr>
          <w:u w:val="single"/>
        </w:rPr>
        <w:t>Data Items</w:t>
      </w:r>
    </w:p>
    <w:p w:rsidR="000D66C0" w:rsidP="00FA3A49" w:rsidRDefault="000D66C0" w14:paraId="0D1CC260" w14:textId="77777777">
      <w:pPr>
        <w:pStyle w:val="NoSpacing"/>
        <w:widowControl/>
        <w:numPr>
          <w:ilvl w:val="0"/>
          <w:numId w:val="0"/>
        </w:numPr>
        <w:ind w:left="1080"/>
      </w:pPr>
    </w:p>
    <w:p w:rsidRPr="00853414" w:rsidR="000D66C0" w:rsidP="00FA3A49" w:rsidRDefault="000D66C0" w14:paraId="23599B4B" w14:textId="77777777">
      <w:pPr>
        <w:pStyle w:val="NoSpacing"/>
        <w:widowControl/>
      </w:pPr>
      <w:r w:rsidRPr="00853414">
        <w:t>Instructions provided by the generator.</w:t>
      </w:r>
    </w:p>
    <w:p w:rsidRPr="00853414" w:rsidR="000D66C0" w:rsidP="00FA3A49" w:rsidRDefault="00245E3E" w14:paraId="3FA74B7C" w14:textId="77777777">
      <w:pPr>
        <w:pStyle w:val="NoSpacing"/>
        <w:widowControl/>
      </w:pPr>
      <w:r>
        <w:t>O</w:t>
      </w:r>
      <w:r w:rsidRPr="00853414" w:rsidR="000D66C0">
        <w:t>riginal</w:t>
      </w:r>
      <w:r>
        <w:t xml:space="preserve"> paper or electronic manifest</w:t>
      </w:r>
      <w:r w:rsidRPr="00853414" w:rsidR="000D66C0">
        <w:t>.</w:t>
      </w:r>
    </w:p>
    <w:p w:rsidR="00245E3E" w:rsidP="00FA3A49" w:rsidRDefault="00245E3E" w14:paraId="1007B994" w14:textId="77777777">
      <w:pPr>
        <w:pStyle w:val="NoSpacing"/>
        <w:widowControl/>
      </w:pPr>
      <w:r>
        <w:t>N</w:t>
      </w:r>
      <w:r w:rsidRPr="00853414" w:rsidR="000D66C0">
        <w:t xml:space="preserve">ew </w:t>
      </w:r>
      <w:r>
        <w:t xml:space="preserve">paper or electronic </w:t>
      </w:r>
      <w:r w:rsidRPr="00853414" w:rsidR="000D66C0">
        <w:t>manifest</w:t>
      </w:r>
      <w:r>
        <w:t>.</w:t>
      </w:r>
    </w:p>
    <w:p w:rsidRPr="00853414" w:rsidR="000D66C0" w:rsidP="00FA3A49" w:rsidRDefault="00245E3E" w14:paraId="13671AF7" w14:textId="77777777">
      <w:pPr>
        <w:pStyle w:val="NoSpacing"/>
        <w:widowControl/>
      </w:pPr>
      <w:r>
        <w:t>S</w:t>
      </w:r>
      <w:r w:rsidRPr="00853414" w:rsidR="000D66C0">
        <w:t>hipping paper.</w:t>
      </w:r>
    </w:p>
    <w:p w:rsidRPr="00853414" w:rsidR="000D66C0" w:rsidP="00FA3A49" w:rsidRDefault="000D66C0" w14:paraId="7582320B" w14:textId="77777777">
      <w:pPr>
        <w:tabs>
          <w:tab w:val="left" w:pos="-1200"/>
        </w:tabs>
      </w:pPr>
    </w:p>
    <w:p w:rsidRPr="00853414" w:rsidR="000D66C0" w:rsidP="009F0295" w:rsidRDefault="000D66C0" w14:paraId="1EC6D8AB" w14:textId="77777777">
      <w:pPr>
        <w:keepNext/>
        <w:tabs>
          <w:tab w:val="left" w:pos="-1200"/>
        </w:tabs>
        <w:ind w:firstLine="720"/>
      </w:pPr>
      <w:r w:rsidRPr="00886BEF">
        <w:rPr>
          <w:u w:val="single"/>
        </w:rPr>
        <w:t>Respondent Activities</w:t>
      </w:r>
    </w:p>
    <w:p w:rsidRPr="00853414" w:rsidR="000D66C0" w:rsidP="009F0295" w:rsidRDefault="000D66C0" w14:paraId="4D72D796" w14:textId="77777777">
      <w:pPr>
        <w:keepNext/>
        <w:tabs>
          <w:tab w:val="left" w:pos="-1200"/>
        </w:tabs>
        <w:ind w:firstLine="720"/>
      </w:pPr>
    </w:p>
    <w:p w:rsidRPr="00245E3E" w:rsidR="00245E3E" w:rsidP="009F0295" w:rsidRDefault="00245E3E" w14:paraId="49C56990" w14:textId="77777777">
      <w:pPr>
        <w:pStyle w:val="NoSpacing"/>
        <w:keepNext/>
        <w:widowControl/>
        <w:numPr>
          <w:ilvl w:val="0"/>
          <w:numId w:val="0"/>
        </w:numPr>
        <w:ind w:left="1080" w:hanging="360"/>
        <w:rPr>
          <w:b/>
        </w:rPr>
      </w:pPr>
      <w:r w:rsidRPr="00245E3E">
        <w:rPr>
          <w:b/>
        </w:rPr>
        <w:t>Paper Manifest</w:t>
      </w:r>
    </w:p>
    <w:p w:rsidR="00245E3E" w:rsidP="009F0295" w:rsidRDefault="00245E3E" w14:paraId="356F8B83" w14:textId="77777777">
      <w:pPr>
        <w:pStyle w:val="NoSpacing"/>
        <w:keepNext/>
        <w:widowControl/>
        <w:numPr>
          <w:ilvl w:val="0"/>
          <w:numId w:val="0"/>
        </w:numPr>
        <w:ind w:left="1080"/>
      </w:pPr>
    </w:p>
    <w:p w:rsidRPr="00853414" w:rsidR="000D66C0" w:rsidP="009F0295" w:rsidRDefault="000D66C0" w14:paraId="1347DE09" w14:textId="77777777">
      <w:pPr>
        <w:pStyle w:val="NoSpacing"/>
        <w:keepNext/>
        <w:widowControl/>
      </w:pPr>
      <w:r w:rsidRPr="00853414">
        <w:t>Contact the generator to obtain the generator’s instructions for forwarding the waste to another facility that can manage the waste, as required by 40 CFR 264.72(d) or 265.72(d).</w:t>
      </w:r>
    </w:p>
    <w:p w:rsidR="000D66C0" w:rsidP="00FA3A49" w:rsidRDefault="000D66C0" w14:paraId="471DB0A6" w14:textId="77777777">
      <w:pPr>
        <w:pStyle w:val="NoSpacing"/>
        <w:widowControl/>
      </w:pPr>
      <w:r w:rsidRPr="00853414">
        <w:t>Prepare a new manifest for rejected loads or container residues sent to the alternate designated facility or back to the generator:</w:t>
      </w:r>
    </w:p>
    <w:p w:rsidRPr="00853414" w:rsidR="000D66C0" w:rsidP="00FA3A49" w:rsidRDefault="000D66C0" w14:paraId="590E9EAE" w14:textId="77777777">
      <w:pPr>
        <w:pStyle w:val="Subtitle"/>
        <w:keepNext w:val="0"/>
        <w:keepLines w:val="0"/>
      </w:pPr>
      <w:r w:rsidRPr="00853414">
        <w:t xml:space="preserve">Write the facility’s </w:t>
      </w:r>
      <w:r>
        <w:t>EPA</w:t>
      </w:r>
      <w:r w:rsidRPr="00853414">
        <w:t xml:space="preserve"> ID, name, and address in the appropriate blocks of the new manifest (</w:t>
      </w:r>
      <w:proofErr w:type="gramStart"/>
      <w:r w:rsidRPr="00853414">
        <w:t>i.e.</w:t>
      </w:r>
      <w:proofErr w:type="gramEnd"/>
      <w:r w:rsidRPr="00853414">
        <w:t xml:space="preserve"> Items 1 and 5), as required by 40 CFR 264.72(e)(1) or (f)(1) or 265.72(e)(1) or (f)(1).</w:t>
      </w:r>
    </w:p>
    <w:p w:rsidRPr="00853414" w:rsidR="000D66C0" w:rsidP="00FA3A49" w:rsidRDefault="000D66C0" w14:paraId="20EA52E7" w14:textId="77777777">
      <w:pPr>
        <w:pStyle w:val="Subtitle"/>
        <w:keepNext w:val="0"/>
        <w:keepLines w:val="0"/>
      </w:pPr>
      <w:r w:rsidRPr="00853414">
        <w:lastRenderedPageBreak/>
        <w:t xml:space="preserve">Write the name of the alternate designated facility/initial generator and the facility’s/generator’s </w:t>
      </w:r>
      <w:r>
        <w:t>EPA</w:t>
      </w:r>
      <w:r w:rsidRPr="00853414">
        <w:t xml:space="preserve"> ID number in the designated facility block (Item 8) of the new manifest, as required by 40 CFR 264.72(e)(2) or (f)(2) or 265.72(e)(2) or (f)(2).</w:t>
      </w:r>
    </w:p>
    <w:p w:rsidRPr="00853414" w:rsidR="000D66C0" w:rsidP="00FA3A49" w:rsidRDefault="000D66C0" w14:paraId="587B2BA7" w14:textId="77777777">
      <w:pPr>
        <w:pStyle w:val="Subtitle"/>
        <w:keepNext w:val="0"/>
        <w:keepLines w:val="0"/>
      </w:pPr>
      <w:r>
        <w:t>C</w:t>
      </w:r>
      <w:r w:rsidRPr="00853414">
        <w:t xml:space="preserve">opy the manifest tracking number found in Item 4 of the old manifest to the Special Handling and Additional Information Block of the new </w:t>
      </w:r>
      <w:proofErr w:type="gramStart"/>
      <w:r w:rsidRPr="00853414">
        <w:t>manifest, and</w:t>
      </w:r>
      <w:proofErr w:type="gramEnd"/>
      <w:r w:rsidRPr="00853414">
        <w:t xml:space="preserve"> indicate that the shipment is a residue or rejected waste from the previous shipment, as required by 40 CFR 264.72(e)(3) or (f)(3) or 265.72(e)(3) or (f)(3).</w:t>
      </w:r>
    </w:p>
    <w:p w:rsidRPr="00853414" w:rsidR="000D66C0" w:rsidP="00FA3A49" w:rsidRDefault="000D66C0" w14:paraId="0846874E" w14:textId="77777777">
      <w:pPr>
        <w:pStyle w:val="Subtitle"/>
        <w:keepNext w:val="0"/>
        <w:keepLines w:val="0"/>
      </w:pPr>
      <w:r w:rsidRPr="00853414">
        <w:t>Copy the manifest tracking number found in Item 4 of the new manifest to the manifest reference number line in the Discrepancy Block of the old manifest (Item 18a), as required by 40 CFR 264.72(e)(4) or (f)(4) or 265.72(e)(4) or (f)(4).</w:t>
      </w:r>
    </w:p>
    <w:p w:rsidRPr="00853414" w:rsidR="000D66C0" w:rsidP="00FA3A49" w:rsidRDefault="000D66C0" w14:paraId="14C16274" w14:textId="77777777">
      <w:pPr>
        <w:pStyle w:val="Subtitle"/>
        <w:keepNext w:val="0"/>
        <w:keepLines w:val="0"/>
      </w:pPr>
      <w:r w:rsidRPr="00853414">
        <w:t>Write the USDOT description for the rejected load or the residue in the Item 9 (USDOT Description) of the new manifest and write the container types, quantity, and volume(s) of waste, as required by 40 CFR 264.72(e)(5) or (f)(5) or 265.72(e)(5) or (f)(5).</w:t>
      </w:r>
    </w:p>
    <w:p w:rsidRPr="00853414" w:rsidR="000D66C0" w:rsidP="00FA3A49" w:rsidRDefault="000D66C0" w14:paraId="59EAA892" w14:textId="77777777">
      <w:pPr>
        <w:pStyle w:val="Subtitle"/>
        <w:keepNext w:val="0"/>
        <w:keepLines w:val="0"/>
      </w:pPr>
      <w:r w:rsidRPr="00853414">
        <w:t xml:space="preserve">Sign the Generator’s/Offeror’s Certification to certify, as the offeror of the shipment, that the waste has been properly packaged, </w:t>
      </w:r>
      <w:proofErr w:type="gramStart"/>
      <w:r w:rsidRPr="00853414">
        <w:t>marked</w:t>
      </w:r>
      <w:proofErr w:type="gramEnd"/>
      <w:r w:rsidRPr="00853414">
        <w:t xml:space="preserve"> and labeled and is in proper condition, as required by 40 CFR 264.72(e)(6) or (f)(6) or 265.72(e)(6) or (f)(6).</w:t>
      </w:r>
    </w:p>
    <w:p w:rsidRPr="00853414" w:rsidR="000D66C0" w:rsidP="00FA3A49" w:rsidRDefault="000D66C0" w14:paraId="1A51DE3B" w14:textId="77777777">
      <w:pPr>
        <w:pStyle w:val="NoSpacing"/>
        <w:widowControl/>
      </w:pPr>
      <w:r w:rsidRPr="00853414">
        <w:t>Amend the facility’s copy of the manifest to indicate the rejected wastes or residues in the discrepancy space of the amended manifest, as required by 40 CFR 264.72(g) or 265.72(g).</w:t>
      </w:r>
    </w:p>
    <w:p w:rsidRPr="00853414" w:rsidR="000D66C0" w:rsidP="00FA3A49" w:rsidRDefault="000D66C0" w14:paraId="51C73435" w14:textId="77777777">
      <w:pPr>
        <w:pStyle w:val="NoSpacing"/>
        <w:widowControl/>
      </w:pPr>
      <w:r w:rsidRPr="00853414">
        <w:t>Copy the manifest tracking number from Item 4 of the new manifest to the Discrepancy space of the amended manifest, as required by 40 CFR 264.72(g) or 265.72(g).</w:t>
      </w:r>
    </w:p>
    <w:p w:rsidRPr="00853414" w:rsidR="000D66C0" w:rsidP="00FA3A49" w:rsidRDefault="000D66C0" w14:paraId="622AA6A0" w14:textId="77777777">
      <w:pPr>
        <w:pStyle w:val="NoSpacing"/>
        <w:widowControl/>
      </w:pPr>
      <w:r w:rsidRPr="00853414">
        <w:t>Re-sign and date the manifest, as required by 40 CFR 264.72(g) or 265.72(g).</w:t>
      </w:r>
    </w:p>
    <w:p w:rsidRPr="009E3BED" w:rsidR="000D66C0" w:rsidP="009E3BED" w:rsidRDefault="000D66C0" w14:paraId="19472C02" w14:textId="77777777">
      <w:pPr>
        <w:pStyle w:val="NoSpacing"/>
        <w:widowControl/>
      </w:pPr>
      <w:r w:rsidRPr="009E3BED">
        <w:t xml:space="preserve">Retain the amended manifest for at least </w:t>
      </w:r>
      <w:r w:rsidRPr="009E3BED" w:rsidR="00C24DDC">
        <w:t>3</w:t>
      </w:r>
      <w:r w:rsidRPr="009E3BED">
        <w:t xml:space="preserve"> years from the date of the amendment, as required by 40 CFR 264.72(g) or 265.72(g).</w:t>
      </w:r>
    </w:p>
    <w:p w:rsidRPr="009E3BED" w:rsidR="000D66C0" w:rsidP="009E3BED" w:rsidRDefault="000D66C0" w14:paraId="5A700112" w14:textId="77777777">
      <w:pPr>
        <w:pStyle w:val="NoSpacing"/>
        <w:widowControl/>
      </w:pPr>
      <w:r w:rsidRPr="009E3BED">
        <w:t>Within 30 days, send a copy of the amended manifest to the delivering transporter and to the generator, as required by 40 CFR 264.72(g) or 265.72(g).</w:t>
      </w:r>
    </w:p>
    <w:p w:rsidRPr="009E3BED" w:rsidR="00245E3E" w:rsidP="009E3BED" w:rsidRDefault="00245E3E" w14:paraId="15E60029" w14:textId="77777777">
      <w:pPr>
        <w:tabs>
          <w:tab w:val="left" w:pos="-1200"/>
        </w:tabs>
        <w:rPr>
          <w:b/>
        </w:rPr>
      </w:pPr>
    </w:p>
    <w:p w:rsidRPr="008A355A" w:rsidR="00245E3E" w:rsidP="009E3BED" w:rsidRDefault="00245E3E" w14:paraId="33A0D899" w14:textId="77777777">
      <w:pPr>
        <w:keepNext/>
        <w:tabs>
          <w:tab w:val="left" w:pos="-1200"/>
        </w:tabs>
        <w:rPr>
          <w:b/>
        </w:rPr>
      </w:pPr>
      <w:r w:rsidRPr="009E3BED">
        <w:rPr>
          <w:b/>
        </w:rPr>
        <w:tab/>
        <w:t>Electronic Manifest</w:t>
      </w:r>
    </w:p>
    <w:p w:rsidR="00245E3E" w:rsidP="009E3BED" w:rsidRDefault="00245E3E" w14:paraId="3CA225CC" w14:textId="77777777">
      <w:pPr>
        <w:pStyle w:val="ListParagraph"/>
        <w:keepNext/>
        <w:widowControl/>
        <w:tabs>
          <w:tab w:val="left" w:pos="-1200"/>
        </w:tabs>
        <w:ind w:left="1080"/>
      </w:pPr>
    </w:p>
    <w:p w:rsidR="00632E2D" w:rsidP="00632E2D" w:rsidRDefault="00632E2D" w14:paraId="3390D023" w14:textId="77777777">
      <w:pPr>
        <w:pStyle w:val="ListParagraph"/>
        <w:keepNext/>
        <w:widowControl/>
        <w:numPr>
          <w:ilvl w:val="0"/>
          <w:numId w:val="6"/>
        </w:numPr>
        <w:tabs>
          <w:tab w:val="left" w:pos="-1200"/>
        </w:tabs>
      </w:pPr>
      <w:r>
        <w:t>Designated facilities</w:t>
      </w:r>
      <w:r w:rsidRPr="0087413A">
        <w:t xml:space="preserve"> must perform the above activities in accordance with section </w:t>
      </w:r>
      <w:r>
        <w:t>264.71(f)-(k) or 265.71(f)-(k)</w:t>
      </w:r>
      <w:r w:rsidRPr="008A355A">
        <w:rPr>
          <w:iCs/>
        </w:rPr>
        <w:t xml:space="preserve">, as applicable, </w:t>
      </w:r>
      <w:r w:rsidRPr="0087413A">
        <w:t xml:space="preserve">for completing, signing, providing, </w:t>
      </w:r>
      <w:proofErr w:type="gramStart"/>
      <w:r w:rsidRPr="0087413A">
        <w:t>using</w:t>
      </w:r>
      <w:proofErr w:type="gramEnd"/>
      <w:r w:rsidRPr="0087413A">
        <w:t xml:space="preserve"> and retaining the electronic manifest.</w:t>
      </w:r>
    </w:p>
    <w:p w:rsidR="00632E2D" w:rsidP="00632E2D" w:rsidRDefault="00632E2D" w14:paraId="558D9E10" w14:textId="77777777">
      <w:pPr>
        <w:pStyle w:val="ListParagraph"/>
        <w:keepNext/>
        <w:widowControl/>
        <w:tabs>
          <w:tab w:val="left" w:pos="-1200"/>
        </w:tabs>
        <w:ind w:left="1080"/>
      </w:pPr>
    </w:p>
    <w:p w:rsidRPr="00853414" w:rsidR="00632E2D" w:rsidP="00632E2D" w:rsidRDefault="00632E2D" w14:paraId="34F5B35D" w14:textId="77777777">
      <w:pPr>
        <w:tabs>
          <w:tab w:val="left" w:pos="-1200"/>
        </w:tabs>
        <w:ind w:left="1440" w:hanging="720"/>
        <w:rPr>
          <w:i/>
          <w:iCs/>
        </w:rPr>
      </w:pPr>
      <w:r w:rsidDel="0087757C">
        <w:t xml:space="preserve"> </w:t>
      </w:r>
      <w:r>
        <w:rPr>
          <w:i/>
          <w:iCs/>
        </w:rPr>
        <w:t>(b</w:t>
      </w:r>
      <w:r w:rsidRPr="00853414">
        <w:rPr>
          <w:i/>
          <w:iCs/>
        </w:rPr>
        <w:t>2)</w:t>
      </w:r>
      <w:r w:rsidRPr="00853414">
        <w:rPr>
          <w:i/>
          <w:iCs/>
        </w:rPr>
        <w:tab/>
        <w:t>Rejection of Waste while the Transporter Remains Present at the Facility</w:t>
      </w:r>
    </w:p>
    <w:p w:rsidRPr="00853414" w:rsidR="00632E2D" w:rsidP="00632E2D" w:rsidRDefault="00632E2D" w14:paraId="50EED1AC" w14:textId="77777777">
      <w:pPr>
        <w:tabs>
          <w:tab w:val="left" w:pos="-1200"/>
        </w:tabs>
      </w:pPr>
    </w:p>
    <w:p w:rsidRPr="00853414" w:rsidR="00632E2D" w:rsidP="00632E2D" w:rsidRDefault="00632E2D" w14:paraId="74EE99FC" w14:textId="77777777">
      <w:pPr>
        <w:tabs>
          <w:tab w:val="left" w:pos="-1200"/>
        </w:tabs>
      </w:pPr>
      <w:r w:rsidRPr="00853414">
        <w:t>For container residues and full load rejections that are made while the transporter remains present at the facility, the facility may forward the shipment to the alternate facility or return the shipment to the generator using the original manifest, as specified in 40 CFR 264.72(e)(7) or (f)(7) or 40 CFR 265.72(e)(7) or (f)(7).</w:t>
      </w:r>
    </w:p>
    <w:p w:rsidRPr="00853414" w:rsidR="00632E2D" w:rsidP="00632E2D" w:rsidRDefault="00632E2D" w14:paraId="009644F9" w14:textId="77777777">
      <w:pPr>
        <w:tabs>
          <w:tab w:val="left" w:pos="-1200"/>
        </w:tabs>
      </w:pPr>
    </w:p>
    <w:p w:rsidR="00632E2D" w:rsidP="00632E2D" w:rsidRDefault="00632E2D" w14:paraId="1FE0B1A4" w14:textId="77777777">
      <w:pPr>
        <w:keepNext/>
        <w:tabs>
          <w:tab w:val="left" w:pos="-1200"/>
        </w:tabs>
        <w:ind w:left="720"/>
      </w:pPr>
      <w:r w:rsidRPr="00361F4A">
        <w:rPr>
          <w:u w:val="single"/>
        </w:rPr>
        <w:lastRenderedPageBreak/>
        <w:t>Data Item</w:t>
      </w:r>
    </w:p>
    <w:p w:rsidRPr="00853414" w:rsidR="00632E2D" w:rsidP="00632E2D" w:rsidRDefault="00632E2D" w14:paraId="0A0BA85D" w14:textId="77777777">
      <w:pPr>
        <w:keepNext/>
        <w:tabs>
          <w:tab w:val="left" w:pos="-1200"/>
        </w:tabs>
        <w:ind w:left="720"/>
      </w:pPr>
    </w:p>
    <w:p w:rsidR="00632E2D" w:rsidP="00632E2D" w:rsidRDefault="00632E2D" w14:paraId="7C46B735" w14:textId="77777777">
      <w:pPr>
        <w:pStyle w:val="NoSpacing"/>
        <w:keepNext/>
        <w:widowControl/>
      </w:pPr>
      <w:r>
        <w:t>O</w:t>
      </w:r>
      <w:r w:rsidRPr="00853414">
        <w:t>riginal</w:t>
      </w:r>
      <w:r>
        <w:t xml:space="preserve"> paper or electronic manifest.</w:t>
      </w:r>
    </w:p>
    <w:p w:rsidRPr="00853414" w:rsidR="00632E2D" w:rsidP="00632E2D" w:rsidRDefault="00632E2D" w14:paraId="3FEF7662" w14:textId="77777777">
      <w:pPr>
        <w:pStyle w:val="NoSpacing"/>
        <w:widowControl/>
      </w:pPr>
      <w:r>
        <w:t>S</w:t>
      </w:r>
      <w:r w:rsidRPr="00853414">
        <w:t>hipping paper.</w:t>
      </w:r>
    </w:p>
    <w:p w:rsidRPr="00853414" w:rsidR="00632E2D" w:rsidP="00632E2D" w:rsidRDefault="00632E2D" w14:paraId="609D7513" w14:textId="77777777">
      <w:pPr>
        <w:tabs>
          <w:tab w:val="left" w:pos="-1200"/>
        </w:tabs>
      </w:pPr>
    </w:p>
    <w:p w:rsidR="00632E2D" w:rsidP="00632E2D" w:rsidRDefault="00632E2D" w14:paraId="13A15430" w14:textId="77777777">
      <w:pPr>
        <w:tabs>
          <w:tab w:val="left" w:pos="-1200"/>
        </w:tabs>
        <w:ind w:firstLine="720"/>
      </w:pPr>
      <w:r w:rsidRPr="00886BEF">
        <w:rPr>
          <w:u w:val="single"/>
        </w:rPr>
        <w:t>Respondent Activities</w:t>
      </w:r>
    </w:p>
    <w:p w:rsidRPr="00853414" w:rsidR="00632E2D" w:rsidP="00632E2D" w:rsidRDefault="00632E2D" w14:paraId="2F2779B3" w14:textId="77777777">
      <w:pPr>
        <w:tabs>
          <w:tab w:val="left" w:pos="-1200"/>
        </w:tabs>
        <w:ind w:firstLine="720"/>
      </w:pPr>
    </w:p>
    <w:p w:rsidRPr="00245E3E" w:rsidR="00632E2D" w:rsidP="00632E2D" w:rsidRDefault="00632E2D" w14:paraId="18748DB7" w14:textId="77777777">
      <w:pPr>
        <w:pStyle w:val="NoSpacing"/>
        <w:widowControl/>
        <w:numPr>
          <w:ilvl w:val="0"/>
          <w:numId w:val="0"/>
        </w:numPr>
        <w:ind w:left="1080" w:hanging="360"/>
        <w:rPr>
          <w:b/>
        </w:rPr>
      </w:pPr>
      <w:r w:rsidRPr="00245E3E">
        <w:rPr>
          <w:b/>
        </w:rPr>
        <w:t>Paper Manifest</w:t>
      </w:r>
    </w:p>
    <w:p w:rsidR="00632E2D" w:rsidP="00632E2D" w:rsidRDefault="00632E2D" w14:paraId="4A6D561C" w14:textId="77777777">
      <w:pPr>
        <w:pStyle w:val="NoSpacing"/>
        <w:widowControl/>
        <w:numPr>
          <w:ilvl w:val="0"/>
          <w:numId w:val="0"/>
        </w:numPr>
        <w:ind w:left="1080" w:hanging="360"/>
      </w:pPr>
    </w:p>
    <w:p w:rsidRPr="00853414" w:rsidR="00632E2D" w:rsidP="00632E2D" w:rsidRDefault="00632E2D" w14:paraId="5F8D4597" w14:textId="77777777">
      <w:pPr>
        <w:pStyle w:val="NoSpacing"/>
        <w:widowControl/>
      </w:pPr>
      <w:r w:rsidRPr="00853414">
        <w:t>Contact the generator to obtain the generator’s instructions for forwarding the waste to another facility that can manage the waste, as required by 40 CFR 264.72(d) or 265.72(d).</w:t>
      </w:r>
    </w:p>
    <w:p w:rsidRPr="00853414" w:rsidR="00632E2D" w:rsidP="00632E2D" w:rsidRDefault="00632E2D" w14:paraId="49B38E64" w14:textId="77777777">
      <w:pPr>
        <w:pStyle w:val="NoSpacing"/>
        <w:widowControl/>
      </w:pPr>
      <w:r w:rsidRPr="00853414">
        <w:t xml:space="preserve">Complete Item </w:t>
      </w:r>
      <w:r w:rsidRPr="007F6385">
        <w:t>18a and 18b of the original manifest, as applicable, by supplying the information on the next receiving facility or the generator in the</w:t>
      </w:r>
      <w:r w:rsidRPr="00853414">
        <w:t xml:space="preserve"> Alternate Facility space.</w:t>
      </w:r>
    </w:p>
    <w:p w:rsidRPr="00853414" w:rsidR="00632E2D" w:rsidP="00632E2D" w:rsidRDefault="00632E2D" w14:paraId="086A78AF" w14:textId="77777777">
      <w:pPr>
        <w:pStyle w:val="NoSpacing"/>
        <w:widowControl/>
      </w:pPr>
      <w:r w:rsidRPr="00853414">
        <w:t>Retain a copy of the manifest.</w:t>
      </w:r>
    </w:p>
    <w:p w:rsidRPr="00853414" w:rsidR="00632E2D" w:rsidP="00632E2D" w:rsidRDefault="00632E2D" w14:paraId="77A489B1" w14:textId="77777777">
      <w:pPr>
        <w:pStyle w:val="NoSpacing"/>
        <w:widowControl/>
      </w:pPr>
      <w:r w:rsidRPr="00853414">
        <w:t>Give the remaining copies back to the transporter.</w:t>
      </w:r>
    </w:p>
    <w:p w:rsidR="00632E2D" w:rsidP="00632E2D" w:rsidRDefault="00632E2D" w14:paraId="7E434D5F" w14:textId="77777777">
      <w:pPr>
        <w:tabs>
          <w:tab w:val="left" w:pos="-1200"/>
        </w:tabs>
      </w:pPr>
    </w:p>
    <w:p w:rsidRPr="008A355A" w:rsidR="00632E2D" w:rsidP="00632E2D" w:rsidRDefault="00632E2D" w14:paraId="76FC424D" w14:textId="77777777">
      <w:pPr>
        <w:keepNext/>
        <w:keepLines/>
        <w:tabs>
          <w:tab w:val="left" w:pos="-1200"/>
        </w:tabs>
        <w:rPr>
          <w:b/>
        </w:rPr>
      </w:pPr>
      <w:r w:rsidRPr="008A355A">
        <w:rPr>
          <w:b/>
        </w:rPr>
        <w:tab/>
        <w:t>Electronic Manifest</w:t>
      </w:r>
    </w:p>
    <w:p w:rsidR="00632E2D" w:rsidP="00632E2D" w:rsidRDefault="00632E2D" w14:paraId="46886980" w14:textId="77777777">
      <w:pPr>
        <w:pStyle w:val="ListParagraph"/>
        <w:keepNext/>
        <w:keepLines/>
        <w:widowControl/>
        <w:tabs>
          <w:tab w:val="left" w:pos="-1200"/>
        </w:tabs>
        <w:ind w:left="1080"/>
      </w:pPr>
    </w:p>
    <w:p w:rsidR="00632E2D" w:rsidP="00632E2D" w:rsidRDefault="00632E2D" w14:paraId="7A443222" w14:textId="77777777">
      <w:pPr>
        <w:pStyle w:val="ListParagraph"/>
        <w:keepNext/>
        <w:keepLines/>
        <w:widowControl/>
        <w:numPr>
          <w:ilvl w:val="0"/>
          <w:numId w:val="6"/>
        </w:numPr>
        <w:tabs>
          <w:tab w:val="left" w:pos="-1200"/>
        </w:tabs>
      </w:pPr>
      <w:r>
        <w:t>Designated facilities</w:t>
      </w:r>
      <w:r w:rsidRPr="0087413A">
        <w:t xml:space="preserve"> must perform the above activities in accordance with section </w:t>
      </w:r>
      <w:r>
        <w:t>264.71(f)-(k) or 265.71(f)-(k)</w:t>
      </w:r>
      <w:r w:rsidRPr="008A355A">
        <w:rPr>
          <w:iCs/>
        </w:rPr>
        <w:t xml:space="preserve">, as applicable, </w:t>
      </w:r>
      <w:r w:rsidRPr="0087413A">
        <w:t xml:space="preserve">for completing, signing, providing, </w:t>
      </w:r>
      <w:proofErr w:type="gramStart"/>
      <w:r w:rsidRPr="0087413A">
        <w:t>using</w:t>
      </w:r>
      <w:proofErr w:type="gramEnd"/>
      <w:r w:rsidRPr="0087413A">
        <w:t xml:space="preserve"> and retaining the electronic manifest.</w:t>
      </w:r>
    </w:p>
    <w:p w:rsidR="001B265C" w:rsidP="001B265C" w:rsidRDefault="001B265C" w14:paraId="25442C01" w14:textId="77777777">
      <w:pPr>
        <w:pStyle w:val="ListParagraph"/>
        <w:keepNext/>
        <w:keepLines/>
        <w:widowControl/>
        <w:tabs>
          <w:tab w:val="left" w:pos="-1200"/>
        </w:tabs>
        <w:ind w:left="1080"/>
      </w:pPr>
    </w:p>
    <w:p w:rsidRPr="00853414" w:rsidR="005D0D21" w:rsidP="00FA3A49" w:rsidRDefault="0087757C" w14:paraId="4358DA56" w14:textId="77777777">
      <w:pPr>
        <w:tabs>
          <w:tab w:val="left" w:pos="-1200"/>
        </w:tabs>
        <w:ind w:left="1440" w:hanging="720"/>
      </w:pPr>
      <w:r w:rsidDel="0087757C">
        <w:t xml:space="preserve"> </w:t>
      </w:r>
      <w:r w:rsidR="005D0D21">
        <w:t>(</w:t>
      </w:r>
      <w:r w:rsidR="00910981">
        <w:t>c</w:t>
      </w:r>
      <w:r w:rsidRPr="00853414" w:rsidR="005D0D21">
        <w:t>)</w:t>
      </w:r>
      <w:r w:rsidRPr="00853414" w:rsidR="005D0D21">
        <w:tab/>
      </w:r>
      <w:r w:rsidR="005D0D21">
        <w:t>Use of the Electronic Manifest</w:t>
      </w:r>
    </w:p>
    <w:p w:rsidR="005D0D21" w:rsidP="00FA3A49" w:rsidRDefault="005D0D21" w14:paraId="42BCE305" w14:textId="77777777">
      <w:pPr>
        <w:tabs>
          <w:tab w:val="left" w:pos="-1200"/>
        </w:tabs>
        <w:ind w:left="1440" w:hanging="720"/>
      </w:pPr>
    </w:p>
    <w:p w:rsidRPr="001606CD" w:rsidR="005D0D21" w:rsidP="00FA3A49" w:rsidRDefault="005D0D21" w14:paraId="635DFF1F" w14:textId="77777777">
      <w:pPr>
        <w:tabs>
          <w:tab w:val="left" w:pos="-1200"/>
        </w:tabs>
        <w:ind w:left="1440" w:hanging="720"/>
        <w:rPr>
          <w:i/>
        </w:rPr>
      </w:pPr>
      <w:r w:rsidRPr="001606CD">
        <w:rPr>
          <w:i/>
        </w:rPr>
        <w:t>(</w:t>
      </w:r>
      <w:r w:rsidR="00910981">
        <w:rPr>
          <w:i/>
        </w:rPr>
        <w:t>c</w:t>
      </w:r>
      <w:r w:rsidRPr="001606CD">
        <w:rPr>
          <w:i/>
        </w:rPr>
        <w:t>1)</w:t>
      </w:r>
      <w:r w:rsidRPr="001606CD">
        <w:rPr>
          <w:i/>
        </w:rPr>
        <w:tab/>
        <w:t>Legal Equivalence to Paper Manifest</w:t>
      </w:r>
    </w:p>
    <w:p w:rsidR="005D0D21" w:rsidP="00FA3A49" w:rsidRDefault="005D0D21" w14:paraId="28112CF8" w14:textId="77777777">
      <w:pPr>
        <w:rPr>
          <w:iCs/>
        </w:rPr>
      </w:pPr>
    </w:p>
    <w:p w:rsidR="005D0D21" w:rsidP="00FA3A49" w:rsidRDefault="005D0D21" w14:paraId="35F6DE5E" w14:textId="77777777">
      <w:r>
        <w:t xml:space="preserve">40 CFR 264.71(f) and 265.71(f) provide that electronic manifests that are obtained, completed, and transmitted in accordance with section 262.20(a)(3), and used in accordance with section 264.71 or 265.71 in lieu of the paper manifest form are the legal equivalent of paper manifest forms bearing handwritten signatures, and satisfy for all purposes any requirement in these regulations to obtain, complete, </w:t>
      </w:r>
      <w:proofErr w:type="gramStart"/>
      <w:r>
        <w:t>sign,  provide</w:t>
      </w:r>
      <w:proofErr w:type="gramEnd"/>
      <w:r>
        <w:t>, use, or retain a manifest</w:t>
      </w:r>
      <w:r w:rsidR="000E6596">
        <w:t xml:space="preserve">. </w:t>
      </w:r>
      <w:r>
        <w:t>It provides that (1) any requirement in these regulations for the owner or operator of a facility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to return to another person a copy of the manifest is satisfied when a copy of an electronic manifest is transmitted to the other person; (3) any requirement in these regulations for a manifest to accompany a hazardous waste shipment is satisfied when a copy of an electronic manifest is accessible during transportation and forwarded to the person or persons who are scheduled to receive delivery of the waste shipment; (4) any requirement in these regulations for an owner or operator to keep or retain a copy of each manifest is satisfied by the retention of the facility’s electronic manifest copies in its account on the e-Manifest system, provided that such copies are readily available for viewing and production if requested by any EPA or authorized</w:t>
      </w:r>
      <w:r w:rsidR="005277CC">
        <w:t xml:space="preserve"> </w:t>
      </w:r>
      <w:r w:rsidR="00521F32">
        <w:t>state</w:t>
      </w:r>
      <w:r w:rsidRPr="00DB32AC" w:rsidR="00DB32AC">
        <w:t xml:space="preserve"> </w:t>
      </w:r>
      <w:r w:rsidR="005277CC">
        <w:t>i</w:t>
      </w:r>
      <w:r>
        <w:t xml:space="preserve">nspector; and (5) no owner or operator may be held liable for the inability to produce an </w:t>
      </w:r>
      <w:r>
        <w:lastRenderedPageBreak/>
        <w:t>electronic manifest for inspection under this section if the owner or operator can demonstrate that the inability to produce the electronic manifest is due exclusively to a technical difficulty with the electronic manifest system for which the owner or operator bears no responsibility</w:t>
      </w:r>
      <w:r w:rsidR="00A72F5B">
        <w:t xml:space="preserve">. </w:t>
      </w:r>
      <w:r>
        <w:t>[Note</w:t>
      </w:r>
      <w:r w:rsidR="00245E3E">
        <w:t>: There are no data items or activities associated with these provisions</w:t>
      </w:r>
      <w:r>
        <w:t>.]</w:t>
      </w:r>
    </w:p>
    <w:p w:rsidR="005D0D21" w:rsidP="00FA3A49" w:rsidRDefault="005D0D21" w14:paraId="5ABD7F6F" w14:textId="77777777">
      <w:pPr>
        <w:rPr>
          <w:iCs/>
        </w:rPr>
      </w:pPr>
    </w:p>
    <w:p w:rsidRPr="001606CD" w:rsidR="005D0D21" w:rsidP="00FA3A49" w:rsidRDefault="005D0D21" w14:paraId="32CEA383" w14:textId="77777777">
      <w:pPr>
        <w:keepNext/>
        <w:tabs>
          <w:tab w:val="left" w:pos="-1200"/>
        </w:tabs>
        <w:ind w:left="1440" w:hanging="720"/>
        <w:rPr>
          <w:i/>
        </w:rPr>
      </w:pPr>
      <w:r w:rsidRPr="001606CD">
        <w:rPr>
          <w:i/>
        </w:rPr>
        <w:t>(</w:t>
      </w:r>
      <w:r w:rsidR="00910981">
        <w:rPr>
          <w:i/>
        </w:rPr>
        <w:t>c</w:t>
      </w:r>
      <w:r>
        <w:rPr>
          <w:i/>
        </w:rPr>
        <w:t>2</w:t>
      </w:r>
      <w:r w:rsidRPr="001606CD">
        <w:rPr>
          <w:i/>
        </w:rPr>
        <w:t>)</w:t>
      </w:r>
      <w:r w:rsidRPr="001606CD">
        <w:rPr>
          <w:i/>
        </w:rPr>
        <w:tab/>
      </w:r>
      <w:r>
        <w:rPr>
          <w:i/>
        </w:rPr>
        <w:t>Accessing the e-Manifest</w:t>
      </w:r>
    </w:p>
    <w:p w:rsidR="005D0D21" w:rsidP="00FA3A49" w:rsidRDefault="005D0D21" w14:paraId="3C63986E" w14:textId="77777777">
      <w:pPr>
        <w:keepNext/>
        <w:rPr>
          <w:iCs/>
        </w:rPr>
      </w:pPr>
    </w:p>
    <w:p w:rsidR="005D0D21" w:rsidP="00FA3A49" w:rsidRDefault="00BA08B3" w14:paraId="53DB8482" w14:textId="77777777">
      <w:pPr>
        <w:keepNext/>
      </w:pPr>
      <w:r>
        <w:rPr>
          <w:iCs/>
        </w:rPr>
        <w:t>40 CFR</w:t>
      </w:r>
      <w:r w:rsidR="005D0D21">
        <w:rPr>
          <w:iCs/>
        </w:rPr>
        <w:t xml:space="preserve"> 264.71</w:t>
      </w:r>
      <w:r w:rsidRPr="009C1A81" w:rsidR="005D0D21">
        <w:rPr>
          <w:iCs/>
        </w:rPr>
        <w:t>(g)</w:t>
      </w:r>
      <w:r w:rsidR="005D0D21">
        <w:rPr>
          <w:iCs/>
        </w:rPr>
        <w:t xml:space="preserve"> and 265.71(g) provide that a</w:t>
      </w:r>
      <w:r w:rsidRPr="009C1A81" w:rsidR="005D0D21">
        <w:rPr>
          <w:iCs/>
        </w:rPr>
        <w:t>n owner or operator may participate in the electronic manifest system either by accessing the electronic manifest system from the owner’s or operator’s electronic equipment, or by accessing the electronic manifest system from portable equipment brought to the owner’s or operator’s site by the transporter who delivers the waste shipment to the facility</w:t>
      </w:r>
      <w:r w:rsidR="000E6596">
        <w:rPr>
          <w:iCs/>
        </w:rPr>
        <w:t xml:space="preserve">. </w:t>
      </w:r>
      <w:r w:rsidR="005D0D21">
        <w:t>[Note:  There are no data items or activities associated with these provisions.]</w:t>
      </w:r>
    </w:p>
    <w:p w:rsidR="005D0D21" w:rsidP="00FA3A49" w:rsidRDefault="005D0D21" w14:paraId="2777532F" w14:textId="77777777">
      <w:pPr>
        <w:rPr>
          <w:iCs/>
        </w:rPr>
      </w:pPr>
    </w:p>
    <w:p w:rsidRPr="00EE6944" w:rsidR="005D0D21" w:rsidP="000152A7" w:rsidRDefault="005D0D21" w14:paraId="27BEF164" w14:textId="77777777">
      <w:pPr>
        <w:keepNext/>
        <w:ind w:firstLine="720"/>
        <w:rPr>
          <w:i/>
          <w:iCs/>
        </w:rPr>
      </w:pPr>
      <w:r w:rsidRPr="00EE6944">
        <w:rPr>
          <w:i/>
        </w:rPr>
        <w:t>(</w:t>
      </w:r>
      <w:r w:rsidR="00910981">
        <w:rPr>
          <w:i/>
        </w:rPr>
        <w:t>c</w:t>
      </w:r>
      <w:r w:rsidRPr="00EE6944">
        <w:rPr>
          <w:i/>
        </w:rPr>
        <w:t>3)</w:t>
      </w:r>
      <w:r w:rsidRPr="00EE6944">
        <w:rPr>
          <w:i/>
        </w:rPr>
        <w:tab/>
      </w:r>
      <w:r w:rsidRPr="00EE6944">
        <w:rPr>
          <w:i/>
          <w:iCs/>
        </w:rPr>
        <w:t xml:space="preserve">Special Procedures when Electronic Manifest is Not Available  </w:t>
      </w:r>
    </w:p>
    <w:p w:rsidR="005D0D21" w:rsidP="000152A7" w:rsidRDefault="005D0D21" w14:paraId="633F4F76" w14:textId="77777777">
      <w:pPr>
        <w:keepNext/>
        <w:rPr>
          <w:iCs/>
        </w:rPr>
      </w:pPr>
    </w:p>
    <w:p w:rsidR="005D0D21" w:rsidP="000152A7" w:rsidRDefault="00BA08B3" w14:paraId="0ED83C4F" w14:textId="77777777">
      <w:pPr>
        <w:keepNext/>
        <w:rPr>
          <w:iCs/>
        </w:rPr>
      </w:pPr>
      <w:r>
        <w:rPr>
          <w:iCs/>
        </w:rPr>
        <w:t>40 CFR</w:t>
      </w:r>
      <w:r w:rsidR="005D0D21">
        <w:rPr>
          <w:iCs/>
        </w:rPr>
        <w:t xml:space="preserve"> 264.71(h) and 265.71(h) provide that, i</w:t>
      </w:r>
      <w:r w:rsidRPr="00EE6944" w:rsidR="005D0D21">
        <w:rPr>
          <w:iCs/>
        </w:rPr>
        <w:t>f a facility receives hazardous waste that is accompanied by a paper replacement manifest for a manifest that was originated electronically, the following procedures apply to the delivery of the hazardous waste by the final transporter:</w:t>
      </w:r>
    </w:p>
    <w:p w:rsidR="005D0D21" w:rsidP="00FA3A49" w:rsidRDefault="005D0D21" w14:paraId="188E5F65" w14:textId="77777777">
      <w:pPr>
        <w:rPr>
          <w:iCs/>
        </w:rPr>
      </w:pPr>
    </w:p>
    <w:p w:rsidRPr="00EE6944" w:rsidR="005D0D21" w:rsidP="00FA3A49" w:rsidRDefault="005D0D21" w14:paraId="28EE5E1D" w14:textId="77777777">
      <w:pPr>
        <w:pStyle w:val="NoSpacing"/>
        <w:widowControl/>
      </w:pPr>
      <w:r w:rsidRPr="00EE6944">
        <w:t xml:space="preserve">Upon delivery of the hazardous waste to the designated facility, the owner or operator must sign and date each copy of the paper replacement manifest by hand in Item 20 (Designated Facility Certification of Receipt) and note any discrepancies in Item 18 (Discrepancy Indication Space) of the replacement </w:t>
      </w:r>
      <w:proofErr w:type="gramStart"/>
      <w:r w:rsidRPr="00EE6944">
        <w:t>manifest;</w:t>
      </w:r>
      <w:proofErr w:type="gramEnd"/>
    </w:p>
    <w:p w:rsidRPr="00EE6944" w:rsidR="005D0D21" w:rsidP="00FA3A49" w:rsidRDefault="005D0D21" w14:paraId="5B9D4FC2" w14:textId="77777777">
      <w:pPr>
        <w:pStyle w:val="NoSpacing"/>
        <w:widowControl/>
      </w:pPr>
      <w:r w:rsidRPr="00EE6944">
        <w:t>The owner or operator of the facility must give back to the final transporter</w:t>
      </w:r>
      <w:r w:rsidR="00B452E1">
        <w:t xml:space="preserve"> </w:t>
      </w:r>
      <w:r w:rsidR="00C24DDC">
        <w:t>1</w:t>
      </w:r>
      <w:r w:rsidR="00B452E1">
        <w:t xml:space="preserve"> </w:t>
      </w:r>
      <w:r w:rsidRPr="00EE6944">
        <w:t xml:space="preserve">copy of the replacement </w:t>
      </w:r>
      <w:proofErr w:type="gramStart"/>
      <w:r w:rsidRPr="00EE6944">
        <w:t>manifest;</w:t>
      </w:r>
      <w:proofErr w:type="gramEnd"/>
    </w:p>
    <w:p w:rsidRPr="00EE6944" w:rsidR="005D0D21" w:rsidP="00FA3A49" w:rsidRDefault="005D0D21" w14:paraId="3D099B6B" w14:textId="77777777">
      <w:pPr>
        <w:pStyle w:val="NoSpacing"/>
        <w:widowControl/>
      </w:pPr>
      <w:r w:rsidRPr="00EE6944">
        <w:t>Within 30 days of delivery of the waste to the designated facility, the owner or operator of the facility must send</w:t>
      </w:r>
      <w:r w:rsidR="00B452E1">
        <w:t xml:space="preserve"> </w:t>
      </w:r>
      <w:r w:rsidR="00C24DDC">
        <w:t>1</w:t>
      </w:r>
      <w:r w:rsidR="00B452E1">
        <w:t xml:space="preserve"> </w:t>
      </w:r>
      <w:r w:rsidRPr="00EE6944">
        <w:t xml:space="preserve">signed and dated copy of the replacement manifest to the generator, and send an additional signed and dated copy of the replacement manifest to the electronic manifest </w:t>
      </w:r>
      <w:proofErr w:type="gramStart"/>
      <w:r w:rsidRPr="00EE6944">
        <w:t>system;</w:t>
      </w:r>
      <w:proofErr w:type="gramEnd"/>
      <w:r w:rsidRPr="00EE6944">
        <w:t xml:space="preserve"> and</w:t>
      </w:r>
    </w:p>
    <w:p w:rsidRPr="00EE6944" w:rsidR="005D0D21" w:rsidP="00FA3A49" w:rsidRDefault="005D0D21" w14:paraId="349C3ED3" w14:textId="77777777">
      <w:pPr>
        <w:pStyle w:val="NoSpacing"/>
        <w:widowControl/>
      </w:pPr>
      <w:r w:rsidRPr="00EE6944">
        <w:t xml:space="preserve">The owner or operator of the facility must retain at the facility one copy of the replacement manifest for at least </w:t>
      </w:r>
      <w:r w:rsidR="00C24DDC">
        <w:t>3</w:t>
      </w:r>
      <w:r w:rsidRPr="00EE6944">
        <w:t xml:space="preserve"> years from the date of delivery</w:t>
      </w:r>
      <w:r w:rsidR="000E6596">
        <w:t xml:space="preserve">. </w:t>
      </w:r>
    </w:p>
    <w:p w:rsidR="005D0D21" w:rsidP="00FA3A49" w:rsidRDefault="005D0D21" w14:paraId="6922EE28" w14:textId="77777777">
      <w:pPr>
        <w:rPr>
          <w:iCs/>
        </w:rPr>
      </w:pPr>
    </w:p>
    <w:p w:rsidR="005D0D21" w:rsidP="00FA3A49" w:rsidRDefault="005D0D21" w14:paraId="7C1755A3" w14:textId="77777777">
      <w:r>
        <w:t>[Note:  Refer to “</w:t>
      </w:r>
      <w:r w:rsidRPr="00853414">
        <w:t xml:space="preserve">Manifest </w:t>
      </w:r>
      <w:r>
        <w:t xml:space="preserve">Completion, </w:t>
      </w:r>
      <w:r w:rsidRPr="00853414">
        <w:t>Transmittal and Recordkeeping</w:t>
      </w:r>
      <w:r>
        <w:t xml:space="preserve">” </w:t>
      </w:r>
      <w:r w:rsidR="00BA08B3">
        <w:t xml:space="preserve">in this section </w:t>
      </w:r>
      <w:r>
        <w:t xml:space="preserve">for the </w:t>
      </w:r>
      <w:r w:rsidR="000856D2">
        <w:t xml:space="preserve">facility </w:t>
      </w:r>
      <w:r>
        <w:t>data items and activities associated with signing, transmitting and recordkeeping of the replacement paper manifests.]</w:t>
      </w:r>
    </w:p>
    <w:p w:rsidR="005D0D21" w:rsidP="00FA3A49" w:rsidRDefault="005D0D21" w14:paraId="263D37A4" w14:textId="77777777">
      <w:pPr>
        <w:rPr>
          <w:iCs/>
        </w:rPr>
      </w:pPr>
    </w:p>
    <w:p w:rsidRPr="00784C66" w:rsidR="005D0D21" w:rsidP="00FA3A49" w:rsidRDefault="00763C3F" w14:paraId="158C57F0" w14:textId="77777777">
      <w:pPr>
        <w:ind w:firstLine="720"/>
        <w:rPr>
          <w:i/>
          <w:iCs/>
        </w:rPr>
      </w:pPr>
      <w:r>
        <w:rPr>
          <w:i/>
          <w:iCs/>
        </w:rPr>
        <w:t>(</w:t>
      </w:r>
      <w:r w:rsidR="00910981">
        <w:rPr>
          <w:i/>
          <w:iCs/>
        </w:rPr>
        <w:t>c</w:t>
      </w:r>
      <w:r w:rsidR="005D0D21">
        <w:rPr>
          <w:i/>
          <w:iCs/>
        </w:rPr>
        <w:t>4</w:t>
      </w:r>
      <w:r w:rsidRPr="00784C66" w:rsidR="005D0D21">
        <w:rPr>
          <w:i/>
          <w:iCs/>
        </w:rPr>
        <w:t>)</w:t>
      </w:r>
      <w:r w:rsidRPr="00784C66" w:rsidR="005D0D21">
        <w:rPr>
          <w:i/>
          <w:iCs/>
        </w:rPr>
        <w:tab/>
      </w:r>
      <w:r w:rsidR="005D0D21">
        <w:rPr>
          <w:i/>
          <w:iCs/>
        </w:rPr>
        <w:t>Special P</w:t>
      </w:r>
      <w:r w:rsidRPr="00784C66" w:rsidR="005D0D21">
        <w:rPr>
          <w:i/>
          <w:iCs/>
        </w:rPr>
        <w:t xml:space="preserve">rocedures for </w:t>
      </w:r>
      <w:r w:rsidR="005D0D21">
        <w:rPr>
          <w:i/>
          <w:iCs/>
        </w:rPr>
        <w:t>Electronic Signature M</w:t>
      </w:r>
      <w:r w:rsidRPr="00784C66" w:rsidR="005D0D21">
        <w:rPr>
          <w:i/>
          <w:iCs/>
        </w:rPr>
        <w:t xml:space="preserve">ethods </w:t>
      </w:r>
      <w:r w:rsidR="005D0D21">
        <w:rPr>
          <w:i/>
          <w:iCs/>
        </w:rPr>
        <w:t>U</w:t>
      </w:r>
      <w:r w:rsidRPr="00784C66" w:rsidR="005D0D21">
        <w:rPr>
          <w:i/>
          <w:iCs/>
        </w:rPr>
        <w:t>ndergoing</w:t>
      </w:r>
      <w:r w:rsidR="005D0D21">
        <w:rPr>
          <w:i/>
          <w:iCs/>
        </w:rPr>
        <w:t xml:space="preserve"> T</w:t>
      </w:r>
      <w:r w:rsidRPr="00784C66" w:rsidR="005D0D21">
        <w:rPr>
          <w:i/>
          <w:iCs/>
        </w:rPr>
        <w:t xml:space="preserve">ests  </w:t>
      </w:r>
    </w:p>
    <w:p w:rsidR="005D0D21" w:rsidP="00FA3A49" w:rsidRDefault="005D0D21" w14:paraId="44163EFF" w14:textId="77777777">
      <w:pPr>
        <w:rPr>
          <w:iCs/>
        </w:rPr>
      </w:pPr>
    </w:p>
    <w:p w:rsidR="005D0D21" w:rsidP="00FA3A49" w:rsidRDefault="00BA08B3" w14:paraId="247B87F1" w14:textId="77777777">
      <w:r>
        <w:rPr>
          <w:iCs/>
        </w:rPr>
        <w:t>40 CFR</w:t>
      </w:r>
      <w:r w:rsidR="005D0D21">
        <w:rPr>
          <w:iCs/>
        </w:rPr>
        <w:t xml:space="preserve"> 264.71(i) and 265.71(i) provide that, i</w:t>
      </w:r>
      <w:r w:rsidRPr="008F26C2" w:rsidR="005D0D21">
        <w:rPr>
          <w:iCs/>
        </w:rPr>
        <w:t xml:space="preserve">f an owner or operator using an </w:t>
      </w:r>
      <w:proofErr w:type="gramStart"/>
      <w:r w:rsidRPr="008F26C2" w:rsidR="005D0D21">
        <w:rPr>
          <w:iCs/>
        </w:rPr>
        <w:t>electronic manifest signs</w:t>
      </w:r>
      <w:proofErr w:type="gramEnd"/>
      <w:r w:rsidRPr="008F26C2" w:rsidR="005D0D21">
        <w:rPr>
          <w:iCs/>
        </w:rPr>
        <w:t xml:space="preserve"> this manifest electronically using an electronic signature method which is undergoing pilot or demonstration tests aimed at demonstrating the practicality or legal dependability of the signature method, then the owner or operator shall also sign with an ink signature the facility’s certification of receipt or discrepancies on the printed copy of the manifest provided by the transporter</w:t>
      </w:r>
      <w:r w:rsidR="000E6596">
        <w:rPr>
          <w:iCs/>
        </w:rPr>
        <w:t xml:space="preserve">. </w:t>
      </w:r>
      <w:r w:rsidRPr="008F26C2" w:rsidR="005D0D21">
        <w:rPr>
          <w:iCs/>
        </w:rPr>
        <w:t xml:space="preserve">Upon executing its ink signature on this printed copy, the owner or operator shall retain this original copy among its records for at least 3 years from the date of delivery of the </w:t>
      </w:r>
      <w:r w:rsidRPr="008F26C2" w:rsidR="005D0D21">
        <w:rPr>
          <w:iCs/>
        </w:rPr>
        <w:lastRenderedPageBreak/>
        <w:t>waste</w:t>
      </w:r>
      <w:r w:rsidR="000E6596">
        <w:rPr>
          <w:iCs/>
        </w:rPr>
        <w:t xml:space="preserve">. </w:t>
      </w:r>
      <w:r w:rsidR="005D0D21">
        <w:t>[Note:  Refer to “Manifest Completion, Transmittal and Recordkeeping” in this section for</w:t>
      </w:r>
      <w:r>
        <w:t xml:space="preserve"> </w:t>
      </w:r>
      <w:r w:rsidR="000856D2">
        <w:t xml:space="preserve">facility </w:t>
      </w:r>
      <w:r>
        <w:t>data items and activities associated with</w:t>
      </w:r>
      <w:r w:rsidR="005D0D21">
        <w:t xml:space="preserve"> signing and recordkeeping of the manifest.]</w:t>
      </w:r>
    </w:p>
    <w:p w:rsidR="000152A7" w:rsidP="00FA3A49" w:rsidRDefault="000152A7" w14:paraId="321AF115" w14:textId="77777777"/>
    <w:p w:rsidRPr="007E4F29" w:rsidR="005D0D21" w:rsidP="00FA3A49" w:rsidRDefault="00763C3F" w14:paraId="4E9F85E0" w14:textId="77777777">
      <w:pPr>
        <w:keepNext/>
        <w:ind w:firstLine="720"/>
        <w:rPr>
          <w:i/>
          <w:iCs/>
        </w:rPr>
      </w:pPr>
      <w:r>
        <w:rPr>
          <w:i/>
          <w:iCs/>
        </w:rPr>
        <w:t>(</w:t>
      </w:r>
      <w:r w:rsidR="00910981">
        <w:rPr>
          <w:i/>
          <w:iCs/>
        </w:rPr>
        <w:t>c</w:t>
      </w:r>
      <w:r w:rsidR="005D0D21">
        <w:rPr>
          <w:i/>
          <w:iCs/>
        </w:rPr>
        <w:t>5</w:t>
      </w:r>
      <w:r w:rsidRPr="007E4F29" w:rsidR="005D0D21">
        <w:rPr>
          <w:i/>
          <w:iCs/>
        </w:rPr>
        <w:t>)</w:t>
      </w:r>
      <w:r w:rsidRPr="007E4F29" w:rsidR="005D0D21">
        <w:rPr>
          <w:i/>
          <w:iCs/>
        </w:rPr>
        <w:tab/>
        <w:t xml:space="preserve">Imposition of User Fee for Electronic Manifest Use  </w:t>
      </w:r>
    </w:p>
    <w:p w:rsidR="005D0D21" w:rsidP="00FA3A49" w:rsidRDefault="005D0D21" w14:paraId="58DFB4A5" w14:textId="77777777">
      <w:pPr>
        <w:keepNext/>
        <w:rPr>
          <w:iCs/>
        </w:rPr>
      </w:pPr>
    </w:p>
    <w:p w:rsidR="004B6946" w:rsidP="004B6946" w:rsidRDefault="00BA08B3" w14:paraId="192208B8" w14:textId="77777777">
      <w:r>
        <w:rPr>
          <w:iCs/>
        </w:rPr>
        <w:t>40 CFR</w:t>
      </w:r>
      <w:r w:rsidR="005D0D21">
        <w:rPr>
          <w:iCs/>
        </w:rPr>
        <w:t xml:space="preserve"> 264.71(j) and 265.71(j) provide</w:t>
      </w:r>
      <w:r w:rsidR="00A85257">
        <w:rPr>
          <w:iCs/>
        </w:rPr>
        <w:t xml:space="preserve"> that</w:t>
      </w:r>
      <w:r w:rsidR="00CB23BB">
        <w:rPr>
          <w:iCs/>
        </w:rPr>
        <w:t xml:space="preserve">, </w:t>
      </w:r>
      <w:r w:rsidR="00F6383E">
        <w:rPr>
          <w:iCs/>
        </w:rPr>
        <w:t>a</w:t>
      </w:r>
      <w:r w:rsidRPr="00F6383E" w:rsidR="00F6383E">
        <w:rPr>
          <w:iCs/>
        </w:rPr>
        <w:t xml:space="preserve">s prescribed in </w:t>
      </w:r>
      <w:r w:rsidR="00F6383E">
        <w:rPr>
          <w:iCs/>
        </w:rPr>
        <w:t>40 CFR</w:t>
      </w:r>
      <w:r w:rsidRPr="00F6383E" w:rsidR="00F6383E">
        <w:rPr>
          <w:iCs/>
        </w:rPr>
        <w:t xml:space="preserve"> 264.1311</w:t>
      </w:r>
      <w:r w:rsidR="00F6383E">
        <w:rPr>
          <w:iCs/>
        </w:rPr>
        <w:t xml:space="preserve"> </w:t>
      </w:r>
      <w:r w:rsidR="0028672B">
        <w:rPr>
          <w:iCs/>
        </w:rPr>
        <w:t>and</w:t>
      </w:r>
      <w:r w:rsidR="00F6383E">
        <w:rPr>
          <w:iCs/>
        </w:rPr>
        <w:t xml:space="preserve"> 265.1311</w:t>
      </w:r>
      <w:r w:rsidRPr="00F6383E" w:rsidR="00F6383E">
        <w:rPr>
          <w:iCs/>
        </w:rPr>
        <w:t xml:space="preserve">, and determined in </w:t>
      </w:r>
      <w:r w:rsidR="00F6383E">
        <w:rPr>
          <w:iCs/>
        </w:rPr>
        <w:t>40 CFR</w:t>
      </w:r>
      <w:r w:rsidRPr="00F6383E" w:rsidR="00F6383E">
        <w:rPr>
          <w:iCs/>
        </w:rPr>
        <w:t xml:space="preserve"> 264.1312 </w:t>
      </w:r>
      <w:r w:rsidR="0028672B">
        <w:rPr>
          <w:iCs/>
        </w:rPr>
        <w:t>and</w:t>
      </w:r>
      <w:r w:rsidR="00F6383E">
        <w:rPr>
          <w:iCs/>
        </w:rPr>
        <w:t xml:space="preserve"> 265.1312</w:t>
      </w:r>
      <w:r w:rsidRPr="00F6383E" w:rsidR="00F6383E">
        <w:rPr>
          <w:iCs/>
        </w:rPr>
        <w:t xml:space="preserve">, an owner or operator who is a user of the electronic manifest system shall be assessed a user fee by EPA for the submission and processing of each electronic and paper manifest. EPA shall update the schedule of user fees and publish them to the user community, as provided in </w:t>
      </w:r>
      <w:r w:rsidR="00F6383E">
        <w:rPr>
          <w:iCs/>
        </w:rPr>
        <w:t>40 CFR</w:t>
      </w:r>
      <w:r w:rsidRPr="00F6383E" w:rsidR="00F6383E">
        <w:rPr>
          <w:iCs/>
        </w:rPr>
        <w:t xml:space="preserve"> 264.1313</w:t>
      </w:r>
      <w:r w:rsidR="0028672B">
        <w:rPr>
          <w:iCs/>
        </w:rPr>
        <w:t xml:space="preserve"> and 265.131</w:t>
      </w:r>
      <w:r w:rsidR="00251CD8">
        <w:rPr>
          <w:iCs/>
        </w:rPr>
        <w:t>3</w:t>
      </w:r>
      <w:r w:rsidRPr="00F6383E" w:rsidR="00F6383E">
        <w:rPr>
          <w:iCs/>
        </w:rPr>
        <w:t>.</w:t>
      </w:r>
      <w:r w:rsidR="0028672B">
        <w:rPr>
          <w:iCs/>
        </w:rPr>
        <w:t xml:space="preserve"> </w:t>
      </w:r>
      <w:r w:rsidRPr="00F6383E" w:rsidR="00F6383E">
        <w:rPr>
          <w:iCs/>
        </w:rPr>
        <w:t xml:space="preserve">An owner or operator subject to user fees under this section shall make user fee payments in accordance with the requirements of </w:t>
      </w:r>
      <w:r w:rsidR="0028672B">
        <w:rPr>
          <w:iCs/>
        </w:rPr>
        <w:t xml:space="preserve">40 CFR </w:t>
      </w:r>
      <w:r w:rsidRPr="00F6383E" w:rsidR="00F6383E">
        <w:rPr>
          <w:iCs/>
        </w:rPr>
        <w:t xml:space="preserve">264.1314 </w:t>
      </w:r>
      <w:r w:rsidR="0028672B">
        <w:rPr>
          <w:iCs/>
        </w:rPr>
        <w:t>or 265.1314</w:t>
      </w:r>
      <w:r w:rsidRPr="00F6383E" w:rsidR="00F6383E">
        <w:rPr>
          <w:iCs/>
        </w:rPr>
        <w:t xml:space="preserve">, subject to the informal fee dispute resolution process of </w:t>
      </w:r>
      <w:r w:rsidR="0028672B">
        <w:rPr>
          <w:iCs/>
        </w:rPr>
        <w:t>40 CFR</w:t>
      </w:r>
      <w:r w:rsidRPr="00F6383E" w:rsidR="00F6383E">
        <w:rPr>
          <w:iCs/>
        </w:rPr>
        <w:t xml:space="preserve"> 264.1316</w:t>
      </w:r>
      <w:r w:rsidR="0028672B">
        <w:rPr>
          <w:iCs/>
        </w:rPr>
        <w:t xml:space="preserve"> or 265.1316</w:t>
      </w:r>
      <w:r w:rsidRPr="00F6383E" w:rsidR="00F6383E">
        <w:rPr>
          <w:iCs/>
        </w:rPr>
        <w:t xml:space="preserve">, and subject to the sanctions for delinquent payments under </w:t>
      </w:r>
      <w:r w:rsidR="0028672B">
        <w:rPr>
          <w:iCs/>
        </w:rPr>
        <w:t>40 CFR 264.1315 or 265.1315</w:t>
      </w:r>
      <w:r w:rsidR="000E6596">
        <w:rPr>
          <w:iCs/>
        </w:rPr>
        <w:t xml:space="preserve">. </w:t>
      </w:r>
      <w:r w:rsidR="004B6946">
        <w:t>[Refer to “</w:t>
      </w:r>
      <w:r w:rsidRPr="00BB6B68" w:rsidR="004B6946">
        <w:t>Fees for the Electronic Hazardous Waste Manifest Program</w:t>
      </w:r>
      <w:r w:rsidR="004B6946">
        <w:t xml:space="preserve">” in this section </w:t>
      </w:r>
      <w:r w:rsidRPr="000542A8" w:rsidR="004B6946">
        <w:t>for facility data items and activities associated</w:t>
      </w:r>
      <w:r w:rsidR="004B6946">
        <w:t xml:space="preserve"> with these requirements.]</w:t>
      </w:r>
    </w:p>
    <w:p w:rsidR="005D0D21" w:rsidP="00FA3A49" w:rsidRDefault="005D0D21" w14:paraId="49B5281A" w14:textId="77777777">
      <w:pPr>
        <w:ind w:firstLine="720"/>
        <w:rPr>
          <w:i/>
          <w:iCs/>
        </w:rPr>
      </w:pPr>
    </w:p>
    <w:p w:rsidRPr="007E4F29" w:rsidR="005D0D21" w:rsidP="003A459B" w:rsidRDefault="00910981" w14:paraId="45D03C32" w14:textId="77777777">
      <w:pPr>
        <w:keepNext/>
        <w:ind w:firstLine="720"/>
        <w:rPr>
          <w:i/>
          <w:iCs/>
        </w:rPr>
      </w:pPr>
      <w:r>
        <w:rPr>
          <w:i/>
          <w:iCs/>
        </w:rPr>
        <w:t>(c</w:t>
      </w:r>
      <w:r w:rsidR="005D0D21">
        <w:rPr>
          <w:i/>
          <w:iCs/>
        </w:rPr>
        <w:t>6</w:t>
      </w:r>
      <w:r w:rsidRPr="007E4F29" w:rsidR="005D0D21">
        <w:rPr>
          <w:i/>
          <w:iCs/>
        </w:rPr>
        <w:t>)</w:t>
      </w:r>
      <w:r w:rsidRPr="007E4F29" w:rsidR="005D0D21">
        <w:rPr>
          <w:i/>
          <w:iCs/>
        </w:rPr>
        <w:tab/>
      </w:r>
      <w:r w:rsidR="005D0D21">
        <w:rPr>
          <w:i/>
          <w:iCs/>
        </w:rPr>
        <w:t>Electronic Manifest Signatures</w:t>
      </w:r>
      <w:r w:rsidRPr="007E4F29" w:rsidR="005D0D21">
        <w:rPr>
          <w:i/>
          <w:iCs/>
        </w:rPr>
        <w:t xml:space="preserve"> </w:t>
      </w:r>
    </w:p>
    <w:p w:rsidR="005D0D21" w:rsidP="003A459B" w:rsidRDefault="005D0D21" w14:paraId="60A22054" w14:textId="77777777">
      <w:pPr>
        <w:keepNext/>
      </w:pPr>
    </w:p>
    <w:p w:rsidR="005D0D21" w:rsidP="003A459B" w:rsidRDefault="00BA08B3" w14:paraId="46BF325F" w14:textId="77777777">
      <w:pPr>
        <w:keepNext/>
      </w:pPr>
      <w:r>
        <w:rPr>
          <w:iCs/>
        </w:rPr>
        <w:t>40 CFR</w:t>
      </w:r>
      <w:r w:rsidR="005D0D21">
        <w:rPr>
          <w:iCs/>
        </w:rPr>
        <w:t xml:space="preserve"> 264.71(k)(1) and 265.71(k)(1) provide </w:t>
      </w:r>
      <w:proofErr w:type="gramStart"/>
      <w:r w:rsidR="005D0D21">
        <w:rPr>
          <w:iCs/>
        </w:rPr>
        <w:t>that e</w:t>
      </w:r>
      <w:r w:rsidRPr="009F0611" w:rsidR="005D0D21">
        <w:t>lectronic manifest signatures</w:t>
      </w:r>
      <w:proofErr w:type="gramEnd"/>
      <w:r w:rsidRPr="009F0611" w:rsidR="005D0D21">
        <w:t xml:space="preserve"> shall meet the criteria described in </w:t>
      </w:r>
      <w:r w:rsidR="005D0D21">
        <w:t>section 262.25(a)</w:t>
      </w:r>
      <w:r w:rsidR="000E6596">
        <w:t xml:space="preserve">. </w:t>
      </w:r>
      <w:r w:rsidR="005D0D21">
        <w:t>[Note:  There are no data items or activities associated with this provision.]</w:t>
      </w:r>
    </w:p>
    <w:p w:rsidR="00F7054D" w:rsidP="00FA3A49" w:rsidRDefault="00F7054D" w14:paraId="2FFC4A05" w14:textId="77777777"/>
    <w:p w:rsidR="00F7054D" w:rsidP="00FA3A49" w:rsidRDefault="00910981" w14:paraId="7CB05DAE" w14:textId="77777777">
      <w:pPr>
        <w:ind w:firstLine="720"/>
      </w:pPr>
      <w:r>
        <w:rPr>
          <w:i/>
          <w:iCs/>
        </w:rPr>
        <w:t>(c</w:t>
      </w:r>
      <w:r w:rsidR="00F7054D">
        <w:rPr>
          <w:i/>
          <w:iCs/>
        </w:rPr>
        <w:t>7</w:t>
      </w:r>
      <w:r w:rsidRPr="007E4F29" w:rsidR="00F7054D">
        <w:rPr>
          <w:i/>
          <w:iCs/>
        </w:rPr>
        <w:t>)</w:t>
      </w:r>
      <w:r w:rsidRPr="007E4F29" w:rsidR="00F7054D">
        <w:rPr>
          <w:i/>
          <w:iCs/>
        </w:rPr>
        <w:tab/>
      </w:r>
      <w:r w:rsidR="00F7054D">
        <w:rPr>
          <w:i/>
          <w:iCs/>
        </w:rPr>
        <w:t>Post-Receipt Manifest Data Corrections</w:t>
      </w:r>
    </w:p>
    <w:p w:rsidR="00F7054D" w:rsidP="00FA3A49" w:rsidRDefault="00F7054D" w14:paraId="1506E170" w14:textId="77777777"/>
    <w:p w:rsidR="005B6BD0" w:rsidP="005B6BD0" w:rsidRDefault="006B3171" w14:paraId="440337AA" w14:textId="77777777">
      <w:r>
        <w:t xml:space="preserve">40 CFR 264.71(l) and 265.71(l) provide that, after facilities have certified to the receipt of hazardous wastes by signing Item 20 of the manifest, any post-receipt data corrections may be submitted at any time by any interested person </w:t>
      </w:r>
      <w:r w:rsidR="00F41528">
        <w:t>(e.g., waste handler) shown</w:t>
      </w:r>
      <w:r>
        <w:t xml:space="preserve"> on the manifest</w:t>
      </w:r>
      <w:r w:rsidR="000E6596">
        <w:t xml:space="preserve">. </w:t>
      </w:r>
      <w:r>
        <w:t xml:space="preserve">Interested persons must make all corrections to manifest data by electronic submission, either by directly entering corrected data to the </w:t>
      </w:r>
      <w:proofErr w:type="gramStart"/>
      <w:r>
        <w:t>web based</w:t>
      </w:r>
      <w:proofErr w:type="gramEnd"/>
      <w:r>
        <w:t xml:space="preserve"> service provided in e-Manifest for such corrections, or by an upload of a data file containing data corrections relating to one or more previously submitted manifests</w:t>
      </w:r>
      <w:r w:rsidR="000E6596">
        <w:t xml:space="preserve">. </w:t>
      </w:r>
      <w:r>
        <w:t>Each correction submission must include the information specified at 40 CFR 264.71(l)(2)</w:t>
      </w:r>
      <w:r w:rsidR="00815722">
        <w:t xml:space="preserve"> and</w:t>
      </w:r>
      <w:r>
        <w:t xml:space="preserve"> 265.71(l)(2)</w:t>
      </w:r>
      <w:r w:rsidR="000E6596">
        <w:t xml:space="preserve">. </w:t>
      </w:r>
      <w:r w:rsidR="005B6BD0">
        <w:t>In addition, each correction submission must include 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r w:rsidR="00815722">
        <w:t>, as required by 40 CFR 264.71(l)(3) or 265.71(l)(3)</w:t>
      </w:r>
      <w:r w:rsidR="000E6596">
        <w:t xml:space="preserve">. </w:t>
      </w:r>
      <w:r w:rsidR="005B6BD0">
        <w:t>The certification statement must be executed with a valid electronic signature</w:t>
      </w:r>
      <w:r w:rsidR="00815722">
        <w:t xml:space="preserve">. </w:t>
      </w:r>
      <w:r w:rsidR="005B6BD0">
        <w:t>A batch upload of data corrections may be submitted under one certification statement</w:t>
      </w:r>
      <w:r w:rsidR="000E6596">
        <w:t xml:space="preserve">. </w:t>
      </w:r>
      <w:r w:rsidR="005B6BD0">
        <w:t xml:space="preserve">Upon receipt by the system of any correction submission, other interested persons </w:t>
      </w:r>
      <w:r w:rsidR="00701F1C">
        <w:t>shown on the manifest</w:t>
      </w:r>
      <w:r w:rsidR="005B6BD0">
        <w:t xml:space="preserve"> will be provided electronic notice of the submitter’s corrections</w:t>
      </w:r>
      <w:r w:rsidR="000E6596">
        <w:t xml:space="preserve">. </w:t>
      </w:r>
      <w:r w:rsidR="005B6BD0">
        <w:t xml:space="preserve">Other interested persons </w:t>
      </w:r>
      <w:r w:rsidR="00701F1C">
        <w:t xml:space="preserve">shown on the manifest </w:t>
      </w:r>
      <w:r w:rsidR="005B6BD0">
        <w:t>may respond to the submitter’s corrections with comments to the submitter, or by submitting another correction to the system, certified by the respondent as above, and with notice of the corrections to</w:t>
      </w:r>
      <w:r w:rsidR="00701F1C">
        <w:t xml:space="preserve"> other</w:t>
      </w:r>
      <w:r w:rsidR="005B6BD0">
        <w:t xml:space="preserve"> interested persons</w:t>
      </w:r>
      <w:r w:rsidR="00701F1C">
        <w:t xml:space="preserve"> shown on the manifest</w:t>
      </w:r>
      <w:r w:rsidR="005B6BD0">
        <w:t>.</w:t>
      </w:r>
    </w:p>
    <w:p w:rsidR="005B6BD0" w:rsidP="006B3171" w:rsidRDefault="005B6BD0" w14:paraId="4A7B5484" w14:textId="77777777"/>
    <w:p w:rsidRPr="00A85F4C" w:rsidR="005B6BD0" w:rsidP="005B6BD0" w:rsidRDefault="005B6BD0" w14:paraId="78662B09" w14:textId="77777777">
      <w:pPr>
        <w:keepNext/>
        <w:tabs>
          <w:tab w:val="left" w:pos="-1200"/>
        </w:tabs>
        <w:ind w:firstLine="720"/>
      </w:pPr>
      <w:r w:rsidRPr="00A85F4C">
        <w:rPr>
          <w:u w:val="single"/>
        </w:rPr>
        <w:lastRenderedPageBreak/>
        <w:t>Data Item</w:t>
      </w:r>
    </w:p>
    <w:p w:rsidRPr="00A85F4C" w:rsidR="005B6BD0" w:rsidP="005B6BD0" w:rsidRDefault="005B6BD0" w14:paraId="028DE55F" w14:textId="77777777">
      <w:pPr>
        <w:keepNext/>
        <w:tabs>
          <w:tab w:val="left" w:pos="-1200"/>
        </w:tabs>
        <w:ind w:firstLine="720"/>
      </w:pPr>
    </w:p>
    <w:p w:rsidR="00425D37" w:rsidRDefault="00B160BD" w14:paraId="18A50C9C" w14:textId="77777777">
      <w:pPr>
        <w:pStyle w:val="ListParagraph"/>
        <w:widowControl/>
        <w:numPr>
          <w:ilvl w:val="0"/>
          <w:numId w:val="6"/>
        </w:numPr>
        <w:tabs>
          <w:tab w:val="left" w:pos="-1200"/>
        </w:tabs>
      </w:pPr>
      <w:r>
        <w:t xml:space="preserve">A </w:t>
      </w:r>
      <w:r w:rsidRPr="00A85F4C" w:rsidR="005B6BD0">
        <w:t>correction submission</w:t>
      </w:r>
      <w:r w:rsidRPr="00A85F4C" w:rsidR="00A85F4C">
        <w:t>.</w:t>
      </w:r>
    </w:p>
    <w:p w:rsidRPr="00B15CEE" w:rsidR="005B6BD0" w:rsidP="005B6BD0" w:rsidRDefault="005B6BD0" w14:paraId="0EE17EC4" w14:textId="77777777">
      <w:pPr>
        <w:tabs>
          <w:tab w:val="left" w:pos="-1200"/>
        </w:tabs>
        <w:rPr>
          <w:highlight w:val="green"/>
        </w:rPr>
      </w:pPr>
    </w:p>
    <w:p w:rsidRPr="00C70B95" w:rsidR="005B6BD0" w:rsidP="00C70B95" w:rsidRDefault="005B6BD0" w14:paraId="7BC8D142" w14:textId="77777777">
      <w:pPr>
        <w:keepNext/>
        <w:tabs>
          <w:tab w:val="left" w:pos="-1200"/>
        </w:tabs>
        <w:ind w:firstLine="720"/>
      </w:pPr>
      <w:r w:rsidRPr="00C70B95">
        <w:rPr>
          <w:u w:val="single"/>
        </w:rPr>
        <w:t>Respondent Activities</w:t>
      </w:r>
    </w:p>
    <w:p w:rsidRPr="00C70B95" w:rsidR="005B6BD0" w:rsidP="00C70B95" w:rsidRDefault="005B6BD0" w14:paraId="6210C9AF" w14:textId="77777777">
      <w:pPr>
        <w:keepNext/>
        <w:tabs>
          <w:tab w:val="left" w:pos="-1200"/>
        </w:tabs>
      </w:pPr>
    </w:p>
    <w:p w:rsidRPr="00C70B95" w:rsidR="005B6BD0" w:rsidP="00C70B95" w:rsidRDefault="00414E52" w14:paraId="39163064" w14:textId="77777777">
      <w:pPr>
        <w:pStyle w:val="ListParagraph"/>
        <w:keepNext/>
        <w:widowControl/>
        <w:numPr>
          <w:ilvl w:val="0"/>
          <w:numId w:val="6"/>
        </w:numPr>
        <w:tabs>
          <w:tab w:val="left" w:pos="-1200"/>
        </w:tabs>
      </w:pPr>
      <w:r w:rsidRPr="00C70B95">
        <w:t xml:space="preserve">Off-line </w:t>
      </w:r>
      <w:r w:rsidRPr="00C70B95" w:rsidR="0031739B">
        <w:t>facilities</w:t>
      </w:r>
      <w:r w:rsidRPr="00C70B95" w:rsidR="005B6BD0">
        <w:t xml:space="preserve"> (i.e., </w:t>
      </w:r>
      <w:r w:rsidRPr="00C70B95">
        <w:t>facilities</w:t>
      </w:r>
      <w:r w:rsidRPr="00C70B95" w:rsidR="005B6BD0">
        <w:t xml:space="preserve"> that do not have system access) must submit their email address and related contact information to the system to be notified of manifest corrections by other parties.</w:t>
      </w:r>
    </w:p>
    <w:p w:rsidRPr="00C70B95" w:rsidR="005B6BD0" w:rsidP="005B6BD0" w:rsidRDefault="005B6BD0" w14:paraId="234B42CC" w14:textId="77777777">
      <w:pPr>
        <w:pStyle w:val="ListParagraph"/>
        <w:widowControl/>
        <w:tabs>
          <w:tab w:val="left" w:pos="-1200"/>
        </w:tabs>
        <w:ind w:left="1080"/>
      </w:pPr>
    </w:p>
    <w:p w:rsidR="005B6BD0" w:rsidP="005B6BD0" w:rsidRDefault="00414E52" w14:paraId="194E571E" w14:textId="77777777">
      <w:pPr>
        <w:pStyle w:val="ListParagraph"/>
        <w:widowControl/>
        <w:numPr>
          <w:ilvl w:val="0"/>
          <w:numId w:val="6"/>
        </w:numPr>
        <w:tabs>
          <w:tab w:val="left" w:pos="-1200"/>
        </w:tabs>
      </w:pPr>
      <w:r w:rsidRPr="00C70B95">
        <w:t xml:space="preserve">Facilities </w:t>
      </w:r>
      <w:r w:rsidRPr="00C70B95" w:rsidR="005B6BD0">
        <w:t>with system access may submit a correction or receive a notice of another submitter’s correction and respond with comments to the submitter or submit another correction to the system.</w:t>
      </w:r>
    </w:p>
    <w:p w:rsidR="00C36323" w:rsidP="000152A7" w:rsidRDefault="00C36323" w14:paraId="6D70C68E" w14:textId="77777777">
      <w:pPr>
        <w:keepNext/>
        <w:keepLines/>
        <w:tabs>
          <w:tab w:val="left" w:pos="-1200"/>
        </w:tabs>
        <w:ind w:left="1440" w:hanging="720"/>
      </w:pPr>
    </w:p>
    <w:p w:rsidRPr="00853414" w:rsidR="000F4D0A" w:rsidP="000152A7" w:rsidRDefault="00763C3F" w14:paraId="1A7E1951" w14:textId="77777777">
      <w:pPr>
        <w:keepNext/>
        <w:keepLines/>
        <w:tabs>
          <w:tab w:val="left" w:pos="-1200"/>
        </w:tabs>
        <w:ind w:left="1440" w:hanging="720"/>
      </w:pPr>
      <w:r>
        <w:t>(</w:t>
      </w:r>
      <w:r w:rsidR="00910981">
        <w:t>d</w:t>
      </w:r>
      <w:r w:rsidRPr="00853414" w:rsidR="000F4D0A">
        <w:t>)</w:t>
      </w:r>
      <w:r w:rsidRPr="00853414" w:rsidR="000F4D0A">
        <w:tab/>
        <w:t>Unmanifested Waste Report:  Completion and Submission</w:t>
      </w:r>
    </w:p>
    <w:p w:rsidRPr="00853414" w:rsidR="000F4D0A" w:rsidP="000152A7" w:rsidRDefault="000F4D0A" w14:paraId="729E0945" w14:textId="77777777">
      <w:pPr>
        <w:keepNext/>
        <w:keepLines/>
        <w:tabs>
          <w:tab w:val="left" w:pos="-1200"/>
        </w:tabs>
      </w:pPr>
    </w:p>
    <w:p w:rsidRPr="00853414" w:rsidR="000F4D0A" w:rsidP="000152A7" w:rsidRDefault="000F4D0A" w14:paraId="33D69BE5" w14:textId="77777777">
      <w:pPr>
        <w:keepNext/>
        <w:keepLines/>
        <w:tabs>
          <w:tab w:val="left" w:pos="-1200"/>
        </w:tabs>
      </w:pPr>
      <w:r w:rsidRPr="00853414">
        <w:t xml:space="preserve">Pursuant to 40 CFR 264.76 and 265.76, if the </w:t>
      </w:r>
      <w:r w:rsidR="00D3102F">
        <w:t>facility</w:t>
      </w:r>
      <w:r w:rsidRPr="00853414">
        <w:t xml:space="preserve"> accepts a hazardous waste for treatment, storage, or disposal from any </w:t>
      </w:r>
      <w:r w:rsidR="00521F32">
        <w:t>offsite</w:t>
      </w:r>
      <w:r w:rsidRPr="00853414">
        <w:t xml:space="preserve"> source without an accompanying manifest or a shipping paper as described in 40 CFR 263.20(e)(2), and the waste is not excluded from the manifest requirement, the facility owner/operator must prepare and submit a letter to </w:t>
      </w:r>
      <w:r w:rsidR="00CB2DBC">
        <w:t>EPA</w:t>
      </w:r>
      <w:r w:rsidRPr="00853414">
        <w:t>.</w:t>
      </w:r>
    </w:p>
    <w:p w:rsidRPr="00853414" w:rsidR="000F4D0A" w:rsidP="00FA3A49" w:rsidRDefault="000F4D0A" w14:paraId="4B277589" w14:textId="77777777">
      <w:pPr>
        <w:tabs>
          <w:tab w:val="left" w:pos="-1200"/>
        </w:tabs>
      </w:pPr>
    </w:p>
    <w:p w:rsidRPr="00853414" w:rsidR="000F4D0A" w:rsidP="009F0295" w:rsidRDefault="00886BEF" w14:paraId="43D4DE56" w14:textId="77777777">
      <w:pPr>
        <w:keepNext/>
        <w:tabs>
          <w:tab w:val="left" w:pos="-1200"/>
        </w:tabs>
        <w:ind w:firstLine="720"/>
      </w:pPr>
      <w:r w:rsidRPr="00886BEF">
        <w:rPr>
          <w:u w:val="single"/>
        </w:rPr>
        <w:t>Data Item</w:t>
      </w:r>
    </w:p>
    <w:p w:rsidR="00030148" w:rsidP="009F0295" w:rsidRDefault="00030148" w14:paraId="586273B7" w14:textId="77777777">
      <w:pPr>
        <w:pStyle w:val="NoSpacing"/>
        <w:keepNext/>
        <w:widowControl/>
        <w:numPr>
          <w:ilvl w:val="0"/>
          <w:numId w:val="0"/>
        </w:numPr>
        <w:ind w:left="1080"/>
      </w:pPr>
    </w:p>
    <w:p w:rsidR="00425D37" w:rsidRDefault="00B621A4" w14:paraId="53FE1197" w14:textId="77777777">
      <w:pPr>
        <w:pStyle w:val="NoSpacing"/>
        <w:keepNext/>
        <w:widowControl/>
      </w:pPr>
      <w:r>
        <w:t>An un</w:t>
      </w:r>
      <w:r w:rsidR="00DD544B">
        <w:t>-</w:t>
      </w:r>
      <w:r>
        <w:t>manifested waste report</w:t>
      </w:r>
      <w:r w:rsidRPr="00853414" w:rsidR="000F4D0A">
        <w:t>.</w:t>
      </w:r>
    </w:p>
    <w:p w:rsidRPr="00853414" w:rsidR="000F4D0A" w:rsidP="00FA3A49" w:rsidRDefault="000F4D0A" w14:paraId="54F5AD17" w14:textId="77777777">
      <w:pPr>
        <w:tabs>
          <w:tab w:val="left" w:pos="-1200"/>
        </w:tabs>
      </w:pPr>
    </w:p>
    <w:p w:rsidR="000F4D0A" w:rsidP="005F3E7C" w:rsidRDefault="00886BEF" w14:paraId="6FFE2006" w14:textId="77777777">
      <w:pPr>
        <w:keepNext/>
        <w:tabs>
          <w:tab w:val="left" w:pos="-1200"/>
        </w:tabs>
        <w:ind w:left="720"/>
      </w:pPr>
      <w:r w:rsidRPr="00886BEF">
        <w:rPr>
          <w:u w:val="single"/>
        </w:rPr>
        <w:t>Respondent Activit</w:t>
      </w:r>
      <w:r w:rsidR="00B621A4">
        <w:rPr>
          <w:u w:val="single"/>
        </w:rPr>
        <w:t>y</w:t>
      </w:r>
    </w:p>
    <w:p w:rsidRPr="00853414" w:rsidR="00030148" w:rsidP="005F3E7C" w:rsidRDefault="00030148" w14:paraId="031F69C3" w14:textId="77777777">
      <w:pPr>
        <w:keepNext/>
        <w:tabs>
          <w:tab w:val="left" w:pos="-1200"/>
        </w:tabs>
        <w:ind w:left="720"/>
      </w:pPr>
    </w:p>
    <w:p w:rsidR="000F4D0A" w:rsidP="005F3E7C" w:rsidRDefault="000F4D0A" w14:paraId="672920C0" w14:textId="77777777">
      <w:pPr>
        <w:pStyle w:val="NoSpacing"/>
        <w:keepNext/>
        <w:widowControl/>
      </w:pPr>
      <w:r w:rsidRPr="00853414">
        <w:t xml:space="preserve">Prepare and submit to </w:t>
      </w:r>
      <w:r w:rsidR="00CB2DBC">
        <w:t>EPA</w:t>
      </w:r>
      <w:r w:rsidRPr="00853414">
        <w:t xml:space="preserve"> a letter of the un</w:t>
      </w:r>
      <w:r w:rsidR="00DD544B">
        <w:t>-</w:t>
      </w:r>
      <w:r w:rsidRPr="00853414">
        <w:t>manifested waste within 15 days after receiving the waste.</w:t>
      </w:r>
    </w:p>
    <w:p w:rsidR="00853D20" w:rsidP="00853D20" w:rsidRDefault="00853D20" w14:paraId="2FDA4776" w14:textId="77777777">
      <w:pPr>
        <w:pStyle w:val="NoSpacing"/>
        <w:widowControl/>
        <w:numPr>
          <w:ilvl w:val="0"/>
          <w:numId w:val="0"/>
        </w:numPr>
      </w:pPr>
    </w:p>
    <w:p w:rsidRPr="00853414" w:rsidR="00343196" w:rsidP="00343196" w:rsidRDefault="00343196" w14:paraId="63F43EF3" w14:textId="77777777">
      <w:pPr>
        <w:keepNext/>
        <w:keepLines/>
        <w:tabs>
          <w:tab w:val="left" w:pos="-1200"/>
        </w:tabs>
        <w:ind w:left="1440" w:hanging="720"/>
      </w:pPr>
      <w:r>
        <w:t>(e</w:t>
      </w:r>
      <w:r w:rsidRPr="00853414">
        <w:t>)</w:t>
      </w:r>
      <w:r w:rsidRPr="00853414">
        <w:tab/>
      </w:r>
      <w:r w:rsidRPr="00BB6B68" w:rsidR="00BB6B68">
        <w:t>Fees for the Electronic Hazardous Waste Manifest Program</w:t>
      </w:r>
    </w:p>
    <w:p w:rsidR="00853D20" w:rsidP="00853D20" w:rsidRDefault="00853D20" w14:paraId="2C1FDC40" w14:textId="77777777">
      <w:pPr>
        <w:pStyle w:val="NoSpacing"/>
        <w:widowControl/>
        <w:numPr>
          <w:ilvl w:val="0"/>
          <w:numId w:val="0"/>
        </w:numPr>
      </w:pPr>
    </w:p>
    <w:p w:rsidRPr="009231AB" w:rsidR="009231AB" w:rsidP="009231AB" w:rsidRDefault="009231AB" w14:paraId="5D515346" w14:textId="77777777">
      <w:pPr>
        <w:pStyle w:val="NoSpacing"/>
        <w:widowControl/>
        <w:numPr>
          <w:ilvl w:val="0"/>
          <w:numId w:val="0"/>
        </w:numPr>
        <w:ind w:firstLine="720"/>
        <w:rPr>
          <w:i/>
        </w:rPr>
      </w:pPr>
      <w:r w:rsidRPr="009231AB">
        <w:rPr>
          <w:i/>
        </w:rPr>
        <w:t>(e)(1)</w:t>
      </w:r>
      <w:r w:rsidRPr="009231AB">
        <w:rPr>
          <w:i/>
        </w:rPr>
        <w:tab/>
        <w:t>Manifest Transactions Subject to Fees</w:t>
      </w:r>
    </w:p>
    <w:p w:rsidR="009231AB" w:rsidP="009231AB" w:rsidRDefault="009231AB" w14:paraId="13F47DF9" w14:textId="77777777">
      <w:pPr>
        <w:pStyle w:val="NoSpacing"/>
        <w:widowControl/>
        <w:numPr>
          <w:ilvl w:val="0"/>
          <w:numId w:val="0"/>
        </w:numPr>
        <w:ind w:firstLine="720"/>
      </w:pPr>
    </w:p>
    <w:p w:rsidR="009231AB" w:rsidP="009231AB" w:rsidRDefault="009231AB" w14:paraId="25916F42" w14:textId="77777777">
      <w:pPr>
        <w:pStyle w:val="NoSpacing"/>
        <w:widowControl/>
        <w:numPr>
          <w:ilvl w:val="0"/>
          <w:numId w:val="0"/>
        </w:numPr>
      </w:pPr>
      <w:r>
        <w:t>40 CFR 264.1311(a)</w:t>
      </w:r>
      <w:r w:rsidR="00595FD8">
        <w:t xml:space="preserve"> and 265.1311(a)</w:t>
      </w:r>
      <w:r>
        <w:t xml:space="preserve"> provide </w:t>
      </w:r>
      <w:proofErr w:type="gramStart"/>
      <w:r>
        <w:t>that fees</w:t>
      </w:r>
      <w:proofErr w:type="gramEnd"/>
      <w:r>
        <w:t xml:space="preserve"> shall be assessed on a per manifest basis for the following manifest submission transactions:</w:t>
      </w:r>
    </w:p>
    <w:p w:rsidR="009231AB" w:rsidP="009231AB" w:rsidRDefault="009231AB" w14:paraId="5765FA7C" w14:textId="77777777">
      <w:pPr>
        <w:pStyle w:val="NoSpacing"/>
        <w:widowControl/>
        <w:numPr>
          <w:ilvl w:val="0"/>
          <w:numId w:val="0"/>
        </w:numPr>
      </w:pPr>
    </w:p>
    <w:p w:rsidR="009231AB" w:rsidP="009231AB" w:rsidRDefault="009231AB" w14:paraId="7E475A22" w14:textId="77777777">
      <w:pPr>
        <w:pStyle w:val="NoSpacing"/>
        <w:widowControl/>
        <w:numPr>
          <w:ilvl w:val="0"/>
          <w:numId w:val="13"/>
        </w:numPr>
        <w:ind w:left="1080"/>
      </w:pPr>
      <w:r>
        <w:t>The submission of each electronic manifest that is electronically signed and submitted to the e-Manifest system by the owners or operators of receiving facilities, with the fee assessed at the applicable rate for electronic manifest submissions</w:t>
      </w:r>
      <w:r w:rsidR="000E6596">
        <w:t xml:space="preserve">. </w:t>
      </w:r>
    </w:p>
    <w:p w:rsidR="009231AB" w:rsidP="009231AB" w:rsidRDefault="009231AB" w14:paraId="1259CA8F" w14:textId="77777777">
      <w:pPr>
        <w:pStyle w:val="NoSpacing"/>
        <w:widowControl/>
        <w:numPr>
          <w:ilvl w:val="0"/>
          <w:numId w:val="13"/>
        </w:numPr>
        <w:ind w:left="1080"/>
      </w:pPr>
      <w:r>
        <w:t>The submission of each paper manifest submission to the paper processing center signed by owners or operators of receiving facilities, with the fee assessed according to whether the manifest is submitted to the system by mail, by the upload of an image file, or by the upload of a data file representation of the paper manifest</w:t>
      </w:r>
      <w:r w:rsidR="000E6596">
        <w:t xml:space="preserve">. </w:t>
      </w:r>
    </w:p>
    <w:p w:rsidR="009231AB" w:rsidP="009231AB" w:rsidRDefault="009231AB" w14:paraId="19BC7B56" w14:textId="77777777">
      <w:pPr>
        <w:pStyle w:val="NoSpacing"/>
        <w:widowControl/>
        <w:numPr>
          <w:ilvl w:val="0"/>
          <w:numId w:val="13"/>
        </w:numPr>
        <w:ind w:left="1080"/>
      </w:pPr>
      <w:r>
        <w:t xml:space="preserve">The submission by receiving facilities of final manifest copies, signed by the facility to indicate a partial or total rejection of hazardous wastes, and indicating a return </w:t>
      </w:r>
      <w:r>
        <w:lastRenderedPageBreak/>
        <w:t xml:space="preserve">shipment to the original generator in Item 18a of the submitted manifest. This fee is assessed for the return shipment manifest, as identified by its Manifest Tracking Number in Item </w:t>
      </w:r>
      <w:proofErr w:type="gramStart"/>
      <w:r>
        <w:t>18a, and</w:t>
      </w:r>
      <w:proofErr w:type="gramEnd"/>
      <w:r>
        <w:t xml:space="preserve"> is assessed at the applicable rate determined by the method of submission.</w:t>
      </w:r>
    </w:p>
    <w:p w:rsidR="009231AB" w:rsidP="009231AB" w:rsidRDefault="009231AB" w14:paraId="6ED44C3C" w14:textId="77777777">
      <w:pPr>
        <w:pStyle w:val="NoSpacing"/>
        <w:widowControl/>
        <w:numPr>
          <w:ilvl w:val="0"/>
          <w:numId w:val="0"/>
        </w:numPr>
      </w:pPr>
    </w:p>
    <w:p w:rsidR="009231AB" w:rsidP="00595FD8" w:rsidRDefault="00595FD8" w14:paraId="617D8A43" w14:textId="77777777">
      <w:pPr>
        <w:pStyle w:val="NoSpacing"/>
        <w:widowControl/>
        <w:numPr>
          <w:ilvl w:val="0"/>
          <w:numId w:val="0"/>
        </w:numPr>
      </w:pPr>
      <w:r>
        <w:t>40 CFR 264.1311(b) and 265.1311(b) provide that r</w:t>
      </w:r>
      <w:r w:rsidR="009231AB">
        <w:t xml:space="preserve">eceiving facilities may submit image file uploads of completed, ink-signed manifests in lieu of submitting mailed paper forms to the e-Manifest system. Such image file upload submissions may be made for individual manifests received by a facility or as a batch upload of image files from multiple paper manifests received </w:t>
      </w:r>
      <w:r w:rsidRPr="000542A8" w:rsidR="009231AB">
        <w:t>at the facility</w:t>
      </w:r>
      <w:r w:rsidR="000E6596">
        <w:t xml:space="preserve">. </w:t>
      </w:r>
      <w:r w:rsidRPr="000542A8" w:rsidR="009231AB">
        <w:t>The image file upload must be made in an image file format approved by EPA and supported by the e-Manifest syst</w:t>
      </w:r>
      <w:r w:rsidRPr="000542A8">
        <w:t>em</w:t>
      </w:r>
      <w:r w:rsidR="000E6596">
        <w:t xml:space="preserve">. </w:t>
      </w:r>
      <w:r w:rsidRPr="000542A8" w:rsidR="009231AB">
        <w:t>At the time of submission of an image file upload, a responsible representative of the receiving facility must make a CROMERR compliant certification that to the representative’s knowledge or belief, the submitted image files are accurate and complete representations of the facility’s received manifests, and that the facility acknowledges that it is obligated to pay the applicable per manifest fee for each manifest included</w:t>
      </w:r>
      <w:r w:rsidR="009231AB">
        <w:t xml:space="preserve"> in the submission.</w:t>
      </w:r>
    </w:p>
    <w:p w:rsidR="00595FD8" w:rsidP="00595FD8" w:rsidRDefault="00595FD8" w14:paraId="282E1EE8" w14:textId="77777777">
      <w:pPr>
        <w:pStyle w:val="NoSpacing"/>
        <w:widowControl/>
        <w:numPr>
          <w:ilvl w:val="0"/>
          <w:numId w:val="0"/>
        </w:numPr>
      </w:pPr>
    </w:p>
    <w:p w:rsidR="00EC0EA5" w:rsidP="00EC0EA5" w:rsidRDefault="00E91B05" w14:paraId="0C6479B5" w14:textId="77777777">
      <w:pPr>
        <w:pStyle w:val="NoSpacing"/>
        <w:widowControl/>
        <w:numPr>
          <w:ilvl w:val="0"/>
          <w:numId w:val="0"/>
        </w:numPr>
      </w:pPr>
      <w:r>
        <w:t>40 CFR 264.1311(</w:t>
      </w:r>
      <w:r w:rsidR="00423859">
        <w:t>c</w:t>
      </w:r>
      <w:r>
        <w:t>) and 265.1311(</w:t>
      </w:r>
      <w:r w:rsidR="00423859">
        <w:t>c</w:t>
      </w:r>
      <w:r>
        <w:t>) provide that r</w:t>
      </w:r>
      <w:r w:rsidR="009231AB">
        <w:t>eceiving facilities may submit data file representations of completed, ink-signed manifests in lieu of submitting mailed paper forms or image files to the e-Manifest system. Such data file submissions from paper manifests may be made for individual manifests received by a facility or as a batch upload of data files from multiple paper manifests received at the facility</w:t>
      </w:r>
      <w:r w:rsidR="000E6596">
        <w:t xml:space="preserve">. </w:t>
      </w:r>
      <w:r w:rsidR="009231AB">
        <w:t xml:space="preserve">The data file upload must be made in a data file </w:t>
      </w:r>
      <w:r w:rsidRPr="000542A8" w:rsidR="009231AB">
        <w:t>format approved by EPA and sup</w:t>
      </w:r>
      <w:r w:rsidRPr="000542A8">
        <w:t>ported by the e-Manifest system</w:t>
      </w:r>
      <w:r w:rsidR="000E6596">
        <w:t xml:space="preserve">. </w:t>
      </w:r>
      <w:r w:rsidRPr="000542A8" w:rsidR="009231AB">
        <w:t>The receiving facility must also submit an image file of each manifest that is included in the individual</w:t>
      </w:r>
      <w:r w:rsidRPr="000542A8">
        <w:t xml:space="preserve"> or batch data file upload</w:t>
      </w:r>
      <w:r w:rsidR="000E6596">
        <w:t xml:space="preserve">. </w:t>
      </w:r>
      <w:r w:rsidRPr="000542A8" w:rsidR="009231AB">
        <w:t>At the time of submission of the data file upload, a responsible representative of the receiving facility must make a CROMERR compliant certification that to the representative’s knowledge or belief, the data and images submitted are accurate and complete representations of the facility’s received manifests, and that the facility acknowledges that it is obligated to pay the applicable per manifest fee for each manifest included in the submission</w:t>
      </w:r>
      <w:r w:rsidR="000E6596">
        <w:t xml:space="preserve">. </w:t>
      </w:r>
      <w:r w:rsidRPr="000542A8" w:rsidR="00EC0EA5">
        <w:t>[Refer to “Manifest Completion, Transmittal and Recordkeeping” in this section for facility data items and activities associated</w:t>
      </w:r>
      <w:r w:rsidR="00EC0EA5">
        <w:t xml:space="preserve"> with these requirements.]</w:t>
      </w:r>
    </w:p>
    <w:p w:rsidR="00903E3F" w:rsidP="00903E3F" w:rsidRDefault="00903E3F" w14:paraId="059DDCEA" w14:textId="77777777">
      <w:pPr>
        <w:pStyle w:val="NoSpacing"/>
        <w:widowControl/>
        <w:numPr>
          <w:ilvl w:val="0"/>
          <w:numId w:val="0"/>
        </w:numPr>
        <w:rPr>
          <w:highlight w:val="green"/>
        </w:rPr>
      </w:pPr>
    </w:p>
    <w:p w:rsidRPr="009231AB" w:rsidR="00CE0BC0" w:rsidP="00CE0BC0" w:rsidRDefault="00CE0BC0" w14:paraId="1430AD6A" w14:textId="77777777">
      <w:pPr>
        <w:pStyle w:val="NoSpacing"/>
        <w:widowControl/>
        <w:numPr>
          <w:ilvl w:val="0"/>
          <w:numId w:val="0"/>
        </w:numPr>
        <w:ind w:firstLine="720"/>
        <w:rPr>
          <w:i/>
        </w:rPr>
      </w:pPr>
      <w:r w:rsidRPr="009231AB">
        <w:rPr>
          <w:i/>
        </w:rPr>
        <w:t>(e)(</w:t>
      </w:r>
      <w:r>
        <w:rPr>
          <w:i/>
        </w:rPr>
        <w:t>2</w:t>
      </w:r>
      <w:r w:rsidRPr="009231AB">
        <w:rPr>
          <w:i/>
        </w:rPr>
        <w:t>)</w:t>
      </w:r>
      <w:r w:rsidRPr="009231AB">
        <w:rPr>
          <w:i/>
        </w:rPr>
        <w:tab/>
      </w:r>
      <w:r>
        <w:rPr>
          <w:i/>
        </w:rPr>
        <w:t>Making User Fee Payments and Sanctions for Delinquent Payments</w:t>
      </w:r>
    </w:p>
    <w:p w:rsidR="00653185" w:rsidP="00653185" w:rsidRDefault="00653185" w14:paraId="2A797C06" w14:textId="77777777">
      <w:pPr>
        <w:pStyle w:val="NoSpacing"/>
        <w:widowControl/>
        <w:numPr>
          <w:ilvl w:val="0"/>
          <w:numId w:val="0"/>
        </w:numPr>
      </w:pPr>
    </w:p>
    <w:p w:rsidR="00CE0BC0" w:rsidP="00653185" w:rsidRDefault="00653185" w14:paraId="1197B4B8" w14:textId="77777777">
      <w:pPr>
        <w:pStyle w:val="NoSpacing"/>
        <w:widowControl/>
        <w:numPr>
          <w:ilvl w:val="0"/>
          <w:numId w:val="0"/>
        </w:numPr>
      </w:pPr>
      <w:r>
        <w:t>40 CFR 264.1314(a)-(c)</w:t>
      </w:r>
      <w:r w:rsidR="00922C7B">
        <w:t xml:space="preserve"> and 265</w:t>
      </w:r>
      <w:r>
        <w:t>.1314(a)-(c) provide that a</w:t>
      </w:r>
      <w:r w:rsidR="00CE0BC0">
        <w:t xml:space="preserve">ll </w:t>
      </w:r>
      <w:r>
        <w:t xml:space="preserve">required </w:t>
      </w:r>
      <w:r w:rsidR="00CE0BC0">
        <w:t>fees shall be paid by the receiving facility in response to an electronic invoice or bill identifying manifest-related services provided the user during the previous month and identifying the fees owed for the enumerated services</w:t>
      </w:r>
      <w:r w:rsidR="000E6596">
        <w:t xml:space="preserve">. </w:t>
      </w:r>
      <w:r w:rsidR="00CE0BC0">
        <w:t xml:space="preserve">All </w:t>
      </w:r>
      <w:r>
        <w:t xml:space="preserve">required </w:t>
      </w:r>
      <w:r w:rsidR="00CE0BC0">
        <w:t>fees shall be paid to EPA by the facility electronically in U.S. dollars, using one of the electronic payment methods supported by the Department of the Treasury's Pay.gov online electronic payment service, or any applicable additional or successor online electronic payment service offered by the Department of Treasury</w:t>
      </w:r>
      <w:r w:rsidR="000E6596">
        <w:t xml:space="preserve">. </w:t>
      </w:r>
      <w:r w:rsidR="004A3FC9">
        <w:t>A</w:t>
      </w:r>
      <w:r w:rsidR="00CE0BC0">
        <w:t>ll fees for which payments are owed in response to an electronic invoice or bill must be paid within 30 days of the date of the invoice or bill</w:t>
      </w:r>
      <w:r w:rsidR="000E6596">
        <w:t xml:space="preserve">. </w:t>
      </w:r>
    </w:p>
    <w:p w:rsidR="00653185" w:rsidP="00653185" w:rsidRDefault="00653185" w14:paraId="03FCB5B6" w14:textId="77777777">
      <w:pPr>
        <w:pStyle w:val="NoSpacing"/>
        <w:widowControl/>
        <w:numPr>
          <w:ilvl w:val="0"/>
          <w:numId w:val="0"/>
        </w:numPr>
      </w:pPr>
    </w:p>
    <w:p w:rsidR="00B46185" w:rsidP="00CE0BC0" w:rsidRDefault="00653185" w14:paraId="10D3C9CE" w14:textId="77777777">
      <w:pPr>
        <w:pStyle w:val="NoSpacing"/>
        <w:widowControl/>
        <w:numPr>
          <w:ilvl w:val="0"/>
          <w:numId w:val="0"/>
        </w:numPr>
      </w:pPr>
      <w:r>
        <w:t>40 CFR 264.1315</w:t>
      </w:r>
      <w:r w:rsidR="00922C7B">
        <w:t>(a)-(c) and 265</w:t>
      </w:r>
      <w:r>
        <w:t>.1315</w:t>
      </w:r>
      <w:r w:rsidR="0073717D">
        <w:t>(a)-(c</w:t>
      </w:r>
      <w:proofErr w:type="gramStart"/>
      <w:r w:rsidR="0073717D">
        <w:t xml:space="preserve">) </w:t>
      </w:r>
      <w:r>
        <w:t xml:space="preserve"> provide</w:t>
      </w:r>
      <w:proofErr w:type="gramEnd"/>
      <w:r>
        <w:t xml:space="preserve"> that, i</w:t>
      </w:r>
      <w:r w:rsidR="00CE0BC0">
        <w:t xml:space="preserve">n accordance with 31 U.S.C. 3717(a)(1), delinquent e-Manifest user fee accounts shall be charged a minimum annual rate of </w:t>
      </w:r>
      <w:r w:rsidR="00CE0BC0">
        <w:lastRenderedPageBreak/>
        <w:t>interest equal to the average investment rate for Treasury tax and loan accounts (Current Value of Funds Rate or CVFR) for the 12-month period ending September 30th of each year, rounded to the nearest whole percent</w:t>
      </w:r>
      <w:r w:rsidR="000E6596">
        <w:t xml:space="preserve">. </w:t>
      </w:r>
      <w:r w:rsidR="00CE0BC0">
        <w:t xml:space="preserve">In accordance with 31 U.S.C. 3717(e), e-Manifest user fee accounts that are more than 90 days past due </w:t>
      </w:r>
      <w:r w:rsidR="00983CEE">
        <w:t xml:space="preserve">(i.e., not paid by date 120 days from date of invoice) </w:t>
      </w:r>
      <w:r w:rsidR="00CE0BC0">
        <w:t>shall be charged an additional penalty of 6% per year assessed on any part of the debt that is past due for more than 90 days, plus any applicable handling charges.</w:t>
      </w:r>
      <w:r>
        <w:t xml:space="preserve"> </w:t>
      </w:r>
      <w:r w:rsidR="00CE0BC0">
        <w:t>A m</w:t>
      </w:r>
      <w:r>
        <w:t>anifest is fully perfected when 1) t</w:t>
      </w:r>
      <w:r w:rsidR="00CE0BC0">
        <w:t>he manifest has been su</w:t>
      </w:r>
      <w:r>
        <w:t xml:space="preserve">bmitted by the </w:t>
      </w:r>
      <w:r w:rsidR="00CE0BC0">
        <w:t>receiving facility to the e-Manifest system, as either an electronic submission or a paper manifest submission, and</w:t>
      </w:r>
      <w:r>
        <w:t xml:space="preserve"> </w:t>
      </w:r>
      <w:r w:rsidR="00CE0BC0">
        <w:t xml:space="preserve">2) </w:t>
      </w:r>
      <w:r>
        <w:t>a</w:t>
      </w:r>
      <w:r w:rsidR="00CE0BC0">
        <w:t>ll user fees arising from the submission of the manifest have been fully paid.</w:t>
      </w:r>
    </w:p>
    <w:p w:rsidR="00B46185" w:rsidP="00CE0BC0" w:rsidRDefault="00B46185" w14:paraId="27F1B0A4" w14:textId="77777777">
      <w:pPr>
        <w:pStyle w:val="NoSpacing"/>
        <w:widowControl/>
        <w:numPr>
          <w:ilvl w:val="0"/>
          <w:numId w:val="0"/>
        </w:numPr>
      </w:pPr>
    </w:p>
    <w:p w:rsidR="00B46185" w:rsidP="00B46185" w:rsidRDefault="00B46185" w14:paraId="7E123E05" w14:textId="77777777">
      <w:pPr>
        <w:keepNext/>
      </w:pPr>
      <w:r>
        <w:t>[Note:  There are no data items or activities associated with these provisions.]</w:t>
      </w:r>
    </w:p>
    <w:p w:rsidR="00B46185" w:rsidP="00D32F79" w:rsidRDefault="00B46185" w14:paraId="1CE239BC" w14:textId="77777777">
      <w:pPr>
        <w:pStyle w:val="NoSpacing"/>
        <w:widowControl/>
        <w:numPr>
          <w:ilvl w:val="0"/>
          <w:numId w:val="0"/>
        </w:numPr>
        <w:ind w:firstLine="720"/>
        <w:rPr>
          <w:i/>
        </w:rPr>
      </w:pPr>
    </w:p>
    <w:p w:rsidRPr="009231AB" w:rsidR="00D32F79" w:rsidP="00D32F79" w:rsidRDefault="00D32F79" w14:paraId="2DCD94C6" w14:textId="77777777">
      <w:pPr>
        <w:pStyle w:val="NoSpacing"/>
        <w:widowControl/>
        <w:numPr>
          <w:ilvl w:val="0"/>
          <w:numId w:val="0"/>
        </w:numPr>
        <w:ind w:firstLine="720"/>
        <w:rPr>
          <w:i/>
        </w:rPr>
      </w:pPr>
      <w:r w:rsidRPr="009231AB">
        <w:rPr>
          <w:i/>
        </w:rPr>
        <w:t>(e)(</w:t>
      </w:r>
      <w:r>
        <w:rPr>
          <w:i/>
        </w:rPr>
        <w:t>3</w:t>
      </w:r>
      <w:r w:rsidRPr="009231AB">
        <w:rPr>
          <w:i/>
        </w:rPr>
        <w:t>)</w:t>
      </w:r>
      <w:r w:rsidRPr="009231AB">
        <w:rPr>
          <w:i/>
        </w:rPr>
        <w:tab/>
      </w:r>
      <w:r w:rsidR="00E70E77">
        <w:rPr>
          <w:i/>
        </w:rPr>
        <w:t>Informal Fee Dispute Resolution</w:t>
      </w:r>
    </w:p>
    <w:p w:rsidR="00CE0BC0" w:rsidP="00853D20" w:rsidRDefault="00CE0BC0" w14:paraId="42D1419A" w14:textId="77777777">
      <w:pPr>
        <w:pStyle w:val="NoSpacing"/>
        <w:widowControl/>
        <w:numPr>
          <w:ilvl w:val="0"/>
          <w:numId w:val="0"/>
        </w:numPr>
      </w:pPr>
    </w:p>
    <w:p w:rsidRPr="000542A8" w:rsidR="00A95FA2" w:rsidP="00150720" w:rsidRDefault="00E70E77" w14:paraId="70CE8A55" w14:textId="77777777">
      <w:pPr>
        <w:pStyle w:val="NoSpacing"/>
        <w:widowControl/>
        <w:numPr>
          <w:ilvl w:val="0"/>
          <w:numId w:val="0"/>
        </w:numPr>
      </w:pPr>
      <w:r w:rsidRPr="000542A8">
        <w:t xml:space="preserve">40 CFR 264.1316(a) and 265.1316(a) provide </w:t>
      </w:r>
      <w:proofErr w:type="gramStart"/>
      <w:r w:rsidRPr="000542A8">
        <w:t>that u</w:t>
      </w:r>
      <w:r w:rsidRPr="000542A8" w:rsidR="00150720">
        <w:t>sers of e-Manifest services</w:t>
      </w:r>
      <w:proofErr w:type="gramEnd"/>
      <w:r w:rsidRPr="000542A8" w:rsidR="00150720">
        <w:t xml:space="preserve"> that believe their invoice or charges to be in error must present their claims for fee dispute resolution informally using the</w:t>
      </w:r>
      <w:r w:rsidRPr="000542A8">
        <w:t xml:space="preserve"> described</w:t>
      </w:r>
      <w:r w:rsidRPr="000542A8" w:rsidR="00150720">
        <w:t xml:space="preserve"> process</w:t>
      </w:r>
      <w:r w:rsidR="000E6596">
        <w:t xml:space="preserve">. </w:t>
      </w:r>
    </w:p>
    <w:p w:rsidRPr="000542A8" w:rsidR="00A95FA2" w:rsidP="00150720" w:rsidRDefault="00A95FA2" w14:paraId="3E9DD378" w14:textId="77777777">
      <w:pPr>
        <w:pStyle w:val="NoSpacing"/>
        <w:widowControl/>
        <w:numPr>
          <w:ilvl w:val="0"/>
          <w:numId w:val="0"/>
        </w:numPr>
      </w:pPr>
    </w:p>
    <w:p w:rsidRPr="000542A8" w:rsidR="00A95FA2" w:rsidP="00150720" w:rsidRDefault="00E70E77" w14:paraId="47C66E59" w14:textId="77777777">
      <w:pPr>
        <w:pStyle w:val="NoSpacing"/>
        <w:widowControl/>
        <w:numPr>
          <w:ilvl w:val="0"/>
          <w:numId w:val="0"/>
        </w:numPr>
      </w:pPr>
      <w:r w:rsidRPr="000542A8">
        <w:t xml:space="preserve">40 CFR 264.1316(b) and 265.1316(b) provide </w:t>
      </w:r>
      <w:proofErr w:type="gramStart"/>
      <w:r w:rsidRPr="000542A8">
        <w:t>that u</w:t>
      </w:r>
      <w:r w:rsidRPr="000542A8" w:rsidR="00150720">
        <w:t>sers</w:t>
      </w:r>
      <w:proofErr w:type="gramEnd"/>
      <w:r w:rsidRPr="000542A8" w:rsidR="00150720">
        <w:t xml:space="preserve"> asserting a billing dispute claim must first contact the system’s billing representatives by phone or email at the phone number or email address provided for this purpose on the e-Manifest program’s web site or other customer services directory</w:t>
      </w:r>
      <w:r w:rsidR="000E6596">
        <w:t xml:space="preserve">. </w:t>
      </w:r>
      <w:r w:rsidRPr="000542A8">
        <w:t>They must provide the information specified at 40 CFR 264.1316(b)(1) and (2) or 265.1316(b)(1) and (2)</w:t>
      </w:r>
      <w:r w:rsidR="000E6596">
        <w:t xml:space="preserve">. </w:t>
      </w:r>
      <w:r w:rsidRPr="000542A8" w:rsidR="00150720">
        <w:t>EPA's system billing representatives must respond to billing dispute claims within ten days of receipt of a claim</w:t>
      </w:r>
      <w:r w:rsidR="000E6596">
        <w:t xml:space="preserve">. </w:t>
      </w:r>
    </w:p>
    <w:p w:rsidRPr="000542A8" w:rsidR="00A95FA2" w:rsidP="00150720" w:rsidRDefault="00A95FA2" w14:paraId="22841850" w14:textId="77777777">
      <w:pPr>
        <w:pStyle w:val="NoSpacing"/>
        <w:widowControl/>
        <w:numPr>
          <w:ilvl w:val="0"/>
          <w:numId w:val="0"/>
        </w:numPr>
      </w:pPr>
    </w:p>
    <w:p w:rsidRPr="000542A8" w:rsidR="00CE0BC0" w:rsidP="00150720" w:rsidRDefault="00E70E77" w14:paraId="40A56F95" w14:textId="77777777">
      <w:pPr>
        <w:pStyle w:val="NoSpacing"/>
        <w:widowControl/>
        <w:numPr>
          <w:ilvl w:val="0"/>
          <w:numId w:val="0"/>
        </w:numPr>
      </w:pPr>
      <w:r w:rsidRPr="000542A8">
        <w:t>40 CFR 264.1316(c) and 265.1316(c) provide that f</w:t>
      </w:r>
      <w:r w:rsidRPr="000542A8" w:rsidR="00150720">
        <w:t>ee dispute claimants that are not satisfied by the response to their claim from the system’s billing representatives may appeal their claim and initial decision to the Office Director for the Office of Resource Conservation and Recovery</w:t>
      </w:r>
      <w:r w:rsidR="000E6596">
        <w:t xml:space="preserve">. </w:t>
      </w:r>
      <w:r w:rsidRPr="000542A8" w:rsidR="00150720">
        <w:t>Any appeal from the initial decision of the system’s billing representatives must be taken within 10 days of the initial decision of the syst</w:t>
      </w:r>
      <w:r w:rsidRPr="000542A8">
        <w:t>em’s billing representatives</w:t>
      </w:r>
      <w:r w:rsidR="000E6596">
        <w:t xml:space="preserve">. </w:t>
      </w:r>
      <w:r w:rsidRPr="000542A8">
        <w:t>They must provide the information specified at 40 CFR 264.1316(c)(2)</w:t>
      </w:r>
      <w:r w:rsidRPr="000542A8" w:rsidR="00FC43A3">
        <w:t xml:space="preserve"> </w:t>
      </w:r>
      <w:r w:rsidRPr="000542A8">
        <w:t>or 265.1316(c)(2)</w:t>
      </w:r>
      <w:r w:rsidR="000E6596">
        <w:t xml:space="preserve">. </w:t>
      </w:r>
      <w:r w:rsidRPr="000542A8" w:rsidR="00150720">
        <w:t>The Office Director shall review the record presented to him or her on an appeal and shall determine whether the claimant is entitled to relief from the invoice alleged to be in error, and if so, shall state the amount of the recalculated invoice and the amount of the invoice to be adjusted</w:t>
      </w:r>
      <w:r w:rsidR="000E6596">
        <w:t xml:space="preserve">. </w:t>
      </w:r>
      <w:r w:rsidRPr="000542A8" w:rsidR="00150720">
        <w:t xml:space="preserve">The decision of the Office Director </w:t>
      </w:r>
      <w:r w:rsidRPr="000542A8" w:rsidR="007D302B">
        <w:t>o</w:t>
      </w:r>
      <w:r w:rsidRPr="000542A8" w:rsidR="00150720">
        <w:t>n any appeal is final and non-reviewable.</w:t>
      </w:r>
    </w:p>
    <w:p w:rsidRPr="000542A8" w:rsidR="00CE0BC0" w:rsidP="00853D20" w:rsidRDefault="00CE0BC0" w14:paraId="25B67BA6" w14:textId="77777777">
      <w:pPr>
        <w:pStyle w:val="NoSpacing"/>
        <w:widowControl/>
        <w:numPr>
          <w:ilvl w:val="0"/>
          <w:numId w:val="0"/>
        </w:numPr>
      </w:pPr>
    </w:p>
    <w:p w:rsidRPr="000542A8" w:rsidR="0083090E" w:rsidP="0083090E" w:rsidRDefault="0083090E" w14:paraId="64B264F2" w14:textId="77777777">
      <w:pPr>
        <w:keepNext/>
        <w:keepLines/>
        <w:tabs>
          <w:tab w:val="left" w:pos="-1200"/>
        </w:tabs>
        <w:ind w:firstLine="720"/>
      </w:pPr>
      <w:r w:rsidRPr="000542A8">
        <w:rPr>
          <w:u w:val="single"/>
        </w:rPr>
        <w:t>Data Items</w:t>
      </w:r>
    </w:p>
    <w:p w:rsidRPr="000542A8" w:rsidR="0083090E" w:rsidP="0083090E" w:rsidRDefault="0083090E" w14:paraId="2AD7895B" w14:textId="77777777">
      <w:pPr>
        <w:pStyle w:val="NoSpacing"/>
        <w:widowControl/>
        <w:numPr>
          <w:ilvl w:val="0"/>
          <w:numId w:val="0"/>
        </w:numPr>
        <w:ind w:left="1080"/>
      </w:pPr>
    </w:p>
    <w:p w:rsidR="00425D37" w:rsidRDefault="00942AD8" w14:paraId="29BD420D" w14:textId="77777777">
      <w:pPr>
        <w:pStyle w:val="NoSpacing"/>
        <w:widowControl/>
      </w:pPr>
      <w:r w:rsidRPr="000542A8">
        <w:t>As required by 40 CFR 264.1316(b)(1) or 265.1316(b)(1), information identifying the claimant and the invoice(s) that are affected by the dispute.</w:t>
      </w:r>
    </w:p>
    <w:p w:rsidRPr="000542A8" w:rsidR="00942AD8" w:rsidP="00942AD8" w:rsidRDefault="00942AD8" w14:paraId="5C9BA5F7" w14:textId="77777777">
      <w:pPr>
        <w:pStyle w:val="NoSpacing"/>
        <w:widowControl/>
        <w:numPr>
          <w:ilvl w:val="0"/>
          <w:numId w:val="0"/>
        </w:numPr>
        <w:ind w:left="1440"/>
      </w:pPr>
    </w:p>
    <w:p w:rsidR="00425D37" w:rsidRDefault="00942AD8" w14:paraId="5A3AEC3D" w14:textId="77777777">
      <w:pPr>
        <w:pStyle w:val="NoSpacing"/>
      </w:pPr>
      <w:r w:rsidRPr="000542A8">
        <w:t>As required by 40 CFR 264.1316(b)(2) or 265.1316(b)(2), sufficient supporting information to identify the nature and amount of the fee dispute.</w:t>
      </w:r>
    </w:p>
    <w:p w:rsidRPr="000542A8" w:rsidR="0083090E" w:rsidP="008112BC" w:rsidRDefault="0083090E" w14:paraId="2185D580" w14:textId="77777777">
      <w:pPr>
        <w:pStyle w:val="NoSpacing"/>
        <w:widowControl/>
        <w:numPr>
          <w:ilvl w:val="0"/>
          <w:numId w:val="0"/>
        </w:numPr>
      </w:pPr>
    </w:p>
    <w:p w:rsidR="00425D37" w:rsidRDefault="008112BC" w14:paraId="265C5436" w14:textId="77777777">
      <w:pPr>
        <w:pStyle w:val="NoSpacing"/>
        <w:widowControl/>
        <w:numPr>
          <w:ilvl w:val="0"/>
          <w:numId w:val="16"/>
        </w:numPr>
        <w:ind w:left="1080"/>
      </w:pPr>
      <w:r w:rsidRPr="000542A8">
        <w:t>As required by 40 CFR 264.1316(c)(2) or 265.1316(c)(2), information</w:t>
      </w:r>
      <w:r w:rsidR="00B160BD">
        <w:t xml:space="preserve"> about the billing error</w:t>
      </w:r>
      <w:r w:rsidR="00633B7A">
        <w:t>.</w:t>
      </w:r>
    </w:p>
    <w:p w:rsidRPr="000542A8" w:rsidR="0083090E" w:rsidP="0083090E" w:rsidRDefault="0083090E" w14:paraId="3F1764BF" w14:textId="77777777">
      <w:pPr>
        <w:pStyle w:val="NoSpacing"/>
        <w:widowControl/>
        <w:numPr>
          <w:ilvl w:val="0"/>
          <w:numId w:val="0"/>
        </w:numPr>
        <w:ind w:left="1080"/>
      </w:pPr>
    </w:p>
    <w:p w:rsidRPr="000542A8" w:rsidR="0083090E" w:rsidP="005F3E7C" w:rsidRDefault="0083090E" w14:paraId="7F80D803" w14:textId="77777777">
      <w:pPr>
        <w:keepNext/>
        <w:tabs>
          <w:tab w:val="left" w:pos="-1200"/>
        </w:tabs>
        <w:ind w:left="720"/>
        <w:rPr>
          <w:u w:val="single"/>
        </w:rPr>
      </w:pPr>
      <w:r w:rsidRPr="000542A8">
        <w:rPr>
          <w:u w:val="single"/>
        </w:rPr>
        <w:t>Respondent Activit</w:t>
      </w:r>
      <w:r w:rsidRPr="000542A8" w:rsidR="00B63752">
        <w:rPr>
          <w:u w:val="single"/>
        </w:rPr>
        <w:t>ies</w:t>
      </w:r>
    </w:p>
    <w:p w:rsidRPr="000542A8" w:rsidR="00CE0BC0" w:rsidP="005F3E7C" w:rsidRDefault="00CE0BC0" w14:paraId="0CEBE91F" w14:textId="77777777">
      <w:pPr>
        <w:pStyle w:val="NoSpacing"/>
        <w:keepNext/>
        <w:widowControl/>
        <w:numPr>
          <w:ilvl w:val="0"/>
          <w:numId w:val="0"/>
        </w:numPr>
      </w:pPr>
    </w:p>
    <w:p w:rsidRPr="000542A8" w:rsidR="00B63752" w:rsidP="005F3E7C" w:rsidRDefault="00B63752" w14:paraId="515B11D1" w14:textId="77777777">
      <w:pPr>
        <w:pStyle w:val="NoSpacing"/>
        <w:keepNext/>
        <w:widowControl/>
        <w:numPr>
          <w:ilvl w:val="0"/>
          <w:numId w:val="18"/>
        </w:numPr>
        <w:ind w:left="1080"/>
      </w:pPr>
      <w:r w:rsidRPr="000542A8">
        <w:t>Fee dispute claimants may contact the system’s billing representatives by phone or email and provide the specified information under 40 CFR 264.1316(b) or 265.1316(b).</w:t>
      </w:r>
    </w:p>
    <w:p w:rsidRPr="000542A8" w:rsidR="00B63752" w:rsidP="00B63752" w:rsidRDefault="00B63752" w14:paraId="2DC76AAD" w14:textId="77777777">
      <w:pPr>
        <w:pStyle w:val="NoSpacing"/>
        <w:widowControl/>
        <w:numPr>
          <w:ilvl w:val="0"/>
          <w:numId w:val="0"/>
        </w:numPr>
        <w:ind w:left="1080" w:hanging="360"/>
      </w:pPr>
    </w:p>
    <w:p w:rsidR="008D086B" w:rsidP="00B63752" w:rsidRDefault="00B63752" w14:paraId="565429F7" w14:textId="77777777">
      <w:pPr>
        <w:pStyle w:val="NoSpacing"/>
        <w:widowControl/>
        <w:numPr>
          <w:ilvl w:val="0"/>
          <w:numId w:val="18"/>
        </w:numPr>
        <w:ind w:left="1080"/>
      </w:pPr>
      <w:r w:rsidRPr="000542A8">
        <w:t>Fee dispute claimants may appeal the billing representatives’ decision by providing the information specified at 40 CFR 264.1316(c)(2)</w:t>
      </w:r>
      <w:r w:rsidRPr="000542A8" w:rsidR="00220E74">
        <w:t xml:space="preserve"> </w:t>
      </w:r>
      <w:r w:rsidRPr="000542A8">
        <w:t>or 265.1316(c)(2)</w:t>
      </w:r>
      <w:r w:rsidRPr="000542A8" w:rsidR="009A33AB">
        <w:t xml:space="preserve"> to the Office Director for the Office of Resource Conservation and Recovery</w:t>
      </w:r>
      <w:r w:rsidR="000E6596">
        <w:t>.</w:t>
      </w:r>
    </w:p>
    <w:p w:rsidR="00400C37" w:rsidRDefault="00400C37" w14:paraId="63E3F36B" w14:textId="77777777"/>
    <w:p w:rsidRPr="006A47EC" w:rsidR="00400C37" w:rsidP="00400C37" w:rsidRDefault="00400C37" w14:paraId="6C546E9B" w14:textId="77777777">
      <w:pPr>
        <w:tabs>
          <w:tab w:val="left" w:pos="-1200"/>
        </w:tabs>
        <w:rPr>
          <w:sz w:val="20"/>
          <w:szCs w:val="20"/>
        </w:rPr>
      </w:pPr>
    </w:p>
    <w:p w:rsidRPr="004F1576" w:rsidR="00400C37" w:rsidP="00400C37" w:rsidRDefault="00400C37" w14:paraId="7E24299D" w14:textId="4F1F873D">
      <w:pPr>
        <w:pStyle w:val="Heading2"/>
        <w:widowControl/>
      </w:pPr>
      <w:r>
        <w:t>Estimating the Respondent Universe</w:t>
      </w:r>
    </w:p>
    <w:p w:rsidR="00400C37" w:rsidP="00400C37" w:rsidRDefault="00400C37" w14:paraId="4C5D6F3C" w14:textId="77777777">
      <w:pPr>
        <w:tabs>
          <w:tab w:val="left" w:pos="-1200"/>
        </w:tabs>
      </w:pPr>
    </w:p>
    <w:p w:rsidRPr="005B4DC0" w:rsidR="00400C37" w:rsidP="00400C37" w:rsidRDefault="00400C37" w14:paraId="37812CBC" w14:textId="77777777">
      <w:pPr>
        <w:tabs>
          <w:tab w:val="left" w:pos="-1200"/>
        </w:tabs>
      </w:pPr>
      <w:r>
        <w:t xml:space="preserve">Beginning in April 2020, EPA reviewed data collected by the e-Manifest system to estimate the number of paper and electronic manifests prepared and offered into transportation annually as well as the number of waste handlers preparing </w:t>
      </w:r>
      <w:r w:rsidRPr="005B4DC0">
        <w:t>and using these forms.</w:t>
      </w:r>
      <w:r w:rsidRPr="005B4DC0">
        <w:rPr>
          <w:rStyle w:val="FootnoteReference"/>
          <w:vertAlign w:val="superscript"/>
        </w:rPr>
        <w:footnoteReference w:id="8"/>
      </w:r>
      <w:r w:rsidRPr="005B4DC0">
        <w:t xml:space="preserve"> In addition, EPA incorporated feedback from its limited industry consultations performed for this ICR</w:t>
      </w:r>
      <w:r>
        <w:t xml:space="preserve"> in July and August 2020</w:t>
      </w:r>
      <w:r w:rsidRPr="005B4DC0">
        <w:t xml:space="preserve">. </w:t>
      </w:r>
    </w:p>
    <w:p w:rsidRPr="005B4DC0" w:rsidR="00400C37" w:rsidP="00400C37" w:rsidRDefault="00400C37" w14:paraId="719DFD43" w14:textId="77777777">
      <w:pPr>
        <w:tabs>
          <w:tab w:val="left" w:pos="-1200"/>
        </w:tabs>
      </w:pPr>
    </w:p>
    <w:p w:rsidR="00400C37" w:rsidP="00400C37" w:rsidRDefault="00400C37" w14:paraId="5509F2CB" w14:textId="77777777">
      <w:pPr>
        <w:tabs>
          <w:tab w:val="left" w:pos="-1200"/>
        </w:tabs>
      </w:pPr>
      <w:r w:rsidRPr="005B4DC0">
        <w:t>This section first discusses EPA’s estimate</w:t>
      </w:r>
      <w:r>
        <w:t>d number</w:t>
      </w:r>
      <w:r w:rsidRPr="005B4DC0">
        <w:t xml:space="preserve"> of waste handlers who manifest federal and state hazardous waste, respectively. It then discusses the estimated number</w:t>
      </w:r>
      <w:r>
        <w:t xml:space="preserve"> of manifests that are prepared and offered into transportation annually. These estimates form the basis for the burden estimates in this ICR.</w:t>
      </w:r>
    </w:p>
    <w:p w:rsidR="00400C37" w:rsidP="00400C37" w:rsidRDefault="00400C37" w14:paraId="79B42E88" w14:textId="77777777">
      <w:pPr>
        <w:tabs>
          <w:tab w:val="left" w:pos="-1200"/>
        </w:tabs>
      </w:pPr>
    </w:p>
    <w:p w:rsidRPr="00CA6E50" w:rsidR="00400C37" w:rsidP="00400C37" w:rsidRDefault="00400C37" w14:paraId="106A20FA" w14:textId="77777777">
      <w:pPr>
        <w:tabs>
          <w:tab w:val="left" w:pos="-1200"/>
        </w:tabs>
        <w:rPr>
          <w:b/>
        </w:rPr>
      </w:pPr>
      <w:r>
        <w:rPr>
          <w:b/>
        </w:rPr>
        <w:tab/>
        <w:t xml:space="preserve">1) </w:t>
      </w:r>
      <w:r w:rsidRPr="00CA6E50">
        <w:rPr>
          <w:b/>
        </w:rPr>
        <w:t xml:space="preserve">Handlers who Manifest Federal </w:t>
      </w:r>
      <w:r>
        <w:rPr>
          <w:b/>
        </w:rPr>
        <w:t xml:space="preserve">Hazardous </w:t>
      </w:r>
      <w:r w:rsidRPr="00CA6E50">
        <w:rPr>
          <w:b/>
        </w:rPr>
        <w:t xml:space="preserve">Waste </w:t>
      </w:r>
    </w:p>
    <w:p w:rsidR="00400C37" w:rsidP="00400C37" w:rsidRDefault="00400C37" w14:paraId="527FDD2D" w14:textId="77777777">
      <w:pPr>
        <w:tabs>
          <w:tab w:val="left" w:pos="-1200"/>
        </w:tabs>
      </w:pPr>
    </w:p>
    <w:p w:rsidRPr="004137C5" w:rsidR="00400C37" w:rsidP="00400C37" w:rsidRDefault="00400C37" w14:paraId="0E54F6B2" w14:textId="77777777">
      <w:pPr>
        <w:tabs>
          <w:tab w:val="left" w:pos="-1200"/>
        </w:tabs>
      </w:pPr>
      <w:r w:rsidRPr="009A301D">
        <w:t>Based on e-Manifest data, EPA estimates the annual number of waste handlers that manifest federal hazardous waste, as shown in Table 2. In total, EPA estimates that 42,928 waste handlers will be involved in the shipment of federally regulated wastes using the federal manifest annually.</w:t>
      </w:r>
      <w:r w:rsidRPr="009A301D">
        <w:rPr>
          <w:rStyle w:val="FootnoteReference"/>
          <w:vertAlign w:val="superscript"/>
        </w:rPr>
        <w:footnoteReference w:id="9"/>
      </w:r>
    </w:p>
    <w:p w:rsidR="00400C37" w:rsidP="00400C37" w:rsidRDefault="00400C37" w14:paraId="6C88BAFE" w14:textId="77777777">
      <w:pPr>
        <w:tabs>
          <w:tab w:val="left" w:pos="-1200"/>
        </w:tabs>
      </w:pPr>
    </w:p>
    <w:p w:rsidRPr="000C7FA1" w:rsidR="00400C37" w:rsidP="00400C37" w:rsidRDefault="00400C37" w14:paraId="547A822E" w14:textId="77777777">
      <w:pPr>
        <w:keepNext/>
        <w:tabs>
          <w:tab w:val="left" w:pos="-1200"/>
        </w:tabs>
        <w:jc w:val="center"/>
        <w:rPr>
          <w:b/>
        </w:rPr>
      </w:pPr>
      <w:r>
        <w:rPr>
          <w:b/>
        </w:rPr>
        <w:t>Table 2</w:t>
      </w:r>
    </w:p>
    <w:p w:rsidR="00400C37" w:rsidP="00400C37" w:rsidRDefault="00400C37" w14:paraId="7AE10BBA" w14:textId="77777777">
      <w:pPr>
        <w:keepNext/>
        <w:tabs>
          <w:tab w:val="left" w:pos="-1200"/>
        </w:tabs>
        <w:jc w:val="center"/>
        <w:rPr>
          <w:b/>
        </w:rPr>
      </w:pPr>
      <w:r w:rsidRPr="000C7FA1">
        <w:rPr>
          <w:b/>
        </w:rPr>
        <w:t xml:space="preserve">Annual Number of </w:t>
      </w:r>
      <w:r>
        <w:rPr>
          <w:b/>
        </w:rPr>
        <w:t>Handlers that Manifest Federal Hazardous Waste</w:t>
      </w:r>
    </w:p>
    <w:tbl>
      <w:tblPr>
        <w:tblW w:w="9370" w:type="dxa"/>
        <w:tblInd w:w="98" w:type="dxa"/>
        <w:tblLook w:val="04A0" w:firstRow="1" w:lastRow="0" w:firstColumn="1" w:lastColumn="0" w:noHBand="0" w:noVBand="1"/>
      </w:tblPr>
      <w:tblGrid>
        <w:gridCol w:w="6670"/>
        <w:gridCol w:w="2700"/>
      </w:tblGrid>
      <w:tr w:rsidRPr="00F937DB" w:rsidR="00400C37" w:rsidTr="00400C37" w14:paraId="434D3201" w14:textId="77777777">
        <w:trPr>
          <w:trHeight w:val="260"/>
          <w:tblHeader/>
        </w:trPr>
        <w:tc>
          <w:tcPr>
            <w:tcW w:w="6670" w:type="dxa"/>
            <w:tcBorders>
              <w:top w:val="single" w:color="auto" w:sz="8" w:space="0"/>
              <w:left w:val="single" w:color="auto" w:sz="8" w:space="0"/>
              <w:bottom w:val="single" w:color="auto" w:sz="4" w:space="0"/>
              <w:right w:val="single" w:color="auto" w:sz="4" w:space="0"/>
            </w:tcBorders>
            <w:shd w:val="clear" w:color="auto" w:fill="D9D9D9" w:themeFill="background1" w:themeFillShade="D9"/>
            <w:vAlign w:val="bottom"/>
            <w:hideMark/>
          </w:tcPr>
          <w:p w:rsidRPr="0062579D" w:rsidR="00400C37" w:rsidP="00400C37" w:rsidRDefault="00400C37" w14:paraId="268BE9CA" w14:textId="77777777">
            <w:pPr>
              <w:rPr>
                <w:sz w:val="22"/>
                <w:szCs w:val="22"/>
              </w:rPr>
            </w:pPr>
            <w:r w:rsidRPr="0062579D">
              <w:rPr>
                <w:b/>
                <w:bCs/>
                <w:sz w:val="22"/>
                <w:szCs w:val="22"/>
              </w:rPr>
              <w:t>Type of Waste Handler</w:t>
            </w:r>
          </w:p>
        </w:tc>
        <w:tc>
          <w:tcPr>
            <w:tcW w:w="2700" w:type="dxa"/>
            <w:tcBorders>
              <w:top w:val="single" w:color="auto" w:sz="8" w:space="0"/>
              <w:left w:val="nil"/>
              <w:bottom w:val="single" w:color="auto" w:sz="4" w:space="0"/>
              <w:right w:val="single" w:color="auto" w:sz="4" w:space="0"/>
            </w:tcBorders>
            <w:shd w:val="clear" w:color="auto" w:fill="D9D9D9" w:themeFill="background1" w:themeFillShade="D9"/>
            <w:noWrap/>
            <w:vAlign w:val="center"/>
            <w:hideMark/>
          </w:tcPr>
          <w:p w:rsidRPr="0062579D" w:rsidR="00400C37" w:rsidP="00400C37" w:rsidRDefault="00400C37" w14:paraId="6094B0BD" w14:textId="77777777">
            <w:pPr>
              <w:jc w:val="center"/>
              <w:rPr>
                <w:sz w:val="22"/>
                <w:szCs w:val="22"/>
              </w:rPr>
            </w:pPr>
            <w:r w:rsidRPr="0062579D">
              <w:rPr>
                <w:b/>
                <w:bCs/>
                <w:sz w:val="22"/>
                <w:szCs w:val="22"/>
              </w:rPr>
              <w:t>Number of Facilities</w:t>
            </w:r>
          </w:p>
        </w:tc>
      </w:tr>
      <w:tr w:rsidRPr="00F937DB" w:rsidR="00400C37" w:rsidTr="00400C37" w14:paraId="1500B44C" w14:textId="77777777">
        <w:trPr>
          <w:trHeight w:val="260"/>
        </w:trPr>
        <w:tc>
          <w:tcPr>
            <w:tcW w:w="667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62579D" w:rsidR="00400C37" w:rsidP="00400C37" w:rsidRDefault="00400C37" w14:paraId="0384270F" w14:textId="77777777">
            <w:pPr>
              <w:rPr>
                <w:sz w:val="22"/>
                <w:szCs w:val="22"/>
              </w:rPr>
            </w:pPr>
            <w:r w:rsidRPr="0062579D">
              <w:rPr>
                <w:sz w:val="22"/>
                <w:szCs w:val="22"/>
              </w:rPr>
              <w:t>Generators</w:t>
            </w:r>
          </w:p>
        </w:tc>
        <w:tc>
          <w:tcPr>
            <w:tcW w:w="2700" w:type="dxa"/>
            <w:tcBorders>
              <w:top w:val="single" w:color="auto" w:sz="8" w:space="0"/>
              <w:left w:val="nil"/>
              <w:bottom w:val="single" w:color="auto" w:sz="4" w:space="0"/>
              <w:right w:val="single" w:color="auto" w:sz="4" w:space="0"/>
            </w:tcBorders>
            <w:shd w:val="clear" w:color="auto" w:fill="auto"/>
            <w:noWrap/>
            <w:hideMark/>
          </w:tcPr>
          <w:p w:rsidRPr="0062579D" w:rsidR="00400C37" w:rsidP="00400C37" w:rsidRDefault="00400C37" w14:paraId="7FDB23FE" w14:textId="77777777">
            <w:pPr>
              <w:jc w:val="center"/>
              <w:rPr>
                <w:sz w:val="22"/>
                <w:szCs w:val="22"/>
              </w:rPr>
            </w:pPr>
            <w:r w:rsidRPr="0062579D">
              <w:rPr>
                <w:sz w:val="22"/>
                <w:szCs w:val="22"/>
              </w:rPr>
              <w:t>38,510</w:t>
            </w:r>
          </w:p>
        </w:tc>
      </w:tr>
      <w:tr w:rsidRPr="00F937DB" w:rsidR="00400C37" w:rsidTr="00400C37" w14:paraId="1E8CA6F8" w14:textId="77777777">
        <w:trPr>
          <w:trHeight w:val="260"/>
        </w:trPr>
        <w:tc>
          <w:tcPr>
            <w:tcW w:w="6670" w:type="dxa"/>
            <w:tcBorders>
              <w:top w:val="nil"/>
              <w:left w:val="single" w:color="auto" w:sz="8" w:space="0"/>
              <w:bottom w:val="single" w:color="auto" w:sz="4" w:space="0"/>
              <w:right w:val="single" w:color="auto" w:sz="4" w:space="0"/>
            </w:tcBorders>
            <w:shd w:val="clear" w:color="auto" w:fill="auto"/>
            <w:vAlign w:val="bottom"/>
            <w:hideMark/>
          </w:tcPr>
          <w:p w:rsidRPr="0062579D" w:rsidR="00400C37" w:rsidP="00400C37" w:rsidRDefault="00400C37" w14:paraId="5711862C" w14:textId="77777777">
            <w:pPr>
              <w:rPr>
                <w:sz w:val="22"/>
                <w:szCs w:val="22"/>
              </w:rPr>
            </w:pPr>
            <w:r w:rsidRPr="0062579D">
              <w:rPr>
                <w:sz w:val="22"/>
                <w:szCs w:val="22"/>
              </w:rPr>
              <w:t>Transporters</w:t>
            </w:r>
          </w:p>
        </w:tc>
        <w:tc>
          <w:tcPr>
            <w:tcW w:w="2700" w:type="dxa"/>
            <w:tcBorders>
              <w:top w:val="nil"/>
              <w:left w:val="nil"/>
              <w:bottom w:val="single" w:color="auto" w:sz="4" w:space="0"/>
              <w:right w:val="single" w:color="auto" w:sz="4" w:space="0"/>
            </w:tcBorders>
            <w:shd w:val="clear" w:color="auto" w:fill="auto"/>
            <w:noWrap/>
            <w:hideMark/>
          </w:tcPr>
          <w:p w:rsidRPr="0062579D" w:rsidR="00400C37" w:rsidP="00400C37" w:rsidRDefault="00400C37" w14:paraId="56553986" w14:textId="77777777">
            <w:pPr>
              <w:jc w:val="center"/>
              <w:rPr>
                <w:sz w:val="22"/>
                <w:szCs w:val="22"/>
              </w:rPr>
            </w:pPr>
            <w:r w:rsidRPr="0062579D">
              <w:rPr>
                <w:sz w:val="22"/>
                <w:szCs w:val="22"/>
              </w:rPr>
              <w:t>3,951</w:t>
            </w:r>
          </w:p>
        </w:tc>
      </w:tr>
      <w:tr w:rsidRPr="00F937DB" w:rsidR="00400C37" w:rsidTr="00400C37" w14:paraId="6901BE86" w14:textId="77777777">
        <w:trPr>
          <w:trHeight w:val="260"/>
        </w:trPr>
        <w:tc>
          <w:tcPr>
            <w:tcW w:w="6670" w:type="dxa"/>
            <w:tcBorders>
              <w:top w:val="nil"/>
              <w:left w:val="single" w:color="auto" w:sz="8" w:space="0"/>
              <w:bottom w:val="single" w:color="auto" w:sz="4" w:space="0"/>
              <w:right w:val="single" w:color="auto" w:sz="4" w:space="0"/>
            </w:tcBorders>
            <w:shd w:val="clear" w:color="auto" w:fill="auto"/>
            <w:vAlign w:val="bottom"/>
            <w:hideMark/>
          </w:tcPr>
          <w:p w:rsidRPr="0062579D" w:rsidR="00400C37" w:rsidP="00400C37" w:rsidRDefault="00400C37" w14:paraId="14EE310B" w14:textId="77777777">
            <w:pPr>
              <w:rPr>
                <w:sz w:val="22"/>
                <w:szCs w:val="22"/>
              </w:rPr>
            </w:pPr>
            <w:r w:rsidRPr="0062579D">
              <w:rPr>
                <w:sz w:val="22"/>
                <w:szCs w:val="22"/>
              </w:rPr>
              <w:t>TSDFs – Receivers</w:t>
            </w:r>
          </w:p>
        </w:tc>
        <w:tc>
          <w:tcPr>
            <w:tcW w:w="2700" w:type="dxa"/>
            <w:tcBorders>
              <w:top w:val="nil"/>
              <w:left w:val="nil"/>
              <w:bottom w:val="single" w:color="auto" w:sz="4" w:space="0"/>
              <w:right w:val="single" w:color="auto" w:sz="4" w:space="0"/>
            </w:tcBorders>
            <w:shd w:val="clear" w:color="auto" w:fill="auto"/>
            <w:hideMark/>
          </w:tcPr>
          <w:p w:rsidRPr="0062579D" w:rsidR="00400C37" w:rsidP="00400C37" w:rsidRDefault="00400C37" w14:paraId="10DC2846" w14:textId="77777777">
            <w:pPr>
              <w:jc w:val="center"/>
              <w:rPr>
                <w:sz w:val="22"/>
                <w:szCs w:val="22"/>
              </w:rPr>
            </w:pPr>
            <w:r w:rsidRPr="0062579D">
              <w:rPr>
                <w:sz w:val="22"/>
                <w:szCs w:val="22"/>
              </w:rPr>
              <w:t>467</w:t>
            </w:r>
          </w:p>
        </w:tc>
      </w:tr>
      <w:tr w:rsidRPr="00F937DB" w:rsidR="00400C37" w:rsidTr="00400C37" w14:paraId="7A3E9757" w14:textId="77777777">
        <w:trPr>
          <w:trHeight w:val="270"/>
        </w:trPr>
        <w:tc>
          <w:tcPr>
            <w:tcW w:w="6670" w:type="dxa"/>
            <w:tcBorders>
              <w:top w:val="nil"/>
              <w:left w:val="single" w:color="auto" w:sz="8" w:space="0"/>
              <w:bottom w:val="single" w:color="auto" w:sz="8" w:space="0"/>
              <w:right w:val="single" w:color="auto" w:sz="4" w:space="0"/>
            </w:tcBorders>
            <w:shd w:val="clear" w:color="auto" w:fill="auto"/>
            <w:vAlign w:val="bottom"/>
            <w:hideMark/>
          </w:tcPr>
          <w:p w:rsidRPr="0062579D" w:rsidR="00400C37" w:rsidP="00400C37" w:rsidRDefault="00400C37" w14:paraId="02F70442" w14:textId="77777777">
            <w:pPr>
              <w:rPr>
                <w:sz w:val="22"/>
                <w:szCs w:val="22"/>
              </w:rPr>
            </w:pPr>
            <w:r w:rsidRPr="0062579D">
              <w:rPr>
                <w:sz w:val="22"/>
                <w:szCs w:val="22"/>
              </w:rPr>
              <w:t>Total</w:t>
            </w:r>
          </w:p>
        </w:tc>
        <w:tc>
          <w:tcPr>
            <w:tcW w:w="2700" w:type="dxa"/>
            <w:tcBorders>
              <w:top w:val="nil"/>
              <w:left w:val="nil"/>
              <w:bottom w:val="single" w:color="auto" w:sz="8" w:space="0"/>
              <w:right w:val="single" w:color="auto" w:sz="4" w:space="0"/>
            </w:tcBorders>
            <w:shd w:val="clear" w:color="auto" w:fill="auto"/>
            <w:noWrap/>
            <w:hideMark/>
          </w:tcPr>
          <w:p w:rsidRPr="0062579D" w:rsidR="00400C37" w:rsidP="00400C37" w:rsidRDefault="00400C37" w14:paraId="596B08D4" w14:textId="77777777">
            <w:pPr>
              <w:jc w:val="center"/>
              <w:rPr>
                <w:sz w:val="22"/>
                <w:szCs w:val="22"/>
              </w:rPr>
            </w:pPr>
            <w:r w:rsidRPr="0062579D">
              <w:rPr>
                <w:sz w:val="22"/>
                <w:szCs w:val="22"/>
              </w:rPr>
              <w:t>42,928</w:t>
            </w:r>
          </w:p>
        </w:tc>
      </w:tr>
    </w:tbl>
    <w:p w:rsidR="00400C37" w:rsidP="00400C37" w:rsidRDefault="00400C37" w14:paraId="4E40CBC8" w14:textId="77777777">
      <w:pPr>
        <w:tabs>
          <w:tab w:val="left" w:pos="-1200"/>
        </w:tabs>
      </w:pPr>
    </w:p>
    <w:p w:rsidRPr="00315081" w:rsidR="00400C37" w:rsidP="00400C37" w:rsidRDefault="00400C37" w14:paraId="26D69625" w14:textId="77777777">
      <w:pPr>
        <w:keepNext/>
        <w:tabs>
          <w:tab w:val="left" w:pos="-1200"/>
        </w:tabs>
        <w:rPr>
          <w:b/>
        </w:rPr>
      </w:pPr>
      <w:r>
        <w:rPr>
          <w:b/>
        </w:rPr>
        <w:lastRenderedPageBreak/>
        <w:tab/>
        <w:t xml:space="preserve">2) </w:t>
      </w:r>
      <w:r w:rsidRPr="00315081">
        <w:rPr>
          <w:b/>
        </w:rPr>
        <w:t>Handlers who Manifest State Hazardous Waste</w:t>
      </w:r>
    </w:p>
    <w:p w:rsidR="00400C37" w:rsidP="00400C37" w:rsidRDefault="00400C37" w14:paraId="114ABECB" w14:textId="77777777">
      <w:pPr>
        <w:keepNext/>
        <w:tabs>
          <w:tab w:val="left" w:pos="-1200"/>
        </w:tabs>
      </w:pPr>
    </w:p>
    <w:p w:rsidRPr="00811AF1" w:rsidR="00400C37" w:rsidP="00400C37" w:rsidRDefault="00400C37" w14:paraId="7B8631CE" w14:textId="77777777">
      <w:pPr>
        <w:keepNext/>
        <w:tabs>
          <w:tab w:val="left" w:pos="-1200"/>
        </w:tabs>
      </w:pPr>
      <w:r w:rsidRPr="008E14CE">
        <w:t>Based on e-Manifest data, EPA estimates that 63,208</w:t>
      </w:r>
      <w:r>
        <w:t xml:space="preserve"> </w:t>
      </w:r>
      <w:r w:rsidRPr="008E14CE">
        <w:t>waste handlers will be involved in the shipment of state-only wastes using the federal manifest annually, as shown</w:t>
      </w:r>
      <w:r w:rsidRPr="00811AF1">
        <w:t xml:space="preserve"> in Table 3.</w:t>
      </w:r>
    </w:p>
    <w:p w:rsidR="00400C37" w:rsidP="00400C37" w:rsidRDefault="00400C37" w14:paraId="6631B7A6" w14:textId="77777777">
      <w:pPr>
        <w:tabs>
          <w:tab w:val="left" w:pos="-1200"/>
        </w:tabs>
      </w:pPr>
    </w:p>
    <w:p w:rsidRPr="000C7FA1" w:rsidR="00400C37" w:rsidP="00400C37" w:rsidRDefault="00400C37" w14:paraId="1C5F5969" w14:textId="77777777">
      <w:pPr>
        <w:keepNext/>
        <w:tabs>
          <w:tab w:val="left" w:pos="-1200"/>
        </w:tabs>
        <w:jc w:val="center"/>
        <w:rPr>
          <w:b/>
        </w:rPr>
      </w:pPr>
      <w:r>
        <w:rPr>
          <w:b/>
        </w:rPr>
        <w:t>Table 3</w:t>
      </w:r>
    </w:p>
    <w:p w:rsidR="00400C37" w:rsidP="00400C37" w:rsidRDefault="00400C37" w14:paraId="10F5DF86" w14:textId="77777777">
      <w:pPr>
        <w:keepNext/>
        <w:tabs>
          <w:tab w:val="left" w:pos="-1200"/>
        </w:tabs>
        <w:jc w:val="center"/>
        <w:rPr>
          <w:b/>
        </w:rPr>
      </w:pPr>
      <w:r>
        <w:rPr>
          <w:b/>
        </w:rPr>
        <w:t>Annual Number of Handlers that Manifest State Hazardous Waste</w:t>
      </w:r>
    </w:p>
    <w:tbl>
      <w:tblPr>
        <w:tblW w:w="9370" w:type="dxa"/>
        <w:tblInd w:w="98" w:type="dxa"/>
        <w:tblLook w:val="04A0" w:firstRow="1" w:lastRow="0" w:firstColumn="1" w:lastColumn="0" w:noHBand="0" w:noVBand="1"/>
      </w:tblPr>
      <w:tblGrid>
        <w:gridCol w:w="6670"/>
        <w:gridCol w:w="2700"/>
      </w:tblGrid>
      <w:tr w:rsidRPr="00F937DB" w:rsidR="00400C37" w:rsidTr="00400C37" w14:paraId="4FA7C380" w14:textId="77777777">
        <w:trPr>
          <w:trHeight w:val="260"/>
        </w:trPr>
        <w:tc>
          <w:tcPr>
            <w:tcW w:w="6670" w:type="dxa"/>
            <w:tcBorders>
              <w:top w:val="single" w:color="auto" w:sz="8" w:space="0"/>
              <w:left w:val="single" w:color="auto" w:sz="8" w:space="0"/>
              <w:bottom w:val="single" w:color="auto" w:sz="4" w:space="0"/>
              <w:right w:val="single" w:color="auto" w:sz="4" w:space="0"/>
            </w:tcBorders>
            <w:shd w:val="clear" w:color="auto" w:fill="BFBFBF" w:themeFill="background1" w:themeFillShade="BF"/>
            <w:vAlign w:val="bottom"/>
            <w:hideMark/>
          </w:tcPr>
          <w:p w:rsidRPr="008E14CE" w:rsidR="00400C37" w:rsidP="00400C37" w:rsidRDefault="00400C37" w14:paraId="438CCB01" w14:textId="77777777">
            <w:pPr>
              <w:rPr>
                <w:sz w:val="22"/>
                <w:szCs w:val="22"/>
              </w:rPr>
            </w:pPr>
            <w:r w:rsidRPr="008E14CE">
              <w:rPr>
                <w:b/>
                <w:bCs/>
                <w:sz w:val="22"/>
                <w:szCs w:val="22"/>
              </w:rPr>
              <w:t>Type of Waste Handler</w:t>
            </w:r>
          </w:p>
        </w:tc>
        <w:tc>
          <w:tcPr>
            <w:tcW w:w="2700" w:type="dxa"/>
            <w:tcBorders>
              <w:top w:val="single" w:color="auto" w:sz="8" w:space="0"/>
              <w:left w:val="nil"/>
              <w:bottom w:val="single" w:color="auto" w:sz="4" w:space="0"/>
              <w:right w:val="single" w:color="auto" w:sz="4" w:space="0"/>
            </w:tcBorders>
            <w:shd w:val="clear" w:color="auto" w:fill="BFBFBF" w:themeFill="background1" w:themeFillShade="BF"/>
            <w:noWrap/>
            <w:vAlign w:val="center"/>
            <w:hideMark/>
          </w:tcPr>
          <w:p w:rsidRPr="008E14CE" w:rsidR="00400C37" w:rsidP="00400C37" w:rsidRDefault="00400C37" w14:paraId="0B54CF77" w14:textId="77777777">
            <w:pPr>
              <w:jc w:val="center"/>
              <w:rPr>
                <w:sz w:val="22"/>
                <w:szCs w:val="22"/>
              </w:rPr>
            </w:pPr>
            <w:r w:rsidRPr="008E14CE">
              <w:rPr>
                <w:b/>
                <w:bCs/>
                <w:sz w:val="22"/>
                <w:szCs w:val="22"/>
              </w:rPr>
              <w:t>Number of Facilities</w:t>
            </w:r>
          </w:p>
        </w:tc>
      </w:tr>
      <w:tr w:rsidRPr="00F937DB" w:rsidR="00400C37" w:rsidTr="00400C37" w14:paraId="7848E34B" w14:textId="77777777">
        <w:trPr>
          <w:trHeight w:val="260"/>
        </w:trPr>
        <w:tc>
          <w:tcPr>
            <w:tcW w:w="667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8E14CE" w:rsidR="00400C37" w:rsidP="00400C37" w:rsidRDefault="00400C37" w14:paraId="7203D2F9" w14:textId="77777777">
            <w:pPr>
              <w:rPr>
                <w:sz w:val="22"/>
                <w:szCs w:val="22"/>
              </w:rPr>
            </w:pPr>
            <w:r w:rsidRPr="008E14CE">
              <w:rPr>
                <w:sz w:val="22"/>
                <w:szCs w:val="22"/>
              </w:rPr>
              <w:t>Generators</w:t>
            </w:r>
          </w:p>
        </w:tc>
        <w:tc>
          <w:tcPr>
            <w:tcW w:w="2700" w:type="dxa"/>
            <w:tcBorders>
              <w:top w:val="single" w:color="auto" w:sz="8" w:space="0"/>
              <w:left w:val="nil"/>
              <w:bottom w:val="single" w:color="auto" w:sz="4" w:space="0"/>
              <w:right w:val="single" w:color="auto" w:sz="4" w:space="0"/>
            </w:tcBorders>
            <w:shd w:val="clear" w:color="auto" w:fill="auto"/>
            <w:noWrap/>
            <w:hideMark/>
          </w:tcPr>
          <w:p w:rsidRPr="008E14CE" w:rsidR="00400C37" w:rsidP="00400C37" w:rsidRDefault="00400C37" w14:paraId="17C1939E" w14:textId="77777777">
            <w:pPr>
              <w:jc w:val="center"/>
              <w:rPr>
                <w:sz w:val="22"/>
                <w:szCs w:val="22"/>
              </w:rPr>
            </w:pPr>
            <w:r w:rsidRPr="008E14CE">
              <w:rPr>
                <w:sz w:val="22"/>
                <w:szCs w:val="22"/>
              </w:rPr>
              <w:t>61,128*</w:t>
            </w:r>
          </w:p>
        </w:tc>
      </w:tr>
      <w:tr w:rsidRPr="00F937DB" w:rsidR="00400C37" w:rsidTr="00400C37" w14:paraId="007ACD31" w14:textId="77777777">
        <w:trPr>
          <w:trHeight w:val="260"/>
        </w:trPr>
        <w:tc>
          <w:tcPr>
            <w:tcW w:w="6670" w:type="dxa"/>
            <w:tcBorders>
              <w:top w:val="nil"/>
              <w:left w:val="single" w:color="auto" w:sz="8" w:space="0"/>
              <w:bottom w:val="single" w:color="auto" w:sz="4" w:space="0"/>
              <w:right w:val="single" w:color="auto" w:sz="4" w:space="0"/>
            </w:tcBorders>
            <w:shd w:val="clear" w:color="auto" w:fill="auto"/>
            <w:vAlign w:val="bottom"/>
            <w:hideMark/>
          </w:tcPr>
          <w:p w:rsidRPr="008E14CE" w:rsidR="00400C37" w:rsidP="00400C37" w:rsidRDefault="00400C37" w14:paraId="1F44BEB7" w14:textId="77777777">
            <w:pPr>
              <w:rPr>
                <w:sz w:val="22"/>
                <w:szCs w:val="22"/>
              </w:rPr>
            </w:pPr>
            <w:r w:rsidRPr="008E14CE">
              <w:rPr>
                <w:sz w:val="22"/>
                <w:szCs w:val="22"/>
              </w:rPr>
              <w:t>Transporters</w:t>
            </w:r>
          </w:p>
        </w:tc>
        <w:tc>
          <w:tcPr>
            <w:tcW w:w="2700" w:type="dxa"/>
            <w:tcBorders>
              <w:top w:val="nil"/>
              <w:left w:val="nil"/>
              <w:bottom w:val="single" w:color="auto" w:sz="4" w:space="0"/>
              <w:right w:val="single" w:color="auto" w:sz="4" w:space="0"/>
            </w:tcBorders>
            <w:shd w:val="clear" w:color="auto" w:fill="auto"/>
            <w:noWrap/>
            <w:hideMark/>
          </w:tcPr>
          <w:p w:rsidRPr="008E14CE" w:rsidR="00400C37" w:rsidP="00400C37" w:rsidRDefault="00400C37" w14:paraId="2B553FBC" w14:textId="77777777">
            <w:pPr>
              <w:jc w:val="center"/>
              <w:rPr>
                <w:sz w:val="22"/>
                <w:szCs w:val="22"/>
              </w:rPr>
            </w:pPr>
            <w:r w:rsidRPr="008E14CE">
              <w:rPr>
                <w:sz w:val="22"/>
                <w:szCs w:val="22"/>
              </w:rPr>
              <w:t>1,860</w:t>
            </w:r>
          </w:p>
        </w:tc>
      </w:tr>
      <w:tr w:rsidRPr="00F937DB" w:rsidR="00400C37" w:rsidTr="00400C37" w14:paraId="5C5F5126" w14:textId="77777777">
        <w:trPr>
          <w:trHeight w:val="260"/>
        </w:trPr>
        <w:tc>
          <w:tcPr>
            <w:tcW w:w="6670" w:type="dxa"/>
            <w:tcBorders>
              <w:top w:val="nil"/>
              <w:left w:val="single" w:color="auto" w:sz="8" w:space="0"/>
              <w:bottom w:val="single" w:color="auto" w:sz="4" w:space="0"/>
              <w:right w:val="single" w:color="auto" w:sz="4" w:space="0"/>
            </w:tcBorders>
            <w:shd w:val="clear" w:color="auto" w:fill="auto"/>
            <w:vAlign w:val="bottom"/>
            <w:hideMark/>
          </w:tcPr>
          <w:p w:rsidRPr="008E14CE" w:rsidR="00400C37" w:rsidP="00400C37" w:rsidRDefault="00400C37" w14:paraId="021E85A1" w14:textId="77777777">
            <w:pPr>
              <w:rPr>
                <w:sz w:val="22"/>
                <w:szCs w:val="22"/>
              </w:rPr>
            </w:pPr>
            <w:r w:rsidRPr="008E14CE">
              <w:rPr>
                <w:sz w:val="22"/>
                <w:szCs w:val="22"/>
              </w:rPr>
              <w:t>TSDFs – Receivers</w:t>
            </w:r>
          </w:p>
        </w:tc>
        <w:tc>
          <w:tcPr>
            <w:tcW w:w="2700" w:type="dxa"/>
            <w:tcBorders>
              <w:top w:val="nil"/>
              <w:left w:val="nil"/>
              <w:bottom w:val="single" w:color="auto" w:sz="4" w:space="0"/>
              <w:right w:val="single" w:color="auto" w:sz="4" w:space="0"/>
            </w:tcBorders>
            <w:shd w:val="clear" w:color="auto" w:fill="auto"/>
            <w:hideMark/>
          </w:tcPr>
          <w:p w:rsidRPr="008E14CE" w:rsidR="00400C37" w:rsidP="00400C37" w:rsidRDefault="00400C37" w14:paraId="67F92723" w14:textId="77777777">
            <w:pPr>
              <w:jc w:val="center"/>
              <w:rPr>
                <w:sz w:val="22"/>
                <w:szCs w:val="22"/>
              </w:rPr>
            </w:pPr>
            <w:r w:rsidRPr="008E14CE">
              <w:rPr>
                <w:sz w:val="22"/>
                <w:szCs w:val="22"/>
              </w:rPr>
              <w:t>220</w:t>
            </w:r>
          </w:p>
        </w:tc>
      </w:tr>
      <w:tr w:rsidRPr="00F937DB" w:rsidR="00400C37" w:rsidTr="00400C37" w14:paraId="762792AF" w14:textId="77777777">
        <w:trPr>
          <w:trHeight w:val="270"/>
        </w:trPr>
        <w:tc>
          <w:tcPr>
            <w:tcW w:w="6670" w:type="dxa"/>
            <w:tcBorders>
              <w:top w:val="nil"/>
              <w:left w:val="single" w:color="auto" w:sz="8" w:space="0"/>
              <w:bottom w:val="single" w:color="auto" w:sz="8" w:space="0"/>
              <w:right w:val="single" w:color="auto" w:sz="4" w:space="0"/>
            </w:tcBorders>
            <w:shd w:val="clear" w:color="auto" w:fill="auto"/>
            <w:vAlign w:val="bottom"/>
            <w:hideMark/>
          </w:tcPr>
          <w:p w:rsidRPr="008E14CE" w:rsidR="00400C37" w:rsidP="00400C37" w:rsidRDefault="00400C37" w14:paraId="4FB911D2" w14:textId="77777777">
            <w:pPr>
              <w:rPr>
                <w:sz w:val="22"/>
                <w:szCs w:val="22"/>
              </w:rPr>
            </w:pPr>
            <w:r w:rsidRPr="008E14CE">
              <w:rPr>
                <w:sz w:val="22"/>
                <w:szCs w:val="22"/>
              </w:rPr>
              <w:t>Total</w:t>
            </w:r>
          </w:p>
        </w:tc>
        <w:tc>
          <w:tcPr>
            <w:tcW w:w="2700" w:type="dxa"/>
            <w:tcBorders>
              <w:top w:val="nil"/>
              <w:left w:val="nil"/>
              <w:bottom w:val="single" w:color="auto" w:sz="8" w:space="0"/>
              <w:right w:val="single" w:color="auto" w:sz="4" w:space="0"/>
            </w:tcBorders>
            <w:shd w:val="clear" w:color="auto" w:fill="auto"/>
            <w:noWrap/>
            <w:hideMark/>
          </w:tcPr>
          <w:p w:rsidRPr="008E14CE" w:rsidR="00400C37" w:rsidP="00400C37" w:rsidRDefault="00400C37" w14:paraId="09ED782A" w14:textId="77777777">
            <w:pPr>
              <w:jc w:val="center"/>
              <w:rPr>
                <w:sz w:val="22"/>
                <w:szCs w:val="22"/>
              </w:rPr>
            </w:pPr>
            <w:r w:rsidRPr="008E14CE">
              <w:rPr>
                <w:sz w:val="22"/>
                <w:szCs w:val="22"/>
              </w:rPr>
              <w:t>63,208</w:t>
            </w:r>
          </w:p>
        </w:tc>
      </w:tr>
    </w:tbl>
    <w:p w:rsidRPr="00533665" w:rsidR="00400C37" w:rsidP="00400C37" w:rsidRDefault="00400C37" w14:paraId="673342F3" w14:textId="77777777">
      <w:pPr>
        <w:keepNext/>
        <w:tabs>
          <w:tab w:val="left" w:pos="-1200"/>
        </w:tabs>
        <w:rPr>
          <w:sz w:val="20"/>
          <w:szCs w:val="20"/>
        </w:rPr>
      </w:pPr>
      <w:r w:rsidRPr="00533665">
        <w:rPr>
          <w:sz w:val="20"/>
          <w:szCs w:val="20"/>
        </w:rPr>
        <w:t>*This includes both large and small quantity generators as well as very small quantity generators</w:t>
      </w:r>
      <w:r>
        <w:rPr>
          <w:sz w:val="20"/>
          <w:szCs w:val="20"/>
        </w:rPr>
        <w:t>. Very small quantity generators</w:t>
      </w:r>
      <w:r w:rsidRPr="00533665">
        <w:rPr>
          <w:sz w:val="20"/>
          <w:szCs w:val="20"/>
        </w:rPr>
        <w:t xml:space="preserve"> are not subject to the federal manifest program.</w:t>
      </w:r>
      <w:r>
        <w:rPr>
          <w:sz w:val="20"/>
          <w:szCs w:val="20"/>
        </w:rPr>
        <w:t xml:space="preserve"> However, some states require them to manifest their waste under state-programs broader in scope or more stringent than the federal program.</w:t>
      </w:r>
    </w:p>
    <w:p w:rsidR="00400C37" w:rsidP="00400C37" w:rsidRDefault="00400C37" w14:paraId="349C5C63" w14:textId="77777777">
      <w:pPr>
        <w:keepNext/>
        <w:tabs>
          <w:tab w:val="left" w:pos="-1200"/>
        </w:tabs>
        <w:rPr>
          <w:b/>
        </w:rPr>
      </w:pPr>
    </w:p>
    <w:p w:rsidRPr="00315081" w:rsidR="00400C37" w:rsidP="00400C37" w:rsidRDefault="00400C37" w14:paraId="6D912252" w14:textId="77777777">
      <w:pPr>
        <w:tabs>
          <w:tab w:val="left" w:pos="-1200"/>
        </w:tabs>
      </w:pPr>
      <w:r>
        <w:rPr>
          <w:b/>
        </w:rPr>
        <w:tab/>
        <w:t xml:space="preserve">3) </w:t>
      </w:r>
      <w:r w:rsidRPr="00315081">
        <w:rPr>
          <w:b/>
        </w:rPr>
        <w:t>Summary</w:t>
      </w:r>
      <w:r>
        <w:rPr>
          <w:b/>
        </w:rPr>
        <w:t xml:space="preserve"> of </w:t>
      </w:r>
      <w:r w:rsidRPr="00315081">
        <w:rPr>
          <w:b/>
        </w:rPr>
        <w:t xml:space="preserve">Handlers who Manifest Federal and </w:t>
      </w:r>
      <w:r>
        <w:rPr>
          <w:b/>
        </w:rPr>
        <w:t>State</w:t>
      </w:r>
      <w:r w:rsidRPr="00315081">
        <w:rPr>
          <w:b/>
        </w:rPr>
        <w:t xml:space="preserve"> </w:t>
      </w:r>
      <w:r>
        <w:rPr>
          <w:b/>
        </w:rPr>
        <w:t xml:space="preserve">Hazardous </w:t>
      </w:r>
      <w:r w:rsidRPr="00315081">
        <w:rPr>
          <w:b/>
        </w:rPr>
        <w:t>Waste</w:t>
      </w:r>
    </w:p>
    <w:p w:rsidR="00400C37" w:rsidP="00400C37" w:rsidRDefault="00400C37" w14:paraId="73DE9441" w14:textId="77777777">
      <w:pPr>
        <w:tabs>
          <w:tab w:val="left" w:pos="-1200"/>
        </w:tabs>
      </w:pPr>
    </w:p>
    <w:p w:rsidRPr="00A81AF2" w:rsidR="00400C37" w:rsidP="00400C37" w:rsidRDefault="00400C37" w14:paraId="3CEA742E" w14:textId="77777777">
      <w:pPr>
        <w:tabs>
          <w:tab w:val="left" w:pos="-1200"/>
        </w:tabs>
      </w:pPr>
      <w:r w:rsidRPr="009B283E">
        <w:t xml:space="preserve">Table </w:t>
      </w:r>
      <w:r>
        <w:t>4</w:t>
      </w:r>
      <w:r w:rsidRPr="009B283E">
        <w:t xml:space="preserve"> presents </w:t>
      </w:r>
      <w:r w:rsidRPr="00A81AF2">
        <w:t>the total annual number of handlers that manifest federal and state hazardous waste. Specifically, Table 4 combines the handler data in Table 2 (federal handlers) and Table 3 (state handlers) to estimate a total of 106,136 handlers.</w:t>
      </w:r>
    </w:p>
    <w:p w:rsidRPr="00A81AF2" w:rsidR="00400C37" w:rsidP="00400C37" w:rsidRDefault="00400C37" w14:paraId="0977D837" w14:textId="77777777">
      <w:pPr>
        <w:tabs>
          <w:tab w:val="left" w:pos="-1200"/>
        </w:tabs>
      </w:pPr>
    </w:p>
    <w:p w:rsidR="00400C37" w:rsidP="00400C37" w:rsidRDefault="00400C37" w14:paraId="55AE5EBE" w14:textId="77777777">
      <w:pPr>
        <w:tabs>
          <w:tab w:val="left" w:pos="-1200"/>
        </w:tabs>
        <w:jc w:val="center"/>
        <w:rPr>
          <w:b/>
        </w:rPr>
      </w:pPr>
      <w:r w:rsidRPr="00951810">
        <w:rPr>
          <w:b/>
        </w:rPr>
        <w:t>Table</w:t>
      </w:r>
      <w:r>
        <w:rPr>
          <w:b/>
        </w:rPr>
        <w:t xml:space="preserve"> 4</w:t>
      </w:r>
    </w:p>
    <w:p w:rsidR="00400C37" w:rsidP="00400C37" w:rsidRDefault="00400C37" w14:paraId="1D7571AC" w14:textId="77777777">
      <w:pPr>
        <w:keepNext/>
        <w:tabs>
          <w:tab w:val="left" w:pos="-1200"/>
        </w:tabs>
        <w:jc w:val="center"/>
        <w:rPr>
          <w:b/>
        </w:rPr>
      </w:pPr>
      <w:r>
        <w:rPr>
          <w:b/>
        </w:rPr>
        <w:t>Annual Number of Handlers that Manifest</w:t>
      </w:r>
    </w:p>
    <w:p w:rsidR="00400C37" w:rsidP="00400C37" w:rsidRDefault="00400C37" w14:paraId="3D96945F" w14:textId="77777777">
      <w:pPr>
        <w:keepNext/>
        <w:tabs>
          <w:tab w:val="left" w:pos="-1200"/>
        </w:tabs>
        <w:jc w:val="center"/>
        <w:rPr>
          <w:b/>
        </w:rPr>
      </w:pPr>
      <w:r>
        <w:rPr>
          <w:b/>
        </w:rPr>
        <w:t>Federal and State Hazardous Waste*</w:t>
      </w:r>
    </w:p>
    <w:tbl>
      <w:tblPr>
        <w:tblW w:w="9370" w:type="dxa"/>
        <w:tblInd w:w="98" w:type="dxa"/>
        <w:tblLook w:val="04A0" w:firstRow="1" w:lastRow="0" w:firstColumn="1" w:lastColumn="0" w:noHBand="0" w:noVBand="1"/>
      </w:tblPr>
      <w:tblGrid>
        <w:gridCol w:w="6670"/>
        <w:gridCol w:w="2700"/>
      </w:tblGrid>
      <w:tr w:rsidRPr="00F937DB" w:rsidR="00400C37" w:rsidTr="00400C37" w14:paraId="36AC22B3" w14:textId="77777777">
        <w:trPr>
          <w:trHeight w:val="260"/>
          <w:tblHeader/>
        </w:trPr>
        <w:tc>
          <w:tcPr>
            <w:tcW w:w="6670" w:type="dxa"/>
            <w:tcBorders>
              <w:top w:val="single" w:color="auto" w:sz="8" w:space="0"/>
              <w:left w:val="single" w:color="auto" w:sz="8" w:space="0"/>
              <w:bottom w:val="single" w:color="auto" w:sz="4" w:space="0"/>
              <w:right w:val="single" w:color="auto" w:sz="4" w:space="0"/>
            </w:tcBorders>
            <w:shd w:val="clear" w:color="auto" w:fill="D9D9D9" w:themeFill="background1" w:themeFillShade="D9"/>
            <w:vAlign w:val="bottom"/>
            <w:hideMark/>
          </w:tcPr>
          <w:p w:rsidRPr="008F4661" w:rsidR="00400C37" w:rsidP="00400C37" w:rsidRDefault="00400C37" w14:paraId="54C6E5E4" w14:textId="77777777">
            <w:pPr>
              <w:rPr>
                <w:sz w:val="22"/>
                <w:szCs w:val="22"/>
              </w:rPr>
            </w:pPr>
            <w:r w:rsidRPr="008F4661">
              <w:rPr>
                <w:b/>
                <w:bCs/>
                <w:sz w:val="22"/>
                <w:szCs w:val="22"/>
              </w:rPr>
              <w:t>Type of Waste Handler</w:t>
            </w:r>
          </w:p>
        </w:tc>
        <w:tc>
          <w:tcPr>
            <w:tcW w:w="2700" w:type="dxa"/>
            <w:tcBorders>
              <w:top w:val="single" w:color="auto" w:sz="8" w:space="0"/>
              <w:left w:val="nil"/>
              <w:bottom w:val="single" w:color="auto" w:sz="4" w:space="0"/>
              <w:right w:val="single" w:color="auto" w:sz="4" w:space="0"/>
            </w:tcBorders>
            <w:shd w:val="clear" w:color="auto" w:fill="D9D9D9" w:themeFill="background1" w:themeFillShade="D9"/>
            <w:noWrap/>
            <w:vAlign w:val="center"/>
            <w:hideMark/>
          </w:tcPr>
          <w:p w:rsidRPr="008F4661" w:rsidR="00400C37" w:rsidP="00400C37" w:rsidRDefault="00400C37" w14:paraId="6D6E2C73" w14:textId="77777777">
            <w:pPr>
              <w:jc w:val="center"/>
              <w:rPr>
                <w:sz w:val="22"/>
                <w:szCs w:val="22"/>
              </w:rPr>
            </w:pPr>
            <w:r w:rsidRPr="008F4661">
              <w:rPr>
                <w:b/>
                <w:bCs/>
                <w:sz w:val="22"/>
                <w:szCs w:val="22"/>
              </w:rPr>
              <w:t>Number of Facilities</w:t>
            </w:r>
          </w:p>
        </w:tc>
      </w:tr>
      <w:tr w:rsidRPr="00A81AF2" w:rsidR="00400C37" w:rsidTr="00400C37" w14:paraId="20C4DBCF" w14:textId="77777777">
        <w:trPr>
          <w:trHeight w:val="260"/>
        </w:trPr>
        <w:tc>
          <w:tcPr>
            <w:tcW w:w="667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A81AF2" w:rsidR="00400C37" w:rsidP="00400C37" w:rsidRDefault="00400C37" w14:paraId="04BC0EAA" w14:textId="77777777">
            <w:pPr>
              <w:rPr>
                <w:sz w:val="22"/>
                <w:szCs w:val="22"/>
              </w:rPr>
            </w:pPr>
            <w:r w:rsidRPr="00A81AF2">
              <w:rPr>
                <w:sz w:val="22"/>
                <w:szCs w:val="22"/>
              </w:rPr>
              <w:t>Generators</w:t>
            </w:r>
          </w:p>
        </w:tc>
        <w:tc>
          <w:tcPr>
            <w:tcW w:w="2700" w:type="dxa"/>
            <w:tcBorders>
              <w:top w:val="single" w:color="auto" w:sz="8" w:space="0"/>
              <w:left w:val="nil"/>
              <w:bottom w:val="single" w:color="auto" w:sz="4" w:space="0"/>
              <w:right w:val="single" w:color="auto" w:sz="4" w:space="0"/>
            </w:tcBorders>
            <w:shd w:val="clear" w:color="auto" w:fill="auto"/>
            <w:noWrap/>
            <w:hideMark/>
          </w:tcPr>
          <w:p w:rsidRPr="00A81AF2" w:rsidR="00400C37" w:rsidP="00400C37" w:rsidRDefault="00400C37" w14:paraId="3D8B36DF" w14:textId="77777777">
            <w:pPr>
              <w:jc w:val="center"/>
              <w:rPr>
                <w:sz w:val="22"/>
                <w:szCs w:val="22"/>
              </w:rPr>
            </w:pPr>
            <w:r w:rsidRPr="00A81AF2">
              <w:rPr>
                <w:sz w:val="22"/>
                <w:szCs w:val="22"/>
              </w:rPr>
              <w:t>99,638</w:t>
            </w:r>
          </w:p>
        </w:tc>
      </w:tr>
      <w:tr w:rsidRPr="00A81AF2" w:rsidR="00400C37" w:rsidTr="00400C37" w14:paraId="46E886CC" w14:textId="77777777">
        <w:trPr>
          <w:trHeight w:val="260"/>
        </w:trPr>
        <w:tc>
          <w:tcPr>
            <w:tcW w:w="6670" w:type="dxa"/>
            <w:tcBorders>
              <w:top w:val="nil"/>
              <w:left w:val="single" w:color="auto" w:sz="8" w:space="0"/>
              <w:bottom w:val="single" w:color="auto" w:sz="4" w:space="0"/>
              <w:right w:val="single" w:color="auto" w:sz="4" w:space="0"/>
            </w:tcBorders>
            <w:shd w:val="clear" w:color="auto" w:fill="auto"/>
            <w:vAlign w:val="bottom"/>
            <w:hideMark/>
          </w:tcPr>
          <w:p w:rsidRPr="00A81AF2" w:rsidR="00400C37" w:rsidP="00400C37" w:rsidRDefault="00400C37" w14:paraId="3B316306" w14:textId="77777777">
            <w:pPr>
              <w:rPr>
                <w:sz w:val="22"/>
                <w:szCs w:val="22"/>
              </w:rPr>
            </w:pPr>
            <w:r w:rsidRPr="00A81AF2">
              <w:rPr>
                <w:sz w:val="22"/>
                <w:szCs w:val="22"/>
              </w:rPr>
              <w:t>Transporters</w:t>
            </w:r>
          </w:p>
        </w:tc>
        <w:tc>
          <w:tcPr>
            <w:tcW w:w="2700" w:type="dxa"/>
            <w:tcBorders>
              <w:top w:val="nil"/>
              <w:left w:val="nil"/>
              <w:bottom w:val="single" w:color="auto" w:sz="4" w:space="0"/>
              <w:right w:val="single" w:color="auto" w:sz="4" w:space="0"/>
            </w:tcBorders>
            <w:shd w:val="clear" w:color="auto" w:fill="auto"/>
            <w:noWrap/>
            <w:hideMark/>
          </w:tcPr>
          <w:p w:rsidRPr="00A81AF2" w:rsidR="00400C37" w:rsidP="00400C37" w:rsidRDefault="00400C37" w14:paraId="70B0BA50" w14:textId="77777777">
            <w:pPr>
              <w:jc w:val="center"/>
              <w:rPr>
                <w:sz w:val="22"/>
                <w:szCs w:val="22"/>
              </w:rPr>
            </w:pPr>
            <w:r w:rsidRPr="00A81AF2">
              <w:rPr>
                <w:sz w:val="22"/>
                <w:szCs w:val="22"/>
              </w:rPr>
              <w:t>5,811</w:t>
            </w:r>
          </w:p>
        </w:tc>
      </w:tr>
      <w:tr w:rsidRPr="00A81AF2" w:rsidR="00400C37" w:rsidTr="00400C37" w14:paraId="158E94CD" w14:textId="77777777">
        <w:trPr>
          <w:trHeight w:val="260"/>
        </w:trPr>
        <w:tc>
          <w:tcPr>
            <w:tcW w:w="6670" w:type="dxa"/>
            <w:tcBorders>
              <w:top w:val="nil"/>
              <w:left w:val="single" w:color="auto" w:sz="8" w:space="0"/>
              <w:bottom w:val="single" w:color="auto" w:sz="4" w:space="0"/>
              <w:right w:val="single" w:color="auto" w:sz="4" w:space="0"/>
            </w:tcBorders>
            <w:shd w:val="clear" w:color="auto" w:fill="auto"/>
            <w:vAlign w:val="bottom"/>
            <w:hideMark/>
          </w:tcPr>
          <w:p w:rsidRPr="00A81AF2" w:rsidR="00400C37" w:rsidP="00400C37" w:rsidRDefault="00400C37" w14:paraId="61882423" w14:textId="77777777">
            <w:pPr>
              <w:rPr>
                <w:sz w:val="22"/>
                <w:szCs w:val="22"/>
              </w:rPr>
            </w:pPr>
            <w:r w:rsidRPr="00A81AF2">
              <w:rPr>
                <w:sz w:val="22"/>
                <w:szCs w:val="22"/>
              </w:rPr>
              <w:t>TSDFs – Receivers</w:t>
            </w:r>
          </w:p>
        </w:tc>
        <w:tc>
          <w:tcPr>
            <w:tcW w:w="2700" w:type="dxa"/>
            <w:tcBorders>
              <w:top w:val="nil"/>
              <w:left w:val="nil"/>
              <w:bottom w:val="single" w:color="auto" w:sz="4" w:space="0"/>
              <w:right w:val="single" w:color="auto" w:sz="4" w:space="0"/>
            </w:tcBorders>
            <w:shd w:val="clear" w:color="auto" w:fill="auto"/>
            <w:hideMark/>
          </w:tcPr>
          <w:p w:rsidRPr="00A81AF2" w:rsidR="00400C37" w:rsidP="00400C37" w:rsidRDefault="00400C37" w14:paraId="3EDF3F5C" w14:textId="77777777">
            <w:pPr>
              <w:jc w:val="center"/>
              <w:rPr>
                <w:sz w:val="22"/>
                <w:szCs w:val="22"/>
              </w:rPr>
            </w:pPr>
            <w:r w:rsidRPr="00A81AF2">
              <w:rPr>
                <w:sz w:val="22"/>
                <w:szCs w:val="22"/>
              </w:rPr>
              <w:t>687</w:t>
            </w:r>
          </w:p>
        </w:tc>
      </w:tr>
      <w:tr w:rsidRPr="00A81AF2" w:rsidR="00400C37" w:rsidTr="00400C37" w14:paraId="67E7FA3E" w14:textId="77777777">
        <w:trPr>
          <w:trHeight w:val="270"/>
        </w:trPr>
        <w:tc>
          <w:tcPr>
            <w:tcW w:w="6670" w:type="dxa"/>
            <w:tcBorders>
              <w:top w:val="nil"/>
              <w:left w:val="single" w:color="auto" w:sz="8" w:space="0"/>
              <w:bottom w:val="single" w:color="auto" w:sz="8" w:space="0"/>
              <w:right w:val="single" w:color="auto" w:sz="4" w:space="0"/>
            </w:tcBorders>
            <w:shd w:val="clear" w:color="auto" w:fill="auto"/>
            <w:vAlign w:val="bottom"/>
            <w:hideMark/>
          </w:tcPr>
          <w:p w:rsidRPr="00A81AF2" w:rsidR="00400C37" w:rsidP="00400C37" w:rsidRDefault="00400C37" w14:paraId="19EF30ED" w14:textId="77777777">
            <w:pPr>
              <w:rPr>
                <w:sz w:val="22"/>
                <w:szCs w:val="22"/>
              </w:rPr>
            </w:pPr>
            <w:r w:rsidRPr="00A81AF2">
              <w:rPr>
                <w:sz w:val="22"/>
                <w:szCs w:val="22"/>
              </w:rPr>
              <w:t>Total</w:t>
            </w:r>
          </w:p>
        </w:tc>
        <w:tc>
          <w:tcPr>
            <w:tcW w:w="2700" w:type="dxa"/>
            <w:tcBorders>
              <w:top w:val="nil"/>
              <w:left w:val="nil"/>
              <w:bottom w:val="single" w:color="auto" w:sz="8" w:space="0"/>
              <w:right w:val="single" w:color="auto" w:sz="4" w:space="0"/>
            </w:tcBorders>
            <w:shd w:val="clear" w:color="auto" w:fill="auto"/>
            <w:noWrap/>
            <w:hideMark/>
          </w:tcPr>
          <w:p w:rsidRPr="00A81AF2" w:rsidR="00400C37" w:rsidP="00400C37" w:rsidRDefault="00400C37" w14:paraId="0834AD46" w14:textId="77777777">
            <w:pPr>
              <w:jc w:val="center"/>
              <w:rPr>
                <w:sz w:val="22"/>
                <w:szCs w:val="22"/>
              </w:rPr>
            </w:pPr>
            <w:r w:rsidRPr="00A81AF2">
              <w:rPr>
                <w:sz w:val="22"/>
                <w:szCs w:val="22"/>
              </w:rPr>
              <w:t>106,136</w:t>
            </w:r>
          </w:p>
        </w:tc>
      </w:tr>
    </w:tbl>
    <w:p w:rsidRPr="00761D0D" w:rsidR="00400C37" w:rsidP="00400C37" w:rsidRDefault="00400C37" w14:paraId="497815FB" w14:textId="77777777">
      <w:pPr>
        <w:rPr>
          <w:sz w:val="20"/>
          <w:szCs w:val="20"/>
        </w:rPr>
      </w:pPr>
      <w:r w:rsidRPr="00761D0D">
        <w:rPr>
          <w:sz w:val="20"/>
          <w:szCs w:val="20"/>
        </w:rPr>
        <w:t>*Table includes rounding.</w:t>
      </w:r>
    </w:p>
    <w:p w:rsidR="00400C37" w:rsidP="00400C37" w:rsidRDefault="00400C37" w14:paraId="1EF028E2" w14:textId="77777777">
      <w:pPr>
        <w:rPr>
          <w:sz w:val="20"/>
          <w:szCs w:val="20"/>
        </w:rPr>
      </w:pPr>
    </w:p>
    <w:p w:rsidRPr="00BB62AF" w:rsidR="00400C37" w:rsidP="00400C37" w:rsidRDefault="00400C37" w14:paraId="7E5D32C0" w14:textId="77777777">
      <w:r>
        <w:t>Of these handlers, EPA estimates that, on average, 11% will use the e-Manifest to track shipments of federal and state hazardous waste using an electronic manifest during the 3-year life of this ICR.</w:t>
      </w:r>
      <w:r w:rsidRPr="009D2232">
        <w:rPr>
          <w:rStyle w:val="FootnoteReference"/>
          <w:vertAlign w:val="superscript"/>
        </w:rPr>
        <w:footnoteReference w:id="10"/>
      </w:r>
      <w:r>
        <w:t xml:space="preserve"> This equates to </w:t>
      </w:r>
      <w:r w:rsidRPr="00A5262A">
        <w:t>10</w:t>
      </w:r>
      <w:r>
        <w:t>,</w:t>
      </w:r>
      <w:r w:rsidRPr="00A5262A">
        <w:t>960</w:t>
      </w:r>
      <w:r w:rsidRPr="00BB62AF">
        <w:t xml:space="preserve"> </w:t>
      </w:r>
      <w:r>
        <w:t>generators, 639 transporters and 76 designated facilities.</w:t>
      </w:r>
    </w:p>
    <w:p w:rsidR="00400C37" w:rsidP="00400C37" w:rsidRDefault="00400C37" w14:paraId="5870E8FC" w14:textId="77777777">
      <w:pPr>
        <w:tabs>
          <w:tab w:val="left" w:pos="-1200"/>
        </w:tabs>
        <w:rPr>
          <w:bCs/>
        </w:rPr>
      </w:pPr>
    </w:p>
    <w:p w:rsidR="00400C37" w:rsidP="00400C37" w:rsidRDefault="00400C37" w14:paraId="7EA6E17C" w14:textId="77777777">
      <w:pPr>
        <w:tabs>
          <w:tab w:val="left" w:pos="-1200"/>
        </w:tabs>
      </w:pPr>
      <w:r>
        <w:rPr>
          <w:b/>
        </w:rPr>
        <w:tab/>
        <w:t>4) Annual Number of Manifests Offered into Transportation</w:t>
      </w:r>
    </w:p>
    <w:p w:rsidR="00400C37" w:rsidP="00400C37" w:rsidRDefault="00400C37" w14:paraId="63255F5C" w14:textId="77777777">
      <w:pPr>
        <w:tabs>
          <w:tab w:val="left" w:pos="-1200"/>
        </w:tabs>
        <w:rPr>
          <w:bCs/>
        </w:rPr>
      </w:pPr>
    </w:p>
    <w:p w:rsidR="00400C37" w:rsidP="00400C37" w:rsidRDefault="00400C37" w14:paraId="2BC83C71" w14:textId="77777777">
      <w:r>
        <w:t xml:space="preserve">Based on its analysis of e-Manifest data, EPA estimates that </w:t>
      </w:r>
      <w:r w:rsidRPr="004C7A81">
        <w:t>1,785,405</w:t>
      </w:r>
      <w:r>
        <w:t xml:space="preserve"> manifests are prepared and offered into transportation </w:t>
      </w:r>
      <w:r w:rsidRPr="005B4DC0">
        <w:t xml:space="preserve">annually. This includes both paper and electronic manifests for domestic, import and export shipments. It includes manifests accompanying federal hazardous waste, state-only hazardous waste covered under 40 CFR 260.5 and other </w:t>
      </w:r>
      <w:r>
        <w:t xml:space="preserve">regulated </w:t>
      </w:r>
      <w:r w:rsidRPr="005B4DC0">
        <w:t>wastes whose manifest must be submitted to the e-Manifest (e.g., polychlorinated biphenyls regulated under 40 CFR Part 761).</w:t>
      </w:r>
    </w:p>
    <w:p w:rsidR="00400C37" w:rsidP="00400C37" w:rsidRDefault="00400C37" w14:paraId="3BC383BB" w14:textId="77777777">
      <w:pPr>
        <w:tabs>
          <w:tab w:val="left" w:pos="-1200"/>
        </w:tabs>
      </w:pPr>
    </w:p>
    <w:p w:rsidR="00400C37" w:rsidP="00400C37" w:rsidRDefault="00400C37" w14:paraId="56A17E1D" w14:textId="77777777">
      <w:pPr>
        <w:tabs>
          <w:tab w:val="left" w:pos="-1200"/>
        </w:tabs>
      </w:pPr>
      <w:r>
        <w:lastRenderedPageBreak/>
        <w:t>Table 5 shows the annual adoption rate for waste handlers to prepare and use the electronic manifest to track hazardous waste shipments. During the 3-year life of this ICR, EPA estimates that 11% of manifests will be prepared and transacted electronically and 89% will be prepared and transacted using the paper form on average annually.</w:t>
      </w:r>
      <w:r w:rsidRPr="00972CB0">
        <w:rPr>
          <w:rStyle w:val="FootnoteReference"/>
          <w:vertAlign w:val="superscript"/>
        </w:rPr>
        <w:footnoteReference w:id="11"/>
      </w:r>
      <w:r>
        <w:t xml:space="preserve">  </w:t>
      </w:r>
    </w:p>
    <w:p w:rsidR="00400C37" w:rsidP="00400C37" w:rsidRDefault="00400C37" w14:paraId="0C700EEE" w14:textId="77777777">
      <w:pPr>
        <w:tabs>
          <w:tab w:val="left" w:pos="-1200"/>
        </w:tabs>
      </w:pPr>
    </w:p>
    <w:p w:rsidRPr="00D07CAB" w:rsidR="00400C37" w:rsidP="00400C37" w:rsidRDefault="00400C37" w14:paraId="41F9859F" w14:textId="77777777">
      <w:pPr>
        <w:keepNext/>
        <w:tabs>
          <w:tab w:val="left" w:pos="-1200"/>
        </w:tabs>
        <w:jc w:val="center"/>
        <w:rPr>
          <w:b/>
        </w:rPr>
      </w:pPr>
      <w:r w:rsidRPr="00D07CAB">
        <w:rPr>
          <w:b/>
        </w:rPr>
        <w:t xml:space="preserve">Table </w:t>
      </w:r>
      <w:r>
        <w:rPr>
          <w:b/>
        </w:rPr>
        <w:t>5</w:t>
      </w:r>
    </w:p>
    <w:p w:rsidRPr="00D07CAB" w:rsidR="00400C37" w:rsidP="00400C37" w:rsidRDefault="00400C37" w14:paraId="1C87F157" w14:textId="77777777">
      <w:pPr>
        <w:keepNext/>
        <w:tabs>
          <w:tab w:val="left" w:pos="-1200"/>
        </w:tabs>
        <w:jc w:val="center"/>
        <w:rPr>
          <w:b/>
        </w:rPr>
      </w:pPr>
      <w:r w:rsidRPr="00D07CAB">
        <w:rPr>
          <w:b/>
        </w:rPr>
        <w:t>Annual Adoption Rate for e-Manifest</w:t>
      </w:r>
      <w:r>
        <w:rPr>
          <w:b/>
        </w:rPr>
        <w:t>*</w:t>
      </w:r>
    </w:p>
    <w:tbl>
      <w:tblPr>
        <w:tblW w:w="9120" w:type="dxa"/>
        <w:tblInd w:w="103" w:type="dxa"/>
        <w:tblLook w:val="04A0" w:firstRow="1" w:lastRow="0" w:firstColumn="1" w:lastColumn="0" w:noHBand="0" w:noVBand="1"/>
      </w:tblPr>
      <w:tblGrid>
        <w:gridCol w:w="2480"/>
        <w:gridCol w:w="1660"/>
        <w:gridCol w:w="1660"/>
        <w:gridCol w:w="1660"/>
        <w:gridCol w:w="1660"/>
      </w:tblGrid>
      <w:tr w:rsidRPr="00D07CAB" w:rsidR="00400C37" w:rsidTr="00400C37" w14:paraId="58A6E9B0" w14:textId="77777777">
        <w:trPr>
          <w:trHeight w:val="260"/>
        </w:trPr>
        <w:tc>
          <w:tcPr>
            <w:tcW w:w="2480" w:type="dxa"/>
            <w:tcBorders>
              <w:top w:val="single" w:color="auto" w:sz="4" w:space="0"/>
              <w:left w:val="single" w:color="auto" w:sz="4" w:space="0"/>
              <w:bottom w:val="single" w:color="auto" w:sz="4" w:space="0"/>
              <w:right w:val="single" w:color="auto" w:sz="4" w:space="0"/>
            </w:tcBorders>
            <w:shd w:val="clear" w:color="000000" w:fill="D8D8D8"/>
            <w:vAlign w:val="center"/>
            <w:hideMark/>
          </w:tcPr>
          <w:p w:rsidRPr="002D1A47" w:rsidR="00400C37" w:rsidP="00400C37" w:rsidRDefault="00400C37" w14:paraId="26426282" w14:textId="77777777">
            <w:pPr>
              <w:keepNext/>
              <w:jc w:val="center"/>
              <w:rPr>
                <w:b/>
                <w:sz w:val="22"/>
                <w:szCs w:val="22"/>
              </w:rPr>
            </w:pPr>
            <w:r w:rsidRPr="002D1A47">
              <w:rPr>
                <w:b/>
                <w:sz w:val="22"/>
                <w:szCs w:val="22"/>
              </w:rPr>
              <w:t>Type of Manifest</w:t>
            </w:r>
          </w:p>
        </w:tc>
        <w:tc>
          <w:tcPr>
            <w:tcW w:w="1660" w:type="dxa"/>
            <w:tcBorders>
              <w:top w:val="single" w:color="auto" w:sz="4" w:space="0"/>
              <w:left w:val="nil"/>
              <w:bottom w:val="single" w:color="auto" w:sz="4" w:space="0"/>
              <w:right w:val="single" w:color="auto" w:sz="4" w:space="0"/>
            </w:tcBorders>
            <w:shd w:val="clear" w:color="000000" w:fill="D8D8D8"/>
            <w:vAlign w:val="center"/>
            <w:hideMark/>
          </w:tcPr>
          <w:p w:rsidRPr="002D1A47" w:rsidR="00400C37" w:rsidP="00400C37" w:rsidRDefault="00400C37" w14:paraId="5BC9EF24" w14:textId="77777777">
            <w:pPr>
              <w:keepNext/>
              <w:jc w:val="center"/>
              <w:rPr>
                <w:b/>
                <w:bCs/>
                <w:sz w:val="22"/>
                <w:szCs w:val="22"/>
              </w:rPr>
            </w:pPr>
            <w:r w:rsidRPr="002D1A47">
              <w:rPr>
                <w:b/>
                <w:bCs/>
                <w:sz w:val="22"/>
                <w:szCs w:val="22"/>
              </w:rPr>
              <w:t>Year 1</w:t>
            </w:r>
          </w:p>
        </w:tc>
        <w:tc>
          <w:tcPr>
            <w:tcW w:w="1660" w:type="dxa"/>
            <w:tcBorders>
              <w:top w:val="single" w:color="auto" w:sz="4" w:space="0"/>
              <w:left w:val="nil"/>
              <w:bottom w:val="single" w:color="auto" w:sz="4" w:space="0"/>
              <w:right w:val="single" w:color="auto" w:sz="4" w:space="0"/>
            </w:tcBorders>
            <w:shd w:val="clear" w:color="000000" w:fill="D8D8D8"/>
            <w:vAlign w:val="center"/>
            <w:hideMark/>
          </w:tcPr>
          <w:p w:rsidRPr="002D1A47" w:rsidR="00400C37" w:rsidP="00400C37" w:rsidRDefault="00400C37" w14:paraId="6CE810B7" w14:textId="77777777">
            <w:pPr>
              <w:keepNext/>
              <w:jc w:val="center"/>
              <w:rPr>
                <w:b/>
                <w:bCs/>
                <w:sz w:val="22"/>
                <w:szCs w:val="22"/>
              </w:rPr>
            </w:pPr>
            <w:r w:rsidRPr="002D1A47">
              <w:rPr>
                <w:b/>
                <w:bCs/>
                <w:sz w:val="22"/>
                <w:szCs w:val="22"/>
              </w:rPr>
              <w:t>Year 2</w:t>
            </w:r>
          </w:p>
        </w:tc>
        <w:tc>
          <w:tcPr>
            <w:tcW w:w="1660" w:type="dxa"/>
            <w:tcBorders>
              <w:top w:val="single" w:color="auto" w:sz="4" w:space="0"/>
              <w:left w:val="nil"/>
              <w:bottom w:val="single" w:color="auto" w:sz="4" w:space="0"/>
              <w:right w:val="single" w:color="auto" w:sz="4" w:space="0"/>
            </w:tcBorders>
            <w:shd w:val="clear" w:color="000000" w:fill="D8D8D8"/>
            <w:vAlign w:val="center"/>
            <w:hideMark/>
          </w:tcPr>
          <w:p w:rsidRPr="002D1A47" w:rsidR="00400C37" w:rsidP="00400C37" w:rsidRDefault="00400C37" w14:paraId="1DD6381D" w14:textId="77777777">
            <w:pPr>
              <w:keepNext/>
              <w:jc w:val="center"/>
              <w:rPr>
                <w:b/>
                <w:bCs/>
                <w:sz w:val="22"/>
                <w:szCs w:val="22"/>
              </w:rPr>
            </w:pPr>
            <w:r w:rsidRPr="002D1A47">
              <w:rPr>
                <w:b/>
                <w:bCs/>
                <w:sz w:val="22"/>
                <w:szCs w:val="22"/>
              </w:rPr>
              <w:t>Year 3</w:t>
            </w:r>
          </w:p>
        </w:tc>
        <w:tc>
          <w:tcPr>
            <w:tcW w:w="1660" w:type="dxa"/>
            <w:tcBorders>
              <w:top w:val="single" w:color="auto" w:sz="4" w:space="0"/>
              <w:left w:val="nil"/>
              <w:bottom w:val="single" w:color="auto" w:sz="4" w:space="0"/>
              <w:right w:val="single" w:color="auto" w:sz="4" w:space="0"/>
            </w:tcBorders>
            <w:shd w:val="clear" w:color="000000" w:fill="D8D8D8"/>
            <w:noWrap/>
            <w:vAlign w:val="center"/>
            <w:hideMark/>
          </w:tcPr>
          <w:p w:rsidRPr="002D1A47" w:rsidR="00400C37" w:rsidP="00400C37" w:rsidRDefault="00400C37" w14:paraId="3E337F49" w14:textId="77777777">
            <w:pPr>
              <w:keepNext/>
              <w:jc w:val="center"/>
              <w:rPr>
                <w:b/>
                <w:bCs/>
                <w:sz w:val="22"/>
                <w:szCs w:val="22"/>
              </w:rPr>
            </w:pPr>
            <w:r w:rsidRPr="002D1A47">
              <w:rPr>
                <w:b/>
                <w:bCs/>
                <w:sz w:val="22"/>
                <w:szCs w:val="22"/>
              </w:rPr>
              <w:t>3-Year Average</w:t>
            </w:r>
          </w:p>
        </w:tc>
      </w:tr>
      <w:tr w:rsidRPr="00D07CAB" w:rsidR="00400C37" w:rsidTr="00400C37" w14:paraId="7514988D" w14:textId="77777777">
        <w:trPr>
          <w:trHeight w:val="250"/>
        </w:trPr>
        <w:tc>
          <w:tcPr>
            <w:tcW w:w="2480" w:type="dxa"/>
            <w:tcBorders>
              <w:top w:val="nil"/>
              <w:left w:val="single" w:color="auto" w:sz="4" w:space="0"/>
              <w:bottom w:val="single" w:color="auto" w:sz="4" w:space="0"/>
              <w:right w:val="single" w:color="auto" w:sz="4" w:space="0"/>
            </w:tcBorders>
            <w:shd w:val="clear" w:color="auto" w:fill="auto"/>
            <w:hideMark/>
          </w:tcPr>
          <w:p w:rsidRPr="002D1A47" w:rsidR="00400C37" w:rsidP="00400C37" w:rsidRDefault="00400C37" w14:paraId="165FDA6F" w14:textId="77777777">
            <w:pPr>
              <w:keepNext/>
              <w:rPr>
                <w:sz w:val="22"/>
                <w:szCs w:val="22"/>
              </w:rPr>
            </w:pPr>
            <w:r w:rsidRPr="002D1A47">
              <w:rPr>
                <w:sz w:val="22"/>
                <w:szCs w:val="22"/>
              </w:rPr>
              <w:t>Paper manifests</w:t>
            </w:r>
          </w:p>
        </w:tc>
        <w:tc>
          <w:tcPr>
            <w:tcW w:w="1660" w:type="dxa"/>
            <w:tcBorders>
              <w:top w:val="nil"/>
              <w:left w:val="nil"/>
              <w:bottom w:val="single" w:color="auto" w:sz="4" w:space="0"/>
              <w:right w:val="single" w:color="auto" w:sz="4" w:space="0"/>
            </w:tcBorders>
            <w:shd w:val="clear" w:color="auto" w:fill="auto"/>
            <w:hideMark/>
          </w:tcPr>
          <w:p w:rsidRPr="002D1A47" w:rsidR="00400C37" w:rsidP="00400C37" w:rsidRDefault="00400C37" w14:paraId="764B9176" w14:textId="77777777">
            <w:pPr>
              <w:jc w:val="center"/>
              <w:rPr>
                <w:sz w:val="22"/>
                <w:szCs w:val="22"/>
              </w:rPr>
            </w:pPr>
            <w:r w:rsidRPr="002D1A47">
              <w:rPr>
                <w:sz w:val="22"/>
                <w:szCs w:val="22"/>
              </w:rPr>
              <w:t>99.00%</w:t>
            </w:r>
          </w:p>
        </w:tc>
        <w:tc>
          <w:tcPr>
            <w:tcW w:w="1660" w:type="dxa"/>
            <w:tcBorders>
              <w:top w:val="nil"/>
              <w:left w:val="nil"/>
              <w:bottom w:val="single" w:color="auto" w:sz="4" w:space="0"/>
              <w:right w:val="single" w:color="auto" w:sz="4" w:space="0"/>
            </w:tcBorders>
            <w:shd w:val="clear" w:color="auto" w:fill="auto"/>
            <w:hideMark/>
          </w:tcPr>
          <w:p w:rsidRPr="002D1A47" w:rsidR="00400C37" w:rsidP="00400C37" w:rsidRDefault="00400C37" w14:paraId="4C186476" w14:textId="77777777">
            <w:pPr>
              <w:jc w:val="center"/>
              <w:rPr>
                <w:sz w:val="22"/>
                <w:szCs w:val="22"/>
              </w:rPr>
            </w:pPr>
            <w:r w:rsidRPr="002D1A47">
              <w:rPr>
                <w:sz w:val="22"/>
                <w:szCs w:val="22"/>
              </w:rPr>
              <w:t>84.00%</w:t>
            </w:r>
          </w:p>
        </w:tc>
        <w:tc>
          <w:tcPr>
            <w:tcW w:w="1660" w:type="dxa"/>
            <w:tcBorders>
              <w:top w:val="nil"/>
              <w:left w:val="nil"/>
              <w:bottom w:val="single" w:color="auto" w:sz="4" w:space="0"/>
              <w:right w:val="single" w:color="auto" w:sz="4" w:space="0"/>
            </w:tcBorders>
            <w:shd w:val="clear" w:color="auto" w:fill="auto"/>
            <w:hideMark/>
          </w:tcPr>
          <w:p w:rsidRPr="002D1A47" w:rsidR="00400C37" w:rsidP="00400C37" w:rsidRDefault="00400C37" w14:paraId="5ED2E1CD" w14:textId="77777777">
            <w:pPr>
              <w:jc w:val="center"/>
              <w:rPr>
                <w:sz w:val="22"/>
                <w:szCs w:val="22"/>
              </w:rPr>
            </w:pPr>
            <w:r w:rsidRPr="002D1A47">
              <w:rPr>
                <w:sz w:val="22"/>
                <w:szCs w:val="22"/>
              </w:rPr>
              <w:t>84.00%</w:t>
            </w:r>
          </w:p>
        </w:tc>
        <w:tc>
          <w:tcPr>
            <w:tcW w:w="1660" w:type="dxa"/>
            <w:tcBorders>
              <w:top w:val="nil"/>
              <w:left w:val="nil"/>
              <w:bottom w:val="single" w:color="auto" w:sz="4" w:space="0"/>
              <w:right w:val="single" w:color="auto" w:sz="4" w:space="0"/>
            </w:tcBorders>
            <w:shd w:val="clear" w:color="auto" w:fill="auto"/>
            <w:noWrap/>
            <w:hideMark/>
          </w:tcPr>
          <w:p w:rsidRPr="002D1A47" w:rsidR="00400C37" w:rsidP="00400C37" w:rsidRDefault="00400C37" w14:paraId="5B2D54A1" w14:textId="77777777">
            <w:pPr>
              <w:jc w:val="center"/>
              <w:rPr>
                <w:sz w:val="22"/>
                <w:szCs w:val="22"/>
              </w:rPr>
            </w:pPr>
            <w:r w:rsidRPr="002D1A47">
              <w:rPr>
                <w:sz w:val="22"/>
                <w:szCs w:val="22"/>
              </w:rPr>
              <w:t>89.00%</w:t>
            </w:r>
          </w:p>
        </w:tc>
      </w:tr>
      <w:tr w:rsidRPr="00D07CAB" w:rsidR="00400C37" w:rsidTr="00400C37" w14:paraId="197A5483" w14:textId="77777777">
        <w:trPr>
          <w:trHeight w:val="250"/>
        </w:trPr>
        <w:tc>
          <w:tcPr>
            <w:tcW w:w="2480" w:type="dxa"/>
            <w:tcBorders>
              <w:top w:val="nil"/>
              <w:left w:val="single" w:color="auto" w:sz="4" w:space="0"/>
              <w:bottom w:val="single" w:color="auto" w:sz="4" w:space="0"/>
              <w:right w:val="single" w:color="auto" w:sz="4" w:space="0"/>
            </w:tcBorders>
            <w:shd w:val="clear" w:color="auto" w:fill="auto"/>
            <w:hideMark/>
          </w:tcPr>
          <w:p w:rsidRPr="002D1A47" w:rsidR="00400C37" w:rsidP="00400C37" w:rsidRDefault="00400C37" w14:paraId="322D40ED" w14:textId="77777777">
            <w:pPr>
              <w:rPr>
                <w:sz w:val="22"/>
                <w:szCs w:val="22"/>
              </w:rPr>
            </w:pPr>
            <w:r w:rsidRPr="002D1A47">
              <w:rPr>
                <w:sz w:val="22"/>
                <w:szCs w:val="22"/>
              </w:rPr>
              <w:t>Electronic manifests</w:t>
            </w:r>
          </w:p>
        </w:tc>
        <w:tc>
          <w:tcPr>
            <w:tcW w:w="1660" w:type="dxa"/>
            <w:tcBorders>
              <w:top w:val="nil"/>
              <w:left w:val="nil"/>
              <w:bottom w:val="single" w:color="auto" w:sz="4" w:space="0"/>
              <w:right w:val="single" w:color="auto" w:sz="4" w:space="0"/>
            </w:tcBorders>
            <w:shd w:val="clear" w:color="auto" w:fill="auto"/>
            <w:hideMark/>
          </w:tcPr>
          <w:p w:rsidRPr="002D1A47" w:rsidR="00400C37" w:rsidP="00400C37" w:rsidRDefault="00400C37" w14:paraId="0D208690" w14:textId="77777777">
            <w:pPr>
              <w:jc w:val="center"/>
              <w:rPr>
                <w:sz w:val="22"/>
                <w:szCs w:val="22"/>
              </w:rPr>
            </w:pPr>
            <w:r w:rsidRPr="002D1A47">
              <w:rPr>
                <w:sz w:val="22"/>
                <w:szCs w:val="22"/>
              </w:rPr>
              <w:t>1.00%</w:t>
            </w:r>
          </w:p>
        </w:tc>
        <w:tc>
          <w:tcPr>
            <w:tcW w:w="1660" w:type="dxa"/>
            <w:tcBorders>
              <w:top w:val="nil"/>
              <w:left w:val="nil"/>
              <w:bottom w:val="single" w:color="auto" w:sz="4" w:space="0"/>
              <w:right w:val="single" w:color="auto" w:sz="4" w:space="0"/>
            </w:tcBorders>
            <w:shd w:val="clear" w:color="auto" w:fill="auto"/>
            <w:hideMark/>
          </w:tcPr>
          <w:p w:rsidRPr="002D1A47" w:rsidR="00400C37" w:rsidP="00400C37" w:rsidRDefault="00400C37" w14:paraId="33D6FA36" w14:textId="77777777">
            <w:pPr>
              <w:jc w:val="center"/>
              <w:rPr>
                <w:sz w:val="22"/>
                <w:szCs w:val="22"/>
              </w:rPr>
            </w:pPr>
            <w:r w:rsidRPr="002D1A47">
              <w:rPr>
                <w:sz w:val="22"/>
                <w:szCs w:val="22"/>
              </w:rPr>
              <w:t>16.00%</w:t>
            </w:r>
          </w:p>
        </w:tc>
        <w:tc>
          <w:tcPr>
            <w:tcW w:w="1660" w:type="dxa"/>
            <w:tcBorders>
              <w:top w:val="nil"/>
              <w:left w:val="nil"/>
              <w:bottom w:val="single" w:color="auto" w:sz="4" w:space="0"/>
              <w:right w:val="single" w:color="auto" w:sz="4" w:space="0"/>
            </w:tcBorders>
            <w:shd w:val="clear" w:color="auto" w:fill="auto"/>
            <w:hideMark/>
          </w:tcPr>
          <w:p w:rsidRPr="002D1A47" w:rsidR="00400C37" w:rsidP="00400C37" w:rsidRDefault="00400C37" w14:paraId="5949B06C" w14:textId="77777777">
            <w:pPr>
              <w:jc w:val="center"/>
              <w:rPr>
                <w:sz w:val="22"/>
                <w:szCs w:val="22"/>
              </w:rPr>
            </w:pPr>
            <w:r w:rsidRPr="002D1A47">
              <w:rPr>
                <w:sz w:val="22"/>
                <w:szCs w:val="22"/>
              </w:rPr>
              <w:t>16.00%</w:t>
            </w:r>
          </w:p>
        </w:tc>
        <w:tc>
          <w:tcPr>
            <w:tcW w:w="1660" w:type="dxa"/>
            <w:tcBorders>
              <w:top w:val="nil"/>
              <w:left w:val="nil"/>
              <w:bottom w:val="single" w:color="auto" w:sz="4" w:space="0"/>
              <w:right w:val="single" w:color="auto" w:sz="4" w:space="0"/>
            </w:tcBorders>
            <w:shd w:val="clear" w:color="auto" w:fill="auto"/>
            <w:noWrap/>
            <w:hideMark/>
          </w:tcPr>
          <w:p w:rsidRPr="002D1A47" w:rsidR="00400C37" w:rsidP="00400C37" w:rsidRDefault="00400C37" w14:paraId="7B021205" w14:textId="77777777">
            <w:pPr>
              <w:jc w:val="center"/>
              <w:rPr>
                <w:sz w:val="22"/>
                <w:szCs w:val="22"/>
              </w:rPr>
            </w:pPr>
            <w:r w:rsidRPr="002D1A47">
              <w:rPr>
                <w:sz w:val="22"/>
                <w:szCs w:val="22"/>
              </w:rPr>
              <w:t>11.00%</w:t>
            </w:r>
          </w:p>
        </w:tc>
      </w:tr>
    </w:tbl>
    <w:p w:rsidRPr="002120F6" w:rsidR="00400C37" w:rsidP="00400C37" w:rsidRDefault="00400C37" w14:paraId="0508E176" w14:textId="77777777">
      <w:pPr>
        <w:tabs>
          <w:tab w:val="left" w:pos="-1200"/>
        </w:tabs>
        <w:rPr>
          <w:sz w:val="20"/>
          <w:szCs w:val="20"/>
        </w:rPr>
      </w:pPr>
      <w:r w:rsidRPr="002120F6">
        <w:rPr>
          <w:sz w:val="20"/>
          <w:szCs w:val="20"/>
        </w:rPr>
        <w:t xml:space="preserve">* </w:t>
      </w:r>
      <w:r>
        <w:rPr>
          <w:sz w:val="20"/>
          <w:szCs w:val="20"/>
        </w:rPr>
        <w:t>These percentages are based on a memorandum from Barnes Johnson of EPA, “e-Manifest User Fees FY 2020/FY2021,” dated July 22, 2019.</w:t>
      </w:r>
    </w:p>
    <w:p w:rsidR="00400C37" w:rsidP="00400C37" w:rsidRDefault="00400C37" w14:paraId="40BE245D" w14:textId="77777777">
      <w:pPr>
        <w:tabs>
          <w:tab w:val="left" w:pos="-1200"/>
        </w:tabs>
        <w:rPr>
          <w:bCs/>
        </w:rPr>
      </w:pPr>
    </w:p>
    <w:p w:rsidR="00400C37" w:rsidP="00400C37" w:rsidRDefault="00400C37" w14:paraId="5985DBF9" w14:textId="77777777">
      <w:pPr>
        <w:tabs>
          <w:tab w:val="left" w:pos="-1200"/>
        </w:tabs>
        <w:rPr>
          <w:bCs/>
        </w:rPr>
      </w:pPr>
      <w:r>
        <w:rPr>
          <w:bCs/>
        </w:rPr>
        <w:t>As discussed at the beginning of Section 6, this ICR estimates burden based primarily on the three activities shown below in accordance with the scope assumptions in Table 1. Table 6 presents the 3-year average number of manifests for each activity:</w:t>
      </w:r>
      <w:r w:rsidRPr="00FC6BF1">
        <w:rPr>
          <w:rStyle w:val="Heading2Char"/>
          <w:vertAlign w:val="superscript"/>
        </w:rPr>
        <w:t xml:space="preserve"> </w:t>
      </w:r>
      <w:r w:rsidRPr="002C12C7">
        <w:rPr>
          <w:rStyle w:val="FootnoteReference"/>
          <w:vertAlign w:val="superscript"/>
        </w:rPr>
        <w:footnoteReference w:id="12"/>
      </w:r>
    </w:p>
    <w:p w:rsidR="00400C37" w:rsidP="00400C37" w:rsidRDefault="00400C37" w14:paraId="7F54D7A3" w14:textId="77777777">
      <w:pPr>
        <w:tabs>
          <w:tab w:val="left" w:pos="-1200"/>
        </w:tabs>
        <w:rPr>
          <w:bCs/>
        </w:rPr>
      </w:pPr>
    </w:p>
    <w:p w:rsidRPr="00076E7B" w:rsidR="00400C37" w:rsidP="00400C37" w:rsidRDefault="00400C37" w14:paraId="74E195E7" w14:textId="77777777">
      <w:pPr>
        <w:pStyle w:val="ListParagraph"/>
        <w:widowControl/>
        <w:numPr>
          <w:ilvl w:val="0"/>
          <w:numId w:val="19"/>
        </w:numPr>
        <w:tabs>
          <w:tab w:val="left" w:pos="-1200"/>
        </w:tabs>
        <w:rPr>
          <w:bCs/>
        </w:rPr>
      </w:pPr>
      <w:r w:rsidRPr="0094665A">
        <w:rPr>
          <w:bCs/>
          <w:u w:val="single"/>
        </w:rPr>
        <w:t>Participating in manifest cycle</w:t>
      </w:r>
      <w:r w:rsidRPr="00076E7B">
        <w:rPr>
          <w:bCs/>
        </w:rPr>
        <w:t>.</w:t>
      </w:r>
      <w:r w:rsidRPr="00D52D0F">
        <w:rPr>
          <w:rStyle w:val="FootnoteReference"/>
          <w:bCs/>
          <w:vertAlign w:val="superscript"/>
        </w:rPr>
        <w:footnoteReference w:id="13"/>
      </w:r>
      <w:r w:rsidRPr="00076E7B">
        <w:rPr>
          <w:bCs/>
        </w:rPr>
        <w:t xml:space="preserve">  This ICR estimates burden</w:t>
      </w:r>
      <w:r>
        <w:rPr>
          <w:bCs/>
        </w:rPr>
        <w:t xml:space="preserve"> to waste handlers</w:t>
      </w:r>
      <w:r w:rsidRPr="00076E7B">
        <w:rPr>
          <w:bCs/>
        </w:rPr>
        <w:t xml:space="preserve"> for participating in paper manifest cycles for federal hazardous waste as well as electronic manifest cycles </w:t>
      </w:r>
      <w:r>
        <w:rPr>
          <w:bCs/>
        </w:rPr>
        <w:t>for</w:t>
      </w:r>
      <w:r w:rsidRPr="00076E7B">
        <w:rPr>
          <w:bCs/>
        </w:rPr>
        <w:t xml:space="preserve"> federal and state hazardous waste</w:t>
      </w:r>
      <w:r>
        <w:rPr>
          <w:bCs/>
        </w:rPr>
        <w:t>. This equates to 1.276</w:t>
      </w:r>
      <w:r w:rsidRPr="00364B33">
        <w:rPr>
          <w:bCs/>
        </w:rPr>
        <w:t xml:space="preserve"> million manifests</w:t>
      </w:r>
      <w:r>
        <w:rPr>
          <w:bCs/>
        </w:rPr>
        <w:t xml:space="preserve"> on average annually. </w:t>
      </w:r>
    </w:p>
    <w:p w:rsidR="00400C37" w:rsidP="00400C37" w:rsidRDefault="00400C37" w14:paraId="0D40AB58" w14:textId="77777777">
      <w:pPr>
        <w:pStyle w:val="ListParagraph"/>
        <w:widowControl/>
        <w:tabs>
          <w:tab w:val="left" w:pos="-1200"/>
        </w:tabs>
        <w:rPr>
          <w:bCs/>
        </w:rPr>
      </w:pPr>
    </w:p>
    <w:p w:rsidR="00400C37" w:rsidP="00400C37" w:rsidRDefault="00400C37" w14:paraId="04F9FC28" w14:textId="77777777">
      <w:pPr>
        <w:pStyle w:val="ListParagraph"/>
        <w:widowControl/>
        <w:numPr>
          <w:ilvl w:val="0"/>
          <w:numId w:val="19"/>
        </w:numPr>
        <w:tabs>
          <w:tab w:val="left" w:pos="-1200"/>
        </w:tabs>
        <w:rPr>
          <w:bCs/>
        </w:rPr>
      </w:pPr>
      <w:r w:rsidRPr="0094665A">
        <w:rPr>
          <w:bCs/>
          <w:u w:val="single"/>
        </w:rPr>
        <w:t>Submitting copies to national system</w:t>
      </w:r>
      <w:r>
        <w:rPr>
          <w:bCs/>
        </w:rPr>
        <w:t xml:space="preserve">. This ICR estimates burden to waste handlers for submitting all paper copies accompanying federal and state waste to the national system. This equates to 1.591 million manifests on average annually. </w:t>
      </w:r>
    </w:p>
    <w:p w:rsidR="00400C37" w:rsidP="00400C37" w:rsidRDefault="00400C37" w14:paraId="054B2BF4" w14:textId="77777777">
      <w:pPr>
        <w:pStyle w:val="ListParagraph"/>
        <w:widowControl/>
        <w:tabs>
          <w:tab w:val="left" w:pos="-1200"/>
        </w:tabs>
        <w:rPr>
          <w:bCs/>
        </w:rPr>
      </w:pPr>
    </w:p>
    <w:p w:rsidR="00400C37" w:rsidP="00400C37" w:rsidRDefault="00400C37" w14:paraId="2FE1E391" w14:textId="77777777">
      <w:pPr>
        <w:pStyle w:val="ListParagraph"/>
        <w:widowControl/>
        <w:numPr>
          <w:ilvl w:val="0"/>
          <w:numId w:val="19"/>
        </w:numPr>
        <w:tabs>
          <w:tab w:val="left" w:pos="-1200"/>
        </w:tabs>
        <w:rPr>
          <w:bCs/>
        </w:rPr>
      </w:pPr>
      <w:r w:rsidRPr="0094665A">
        <w:rPr>
          <w:bCs/>
          <w:u w:val="single"/>
        </w:rPr>
        <w:t>Paying fees</w:t>
      </w:r>
      <w:r>
        <w:rPr>
          <w:bCs/>
        </w:rPr>
        <w:t>. This ICR estimates burden to waste handlers for paying fees for all manifests (paper and electronic) accompanying federal and state waste. This equates to 1.785 million manifests on average annually.</w:t>
      </w:r>
    </w:p>
    <w:p w:rsidR="00400C37" w:rsidP="00400C37" w:rsidRDefault="00400C37" w14:paraId="07E406CC" w14:textId="77777777">
      <w:pPr>
        <w:tabs>
          <w:tab w:val="left" w:pos="-1200"/>
        </w:tabs>
        <w:ind w:left="360"/>
        <w:rPr>
          <w:bCs/>
        </w:rPr>
      </w:pPr>
    </w:p>
    <w:p w:rsidR="00400C37" w:rsidP="00400C37" w:rsidRDefault="00CA3BA8" w14:paraId="2A7FF6F9" w14:textId="79F24D74">
      <w:pPr>
        <w:tabs>
          <w:tab w:val="left" w:pos="-1200"/>
        </w:tabs>
        <w:ind w:left="360"/>
        <w:rPr>
          <w:bCs/>
        </w:rPr>
      </w:pPr>
      <w:r>
        <w:rPr>
          <w:bCs/>
        </w:rPr>
        <w:tab/>
      </w:r>
    </w:p>
    <w:p w:rsidRPr="00076E7B" w:rsidR="00400C37" w:rsidP="00400C37" w:rsidRDefault="00400C37" w14:paraId="0A32884D" w14:textId="77777777">
      <w:pPr>
        <w:tabs>
          <w:tab w:val="left" w:pos="-1200"/>
        </w:tabs>
        <w:ind w:left="360"/>
        <w:jc w:val="center"/>
        <w:rPr>
          <w:b/>
          <w:bCs/>
        </w:rPr>
      </w:pPr>
      <w:r w:rsidRPr="00076E7B">
        <w:rPr>
          <w:b/>
          <w:bCs/>
        </w:rPr>
        <w:t xml:space="preserve">Table </w:t>
      </w:r>
      <w:r>
        <w:rPr>
          <w:b/>
          <w:bCs/>
        </w:rPr>
        <w:t>6</w:t>
      </w:r>
    </w:p>
    <w:p w:rsidR="00400C37" w:rsidP="00400C37" w:rsidRDefault="00400C37" w14:paraId="4FA39D48" w14:textId="77777777">
      <w:pPr>
        <w:tabs>
          <w:tab w:val="left" w:pos="-1200"/>
        </w:tabs>
        <w:ind w:left="360"/>
        <w:jc w:val="center"/>
        <w:rPr>
          <w:b/>
          <w:bCs/>
        </w:rPr>
      </w:pPr>
      <w:r w:rsidRPr="00076E7B">
        <w:rPr>
          <w:b/>
          <w:bCs/>
        </w:rPr>
        <w:t>3-Year Average Annual Number of Manifests in this ICR</w:t>
      </w:r>
      <w:r>
        <w:rPr>
          <w:b/>
          <w:bCs/>
        </w:rPr>
        <w:t>*</w:t>
      </w:r>
    </w:p>
    <w:tbl>
      <w:tblPr>
        <w:tblW w:w="9620" w:type="dxa"/>
        <w:tblInd w:w="103" w:type="dxa"/>
        <w:tblLook w:val="04A0" w:firstRow="1" w:lastRow="0" w:firstColumn="1" w:lastColumn="0" w:noHBand="0" w:noVBand="1"/>
      </w:tblPr>
      <w:tblGrid>
        <w:gridCol w:w="2988"/>
        <w:gridCol w:w="1271"/>
        <w:gridCol w:w="1294"/>
        <w:gridCol w:w="1561"/>
        <w:gridCol w:w="1351"/>
        <w:gridCol w:w="1155"/>
      </w:tblGrid>
      <w:tr w:rsidRPr="003578A6" w:rsidR="00400C37" w:rsidTr="00400C37" w14:paraId="18FC17AC" w14:textId="77777777">
        <w:trPr>
          <w:trHeight w:val="280"/>
          <w:tblHeader/>
        </w:trPr>
        <w:tc>
          <w:tcPr>
            <w:tcW w:w="2988" w:type="dxa"/>
            <w:vMerge w:val="restart"/>
            <w:tcBorders>
              <w:top w:val="single" w:color="auto" w:sz="4" w:space="0"/>
              <w:left w:val="single" w:color="auto" w:sz="4" w:space="0"/>
              <w:bottom w:val="single" w:color="000000" w:sz="4" w:space="0"/>
              <w:right w:val="single" w:color="auto" w:sz="4" w:space="0"/>
            </w:tcBorders>
            <w:shd w:val="clear" w:color="000000" w:fill="D8D8D8"/>
            <w:vAlign w:val="center"/>
            <w:hideMark/>
          </w:tcPr>
          <w:p w:rsidRPr="003578A6" w:rsidR="00400C37" w:rsidP="00400C37" w:rsidRDefault="00400C37" w14:paraId="52D5AC8B" w14:textId="77777777">
            <w:pPr>
              <w:jc w:val="center"/>
              <w:rPr>
                <w:b/>
                <w:bCs/>
                <w:sz w:val="22"/>
                <w:szCs w:val="22"/>
              </w:rPr>
            </w:pPr>
            <w:r w:rsidRPr="003578A6">
              <w:rPr>
                <w:b/>
                <w:bCs/>
                <w:sz w:val="22"/>
                <w:szCs w:val="22"/>
              </w:rPr>
              <w:lastRenderedPageBreak/>
              <w:t xml:space="preserve">Manifest Activities </w:t>
            </w:r>
          </w:p>
        </w:tc>
        <w:tc>
          <w:tcPr>
            <w:tcW w:w="2565" w:type="dxa"/>
            <w:gridSpan w:val="2"/>
            <w:tcBorders>
              <w:top w:val="single" w:color="auto" w:sz="4" w:space="0"/>
              <w:left w:val="nil"/>
              <w:bottom w:val="single" w:color="auto" w:sz="4" w:space="0"/>
              <w:right w:val="single" w:color="auto" w:sz="4" w:space="0"/>
            </w:tcBorders>
            <w:shd w:val="clear" w:color="000000" w:fill="D8D8D8"/>
            <w:vAlign w:val="center"/>
            <w:hideMark/>
          </w:tcPr>
          <w:p w:rsidRPr="003578A6" w:rsidR="00400C37" w:rsidP="00400C37" w:rsidRDefault="00400C37" w14:paraId="6A494515" w14:textId="77777777">
            <w:pPr>
              <w:jc w:val="center"/>
              <w:rPr>
                <w:b/>
                <w:bCs/>
                <w:sz w:val="22"/>
                <w:szCs w:val="22"/>
              </w:rPr>
            </w:pPr>
            <w:r w:rsidRPr="003578A6">
              <w:rPr>
                <w:b/>
                <w:bCs/>
                <w:sz w:val="22"/>
                <w:szCs w:val="22"/>
              </w:rPr>
              <w:t>No. of Paper Manifests</w:t>
            </w:r>
          </w:p>
        </w:tc>
        <w:tc>
          <w:tcPr>
            <w:tcW w:w="2912" w:type="dxa"/>
            <w:gridSpan w:val="2"/>
            <w:tcBorders>
              <w:top w:val="single" w:color="auto" w:sz="4" w:space="0"/>
              <w:left w:val="nil"/>
              <w:bottom w:val="single" w:color="auto" w:sz="4" w:space="0"/>
              <w:right w:val="single" w:color="auto" w:sz="4" w:space="0"/>
            </w:tcBorders>
            <w:shd w:val="clear" w:color="000000" w:fill="D8D8D8"/>
            <w:vAlign w:val="center"/>
            <w:hideMark/>
          </w:tcPr>
          <w:p w:rsidRPr="003578A6" w:rsidR="00400C37" w:rsidP="00400C37" w:rsidRDefault="00400C37" w14:paraId="17EC28BF" w14:textId="77777777">
            <w:pPr>
              <w:jc w:val="center"/>
              <w:rPr>
                <w:b/>
                <w:bCs/>
                <w:sz w:val="22"/>
                <w:szCs w:val="22"/>
              </w:rPr>
            </w:pPr>
            <w:r w:rsidRPr="003578A6">
              <w:rPr>
                <w:b/>
                <w:bCs/>
                <w:sz w:val="22"/>
                <w:szCs w:val="22"/>
              </w:rPr>
              <w:t xml:space="preserve">No. of Electronic Manifests (Federal and </w:t>
            </w:r>
            <w:proofErr w:type="gramStart"/>
            <w:r w:rsidRPr="003578A6">
              <w:rPr>
                <w:b/>
                <w:bCs/>
                <w:sz w:val="22"/>
                <w:szCs w:val="22"/>
              </w:rPr>
              <w:t>State)</w:t>
            </w:r>
            <w:r>
              <w:rPr>
                <w:b/>
                <w:bCs/>
                <w:sz w:val="22"/>
                <w:szCs w:val="22"/>
              </w:rPr>
              <w:t>*</w:t>
            </w:r>
            <w:proofErr w:type="gramEnd"/>
            <w:r>
              <w:rPr>
                <w:b/>
                <w:bCs/>
                <w:sz w:val="22"/>
                <w:szCs w:val="22"/>
              </w:rPr>
              <w:t>*</w:t>
            </w:r>
          </w:p>
        </w:tc>
        <w:tc>
          <w:tcPr>
            <w:tcW w:w="1155" w:type="dxa"/>
            <w:vMerge w:val="restart"/>
            <w:tcBorders>
              <w:top w:val="single" w:color="auto" w:sz="4" w:space="0"/>
              <w:left w:val="single" w:color="auto" w:sz="4" w:space="0"/>
              <w:bottom w:val="single" w:color="auto" w:sz="4" w:space="0"/>
              <w:right w:val="single" w:color="auto" w:sz="4" w:space="0"/>
            </w:tcBorders>
            <w:shd w:val="clear" w:color="000000" w:fill="D8D8D8"/>
            <w:vAlign w:val="center"/>
            <w:hideMark/>
          </w:tcPr>
          <w:p w:rsidRPr="003578A6" w:rsidR="00400C37" w:rsidP="00400C37" w:rsidRDefault="00400C37" w14:paraId="59E3F35D" w14:textId="77777777">
            <w:pPr>
              <w:jc w:val="center"/>
              <w:rPr>
                <w:b/>
                <w:bCs/>
                <w:sz w:val="22"/>
                <w:szCs w:val="22"/>
              </w:rPr>
            </w:pPr>
            <w:r w:rsidRPr="003578A6">
              <w:rPr>
                <w:b/>
                <w:bCs/>
                <w:sz w:val="22"/>
                <w:szCs w:val="22"/>
              </w:rPr>
              <w:t>Total Manifests</w:t>
            </w:r>
          </w:p>
        </w:tc>
      </w:tr>
      <w:tr w:rsidRPr="003578A6" w:rsidR="00400C37" w:rsidTr="00400C37" w14:paraId="2F80694E" w14:textId="77777777">
        <w:trPr>
          <w:trHeight w:val="280"/>
          <w:tblHeader/>
        </w:trPr>
        <w:tc>
          <w:tcPr>
            <w:tcW w:w="2988" w:type="dxa"/>
            <w:vMerge/>
            <w:tcBorders>
              <w:top w:val="single" w:color="auto" w:sz="4" w:space="0"/>
              <w:left w:val="single" w:color="auto" w:sz="4" w:space="0"/>
              <w:bottom w:val="single" w:color="000000" w:sz="4" w:space="0"/>
              <w:right w:val="single" w:color="auto" w:sz="4" w:space="0"/>
            </w:tcBorders>
            <w:vAlign w:val="center"/>
            <w:hideMark/>
          </w:tcPr>
          <w:p w:rsidRPr="003578A6" w:rsidR="00400C37" w:rsidP="00400C37" w:rsidRDefault="00400C37" w14:paraId="1A24CFA5" w14:textId="77777777">
            <w:pPr>
              <w:rPr>
                <w:b/>
                <w:bCs/>
                <w:sz w:val="22"/>
                <w:szCs w:val="22"/>
              </w:rPr>
            </w:pPr>
          </w:p>
        </w:tc>
        <w:tc>
          <w:tcPr>
            <w:tcW w:w="1271" w:type="dxa"/>
            <w:vMerge w:val="restart"/>
            <w:tcBorders>
              <w:top w:val="nil"/>
              <w:left w:val="single" w:color="auto" w:sz="4" w:space="0"/>
              <w:bottom w:val="single" w:color="000000" w:sz="4" w:space="0"/>
              <w:right w:val="single" w:color="auto" w:sz="4" w:space="0"/>
            </w:tcBorders>
            <w:shd w:val="clear" w:color="000000" w:fill="D8D8D8"/>
            <w:vAlign w:val="center"/>
            <w:hideMark/>
          </w:tcPr>
          <w:p w:rsidRPr="003578A6" w:rsidR="00400C37" w:rsidP="00400C37" w:rsidRDefault="00400C37" w14:paraId="113E9C39" w14:textId="77777777">
            <w:pPr>
              <w:jc w:val="center"/>
              <w:rPr>
                <w:b/>
                <w:bCs/>
                <w:sz w:val="22"/>
                <w:szCs w:val="22"/>
              </w:rPr>
            </w:pPr>
            <w:r w:rsidRPr="003578A6">
              <w:rPr>
                <w:b/>
                <w:bCs/>
                <w:sz w:val="22"/>
                <w:szCs w:val="22"/>
              </w:rPr>
              <w:t>Federal</w:t>
            </w:r>
            <w:r>
              <w:rPr>
                <w:b/>
                <w:bCs/>
                <w:sz w:val="22"/>
                <w:szCs w:val="22"/>
              </w:rPr>
              <w:t xml:space="preserve"> Hazardous Waste</w:t>
            </w:r>
          </w:p>
        </w:tc>
        <w:tc>
          <w:tcPr>
            <w:tcW w:w="1294" w:type="dxa"/>
            <w:vMerge w:val="restart"/>
            <w:tcBorders>
              <w:top w:val="nil"/>
              <w:left w:val="single" w:color="auto" w:sz="4" w:space="0"/>
              <w:bottom w:val="single" w:color="auto" w:sz="4" w:space="0"/>
              <w:right w:val="single" w:color="auto" w:sz="4" w:space="0"/>
            </w:tcBorders>
            <w:shd w:val="clear" w:color="000000" w:fill="D8D8D8"/>
            <w:vAlign w:val="center"/>
            <w:hideMark/>
          </w:tcPr>
          <w:p w:rsidRPr="003578A6" w:rsidR="00400C37" w:rsidP="00400C37" w:rsidRDefault="00400C37" w14:paraId="29FC01C9" w14:textId="77777777">
            <w:pPr>
              <w:jc w:val="center"/>
              <w:rPr>
                <w:b/>
                <w:bCs/>
                <w:sz w:val="22"/>
                <w:szCs w:val="22"/>
              </w:rPr>
            </w:pPr>
            <w:r w:rsidRPr="003578A6">
              <w:rPr>
                <w:b/>
                <w:bCs/>
                <w:sz w:val="22"/>
                <w:szCs w:val="22"/>
              </w:rPr>
              <w:t>State Hazardous Waste</w:t>
            </w:r>
          </w:p>
        </w:tc>
        <w:tc>
          <w:tcPr>
            <w:tcW w:w="1561" w:type="dxa"/>
            <w:vMerge w:val="restart"/>
            <w:tcBorders>
              <w:top w:val="nil"/>
              <w:left w:val="single" w:color="auto" w:sz="4" w:space="0"/>
              <w:bottom w:val="single" w:color="000000" w:sz="4" w:space="0"/>
              <w:right w:val="single" w:color="auto" w:sz="4" w:space="0"/>
            </w:tcBorders>
            <w:shd w:val="clear" w:color="000000" w:fill="D8D8D8"/>
            <w:vAlign w:val="center"/>
            <w:hideMark/>
          </w:tcPr>
          <w:p w:rsidRPr="003578A6" w:rsidR="00400C37" w:rsidP="00400C37" w:rsidRDefault="00400C37" w14:paraId="43DD5602" w14:textId="77777777">
            <w:pPr>
              <w:jc w:val="center"/>
              <w:rPr>
                <w:b/>
                <w:bCs/>
                <w:sz w:val="22"/>
                <w:szCs w:val="22"/>
              </w:rPr>
            </w:pPr>
            <w:r w:rsidRPr="003578A6">
              <w:rPr>
                <w:b/>
                <w:bCs/>
                <w:sz w:val="22"/>
                <w:szCs w:val="22"/>
              </w:rPr>
              <w:t>PIN/Password</w:t>
            </w:r>
          </w:p>
        </w:tc>
        <w:tc>
          <w:tcPr>
            <w:tcW w:w="1351" w:type="dxa"/>
            <w:vMerge w:val="restart"/>
            <w:tcBorders>
              <w:top w:val="nil"/>
              <w:left w:val="single" w:color="auto" w:sz="4" w:space="0"/>
              <w:bottom w:val="single" w:color="auto" w:sz="4" w:space="0"/>
              <w:right w:val="single" w:color="auto" w:sz="4" w:space="0"/>
            </w:tcBorders>
            <w:shd w:val="clear" w:color="000000" w:fill="D8D8D8"/>
            <w:vAlign w:val="center"/>
            <w:hideMark/>
          </w:tcPr>
          <w:p w:rsidRPr="003578A6" w:rsidR="00400C37" w:rsidP="00400C37" w:rsidRDefault="00400C37" w14:paraId="1D396A56" w14:textId="77777777">
            <w:pPr>
              <w:jc w:val="center"/>
              <w:rPr>
                <w:b/>
                <w:bCs/>
                <w:sz w:val="22"/>
                <w:szCs w:val="22"/>
              </w:rPr>
            </w:pPr>
            <w:r w:rsidRPr="003578A6">
              <w:rPr>
                <w:b/>
                <w:bCs/>
                <w:sz w:val="22"/>
                <w:szCs w:val="22"/>
              </w:rPr>
              <w:t xml:space="preserve">Digitized Electronic Signature </w:t>
            </w:r>
          </w:p>
        </w:tc>
        <w:tc>
          <w:tcPr>
            <w:tcW w:w="1155" w:type="dxa"/>
            <w:vMerge/>
            <w:tcBorders>
              <w:top w:val="single" w:color="auto" w:sz="4" w:space="0"/>
              <w:left w:val="single" w:color="auto" w:sz="4" w:space="0"/>
              <w:bottom w:val="single" w:color="auto" w:sz="4" w:space="0"/>
              <w:right w:val="single" w:color="auto" w:sz="4" w:space="0"/>
            </w:tcBorders>
            <w:vAlign w:val="center"/>
            <w:hideMark/>
          </w:tcPr>
          <w:p w:rsidRPr="003578A6" w:rsidR="00400C37" w:rsidP="00400C37" w:rsidRDefault="00400C37" w14:paraId="3EB13664" w14:textId="77777777">
            <w:pPr>
              <w:rPr>
                <w:b/>
                <w:bCs/>
                <w:sz w:val="22"/>
                <w:szCs w:val="22"/>
              </w:rPr>
            </w:pPr>
          </w:p>
        </w:tc>
      </w:tr>
      <w:tr w:rsidRPr="003578A6" w:rsidR="00400C37" w:rsidTr="00400C37" w14:paraId="57F4E7F4" w14:textId="77777777">
        <w:trPr>
          <w:trHeight w:val="280"/>
          <w:tblHeader/>
        </w:trPr>
        <w:tc>
          <w:tcPr>
            <w:tcW w:w="2988" w:type="dxa"/>
            <w:vMerge/>
            <w:tcBorders>
              <w:top w:val="single" w:color="auto" w:sz="4" w:space="0"/>
              <w:left w:val="single" w:color="auto" w:sz="4" w:space="0"/>
              <w:bottom w:val="single" w:color="000000" w:sz="4" w:space="0"/>
              <w:right w:val="single" w:color="auto" w:sz="4" w:space="0"/>
            </w:tcBorders>
            <w:vAlign w:val="center"/>
            <w:hideMark/>
          </w:tcPr>
          <w:p w:rsidRPr="003578A6" w:rsidR="00400C37" w:rsidP="00400C37" w:rsidRDefault="00400C37" w14:paraId="6C549A0B" w14:textId="77777777">
            <w:pPr>
              <w:rPr>
                <w:b/>
                <w:bCs/>
                <w:sz w:val="22"/>
                <w:szCs w:val="22"/>
              </w:rPr>
            </w:pPr>
          </w:p>
        </w:tc>
        <w:tc>
          <w:tcPr>
            <w:tcW w:w="1271" w:type="dxa"/>
            <w:vMerge/>
            <w:tcBorders>
              <w:top w:val="nil"/>
              <w:left w:val="single" w:color="auto" w:sz="4" w:space="0"/>
              <w:bottom w:val="single" w:color="000000" w:sz="4" w:space="0"/>
              <w:right w:val="single" w:color="auto" w:sz="4" w:space="0"/>
            </w:tcBorders>
            <w:vAlign w:val="center"/>
            <w:hideMark/>
          </w:tcPr>
          <w:p w:rsidRPr="003578A6" w:rsidR="00400C37" w:rsidP="00400C37" w:rsidRDefault="00400C37" w14:paraId="04A6877E" w14:textId="77777777">
            <w:pPr>
              <w:rPr>
                <w:b/>
                <w:bCs/>
                <w:sz w:val="22"/>
                <w:szCs w:val="22"/>
              </w:rPr>
            </w:pPr>
          </w:p>
        </w:tc>
        <w:tc>
          <w:tcPr>
            <w:tcW w:w="1294" w:type="dxa"/>
            <w:vMerge/>
            <w:tcBorders>
              <w:top w:val="nil"/>
              <w:left w:val="single" w:color="auto" w:sz="4" w:space="0"/>
              <w:bottom w:val="single" w:color="auto" w:sz="4" w:space="0"/>
              <w:right w:val="single" w:color="auto" w:sz="4" w:space="0"/>
            </w:tcBorders>
            <w:vAlign w:val="center"/>
            <w:hideMark/>
          </w:tcPr>
          <w:p w:rsidRPr="003578A6" w:rsidR="00400C37" w:rsidP="00400C37" w:rsidRDefault="00400C37" w14:paraId="03A8AB0B" w14:textId="77777777">
            <w:pPr>
              <w:rPr>
                <w:b/>
                <w:bCs/>
                <w:sz w:val="22"/>
                <w:szCs w:val="22"/>
              </w:rPr>
            </w:pPr>
          </w:p>
        </w:tc>
        <w:tc>
          <w:tcPr>
            <w:tcW w:w="1561" w:type="dxa"/>
            <w:vMerge/>
            <w:tcBorders>
              <w:top w:val="nil"/>
              <w:left w:val="single" w:color="auto" w:sz="4" w:space="0"/>
              <w:bottom w:val="single" w:color="000000" w:sz="4" w:space="0"/>
              <w:right w:val="single" w:color="auto" w:sz="4" w:space="0"/>
            </w:tcBorders>
            <w:vAlign w:val="center"/>
            <w:hideMark/>
          </w:tcPr>
          <w:p w:rsidRPr="003578A6" w:rsidR="00400C37" w:rsidP="00400C37" w:rsidRDefault="00400C37" w14:paraId="78B6764C" w14:textId="77777777">
            <w:pPr>
              <w:rPr>
                <w:b/>
                <w:bCs/>
                <w:sz w:val="22"/>
                <w:szCs w:val="22"/>
              </w:rPr>
            </w:pPr>
          </w:p>
        </w:tc>
        <w:tc>
          <w:tcPr>
            <w:tcW w:w="1351" w:type="dxa"/>
            <w:vMerge/>
            <w:tcBorders>
              <w:top w:val="nil"/>
              <w:left w:val="single" w:color="auto" w:sz="4" w:space="0"/>
              <w:bottom w:val="single" w:color="auto" w:sz="4" w:space="0"/>
              <w:right w:val="single" w:color="auto" w:sz="4" w:space="0"/>
            </w:tcBorders>
            <w:vAlign w:val="center"/>
            <w:hideMark/>
          </w:tcPr>
          <w:p w:rsidRPr="003578A6" w:rsidR="00400C37" w:rsidP="00400C37" w:rsidRDefault="00400C37" w14:paraId="0AE52F62" w14:textId="77777777">
            <w:pPr>
              <w:rPr>
                <w:b/>
                <w:bCs/>
                <w:sz w:val="22"/>
                <w:szCs w:val="22"/>
              </w:rPr>
            </w:pPr>
          </w:p>
        </w:tc>
        <w:tc>
          <w:tcPr>
            <w:tcW w:w="1155" w:type="dxa"/>
            <w:vMerge/>
            <w:tcBorders>
              <w:top w:val="single" w:color="auto" w:sz="4" w:space="0"/>
              <w:left w:val="single" w:color="auto" w:sz="4" w:space="0"/>
              <w:bottom w:val="single" w:color="auto" w:sz="4" w:space="0"/>
              <w:right w:val="single" w:color="auto" w:sz="4" w:space="0"/>
            </w:tcBorders>
            <w:vAlign w:val="center"/>
            <w:hideMark/>
          </w:tcPr>
          <w:p w:rsidRPr="003578A6" w:rsidR="00400C37" w:rsidP="00400C37" w:rsidRDefault="00400C37" w14:paraId="15577A20" w14:textId="77777777">
            <w:pPr>
              <w:rPr>
                <w:b/>
                <w:bCs/>
                <w:sz w:val="22"/>
                <w:szCs w:val="22"/>
              </w:rPr>
            </w:pPr>
          </w:p>
        </w:tc>
      </w:tr>
      <w:tr w:rsidRPr="003578A6" w:rsidR="00400C37" w:rsidTr="00400C37" w14:paraId="423C3FF5" w14:textId="77777777">
        <w:trPr>
          <w:trHeight w:val="280"/>
          <w:tblHeader/>
        </w:trPr>
        <w:tc>
          <w:tcPr>
            <w:tcW w:w="2988" w:type="dxa"/>
            <w:vMerge/>
            <w:tcBorders>
              <w:top w:val="single" w:color="auto" w:sz="4" w:space="0"/>
              <w:left w:val="single" w:color="auto" w:sz="4" w:space="0"/>
              <w:bottom w:val="single" w:color="000000" w:sz="4" w:space="0"/>
              <w:right w:val="single" w:color="auto" w:sz="4" w:space="0"/>
            </w:tcBorders>
            <w:vAlign w:val="center"/>
            <w:hideMark/>
          </w:tcPr>
          <w:p w:rsidRPr="003578A6" w:rsidR="00400C37" w:rsidP="00400C37" w:rsidRDefault="00400C37" w14:paraId="69735CAC" w14:textId="77777777">
            <w:pPr>
              <w:rPr>
                <w:b/>
                <w:bCs/>
                <w:sz w:val="22"/>
                <w:szCs w:val="22"/>
              </w:rPr>
            </w:pPr>
          </w:p>
        </w:tc>
        <w:tc>
          <w:tcPr>
            <w:tcW w:w="1271" w:type="dxa"/>
            <w:vMerge/>
            <w:tcBorders>
              <w:top w:val="nil"/>
              <w:left w:val="single" w:color="auto" w:sz="4" w:space="0"/>
              <w:bottom w:val="single" w:color="000000" w:sz="4" w:space="0"/>
              <w:right w:val="single" w:color="auto" w:sz="4" w:space="0"/>
            </w:tcBorders>
            <w:vAlign w:val="center"/>
            <w:hideMark/>
          </w:tcPr>
          <w:p w:rsidRPr="003578A6" w:rsidR="00400C37" w:rsidP="00400C37" w:rsidRDefault="00400C37" w14:paraId="09B714F2" w14:textId="77777777">
            <w:pPr>
              <w:rPr>
                <w:b/>
                <w:bCs/>
                <w:sz w:val="22"/>
                <w:szCs w:val="22"/>
              </w:rPr>
            </w:pPr>
          </w:p>
        </w:tc>
        <w:tc>
          <w:tcPr>
            <w:tcW w:w="1294" w:type="dxa"/>
            <w:vMerge/>
            <w:tcBorders>
              <w:top w:val="nil"/>
              <w:left w:val="single" w:color="auto" w:sz="4" w:space="0"/>
              <w:bottom w:val="single" w:color="auto" w:sz="4" w:space="0"/>
              <w:right w:val="single" w:color="auto" w:sz="4" w:space="0"/>
            </w:tcBorders>
            <w:vAlign w:val="center"/>
            <w:hideMark/>
          </w:tcPr>
          <w:p w:rsidRPr="003578A6" w:rsidR="00400C37" w:rsidP="00400C37" w:rsidRDefault="00400C37" w14:paraId="4FAB2EF3" w14:textId="77777777">
            <w:pPr>
              <w:rPr>
                <w:b/>
                <w:bCs/>
                <w:sz w:val="22"/>
                <w:szCs w:val="22"/>
              </w:rPr>
            </w:pPr>
          </w:p>
        </w:tc>
        <w:tc>
          <w:tcPr>
            <w:tcW w:w="1561" w:type="dxa"/>
            <w:vMerge/>
            <w:tcBorders>
              <w:top w:val="nil"/>
              <w:left w:val="single" w:color="auto" w:sz="4" w:space="0"/>
              <w:bottom w:val="single" w:color="000000" w:sz="4" w:space="0"/>
              <w:right w:val="single" w:color="auto" w:sz="4" w:space="0"/>
            </w:tcBorders>
            <w:vAlign w:val="center"/>
            <w:hideMark/>
          </w:tcPr>
          <w:p w:rsidRPr="003578A6" w:rsidR="00400C37" w:rsidP="00400C37" w:rsidRDefault="00400C37" w14:paraId="75351277" w14:textId="77777777">
            <w:pPr>
              <w:rPr>
                <w:b/>
                <w:bCs/>
                <w:sz w:val="22"/>
                <w:szCs w:val="22"/>
              </w:rPr>
            </w:pPr>
          </w:p>
        </w:tc>
        <w:tc>
          <w:tcPr>
            <w:tcW w:w="1351" w:type="dxa"/>
            <w:vMerge/>
            <w:tcBorders>
              <w:top w:val="nil"/>
              <w:left w:val="single" w:color="auto" w:sz="4" w:space="0"/>
              <w:bottom w:val="single" w:color="auto" w:sz="4" w:space="0"/>
              <w:right w:val="single" w:color="auto" w:sz="4" w:space="0"/>
            </w:tcBorders>
            <w:vAlign w:val="center"/>
            <w:hideMark/>
          </w:tcPr>
          <w:p w:rsidRPr="003578A6" w:rsidR="00400C37" w:rsidP="00400C37" w:rsidRDefault="00400C37" w14:paraId="1012588B" w14:textId="77777777">
            <w:pPr>
              <w:rPr>
                <w:b/>
                <w:bCs/>
                <w:sz w:val="22"/>
                <w:szCs w:val="22"/>
              </w:rPr>
            </w:pPr>
          </w:p>
        </w:tc>
        <w:tc>
          <w:tcPr>
            <w:tcW w:w="1155" w:type="dxa"/>
            <w:vMerge/>
            <w:tcBorders>
              <w:top w:val="single" w:color="auto" w:sz="4" w:space="0"/>
              <w:left w:val="single" w:color="auto" w:sz="4" w:space="0"/>
              <w:bottom w:val="single" w:color="auto" w:sz="4" w:space="0"/>
              <w:right w:val="single" w:color="auto" w:sz="4" w:space="0"/>
            </w:tcBorders>
            <w:vAlign w:val="center"/>
            <w:hideMark/>
          </w:tcPr>
          <w:p w:rsidRPr="003578A6" w:rsidR="00400C37" w:rsidP="00400C37" w:rsidRDefault="00400C37" w14:paraId="2ADB82F8" w14:textId="77777777">
            <w:pPr>
              <w:rPr>
                <w:b/>
                <w:bCs/>
                <w:sz w:val="22"/>
                <w:szCs w:val="22"/>
              </w:rPr>
            </w:pPr>
          </w:p>
        </w:tc>
      </w:tr>
      <w:tr w:rsidRPr="003578A6" w:rsidR="00400C37" w:rsidTr="00400C37" w14:paraId="09253FF0" w14:textId="77777777">
        <w:trPr>
          <w:trHeight w:val="280"/>
        </w:trPr>
        <w:tc>
          <w:tcPr>
            <w:tcW w:w="2988" w:type="dxa"/>
            <w:tcBorders>
              <w:top w:val="nil"/>
              <w:left w:val="single" w:color="auto" w:sz="4" w:space="0"/>
              <w:bottom w:val="single" w:color="auto" w:sz="4" w:space="0"/>
              <w:right w:val="single" w:color="auto" w:sz="4" w:space="0"/>
            </w:tcBorders>
            <w:shd w:val="clear" w:color="auto" w:fill="auto"/>
            <w:vAlign w:val="bottom"/>
            <w:hideMark/>
          </w:tcPr>
          <w:p w:rsidRPr="00177CFA" w:rsidR="00400C37" w:rsidP="00400C37" w:rsidRDefault="00400C37" w14:paraId="1C6E6802" w14:textId="77777777">
            <w:pPr>
              <w:rPr>
                <w:sz w:val="22"/>
                <w:szCs w:val="22"/>
              </w:rPr>
            </w:pPr>
            <w:r w:rsidRPr="00177CFA">
              <w:rPr>
                <w:bCs/>
                <w:sz w:val="22"/>
                <w:szCs w:val="22"/>
              </w:rPr>
              <w:t xml:space="preserve">Participating </w:t>
            </w:r>
            <w:proofErr w:type="gramStart"/>
            <w:r w:rsidRPr="00177CFA">
              <w:rPr>
                <w:bCs/>
                <w:sz w:val="22"/>
                <w:szCs w:val="22"/>
              </w:rPr>
              <w:t>in  Manifest</w:t>
            </w:r>
            <w:proofErr w:type="gramEnd"/>
            <w:r w:rsidRPr="00177CFA">
              <w:rPr>
                <w:bCs/>
                <w:sz w:val="22"/>
                <w:szCs w:val="22"/>
              </w:rPr>
              <w:t xml:space="preserve"> Cycle***</w:t>
            </w:r>
          </w:p>
        </w:tc>
        <w:tc>
          <w:tcPr>
            <w:tcW w:w="1271"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5298CB93" w14:textId="77777777">
            <w:pPr>
              <w:jc w:val="center"/>
              <w:rPr>
                <w:sz w:val="22"/>
                <w:szCs w:val="22"/>
              </w:rPr>
            </w:pPr>
            <w:r w:rsidRPr="00177CFA">
              <w:rPr>
                <w:sz w:val="22"/>
                <w:szCs w:val="22"/>
              </w:rPr>
              <w:t>1,081,903</w:t>
            </w:r>
          </w:p>
        </w:tc>
        <w:tc>
          <w:tcPr>
            <w:tcW w:w="1294"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4AC69EBE" w14:textId="77777777">
            <w:pPr>
              <w:jc w:val="center"/>
              <w:rPr>
                <w:sz w:val="22"/>
                <w:szCs w:val="22"/>
              </w:rPr>
            </w:pPr>
            <w:r w:rsidRPr="00177CFA">
              <w:rPr>
                <w:sz w:val="22"/>
                <w:szCs w:val="22"/>
              </w:rPr>
              <w:t>--</w:t>
            </w:r>
          </w:p>
        </w:tc>
        <w:tc>
          <w:tcPr>
            <w:tcW w:w="1561"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40C4BEC8" w14:textId="77777777">
            <w:pPr>
              <w:jc w:val="center"/>
              <w:rPr>
                <w:sz w:val="22"/>
                <w:szCs w:val="22"/>
              </w:rPr>
            </w:pPr>
            <w:r w:rsidRPr="00177CFA">
              <w:rPr>
                <w:sz w:val="22"/>
                <w:szCs w:val="22"/>
              </w:rPr>
              <w:t>194,370</w:t>
            </w:r>
          </w:p>
        </w:tc>
        <w:tc>
          <w:tcPr>
            <w:tcW w:w="1351"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56D7DDBD" w14:textId="77777777">
            <w:pPr>
              <w:jc w:val="center"/>
              <w:rPr>
                <w:sz w:val="22"/>
                <w:szCs w:val="22"/>
              </w:rPr>
            </w:pPr>
            <w:r w:rsidRPr="00177CFA">
              <w:rPr>
                <w:sz w:val="22"/>
                <w:szCs w:val="22"/>
              </w:rPr>
              <w:t>0</w:t>
            </w:r>
          </w:p>
        </w:tc>
        <w:tc>
          <w:tcPr>
            <w:tcW w:w="1155"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326288C2" w14:textId="77777777">
            <w:pPr>
              <w:jc w:val="center"/>
              <w:rPr>
                <w:sz w:val="22"/>
                <w:szCs w:val="22"/>
              </w:rPr>
            </w:pPr>
            <w:r w:rsidRPr="00177CFA">
              <w:rPr>
                <w:sz w:val="22"/>
                <w:szCs w:val="22"/>
              </w:rPr>
              <w:t>1,276,273</w:t>
            </w:r>
          </w:p>
        </w:tc>
      </w:tr>
      <w:tr w:rsidRPr="003578A6" w:rsidR="00400C37" w:rsidTr="00400C37" w14:paraId="067E3357" w14:textId="77777777">
        <w:trPr>
          <w:trHeight w:val="280"/>
        </w:trPr>
        <w:tc>
          <w:tcPr>
            <w:tcW w:w="2988" w:type="dxa"/>
            <w:tcBorders>
              <w:top w:val="nil"/>
              <w:left w:val="single" w:color="auto" w:sz="4" w:space="0"/>
              <w:bottom w:val="single" w:color="auto" w:sz="4" w:space="0"/>
              <w:right w:val="single" w:color="auto" w:sz="4" w:space="0"/>
            </w:tcBorders>
            <w:shd w:val="clear" w:color="auto" w:fill="auto"/>
            <w:vAlign w:val="bottom"/>
            <w:hideMark/>
          </w:tcPr>
          <w:p w:rsidRPr="00177CFA" w:rsidR="00400C37" w:rsidP="00400C37" w:rsidRDefault="00400C37" w14:paraId="75129C45" w14:textId="77777777">
            <w:pPr>
              <w:rPr>
                <w:sz w:val="22"/>
                <w:szCs w:val="22"/>
              </w:rPr>
            </w:pPr>
            <w:r w:rsidRPr="00177CFA">
              <w:rPr>
                <w:bCs/>
                <w:sz w:val="22"/>
                <w:szCs w:val="22"/>
              </w:rPr>
              <w:t>Submitting Copies to National System****</w:t>
            </w:r>
          </w:p>
        </w:tc>
        <w:tc>
          <w:tcPr>
            <w:tcW w:w="1271"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66020B36" w14:textId="77777777">
            <w:pPr>
              <w:jc w:val="center"/>
              <w:rPr>
                <w:sz w:val="22"/>
                <w:szCs w:val="22"/>
              </w:rPr>
            </w:pPr>
            <w:r w:rsidRPr="00177CFA">
              <w:rPr>
                <w:sz w:val="22"/>
                <w:szCs w:val="22"/>
              </w:rPr>
              <w:t>1,081,903</w:t>
            </w:r>
          </w:p>
        </w:tc>
        <w:tc>
          <w:tcPr>
            <w:tcW w:w="1294"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7774F21A" w14:textId="77777777">
            <w:pPr>
              <w:jc w:val="center"/>
              <w:rPr>
                <w:sz w:val="22"/>
                <w:szCs w:val="22"/>
              </w:rPr>
            </w:pPr>
            <w:r w:rsidRPr="00177CFA">
              <w:rPr>
                <w:sz w:val="22"/>
                <w:szCs w:val="22"/>
              </w:rPr>
              <w:t>509,131</w:t>
            </w:r>
          </w:p>
        </w:tc>
        <w:tc>
          <w:tcPr>
            <w:tcW w:w="1561"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5C78C754" w14:textId="77777777">
            <w:pPr>
              <w:jc w:val="center"/>
              <w:rPr>
                <w:sz w:val="22"/>
                <w:szCs w:val="22"/>
              </w:rPr>
            </w:pPr>
            <w:r w:rsidRPr="00177CFA">
              <w:rPr>
                <w:sz w:val="22"/>
                <w:szCs w:val="22"/>
              </w:rPr>
              <w:t>--</w:t>
            </w:r>
          </w:p>
        </w:tc>
        <w:tc>
          <w:tcPr>
            <w:tcW w:w="1351"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2083D355" w14:textId="77777777">
            <w:pPr>
              <w:jc w:val="center"/>
              <w:rPr>
                <w:sz w:val="22"/>
                <w:szCs w:val="22"/>
              </w:rPr>
            </w:pPr>
            <w:r w:rsidRPr="00177CFA">
              <w:rPr>
                <w:sz w:val="22"/>
                <w:szCs w:val="22"/>
              </w:rPr>
              <w:t>--</w:t>
            </w:r>
          </w:p>
        </w:tc>
        <w:tc>
          <w:tcPr>
            <w:tcW w:w="1155"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7C4F3A58" w14:textId="77777777">
            <w:pPr>
              <w:jc w:val="center"/>
              <w:rPr>
                <w:sz w:val="22"/>
                <w:szCs w:val="22"/>
              </w:rPr>
            </w:pPr>
            <w:r w:rsidRPr="00177CFA">
              <w:rPr>
                <w:sz w:val="22"/>
                <w:szCs w:val="22"/>
              </w:rPr>
              <w:t>1,591,034</w:t>
            </w:r>
          </w:p>
        </w:tc>
      </w:tr>
      <w:tr w:rsidRPr="003578A6" w:rsidR="00400C37" w:rsidTr="00400C37" w14:paraId="67AC3065" w14:textId="77777777">
        <w:trPr>
          <w:trHeight w:val="280"/>
        </w:trPr>
        <w:tc>
          <w:tcPr>
            <w:tcW w:w="2988" w:type="dxa"/>
            <w:tcBorders>
              <w:top w:val="nil"/>
              <w:left w:val="single" w:color="auto" w:sz="4" w:space="0"/>
              <w:bottom w:val="single" w:color="auto" w:sz="4" w:space="0"/>
              <w:right w:val="single" w:color="auto" w:sz="4" w:space="0"/>
            </w:tcBorders>
            <w:shd w:val="clear" w:color="auto" w:fill="auto"/>
            <w:vAlign w:val="bottom"/>
            <w:hideMark/>
          </w:tcPr>
          <w:p w:rsidRPr="00177CFA" w:rsidR="00400C37" w:rsidP="00400C37" w:rsidRDefault="00400C37" w14:paraId="32843D57" w14:textId="77777777">
            <w:pPr>
              <w:rPr>
                <w:sz w:val="22"/>
                <w:szCs w:val="22"/>
              </w:rPr>
            </w:pPr>
            <w:r w:rsidRPr="00177CFA">
              <w:rPr>
                <w:bCs/>
                <w:sz w:val="22"/>
                <w:szCs w:val="22"/>
              </w:rPr>
              <w:t>Paying Fees****</w:t>
            </w:r>
          </w:p>
        </w:tc>
        <w:tc>
          <w:tcPr>
            <w:tcW w:w="1271"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1631F6F1" w14:textId="77777777">
            <w:pPr>
              <w:jc w:val="center"/>
              <w:rPr>
                <w:sz w:val="22"/>
                <w:szCs w:val="22"/>
              </w:rPr>
            </w:pPr>
            <w:r w:rsidRPr="00177CFA">
              <w:rPr>
                <w:sz w:val="22"/>
                <w:szCs w:val="22"/>
              </w:rPr>
              <w:t>1,081,903</w:t>
            </w:r>
          </w:p>
        </w:tc>
        <w:tc>
          <w:tcPr>
            <w:tcW w:w="1294"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15DB4835" w14:textId="77777777">
            <w:pPr>
              <w:jc w:val="center"/>
              <w:rPr>
                <w:sz w:val="22"/>
                <w:szCs w:val="22"/>
              </w:rPr>
            </w:pPr>
            <w:r w:rsidRPr="00177CFA">
              <w:rPr>
                <w:sz w:val="22"/>
                <w:szCs w:val="22"/>
              </w:rPr>
              <w:t>509,131</w:t>
            </w:r>
          </w:p>
        </w:tc>
        <w:tc>
          <w:tcPr>
            <w:tcW w:w="1561"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186DC5C4" w14:textId="77777777">
            <w:pPr>
              <w:jc w:val="center"/>
              <w:rPr>
                <w:sz w:val="22"/>
                <w:szCs w:val="22"/>
              </w:rPr>
            </w:pPr>
            <w:r w:rsidRPr="00177CFA">
              <w:rPr>
                <w:sz w:val="22"/>
                <w:szCs w:val="22"/>
              </w:rPr>
              <w:t>194,370</w:t>
            </w:r>
          </w:p>
        </w:tc>
        <w:tc>
          <w:tcPr>
            <w:tcW w:w="1351"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46489FA2" w14:textId="77777777">
            <w:pPr>
              <w:jc w:val="center"/>
              <w:rPr>
                <w:sz w:val="22"/>
                <w:szCs w:val="22"/>
              </w:rPr>
            </w:pPr>
            <w:r w:rsidRPr="00177CFA">
              <w:rPr>
                <w:sz w:val="22"/>
                <w:szCs w:val="22"/>
              </w:rPr>
              <w:t>0</w:t>
            </w:r>
          </w:p>
        </w:tc>
        <w:tc>
          <w:tcPr>
            <w:tcW w:w="1155" w:type="dxa"/>
            <w:tcBorders>
              <w:top w:val="nil"/>
              <w:left w:val="nil"/>
              <w:bottom w:val="single" w:color="auto" w:sz="4" w:space="0"/>
              <w:right w:val="single" w:color="auto" w:sz="4" w:space="0"/>
            </w:tcBorders>
            <w:shd w:val="clear" w:color="auto" w:fill="auto"/>
            <w:noWrap/>
            <w:vAlign w:val="center"/>
            <w:hideMark/>
          </w:tcPr>
          <w:p w:rsidRPr="00177CFA" w:rsidR="00400C37" w:rsidP="00400C37" w:rsidRDefault="00400C37" w14:paraId="6B20E2DD" w14:textId="77777777">
            <w:pPr>
              <w:jc w:val="center"/>
              <w:rPr>
                <w:sz w:val="22"/>
                <w:szCs w:val="22"/>
              </w:rPr>
            </w:pPr>
            <w:r w:rsidRPr="00177CFA">
              <w:rPr>
                <w:sz w:val="22"/>
                <w:szCs w:val="22"/>
              </w:rPr>
              <w:t>1,785,404</w:t>
            </w:r>
          </w:p>
        </w:tc>
      </w:tr>
    </w:tbl>
    <w:p w:rsidRPr="00396277" w:rsidR="00400C37" w:rsidP="00400C37" w:rsidRDefault="00400C37" w14:paraId="53C97320" w14:textId="77777777">
      <w:pPr>
        <w:tabs>
          <w:tab w:val="left" w:pos="-1200"/>
        </w:tabs>
        <w:rPr>
          <w:sz w:val="20"/>
          <w:szCs w:val="20"/>
        </w:rPr>
      </w:pPr>
      <w:r w:rsidRPr="00396277">
        <w:rPr>
          <w:sz w:val="20"/>
          <w:szCs w:val="20"/>
        </w:rPr>
        <w:t xml:space="preserve">* See Table 1 </w:t>
      </w:r>
      <w:r>
        <w:rPr>
          <w:sz w:val="20"/>
          <w:szCs w:val="20"/>
        </w:rPr>
        <w:t>and accompanying text</w:t>
      </w:r>
      <w:r w:rsidRPr="00396277">
        <w:rPr>
          <w:sz w:val="20"/>
          <w:szCs w:val="20"/>
        </w:rPr>
        <w:t xml:space="preserve"> for further discussion on how this table sums u</w:t>
      </w:r>
      <w:r>
        <w:rPr>
          <w:sz w:val="20"/>
          <w:szCs w:val="20"/>
        </w:rPr>
        <w:t>p paper and electronic manifest totals</w:t>
      </w:r>
      <w:r w:rsidRPr="00396277">
        <w:rPr>
          <w:sz w:val="20"/>
          <w:szCs w:val="20"/>
        </w:rPr>
        <w:t>. This table includes rounding error. Some of the numbers in this table are further refined based on additional assumptions presented later in this document. See Section 6D. Estimates are based on e-Manifest data.</w:t>
      </w:r>
    </w:p>
    <w:p w:rsidRPr="00396277" w:rsidR="00400C37" w:rsidP="00400C37" w:rsidRDefault="00400C37" w14:paraId="725263B2" w14:textId="77777777">
      <w:pPr>
        <w:tabs>
          <w:tab w:val="left" w:pos="-1200"/>
        </w:tabs>
        <w:rPr>
          <w:sz w:val="20"/>
          <w:szCs w:val="20"/>
        </w:rPr>
      </w:pPr>
      <w:r w:rsidRPr="00396277">
        <w:rPr>
          <w:sz w:val="20"/>
          <w:szCs w:val="20"/>
        </w:rPr>
        <w:t>** EPA estimates that PIN/passwords will be used for all electronic manifests during the 3 years of this ICR.</w:t>
      </w:r>
    </w:p>
    <w:p w:rsidRPr="00396277" w:rsidR="00400C37" w:rsidP="00400C37" w:rsidRDefault="00400C37" w14:paraId="5DC79208" w14:textId="77777777">
      <w:pPr>
        <w:keepNext/>
        <w:keepLines/>
        <w:tabs>
          <w:tab w:val="left" w:pos="-1200"/>
        </w:tabs>
        <w:rPr>
          <w:sz w:val="20"/>
          <w:szCs w:val="20"/>
        </w:rPr>
      </w:pPr>
      <w:r w:rsidRPr="00396277">
        <w:rPr>
          <w:sz w:val="20"/>
          <w:szCs w:val="20"/>
        </w:rPr>
        <w:t xml:space="preserve">*** This includes form completion, transmittal to industry third parties, and recordkeeping by generators, </w:t>
      </w:r>
      <w:proofErr w:type="gramStart"/>
      <w:r w:rsidRPr="00396277">
        <w:rPr>
          <w:sz w:val="20"/>
          <w:szCs w:val="20"/>
        </w:rPr>
        <w:t>transporters</w:t>
      </w:r>
      <w:proofErr w:type="gramEnd"/>
      <w:r w:rsidRPr="00396277">
        <w:rPr>
          <w:sz w:val="20"/>
          <w:szCs w:val="20"/>
        </w:rPr>
        <w:t xml:space="preserve"> and TSDFs/receiving facilities.</w:t>
      </w:r>
      <w:r>
        <w:rPr>
          <w:sz w:val="20"/>
          <w:szCs w:val="20"/>
        </w:rPr>
        <w:t xml:space="preserve"> This ICR does not estimate burden for paper manifests accompanying state hazardous waste during the manifest cycle.</w:t>
      </w:r>
    </w:p>
    <w:p w:rsidR="00400C37" w:rsidP="00400C37" w:rsidRDefault="00400C37" w14:paraId="4C3A2C2D" w14:textId="77777777">
      <w:pPr>
        <w:keepNext/>
        <w:keepLines/>
        <w:tabs>
          <w:tab w:val="left" w:pos="-1200"/>
        </w:tabs>
        <w:rPr>
          <w:sz w:val="20"/>
          <w:szCs w:val="20"/>
        </w:rPr>
      </w:pPr>
      <w:r w:rsidRPr="00396277">
        <w:rPr>
          <w:sz w:val="20"/>
          <w:szCs w:val="20"/>
        </w:rPr>
        <w:t xml:space="preserve">**** This is performed by designated TSDFs/receiving facilities. </w:t>
      </w:r>
    </w:p>
    <w:p w:rsidR="00400C37" w:rsidP="00400C37" w:rsidRDefault="00400C37" w14:paraId="6EBD8A12" w14:textId="77777777">
      <w:pPr>
        <w:keepNext/>
        <w:keepLines/>
        <w:tabs>
          <w:tab w:val="left" w:pos="-1200"/>
        </w:tabs>
        <w:rPr>
          <w:sz w:val="20"/>
          <w:szCs w:val="20"/>
        </w:rPr>
      </w:pPr>
    </w:p>
    <w:p w:rsidR="00400C37" w:rsidP="00400C37" w:rsidRDefault="00400C37" w14:paraId="7866B891" w14:textId="77777777">
      <w:pPr>
        <w:tabs>
          <w:tab w:val="left" w:pos="-1200"/>
        </w:tabs>
      </w:pPr>
      <w:r w:rsidRPr="00CF30F6">
        <w:rPr>
          <w:bCs/>
        </w:rPr>
        <w:t xml:space="preserve">Table 7 presents the </w:t>
      </w:r>
      <w:r>
        <w:rPr>
          <w:bCs/>
        </w:rPr>
        <w:t>manifest counts</w:t>
      </w:r>
      <w:r w:rsidRPr="00CF30F6">
        <w:rPr>
          <w:bCs/>
        </w:rPr>
        <w:t xml:space="preserve"> in Table 6 according to the type of shipment, i.e., domestic, export or import. For example, Table 7 shows that, of the </w:t>
      </w:r>
      <w:r w:rsidRPr="00CF30F6">
        <w:t xml:space="preserve">1,081,903 paper manifests accompanying federal hazardous waste in Table 6, </w:t>
      </w:r>
      <w:r w:rsidRPr="00075448">
        <w:t>1,067,891</w:t>
      </w:r>
      <w:r w:rsidRPr="00CF30F6">
        <w:t xml:space="preserve"> forms accompany domestic shipments, </w:t>
      </w:r>
      <w:r w:rsidRPr="00075448">
        <w:t>12,515</w:t>
      </w:r>
      <w:r w:rsidRPr="00CF30F6">
        <w:t xml:space="preserve"> accompany exports, and </w:t>
      </w:r>
      <w:r w:rsidRPr="00075448">
        <w:t>1,497</w:t>
      </w:r>
      <w:r w:rsidRPr="00CF30F6">
        <w:t xml:space="preserve"> accompany imports.</w:t>
      </w:r>
    </w:p>
    <w:p w:rsidRPr="00CF30F6" w:rsidR="00400C37" w:rsidP="00400C37" w:rsidRDefault="00400C37" w14:paraId="17C37F66" w14:textId="77777777">
      <w:pPr>
        <w:tabs>
          <w:tab w:val="left" w:pos="-1200"/>
        </w:tabs>
        <w:rPr>
          <w:bCs/>
        </w:rPr>
      </w:pPr>
    </w:p>
    <w:p w:rsidRPr="00E7684F" w:rsidR="00400C37" w:rsidP="00400C37" w:rsidRDefault="00400C37" w14:paraId="41FB351C" w14:textId="77777777">
      <w:pPr>
        <w:tabs>
          <w:tab w:val="left" w:pos="-1200"/>
        </w:tabs>
        <w:jc w:val="center"/>
        <w:rPr>
          <w:b/>
          <w:bCs/>
        </w:rPr>
      </w:pPr>
      <w:r w:rsidRPr="00E7684F">
        <w:rPr>
          <w:b/>
          <w:bCs/>
        </w:rPr>
        <w:t>Table 7</w:t>
      </w:r>
    </w:p>
    <w:p w:rsidRPr="00E7684F" w:rsidR="00400C37" w:rsidP="00400C37" w:rsidRDefault="00400C37" w14:paraId="5D3150D5" w14:textId="77777777">
      <w:pPr>
        <w:tabs>
          <w:tab w:val="left" w:pos="-1200"/>
        </w:tabs>
        <w:jc w:val="center"/>
        <w:rPr>
          <w:b/>
          <w:bCs/>
        </w:rPr>
      </w:pPr>
      <w:r w:rsidRPr="00E7684F">
        <w:rPr>
          <w:b/>
          <w:bCs/>
        </w:rPr>
        <w:t xml:space="preserve">Annual Number of </w:t>
      </w:r>
      <w:proofErr w:type="gramStart"/>
      <w:r w:rsidRPr="00E7684F">
        <w:rPr>
          <w:b/>
          <w:bCs/>
        </w:rPr>
        <w:t>Manifests:*</w:t>
      </w:r>
      <w:proofErr w:type="gramEnd"/>
      <w:r w:rsidRPr="00E7684F">
        <w:rPr>
          <w:b/>
          <w:bCs/>
        </w:rPr>
        <w:t xml:space="preserve">  </w:t>
      </w:r>
    </w:p>
    <w:p w:rsidRPr="00E7684F" w:rsidR="00400C37" w:rsidP="00400C37" w:rsidRDefault="00400C37" w14:paraId="47F6D72A" w14:textId="77777777">
      <w:pPr>
        <w:tabs>
          <w:tab w:val="left" w:pos="-1200"/>
        </w:tabs>
        <w:jc w:val="center"/>
        <w:rPr>
          <w:b/>
          <w:bCs/>
        </w:rPr>
      </w:pPr>
      <w:r w:rsidRPr="00E7684F">
        <w:rPr>
          <w:b/>
          <w:bCs/>
        </w:rPr>
        <w:t xml:space="preserve">Domestic, Export and Import Shipments </w:t>
      </w:r>
    </w:p>
    <w:tbl>
      <w:tblPr>
        <w:tblW w:w="6660" w:type="dxa"/>
        <w:jc w:val="center"/>
        <w:tblLook w:val="04A0" w:firstRow="1" w:lastRow="0" w:firstColumn="1" w:lastColumn="0" w:noHBand="0" w:noVBand="1"/>
      </w:tblPr>
      <w:tblGrid>
        <w:gridCol w:w="3380"/>
        <w:gridCol w:w="1180"/>
        <w:gridCol w:w="1000"/>
        <w:gridCol w:w="1100"/>
      </w:tblGrid>
      <w:tr w:rsidRPr="00075448" w:rsidR="00400C37" w:rsidTr="00400C37" w14:paraId="3FED0528" w14:textId="77777777">
        <w:trPr>
          <w:trHeight w:val="260"/>
          <w:tblHeader/>
          <w:jc w:val="center"/>
        </w:trPr>
        <w:tc>
          <w:tcPr>
            <w:tcW w:w="3380" w:type="dxa"/>
            <w:tcBorders>
              <w:top w:val="single" w:color="auto" w:sz="4" w:space="0"/>
              <w:left w:val="single" w:color="auto" w:sz="4" w:space="0"/>
              <w:bottom w:val="single" w:color="auto" w:sz="4" w:space="0"/>
              <w:right w:val="nil"/>
            </w:tcBorders>
            <w:shd w:val="clear" w:color="auto" w:fill="BFBFBF" w:themeFill="background1" w:themeFillShade="BF"/>
            <w:noWrap/>
            <w:vAlign w:val="bottom"/>
            <w:hideMark/>
          </w:tcPr>
          <w:p w:rsidRPr="00075448" w:rsidR="00400C37" w:rsidP="00400C37" w:rsidRDefault="00400C37" w14:paraId="63A953A7" w14:textId="77777777">
            <w:pPr>
              <w:jc w:val="center"/>
              <w:rPr>
                <w:b/>
                <w:sz w:val="22"/>
                <w:szCs w:val="22"/>
              </w:rPr>
            </w:pPr>
            <w:r>
              <w:rPr>
                <w:b/>
                <w:sz w:val="22"/>
                <w:szCs w:val="22"/>
              </w:rPr>
              <w:t>Shipment/</w:t>
            </w:r>
            <w:r w:rsidRPr="00036F87">
              <w:rPr>
                <w:b/>
                <w:sz w:val="22"/>
                <w:szCs w:val="22"/>
              </w:rPr>
              <w:t>Manifest Type</w:t>
            </w:r>
          </w:p>
        </w:tc>
        <w:tc>
          <w:tcPr>
            <w:tcW w:w="118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075448" w:rsidR="00400C37" w:rsidP="00400C37" w:rsidRDefault="00400C37" w14:paraId="71FB0EFF" w14:textId="77777777">
            <w:pPr>
              <w:jc w:val="center"/>
              <w:rPr>
                <w:b/>
                <w:sz w:val="22"/>
                <w:szCs w:val="22"/>
              </w:rPr>
            </w:pPr>
            <w:r w:rsidRPr="00075448">
              <w:rPr>
                <w:b/>
                <w:sz w:val="22"/>
                <w:szCs w:val="22"/>
              </w:rPr>
              <w:t>Federal</w:t>
            </w:r>
          </w:p>
        </w:tc>
        <w:tc>
          <w:tcPr>
            <w:tcW w:w="1000" w:type="dxa"/>
            <w:tcBorders>
              <w:top w:val="single" w:color="auto" w:sz="4" w:space="0"/>
              <w:left w:val="nil"/>
              <w:bottom w:val="single" w:color="auto" w:sz="4" w:space="0"/>
              <w:right w:val="single" w:color="auto" w:sz="4" w:space="0"/>
            </w:tcBorders>
            <w:shd w:val="clear" w:color="auto" w:fill="BFBFBF" w:themeFill="background1" w:themeFillShade="BF"/>
            <w:noWrap/>
            <w:vAlign w:val="bottom"/>
            <w:hideMark/>
          </w:tcPr>
          <w:p w:rsidRPr="00075448" w:rsidR="00400C37" w:rsidP="00400C37" w:rsidRDefault="00400C37" w14:paraId="477B4AF7" w14:textId="77777777">
            <w:pPr>
              <w:jc w:val="center"/>
              <w:rPr>
                <w:b/>
                <w:sz w:val="22"/>
                <w:szCs w:val="22"/>
              </w:rPr>
            </w:pPr>
            <w:r w:rsidRPr="00075448">
              <w:rPr>
                <w:b/>
                <w:sz w:val="22"/>
                <w:szCs w:val="22"/>
              </w:rPr>
              <w:t>State</w:t>
            </w:r>
          </w:p>
        </w:tc>
        <w:tc>
          <w:tcPr>
            <w:tcW w:w="1100" w:type="dxa"/>
            <w:tcBorders>
              <w:top w:val="single" w:color="auto" w:sz="4" w:space="0"/>
              <w:left w:val="nil"/>
              <w:bottom w:val="single" w:color="auto" w:sz="4" w:space="0"/>
              <w:right w:val="single" w:color="auto" w:sz="4" w:space="0"/>
            </w:tcBorders>
            <w:shd w:val="clear" w:color="auto" w:fill="BFBFBF" w:themeFill="background1" w:themeFillShade="BF"/>
            <w:noWrap/>
            <w:vAlign w:val="bottom"/>
            <w:hideMark/>
          </w:tcPr>
          <w:p w:rsidRPr="00075448" w:rsidR="00400C37" w:rsidP="00400C37" w:rsidRDefault="00400C37" w14:paraId="5FF7C929" w14:textId="77777777">
            <w:pPr>
              <w:jc w:val="center"/>
              <w:rPr>
                <w:b/>
                <w:sz w:val="22"/>
                <w:szCs w:val="22"/>
              </w:rPr>
            </w:pPr>
            <w:r w:rsidRPr="00075448">
              <w:rPr>
                <w:b/>
                <w:sz w:val="22"/>
                <w:szCs w:val="22"/>
              </w:rPr>
              <w:t>Total</w:t>
            </w:r>
          </w:p>
        </w:tc>
      </w:tr>
      <w:tr w:rsidRPr="00075448" w:rsidR="00400C37" w:rsidTr="00400C37" w14:paraId="272C2368" w14:textId="77777777">
        <w:trPr>
          <w:trHeight w:val="260"/>
          <w:jc w:val="center"/>
        </w:trPr>
        <w:tc>
          <w:tcPr>
            <w:tcW w:w="6660" w:type="dxa"/>
            <w:gridSpan w:val="4"/>
            <w:tcBorders>
              <w:top w:val="single" w:color="auto" w:sz="4" w:space="0"/>
              <w:left w:val="single" w:color="auto" w:sz="4" w:space="0"/>
              <w:bottom w:val="single" w:color="auto" w:sz="4" w:space="0"/>
              <w:right w:val="single" w:color="000000" w:sz="4" w:space="0"/>
            </w:tcBorders>
            <w:shd w:val="clear" w:color="auto" w:fill="BFBFBF" w:themeFill="background1" w:themeFillShade="BF"/>
            <w:noWrap/>
            <w:vAlign w:val="bottom"/>
            <w:hideMark/>
          </w:tcPr>
          <w:p w:rsidRPr="008478F0" w:rsidR="00400C37" w:rsidP="00400C37" w:rsidRDefault="00400C37" w14:paraId="02EBB284" w14:textId="77777777">
            <w:pPr>
              <w:rPr>
                <w:b/>
                <w:sz w:val="22"/>
                <w:szCs w:val="22"/>
              </w:rPr>
            </w:pPr>
            <w:r w:rsidRPr="008478F0">
              <w:rPr>
                <w:b/>
                <w:sz w:val="22"/>
                <w:szCs w:val="22"/>
              </w:rPr>
              <w:t>Domestic</w:t>
            </w:r>
          </w:p>
        </w:tc>
      </w:tr>
      <w:tr w:rsidRPr="00075448" w:rsidR="00400C37" w:rsidTr="00400C37" w14:paraId="3D36839E" w14:textId="77777777">
        <w:trPr>
          <w:trHeight w:val="31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400C37" w:rsidP="00400C37" w:rsidRDefault="00400C37" w14:paraId="63572220" w14:textId="77777777">
            <w:pPr>
              <w:rPr>
                <w:sz w:val="22"/>
                <w:szCs w:val="22"/>
              </w:rPr>
            </w:pPr>
            <w:r w:rsidRPr="00075448">
              <w:rPr>
                <w:sz w:val="22"/>
                <w:szCs w:val="22"/>
              </w:rPr>
              <w:t>Paper</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20C51233" w14:textId="77777777">
            <w:pPr>
              <w:jc w:val="center"/>
              <w:rPr>
                <w:sz w:val="22"/>
                <w:szCs w:val="22"/>
              </w:rPr>
            </w:pPr>
            <w:r w:rsidRPr="00075448">
              <w:rPr>
                <w:sz w:val="22"/>
                <w:szCs w:val="22"/>
              </w:rPr>
              <w:t>1,067,891</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4357E992" w14:textId="77777777">
            <w:pPr>
              <w:jc w:val="center"/>
              <w:rPr>
                <w:sz w:val="22"/>
                <w:szCs w:val="22"/>
              </w:rPr>
            </w:pPr>
            <w:r w:rsidRPr="00075448">
              <w:rPr>
                <w:sz w:val="22"/>
                <w:szCs w:val="22"/>
              </w:rPr>
              <w:t>502,537</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1EA864FA" w14:textId="77777777">
            <w:pPr>
              <w:jc w:val="center"/>
              <w:rPr>
                <w:sz w:val="22"/>
                <w:szCs w:val="22"/>
              </w:rPr>
            </w:pPr>
            <w:r w:rsidRPr="00075448">
              <w:rPr>
                <w:sz w:val="22"/>
                <w:szCs w:val="22"/>
              </w:rPr>
              <w:t>1,570,428</w:t>
            </w:r>
          </w:p>
        </w:tc>
      </w:tr>
      <w:tr w:rsidRPr="00075448" w:rsidR="00400C37" w:rsidTr="00400C37" w14:paraId="45961F98" w14:textId="77777777">
        <w:trPr>
          <w:trHeight w:val="26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400C37" w:rsidP="00400C37" w:rsidRDefault="00400C37" w14:paraId="6F641219" w14:textId="77777777">
            <w:pPr>
              <w:rPr>
                <w:sz w:val="22"/>
                <w:szCs w:val="22"/>
              </w:rPr>
            </w:pPr>
            <w:r w:rsidRPr="00075448">
              <w:rPr>
                <w:sz w:val="22"/>
                <w:szCs w:val="22"/>
              </w:rPr>
              <w:t>Electronic</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6D1730C8" w14:textId="77777777">
            <w:pPr>
              <w:jc w:val="center"/>
              <w:rPr>
                <w:sz w:val="22"/>
                <w:szCs w:val="22"/>
              </w:rPr>
            </w:pPr>
            <w:r w:rsidRPr="00075448">
              <w:rPr>
                <w:sz w:val="22"/>
                <w:szCs w:val="22"/>
              </w:rPr>
              <w:t>131,987</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2DB7517B" w14:textId="77777777">
            <w:pPr>
              <w:jc w:val="center"/>
              <w:rPr>
                <w:sz w:val="22"/>
                <w:szCs w:val="22"/>
              </w:rPr>
            </w:pPr>
            <w:r w:rsidRPr="00075448">
              <w:rPr>
                <w:sz w:val="22"/>
                <w:szCs w:val="22"/>
              </w:rPr>
              <w:t>62,111</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6CBDBA04" w14:textId="77777777">
            <w:pPr>
              <w:jc w:val="center"/>
              <w:rPr>
                <w:sz w:val="22"/>
                <w:szCs w:val="22"/>
              </w:rPr>
            </w:pPr>
            <w:r w:rsidRPr="00075448">
              <w:rPr>
                <w:sz w:val="22"/>
                <w:szCs w:val="22"/>
              </w:rPr>
              <w:t>194,098</w:t>
            </w:r>
          </w:p>
        </w:tc>
      </w:tr>
      <w:tr w:rsidRPr="00075448" w:rsidR="00400C37" w:rsidTr="00400C37" w14:paraId="6A935A56" w14:textId="77777777">
        <w:trPr>
          <w:trHeight w:val="27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400C37" w:rsidP="00400C37" w:rsidRDefault="00400C37" w14:paraId="2B46D2AD" w14:textId="77777777">
            <w:pPr>
              <w:rPr>
                <w:sz w:val="22"/>
                <w:szCs w:val="22"/>
              </w:rPr>
            </w:pPr>
            <w:r w:rsidRPr="00075448">
              <w:rPr>
                <w:sz w:val="22"/>
                <w:szCs w:val="22"/>
              </w:rPr>
              <w:t>Total</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570D0320" w14:textId="77777777">
            <w:pPr>
              <w:jc w:val="center"/>
              <w:rPr>
                <w:sz w:val="22"/>
                <w:szCs w:val="22"/>
              </w:rPr>
            </w:pPr>
            <w:r w:rsidRPr="00075448">
              <w:rPr>
                <w:sz w:val="22"/>
                <w:szCs w:val="22"/>
              </w:rPr>
              <w:t>1,199,878</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293DB905" w14:textId="77777777">
            <w:pPr>
              <w:jc w:val="center"/>
              <w:rPr>
                <w:sz w:val="22"/>
                <w:szCs w:val="22"/>
              </w:rPr>
            </w:pPr>
            <w:r w:rsidRPr="00075448">
              <w:rPr>
                <w:sz w:val="22"/>
                <w:szCs w:val="22"/>
              </w:rPr>
              <w:t>564,649</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3FEFB8DA" w14:textId="77777777">
            <w:pPr>
              <w:jc w:val="center"/>
              <w:rPr>
                <w:sz w:val="22"/>
                <w:szCs w:val="22"/>
              </w:rPr>
            </w:pPr>
            <w:r w:rsidRPr="00075448">
              <w:rPr>
                <w:sz w:val="22"/>
                <w:szCs w:val="22"/>
              </w:rPr>
              <w:t>1,764,527</w:t>
            </w:r>
          </w:p>
        </w:tc>
      </w:tr>
      <w:tr w:rsidRPr="00075448" w:rsidR="00400C37" w:rsidTr="00400C37" w14:paraId="640859E0" w14:textId="77777777">
        <w:trPr>
          <w:trHeight w:val="260"/>
          <w:jc w:val="center"/>
        </w:trPr>
        <w:tc>
          <w:tcPr>
            <w:tcW w:w="6660" w:type="dxa"/>
            <w:gridSpan w:val="4"/>
            <w:tcBorders>
              <w:top w:val="single" w:color="auto" w:sz="4" w:space="0"/>
              <w:left w:val="single" w:color="auto" w:sz="4" w:space="0"/>
              <w:bottom w:val="single" w:color="auto" w:sz="4" w:space="0"/>
              <w:right w:val="single" w:color="000000" w:sz="4" w:space="0"/>
            </w:tcBorders>
            <w:shd w:val="clear" w:color="auto" w:fill="BFBFBF" w:themeFill="background1" w:themeFillShade="BF"/>
            <w:noWrap/>
            <w:vAlign w:val="bottom"/>
            <w:hideMark/>
          </w:tcPr>
          <w:p w:rsidRPr="008478F0" w:rsidR="00400C37" w:rsidP="00400C37" w:rsidRDefault="00400C37" w14:paraId="31FD7899" w14:textId="77777777">
            <w:pPr>
              <w:rPr>
                <w:b/>
                <w:sz w:val="22"/>
                <w:szCs w:val="22"/>
              </w:rPr>
            </w:pPr>
            <w:r w:rsidRPr="008478F0">
              <w:rPr>
                <w:b/>
                <w:sz w:val="22"/>
                <w:szCs w:val="22"/>
              </w:rPr>
              <w:t>E</w:t>
            </w:r>
            <w:r w:rsidRPr="008478F0">
              <w:rPr>
                <w:b/>
                <w:sz w:val="22"/>
                <w:szCs w:val="22"/>
                <w:shd w:val="clear" w:color="auto" w:fill="BFBFBF" w:themeFill="background1" w:themeFillShade="BF"/>
              </w:rPr>
              <w:t>xports</w:t>
            </w:r>
          </w:p>
        </w:tc>
      </w:tr>
      <w:tr w:rsidRPr="00075448" w:rsidR="00400C37" w:rsidTr="00400C37" w14:paraId="790E04A7" w14:textId="77777777">
        <w:trPr>
          <w:trHeight w:val="26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400C37" w:rsidP="00400C37" w:rsidRDefault="00400C37" w14:paraId="2F6CCD7A" w14:textId="77777777">
            <w:pPr>
              <w:rPr>
                <w:sz w:val="22"/>
                <w:szCs w:val="22"/>
              </w:rPr>
            </w:pPr>
            <w:r w:rsidRPr="00075448">
              <w:rPr>
                <w:sz w:val="22"/>
                <w:szCs w:val="22"/>
              </w:rPr>
              <w:t>Paper</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7C1398C2" w14:textId="77777777">
            <w:pPr>
              <w:jc w:val="center"/>
              <w:rPr>
                <w:sz w:val="22"/>
                <w:szCs w:val="22"/>
              </w:rPr>
            </w:pPr>
            <w:r w:rsidRPr="00075448">
              <w:rPr>
                <w:sz w:val="22"/>
                <w:szCs w:val="22"/>
              </w:rPr>
              <w:t>12,515</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16D849B5" w14:textId="77777777">
            <w:pPr>
              <w:jc w:val="center"/>
              <w:rPr>
                <w:sz w:val="22"/>
                <w:szCs w:val="22"/>
              </w:rPr>
            </w:pPr>
            <w:r w:rsidRPr="00075448">
              <w:rPr>
                <w:sz w:val="22"/>
                <w:szCs w:val="22"/>
              </w:rPr>
              <w:t>5,890</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029068B8" w14:textId="77777777">
            <w:pPr>
              <w:jc w:val="center"/>
              <w:rPr>
                <w:sz w:val="22"/>
                <w:szCs w:val="22"/>
              </w:rPr>
            </w:pPr>
            <w:r w:rsidRPr="00075448">
              <w:rPr>
                <w:sz w:val="22"/>
                <w:szCs w:val="22"/>
              </w:rPr>
              <w:t>18,405</w:t>
            </w:r>
          </w:p>
        </w:tc>
      </w:tr>
      <w:tr w:rsidRPr="00075448" w:rsidR="00400C37" w:rsidTr="00400C37" w14:paraId="48A1A5FA" w14:textId="77777777">
        <w:trPr>
          <w:trHeight w:val="27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400C37" w:rsidP="00400C37" w:rsidRDefault="00400C37" w14:paraId="29D56226" w14:textId="77777777">
            <w:pPr>
              <w:rPr>
                <w:sz w:val="22"/>
                <w:szCs w:val="22"/>
              </w:rPr>
            </w:pPr>
            <w:r w:rsidRPr="00075448">
              <w:rPr>
                <w:sz w:val="22"/>
                <w:szCs w:val="22"/>
              </w:rPr>
              <w:t>Electronic</w:t>
            </w:r>
            <w:r>
              <w:rPr>
                <w:sz w:val="22"/>
                <w:szCs w:val="22"/>
              </w:rPr>
              <w:t>**</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7A23105C" w14:textId="77777777">
            <w:pPr>
              <w:jc w:val="center"/>
              <w:rPr>
                <w:sz w:val="22"/>
                <w:szCs w:val="22"/>
              </w:rPr>
            </w:pPr>
            <w:r w:rsidRPr="00075448">
              <w:rPr>
                <w:sz w:val="22"/>
                <w:szCs w:val="22"/>
              </w:rPr>
              <w:t>0</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2E37A158" w14:textId="77777777">
            <w:pPr>
              <w:jc w:val="center"/>
              <w:rPr>
                <w:sz w:val="22"/>
                <w:szCs w:val="22"/>
              </w:rPr>
            </w:pPr>
            <w:r w:rsidRPr="00075448">
              <w:rPr>
                <w:sz w:val="22"/>
                <w:szCs w:val="22"/>
              </w:rPr>
              <w:t>0</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273573A1" w14:textId="77777777">
            <w:pPr>
              <w:jc w:val="center"/>
              <w:rPr>
                <w:sz w:val="22"/>
                <w:szCs w:val="22"/>
              </w:rPr>
            </w:pPr>
            <w:r w:rsidRPr="00075448">
              <w:rPr>
                <w:sz w:val="22"/>
                <w:szCs w:val="22"/>
              </w:rPr>
              <w:t>0</w:t>
            </w:r>
          </w:p>
        </w:tc>
      </w:tr>
      <w:tr w:rsidRPr="00075448" w:rsidR="00400C37" w:rsidTr="00400C37" w14:paraId="66631ACA" w14:textId="77777777">
        <w:trPr>
          <w:trHeight w:val="26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400C37" w:rsidP="00400C37" w:rsidRDefault="00400C37" w14:paraId="7C695463" w14:textId="77777777">
            <w:pPr>
              <w:rPr>
                <w:sz w:val="22"/>
                <w:szCs w:val="22"/>
              </w:rPr>
            </w:pPr>
            <w:r w:rsidRPr="00075448">
              <w:rPr>
                <w:sz w:val="22"/>
                <w:szCs w:val="22"/>
              </w:rPr>
              <w:t>Total</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6FD761BB" w14:textId="77777777">
            <w:pPr>
              <w:jc w:val="center"/>
              <w:rPr>
                <w:sz w:val="22"/>
                <w:szCs w:val="22"/>
              </w:rPr>
            </w:pPr>
            <w:r w:rsidRPr="00075448">
              <w:rPr>
                <w:sz w:val="22"/>
                <w:szCs w:val="22"/>
              </w:rPr>
              <w:t>12,515</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34CD483B" w14:textId="77777777">
            <w:pPr>
              <w:jc w:val="center"/>
              <w:rPr>
                <w:sz w:val="22"/>
                <w:szCs w:val="22"/>
              </w:rPr>
            </w:pPr>
            <w:r w:rsidRPr="00075448">
              <w:rPr>
                <w:sz w:val="22"/>
                <w:szCs w:val="22"/>
              </w:rPr>
              <w:t>5,890</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4258DEAB" w14:textId="77777777">
            <w:pPr>
              <w:jc w:val="center"/>
              <w:rPr>
                <w:sz w:val="22"/>
                <w:szCs w:val="22"/>
              </w:rPr>
            </w:pPr>
            <w:r w:rsidRPr="00075448">
              <w:rPr>
                <w:sz w:val="22"/>
                <w:szCs w:val="22"/>
              </w:rPr>
              <w:t>18,405</w:t>
            </w:r>
          </w:p>
        </w:tc>
      </w:tr>
      <w:tr w:rsidRPr="00075448" w:rsidR="00400C37" w:rsidTr="00400C37" w14:paraId="55D0B891" w14:textId="77777777">
        <w:trPr>
          <w:trHeight w:val="260"/>
          <w:jc w:val="center"/>
        </w:trPr>
        <w:tc>
          <w:tcPr>
            <w:tcW w:w="6660" w:type="dxa"/>
            <w:gridSpan w:val="4"/>
            <w:tcBorders>
              <w:top w:val="single" w:color="auto" w:sz="4" w:space="0"/>
              <w:left w:val="single" w:color="auto" w:sz="4" w:space="0"/>
              <w:bottom w:val="single" w:color="auto" w:sz="4" w:space="0"/>
              <w:right w:val="single" w:color="000000" w:sz="4" w:space="0"/>
            </w:tcBorders>
            <w:shd w:val="clear" w:color="auto" w:fill="BFBFBF" w:themeFill="background1" w:themeFillShade="BF"/>
            <w:noWrap/>
            <w:vAlign w:val="bottom"/>
            <w:hideMark/>
          </w:tcPr>
          <w:p w:rsidRPr="008478F0" w:rsidR="00400C37" w:rsidP="00400C37" w:rsidRDefault="00400C37" w14:paraId="03079AF7" w14:textId="77777777">
            <w:pPr>
              <w:rPr>
                <w:b/>
                <w:sz w:val="22"/>
                <w:szCs w:val="22"/>
              </w:rPr>
            </w:pPr>
            <w:r w:rsidRPr="008478F0">
              <w:rPr>
                <w:b/>
                <w:sz w:val="22"/>
                <w:szCs w:val="22"/>
              </w:rPr>
              <w:t>Imports</w:t>
            </w:r>
          </w:p>
        </w:tc>
      </w:tr>
      <w:tr w:rsidRPr="00075448" w:rsidR="00400C37" w:rsidTr="00400C37" w14:paraId="71394923" w14:textId="77777777">
        <w:trPr>
          <w:trHeight w:val="26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400C37" w:rsidP="00400C37" w:rsidRDefault="00400C37" w14:paraId="43456D6B" w14:textId="77777777">
            <w:pPr>
              <w:rPr>
                <w:sz w:val="22"/>
                <w:szCs w:val="22"/>
              </w:rPr>
            </w:pPr>
            <w:r w:rsidRPr="00075448">
              <w:rPr>
                <w:sz w:val="22"/>
                <w:szCs w:val="22"/>
              </w:rPr>
              <w:t>Paper</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59836B13" w14:textId="77777777">
            <w:pPr>
              <w:jc w:val="center"/>
              <w:rPr>
                <w:sz w:val="22"/>
                <w:szCs w:val="22"/>
              </w:rPr>
            </w:pPr>
            <w:r w:rsidRPr="00075448">
              <w:rPr>
                <w:sz w:val="22"/>
                <w:szCs w:val="22"/>
              </w:rPr>
              <w:t>1,497</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21AFA380" w14:textId="77777777">
            <w:pPr>
              <w:jc w:val="center"/>
              <w:rPr>
                <w:sz w:val="22"/>
                <w:szCs w:val="22"/>
              </w:rPr>
            </w:pPr>
            <w:r w:rsidRPr="00075448">
              <w:rPr>
                <w:sz w:val="22"/>
                <w:szCs w:val="22"/>
              </w:rPr>
              <w:t>704</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6A20390B" w14:textId="77777777">
            <w:pPr>
              <w:jc w:val="center"/>
              <w:rPr>
                <w:sz w:val="22"/>
                <w:szCs w:val="22"/>
              </w:rPr>
            </w:pPr>
            <w:r w:rsidRPr="00075448">
              <w:rPr>
                <w:sz w:val="22"/>
                <w:szCs w:val="22"/>
              </w:rPr>
              <w:t>2,201</w:t>
            </w:r>
          </w:p>
        </w:tc>
      </w:tr>
      <w:tr w:rsidRPr="00075448" w:rsidR="00400C37" w:rsidTr="00400C37" w14:paraId="19202AF9" w14:textId="77777777">
        <w:trPr>
          <w:trHeight w:val="28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400C37" w:rsidP="00400C37" w:rsidRDefault="00400C37" w14:paraId="3DB7C45E" w14:textId="77777777">
            <w:pPr>
              <w:rPr>
                <w:sz w:val="22"/>
                <w:szCs w:val="22"/>
              </w:rPr>
            </w:pPr>
            <w:r w:rsidRPr="00075448">
              <w:rPr>
                <w:sz w:val="22"/>
                <w:szCs w:val="22"/>
              </w:rPr>
              <w:t>Electronic</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4DF51F57" w14:textId="77777777">
            <w:pPr>
              <w:jc w:val="center"/>
              <w:rPr>
                <w:sz w:val="22"/>
                <w:szCs w:val="22"/>
              </w:rPr>
            </w:pPr>
            <w:r w:rsidRPr="00075448">
              <w:rPr>
                <w:sz w:val="22"/>
                <w:szCs w:val="22"/>
              </w:rPr>
              <w:t>185</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4FC03A99" w14:textId="77777777">
            <w:pPr>
              <w:jc w:val="center"/>
              <w:rPr>
                <w:sz w:val="22"/>
                <w:szCs w:val="22"/>
              </w:rPr>
            </w:pPr>
            <w:r w:rsidRPr="00075448">
              <w:rPr>
                <w:sz w:val="22"/>
                <w:szCs w:val="22"/>
              </w:rPr>
              <w:t>87</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1C94F24D" w14:textId="77777777">
            <w:pPr>
              <w:jc w:val="center"/>
              <w:rPr>
                <w:sz w:val="22"/>
                <w:szCs w:val="22"/>
              </w:rPr>
            </w:pPr>
            <w:r w:rsidRPr="00075448">
              <w:rPr>
                <w:sz w:val="22"/>
                <w:szCs w:val="22"/>
              </w:rPr>
              <w:t>272</w:t>
            </w:r>
          </w:p>
        </w:tc>
      </w:tr>
      <w:tr w:rsidRPr="00075448" w:rsidR="00400C37" w:rsidTr="00400C37" w14:paraId="0E7BAF73" w14:textId="77777777">
        <w:trPr>
          <w:trHeight w:val="280"/>
          <w:jc w:val="center"/>
        </w:trPr>
        <w:tc>
          <w:tcPr>
            <w:tcW w:w="3380" w:type="dxa"/>
            <w:tcBorders>
              <w:top w:val="nil"/>
              <w:left w:val="single" w:color="auto" w:sz="4" w:space="0"/>
              <w:bottom w:val="single" w:color="auto" w:sz="4" w:space="0"/>
              <w:right w:val="single" w:color="auto" w:sz="4" w:space="0"/>
            </w:tcBorders>
            <w:shd w:val="clear" w:color="auto" w:fill="auto"/>
            <w:noWrap/>
            <w:vAlign w:val="bottom"/>
            <w:hideMark/>
          </w:tcPr>
          <w:p w:rsidRPr="00075448" w:rsidR="00400C37" w:rsidP="00400C37" w:rsidRDefault="00400C37" w14:paraId="021D5260" w14:textId="77777777">
            <w:pPr>
              <w:rPr>
                <w:sz w:val="22"/>
                <w:szCs w:val="22"/>
              </w:rPr>
            </w:pPr>
            <w:r w:rsidRPr="00075448">
              <w:rPr>
                <w:sz w:val="22"/>
                <w:szCs w:val="22"/>
              </w:rPr>
              <w:t>Total</w:t>
            </w:r>
          </w:p>
        </w:tc>
        <w:tc>
          <w:tcPr>
            <w:tcW w:w="118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39EDDE07" w14:textId="77777777">
            <w:pPr>
              <w:jc w:val="center"/>
              <w:rPr>
                <w:sz w:val="22"/>
                <w:szCs w:val="22"/>
              </w:rPr>
            </w:pPr>
            <w:r w:rsidRPr="00075448">
              <w:rPr>
                <w:sz w:val="22"/>
                <w:szCs w:val="22"/>
              </w:rPr>
              <w:t>1,682</w:t>
            </w:r>
          </w:p>
        </w:tc>
        <w:tc>
          <w:tcPr>
            <w:tcW w:w="10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756B9260" w14:textId="77777777">
            <w:pPr>
              <w:jc w:val="center"/>
              <w:rPr>
                <w:sz w:val="22"/>
                <w:szCs w:val="22"/>
              </w:rPr>
            </w:pPr>
            <w:r w:rsidRPr="00075448">
              <w:rPr>
                <w:sz w:val="22"/>
                <w:szCs w:val="22"/>
              </w:rPr>
              <w:t>791</w:t>
            </w:r>
          </w:p>
        </w:tc>
        <w:tc>
          <w:tcPr>
            <w:tcW w:w="1100" w:type="dxa"/>
            <w:tcBorders>
              <w:top w:val="nil"/>
              <w:left w:val="nil"/>
              <w:bottom w:val="single" w:color="auto" w:sz="4" w:space="0"/>
              <w:right w:val="single" w:color="auto" w:sz="4" w:space="0"/>
            </w:tcBorders>
            <w:shd w:val="clear" w:color="auto" w:fill="auto"/>
            <w:noWrap/>
            <w:vAlign w:val="center"/>
            <w:hideMark/>
          </w:tcPr>
          <w:p w:rsidRPr="00075448" w:rsidR="00400C37" w:rsidP="00400C37" w:rsidRDefault="00400C37" w14:paraId="3ADB69EE" w14:textId="77777777">
            <w:pPr>
              <w:jc w:val="center"/>
              <w:rPr>
                <w:sz w:val="22"/>
                <w:szCs w:val="22"/>
              </w:rPr>
            </w:pPr>
            <w:r w:rsidRPr="00075448">
              <w:rPr>
                <w:sz w:val="22"/>
                <w:szCs w:val="22"/>
              </w:rPr>
              <w:t>2,473</w:t>
            </w:r>
          </w:p>
        </w:tc>
      </w:tr>
    </w:tbl>
    <w:p w:rsidRPr="005D6B47" w:rsidR="00400C37" w:rsidP="00400C37" w:rsidRDefault="00400C37" w14:paraId="3A06760A" w14:textId="77777777">
      <w:pPr>
        <w:tabs>
          <w:tab w:val="left" w:pos="-1200"/>
        </w:tabs>
        <w:ind w:left="1350"/>
        <w:rPr>
          <w:bCs/>
          <w:sz w:val="20"/>
          <w:szCs w:val="20"/>
        </w:rPr>
      </w:pPr>
      <w:r w:rsidRPr="005D6B47">
        <w:rPr>
          <w:sz w:val="20"/>
          <w:szCs w:val="20"/>
        </w:rPr>
        <w:t>*</w:t>
      </w:r>
      <w:r w:rsidRPr="005D6B47">
        <w:rPr>
          <w:bCs/>
          <w:sz w:val="20"/>
          <w:szCs w:val="20"/>
        </w:rPr>
        <w:t xml:space="preserve"> Export and import manifests were estimated in August 2020 based on analysis of data from the e-Manifest and EPA’s 2019 Annual Report.</w:t>
      </w:r>
    </w:p>
    <w:p w:rsidR="00400C37" w:rsidP="00400C37" w:rsidRDefault="00400C37" w14:paraId="24EB3E5E" w14:textId="77777777">
      <w:pPr>
        <w:tabs>
          <w:tab w:val="left" w:pos="-1200"/>
        </w:tabs>
        <w:ind w:left="1350"/>
        <w:rPr>
          <w:bCs/>
          <w:sz w:val="20"/>
          <w:szCs w:val="20"/>
        </w:rPr>
      </w:pPr>
      <w:r w:rsidRPr="005D6B47">
        <w:rPr>
          <w:bCs/>
          <w:sz w:val="20"/>
          <w:szCs w:val="20"/>
        </w:rPr>
        <w:t xml:space="preserve">** The electronic manifest is not available for export shipments </w:t>
      </w:r>
      <w:proofErr w:type="gramStart"/>
      <w:r w:rsidRPr="005D6B47">
        <w:rPr>
          <w:bCs/>
          <w:sz w:val="20"/>
          <w:szCs w:val="20"/>
        </w:rPr>
        <w:t>at this time</w:t>
      </w:r>
      <w:proofErr w:type="gramEnd"/>
      <w:r w:rsidRPr="005D6B47">
        <w:rPr>
          <w:bCs/>
          <w:sz w:val="20"/>
          <w:szCs w:val="20"/>
        </w:rPr>
        <w:t>.</w:t>
      </w:r>
    </w:p>
    <w:p w:rsidR="00400C37" w:rsidP="00400C37" w:rsidRDefault="00400C37" w14:paraId="6FC462BA" w14:textId="77777777">
      <w:pPr>
        <w:tabs>
          <w:tab w:val="left" w:pos="-1200"/>
        </w:tabs>
        <w:ind w:left="1350"/>
        <w:rPr>
          <w:bCs/>
          <w:sz w:val="20"/>
          <w:szCs w:val="20"/>
        </w:rPr>
      </w:pPr>
    </w:p>
    <w:p w:rsidR="00400C37" w:rsidP="00400C37" w:rsidRDefault="00400C37" w14:paraId="5C0C7DD1" w14:textId="0ABF3601">
      <w:pPr>
        <w:pStyle w:val="Heading2"/>
        <w:widowControl/>
      </w:pPr>
      <w:r>
        <w:t xml:space="preserve">Estimating Respondent Labor Costs </w:t>
      </w:r>
      <w:r>
        <w:fldChar w:fldCharType="begin"/>
      </w:r>
      <w:r>
        <w:instrText>tc "6(b)</w:instrText>
      </w:r>
      <w:r>
        <w:tab/>
        <w:instrText>Estimating Respondent Costs " \l 2</w:instrText>
      </w:r>
      <w:r>
        <w:fldChar w:fldCharType="end"/>
      </w:r>
    </w:p>
    <w:p w:rsidR="00400C37" w:rsidP="00400C37" w:rsidRDefault="00400C37" w14:paraId="151D0DA1" w14:textId="77777777"/>
    <w:p w:rsidRPr="00F273BE" w:rsidR="00400C37" w:rsidP="00400C37" w:rsidRDefault="00400C37" w14:paraId="16A097D5" w14:textId="77777777">
      <w:pPr>
        <w:numPr>
          <w:ilvl w:val="12"/>
          <w:numId w:val="0"/>
        </w:numPr>
      </w:pPr>
      <w:r w:rsidRPr="00EE3731">
        <w:t>EPA estimates an average hourly respondent labor cost ($2020) of $114.57/</w:t>
      </w:r>
      <w:proofErr w:type="spellStart"/>
      <w:r w:rsidRPr="00EE3731">
        <w:t>hr</w:t>
      </w:r>
      <w:proofErr w:type="spellEnd"/>
      <w:r w:rsidRPr="00EE3731">
        <w:t xml:space="preserve"> for legal staff, $97.01/</w:t>
      </w:r>
      <w:proofErr w:type="spellStart"/>
      <w:r w:rsidRPr="00EE3731">
        <w:t>hr</w:t>
      </w:r>
      <w:proofErr w:type="spellEnd"/>
      <w:r w:rsidRPr="00EE3731">
        <w:t xml:space="preserve"> for managerial staff, $40.03/</w:t>
      </w:r>
      <w:proofErr w:type="spellStart"/>
      <w:r w:rsidRPr="00EE3731">
        <w:t>hr</w:t>
      </w:r>
      <w:proofErr w:type="spellEnd"/>
      <w:r w:rsidRPr="00EE3731">
        <w:t xml:space="preserve"> for technical staff, and $34.23/</w:t>
      </w:r>
      <w:proofErr w:type="spellStart"/>
      <w:r w:rsidRPr="00EE3731">
        <w:t>hr</w:t>
      </w:r>
      <w:proofErr w:type="spellEnd"/>
      <w:r w:rsidRPr="00EE3731">
        <w:t xml:space="preserve"> for clerical staff. To derive these hourly estimates, EPA referred to the </w:t>
      </w:r>
      <w:r w:rsidRPr="00EE3731">
        <w:rPr>
          <w:i/>
        </w:rPr>
        <w:t xml:space="preserve">May 2019 National Occupational Employment </w:t>
      </w:r>
      <w:r w:rsidRPr="00EE3731">
        <w:rPr>
          <w:i/>
        </w:rPr>
        <w:lastRenderedPageBreak/>
        <w:t>and Wage Estimates</w:t>
      </w:r>
      <w:r w:rsidRPr="00EE3731">
        <w:t xml:space="preserve"> published by the U.S. Bureau of Labor Statistics.</w:t>
      </w:r>
      <w:r w:rsidRPr="00EE3731">
        <w:rPr>
          <w:rStyle w:val="FootnoteReference"/>
          <w:vertAlign w:val="superscript"/>
        </w:rPr>
        <w:footnoteReference w:id="14"/>
      </w:r>
      <w:r w:rsidRPr="00EE3731">
        <w:t xml:space="preserve">  This publication summarizes the unloaded (base) hourly rate for major occupational groups.</w:t>
      </w:r>
      <w:r w:rsidRPr="00EE3731">
        <w:rPr>
          <w:rStyle w:val="FootnoteReference"/>
          <w:vertAlign w:val="superscript"/>
        </w:rPr>
        <w:footnoteReference w:id="15"/>
      </w:r>
      <w:r w:rsidRPr="00EE3731">
        <w:rPr>
          <w:vertAlign w:val="superscript"/>
        </w:rPr>
        <w:t xml:space="preserve"> </w:t>
      </w:r>
      <w:r w:rsidRPr="00EE3731">
        <w:t xml:space="preserve"> EPA then applied the standard government overhead factor of 1.6 to the unloaded rate to derive loaded hourly rates. Finally, EPA updated the loaded hourly rates to March 2020 levels using Employment Cost Indexes developed by the U.S. Bureau of Labor Statistics.</w:t>
      </w:r>
      <w:r w:rsidRPr="00EE3731">
        <w:rPr>
          <w:rStyle w:val="FootnoteReference"/>
          <w:vertAlign w:val="superscript"/>
        </w:rPr>
        <w:footnoteReference w:id="16"/>
      </w:r>
    </w:p>
    <w:p w:rsidR="00400C37" w:rsidRDefault="00400C37" w14:paraId="25239D31" w14:textId="77777777"/>
    <w:p w:rsidRPr="00AF2CFC" w:rsidR="00400C37" w:rsidP="00400C37" w:rsidRDefault="00400C37" w14:paraId="62522CDA" w14:textId="74399375">
      <w:pPr>
        <w:pStyle w:val="Heading2"/>
      </w:pPr>
      <w:r w:rsidRPr="00AF2CFC">
        <w:t>Estimating Respondent Hours and Costs</w:t>
      </w:r>
    </w:p>
    <w:p w:rsidRPr="00AF2CFC" w:rsidR="00400C37" w:rsidP="00400C37" w:rsidRDefault="00400C37" w14:paraId="058F8F0D" w14:textId="77777777">
      <w:pPr>
        <w:rPr>
          <w:b/>
        </w:rPr>
      </w:pPr>
    </w:p>
    <w:p w:rsidR="00400C37" w:rsidP="00400C37" w:rsidRDefault="00400C37" w14:paraId="6F6F8FC1" w14:textId="77777777">
      <w:pPr>
        <w:tabs>
          <w:tab w:val="left" w:pos="-1200"/>
        </w:tabs>
      </w:pPr>
      <w:r w:rsidRPr="006A6961">
        <w:t xml:space="preserve">Exhibits 1 </w:t>
      </w:r>
      <w:r w:rsidRPr="00E63B35">
        <w:t>through 2</w:t>
      </w:r>
      <w:r>
        <w:t xml:space="preserve">1 </w:t>
      </w:r>
      <w:r w:rsidRPr="00E63B35">
        <w:t>estimate the annual respondent burden associated with these information collection requirements</w:t>
      </w:r>
      <w:r>
        <w:t xml:space="preserve">. Refer to Sections 6A and 6B of this </w:t>
      </w:r>
      <w:r w:rsidRPr="00920356">
        <w:t>document for respondent universe data used to estimate burden. Exhibit 22 presents the total aggregate annual hour and cost burden to all respondents under the information collection requirements covered in this ICR.</w:t>
      </w:r>
      <w:r>
        <w:t xml:space="preserve"> </w:t>
      </w:r>
    </w:p>
    <w:p w:rsidR="00400C37" w:rsidP="00400C37" w:rsidRDefault="00400C37" w14:paraId="25EADB7F" w14:textId="77777777">
      <w:pPr>
        <w:tabs>
          <w:tab w:val="left" w:pos="-1200"/>
        </w:tabs>
        <w:ind w:left="1440" w:hanging="720"/>
      </w:pPr>
    </w:p>
    <w:p w:rsidRPr="00853414" w:rsidR="00400C37" w:rsidP="00400C37" w:rsidRDefault="00400C37" w14:paraId="3DF35EB2" w14:textId="77777777">
      <w:pPr>
        <w:keepNext/>
        <w:tabs>
          <w:tab w:val="left" w:pos="-1200"/>
        </w:tabs>
        <w:ind w:left="1440" w:hanging="720"/>
      </w:pPr>
      <w:r w:rsidRPr="00853414">
        <w:t>(a)</w:t>
      </w:r>
      <w:r w:rsidRPr="00853414">
        <w:tab/>
        <w:t>Registrant Organization Requirements</w:t>
      </w:r>
    </w:p>
    <w:p w:rsidRPr="00853414" w:rsidR="00400C37" w:rsidP="00400C37" w:rsidRDefault="00400C37" w14:paraId="3C84980C" w14:textId="77777777">
      <w:pPr>
        <w:keepNext/>
        <w:tabs>
          <w:tab w:val="left" w:pos="-1200"/>
        </w:tabs>
      </w:pPr>
    </w:p>
    <w:p w:rsidRPr="00853414" w:rsidR="00400C37" w:rsidP="00400C37" w:rsidRDefault="00400C37" w14:paraId="45C9E5D7" w14:textId="77777777">
      <w:pPr>
        <w:keepNext/>
        <w:tabs>
          <w:tab w:val="left" w:pos="-1200"/>
        </w:tabs>
        <w:ind w:left="1440" w:hanging="720"/>
      </w:pPr>
      <w:r w:rsidRPr="00853414">
        <w:rPr>
          <w:i/>
          <w:iCs/>
        </w:rPr>
        <w:t>(a1)</w:t>
      </w:r>
      <w:r w:rsidRPr="00853414">
        <w:rPr>
          <w:i/>
          <w:iCs/>
        </w:rPr>
        <w:tab/>
        <w:t>Reading the Regulations</w:t>
      </w:r>
    </w:p>
    <w:p w:rsidRPr="00853414" w:rsidR="00400C37" w:rsidP="00400C37" w:rsidRDefault="00400C37" w14:paraId="6D834F01" w14:textId="77777777">
      <w:pPr>
        <w:keepNext/>
        <w:tabs>
          <w:tab w:val="left" w:pos="-1200"/>
        </w:tabs>
      </w:pPr>
    </w:p>
    <w:p w:rsidRPr="00853414" w:rsidR="00400C37" w:rsidP="00400C37" w:rsidRDefault="00400C37" w14:paraId="617ADAC3" w14:textId="77777777">
      <w:pPr>
        <w:keepNext/>
        <w:tabs>
          <w:tab w:val="left" w:pos="-1200"/>
        </w:tabs>
      </w:pPr>
      <w:r w:rsidRPr="00853414">
        <w:t xml:space="preserve">Exhibit 1 presents the total annual hour </w:t>
      </w:r>
      <w:r w:rsidRPr="00BE024E">
        <w:t>and cost burden to registrant organizations in reading the manifest regulations at 40 CFR 262.21</w:t>
      </w:r>
      <w:r>
        <w:t xml:space="preserve">. </w:t>
      </w:r>
      <w:r w:rsidRPr="00BE024E">
        <w:t xml:space="preserve">EPA expects that on average, </w:t>
      </w:r>
      <w:r>
        <w:t>one</w:t>
      </w:r>
      <w:r w:rsidRPr="00BE024E">
        <w:t xml:space="preserve"> registrant organization will read 40 CFR 262.21 regulations each year.</w:t>
      </w:r>
    </w:p>
    <w:p w:rsidRPr="00853414" w:rsidR="00400C37" w:rsidP="00400C37" w:rsidRDefault="00400C37" w14:paraId="41275F5B" w14:textId="77777777">
      <w:pPr>
        <w:tabs>
          <w:tab w:val="left" w:pos="-1200"/>
        </w:tabs>
      </w:pPr>
    </w:p>
    <w:p w:rsidRPr="00853414" w:rsidR="00400C37" w:rsidP="00400C37" w:rsidRDefault="00400C37" w14:paraId="1E81EAD8" w14:textId="77777777">
      <w:pPr>
        <w:tabs>
          <w:tab w:val="left" w:pos="-1200"/>
        </w:tabs>
        <w:ind w:left="1440" w:hanging="720"/>
      </w:pPr>
      <w:r w:rsidRPr="00853414">
        <w:rPr>
          <w:i/>
          <w:iCs/>
        </w:rPr>
        <w:t>(a2)</w:t>
      </w:r>
      <w:r w:rsidRPr="00853414">
        <w:rPr>
          <w:i/>
          <w:iCs/>
        </w:rPr>
        <w:tab/>
        <w:t>Applying to the Registry</w:t>
      </w:r>
    </w:p>
    <w:p w:rsidRPr="00853414" w:rsidR="00400C37" w:rsidP="00400C37" w:rsidRDefault="00400C37" w14:paraId="791B3090" w14:textId="77777777">
      <w:pPr>
        <w:tabs>
          <w:tab w:val="left" w:pos="-1200"/>
        </w:tabs>
      </w:pPr>
    </w:p>
    <w:p w:rsidRPr="00853414" w:rsidR="00400C37" w:rsidP="00400C37" w:rsidRDefault="00400C37" w14:paraId="23230B2F" w14:textId="77777777">
      <w:pPr>
        <w:tabs>
          <w:tab w:val="left" w:pos="-1200"/>
        </w:tabs>
      </w:pPr>
      <w:r>
        <w:t>EPA</w:t>
      </w:r>
      <w:r w:rsidRPr="00853414">
        <w:t xml:space="preserve"> estimates that each year, </w:t>
      </w:r>
      <w:r>
        <w:t>one</w:t>
      </w:r>
      <w:r w:rsidRPr="00853414">
        <w:t xml:space="preserve"> entit</w:t>
      </w:r>
      <w:r>
        <w:t>y</w:t>
      </w:r>
      <w:r w:rsidRPr="00853414">
        <w:t xml:space="preserve"> will register with </w:t>
      </w:r>
      <w:r>
        <w:t>EPA to print its</w:t>
      </w:r>
      <w:r w:rsidRPr="00853414">
        <w:t xml:space="preserve"> own forms</w:t>
      </w:r>
      <w:r>
        <w:t>. There are O&amp;M costs to a registrant for paying a lump-sum fee and postage to produce and submit three samples of the manifest and continuation sheet under 40 CFR 262.21(d).</w:t>
      </w:r>
    </w:p>
    <w:p w:rsidRPr="00853414" w:rsidR="00400C37" w:rsidP="00400C37" w:rsidRDefault="00400C37" w14:paraId="1270E21E" w14:textId="77777777">
      <w:pPr>
        <w:tabs>
          <w:tab w:val="left" w:pos="-1200"/>
        </w:tabs>
      </w:pPr>
    </w:p>
    <w:p w:rsidRPr="00853414" w:rsidR="00400C37" w:rsidP="00400C37" w:rsidRDefault="00400C37" w14:paraId="0F9F5CC9" w14:textId="77777777">
      <w:pPr>
        <w:keepNext/>
        <w:tabs>
          <w:tab w:val="left" w:pos="-1200"/>
        </w:tabs>
        <w:ind w:left="1440" w:hanging="720"/>
      </w:pPr>
      <w:r w:rsidRPr="00853414">
        <w:rPr>
          <w:i/>
          <w:iCs/>
        </w:rPr>
        <w:t>(a3)</w:t>
      </w:r>
      <w:r w:rsidRPr="00853414">
        <w:rPr>
          <w:i/>
          <w:iCs/>
        </w:rPr>
        <w:tab/>
        <w:t>Updating General Information in the Approved Application</w:t>
      </w:r>
    </w:p>
    <w:p w:rsidRPr="00853414" w:rsidR="00400C37" w:rsidP="00400C37" w:rsidRDefault="00400C37" w14:paraId="6FB75439" w14:textId="77777777">
      <w:pPr>
        <w:keepNext/>
        <w:tabs>
          <w:tab w:val="left" w:pos="-1200"/>
        </w:tabs>
      </w:pPr>
    </w:p>
    <w:p w:rsidR="00400C37" w:rsidP="00400C37" w:rsidRDefault="00400C37" w14:paraId="6726FA4D" w14:textId="77777777">
      <w:pPr>
        <w:tabs>
          <w:tab w:val="left" w:pos="-1200"/>
        </w:tabs>
      </w:pPr>
      <w:r>
        <w:t>EPA estimates that, each year, three</w:t>
      </w:r>
      <w:r w:rsidRPr="00853414">
        <w:t xml:space="preserve"> registrant organization</w:t>
      </w:r>
      <w:r>
        <w:t>s</w:t>
      </w:r>
      <w:r w:rsidRPr="00853414">
        <w:t xml:space="preserve"> will revise an</w:t>
      </w:r>
      <w:r>
        <w:t>d submit their approved</w:t>
      </w:r>
      <w:r w:rsidRPr="00853414">
        <w:t xml:space="preserve"> application to </w:t>
      </w:r>
      <w:r>
        <w:t>EPA</w:t>
      </w:r>
      <w:r w:rsidRPr="00853414">
        <w:t>, along with an indication or explanation of the update, under 40 CFR 262.21(h)(1)</w:t>
      </w:r>
      <w:r>
        <w:t xml:space="preserve">. </w:t>
      </w:r>
    </w:p>
    <w:p w:rsidRPr="00853414" w:rsidR="00400C37" w:rsidP="00400C37" w:rsidRDefault="00400C37" w14:paraId="5D5D55E1" w14:textId="77777777">
      <w:pPr>
        <w:tabs>
          <w:tab w:val="left" w:pos="-1200"/>
        </w:tabs>
      </w:pPr>
    </w:p>
    <w:p w:rsidRPr="00853414" w:rsidR="00400C37" w:rsidP="00400C37" w:rsidRDefault="00400C37" w14:paraId="60B486E2" w14:textId="77777777">
      <w:pPr>
        <w:keepNext/>
        <w:tabs>
          <w:tab w:val="left" w:pos="-1200"/>
        </w:tabs>
        <w:ind w:left="1440" w:hanging="720"/>
      </w:pPr>
      <w:r w:rsidRPr="00853414">
        <w:rPr>
          <w:i/>
          <w:iCs/>
        </w:rPr>
        <w:lastRenderedPageBreak/>
        <w:t>(a4)</w:t>
      </w:r>
      <w:r w:rsidRPr="00853414">
        <w:rPr>
          <w:i/>
          <w:iCs/>
        </w:rPr>
        <w:tab/>
        <w:t>Requesting Approval for a New Tracking Number Suffix</w:t>
      </w:r>
    </w:p>
    <w:p w:rsidRPr="00853414" w:rsidR="00400C37" w:rsidP="00400C37" w:rsidRDefault="00400C37" w14:paraId="08A76665" w14:textId="77777777">
      <w:pPr>
        <w:keepNext/>
        <w:tabs>
          <w:tab w:val="left" w:pos="-1200"/>
        </w:tabs>
      </w:pPr>
    </w:p>
    <w:p w:rsidRPr="00853414" w:rsidR="00400C37" w:rsidP="00400C37" w:rsidRDefault="00400C37" w14:paraId="190FDF73" w14:textId="77777777">
      <w:pPr>
        <w:keepNext/>
        <w:tabs>
          <w:tab w:val="left" w:pos="-1200"/>
        </w:tabs>
      </w:pPr>
      <w:r w:rsidRPr="00853414">
        <w:t>EPA estimates that no approved registrant organization will request a new tracking number suffix during the 3-year period covered by this ICR</w:t>
      </w:r>
      <w:r>
        <w:t xml:space="preserve">. </w:t>
      </w:r>
      <w:r w:rsidRPr="00853414">
        <w:t xml:space="preserve">Because each manifest tracking number consists of the </w:t>
      </w:r>
      <w:r>
        <w:t>3</w:t>
      </w:r>
      <w:r w:rsidRPr="00853414">
        <w:t xml:space="preserve">-letter suffix and </w:t>
      </w:r>
      <w:r>
        <w:t>9</w:t>
      </w:r>
      <w:r w:rsidRPr="00853414">
        <w:t xml:space="preserve"> digits, each registrant will be able to generate more than 999 million forms using its original suffix</w:t>
      </w:r>
      <w:r>
        <w:t>. EPA</w:t>
      </w:r>
      <w:r w:rsidRPr="00853414">
        <w:t xml:space="preserve"> does not expect a registrant to request a new suffix for many years.</w:t>
      </w:r>
    </w:p>
    <w:p w:rsidRPr="00853414" w:rsidR="00400C37" w:rsidP="00400C37" w:rsidRDefault="00400C37" w14:paraId="10FBFF72" w14:textId="77777777">
      <w:pPr>
        <w:tabs>
          <w:tab w:val="left" w:pos="-1200"/>
        </w:tabs>
        <w:ind w:firstLine="2160"/>
      </w:pPr>
    </w:p>
    <w:p w:rsidRPr="00853414" w:rsidR="00400C37" w:rsidP="00400C37" w:rsidRDefault="00400C37" w14:paraId="2E836286" w14:textId="77777777">
      <w:pPr>
        <w:keepNext/>
        <w:keepLines/>
        <w:tabs>
          <w:tab w:val="left" w:pos="-1200"/>
        </w:tabs>
        <w:ind w:left="1440" w:hanging="720"/>
        <w:rPr>
          <w:i/>
          <w:iCs/>
        </w:rPr>
      </w:pPr>
      <w:r w:rsidRPr="00853414">
        <w:rPr>
          <w:i/>
          <w:iCs/>
        </w:rPr>
        <w:t>(a5)</w:t>
      </w:r>
      <w:r w:rsidRPr="00853414">
        <w:rPr>
          <w:i/>
          <w:iCs/>
        </w:rPr>
        <w:tab/>
        <w:t>Requesting Approval for Changes to Printing Specifications or Use of a New Printer</w:t>
      </w:r>
    </w:p>
    <w:p w:rsidRPr="00853414" w:rsidR="00400C37" w:rsidP="00400C37" w:rsidRDefault="00400C37" w14:paraId="01678BAB" w14:textId="77777777">
      <w:pPr>
        <w:keepNext/>
        <w:keepLines/>
        <w:tabs>
          <w:tab w:val="left" w:pos="-1200"/>
        </w:tabs>
      </w:pPr>
    </w:p>
    <w:p w:rsidRPr="00853414" w:rsidR="00400C37" w:rsidP="00400C37" w:rsidRDefault="00400C37" w14:paraId="7C65E28E" w14:textId="77777777">
      <w:pPr>
        <w:tabs>
          <w:tab w:val="left" w:pos="-1200"/>
        </w:tabs>
      </w:pPr>
      <w:r>
        <w:t>EPA</w:t>
      </w:r>
      <w:r w:rsidRPr="00853414">
        <w:t xml:space="preserve"> estimates that </w:t>
      </w:r>
      <w:r>
        <w:t>one</w:t>
      </w:r>
      <w:r w:rsidRPr="00853414">
        <w:t xml:space="preserve"> registrant organization</w:t>
      </w:r>
      <w:r>
        <w:t xml:space="preserve"> annually</w:t>
      </w:r>
      <w:r w:rsidRPr="00853414">
        <w:t xml:space="preserve"> will request approval for changes to its form or for the use of a new printer under 40 CFR 262.21(e).</w:t>
      </w:r>
      <w:r>
        <w:t xml:space="preserve"> There are O&amp;M costs to a registrant for paying a lump-sum fee and postage to produce and submit three samples of the manifest and continuation sheet under 40 CFR 262.21(d).</w:t>
      </w:r>
    </w:p>
    <w:p w:rsidRPr="00853414" w:rsidR="00400C37" w:rsidP="00400C37" w:rsidRDefault="00400C37" w14:paraId="6BB14DB5" w14:textId="77777777">
      <w:pPr>
        <w:keepLines/>
        <w:tabs>
          <w:tab w:val="left" w:pos="-1200"/>
        </w:tabs>
      </w:pPr>
    </w:p>
    <w:p w:rsidRPr="00853414" w:rsidR="00400C37" w:rsidP="00400C37" w:rsidRDefault="00400C37" w14:paraId="0BFF0255" w14:textId="77777777">
      <w:pPr>
        <w:keepNext/>
        <w:keepLines/>
        <w:tabs>
          <w:tab w:val="left" w:pos="-1200"/>
        </w:tabs>
        <w:ind w:left="1440" w:hanging="720"/>
      </w:pPr>
      <w:r w:rsidRPr="00853414">
        <w:rPr>
          <w:i/>
          <w:iCs/>
        </w:rPr>
        <w:t xml:space="preserve">(a6) </w:t>
      </w:r>
      <w:r w:rsidRPr="00853414">
        <w:rPr>
          <w:i/>
          <w:iCs/>
        </w:rPr>
        <w:tab/>
        <w:t>Typesetting the Manifest Form Subsequent to its Approval</w:t>
      </w:r>
    </w:p>
    <w:p w:rsidRPr="00853414" w:rsidR="00400C37" w:rsidP="00400C37" w:rsidRDefault="00400C37" w14:paraId="510927CE" w14:textId="77777777">
      <w:pPr>
        <w:keepNext/>
        <w:keepLines/>
        <w:tabs>
          <w:tab w:val="left" w:pos="-1200"/>
        </w:tabs>
      </w:pPr>
    </w:p>
    <w:p w:rsidR="00400C37" w:rsidP="00400C37" w:rsidRDefault="00400C37" w14:paraId="6748FB20" w14:textId="77777777">
      <w:pPr>
        <w:keepLines/>
        <w:tabs>
          <w:tab w:val="left" w:pos="-1200"/>
        </w:tabs>
      </w:pPr>
      <w:r>
        <w:t>EPA</w:t>
      </w:r>
      <w:r w:rsidRPr="00853414">
        <w:t xml:space="preserve"> estimates that no registrant organization will typeset its manifest form instead of using the electronic file of the forms provided by </w:t>
      </w:r>
      <w:r>
        <w:t>EPA</w:t>
      </w:r>
      <w:r w:rsidRPr="00853414">
        <w:t xml:space="preserve"> during the 3-year period covered by this ICR</w:t>
      </w:r>
      <w:r>
        <w:t xml:space="preserve">. </w:t>
      </w:r>
      <w:r w:rsidRPr="00853414">
        <w:t xml:space="preserve">Upon approval of a registrant’s application under 40 CFR 262.21(c), </w:t>
      </w:r>
      <w:r>
        <w:t>EPA</w:t>
      </w:r>
      <w:r w:rsidRPr="00853414">
        <w:t xml:space="preserve"> will provide it with an electronic file of the manifest, continuation sheet, and instructions and ask it to use these files to develop the forms</w:t>
      </w:r>
      <w:r>
        <w:t xml:space="preserve">. </w:t>
      </w:r>
      <w:r w:rsidRPr="00853414">
        <w:t xml:space="preserve">In its consultations, </w:t>
      </w:r>
      <w:r>
        <w:t>EPA</w:t>
      </w:r>
      <w:r w:rsidRPr="00853414">
        <w:t xml:space="preserve"> found that printers intend to share these files among their printing establishments so that none will need to typeset the form</w:t>
      </w:r>
      <w:r>
        <w:t xml:space="preserve">. </w:t>
      </w:r>
      <w:r w:rsidRPr="00853414">
        <w:t>Typesetting the form would be unappealing to registrants because of the level of effort required in comparison with using the electronic files.</w:t>
      </w:r>
    </w:p>
    <w:p w:rsidRPr="00853414" w:rsidR="00400C37" w:rsidP="00400C37" w:rsidRDefault="00400C37" w14:paraId="75D6ED0A" w14:textId="77777777">
      <w:pPr>
        <w:keepLines/>
        <w:tabs>
          <w:tab w:val="left" w:pos="-1200"/>
        </w:tabs>
      </w:pPr>
    </w:p>
    <w:p w:rsidRPr="00853414" w:rsidR="00400C37" w:rsidP="00400C37" w:rsidRDefault="00400C37" w14:paraId="5150807C" w14:textId="77777777">
      <w:pPr>
        <w:keepNext/>
        <w:keepLines/>
        <w:tabs>
          <w:tab w:val="left" w:pos="-1200"/>
        </w:tabs>
        <w:ind w:left="1440" w:hanging="720"/>
      </w:pPr>
      <w:r w:rsidRPr="00853414">
        <w:rPr>
          <w:i/>
          <w:iCs/>
        </w:rPr>
        <w:t xml:space="preserve">(a7) </w:t>
      </w:r>
      <w:r w:rsidRPr="00853414">
        <w:rPr>
          <w:i/>
          <w:iCs/>
        </w:rPr>
        <w:tab/>
        <w:t>Requesting an Exemption</w:t>
      </w:r>
    </w:p>
    <w:p w:rsidRPr="00853414" w:rsidR="00400C37" w:rsidP="00400C37" w:rsidRDefault="00400C37" w14:paraId="185DE599" w14:textId="77777777">
      <w:pPr>
        <w:keepNext/>
        <w:keepLines/>
        <w:tabs>
          <w:tab w:val="left" w:pos="-1200"/>
        </w:tabs>
        <w:ind w:firstLine="720"/>
      </w:pPr>
    </w:p>
    <w:p w:rsidRPr="00853414" w:rsidR="00400C37" w:rsidP="00400C37" w:rsidRDefault="00400C37" w14:paraId="653DDC2C" w14:textId="77777777">
      <w:pPr>
        <w:keepLines/>
        <w:tabs>
          <w:tab w:val="left" w:pos="-1200"/>
        </w:tabs>
      </w:pPr>
      <w:r>
        <w:t>EPA</w:t>
      </w:r>
      <w:r w:rsidRPr="00853414">
        <w:t xml:space="preserve"> estimates that</w:t>
      </w:r>
      <w:r>
        <w:t xml:space="preserve"> no</w:t>
      </w:r>
      <w:r w:rsidRPr="00853414">
        <w:t xml:space="preserve"> registrant organization</w:t>
      </w:r>
      <w:r>
        <w:t>s</w:t>
      </w:r>
      <w:r w:rsidRPr="00853414">
        <w:t xml:space="preserve"> will submit a request for an exemption under 40 CFR 262.21(j)</w:t>
      </w:r>
      <w:r>
        <w:t>. EPA</w:t>
      </w:r>
      <w:r w:rsidRPr="00853414">
        <w:t xml:space="preserve"> expects each registrant to be forward looking when originally registering under 40 CFR 262.21(b) through (e), and carefully select the appropriate paper type, paper weight, and other aspects of the form</w:t>
      </w:r>
      <w:r>
        <w:t xml:space="preserve">. </w:t>
      </w:r>
    </w:p>
    <w:p w:rsidRPr="00853414" w:rsidR="00400C37" w:rsidP="00400C37" w:rsidRDefault="00400C37" w14:paraId="113469AA" w14:textId="77777777">
      <w:pPr>
        <w:tabs>
          <w:tab w:val="left" w:pos="-1200"/>
        </w:tabs>
        <w:ind w:firstLine="720"/>
      </w:pPr>
    </w:p>
    <w:p w:rsidRPr="00853414" w:rsidR="00400C37" w:rsidP="00400C37" w:rsidRDefault="00400C37" w14:paraId="22C664E5" w14:textId="77777777">
      <w:pPr>
        <w:tabs>
          <w:tab w:val="left" w:pos="-1200"/>
        </w:tabs>
        <w:ind w:left="1440" w:hanging="720"/>
      </w:pPr>
      <w:r w:rsidRPr="00853414">
        <w:rPr>
          <w:i/>
          <w:iCs/>
        </w:rPr>
        <w:t>(a8)</w:t>
      </w:r>
      <w:r w:rsidRPr="00853414">
        <w:rPr>
          <w:i/>
          <w:iCs/>
        </w:rPr>
        <w:tab/>
        <w:t xml:space="preserve">Notifying </w:t>
      </w:r>
      <w:r>
        <w:rPr>
          <w:i/>
          <w:iCs/>
        </w:rPr>
        <w:t>EPA</w:t>
      </w:r>
      <w:r w:rsidRPr="00853414">
        <w:rPr>
          <w:i/>
          <w:iCs/>
        </w:rPr>
        <w:t xml:space="preserve"> of a Printing Specification Violation</w:t>
      </w:r>
    </w:p>
    <w:p w:rsidRPr="00853414" w:rsidR="00400C37" w:rsidP="00400C37" w:rsidRDefault="00400C37" w14:paraId="30195945" w14:textId="77777777">
      <w:pPr>
        <w:tabs>
          <w:tab w:val="left" w:pos="-1200"/>
        </w:tabs>
      </w:pPr>
    </w:p>
    <w:p w:rsidRPr="00853414" w:rsidR="00400C37" w:rsidP="00400C37" w:rsidRDefault="00400C37" w14:paraId="578268C2" w14:textId="77777777">
      <w:pPr>
        <w:tabs>
          <w:tab w:val="left" w:pos="-1200"/>
        </w:tabs>
      </w:pPr>
      <w:r w:rsidRPr="00853414">
        <w:t xml:space="preserve">EPA estimates that </w:t>
      </w:r>
      <w:r>
        <w:t>one</w:t>
      </w:r>
      <w:r w:rsidRPr="00853414">
        <w:t xml:space="preserve"> registrant organization will notify </w:t>
      </w:r>
      <w:r>
        <w:t>EPA</w:t>
      </w:r>
      <w:r w:rsidRPr="00853414">
        <w:t xml:space="preserve"> that it has duplicated tracking numbers on forms used or distributed to other parties</w:t>
      </w:r>
      <w:r>
        <w:t xml:space="preserve">. </w:t>
      </w:r>
      <w:r w:rsidRPr="00853414">
        <w:t>Registrants must print their forms according to their approved applications, which will lay out procedures for tightly controlling their tracking numbers and ensuring that each manifest has a unique number</w:t>
      </w:r>
      <w:r>
        <w:t xml:space="preserve">. </w:t>
      </w:r>
    </w:p>
    <w:p w:rsidRPr="00853414" w:rsidR="00400C37" w:rsidP="00400C37" w:rsidRDefault="00400C37" w14:paraId="40F9B943" w14:textId="77777777">
      <w:pPr>
        <w:tabs>
          <w:tab w:val="left" w:pos="-1200"/>
        </w:tabs>
        <w:ind w:left="720" w:firstLine="1440"/>
      </w:pPr>
    </w:p>
    <w:p w:rsidRPr="00853414" w:rsidR="00400C37" w:rsidP="00400C37" w:rsidRDefault="00400C37" w14:paraId="47451090" w14:textId="77777777">
      <w:pPr>
        <w:keepNext/>
        <w:keepLines/>
        <w:tabs>
          <w:tab w:val="left" w:pos="-1200"/>
        </w:tabs>
        <w:ind w:left="1440" w:hanging="720"/>
      </w:pPr>
      <w:r w:rsidRPr="00853414">
        <w:rPr>
          <w:i/>
          <w:iCs/>
        </w:rPr>
        <w:t>(a9)</w:t>
      </w:r>
      <w:r w:rsidRPr="00853414">
        <w:rPr>
          <w:i/>
          <w:iCs/>
        </w:rPr>
        <w:tab/>
        <w:t xml:space="preserve">Revising the Approved Manifest if Requested by </w:t>
      </w:r>
      <w:r>
        <w:rPr>
          <w:i/>
          <w:iCs/>
        </w:rPr>
        <w:t>EPA</w:t>
      </w:r>
    </w:p>
    <w:p w:rsidRPr="00853414" w:rsidR="00400C37" w:rsidP="00400C37" w:rsidRDefault="00400C37" w14:paraId="3F993A41" w14:textId="77777777">
      <w:pPr>
        <w:keepLines/>
        <w:tabs>
          <w:tab w:val="left" w:pos="-1200"/>
        </w:tabs>
      </w:pPr>
    </w:p>
    <w:p w:rsidRPr="00853414" w:rsidR="00400C37" w:rsidP="00400C37" w:rsidRDefault="00400C37" w14:paraId="745CB690" w14:textId="77777777">
      <w:pPr>
        <w:tabs>
          <w:tab w:val="left" w:pos="-1200"/>
        </w:tabs>
      </w:pPr>
      <w:r>
        <w:t>EPA</w:t>
      </w:r>
      <w:r w:rsidRPr="00853414">
        <w:t xml:space="preserve"> estimates that no registrant organization will need to submit revised manifest form samples, per </w:t>
      </w:r>
      <w:r>
        <w:t>EPA</w:t>
      </w:r>
      <w:r w:rsidRPr="00853414">
        <w:t>’s request, during the 3-year period covered by this ICR</w:t>
      </w:r>
      <w:r>
        <w:t>. EPA</w:t>
      </w:r>
      <w:r w:rsidRPr="00853414">
        <w:t xml:space="preserve"> will carefully review each </w:t>
      </w:r>
      <w:r w:rsidRPr="00853414">
        <w:lastRenderedPageBreak/>
        <w:t>registrant’s forms under 40 CFR 262.21(e) to determine if they satisfy the requirements of 40 CFR 262.21(f)</w:t>
      </w:r>
      <w:r>
        <w:t>. EPA</w:t>
      </w:r>
      <w:r w:rsidRPr="00853414">
        <w:t xml:space="preserve"> does not expect to identify problems in forms that have been approved</w:t>
      </w:r>
      <w:r>
        <w:t xml:space="preserve">. </w:t>
      </w:r>
    </w:p>
    <w:p w:rsidR="00400C37" w:rsidP="00400C37" w:rsidRDefault="00400C37" w14:paraId="23D4A22F" w14:textId="77777777">
      <w:pPr>
        <w:tabs>
          <w:tab w:val="left" w:pos="-1200"/>
        </w:tabs>
        <w:ind w:left="1440" w:hanging="720"/>
        <w:rPr>
          <w:i/>
          <w:iCs/>
        </w:rPr>
      </w:pPr>
      <w:r w:rsidRPr="00853414">
        <w:rPr>
          <w:i/>
          <w:iCs/>
        </w:rPr>
        <w:t xml:space="preserve"> </w:t>
      </w:r>
    </w:p>
    <w:p w:rsidRPr="00853414" w:rsidR="00400C37" w:rsidP="00400C37" w:rsidRDefault="00400C37" w14:paraId="2F5E9FE5" w14:textId="77777777">
      <w:pPr>
        <w:tabs>
          <w:tab w:val="left" w:pos="-1200"/>
        </w:tabs>
        <w:ind w:left="1440" w:hanging="720"/>
      </w:pPr>
      <w:r>
        <w:rPr>
          <w:i/>
          <w:iCs/>
        </w:rPr>
        <w:t>(</w:t>
      </w:r>
      <w:r w:rsidRPr="00853414">
        <w:rPr>
          <w:i/>
          <w:iCs/>
        </w:rPr>
        <w:t>a10)</w:t>
      </w:r>
      <w:r w:rsidRPr="00853414">
        <w:rPr>
          <w:i/>
          <w:iCs/>
        </w:rPr>
        <w:tab/>
        <w:t>Responding to Suspension and Revocation Procedures</w:t>
      </w:r>
    </w:p>
    <w:p w:rsidRPr="00853414" w:rsidR="00400C37" w:rsidP="00400C37" w:rsidRDefault="00400C37" w14:paraId="5C28DE38" w14:textId="77777777">
      <w:pPr>
        <w:tabs>
          <w:tab w:val="left" w:pos="-1200"/>
        </w:tabs>
      </w:pPr>
    </w:p>
    <w:p w:rsidR="00400C37" w:rsidP="00400C37" w:rsidRDefault="00400C37" w14:paraId="26E1F5DE" w14:textId="77777777">
      <w:pPr>
        <w:tabs>
          <w:tab w:val="left" w:pos="-1200"/>
        </w:tabs>
      </w:pPr>
      <w:r>
        <w:t>EPA</w:t>
      </w:r>
      <w:r w:rsidRPr="00853414">
        <w:t xml:space="preserve"> does not expect to conduct suspension or revocation procedures during the 3-year period covered by this ICR</w:t>
      </w:r>
      <w:r>
        <w:t xml:space="preserve">. </w:t>
      </w:r>
    </w:p>
    <w:p w:rsidR="00400C37" w:rsidP="00400C37" w:rsidRDefault="00400C37" w14:paraId="45A2123A" w14:textId="77777777">
      <w:pPr>
        <w:tabs>
          <w:tab w:val="left" w:pos="-1200"/>
        </w:tabs>
        <w:ind w:left="1440" w:hanging="720"/>
      </w:pPr>
    </w:p>
    <w:p w:rsidRPr="00853414" w:rsidR="00400C37" w:rsidP="00400C37" w:rsidRDefault="00400C37" w14:paraId="75A206F8" w14:textId="77777777">
      <w:pPr>
        <w:keepNext/>
        <w:tabs>
          <w:tab w:val="left" w:pos="-1200"/>
        </w:tabs>
        <w:ind w:left="1440" w:hanging="720"/>
      </w:pPr>
      <w:r w:rsidRPr="00853414">
        <w:t>(b)</w:t>
      </w:r>
      <w:r w:rsidRPr="00853414">
        <w:tab/>
        <w:t>Generator Requirements</w:t>
      </w:r>
    </w:p>
    <w:p w:rsidRPr="00853414" w:rsidR="00400C37" w:rsidP="00400C37" w:rsidRDefault="00400C37" w14:paraId="63F2585E" w14:textId="77777777">
      <w:pPr>
        <w:keepNext/>
        <w:tabs>
          <w:tab w:val="left" w:pos="-1200"/>
        </w:tabs>
      </w:pPr>
    </w:p>
    <w:p w:rsidRPr="00853414" w:rsidR="00400C37" w:rsidP="00400C37" w:rsidRDefault="00400C37" w14:paraId="63350D26" w14:textId="77777777">
      <w:pPr>
        <w:keepNext/>
        <w:tabs>
          <w:tab w:val="left" w:pos="-1200"/>
        </w:tabs>
        <w:ind w:left="1440" w:hanging="720"/>
      </w:pPr>
      <w:r w:rsidRPr="00853414">
        <w:rPr>
          <w:i/>
          <w:iCs/>
        </w:rPr>
        <w:t>(b1)</w:t>
      </w:r>
      <w:r w:rsidRPr="00853414">
        <w:rPr>
          <w:i/>
          <w:iCs/>
        </w:rPr>
        <w:tab/>
        <w:t>Reading the Regulations</w:t>
      </w:r>
    </w:p>
    <w:p w:rsidRPr="00853414" w:rsidR="00400C37" w:rsidP="00400C37" w:rsidRDefault="00400C37" w14:paraId="05466671" w14:textId="77777777">
      <w:pPr>
        <w:keepNext/>
        <w:tabs>
          <w:tab w:val="left" w:pos="-1200"/>
        </w:tabs>
      </w:pPr>
    </w:p>
    <w:p w:rsidRPr="00853414" w:rsidR="00400C37" w:rsidP="00400C37" w:rsidRDefault="00400C37" w14:paraId="78D4A549" w14:textId="77777777">
      <w:pPr>
        <w:keepNext/>
        <w:tabs>
          <w:tab w:val="left" w:pos="-1200"/>
        </w:tabs>
      </w:pPr>
      <w:r w:rsidRPr="00853414">
        <w:t xml:space="preserve">Exhibit 2 presents the total annual hour and cost burden to hazardous waste generators in reading the manifest regulations at 40 CFR </w:t>
      </w:r>
      <w:r>
        <w:t xml:space="preserve">Part </w:t>
      </w:r>
      <w:r w:rsidRPr="00853414">
        <w:t>262</w:t>
      </w:r>
      <w:r>
        <w:t xml:space="preserve"> and, for e-Manifest users, the e-Manifest User Guide</w:t>
      </w:r>
      <w:r w:rsidRPr="00853414">
        <w:t>.</w:t>
      </w:r>
      <w:r w:rsidRPr="001B5442">
        <w:rPr>
          <w:rStyle w:val="FootnoteReference"/>
          <w:vertAlign w:val="superscript"/>
        </w:rPr>
        <w:footnoteReference w:id="17"/>
      </w:r>
      <w:r w:rsidRPr="001B5442">
        <w:rPr>
          <w:vertAlign w:val="superscript"/>
        </w:rPr>
        <w:t xml:space="preserve"> </w:t>
      </w:r>
    </w:p>
    <w:p w:rsidR="00400C37" w:rsidP="00400C37" w:rsidRDefault="00400C37" w14:paraId="10D5D01E" w14:textId="77777777">
      <w:pPr>
        <w:tabs>
          <w:tab w:val="left" w:pos="-1200"/>
        </w:tabs>
        <w:ind w:left="1440" w:hanging="720"/>
        <w:rPr>
          <w:i/>
          <w:iCs/>
        </w:rPr>
      </w:pPr>
    </w:p>
    <w:p w:rsidRPr="00853414" w:rsidR="00400C37" w:rsidP="00400C37" w:rsidRDefault="00400C37" w14:paraId="759DC644" w14:textId="77777777">
      <w:pPr>
        <w:tabs>
          <w:tab w:val="left" w:pos="-1200"/>
        </w:tabs>
        <w:ind w:left="1440" w:hanging="720"/>
      </w:pPr>
      <w:r w:rsidRPr="00853414">
        <w:rPr>
          <w:i/>
          <w:iCs/>
        </w:rPr>
        <w:t>(b2)</w:t>
      </w:r>
      <w:r w:rsidRPr="00853414">
        <w:rPr>
          <w:i/>
          <w:iCs/>
        </w:rPr>
        <w:tab/>
        <w:t>Manifest Completion</w:t>
      </w:r>
    </w:p>
    <w:p w:rsidRPr="00853414" w:rsidR="00400C37" w:rsidP="00400C37" w:rsidRDefault="00400C37" w14:paraId="40CC27D2" w14:textId="77777777">
      <w:pPr>
        <w:tabs>
          <w:tab w:val="left" w:pos="-1200"/>
        </w:tabs>
      </w:pPr>
    </w:p>
    <w:p w:rsidR="00400C37" w:rsidP="00400C37" w:rsidRDefault="00400C37" w14:paraId="73208CB6" w14:textId="77777777">
      <w:pPr>
        <w:tabs>
          <w:tab w:val="left" w:pos="-1200"/>
        </w:tabs>
      </w:pPr>
      <w:r w:rsidRPr="00853414">
        <w:t xml:space="preserve">Exhibits </w:t>
      </w:r>
      <w:r>
        <w:t>3</w:t>
      </w:r>
      <w:r w:rsidRPr="00853414">
        <w:t xml:space="preserve"> and </w:t>
      </w:r>
      <w:r>
        <w:t>4</w:t>
      </w:r>
      <w:r w:rsidRPr="00853414">
        <w:t xml:space="preserve"> present the total annual hour and cost burden for generators to complete </w:t>
      </w:r>
      <w:r>
        <w:t>their paper and electronic</w:t>
      </w:r>
      <w:r w:rsidRPr="00853414">
        <w:t xml:space="preserve"> manifests.</w:t>
      </w:r>
      <w:r w:rsidRPr="009D76B9">
        <w:rPr>
          <w:rStyle w:val="FootnoteReference"/>
          <w:vertAlign w:val="superscript"/>
        </w:rPr>
        <w:footnoteReference w:id="18"/>
      </w:r>
      <w:r w:rsidRPr="004E62D4">
        <w:rPr>
          <w:vertAlign w:val="superscript"/>
        </w:rPr>
        <w:t>,</w:t>
      </w:r>
      <w:r>
        <w:rPr>
          <w:vertAlign w:val="superscript"/>
        </w:rPr>
        <w:t xml:space="preserve"> </w:t>
      </w:r>
      <w:r w:rsidRPr="004E62D4">
        <w:rPr>
          <w:rStyle w:val="FootnoteReference"/>
          <w:vertAlign w:val="superscript"/>
        </w:rPr>
        <w:footnoteReference w:id="19"/>
      </w:r>
      <w:r w:rsidRPr="00853414">
        <w:t xml:space="preserve"> </w:t>
      </w:r>
      <w:r>
        <w:t>Exhibit 3 estimates burden for generators to prepare the manifests on their own (i.e., without the assistance of the designated TSDF). Exhibit 4 estimates the burden for generators whose manifests are prepared by the designated TSDF on their behalf. These generators normally review and complete the manifest as needed (e.g., sign and date it) when the waste is picked up by the transporter.</w:t>
      </w:r>
    </w:p>
    <w:p w:rsidRPr="00472FCC" w:rsidR="00400C37" w:rsidP="00400C37" w:rsidRDefault="00400C37" w14:paraId="42C311C3" w14:textId="77777777">
      <w:pPr>
        <w:tabs>
          <w:tab w:val="left" w:pos="-1200"/>
        </w:tabs>
      </w:pPr>
    </w:p>
    <w:p w:rsidRPr="00853414" w:rsidR="00400C37" w:rsidP="00400C37" w:rsidRDefault="00400C37" w14:paraId="508D3231" w14:textId="77777777">
      <w:pPr>
        <w:keepNext/>
        <w:tabs>
          <w:tab w:val="left" w:pos="-1200"/>
        </w:tabs>
        <w:ind w:left="1440" w:hanging="720"/>
      </w:pPr>
      <w:r w:rsidRPr="00853414">
        <w:rPr>
          <w:i/>
          <w:iCs/>
        </w:rPr>
        <w:t>(b</w:t>
      </w:r>
      <w:r>
        <w:rPr>
          <w:i/>
          <w:iCs/>
        </w:rPr>
        <w:t>3</w:t>
      </w:r>
      <w:r w:rsidRPr="00853414">
        <w:rPr>
          <w:i/>
          <w:iCs/>
        </w:rPr>
        <w:t>)</w:t>
      </w:r>
      <w:r w:rsidRPr="00853414">
        <w:rPr>
          <w:i/>
          <w:iCs/>
        </w:rPr>
        <w:tab/>
        <w:t>Compliance with State Program Requirements</w:t>
      </w:r>
    </w:p>
    <w:p w:rsidRPr="00853414" w:rsidR="00400C37" w:rsidP="00400C37" w:rsidRDefault="00400C37" w14:paraId="53CB5F29" w14:textId="77777777">
      <w:pPr>
        <w:keepNext/>
        <w:tabs>
          <w:tab w:val="left" w:pos="-1200"/>
        </w:tabs>
      </w:pPr>
    </w:p>
    <w:p w:rsidRPr="00853414" w:rsidR="00400C37" w:rsidP="00400C37" w:rsidRDefault="00400C37" w14:paraId="3C0E8E2C" w14:textId="77777777">
      <w:pPr>
        <w:keepNext/>
        <w:tabs>
          <w:tab w:val="left" w:pos="-1200"/>
        </w:tabs>
      </w:pPr>
      <w:r w:rsidRPr="00853414">
        <w:t xml:space="preserve">40 CFR 262.21(g)(2) provides that generators must determine whether they are required to comply with requirements specific to </w:t>
      </w:r>
      <w:r>
        <w:t>state</w:t>
      </w:r>
      <w:r w:rsidRPr="00853414">
        <w:t xml:space="preserve"> hazardous waste manifest programs</w:t>
      </w:r>
      <w:r>
        <w:t>.</w:t>
      </w:r>
      <w:r w:rsidRPr="00853414">
        <w:t xml:space="preserve"> Becau</w:t>
      </w:r>
      <w:r>
        <w:t xml:space="preserve">se these activities are </w:t>
      </w:r>
      <w:r w:rsidRPr="00853414">
        <w:t xml:space="preserve">required under </w:t>
      </w:r>
      <w:r>
        <w:t>state-specific</w:t>
      </w:r>
      <w:r w:rsidRPr="00853414">
        <w:t xml:space="preserve"> hazardous waste programs, they are not burdened in this ICR</w:t>
      </w:r>
      <w:r>
        <w:t xml:space="preserve"> as reflected in Exhibit 5</w:t>
      </w:r>
      <w:r w:rsidRPr="00853414">
        <w:t>.</w:t>
      </w:r>
    </w:p>
    <w:p w:rsidRPr="00853414" w:rsidR="00400C37" w:rsidP="00400C37" w:rsidRDefault="00400C37" w14:paraId="15710581" w14:textId="77777777">
      <w:pPr>
        <w:tabs>
          <w:tab w:val="left" w:pos="-1200"/>
        </w:tabs>
      </w:pPr>
    </w:p>
    <w:p w:rsidRPr="00853414" w:rsidR="00400C37" w:rsidP="00400C37" w:rsidRDefault="00400C37" w14:paraId="2BECDF56" w14:textId="77777777">
      <w:pPr>
        <w:keepNext/>
        <w:tabs>
          <w:tab w:val="left" w:pos="-1200"/>
        </w:tabs>
        <w:ind w:left="1440" w:hanging="720"/>
      </w:pPr>
      <w:r w:rsidRPr="00853414">
        <w:rPr>
          <w:i/>
          <w:iCs/>
        </w:rPr>
        <w:lastRenderedPageBreak/>
        <w:t>(b</w:t>
      </w:r>
      <w:r>
        <w:rPr>
          <w:i/>
          <w:iCs/>
        </w:rPr>
        <w:t>4</w:t>
      </w:r>
      <w:r w:rsidRPr="00853414">
        <w:rPr>
          <w:i/>
          <w:iCs/>
        </w:rPr>
        <w:t>)</w:t>
      </w:r>
      <w:r w:rsidRPr="00853414">
        <w:rPr>
          <w:i/>
          <w:iCs/>
        </w:rPr>
        <w:tab/>
        <w:t>Manifest Transmittal and Recordkeeping</w:t>
      </w:r>
    </w:p>
    <w:p w:rsidRPr="00853414" w:rsidR="00400C37" w:rsidP="00400C37" w:rsidRDefault="00400C37" w14:paraId="3940A5EF" w14:textId="77777777">
      <w:pPr>
        <w:keepNext/>
        <w:tabs>
          <w:tab w:val="left" w:pos="-1200"/>
        </w:tabs>
      </w:pPr>
    </w:p>
    <w:p w:rsidR="00400C37" w:rsidP="00400C37" w:rsidRDefault="00400C37" w14:paraId="002A8471" w14:textId="77777777">
      <w:pPr>
        <w:keepNext/>
        <w:tabs>
          <w:tab w:val="left" w:pos="-1200"/>
        </w:tabs>
      </w:pPr>
      <w:r>
        <w:t>As reflected in Exhibit 6</w:t>
      </w:r>
      <w:r w:rsidRPr="00853414">
        <w:t xml:space="preserve">, </w:t>
      </w:r>
      <w:r>
        <w:t>EPA</w:t>
      </w:r>
      <w:r w:rsidRPr="00853414">
        <w:t xml:space="preserve"> estimates </w:t>
      </w:r>
      <w:r>
        <w:t>the burden for generators to transmit and keep records of manifests sent with highway shipments (91% of all shipments), bulk shipments within the United States solely by water (3%)</w:t>
      </w:r>
      <w:r w:rsidRPr="00853414">
        <w:t xml:space="preserve"> and</w:t>
      </w:r>
      <w:r>
        <w:t xml:space="preserve"> rail shipments within the United States which originate at the site of generation (</w:t>
      </w:r>
      <w:r w:rsidRPr="00853414">
        <w:t>6%</w:t>
      </w:r>
      <w:r>
        <w:t xml:space="preserve">). </w:t>
      </w:r>
    </w:p>
    <w:p w:rsidR="00400C37" w:rsidP="00400C37" w:rsidRDefault="00400C37" w14:paraId="7A278284" w14:textId="77777777">
      <w:pPr>
        <w:tabs>
          <w:tab w:val="left" w:pos="-1200"/>
        </w:tabs>
        <w:ind w:left="1440" w:hanging="720"/>
        <w:rPr>
          <w:i/>
          <w:iCs/>
        </w:rPr>
      </w:pPr>
    </w:p>
    <w:p w:rsidRPr="00853414" w:rsidR="00400C37" w:rsidP="00400C37" w:rsidRDefault="00400C37" w14:paraId="58C70D3F" w14:textId="77777777">
      <w:pPr>
        <w:keepNext/>
        <w:tabs>
          <w:tab w:val="left" w:pos="-1200"/>
        </w:tabs>
        <w:ind w:left="1440" w:hanging="720"/>
      </w:pPr>
      <w:r w:rsidRPr="00853414">
        <w:rPr>
          <w:i/>
          <w:iCs/>
        </w:rPr>
        <w:t>(b</w:t>
      </w:r>
      <w:r>
        <w:rPr>
          <w:i/>
          <w:iCs/>
        </w:rPr>
        <w:t>5</w:t>
      </w:r>
      <w:r w:rsidRPr="00853414">
        <w:rPr>
          <w:i/>
          <w:iCs/>
        </w:rPr>
        <w:t>)</w:t>
      </w:r>
      <w:r w:rsidRPr="00853414">
        <w:rPr>
          <w:i/>
          <w:iCs/>
        </w:rPr>
        <w:tab/>
        <w:t>Undeliverable Shipments</w:t>
      </w:r>
    </w:p>
    <w:p w:rsidR="00400C37" w:rsidP="00400C37" w:rsidRDefault="00400C37" w14:paraId="67540586" w14:textId="77777777">
      <w:pPr>
        <w:keepNext/>
        <w:tabs>
          <w:tab w:val="left" w:pos="-1200"/>
        </w:tabs>
      </w:pPr>
    </w:p>
    <w:p w:rsidRPr="002F7130" w:rsidR="00400C37" w:rsidP="00400C37" w:rsidRDefault="00400C37" w14:paraId="1D64C524" w14:textId="77777777">
      <w:pPr>
        <w:keepNext/>
        <w:tabs>
          <w:tab w:val="left" w:pos="-1200"/>
        </w:tabs>
      </w:pPr>
      <w:r w:rsidRPr="002F7130">
        <w:t>As shown in Exhibit 7, EPA estimates generators’ burden for shipments (paper and electronic manifests) that cannot be delivered to the designated facility listed on the manifest, alternate designated facility if appropriate, or the place outside the United States designated by the generator (for an emergency other than rejected loads). Genera</w:t>
      </w:r>
      <w:r>
        <w:t>tors must perform the procedures</w:t>
      </w:r>
      <w:r w:rsidRPr="002F7130">
        <w:t xml:space="preserve"> </w:t>
      </w:r>
      <w:r>
        <w:t>in</w:t>
      </w:r>
      <w:r w:rsidRPr="002F7130">
        <w:t xml:space="preserve"> section 262.20(d). </w:t>
      </w:r>
      <w:r>
        <w:t>The exhibit also estimates importers’</w:t>
      </w:r>
      <w:r w:rsidRPr="002F7130">
        <w:t xml:space="preserve"> burden for </w:t>
      </w:r>
      <w:r>
        <w:t xml:space="preserve">addressing </w:t>
      </w:r>
      <w:r w:rsidRPr="002F7130">
        <w:t>import shipments that cannot be delivered for any reason to the receiving facility, as required by section 262.84</w:t>
      </w:r>
      <w:r>
        <w:t>(c)</w:t>
      </w:r>
      <w:r w:rsidRPr="002F7130">
        <w:t>(5).</w:t>
      </w:r>
    </w:p>
    <w:p w:rsidR="00400C37" w:rsidP="00400C37" w:rsidRDefault="00400C37" w14:paraId="3DEBB94A" w14:textId="77777777">
      <w:pPr>
        <w:tabs>
          <w:tab w:val="left" w:pos="-1200"/>
        </w:tabs>
      </w:pPr>
    </w:p>
    <w:p w:rsidRPr="00853414" w:rsidR="00400C37" w:rsidP="00400C37" w:rsidRDefault="00400C37" w14:paraId="1730231A" w14:textId="77777777">
      <w:pPr>
        <w:keepNext/>
        <w:tabs>
          <w:tab w:val="left" w:pos="-1200"/>
        </w:tabs>
        <w:ind w:left="1440" w:hanging="720"/>
      </w:pPr>
      <w:r w:rsidRPr="00853414">
        <w:rPr>
          <w:i/>
          <w:iCs/>
        </w:rPr>
        <w:t>(b</w:t>
      </w:r>
      <w:r>
        <w:rPr>
          <w:i/>
          <w:iCs/>
        </w:rPr>
        <w:t>6</w:t>
      </w:r>
      <w:r w:rsidRPr="00853414">
        <w:rPr>
          <w:i/>
          <w:iCs/>
        </w:rPr>
        <w:t>)</w:t>
      </w:r>
      <w:r w:rsidRPr="00853414">
        <w:rPr>
          <w:i/>
          <w:iCs/>
        </w:rPr>
        <w:tab/>
        <w:t>Rejected Waste and Container Residues</w:t>
      </w:r>
    </w:p>
    <w:p w:rsidRPr="00853414" w:rsidR="00400C37" w:rsidP="00400C37" w:rsidRDefault="00400C37" w14:paraId="2CBF6068" w14:textId="77777777">
      <w:pPr>
        <w:keepNext/>
        <w:tabs>
          <w:tab w:val="left" w:pos="-1200"/>
        </w:tabs>
      </w:pPr>
    </w:p>
    <w:p w:rsidR="00400C37" w:rsidP="00400C37" w:rsidRDefault="00400C37" w14:paraId="44E245F4" w14:textId="77777777">
      <w:pPr>
        <w:keepNext/>
        <w:tabs>
          <w:tab w:val="left" w:pos="-1200"/>
        </w:tabs>
      </w:pPr>
      <w:r>
        <w:t>As shown in Exhibit 8</w:t>
      </w:r>
      <w:r w:rsidRPr="00853414">
        <w:t xml:space="preserve">, </w:t>
      </w:r>
      <w:r>
        <w:t>EPA</w:t>
      </w:r>
      <w:r w:rsidRPr="00853414">
        <w:t xml:space="preserve"> estimates that, each year, </w:t>
      </w:r>
      <w:r>
        <w:t xml:space="preserve">0.5% of shipments received by designated facilities will be rejected and, of these, 1% will be returned to the generator (with the other 99% being sent to an alternate designated facility). </w:t>
      </w:r>
    </w:p>
    <w:p w:rsidRPr="00853414" w:rsidR="00400C37" w:rsidP="00400C37" w:rsidRDefault="00400C37" w14:paraId="37A2891E" w14:textId="77777777">
      <w:pPr>
        <w:tabs>
          <w:tab w:val="left" w:pos="-1200"/>
        </w:tabs>
      </w:pPr>
    </w:p>
    <w:p w:rsidRPr="00853414" w:rsidR="00400C37" w:rsidP="00400C37" w:rsidRDefault="00400C37" w14:paraId="717317D1" w14:textId="77777777">
      <w:pPr>
        <w:tabs>
          <w:tab w:val="left" w:pos="-1200"/>
        </w:tabs>
        <w:ind w:left="1440" w:hanging="720"/>
      </w:pPr>
      <w:r w:rsidRPr="00853414">
        <w:rPr>
          <w:i/>
          <w:iCs/>
        </w:rPr>
        <w:t>(b</w:t>
      </w:r>
      <w:r>
        <w:rPr>
          <w:i/>
          <w:iCs/>
        </w:rPr>
        <w:t>7</w:t>
      </w:r>
      <w:r w:rsidRPr="00853414">
        <w:rPr>
          <w:i/>
          <w:iCs/>
        </w:rPr>
        <w:t>)</w:t>
      </w:r>
      <w:r w:rsidRPr="00853414">
        <w:rPr>
          <w:i/>
          <w:iCs/>
        </w:rPr>
        <w:tab/>
        <w:t>Exception Reports:  Completion, Submission, and Recordkeeping</w:t>
      </w:r>
    </w:p>
    <w:p w:rsidRPr="00853414" w:rsidR="00400C37" w:rsidP="00400C37" w:rsidRDefault="00400C37" w14:paraId="6765978C" w14:textId="77777777">
      <w:pPr>
        <w:tabs>
          <w:tab w:val="left" w:pos="-1200"/>
        </w:tabs>
      </w:pPr>
    </w:p>
    <w:p w:rsidR="00400C37" w:rsidP="00400C37" w:rsidRDefault="00400C37" w14:paraId="3F73C1FB" w14:textId="77777777">
      <w:pPr>
        <w:tabs>
          <w:tab w:val="left" w:pos="-1200"/>
        </w:tabs>
      </w:pPr>
      <w:r w:rsidRPr="00853414">
        <w:t>EPA estimates that, on average, LQGs</w:t>
      </w:r>
      <w:r>
        <w:t xml:space="preserve"> </w:t>
      </w:r>
      <w:r w:rsidRPr="00853414">
        <w:t xml:space="preserve">and SQGs will need to develop an exception report under 40 CFR 262.42 for approximately </w:t>
      </w:r>
      <w:r>
        <w:t>1</w:t>
      </w:r>
      <w:r w:rsidRPr="00853414">
        <w:t xml:space="preserve">% of the manifests </w:t>
      </w:r>
      <w:r>
        <w:t xml:space="preserve">offered into transportation. </w:t>
      </w:r>
      <w:r w:rsidRPr="00853414">
        <w:t>This assumption is r</w:t>
      </w:r>
      <w:r>
        <w:t>eflected in Exhibit 9</w:t>
      </w:r>
      <w:r w:rsidRPr="00853414">
        <w:t>.</w:t>
      </w:r>
    </w:p>
    <w:p w:rsidR="00400C37" w:rsidP="00400C37" w:rsidRDefault="00400C37" w14:paraId="56E59825" w14:textId="77777777">
      <w:pPr>
        <w:tabs>
          <w:tab w:val="left" w:pos="-1200"/>
        </w:tabs>
      </w:pPr>
    </w:p>
    <w:p w:rsidRPr="00853414" w:rsidR="00400C37" w:rsidP="00400C37" w:rsidRDefault="00400C37" w14:paraId="410A94BD" w14:textId="77777777">
      <w:pPr>
        <w:keepNext/>
        <w:tabs>
          <w:tab w:val="left" w:pos="-1200"/>
        </w:tabs>
        <w:ind w:left="1440" w:hanging="720"/>
      </w:pPr>
      <w:r w:rsidRPr="00853414">
        <w:t>(c)</w:t>
      </w:r>
      <w:r w:rsidRPr="00853414">
        <w:tab/>
        <w:t>Transporter Requirements</w:t>
      </w:r>
    </w:p>
    <w:p w:rsidRPr="00853414" w:rsidR="00400C37" w:rsidP="00400C37" w:rsidRDefault="00400C37" w14:paraId="4DF8F392" w14:textId="77777777">
      <w:pPr>
        <w:keepNext/>
        <w:tabs>
          <w:tab w:val="left" w:pos="-1200"/>
        </w:tabs>
      </w:pPr>
    </w:p>
    <w:p w:rsidRPr="00853414" w:rsidR="00400C37" w:rsidP="00400C37" w:rsidRDefault="00400C37" w14:paraId="62A50ADE" w14:textId="77777777">
      <w:pPr>
        <w:keepNext/>
        <w:tabs>
          <w:tab w:val="left" w:pos="-1200"/>
        </w:tabs>
      </w:pPr>
      <w:r>
        <w:rPr>
          <w:i/>
          <w:iCs/>
        </w:rPr>
        <w:tab/>
      </w:r>
      <w:r w:rsidRPr="00853414">
        <w:rPr>
          <w:i/>
          <w:iCs/>
        </w:rPr>
        <w:t>(c1)</w:t>
      </w:r>
      <w:r w:rsidRPr="00853414">
        <w:rPr>
          <w:i/>
          <w:iCs/>
        </w:rPr>
        <w:tab/>
        <w:t>Reading the Regulations</w:t>
      </w:r>
    </w:p>
    <w:p w:rsidR="00400C37" w:rsidP="00400C37" w:rsidRDefault="00400C37" w14:paraId="709ED6E3" w14:textId="77777777">
      <w:pPr>
        <w:keepNext/>
        <w:tabs>
          <w:tab w:val="left" w:pos="-1200"/>
        </w:tabs>
      </w:pPr>
    </w:p>
    <w:p w:rsidR="00400C37" w:rsidP="00400C37" w:rsidRDefault="00400C37" w14:paraId="18A6C66B" w14:textId="77777777">
      <w:pPr>
        <w:tabs>
          <w:tab w:val="left" w:pos="-1200"/>
        </w:tabs>
      </w:pPr>
      <w:r w:rsidRPr="00853414">
        <w:t xml:space="preserve">Exhibit </w:t>
      </w:r>
      <w:r>
        <w:t>10</w:t>
      </w:r>
      <w:r w:rsidRPr="00853414">
        <w:t xml:space="preserve"> presents the total annual hour and cost burd</w:t>
      </w:r>
      <w:r>
        <w:t>en to hazardous waste transporters</w:t>
      </w:r>
      <w:r w:rsidRPr="00853414">
        <w:t xml:space="preserve"> in reading the manifest regulations at 40 CFR </w:t>
      </w:r>
      <w:r>
        <w:t xml:space="preserve">Part </w:t>
      </w:r>
      <w:r w:rsidRPr="00853414">
        <w:t>26</w:t>
      </w:r>
      <w:r>
        <w:t>3 and, for e-Manifest users, the e-Manifest User Guide</w:t>
      </w:r>
      <w:r w:rsidRPr="00853414">
        <w:t>.</w:t>
      </w:r>
      <w:r w:rsidRPr="001B5442">
        <w:rPr>
          <w:rStyle w:val="FootnoteReference"/>
          <w:vertAlign w:val="superscript"/>
        </w:rPr>
        <w:footnoteReference w:id="20"/>
      </w:r>
    </w:p>
    <w:p w:rsidR="00400C37" w:rsidP="00400C37" w:rsidRDefault="00400C37" w14:paraId="5116A567" w14:textId="77777777">
      <w:pPr>
        <w:tabs>
          <w:tab w:val="left" w:pos="-1200"/>
        </w:tabs>
      </w:pPr>
    </w:p>
    <w:p w:rsidRPr="00853414" w:rsidR="00400C37" w:rsidP="00400C37" w:rsidRDefault="00400C37" w14:paraId="6CD43289" w14:textId="77777777">
      <w:pPr>
        <w:keepNext/>
        <w:keepLines/>
        <w:tabs>
          <w:tab w:val="left" w:pos="-1200"/>
        </w:tabs>
        <w:ind w:left="1440" w:hanging="720"/>
      </w:pPr>
      <w:r w:rsidRPr="00853414">
        <w:rPr>
          <w:i/>
          <w:iCs/>
        </w:rPr>
        <w:t>(</w:t>
      </w:r>
      <w:r>
        <w:rPr>
          <w:i/>
          <w:iCs/>
        </w:rPr>
        <w:t>c</w:t>
      </w:r>
      <w:r w:rsidRPr="00853414">
        <w:rPr>
          <w:i/>
          <w:iCs/>
        </w:rPr>
        <w:t>2)</w:t>
      </w:r>
      <w:r w:rsidRPr="00853414">
        <w:rPr>
          <w:i/>
          <w:iCs/>
        </w:rPr>
        <w:tab/>
        <w:t>Manifest Completion, Transmittal, and Recordkeeping</w:t>
      </w:r>
    </w:p>
    <w:p w:rsidRPr="00853414" w:rsidR="00400C37" w:rsidP="00400C37" w:rsidRDefault="00400C37" w14:paraId="23A3B4F9" w14:textId="77777777">
      <w:pPr>
        <w:tabs>
          <w:tab w:val="left" w:pos="-1200"/>
        </w:tabs>
        <w:ind w:left="720"/>
      </w:pPr>
    </w:p>
    <w:p w:rsidR="00400C37" w:rsidP="00400C37" w:rsidRDefault="00400C37" w14:paraId="5A626A08" w14:textId="77777777">
      <w:pPr>
        <w:tabs>
          <w:tab w:val="left" w:pos="-1200"/>
        </w:tabs>
      </w:pPr>
      <w:r w:rsidRPr="00853414">
        <w:lastRenderedPageBreak/>
        <w:t>Exhibit 1</w:t>
      </w:r>
      <w:r>
        <w:t>1</w:t>
      </w:r>
      <w:r w:rsidRPr="00853414">
        <w:t xml:space="preserve"> examines the manifesting burden for transporters transporting domestic and international shipments of hazardous waste.</w:t>
      </w:r>
      <w:r w:rsidRPr="00C40526">
        <w:rPr>
          <w:rStyle w:val="FootnoteReference"/>
          <w:vertAlign w:val="superscript"/>
        </w:rPr>
        <w:footnoteReference w:id="21"/>
      </w:r>
      <w:r w:rsidRPr="00C71327">
        <w:rPr>
          <w:vertAlign w:val="superscript"/>
        </w:rPr>
        <w:t xml:space="preserve"> </w:t>
      </w:r>
      <w:r w:rsidRPr="004E62D4">
        <w:rPr>
          <w:vertAlign w:val="superscript"/>
        </w:rPr>
        <w:t>,</w:t>
      </w:r>
      <w:r>
        <w:rPr>
          <w:vertAlign w:val="superscript"/>
        </w:rPr>
        <w:t xml:space="preserve"> </w:t>
      </w:r>
      <w:r w:rsidRPr="004E62D4">
        <w:rPr>
          <w:rStyle w:val="FootnoteReference"/>
          <w:vertAlign w:val="superscript"/>
        </w:rPr>
        <w:footnoteReference w:id="22"/>
      </w:r>
      <w:r w:rsidRPr="00853414">
        <w:t xml:space="preserve">  </w:t>
      </w:r>
      <w:r>
        <w:t>EPA</w:t>
      </w:r>
      <w:r w:rsidRPr="00853414">
        <w:t xml:space="preserve"> estimates that, of the manifests </w:t>
      </w:r>
      <w:r>
        <w:t>offered into transportation</w:t>
      </w:r>
      <w:r w:rsidRPr="00853414">
        <w:t xml:space="preserve"> each year, approximately 91% will accompany highway shipments, 3% will accompany water shipments, and 6% will accompany rail shipments</w:t>
      </w:r>
      <w:r>
        <w:t xml:space="preserve">. </w:t>
      </w:r>
    </w:p>
    <w:p w:rsidR="00400C37" w:rsidP="00400C37" w:rsidRDefault="00400C37" w14:paraId="0C8A89E1" w14:textId="77777777">
      <w:pPr>
        <w:keepLines/>
        <w:tabs>
          <w:tab w:val="left" w:pos="-1200"/>
        </w:tabs>
      </w:pPr>
    </w:p>
    <w:p w:rsidR="00400C37" w:rsidP="00400C37" w:rsidRDefault="00400C37" w14:paraId="39D82F77" w14:textId="77777777">
      <w:pPr>
        <w:keepLines/>
        <w:tabs>
          <w:tab w:val="left" w:pos="-1200"/>
        </w:tabs>
      </w:pPr>
      <w:r w:rsidRPr="008C1099">
        <w:t>Exhibit 1</w:t>
      </w:r>
      <w:r>
        <w:t>1</w:t>
      </w:r>
      <w:r w:rsidRPr="008C1099">
        <w:t xml:space="preserve"> also </w:t>
      </w:r>
      <w:r>
        <w:t>addresses undeliverable shipments. This ICR estimates that 1% of all manifests offered into transportation (paper and electronic) cannot be delivered to the designated facility listed on the manifest, alternate designated facility if appropriate, or the place outside the United States designated by the generator (for an emergency other than rejected loads). As reflected in Exhibit 11, the transporter must contact the generator for further instructions pursuant to section 263.21(b)(1). Finally, Exhibit 11</w:t>
      </w:r>
      <w:r w:rsidRPr="00853414">
        <w:t xml:space="preserve"> </w:t>
      </w:r>
      <w:r>
        <w:t xml:space="preserve">addresses rejected loads and container residues. </w:t>
      </w:r>
    </w:p>
    <w:p w:rsidR="00400C37" w:rsidP="00400C37" w:rsidRDefault="00400C37" w14:paraId="35A1C0F2" w14:textId="77777777">
      <w:pPr>
        <w:tabs>
          <w:tab w:val="left" w:pos="-1200"/>
        </w:tabs>
        <w:ind w:left="720"/>
      </w:pPr>
    </w:p>
    <w:p w:rsidRPr="00853414" w:rsidR="00400C37" w:rsidP="00400C37" w:rsidRDefault="00400C37" w14:paraId="1973E027" w14:textId="77777777">
      <w:pPr>
        <w:keepNext/>
        <w:tabs>
          <w:tab w:val="left" w:pos="-1200"/>
        </w:tabs>
        <w:ind w:left="720"/>
      </w:pPr>
      <w:r>
        <w:rPr>
          <w:i/>
          <w:iCs/>
        </w:rPr>
        <w:t>(c3</w:t>
      </w:r>
      <w:r w:rsidRPr="00853414">
        <w:rPr>
          <w:i/>
          <w:iCs/>
        </w:rPr>
        <w:t>)</w:t>
      </w:r>
      <w:r w:rsidRPr="00853414">
        <w:rPr>
          <w:i/>
          <w:iCs/>
        </w:rPr>
        <w:tab/>
      </w:r>
      <w:r>
        <w:rPr>
          <w:i/>
          <w:iCs/>
        </w:rPr>
        <w:t>Replacement Manifests</w:t>
      </w:r>
    </w:p>
    <w:p w:rsidR="00400C37" w:rsidP="00400C37" w:rsidRDefault="00400C37" w14:paraId="0D6B02A6" w14:textId="77777777">
      <w:pPr>
        <w:keepNext/>
        <w:tabs>
          <w:tab w:val="left" w:pos="-1200"/>
        </w:tabs>
        <w:ind w:left="720"/>
      </w:pPr>
    </w:p>
    <w:p w:rsidR="00400C37" w:rsidP="00400C37" w:rsidRDefault="00400C37" w14:paraId="5D5162E9" w14:textId="77777777">
      <w:pPr>
        <w:keepNext/>
        <w:tabs>
          <w:tab w:val="left" w:pos="-1200"/>
        </w:tabs>
      </w:pPr>
      <w:r>
        <w:t>Exhibit 12 estimates that 1% of electronic manifests carried by highway transporters will require replacement manifests. EPA assumes that all electronic manifests will be replaced by reproducing 3 paper copies.</w:t>
      </w:r>
    </w:p>
    <w:p w:rsidR="00400C37" w:rsidP="00400C37" w:rsidRDefault="00400C37" w14:paraId="164C5EDC" w14:textId="77777777">
      <w:pPr>
        <w:tabs>
          <w:tab w:val="left" w:pos="-1200"/>
        </w:tabs>
        <w:ind w:left="720"/>
      </w:pPr>
    </w:p>
    <w:p w:rsidRPr="00853414" w:rsidR="00400C37" w:rsidP="00400C37" w:rsidRDefault="00400C37" w14:paraId="0ADFEC13" w14:textId="77777777">
      <w:pPr>
        <w:tabs>
          <w:tab w:val="left" w:pos="-1200"/>
        </w:tabs>
        <w:ind w:left="720"/>
      </w:pPr>
      <w:r>
        <w:rPr>
          <w:i/>
          <w:iCs/>
        </w:rPr>
        <w:t>(c4</w:t>
      </w:r>
      <w:r w:rsidRPr="00853414">
        <w:rPr>
          <w:i/>
          <w:iCs/>
        </w:rPr>
        <w:t>)</w:t>
      </w:r>
      <w:r w:rsidRPr="00853414">
        <w:rPr>
          <w:i/>
          <w:iCs/>
        </w:rPr>
        <w:tab/>
      </w:r>
      <w:r>
        <w:rPr>
          <w:i/>
          <w:iCs/>
        </w:rPr>
        <w:t>Post-Receipt Manifest Data Corrections</w:t>
      </w:r>
    </w:p>
    <w:p w:rsidR="00400C37" w:rsidP="00400C37" w:rsidRDefault="00400C37" w14:paraId="4B7059B0" w14:textId="77777777">
      <w:pPr>
        <w:tabs>
          <w:tab w:val="left" w:pos="-1200"/>
        </w:tabs>
        <w:ind w:left="720"/>
      </w:pPr>
    </w:p>
    <w:p w:rsidR="00400C37" w:rsidP="00400C37" w:rsidRDefault="00400C37" w14:paraId="302D850A" w14:textId="77777777">
      <w:pPr>
        <w:tabs>
          <w:tab w:val="left" w:pos="-1200"/>
        </w:tabs>
      </w:pPr>
      <w:r>
        <w:t>EPA expects each transporter company to register its employees with the e-Manifest system and have system access to make corrections.</w:t>
      </w:r>
      <w:r w:rsidRPr="00F66F68">
        <w:rPr>
          <w:rStyle w:val="FootnoteReference"/>
          <w:vertAlign w:val="superscript"/>
        </w:rPr>
        <w:footnoteReference w:id="23"/>
      </w:r>
      <w:r>
        <w:t xml:space="preserve">  Exhibit 13 reflects EPA’s estimate that transporters will submit corrections or respond with comments for 0.1% of all manifests (paper and electronic) accompanying federal and state waste annually.</w:t>
      </w:r>
      <w:r w:rsidRPr="00F66F68">
        <w:t xml:space="preserve"> </w:t>
      </w:r>
    </w:p>
    <w:p w:rsidR="00400C37" w:rsidP="00400C37" w:rsidRDefault="00400C37" w14:paraId="5D558AC7" w14:textId="77777777">
      <w:pPr>
        <w:keepNext/>
        <w:tabs>
          <w:tab w:val="left" w:pos="-1200"/>
        </w:tabs>
        <w:ind w:left="720"/>
      </w:pPr>
    </w:p>
    <w:p w:rsidR="00400C37" w:rsidP="00400C37" w:rsidRDefault="00400C37" w14:paraId="35B9CC56" w14:textId="77777777">
      <w:pPr>
        <w:keepNext/>
        <w:tabs>
          <w:tab w:val="left" w:pos="-1200"/>
        </w:tabs>
        <w:ind w:left="720"/>
      </w:pPr>
      <w:r>
        <w:rPr>
          <w:i/>
          <w:iCs/>
        </w:rPr>
        <w:t>(c5</w:t>
      </w:r>
      <w:r w:rsidRPr="00853414">
        <w:rPr>
          <w:i/>
          <w:iCs/>
        </w:rPr>
        <w:t>)</w:t>
      </w:r>
      <w:r w:rsidRPr="00853414">
        <w:rPr>
          <w:i/>
          <w:iCs/>
        </w:rPr>
        <w:tab/>
        <w:t>Notification of Discharge of Hazardous Waste</w:t>
      </w:r>
    </w:p>
    <w:p w:rsidR="00400C37" w:rsidP="00400C37" w:rsidRDefault="00400C37" w14:paraId="33E0C321" w14:textId="77777777">
      <w:pPr>
        <w:keepNext/>
        <w:tabs>
          <w:tab w:val="left" w:pos="-1200"/>
        </w:tabs>
        <w:ind w:left="720"/>
      </w:pPr>
    </w:p>
    <w:p w:rsidR="00400C37" w:rsidP="00400C37" w:rsidRDefault="00400C37" w14:paraId="50AA9231" w14:textId="77777777">
      <w:pPr>
        <w:keepNext/>
        <w:tabs>
          <w:tab w:val="left" w:pos="-1200"/>
        </w:tabs>
      </w:pPr>
      <w:r w:rsidRPr="007E6304">
        <w:t xml:space="preserve">Based on the </w:t>
      </w:r>
      <w:r w:rsidRPr="007E6304">
        <w:rPr>
          <w:i/>
          <w:iCs/>
        </w:rPr>
        <w:t>Statistical Abstract of the United States</w:t>
      </w:r>
      <w:r w:rsidRPr="007E6304">
        <w:t>, EPA estimates that approximately 15,000 accidents per year involve transporters of hazardous substances</w:t>
      </w:r>
      <w:r>
        <w:t xml:space="preserve">. </w:t>
      </w:r>
      <w:r w:rsidRPr="007E6304">
        <w:t>EPA has used its best judgment to estimate that 5% of these accidents involve transporters of hazardous waste annually (i.e., hazardous waste is a subset of hazardous substances)</w:t>
      </w:r>
      <w:r>
        <w:t xml:space="preserve">. </w:t>
      </w:r>
      <w:r w:rsidRPr="007E6304">
        <w:t xml:space="preserve">These transporters will be required to </w:t>
      </w:r>
      <w:r w:rsidRPr="007E6304">
        <w:lastRenderedPageBreak/>
        <w:t>notify local authorities of the discharge as required under 40 CFR 263.30</w:t>
      </w:r>
      <w:r>
        <w:t>. This is reflected in Exhibit 14.</w:t>
      </w:r>
    </w:p>
    <w:p w:rsidRPr="007E6304" w:rsidR="00400C37" w:rsidP="00400C37" w:rsidRDefault="00400C37" w14:paraId="3AB74D66" w14:textId="77777777">
      <w:pPr>
        <w:tabs>
          <w:tab w:val="left" w:pos="-1200"/>
        </w:tabs>
      </w:pPr>
    </w:p>
    <w:p w:rsidR="00400C37" w:rsidP="00400C37" w:rsidRDefault="00400C37" w14:paraId="2521159A" w14:textId="77777777">
      <w:pPr>
        <w:tabs>
          <w:tab w:val="left" w:pos="-1200"/>
        </w:tabs>
      </w:pPr>
      <w:r w:rsidRPr="007E6304">
        <w:t>In addition, based on data from the National Response Center (NRC), EPA estimates that the NRC receives approximately 4,500 notifications of marine source incidents for discharges of oil or hazardous substances annually</w:t>
      </w:r>
      <w:r>
        <w:t xml:space="preserve">. </w:t>
      </w:r>
      <w:r w:rsidRPr="007E6304">
        <w:t>NRC data also indicate that about 66% of these incidents involved oil discharges and 33% involved hazardous substances discharges</w:t>
      </w:r>
      <w:r>
        <w:t xml:space="preserve">. </w:t>
      </w:r>
      <w:r w:rsidRPr="007E6304">
        <w:t xml:space="preserve">Of the discharges of hazardous substances, EPA estimates that 5% involve </w:t>
      </w:r>
      <w:r>
        <w:t xml:space="preserve">water </w:t>
      </w:r>
      <w:r w:rsidRPr="007E6304">
        <w:t>transporters transporting hazardous waste</w:t>
      </w:r>
      <w:r>
        <w:t xml:space="preserve">. </w:t>
      </w:r>
      <w:r w:rsidRPr="007E6304">
        <w:t>These transporters must notify NRC or EPA under 33 CFR Part 153</w:t>
      </w:r>
      <w:r>
        <w:t xml:space="preserve">. </w:t>
      </w:r>
      <w:r w:rsidRPr="007E6304">
        <w:t>The purpose of 33 CFR Part 153 is to prescribe regulations concerning notification to the US Coast Guard of the discharge of oil or hazardous substances as required by the Federal Water Pollution Control Act, as amended; the procedures for the removal of a discharge of oil; and the costs that may be imposed or reimbursed for the removal of a discharge of oil or hazardous substances.</w:t>
      </w:r>
    </w:p>
    <w:p w:rsidR="00400C37" w:rsidP="00400C37" w:rsidRDefault="00400C37" w14:paraId="01467CBB" w14:textId="77777777">
      <w:pPr>
        <w:tabs>
          <w:tab w:val="left" w:pos="-1200"/>
        </w:tabs>
      </w:pPr>
    </w:p>
    <w:p w:rsidRPr="00853414" w:rsidR="00400C37" w:rsidP="00400C37" w:rsidRDefault="00400C37" w14:paraId="082BC5DD" w14:textId="77777777">
      <w:pPr>
        <w:keepNext/>
        <w:tabs>
          <w:tab w:val="left" w:pos="-1200"/>
        </w:tabs>
        <w:ind w:left="720"/>
      </w:pPr>
      <w:r w:rsidRPr="00853414">
        <w:t>(d)</w:t>
      </w:r>
      <w:r w:rsidRPr="00853414">
        <w:tab/>
        <w:t>Designated Treatment, Storage, and Disposal Facility Requirements</w:t>
      </w:r>
      <w:r w:rsidRPr="0004782D">
        <w:rPr>
          <w:rStyle w:val="FootnoteReference"/>
          <w:vertAlign w:val="superscript"/>
        </w:rPr>
        <w:footnoteReference w:id="24"/>
      </w:r>
    </w:p>
    <w:p w:rsidRPr="00853414" w:rsidR="00400C37" w:rsidP="00400C37" w:rsidRDefault="00400C37" w14:paraId="12525E0B" w14:textId="77777777">
      <w:pPr>
        <w:keepNext/>
        <w:tabs>
          <w:tab w:val="left" w:pos="-1200"/>
        </w:tabs>
        <w:ind w:left="720"/>
      </w:pPr>
    </w:p>
    <w:p w:rsidRPr="00853414" w:rsidR="00400C37" w:rsidP="00400C37" w:rsidRDefault="00400C37" w14:paraId="7CEE9828" w14:textId="77777777">
      <w:pPr>
        <w:keepNext/>
        <w:tabs>
          <w:tab w:val="left" w:pos="-1200"/>
        </w:tabs>
        <w:ind w:left="720"/>
      </w:pPr>
      <w:r w:rsidRPr="00853414">
        <w:rPr>
          <w:i/>
          <w:iCs/>
        </w:rPr>
        <w:t>(d1)</w:t>
      </w:r>
      <w:r w:rsidRPr="00853414">
        <w:rPr>
          <w:i/>
          <w:iCs/>
        </w:rPr>
        <w:tab/>
        <w:t>Reading the Regulations</w:t>
      </w:r>
    </w:p>
    <w:p w:rsidR="00400C37" w:rsidP="00400C37" w:rsidRDefault="00400C37" w14:paraId="68503C04" w14:textId="77777777">
      <w:pPr>
        <w:keepNext/>
        <w:tabs>
          <w:tab w:val="left" w:pos="-1200"/>
        </w:tabs>
      </w:pPr>
    </w:p>
    <w:p w:rsidR="00400C37" w:rsidP="00400C37" w:rsidRDefault="00400C37" w14:paraId="691B42E3" w14:textId="77777777">
      <w:pPr>
        <w:keepNext/>
        <w:tabs>
          <w:tab w:val="left" w:pos="-1200"/>
        </w:tabs>
      </w:pPr>
      <w:r w:rsidRPr="00853414">
        <w:t xml:space="preserve">Exhibit </w:t>
      </w:r>
      <w:r>
        <w:t>15</w:t>
      </w:r>
      <w:r w:rsidRPr="00853414">
        <w:t xml:space="preserve"> presents the total annual hour and cost burd</w:t>
      </w:r>
      <w:r>
        <w:t xml:space="preserve">en to designated TSDFs/receiving facilities </w:t>
      </w:r>
      <w:r w:rsidRPr="00853414">
        <w:t xml:space="preserve">in reading the manifest regulations at 40 CFR </w:t>
      </w:r>
      <w:r>
        <w:t xml:space="preserve">Part </w:t>
      </w:r>
      <w:r w:rsidRPr="00853414">
        <w:t>26</w:t>
      </w:r>
      <w:r>
        <w:t xml:space="preserve">4 or 265 and, for e-Manifest users, the e-Manifest User </w:t>
      </w:r>
      <w:r w:rsidRPr="00F4501E">
        <w:t>Guide.</w:t>
      </w:r>
      <w:r w:rsidRPr="00F4501E">
        <w:rPr>
          <w:rStyle w:val="FootnoteReference"/>
          <w:vertAlign w:val="superscript"/>
        </w:rPr>
        <w:footnoteReference w:id="25"/>
      </w:r>
    </w:p>
    <w:p w:rsidR="00400C37" w:rsidP="00400C37" w:rsidRDefault="00400C37" w14:paraId="55E1EBB6" w14:textId="77777777">
      <w:pPr>
        <w:tabs>
          <w:tab w:val="left" w:pos="-1200"/>
        </w:tabs>
        <w:ind w:left="720"/>
      </w:pPr>
    </w:p>
    <w:p w:rsidRPr="00853414" w:rsidR="00400C37" w:rsidP="00400C37" w:rsidRDefault="00400C37" w14:paraId="571C7883" w14:textId="77777777">
      <w:pPr>
        <w:keepNext/>
        <w:tabs>
          <w:tab w:val="left" w:pos="-1200"/>
        </w:tabs>
        <w:ind w:left="1440" w:hanging="720"/>
      </w:pPr>
      <w:r w:rsidRPr="00853414">
        <w:rPr>
          <w:i/>
          <w:iCs/>
        </w:rPr>
        <w:t>(</w:t>
      </w:r>
      <w:r>
        <w:rPr>
          <w:i/>
          <w:iCs/>
        </w:rPr>
        <w:t>d</w:t>
      </w:r>
      <w:r w:rsidRPr="00853414">
        <w:rPr>
          <w:i/>
          <w:iCs/>
        </w:rPr>
        <w:t>2)</w:t>
      </w:r>
      <w:r w:rsidRPr="00853414">
        <w:rPr>
          <w:i/>
          <w:iCs/>
        </w:rPr>
        <w:tab/>
      </w:r>
      <w:r>
        <w:rPr>
          <w:i/>
          <w:iCs/>
        </w:rPr>
        <w:t>Completing the Manifest (assisting the generators)</w:t>
      </w:r>
    </w:p>
    <w:p w:rsidR="00400C37" w:rsidP="00400C37" w:rsidRDefault="00400C37" w14:paraId="7A4819CB" w14:textId="77777777">
      <w:pPr>
        <w:keepNext/>
        <w:tabs>
          <w:tab w:val="left" w:pos="-1200"/>
        </w:tabs>
      </w:pPr>
    </w:p>
    <w:p w:rsidR="00400C37" w:rsidP="00400C37" w:rsidRDefault="00400C37" w14:paraId="3B1289A4" w14:textId="77777777">
      <w:pPr>
        <w:keepNext/>
        <w:tabs>
          <w:tab w:val="left" w:pos="-1200"/>
        </w:tabs>
      </w:pPr>
      <w:r w:rsidRPr="00853414">
        <w:t>Exhibit 1</w:t>
      </w:r>
      <w:r>
        <w:t>6</w:t>
      </w:r>
      <w:r w:rsidRPr="00853414">
        <w:t xml:space="preserve"> estimates </w:t>
      </w:r>
      <w:r>
        <w:t>the burden for designated TSDFs to assist their generator customers in preparing the manifest on their behalf.</w:t>
      </w:r>
    </w:p>
    <w:p w:rsidR="00400C37" w:rsidP="00400C37" w:rsidRDefault="00400C37" w14:paraId="51372D06" w14:textId="77777777">
      <w:pPr>
        <w:tabs>
          <w:tab w:val="left" w:pos="-1200"/>
        </w:tabs>
      </w:pPr>
    </w:p>
    <w:p w:rsidRPr="00853414" w:rsidR="00400C37" w:rsidP="00400C37" w:rsidRDefault="00400C37" w14:paraId="4CC70DDB" w14:textId="77777777">
      <w:pPr>
        <w:tabs>
          <w:tab w:val="left" w:pos="-1200"/>
        </w:tabs>
        <w:ind w:left="720"/>
      </w:pPr>
      <w:r>
        <w:rPr>
          <w:i/>
          <w:iCs/>
        </w:rPr>
        <w:t>(d3</w:t>
      </w:r>
      <w:r w:rsidRPr="00853414">
        <w:rPr>
          <w:i/>
          <w:iCs/>
        </w:rPr>
        <w:t>)</w:t>
      </w:r>
      <w:r w:rsidRPr="00853414">
        <w:rPr>
          <w:i/>
          <w:iCs/>
        </w:rPr>
        <w:tab/>
      </w:r>
      <w:r>
        <w:rPr>
          <w:i/>
          <w:iCs/>
        </w:rPr>
        <w:t>Transmitting the Manifest and Reporting to EPA</w:t>
      </w:r>
    </w:p>
    <w:p w:rsidR="00400C37" w:rsidP="00400C37" w:rsidRDefault="00400C37" w14:paraId="0B6B59C3" w14:textId="77777777">
      <w:pPr>
        <w:tabs>
          <w:tab w:val="left" w:pos="-1200"/>
        </w:tabs>
      </w:pPr>
    </w:p>
    <w:p w:rsidR="00400C37" w:rsidP="00400C37" w:rsidRDefault="00400C37" w14:paraId="305F4118" w14:textId="77777777">
      <w:pPr>
        <w:tabs>
          <w:tab w:val="left" w:pos="-1200"/>
        </w:tabs>
      </w:pPr>
      <w:r w:rsidRPr="00493199">
        <w:t xml:space="preserve">Exhibit 17 estimates </w:t>
      </w:r>
      <w:r>
        <w:t xml:space="preserve">the </w:t>
      </w:r>
      <w:r w:rsidRPr="00493199">
        <w:t xml:space="preserve">burden for </w:t>
      </w:r>
      <w:r>
        <w:t xml:space="preserve">designated TSDF/receiving </w:t>
      </w:r>
      <w:r w:rsidRPr="00493199">
        <w:t xml:space="preserve">facility completion of </w:t>
      </w:r>
      <w:r>
        <w:t xml:space="preserve">all </w:t>
      </w:r>
      <w:r w:rsidRPr="00493199">
        <w:t xml:space="preserve">manifests (paper and electronic) </w:t>
      </w:r>
      <w:r>
        <w:t>involved in the manifest cycle as described in Tables 1 and 6, excluding manifests accompanying exports</w:t>
      </w:r>
      <w:r w:rsidRPr="00493199">
        <w:t>.</w:t>
      </w:r>
      <w:r w:rsidRPr="00CA5B1B">
        <w:rPr>
          <w:rStyle w:val="FootnoteReference"/>
          <w:vertAlign w:val="superscript"/>
        </w:rPr>
        <w:t xml:space="preserve"> </w:t>
      </w:r>
      <w:r w:rsidRPr="00493199">
        <w:rPr>
          <w:rStyle w:val="FootnoteReference"/>
          <w:vertAlign w:val="superscript"/>
        </w:rPr>
        <w:footnoteReference w:id="26"/>
      </w:r>
      <w:r w:rsidRPr="004E62D4">
        <w:rPr>
          <w:vertAlign w:val="superscript"/>
        </w:rPr>
        <w:t>,</w:t>
      </w:r>
      <w:r>
        <w:rPr>
          <w:vertAlign w:val="superscript"/>
        </w:rPr>
        <w:t xml:space="preserve"> </w:t>
      </w:r>
      <w:r w:rsidRPr="004E62D4">
        <w:rPr>
          <w:rStyle w:val="FootnoteReference"/>
          <w:vertAlign w:val="superscript"/>
        </w:rPr>
        <w:footnoteReference w:id="27"/>
      </w:r>
      <w:r w:rsidRPr="00493199">
        <w:t xml:space="preserve">  </w:t>
      </w:r>
    </w:p>
    <w:p w:rsidR="00400C37" w:rsidP="00400C37" w:rsidRDefault="00400C37" w14:paraId="5150F27C" w14:textId="77777777">
      <w:pPr>
        <w:tabs>
          <w:tab w:val="left" w:pos="-1200"/>
        </w:tabs>
      </w:pPr>
    </w:p>
    <w:p w:rsidR="00400C37" w:rsidP="00400C37" w:rsidRDefault="00400C37" w14:paraId="297364CD" w14:textId="77777777">
      <w:pPr>
        <w:tabs>
          <w:tab w:val="left" w:pos="-1200"/>
        </w:tabs>
      </w:pPr>
      <w:proofErr w:type="gramStart"/>
      <w:r>
        <w:t>In regard to</w:t>
      </w:r>
      <w:proofErr w:type="gramEnd"/>
      <w:r>
        <w:t xml:space="preserve"> paper manifests accompanying state hazardous waste, </w:t>
      </w:r>
      <w:r w:rsidRPr="00493199">
        <w:t xml:space="preserve">EPA recognizes that a number of receiving facilities </w:t>
      </w:r>
      <w:r>
        <w:t xml:space="preserve">must complete these forms </w:t>
      </w:r>
      <w:r w:rsidRPr="00493199">
        <w:t xml:space="preserve">under </w:t>
      </w:r>
      <w:r>
        <w:t xml:space="preserve">existing state </w:t>
      </w:r>
      <w:r w:rsidRPr="00493199">
        <w:t>requirements</w:t>
      </w:r>
      <w:r>
        <w:t xml:space="preserve">. </w:t>
      </w:r>
      <w:r w:rsidRPr="00493199">
        <w:t xml:space="preserve">This ICR need not estimate </w:t>
      </w:r>
      <w:r>
        <w:t xml:space="preserve">the </w:t>
      </w:r>
      <w:r w:rsidRPr="00493199">
        <w:t>burden</w:t>
      </w:r>
      <w:r>
        <w:t xml:space="preserve"> for such paper manifests because these activities are being performed under</w:t>
      </w:r>
      <w:r w:rsidRPr="00F42019">
        <w:t xml:space="preserve"> state-specific, broader-in-scope program requirements</w:t>
      </w:r>
      <w:r>
        <w:t xml:space="preserve"> in the absence of federal requirements to do so. </w:t>
      </w:r>
      <w:r w:rsidRPr="00493199">
        <w:t xml:space="preserve">However, EPA is aware that some shipments of state waste </w:t>
      </w:r>
      <w:r>
        <w:t xml:space="preserve">have </w:t>
      </w:r>
      <w:r w:rsidRPr="00493199">
        <w:t>face</w:t>
      </w:r>
      <w:r>
        <w:t>d</w:t>
      </w:r>
      <w:r w:rsidRPr="00493199">
        <w:t xml:space="preserve"> implementation and tracking challenges when they cross state lines</w:t>
      </w:r>
      <w:r>
        <w:t>, making it unclear if the facility must complete and return the manifest</w:t>
      </w:r>
      <w:r w:rsidRPr="00493199">
        <w:t>.</w:t>
      </w:r>
      <w:r w:rsidRPr="00493199">
        <w:rPr>
          <w:rStyle w:val="FootnoteReference"/>
          <w:vertAlign w:val="superscript"/>
        </w:rPr>
        <w:footnoteReference w:id="28"/>
      </w:r>
      <w:r w:rsidRPr="00493199">
        <w:rPr>
          <w:vertAlign w:val="superscript"/>
        </w:rPr>
        <w:t xml:space="preserve">  </w:t>
      </w:r>
      <w:r>
        <w:rPr>
          <w:vertAlign w:val="superscript"/>
        </w:rPr>
        <w:t xml:space="preserve"> </w:t>
      </w:r>
      <w:r w:rsidRPr="00493199">
        <w:t xml:space="preserve">The </w:t>
      </w:r>
      <w:r>
        <w:t>federal regulations</w:t>
      </w:r>
      <w:r w:rsidRPr="00493199">
        <w:t xml:space="preserve"> could place incremental burden on these facilities by </w:t>
      </w:r>
      <w:r>
        <w:t xml:space="preserve">clarifying that </w:t>
      </w:r>
      <w:r w:rsidRPr="00493199">
        <w:t>completion</w:t>
      </w:r>
      <w:r>
        <w:t xml:space="preserve"> is mandatory</w:t>
      </w:r>
      <w:r w:rsidRPr="00493199">
        <w:t xml:space="preserve"> </w:t>
      </w:r>
      <w:r>
        <w:t>for</w:t>
      </w:r>
      <w:r w:rsidRPr="00493199">
        <w:t xml:space="preserve"> all manifest</w:t>
      </w:r>
      <w:r>
        <w:t xml:space="preserve">s accompanying state waste. </w:t>
      </w:r>
    </w:p>
    <w:p w:rsidR="00400C37" w:rsidP="00400C37" w:rsidRDefault="00400C37" w14:paraId="4AEED993" w14:textId="77777777">
      <w:pPr>
        <w:tabs>
          <w:tab w:val="left" w:pos="-1200"/>
        </w:tabs>
      </w:pPr>
    </w:p>
    <w:p w:rsidRPr="00493199" w:rsidR="00400C37" w:rsidP="00400C37" w:rsidRDefault="00400C37" w14:paraId="481DB2B8" w14:textId="77777777">
      <w:pPr>
        <w:tabs>
          <w:tab w:val="left" w:pos="-1200"/>
        </w:tabs>
      </w:pPr>
      <w:r>
        <w:t>Because of this</w:t>
      </w:r>
      <w:r w:rsidRPr="00493199">
        <w:t xml:space="preserve">, Exhibit 17 estimates burden for facilities to complete </w:t>
      </w:r>
      <w:r>
        <w:t xml:space="preserve">paper </w:t>
      </w:r>
      <w:r w:rsidRPr="00493199">
        <w:t>manifest</w:t>
      </w:r>
      <w:r>
        <w:t>s accompanying state waste</w:t>
      </w:r>
      <w:r w:rsidRPr="00493199">
        <w:t xml:space="preserve"> that </w:t>
      </w:r>
      <w:r>
        <w:t xml:space="preserve">would not have been </w:t>
      </w:r>
      <w:r w:rsidRPr="00493199">
        <w:t>completed</w:t>
      </w:r>
      <w:r>
        <w:t xml:space="preserve"> under state regulations. </w:t>
      </w:r>
      <w:r w:rsidRPr="00493199">
        <w:t xml:space="preserve">EPA estimates that 25% of paper manifests accompanying state waste </w:t>
      </w:r>
      <w:r>
        <w:t>are</w:t>
      </w:r>
      <w:r w:rsidRPr="00493199">
        <w:t xml:space="preserve"> completed </w:t>
      </w:r>
      <w:proofErr w:type="gramStart"/>
      <w:r w:rsidRPr="00493199">
        <w:t>as a result of</w:t>
      </w:r>
      <w:proofErr w:type="gramEnd"/>
      <w:r w:rsidRPr="00493199">
        <w:t xml:space="preserve"> the</w:t>
      </w:r>
      <w:r>
        <w:t xml:space="preserve"> federal regulations</w:t>
      </w:r>
      <w:r w:rsidRPr="00493199">
        <w:t>.</w:t>
      </w:r>
      <w:r w:rsidRPr="0046413A">
        <w:rPr>
          <w:rStyle w:val="FootnoteReference"/>
          <w:vertAlign w:val="superscript"/>
        </w:rPr>
        <w:footnoteReference w:id="29"/>
      </w:r>
      <w:r w:rsidRPr="00493199">
        <w:t xml:space="preserve">  </w:t>
      </w:r>
      <w:r>
        <w:t xml:space="preserve">It is assumed that the remaining 75% of paper manifests were already being completed under state regulations and need not be addressed in this ICR. </w:t>
      </w:r>
    </w:p>
    <w:p w:rsidR="00400C37" w:rsidP="00400C37" w:rsidRDefault="00400C37" w14:paraId="365E2046" w14:textId="77777777">
      <w:pPr>
        <w:tabs>
          <w:tab w:val="left" w:pos="-1200"/>
        </w:tabs>
      </w:pPr>
    </w:p>
    <w:p w:rsidR="00400C37" w:rsidP="00400C37" w:rsidRDefault="00400C37" w14:paraId="5408F8B1" w14:textId="77777777">
      <w:pPr>
        <w:tabs>
          <w:tab w:val="left" w:pos="-1200"/>
        </w:tabs>
      </w:pPr>
      <w:r>
        <w:t>In addition, facilities must submit copies of the paper manifest to the national system in accordance with 40 CFR 260.4, 260.5, 264.</w:t>
      </w:r>
      <w:r w:rsidRPr="00ED6C56">
        <w:t>71(a)(v) or 265.71(a)(v). Based on e-Manifest data, EPA estimate</w:t>
      </w:r>
      <w:r>
        <w:t>d</w:t>
      </w:r>
      <w:r w:rsidRPr="00ED6C56">
        <w:t xml:space="preserve"> the annual submittal rate </w:t>
      </w:r>
      <w:r w:rsidRPr="0036264C">
        <w:t xml:space="preserve">for each method as shown in Table </w:t>
      </w:r>
      <w:r>
        <w:t>9</w:t>
      </w:r>
      <w:r w:rsidRPr="0036264C">
        <w:t xml:space="preserve">. The table shows that, on average annually during the 3-year life of this ICR, 2% of paper manifests will be submitted as mailed paper copies, 22% as image files, and 65% as data files and image files. </w:t>
      </w:r>
      <w:r>
        <w:t xml:space="preserve"> </w:t>
      </w:r>
    </w:p>
    <w:p w:rsidR="00400C37" w:rsidP="00400C37" w:rsidRDefault="00400C37" w14:paraId="77398147" w14:textId="77777777">
      <w:pPr>
        <w:tabs>
          <w:tab w:val="left" w:pos="-1200"/>
        </w:tabs>
      </w:pPr>
    </w:p>
    <w:p w:rsidRPr="00ED6C56" w:rsidR="00400C37" w:rsidP="00400C37" w:rsidRDefault="00400C37" w14:paraId="74217EF8" w14:textId="77777777">
      <w:pPr>
        <w:keepNext/>
        <w:tabs>
          <w:tab w:val="left" w:pos="-1200"/>
        </w:tabs>
        <w:jc w:val="center"/>
        <w:rPr>
          <w:b/>
        </w:rPr>
      </w:pPr>
      <w:r w:rsidRPr="00ED6C56">
        <w:rPr>
          <w:b/>
        </w:rPr>
        <w:t xml:space="preserve">Table </w:t>
      </w:r>
      <w:r>
        <w:rPr>
          <w:b/>
        </w:rPr>
        <w:t>9</w:t>
      </w:r>
    </w:p>
    <w:p w:rsidRPr="00ED6C56" w:rsidR="00400C37" w:rsidP="00400C37" w:rsidRDefault="00400C37" w14:paraId="4410EBCD" w14:textId="77777777">
      <w:pPr>
        <w:keepNext/>
        <w:tabs>
          <w:tab w:val="left" w:pos="-1200"/>
        </w:tabs>
        <w:jc w:val="center"/>
        <w:rPr>
          <w:b/>
        </w:rPr>
      </w:pPr>
      <w:r w:rsidRPr="00ED6C56">
        <w:rPr>
          <w:b/>
        </w:rPr>
        <w:t xml:space="preserve"> Annual Manifest Submittal Rates, by Submittal Method</w:t>
      </w:r>
    </w:p>
    <w:tbl>
      <w:tblPr>
        <w:tblW w:w="8300" w:type="dxa"/>
        <w:tblInd w:w="103" w:type="dxa"/>
        <w:tblLook w:val="04A0" w:firstRow="1" w:lastRow="0" w:firstColumn="1" w:lastColumn="0" w:noHBand="0" w:noVBand="1"/>
      </w:tblPr>
      <w:tblGrid>
        <w:gridCol w:w="2705"/>
        <w:gridCol w:w="1710"/>
        <w:gridCol w:w="1285"/>
        <w:gridCol w:w="1440"/>
        <w:gridCol w:w="1160"/>
      </w:tblGrid>
      <w:tr w:rsidRPr="00ED6C56" w:rsidR="00400C37" w:rsidTr="00400C37" w14:paraId="6BBD794E" w14:textId="77777777">
        <w:trPr>
          <w:trHeight w:val="520"/>
        </w:trPr>
        <w:tc>
          <w:tcPr>
            <w:tcW w:w="270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3A5DA1" w:rsidR="00400C37" w:rsidP="00400C37" w:rsidRDefault="00400C37" w14:paraId="5832ED1D" w14:textId="77777777">
            <w:pPr>
              <w:jc w:val="center"/>
              <w:rPr>
                <w:b/>
                <w:sz w:val="22"/>
                <w:szCs w:val="22"/>
              </w:rPr>
            </w:pPr>
            <w:r w:rsidRPr="003A5DA1">
              <w:rPr>
                <w:b/>
                <w:sz w:val="22"/>
                <w:szCs w:val="22"/>
              </w:rPr>
              <w:t>Submittal Method</w:t>
            </w:r>
          </w:p>
        </w:tc>
        <w:tc>
          <w:tcPr>
            <w:tcW w:w="171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ED6C56" w:rsidR="00400C37" w:rsidP="00400C37" w:rsidRDefault="00400C37" w14:paraId="34BF62FA" w14:textId="77777777">
            <w:pPr>
              <w:jc w:val="center"/>
              <w:rPr>
                <w:b/>
                <w:bCs/>
                <w:sz w:val="22"/>
                <w:szCs w:val="22"/>
              </w:rPr>
            </w:pPr>
            <w:r w:rsidRPr="00ED6C56">
              <w:rPr>
                <w:b/>
                <w:bCs/>
                <w:sz w:val="22"/>
                <w:szCs w:val="22"/>
              </w:rPr>
              <w:t>Year 1</w:t>
            </w:r>
          </w:p>
        </w:tc>
        <w:tc>
          <w:tcPr>
            <w:tcW w:w="1285"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ED6C56" w:rsidR="00400C37" w:rsidP="00400C37" w:rsidRDefault="00400C37" w14:paraId="2D44EAD0" w14:textId="77777777">
            <w:pPr>
              <w:jc w:val="center"/>
              <w:rPr>
                <w:b/>
                <w:bCs/>
                <w:sz w:val="22"/>
                <w:szCs w:val="22"/>
              </w:rPr>
            </w:pPr>
            <w:r w:rsidRPr="00ED6C56">
              <w:rPr>
                <w:b/>
                <w:bCs/>
                <w:sz w:val="22"/>
                <w:szCs w:val="22"/>
              </w:rPr>
              <w:t>Year 2</w:t>
            </w:r>
          </w:p>
        </w:tc>
        <w:tc>
          <w:tcPr>
            <w:tcW w:w="144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ED6C56" w:rsidR="00400C37" w:rsidP="00400C37" w:rsidRDefault="00400C37" w14:paraId="47F0E6CF" w14:textId="77777777">
            <w:pPr>
              <w:jc w:val="center"/>
              <w:rPr>
                <w:b/>
                <w:bCs/>
                <w:sz w:val="22"/>
                <w:szCs w:val="22"/>
              </w:rPr>
            </w:pPr>
            <w:r w:rsidRPr="00ED6C56">
              <w:rPr>
                <w:b/>
                <w:bCs/>
                <w:sz w:val="22"/>
                <w:szCs w:val="22"/>
              </w:rPr>
              <w:t>Year 3</w:t>
            </w:r>
          </w:p>
        </w:tc>
        <w:tc>
          <w:tcPr>
            <w:tcW w:w="116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ED6C56" w:rsidR="00400C37" w:rsidP="00400C37" w:rsidRDefault="00400C37" w14:paraId="7FD36458" w14:textId="77777777">
            <w:pPr>
              <w:jc w:val="center"/>
              <w:rPr>
                <w:b/>
                <w:bCs/>
                <w:sz w:val="22"/>
                <w:szCs w:val="22"/>
              </w:rPr>
            </w:pPr>
            <w:r w:rsidRPr="00ED6C56">
              <w:rPr>
                <w:b/>
                <w:bCs/>
                <w:sz w:val="22"/>
                <w:szCs w:val="22"/>
              </w:rPr>
              <w:t>3-Year Average</w:t>
            </w:r>
          </w:p>
        </w:tc>
      </w:tr>
      <w:tr w:rsidRPr="00ED6C56" w:rsidR="00400C37" w:rsidTr="00400C37" w14:paraId="48441733" w14:textId="77777777">
        <w:trPr>
          <w:trHeight w:val="400"/>
        </w:trPr>
        <w:tc>
          <w:tcPr>
            <w:tcW w:w="2705" w:type="dxa"/>
            <w:tcBorders>
              <w:top w:val="nil"/>
              <w:left w:val="single" w:color="auto" w:sz="4" w:space="0"/>
              <w:bottom w:val="single" w:color="auto" w:sz="4" w:space="0"/>
              <w:right w:val="single" w:color="auto" w:sz="4" w:space="0"/>
            </w:tcBorders>
            <w:shd w:val="clear" w:color="auto" w:fill="auto"/>
            <w:vAlign w:val="center"/>
            <w:hideMark/>
          </w:tcPr>
          <w:p w:rsidRPr="00ED6C56" w:rsidR="00400C37" w:rsidP="00400C37" w:rsidRDefault="00400C37" w14:paraId="5EE3908F" w14:textId="77777777">
            <w:pPr>
              <w:rPr>
                <w:sz w:val="22"/>
                <w:szCs w:val="22"/>
              </w:rPr>
            </w:pPr>
            <w:r w:rsidRPr="00ED6C56">
              <w:rPr>
                <w:sz w:val="22"/>
                <w:szCs w:val="22"/>
              </w:rPr>
              <w:t>Mailed Paper</w:t>
            </w:r>
          </w:p>
        </w:tc>
        <w:tc>
          <w:tcPr>
            <w:tcW w:w="1710" w:type="dxa"/>
            <w:tcBorders>
              <w:top w:val="nil"/>
              <w:left w:val="nil"/>
              <w:bottom w:val="single" w:color="auto" w:sz="4" w:space="0"/>
              <w:right w:val="single" w:color="auto" w:sz="4" w:space="0"/>
            </w:tcBorders>
            <w:shd w:val="clear" w:color="auto" w:fill="auto"/>
            <w:hideMark/>
          </w:tcPr>
          <w:p w:rsidRPr="0036264C" w:rsidR="00400C37" w:rsidP="00400C37" w:rsidRDefault="00400C37" w14:paraId="5B2D9517" w14:textId="77777777">
            <w:pPr>
              <w:jc w:val="center"/>
              <w:rPr>
                <w:sz w:val="22"/>
                <w:szCs w:val="22"/>
              </w:rPr>
            </w:pPr>
            <w:r w:rsidRPr="0036264C">
              <w:rPr>
                <w:sz w:val="22"/>
                <w:szCs w:val="22"/>
              </w:rPr>
              <w:t>6%</w:t>
            </w:r>
          </w:p>
        </w:tc>
        <w:tc>
          <w:tcPr>
            <w:tcW w:w="1285" w:type="dxa"/>
            <w:tcBorders>
              <w:top w:val="nil"/>
              <w:left w:val="nil"/>
              <w:bottom w:val="single" w:color="auto" w:sz="4" w:space="0"/>
              <w:right w:val="single" w:color="auto" w:sz="4" w:space="0"/>
            </w:tcBorders>
            <w:shd w:val="clear" w:color="auto" w:fill="auto"/>
            <w:hideMark/>
          </w:tcPr>
          <w:p w:rsidRPr="0036264C" w:rsidR="00400C37" w:rsidP="00400C37" w:rsidRDefault="00400C37" w14:paraId="7EBD76B5" w14:textId="77777777">
            <w:pPr>
              <w:jc w:val="center"/>
              <w:rPr>
                <w:sz w:val="22"/>
                <w:szCs w:val="22"/>
              </w:rPr>
            </w:pPr>
            <w:r w:rsidRPr="0036264C">
              <w:rPr>
                <w:sz w:val="22"/>
                <w:szCs w:val="22"/>
              </w:rPr>
              <w:t>0%</w:t>
            </w:r>
          </w:p>
        </w:tc>
        <w:tc>
          <w:tcPr>
            <w:tcW w:w="1440" w:type="dxa"/>
            <w:tcBorders>
              <w:top w:val="nil"/>
              <w:left w:val="nil"/>
              <w:bottom w:val="single" w:color="auto" w:sz="4" w:space="0"/>
              <w:right w:val="single" w:color="auto" w:sz="4" w:space="0"/>
            </w:tcBorders>
            <w:shd w:val="clear" w:color="auto" w:fill="auto"/>
            <w:hideMark/>
          </w:tcPr>
          <w:p w:rsidRPr="0036264C" w:rsidR="00400C37" w:rsidP="00400C37" w:rsidRDefault="00400C37" w14:paraId="457FF869" w14:textId="77777777">
            <w:pPr>
              <w:jc w:val="center"/>
              <w:rPr>
                <w:sz w:val="22"/>
                <w:szCs w:val="22"/>
              </w:rPr>
            </w:pPr>
            <w:r w:rsidRPr="0036264C">
              <w:rPr>
                <w:sz w:val="22"/>
                <w:szCs w:val="22"/>
              </w:rPr>
              <w:t>0%</w:t>
            </w:r>
          </w:p>
        </w:tc>
        <w:tc>
          <w:tcPr>
            <w:tcW w:w="1160" w:type="dxa"/>
            <w:tcBorders>
              <w:top w:val="nil"/>
              <w:left w:val="nil"/>
              <w:bottom w:val="single" w:color="auto" w:sz="4" w:space="0"/>
              <w:right w:val="single" w:color="auto" w:sz="4" w:space="0"/>
            </w:tcBorders>
            <w:shd w:val="clear" w:color="auto" w:fill="auto"/>
            <w:hideMark/>
          </w:tcPr>
          <w:p w:rsidRPr="0036264C" w:rsidR="00400C37" w:rsidP="00400C37" w:rsidRDefault="00400C37" w14:paraId="5969BB52" w14:textId="77777777">
            <w:pPr>
              <w:jc w:val="center"/>
              <w:rPr>
                <w:sz w:val="22"/>
                <w:szCs w:val="22"/>
              </w:rPr>
            </w:pPr>
            <w:r w:rsidRPr="0036264C">
              <w:rPr>
                <w:sz w:val="22"/>
                <w:szCs w:val="22"/>
              </w:rPr>
              <w:t>2%</w:t>
            </w:r>
          </w:p>
        </w:tc>
      </w:tr>
      <w:tr w:rsidR="00400C37" w:rsidTr="00400C37" w14:paraId="5DCB13CB" w14:textId="77777777">
        <w:trPr>
          <w:trHeight w:val="260"/>
        </w:trPr>
        <w:tc>
          <w:tcPr>
            <w:tcW w:w="2705" w:type="dxa"/>
            <w:tcBorders>
              <w:top w:val="nil"/>
              <w:left w:val="single" w:color="auto" w:sz="4" w:space="0"/>
              <w:bottom w:val="single" w:color="auto" w:sz="4" w:space="0"/>
              <w:right w:val="single" w:color="auto" w:sz="4" w:space="0"/>
            </w:tcBorders>
            <w:shd w:val="clear" w:color="auto" w:fill="auto"/>
            <w:vAlign w:val="center"/>
            <w:hideMark/>
          </w:tcPr>
          <w:p w:rsidRPr="00ED6C56" w:rsidR="00400C37" w:rsidP="00400C37" w:rsidRDefault="00400C37" w14:paraId="773AD445" w14:textId="77777777">
            <w:pPr>
              <w:rPr>
                <w:sz w:val="22"/>
                <w:szCs w:val="22"/>
              </w:rPr>
            </w:pPr>
            <w:r w:rsidRPr="00ED6C56">
              <w:rPr>
                <w:sz w:val="22"/>
                <w:szCs w:val="22"/>
              </w:rPr>
              <w:t>Image only</w:t>
            </w:r>
          </w:p>
        </w:tc>
        <w:tc>
          <w:tcPr>
            <w:tcW w:w="1710" w:type="dxa"/>
            <w:tcBorders>
              <w:top w:val="nil"/>
              <w:left w:val="nil"/>
              <w:bottom w:val="single" w:color="auto" w:sz="4" w:space="0"/>
              <w:right w:val="single" w:color="auto" w:sz="4" w:space="0"/>
            </w:tcBorders>
            <w:shd w:val="clear" w:color="auto" w:fill="auto"/>
            <w:hideMark/>
          </w:tcPr>
          <w:p w:rsidRPr="0036264C" w:rsidR="00400C37" w:rsidP="00400C37" w:rsidRDefault="00400C37" w14:paraId="26EE459E" w14:textId="77777777">
            <w:pPr>
              <w:jc w:val="center"/>
              <w:rPr>
                <w:sz w:val="22"/>
                <w:szCs w:val="22"/>
              </w:rPr>
            </w:pPr>
            <w:r w:rsidRPr="0036264C">
              <w:rPr>
                <w:sz w:val="22"/>
                <w:szCs w:val="22"/>
              </w:rPr>
              <w:t>18%</w:t>
            </w:r>
          </w:p>
        </w:tc>
        <w:tc>
          <w:tcPr>
            <w:tcW w:w="1285" w:type="dxa"/>
            <w:tcBorders>
              <w:top w:val="nil"/>
              <w:left w:val="nil"/>
              <w:bottom w:val="single" w:color="auto" w:sz="4" w:space="0"/>
              <w:right w:val="single" w:color="auto" w:sz="4" w:space="0"/>
            </w:tcBorders>
            <w:shd w:val="clear" w:color="auto" w:fill="auto"/>
            <w:hideMark/>
          </w:tcPr>
          <w:p w:rsidRPr="0036264C" w:rsidR="00400C37" w:rsidP="00400C37" w:rsidRDefault="00400C37" w14:paraId="1DF17D44" w14:textId="77777777">
            <w:pPr>
              <w:jc w:val="center"/>
              <w:rPr>
                <w:sz w:val="22"/>
                <w:szCs w:val="22"/>
              </w:rPr>
            </w:pPr>
            <w:r w:rsidRPr="0036264C">
              <w:rPr>
                <w:sz w:val="22"/>
                <w:szCs w:val="22"/>
              </w:rPr>
              <w:t>24%</w:t>
            </w:r>
          </w:p>
        </w:tc>
        <w:tc>
          <w:tcPr>
            <w:tcW w:w="1440" w:type="dxa"/>
            <w:tcBorders>
              <w:top w:val="nil"/>
              <w:left w:val="nil"/>
              <w:bottom w:val="single" w:color="auto" w:sz="4" w:space="0"/>
              <w:right w:val="single" w:color="auto" w:sz="4" w:space="0"/>
            </w:tcBorders>
            <w:shd w:val="clear" w:color="auto" w:fill="auto"/>
            <w:hideMark/>
          </w:tcPr>
          <w:p w:rsidRPr="0036264C" w:rsidR="00400C37" w:rsidP="00400C37" w:rsidRDefault="00400C37" w14:paraId="545F5C63" w14:textId="77777777">
            <w:pPr>
              <w:jc w:val="center"/>
              <w:rPr>
                <w:sz w:val="22"/>
                <w:szCs w:val="22"/>
              </w:rPr>
            </w:pPr>
            <w:r w:rsidRPr="0036264C">
              <w:rPr>
                <w:sz w:val="22"/>
                <w:szCs w:val="22"/>
              </w:rPr>
              <w:t>24%</w:t>
            </w:r>
          </w:p>
        </w:tc>
        <w:tc>
          <w:tcPr>
            <w:tcW w:w="1160" w:type="dxa"/>
            <w:tcBorders>
              <w:top w:val="nil"/>
              <w:left w:val="nil"/>
              <w:bottom w:val="single" w:color="auto" w:sz="4" w:space="0"/>
              <w:right w:val="single" w:color="auto" w:sz="4" w:space="0"/>
            </w:tcBorders>
            <w:shd w:val="clear" w:color="auto" w:fill="auto"/>
            <w:hideMark/>
          </w:tcPr>
          <w:p w:rsidRPr="0036264C" w:rsidR="00400C37" w:rsidP="00400C37" w:rsidRDefault="00400C37" w14:paraId="69683521" w14:textId="77777777">
            <w:pPr>
              <w:jc w:val="center"/>
              <w:rPr>
                <w:sz w:val="22"/>
                <w:szCs w:val="22"/>
              </w:rPr>
            </w:pPr>
            <w:r w:rsidRPr="0036264C">
              <w:rPr>
                <w:sz w:val="22"/>
                <w:szCs w:val="22"/>
              </w:rPr>
              <w:t>22%</w:t>
            </w:r>
          </w:p>
        </w:tc>
      </w:tr>
      <w:tr w:rsidR="00400C37" w:rsidTr="00400C37" w14:paraId="1FC16E52" w14:textId="77777777">
        <w:trPr>
          <w:trHeight w:val="400"/>
        </w:trPr>
        <w:tc>
          <w:tcPr>
            <w:tcW w:w="2705" w:type="dxa"/>
            <w:tcBorders>
              <w:top w:val="nil"/>
              <w:left w:val="single" w:color="auto" w:sz="4" w:space="0"/>
              <w:bottom w:val="single" w:color="auto" w:sz="4" w:space="0"/>
              <w:right w:val="single" w:color="auto" w:sz="4" w:space="0"/>
            </w:tcBorders>
            <w:shd w:val="clear" w:color="auto" w:fill="auto"/>
            <w:vAlign w:val="center"/>
            <w:hideMark/>
          </w:tcPr>
          <w:p w:rsidRPr="00261FED" w:rsidR="00400C37" w:rsidP="00400C37" w:rsidRDefault="00400C37" w14:paraId="52C346A9" w14:textId="77777777">
            <w:pPr>
              <w:rPr>
                <w:sz w:val="22"/>
                <w:szCs w:val="22"/>
              </w:rPr>
            </w:pPr>
            <w:r w:rsidRPr="00261FED">
              <w:rPr>
                <w:sz w:val="22"/>
                <w:szCs w:val="22"/>
              </w:rPr>
              <w:lastRenderedPageBreak/>
              <w:t>Data &amp; Image</w:t>
            </w:r>
          </w:p>
        </w:tc>
        <w:tc>
          <w:tcPr>
            <w:tcW w:w="1710" w:type="dxa"/>
            <w:tcBorders>
              <w:top w:val="nil"/>
              <w:left w:val="nil"/>
              <w:bottom w:val="single" w:color="auto" w:sz="4" w:space="0"/>
              <w:right w:val="single" w:color="auto" w:sz="4" w:space="0"/>
            </w:tcBorders>
            <w:shd w:val="clear" w:color="auto" w:fill="auto"/>
            <w:hideMark/>
          </w:tcPr>
          <w:p w:rsidRPr="0036264C" w:rsidR="00400C37" w:rsidP="00400C37" w:rsidRDefault="00400C37" w14:paraId="287A9B29" w14:textId="77777777">
            <w:pPr>
              <w:jc w:val="center"/>
              <w:rPr>
                <w:sz w:val="22"/>
                <w:szCs w:val="22"/>
              </w:rPr>
            </w:pPr>
            <w:r w:rsidRPr="0036264C">
              <w:rPr>
                <w:sz w:val="22"/>
                <w:szCs w:val="22"/>
              </w:rPr>
              <w:t>75%</w:t>
            </w:r>
          </w:p>
        </w:tc>
        <w:tc>
          <w:tcPr>
            <w:tcW w:w="1285" w:type="dxa"/>
            <w:tcBorders>
              <w:top w:val="nil"/>
              <w:left w:val="nil"/>
              <w:bottom w:val="single" w:color="auto" w:sz="4" w:space="0"/>
              <w:right w:val="single" w:color="auto" w:sz="4" w:space="0"/>
            </w:tcBorders>
            <w:shd w:val="clear" w:color="auto" w:fill="auto"/>
            <w:hideMark/>
          </w:tcPr>
          <w:p w:rsidRPr="0036264C" w:rsidR="00400C37" w:rsidP="00400C37" w:rsidRDefault="00400C37" w14:paraId="029F3E9A" w14:textId="77777777">
            <w:pPr>
              <w:jc w:val="center"/>
              <w:rPr>
                <w:sz w:val="22"/>
                <w:szCs w:val="22"/>
              </w:rPr>
            </w:pPr>
            <w:r w:rsidRPr="0036264C">
              <w:rPr>
                <w:sz w:val="22"/>
                <w:szCs w:val="22"/>
              </w:rPr>
              <w:t>60%</w:t>
            </w:r>
          </w:p>
        </w:tc>
        <w:tc>
          <w:tcPr>
            <w:tcW w:w="1440" w:type="dxa"/>
            <w:tcBorders>
              <w:top w:val="nil"/>
              <w:left w:val="nil"/>
              <w:bottom w:val="single" w:color="auto" w:sz="4" w:space="0"/>
              <w:right w:val="single" w:color="auto" w:sz="4" w:space="0"/>
            </w:tcBorders>
            <w:shd w:val="clear" w:color="auto" w:fill="auto"/>
            <w:hideMark/>
          </w:tcPr>
          <w:p w:rsidRPr="0036264C" w:rsidR="00400C37" w:rsidP="00400C37" w:rsidRDefault="00400C37" w14:paraId="32315118" w14:textId="77777777">
            <w:pPr>
              <w:jc w:val="center"/>
              <w:rPr>
                <w:sz w:val="22"/>
                <w:szCs w:val="22"/>
              </w:rPr>
            </w:pPr>
            <w:r w:rsidRPr="0036264C">
              <w:rPr>
                <w:sz w:val="22"/>
                <w:szCs w:val="22"/>
              </w:rPr>
              <w:t>60%</w:t>
            </w:r>
          </w:p>
        </w:tc>
        <w:tc>
          <w:tcPr>
            <w:tcW w:w="1160" w:type="dxa"/>
            <w:tcBorders>
              <w:top w:val="nil"/>
              <w:left w:val="nil"/>
              <w:bottom w:val="single" w:color="auto" w:sz="4" w:space="0"/>
              <w:right w:val="single" w:color="auto" w:sz="4" w:space="0"/>
            </w:tcBorders>
            <w:shd w:val="clear" w:color="auto" w:fill="auto"/>
            <w:hideMark/>
          </w:tcPr>
          <w:p w:rsidRPr="0036264C" w:rsidR="00400C37" w:rsidP="00400C37" w:rsidRDefault="00400C37" w14:paraId="2900D393" w14:textId="77777777">
            <w:pPr>
              <w:jc w:val="center"/>
              <w:rPr>
                <w:sz w:val="22"/>
                <w:szCs w:val="22"/>
              </w:rPr>
            </w:pPr>
            <w:r w:rsidRPr="0036264C">
              <w:rPr>
                <w:sz w:val="22"/>
                <w:szCs w:val="22"/>
              </w:rPr>
              <w:t>65%</w:t>
            </w:r>
          </w:p>
        </w:tc>
      </w:tr>
      <w:tr w:rsidR="00400C37" w:rsidTr="00400C37" w14:paraId="3722D4CA" w14:textId="77777777">
        <w:trPr>
          <w:trHeight w:val="260"/>
        </w:trPr>
        <w:tc>
          <w:tcPr>
            <w:tcW w:w="2705" w:type="dxa"/>
            <w:tcBorders>
              <w:top w:val="nil"/>
              <w:left w:val="single" w:color="auto" w:sz="4" w:space="0"/>
              <w:bottom w:val="single" w:color="auto" w:sz="4" w:space="0"/>
              <w:right w:val="single" w:color="auto" w:sz="4" w:space="0"/>
            </w:tcBorders>
            <w:shd w:val="clear" w:color="auto" w:fill="auto"/>
            <w:vAlign w:val="center"/>
            <w:hideMark/>
          </w:tcPr>
          <w:p w:rsidRPr="00261FED" w:rsidR="00400C37" w:rsidP="00400C37" w:rsidRDefault="00400C37" w14:paraId="5AB1F0F1" w14:textId="77777777">
            <w:pPr>
              <w:rPr>
                <w:sz w:val="22"/>
                <w:szCs w:val="22"/>
              </w:rPr>
            </w:pPr>
            <w:r w:rsidRPr="00261FED">
              <w:rPr>
                <w:sz w:val="22"/>
                <w:szCs w:val="22"/>
              </w:rPr>
              <w:t>Electronic</w:t>
            </w:r>
          </w:p>
        </w:tc>
        <w:tc>
          <w:tcPr>
            <w:tcW w:w="1710" w:type="dxa"/>
            <w:tcBorders>
              <w:top w:val="nil"/>
              <w:left w:val="nil"/>
              <w:bottom w:val="single" w:color="auto" w:sz="4" w:space="0"/>
              <w:right w:val="single" w:color="auto" w:sz="4" w:space="0"/>
            </w:tcBorders>
            <w:shd w:val="clear" w:color="auto" w:fill="auto"/>
            <w:hideMark/>
          </w:tcPr>
          <w:p w:rsidRPr="0036264C" w:rsidR="00400C37" w:rsidP="00400C37" w:rsidRDefault="00400C37" w14:paraId="77752D62" w14:textId="77777777">
            <w:pPr>
              <w:jc w:val="center"/>
              <w:rPr>
                <w:sz w:val="22"/>
                <w:szCs w:val="22"/>
              </w:rPr>
            </w:pPr>
            <w:r w:rsidRPr="0036264C">
              <w:rPr>
                <w:sz w:val="22"/>
                <w:szCs w:val="22"/>
              </w:rPr>
              <w:t>1%</w:t>
            </w:r>
          </w:p>
        </w:tc>
        <w:tc>
          <w:tcPr>
            <w:tcW w:w="1285" w:type="dxa"/>
            <w:tcBorders>
              <w:top w:val="nil"/>
              <w:left w:val="nil"/>
              <w:bottom w:val="single" w:color="auto" w:sz="4" w:space="0"/>
              <w:right w:val="single" w:color="auto" w:sz="4" w:space="0"/>
            </w:tcBorders>
            <w:shd w:val="clear" w:color="auto" w:fill="auto"/>
            <w:hideMark/>
          </w:tcPr>
          <w:p w:rsidRPr="0036264C" w:rsidR="00400C37" w:rsidP="00400C37" w:rsidRDefault="00400C37" w14:paraId="655AEEA7" w14:textId="77777777">
            <w:pPr>
              <w:jc w:val="center"/>
              <w:rPr>
                <w:sz w:val="22"/>
                <w:szCs w:val="22"/>
              </w:rPr>
            </w:pPr>
            <w:r w:rsidRPr="0036264C">
              <w:rPr>
                <w:sz w:val="22"/>
                <w:szCs w:val="22"/>
              </w:rPr>
              <w:t>16%</w:t>
            </w:r>
          </w:p>
        </w:tc>
        <w:tc>
          <w:tcPr>
            <w:tcW w:w="1440" w:type="dxa"/>
            <w:tcBorders>
              <w:top w:val="nil"/>
              <w:left w:val="nil"/>
              <w:bottom w:val="single" w:color="auto" w:sz="4" w:space="0"/>
              <w:right w:val="single" w:color="auto" w:sz="4" w:space="0"/>
            </w:tcBorders>
            <w:shd w:val="clear" w:color="auto" w:fill="auto"/>
            <w:hideMark/>
          </w:tcPr>
          <w:p w:rsidRPr="0036264C" w:rsidR="00400C37" w:rsidP="00400C37" w:rsidRDefault="00400C37" w14:paraId="6C8265CA" w14:textId="77777777">
            <w:pPr>
              <w:jc w:val="center"/>
              <w:rPr>
                <w:sz w:val="22"/>
                <w:szCs w:val="22"/>
              </w:rPr>
            </w:pPr>
            <w:r w:rsidRPr="0036264C">
              <w:rPr>
                <w:sz w:val="22"/>
                <w:szCs w:val="22"/>
              </w:rPr>
              <w:t>16%</w:t>
            </w:r>
          </w:p>
        </w:tc>
        <w:tc>
          <w:tcPr>
            <w:tcW w:w="1160" w:type="dxa"/>
            <w:tcBorders>
              <w:top w:val="nil"/>
              <w:left w:val="nil"/>
              <w:bottom w:val="single" w:color="auto" w:sz="4" w:space="0"/>
              <w:right w:val="single" w:color="auto" w:sz="4" w:space="0"/>
            </w:tcBorders>
            <w:shd w:val="clear" w:color="auto" w:fill="auto"/>
            <w:hideMark/>
          </w:tcPr>
          <w:p w:rsidRPr="0036264C" w:rsidR="00400C37" w:rsidP="00400C37" w:rsidRDefault="00400C37" w14:paraId="6187F084" w14:textId="77777777">
            <w:pPr>
              <w:jc w:val="center"/>
              <w:rPr>
                <w:sz w:val="22"/>
                <w:szCs w:val="22"/>
              </w:rPr>
            </w:pPr>
            <w:r w:rsidRPr="0036264C">
              <w:rPr>
                <w:sz w:val="22"/>
                <w:szCs w:val="22"/>
              </w:rPr>
              <w:t>11%</w:t>
            </w:r>
          </w:p>
        </w:tc>
      </w:tr>
      <w:tr w:rsidR="00400C37" w:rsidTr="00400C37" w14:paraId="56637B3F" w14:textId="77777777">
        <w:trPr>
          <w:trHeight w:val="260"/>
        </w:trPr>
        <w:tc>
          <w:tcPr>
            <w:tcW w:w="2705" w:type="dxa"/>
            <w:tcBorders>
              <w:top w:val="nil"/>
              <w:left w:val="single" w:color="auto" w:sz="4" w:space="0"/>
              <w:bottom w:val="single" w:color="auto" w:sz="4" w:space="0"/>
              <w:right w:val="single" w:color="auto" w:sz="4" w:space="0"/>
            </w:tcBorders>
            <w:shd w:val="clear" w:color="auto" w:fill="auto"/>
            <w:vAlign w:val="center"/>
            <w:hideMark/>
          </w:tcPr>
          <w:p w:rsidRPr="00261FED" w:rsidR="00400C37" w:rsidP="00400C37" w:rsidRDefault="00400C37" w14:paraId="4E4A253F" w14:textId="77777777">
            <w:pPr>
              <w:rPr>
                <w:sz w:val="22"/>
                <w:szCs w:val="22"/>
              </w:rPr>
            </w:pPr>
            <w:r w:rsidRPr="00261FED">
              <w:rPr>
                <w:sz w:val="22"/>
                <w:szCs w:val="22"/>
              </w:rPr>
              <w:t>Total</w:t>
            </w:r>
          </w:p>
        </w:tc>
        <w:tc>
          <w:tcPr>
            <w:tcW w:w="1710" w:type="dxa"/>
            <w:tcBorders>
              <w:top w:val="nil"/>
              <w:left w:val="nil"/>
              <w:bottom w:val="single" w:color="auto" w:sz="4" w:space="0"/>
              <w:right w:val="single" w:color="auto" w:sz="4" w:space="0"/>
            </w:tcBorders>
            <w:shd w:val="clear" w:color="auto" w:fill="auto"/>
            <w:vAlign w:val="center"/>
            <w:hideMark/>
          </w:tcPr>
          <w:p w:rsidRPr="0036264C" w:rsidR="00400C37" w:rsidP="00400C37" w:rsidRDefault="00400C37" w14:paraId="0D83AFE4" w14:textId="77777777">
            <w:pPr>
              <w:jc w:val="center"/>
              <w:rPr>
                <w:sz w:val="22"/>
                <w:szCs w:val="22"/>
              </w:rPr>
            </w:pPr>
            <w:r w:rsidRPr="0036264C">
              <w:rPr>
                <w:sz w:val="22"/>
                <w:szCs w:val="22"/>
              </w:rPr>
              <w:t>100%</w:t>
            </w:r>
          </w:p>
        </w:tc>
        <w:tc>
          <w:tcPr>
            <w:tcW w:w="1285" w:type="dxa"/>
            <w:tcBorders>
              <w:top w:val="nil"/>
              <w:left w:val="nil"/>
              <w:bottom w:val="single" w:color="auto" w:sz="4" w:space="0"/>
              <w:right w:val="single" w:color="auto" w:sz="4" w:space="0"/>
            </w:tcBorders>
            <w:shd w:val="clear" w:color="auto" w:fill="auto"/>
            <w:vAlign w:val="center"/>
            <w:hideMark/>
          </w:tcPr>
          <w:p w:rsidRPr="0036264C" w:rsidR="00400C37" w:rsidP="00400C37" w:rsidRDefault="00400C37" w14:paraId="0FFF74AE" w14:textId="77777777">
            <w:pPr>
              <w:jc w:val="center"/>
              <w:rPr>
                <w:sz w:val="22"/>
                <w:szCs w:val="22"/>
              </w:rPr>
            </w:pPr>
            <w:r w:rsidRPr="0036264C">
              <w:rPr>
                <w:sz w:val="22"/>
                <w:szCs w:val="22"/>
              </w:rPr>
              <w:t>100%</w:t>
            </w:r>
          </w:p>
        </w:tc>
        <w:tc>
          <w:tcPr>
            <w:tcW w:w="1440" w:type="dxa"/>
            <w:tcBorders>
              <w:top w:val="nil"/>
              <w:left w:val="nil"/>
              <w:bottom w:val="single" w:color="auto" w:sz="4" w:space="0"/>
              <w:right w:val="single" w:color="auto" w:sz="4" w:space="0"/>
            </w:tcBorders>
            <w:shd w:val="clear" w:color="auto" w:fill="auto"/>
            <w:vAlign w:val="center"/>
            <w:hideMark/>
          </w:tcPr>
          <w:p w:rsidRPr="0036264C" w:rsidR="00400C37" w:rsidP="00400C37" w:rsidRDefault="00400C37" w14:paraId="562BE930" w14:textId="77777777">
            <w:pPr>
              <w:jc w:val="center"/>
              <w:rPr>
                <w:sz w:val="22"/>
                <w:szCs w:val="22"/>
              </w:rPr>
            </w:pPr>
            <w:r w:rsidRPr="0036264C">
              <w:rPr>
                <w:sz w:val="22"/>
                <w:szCs w:val="22"/>
              </w:rPr>
              <w:t>100%</w:t>
            </w:r>
          </w:p>
        </w:tc>
        <w:tc>
          <w:tcPr>
            <w:tcW w:w="1160" w:type="dxa"/>
            <w:tcBorders>
              <w:top w:val="nil"/>
              <w:left w:val="nil"/>
              <w:bottom w:val="single" w:color="auto" w:sz="4" w:space="0"/>
              <w:right w:val="single" w:color="auto" w:sz="4" w:space="0"/>
            </w:tcBorders>
            <w:shd w:val="clear" w:color="auto" w:fill="auto"/>
            <w:vAlign w:val="center"/>
            <w:hideMark/>
          </w:tcPr>
          <w:p w:rsidRPr="0036264C" w:rsidR="00400C37" w:rsidP="00400C37" w:rsidRDefault="00400C37" w14:paraId="6D9DB632" w14:textId="77777777">
            <w:pPr>
              <w:jc w:val="center"/>
              <w:rPr>
                <w:sz w:val="22"/>
                <w:szCs w:val="22"/>
              </w:rPr>
            </w:pPr>
            <w:r w:rsidRPr="0036264C">
              <w:rPr>
                <w:sz w:val="22"/>
                <w:szCs w:val="22"/>
              </w:rPr>
              <w:t>100%</w:t>
            </w:r>
          </w:p>
        </w:tc>
      </w:tr>
    </w:tbl>
    <w:p w:rsidRPr="006B407B" w:rsidR="00400C37" w:rsidP="00400C37" w:rsidRDefault="00400C37" w14:paraId="417C0D0F" w14:textId="77777777">
      <w:pPr>
        <w:keepNext/>
        <w:tabs>
          <w:tab w:val="left" w:pos="-1200"/>
        </w:tabs>
        <w:jc w:val="center"/>
        <w:rPr>
          <w:b/>
        </w:rPr>
      </w:pPr>
    </w:p>
    <w:p w:rsidRPr="006B407B" w:rsidR="00400C37" w:rsidP="00400C37" w:rsidRDefault="00400C37" w14:paraId="4F0DC4E0" w14:textId="77777777">
      <w:pPr>
        <w:tabs>
          <w:tab w:val="left" w:pos="-1200"/>
        </w:tabs>
      </w:pPr>
      <w:r w:rsidRPr="006B407B">
        <w:t xml:space="preserve">For purposes of this ICR, EPA estimates that Years 1, 2, and 3 of this ICR correspond </w:t>
      </w:r>
      <w:r>
        <w:t xml:space="preserve">approximately </w:t>
      </w:r>
      <w:r w:rsidRPr="006B407B">
        <w:t xml:space="preserve">to calendar years 2021, 2022 and 2023. Beginning on June 30, </w:t>
      </w:r>
      <w:r>
        <w:t xml:space="preserve">2021, mailed paper </w:t>
      </w:r>
      <w:r w:rsidRPr="006B407B">
        <w:t xml:space="preserve">submissions will no longer be allowed; rather, facilities must submit copies by image </w:t>
      </w:r>
      <w:r>
        <w:t xml:space="preserve">only </w:t>
      </w:r>
      <w:r w:rsidRPr="006B407B">
        <w:t xml:space="preserve">or data and image. </w:t>
      </w:r>
    </w:p>
    <w:p w:rsidRPr="006B407B" w:rsidR="00400C37" w:rsidP="00400C37" w:rsidRDefault="00400C37" w14:paraId="5E46A9B4" w14:textId="77777777">
      <w:pPr>
        <w:tabs>
          <w:tab w:val="left" w:pos="-1200"/>
        </w:tabs>
      </w:pPr>
    </w:p>
    <w:p w:rsidRPr="006B407B" w:rsidR="00400C37" w:rsidP="00400C37" w:rsidRDefault="00400C37" w14:paraId="57E9408C" w14:textId="77777777">
      <w:pPr>
        <w:tabs>
          <w:tab w:val="left" w:pos="-1200"/>
        </w:tabs>
      </w:pPr>
      <w:r w:rsidRPr="006B407B">
        <w:t>EPA has ascertained that 178 facilities currently mail paper copies to the system. The Agency estimates that each facility incurs a burden of 15 minutes/month to place their manifest copies in a package and mail it to EPA (3 hours/year). EPA estimates that they will continue to do so until June 30, 2021, incurring 1.5 hours during th</w:t>
      </w:r>
      <w:r>
        <w:t>e</w:t>
      </w:r>
      <w:r w:rsidRPr="006B407B">
        <w:t xml:space="preserve"> 6-month period. Over the 3-year life of this ICR, this equates to 30 minutes/facility on average</w:t>
      </w:r>
      <w:r w:rsidRPr="007D659B">
        <w:t xml:space="preserve"> </w:t>
      </w:r>
      <w:r>
        <w:t>as reflected in Exhibit 17</w:t>
      </w:r>
      <w:r w:rsidRPr="006B407B">
        <w:t>. Beginning on June 30, 2021, they will join the rest of the facility universe by submitting copies by image only or data set and image.</w:t>
      </w:r>
    </w:p>
    <w:p w:rsidRPr="006B407B" w:rsidR="00400C37" w:rsidP="00400C37" w:rsidRDefault="00400C37" w14:paraId="2A5E12C0" w14:textId="77777777">
      <w:pPr>
        <w:tabs>
          <w:tab w:val="left" w:pos="-1200"/>
        </w:tabs>
      </w:pPr>
    </w:p>
    <w:p w:rsidRPr="00FB653B" w:rsidR="00400C37" w:rsidP="00400C37" w:rsidRDefault="00400C37" w14:paraId="76022C0F" w14:textId="77777777">
      <w:pPr>
        <w:tabs>
          <w:tab w:val="left" w:pos="-1200"/>
        </w:tabs>
      </w:pPr>
      <w:proofErr w:type="gramStart"/>
      <w:r w:rsidRPr="00FB653B">
        <w:t>In regard to</w:t>
      </w:r>
      <w:proofErr w:type="gramEnd"/>
      <w:r w:rsidRPr="00FB653B">
        <w:t xml:space="preserve"> the 22% of manifests submitted by image only, EPA estimates that it takes a facility three minutes to scan and upload each copy on average. </w:t>
      </w:r>
    </w:p>
    <w:p w:rsidRPr="00FB653B" w:rsidR="00400C37" w:rsidP="00400C37" w:rsidRDefault="00400C37" w14:paraId="4C613342" w14:textId="77777777">
      <w:pPr>
        <w:tabs>
          <w:tab w:val="left" w:pos="-1200"/>
        </w:tabs>
      </w:pPr>
    </w:p>
    <w:p w:rsidRPr="00FB653B" w:rsidR="00400C37" w:rsidP="00400C37" w:rsidRDefault="00400C37" w14:paraId="47F855E6" w14:textId="77777777">
      <w:pPr>
        <w:tabs>
          <w:tab w:val="left" w:pos="-1200"/>
        </w:tabs>
      </w:pPr>
      <w:proofErr w:type="gramStart"/>
      <w:r w:rsidRPr="00FB653B">
        <w:t>In regard to</w:t>
      </w:r>
      <w:proofErr w:type="gramEnd"/>
      <w:r w:rsidRPr="00FB653B">
        <w:t xml:space="preserve"> the 65% of manifests submitted by data set and image, facilities have two options for submission. They can use either the Web method or Service method:</w:t>
      </w:r>
    </w:p>
    <w:p w:rsidRPr="00FB653B" w:rsidR="00400C37" w:rsidP="00400C37" w:rsidRDefault="00400C37" w14:paraId="1D043A1D" w14:textId="77777777">
      <w:pPr>
        <w:tabs>
          <w:tab w:val="left" w:pos="-1200"/>
        </w:tabs>
      </w:pPr>
    </w:p>
    <w:p w:rsidRPr="00FB653B" w:rsidR="00400C37" w:rsidP="00400C37" w:rsidRDefault="00400C37" w14:paraId="4636310B" w14:textId="77777777">
      <w:pPr>
        <w:pStyle w:val="ListParagraph"/>
        <w:numPr>
          <w:ilvl w:val="0"/>
          <w:numId w:val="44"/>
        </w:numPr>
        <w:tabs>
          <w:tab w:val="left" w:pos="-1200"/>
        </w:tabs>
      </w:pPr>
      <w:r w:rsidRPr="00FB653B">
        <w:t>Web method: The facility enters (e.g., key punches) data on each manifest into the e-Manifest system (10 minutes/manifest)</w:t>
      </w:r>
      <w:r>
        <w:t>. Based on e-Manifest data, EPA estimates 240,490 copies are uploaded using this method annually.</w:t>
      </w:r>
    </w:p>
    <w:p w:rsidRPr="00FB653B" w:rsidR="00400C37" w:rsidP="00400C37" w:rsidRDefault="00400C37" w14:paraId="280449EA" w14:textId="77777777">
      <w:pPr>
        <w:pStyle w:val="ListParagraph"/>
        <w:numPr>
          <w:ilvl w:val="0"/>
          <w:numId w:val="44"/>
        </w:numPr>
        <w:tabs>
          <w:tab w:val="left" w:pos="-1200"/>
        </w:tabs>
      </w:pPr>
      <w:r w:rsidRPr="00FB653B">
        <w:t xml:space="preserve">Service method: The facility upgrades and maintains its in-house data system (20 hours/month/facility), which uploads manifest data automatically. </w:t>
      </w:r>
      <w:r>
        <w:t xml:space="preserve"> Based on e-Manifest data, EPA estimates 294 facilities use this method annually.</w:t>
      </w:r>
    </w:p>
    <w:p w:rsidRPr="00FB653B" w:rsidR="00400C37" w:rsidP="00400C37" w:rsidRDefault="00400C37" w14:paraId="47946475" w14:textId="77777777">
      <w:pPr>
        <w:pStyle w:val="ListParagraph"/>
        <w:numPr>
          <w:ilvl w:val="0"/>
          <w:numId w:val="44"/>
        </w:numPr>
        <w:tabs>
          <w:tab w:val="left" w:pos="-1200"/>
        </w:tabs>
      </w:pPr>
      <w:r w:rsidRPr="00FB653B">
        <w:t>All facilities must scan and upload each manifest (3</w:t>
      </w:r>
      <w:r>
        <w:t xml:space="preserve"> </w:t>
      </w:r>
      <w:r w:rsidRPr="00FB653B">
        <w:t>minutes/copy).</w:t>
      </w:r>
    </w:p>
    <w:p w:rsidRPr="006B407B" w:rsidR="00400C37" w:rsidP="00400C37" w:rsidRDefault="00400C37" w14:paraId="22DEBD2A" w14:textId="77777777">
      <w:pPr>
        <w:tabs>
          <w:tab w:val="left" w:pos="-1200"/>
        </w:tabs>
      </w:pPr>
    </w:p>
    <w:p w:rsidRPr="006B407B" w:rsidR="00400C37" w:rsidP="00400C37" w:rsidRDefault="00400C37" w14:paraId="560BB3DF" w14:textId="77777777">
      <w:pPr>
        <w:tabs>
          <w:tab w:val="left" w:pos="-1200"/>
        </w:tabs>
      </w:pPr>
      <w:r w:rsidRPr="006B407B">
        <w:t xml:space="preserve">These estimates are reflected in </w:t>
      </w:r>
      <w:r>
        <w:t>E</w:t>
      </w:r>
      <w:r w:rsidRPr="006B407B">
        <w:t>xhibit</w:t>
      </w:r>
      <w:r>
        <w:t xml:space="preserve"> 17</w:t>
      </w:r>
      <w:r w:rsidRPr="006B407B">
        <w:t>.</w:t>
      </w:r>
      <w:r w:rsidRPr="006B407B">
        <w:rPr>
          <w:rStyle w:val="FootnoteReference"/>
          <w:vertAlign w:val="superscript"/>
        </w:rPr>
        <w:footnoteReference w:id="30"/>
      </w:r>
    </w:p>
    <w:p w:rsidRPr="006B407B" w:rsidR="00400C37" w:rsidP="00400C37" w:rsidRDefault="00400C37" w14:paraId="1A005405" w14:textId="77777777">
      <w:pPr>
        <w:tabs>
          <w:tab w:val="left" w:pos="-1200"/>
        </w:tabs>
      </w:pPr>
    </w:p>
    <w:p w:rsidRPr="006B407B" w:rsidR="00400C37" w:rsidP="00400C37" w:rsidRDefault="00400C37" w14:paraId="19A40DC6" w14:textId="77777777">
      <w:pPr>
        <w:tabs>
          <w:tab w:val="left" w:pos="-1200"/>
        </w:tabs>
        <w:ind w:left="720"/>
      </w:pPr>
      <w:r w:rsidRPr="006B407B">
        <w:rPr>
          <w:i/>
          <w:iCs/>
        </w:rPr>
        <w:t>(d4)</w:t>
      </w:r>
      <w:r w:rsidRPr="006B407B">
        <w:rPr>
          <w:i/>
          <w:iCs/>
        </w:rPr>
        <w:tab/>
        <w:t>Compliance with State Program Requirements</w:t>
      </w:r>
    </w:p>
    <w:p w:rsidRPr="006B407B" w:rsidR="00400C37" w:rsidP="00400C37" w:rsidRDefault="00400C37" w14:paraId="45B1231F" w14:textId="77777777">
      <w:pPr>
        <w:tabs>
          <w:tab w:val="left" w:pos="-1200"/>
        </w:tabs>
      </w:pPr>
    </w:p>
    <w:p w:rsidRPr="006B407B" w:rsidR="00400C37" w:rsidP="00400C37" w:rsidRDefault="00400C37" w14:paraId="379D2CF6" w14:textId="77777777">
      <w:pPr>
        <w:tabs>
          <w:tab w:val="left" w:pos="-1200"/>
        </w:tabs>
      </w:pPr>
      <w:r w:rsidRPr="006B407B">
        <w:t>40 CFR 264.71(e) and 265.71(e) provide that TSDFs must determine whether they are required to comply with requirements specific to state hazardous waste manifest programs. Because these activities are required under state hazardous waste programs, they are not burdened in this ICR. This is reflected in Exhibit 17.</w:t>
      </w:r>
    </w:p>
    <w:p w:rsidRPr="006B407B" w:rsidR="00400C37" w:rsidP="00400C37" w:rsidRDefault="00400C37" w14:paraId="23D2A4E6" w14:textId="77777777">
      <w:pPr>
        <w:tabs>
          <w:tab w:val="left" w:pos="-1200"/>
        </w:tabs>
        <w:ind w:left="720"/>
      </w:pPr>
    </w:p>
    <w:p w:rsidRPr="00853414" w:rsidR="00400C37" w:rsidP="00400C37" w:rsidRDefault="00400C37" w14:paraId="630CC2A0" w14:textId="77777777">
      <w:pPr>
        <w:keepNext/>
        <w:tabs>
          <w:tab w:val="left" w:pos="-1200"/>
        </w:tabs>
        <w:ind w:left="720"/>
      </w:pPr>
      <w:r w:rsidRPr="006B407B">
        <w:rPr>
          <w:i/>
          <w:iCs/>
        </w:rPr>
        <w:lastRenderedPageBreak/>
        <w:t>(d5)</w:t>
      </w:r>
      <w:r w:rsidRPr="006B407B">
        <w:rPr>
          <w:i/>
          <w:iCs/>
        </w:rPr>
        <w:tab/>
        <w:t>Discrepancy Reports</w:t>
      </w:r>
    </w:p>
    <w:p w:rsidR="00400C37" w:rsidP="00400C37" w:rsidRDefault="00400C37" w14:paraId="7B93615E" w14:textId="77777777">
      <w:pPr>
        <w:keepNext/>
        <w:tabs>
          <w:tab w:val="left" w:pos="-1200"/>
        </w:tabs>
      </w:pPr>
    </w:p>
    <w:p w:rsidRPr="00853414" w:rsidR="00400C37" w:rsidP="00400C37" w:rsidRDefault="00400C37" w14:paraId="600B4CE8" w14:textId="77777777">
      <w:pPr>
        <w:keepNext/>
        <w:tabs>
          <w:tab w:val="left" w:pos="-1200"/>
        </w:tabs>
      </w:pPr>
      <w:r>
        <w:t>As reflected in Exhibit 17</w:t>
      </w:r>
      <w:r w:rsidRPr="00853414">
        <w:t xml:space="preserve">, </w:t>
      </w:r>
      <w:r>
        <w:t>EPA</w:t>
      </w:r>
      <w:r w:rsidRPr="00853414">
        <w:t xml:space="preserve"> estimates that approximately </w:t>
      </w:r>
      <w:r>
        <w:t>12</w:t>
      </w:r>
      <w:r w:rsidRPr="00853414">
        <w:t xml:space="preserve">% of manifests accepted by the designated </w:t>
      </w:r>
      <w:r>
        <w:t>facilities</w:t>
      </w:r>
      <w:r w:rsidRPr="00853414">
        <w:t xml:space="preserve"> require reconciling discrepancies between the manifest data and the shipment (</w:t>
      </w:r>
      <w:proofErr w:type="gramStart"/>
      <w:r w:rsidRPr="00853414">
        <w:t>e.g.</w:t>
      </w:r>
      <w:proofErr w:type="gramEnd"/>
      <w:r w:rsidRPr="00853414">
        <w:t xml:space="preserve"> by phoning the generator)</w:t>
      </w:r>
      <w:r>
        <w:t>. EPA</w:t>
      </w:r>
      <w:r w:rsidRPr="00853414">
        <w:t xml:space="preserve"> further estimates that </w:t>
      </w:r>
      <w:r>
        <w:t>2</w:t>
      </w:r>
      <w:r w:rsidRPr="00853414">
        <w:t xml:space="preserve">% of manifests accepted by the designated </w:t>
      </w:r>
      <w:r>
        <w:t xml:space="preserve">facility </w:t>
      </w:r>
      <w:r w:rsidRPr="00853414">
        <w:t>will require a discrepancy report under 40 CFR 264.72 or 265.72</w:t>
      </w:r>
      <w:r>
        <w:t xml:space="preserve">. </w:t>
      </w:r>
    </w:p>
    <w:p w:rsidRPr="00853414" w:rsidR="00400C37" w:rsidP="00400C37" w:rsidRDefault="00400C37" w14:paraId="2C924091" w14:textId="77777777">
      <w:pPr>
        <w:tabs>
          <w:tab w:val="left" w:pos="-1200"/>
        </w:tabs>
        <w:ind w:left="720"/>
      </w:pPr>
    </w:p>
    <w:p w:rsidRPr="00853414" w:rsidR="00400C37" w:rsidP="00400C37" w:rsidRDefault="00400C37" w14:paraId="01C3BDD1" w14:textId="77777777">
      <w:pPr>
        <w:tabs>
          <w:tab w:val="left" w:pos="-1200"/>
        </w:tabs>
        <w:ind w:left="720"/>
      </w:pPr>
      <w:r>
        <w:rPr>
          <w:i/>
          <w:iCs/>
        </w:rPr>
        <w:t>(d6</w:t>
      </w:r>
      <w:r w:rsidRPr="00853414">
        <w:rPr>
          <w:i/>
          <w:iCs/>
        </w:rPr>
        <w:t>)</w:t>
      </w:r>
      <w:r w:rsidRPr="00853414">
        <w:rPr>
          <w:i/>
          <w:iCs/>
        </w:rPr>
        <w:tab/>
        <w:t>Rejected Waste and Container Residues</w:t>
      </w:r>
    </w:p>
    <w:p w:rsidRPr="00853414" w:rsidR="00400C37" w:rsidP="00400C37" w:rsidRDefault="00400C37" w14:paraId="4D55A4CF" w14:textId="77777777">
      <w:pPr>
        <w:tabs>
          <w:tab w:val="left" w:pos="-1200"/>
        </w:tabs>
        <w:ind w:left="720"/>
      </w:pPr>
    </w:p>
    <w:p w:rsidR="00400C37" w:rsidP="00400C37" w:rsidRDefault="00400C37" w14:paraId="69A087A5" w14:textId="77777777">
      <w:pPr>
        <w:pStyle w:val="Level1"/>
        <w:widowControl/>
        <w:tabs>
          <w:tab w:val="left" w:pos="-1200"/>
        </w:tabs>
        <w:ind w:left="0" w:firstLine="0"/>
        <w:outlineLvl w:val="9"/>
      </w:pPr>
      <w:r w:rsidRPr="00853414">
        <w:t>As sho</w:t>
      </w:r>
      <w:r>
        <w:t>wn in Exhibit 18</w:t>
      </w:r>
      <w:r w:rsidRPr="00853414">
        <w:t xml:space="preserve">, </w:t>
      </w:r>
      <w:r>
        <w:t>EPA</w:t>
      </w:r>
      <w:r w:rsidRPr="00853414">
        <w:t xml:space="preserve"> estimates </w:t>
      </w:r>
      <w:r>
        <w:t xml:space="preserve">the burden for </w:t>
      </w:r>
      <w:r w:rsidRPr="00853414">
        <w:t xml:space="preserve">designated </w:t>
      </w:r>
      <w:r>
        <w:t>facilities</w:t>
      </w:r>
      <w:r w:rsidRPr="00853414">
        <w:t xml:space="preserve"> </w:t>
      </w:r>
      <w:r>
        <w:t xml:space="preserve">to </w:t>
      </w:r>
      <w:r w:rsidRPr="00853414">
        <w:t xml:space="preserve">reject a shipment or identify </w:t>
      </w:r>
      <w:r>
        <w:t xml:space="preserve">and ship </w:t>
      </w:r>
      <w:r w:rsidRPr="00853414">
        <w:t>a container residue</w:t>
      </w:r>
      <w:r>
        <w:t xml:space="preserve">. </w:t>
      </w:r>
    </w:p>
    <w:p w:rsidRPr="00853414" w:rsidR="00400C37" w:rsidP="00400C37" w:rsidRDefault="00400C37" w14:paraId="4E80ABBE" w14:textId="77777777">
      <w:pPr>
        <w:pStyle w:val="Level1"/>
        <w:widowControl/>
        <w:tabs>
          <w:tab w:val="left" w:pos="-1200"/>
        </w:tabs>
        <w:ind w:left="0" w:firstLine="0"/>
        <w:outlineLvl w:val="9"/>
      </w:pPr>
    </w:p>
    <w:p w:rsidR="00400C37" w:rsidP="00400C37" w:rsidRDefault="00400C37" w14:paraId="394979F5" w14:textId="77777777">
      <w:pPr>
        <w:keepNext/>
        <w:tabs>
          <w:tab w:val="left" w:pos="-1200"/>
        </w:tabs>
        <w:ind w:left="720"/>
      </w:pPr>
      <w:r>
        <w:rPr>
          <w:i/>
          <w:iCs/>
        </w:rPr>
        <w:t>(</w:t>
      </w:r>
      <w:r w:rsidRPr="00AA4799">
        <w:rPr>
          <w:i/>
          <w:iCs/>
        </w:rPr>
        <w:t>d</w:t>
      </w:r>
      <w:r>
        <w:rPr>
          <w:i/>
          <w:iCs/>
        </w:rPr>
        <w:t>7</w:t>
      </w:r>
      <w:r w:rsidRPr="00AA4799">
        <w:rPr>
          <w:i/>
          <w:iCs/>
        </w:rPr>
        <w:t>)</w:t>
      </w:r>
      <w:r w:rsidRPr="00AA4799">
        <w:rPr>
          <w:i/>
          <w:iCs/>
        </w:rPr>
        <w:tab/>
        <w:t>Post-Receipt Manifest Data Corrections</w:t>
      </w:r>
    </w:p>
    <w:p w:rsidR="00400C37" w:rsidP="00400C37" w:rsidRDefault="00400C37" w14:paraId="52D86EFD" w14:textId="77777777">
      <w:pPr>
        <w:keepNext/>
        <w:tabs>
          <w:tab w:val="left" w:pos="-1200"/>
        </w:tabs>
      </w:pPr>
    </w:p>
    <w:p w:rsidR="00400C37" w:rsidP="00400C37" w:rsidRDefault="00400C37" w14:paraId="5426C896" w14:textId="77777777">
      <w:pPr>
        <w:keepNext/>
        <w:tabs>
          <w:tab w:val="left" w:pos="-1200"/>
        </w:tabs>
      </w:pPr>
      <w:r>
        <w:t xml:space="preserve">EPA expects each </w:t>
      </w:r>
      <w:r w:rsidRPr="00841FDA">
        <w:t xml:space="preserve">receiving facility (federal and state) </w:t>
      </w:r>
      <w:r>
        <w:t>to</w:t>
      </w:r>
      <w:r w:rsidRPr="00841FDA">
        <w:t xml:space="preserve"> register with the e-Manifest system and have system access for corrections.</w:t>
      </w:r>
      <w:r w:rsidRPr="00841FDA">
        <w:rPr>
          <w:rStyle w:val="FootnoteReference"/>
          <w:vertAlign w:val="superscript"/>
        </w:rPr>
        <w:t xml:space="preserve"> </w:t>
      </w:r>
      <w:r w:rsidRPr="00841FDA">
        <w:rPr>
          <w:rStyle w:val="FootnoteReference"/>
          <w:vertAlign w:val="superscript"/>
        </w:rPr>
        <w:footnoteReference w:id="31"/>
      </w:r>
      <w:r w:rsidRPr="00841FDA">
        <w:t xml:space="preserve">  Based on e-Manifest data, EPA estimates that facilities will submit corrections or respond with comments for 2% of manifests (paper and electronic) accompanying federal and state waste annually</w:t>
      </w:r>
      <w:r>
        <w:t>, as reflected in Exhibit 19</w:t>
      </w:r>
      <w:r w:rsidRPr="00841FDA">
        <w:t>.</w:t>
      </w:r>
      <w:r w:rsidRPr="00841FDA">
        <w:rPr>
          <w:vertAlign w:val="superscript"/>
        </w:rPr>
        <w:t xml:space="preserve"> </w:t>
      </w:r>
      <w:r w:rsidRPr="00841FDA">
        <w:rPr>
          <w:rStyle w:val="FootnoteReference"/>
          <w:vertAlign w:val="superscript"/>
        </w:rPr>
        <w:footnoteReference w:id="32"/>
      </w:r>
    </w:p>
    <w:p w:rsidR="00400C37" w:rsidP="00400C37" w:rsidRDefault="00400C37" w14:paraId="6EE9F2D0" w14:textId="77777777">
      <w:pPr>
        <w:tabs>
          <w:tab w:val="left" w:pos="-1200"/>
        </w:tabs>
        <w:ind w:left="720"/>
        <w:rPr>
          <w:i/>
          <w:iCs/>
        </w:rPr>
      </w:pPr>
    </w:p>
    <w:p w:rsidRPr="00F749BE" w:rsidR="00400C37" w:rsidP="00400C37" w:rsidRDefault="00400C37" w14:paraId="20150AFA" w14:textId="77777777">
      <w:pPr>
        <w:tabs>
          <w:tab w:val="left" w:pos="-1200"/>
        </w:tabs>
        <w:ind w:left="720"/>
      </w:pPr>
      <w:r w:rsidRPr="00F749BE">
        <w:rPr>
          <w:i/>
          <w:iCs/>
        </w:rPr>
        <w:t>(d</w:t>
      </w:r>
      <w:r>
        <w:rPr>
          <w:i/>
          <w:iCs/>
        </w:rPr>
        <w:t>8</w:t>
      </w:r>
      <w:r w:rsidRPr="00F749BE">
        <w:rPr>
          <w:i/>
          <w:iCs/>
        </w:rPr>
        <w:t>)</w:t>
      </w:r>
      <w:r w:rsidRPr="00F749BE">
        <w:rPr>
          <w:i/>
          <w:iCs/>
        </w:rPr>
        <w:tab/>
        <w:t>Unmanifested Waste Reports:  Completion and Submission</w:t>
      </w:r>
    </w:p>
    <w:p w:rsidRPr="00F749BE" w:rsidR="00400C37" w:rsidP="00400C37" w:rsidRDefault="00400C37" w14:paraId="6252E492" w14:textId="77777777">
      <w:pPr>
        <w:tabs>
          <w:tab w:val="left" w:pos="-1200"/>
        </w:tabs>
      </w:pPr>
    </w:p>
    <w:p w:rsidR="00400C37" w:rsidP="00400C37" w:rsidRDefault="00400C37" w14:paraId="2117A762" w14:textId="77777777">
      <w:pPr>
        <w:tabs>
          <w:tab w:val="left" w:pos="-1200"/>
        </w:tabs>
      </w:pPr>
      <w:r w:rsidRPr="00F749BE">
        <w:t>As shown in Exhibit 2</w:t>
      </w:r>
      <w:r>
        <w:t>0</w:t>
      </w:r>
      <w:r w:rsidRPr="00F749BE">
        <w:t xml:space="preserve">, EPA estimates that </w:t>
      </w:r>
      <w:r>
        <w:t>receiving facilities</w:t>
      </w:r>
      <w:r w:rsidRPr="00F749BE">
        <w:t xml:space="preserve"> will need to complete letters for</w:t>
      </w:r>
      <w:r>
        <w:t xml:space="preserve"> shipments that arrive without a manifest, </w:t>
      </w:r>
      <w:r w:rsidRPr="00853414">
        <w:t xml:space="preserve">notifying the Agency of </w:t>
      </w:r>
      <w:r>
        <w:t xml:space="preserve">an </w:t>
      </w:r>
      <w:r w:rsidRPr="00853414">
        <w:t>un</w:t>
      </w:r>
      <w:r>
        <w:t>-</w:t>
      </w:r>
      <w:r w:rsidRPr="00853414">
        <w:t>manifested waste shipmen</w:t>
      </w:r>
      <w:r>
        <w:t>t.</w:t>
      </w:r>
    </w:p>
    <w:p w:rsidR="00400C37" w:rsidP="00400C37" w:rsidRDefault="00400C37" w14:paraId="237D151F" w14:textId="77777777">
      <w:pPr>
        <w:tabs>
          <w:tab w:val="left" w:pos="-1200"/>
        </w:tabs>
      </w:pPr>
    </w:p>
    <w:p w:rsidRPr="00AA4799" w:rsidR="00400C37" w:rsidP="00400C37" w:rsidRDefault="00400C37" w14:paraId="10A01AC9" w14:textId="77777777">
      <w:pPr>
        <w:tabs>
          <w:tab w:val="left" w:pos="-1200"/>
        </w:tabs>
        <w:ind w:left="720"/>
      </w:pPr>
      <w:r>
        <w:rPr>
          <w:i/>
          <w:iCs/>
        </w:rPr>
        <w:t>(d9</w:t>
      </w:r>
      <w:r w:rsidRPr="00AA4799">
        <w:rPr>
          <w:i/>
          <w:iCs/>
        </w:rPr>
        <w:t>)</w:t>
      </w:r>
      <w:r w:rsidRPr="00AA4799">
        <w:rPr>
          <w:i/>
          <w:iCs/>
        </w:rPr>
        <w:tab/>
      </w:r>
      <w:r>
        <w:rPr>
          <w:i/>
          <w:iCs/>
        </w:rPr>
        <w:t>Fees for the Electronic Hazardous Waste Manifest Program</w:t>
      </w:r>
    </w:p>
    <w:p w:rsidRPr="00AA4799" w:rsidR="00400C37" w:rsidP="00400C37" w:rsidRDefault="00400C37" w14:paraId="6930404C" w14:textId="77777777">
      <w:pPr>
        <w:tabs>
          <w:tab w:val="left" w:pos="-1200"/>
        </w:tabs>
        <w:ind w:left="720"/>
      </w:pPr>
    </w:p>
    <w:p w:rsidR="00400C37" w:rsidP="00400C37" w:rsidRDefault="00400C37" w14:paraId="7B1F950C" w14:textId="77777777">
      <w:pPr>
        <w:tabs>
          <w:tab w:val="left" w:pos="-1200"/>
        </w:tabs>
      </w:pPr>
      <w:r>
        <w:t xml:space="preserve">Exhibit 21 estimates the annual fee amount paid by facilities as well as other activities performed in compliance with 40 CFR Part 264 and 265, Subpart FF. </w:t>
      </w:r>
      <w:r w:rsidRPr="00AA4799">
        <w:t>The r</w:t>
      </w:r>
      <w:r>
        <w:t>egulations</w:t>
      </w:r>
      <w:r w:rsidRPr="00AA4799">
        <w:t xml:space="preserve"> set forth a methodology and requirements for </w:t>
      </w:r>
      <w:r>
        <w:t xml:space="preserve">EPA to calculate </w:t>
      </w:r>
      <w:r w:rsidRPr="00AA4799">
        <w:t>user fees for paper and electronic manifests</w:t>
      </w:r>
      <w:r>
        <w:t>. T</w:t>
      </w:r>
      <w:r w:rsidRPr="00AA4799">
        <w:t>he national system w</w:t>
      </w:r>
      <w:r>
        <w:t>ill</w:t>
      </w:r>
      <w:r w:rsidRPr="00AA4799">
        <w:t xml:space="preserve"> collect fees directly </w:t>
      </w:r>
      <w:r>
        <w:t>from TSDFs/receiving facilities</w:t>
      </w:r>
      <w:r w:rsidRPr="00AA4799">
        <w:t xml:space="preserve">, </w:t>
      </w:r>
      <w:proofErr w:type="gramStart"/>
      <w:r w:rsidRPr="00AA4799">
        <w:t>taking into account</w:t>
      </w:r>
      <w:proofErr w:type="gramEnd"/>
      <w:r w:rsidRPr="00AA4799">
        <w:t xml:space="preserve"> the submittal method and number of forms</w:t>
      </w:r>
      <w:r>
        <w:t xml:space="preserve">. </w:t>
      </w:r>
    </w:p>
    <w:p w:rsidR="00400C37" w:rsidP="00400C37" w:rsidRDefault="00400C37" w14:paraId="05A5EDB7" w14:textId="77777777">
      <w:pPr>
        <w:tabs>
          <w:tab w:val="left" w:pos="-1200"/>
        </w:tabs>
      </w:pPr>
    </w:p>
    <w:p w:rsidR="00400C37" w:rsidP="00400C37" w:rsidRDefault="00400C37" w14:paraId="499D3ECD" w14:textId="77777777">
      <w:pPr>
        <w:tabs>
          <w:tab w:val="left" w:pos="-1200"/>
        </w:tabs>
      </w:pPr>
      <w:r w:rsidRPr="003A5DA1">
        <w:t xml:space="preserve">Table </w:t>
      </w:r>
      <w:r>
        <w:t>6</w:t>
      </w:r>
      <w:r w:rsidRPr="003A5DA1">
        <w:t xml:space="preserve"> estimates that 1,785,405 manifests </w:t>
      </w:r>
      <w:r>
        <w:t xml:space="preserve">will accompany federal and state waste manifests </w:t>
      </w:r>
      <w:r w:rsidRPr="003A5DA1">
        <w:t xml:space="preserve">(electronic and paper) annually. </w:t>
      </w:r>
      <w:r>
        <w:t>Table 9 presents the average annual m</w:t>
      </w:r>
      <w:r w:rsidRPr="005701B5">
        <w:t xml:space="preserve">anifest </w:t>
      </w:r>
      <w:r>
        <w:t>s</w:t>
      </w:r>
      <w:r w:rsidRPr="005701B5">
        <w:t xml:space="preserve">ubmittal </w:t>
      </w:r>
      <w:r>
        <w:t>r</w:t>
      </w:r>
      <w:r w:rsidRPr="005701B5">
        <w:t>ates</w:t>
      </w:r>
      <w:r>
        <w:t>.</w:t>
      </w:r>
      <w:r w:rsidRPr="003A5DA1">
        <w:t xml:space="preserve"> </w:t>
      </w:r>
      <w:r w:rsidRPr="00AA4799">
        <w:t xml:space="preserve">Table </w:t>
      </w:r>
      <w:r>
        <w:t>10</w:t>
      </w:r>
      <w:r w:rsidRPr="00AA4799">
        <w:t xml:space="preserve"> </w:t>
      </w:r>
      <w:r>
        <w:t>combines these data to estimate</w:t>
      </w:r>
      <w:r w:rsidRPr="00AA4799">
        <w:t xml:space="preserve"> the annual number of manifests </w:t>
      </w:r>
      <w:r>
        <w:t xml:space="preserve">by submittal method for which fees must be paid. </w:t>
      </w:r>
    </w:p>
    <w:p w:rsidR="00400C37" w:rsidP="00400C37" w:rsidRDefault="00400C37" w14:paraId="307F1697" w14:textId="77777777">
      <w:pPr>
        <w:keepNext/>
        <w:tabs>
          <w:tab w:val="left" w:pos="-1200"/>
        </w:tabs>
        <w:jc w:val="center"/>
        <w:rPr>
          <w:b/>
        </w:rPr>
      </w:pPr>
    </w:p>
    <w:p w:rsidR="00400C37" w:rsidP="00400C37" w:rsidRDefault="00400C37" w14:paraId="169269B6" w14:textId="77777777">
      <w:pPr>
        <w:keepNext/>
        <w:tabs>
          <w:tab w:val="left" w:pos="-1200"/>
        </w:tabs>
        <w:jc w:val="center"/>
        <w:rPr>
          <w:b/>
        </w:rPr>
      </w:pPr>
      <w:r w:rsidRPr="00AA4799">
        <w:rPr>
          <w:b/>
        </w:rPr>
        <w:t xml:space="preserve">Table </w:t>
      </w:r>
      <w:r>
        <w:rPr>
          <w:b/>
        </w:rPr>
        <w:t>10</w:t>
      </w:r>
    </w:p>
    <w:p w:rsidRPr="00AA4799" w:rsidR="00400C37" w:rsidP="00400C37" w:rsidRDefault="00400C37" w14:paraId="09EE3034" w14:textId="77777777">
      <w:pPr>
        <w:keepNext/>
        <w:tabs>
          <w:tab w:val="left" w:pos="-1200"/>
        </w:tabs>
        <w:jc w:val="center"/>
        <w:rPr>
          <w:b/>
        </w:rPr>
      </w:pPr>
      <w:r w:rsidRPr="00AA4799">
        <w:rPr>
          <w:b/>
        </w:rPr>
        <w:t>Annual Submittal Rates</w:t>
      </w:r>
      <w:r>
        <w:rPr>
          <w:b/>
        </w:rPr>
        <w:t xml:space="preserve"> and</w:t>
      </w:r>
      <w:r w:rsidRPr="00AA4799">
        <w:rPr>
          <w:b/>
        </w:rPr>
        <w:t xml:space="preserve"> Number Manifests</w:t>
      </w:r>
      <w:r>
        <w:rPr>
          <w:b/>
        </w:rPr>
        <w:t>, by Submittal Method*</w:t>
      </w:r>
    </w:p>
    <w:tbl>
      <w:tblPr>
        <w:tblW w:w="9251" w:type="dxa"/>
        <w:jc w:val="center"/>
        <w:tblLook w:val="04A0" w:firstRow="1" w:lastRow="0" w:firstColumn="1" w:lastColumn="0" w:noHBand="0" w:noVBand="1"/>
      </w:tblPr>
      <w:tblGrid>
        <w:gridCol w:w="4031"/>
        <w:gridCol w:w="2340"/>
        <w:gridCol w:w="2880"/>
      </w:tblGrid>
      <w:tr w:rsidRPr="009670F6" w:rsidR="00400C37" w:rsidTr="00400C37" w14:paraId="7EB02494" w14:textId="77777777">
        <w:trPr>
          <w:trHeight w:val="210"/>
          <w:tblHeader/>
          <w:jc w:val="center"/>
        </w:trPr>
        <w:tc>
          <w:tcPr>
            <w:tcW w:w="4031" w:type="dxa"/>
            <w:tcBorders>
              <w:top w:val="single" w:color="auto" w:sz="8" w:space="0"/>
              <w:left w:val="single" w:color="auto" w:sz="8" w:space="0"/>
              <w:bottom w:val="single" w:color="auto" w:sz="4" w:space="0"/>
              <w:right w:val="single" w:color="auto" w:sz="4" w:space="0"/>
            </w:tcBorders>
            <w:shd w:val="clear" w:color="auto" w:fill="D9D9D9" w:themeFill="background1" w:themeFillShade="D9"/>
            <w:noWrap/>
            <w:vAlign w:val="center"/>
            <w:hideMark/>
          </w:tcPr>
          <w:p w:rsidRPr="00AF2D86" w:rsidR="00400C37" w:rsidP="00400C37" w:rsidRDefault="00400C37" w14:paraId="11BC0081" w14:textId="77777777">
            <w:pPr>
              <w:keepNext/>
              <w:rPr>
                <w:b/>
                <w:sz w:val="22"/>
                <w:szCs w:val="22"/>
              </w:rPr>
            </w:pPr>
            <w:r w:rsidRPr="00AF2D86">
              <w:rPr>
                <w:b/>
                <w:sz w:val="22"/>
                <w:szCs w:val="22"/>
              </w:rPr>
              <w:t> Submittal Method</w:t>
            </w:r>
          </w:p>
        </w:tc>
        <w:tc>
          <w:tcPr>
            <w:tcW w:w="2340" w:type="dxa"/>
            <w:tcBorders>
              <w:top w:val="single" w:color="auto" w:sz="8" w:space="0"/>
              <w:left w:val="nil"/>
              <w:bottom w:val="single" w:color="auto" w:sz="4" w:space="0"/>
              <w:right w:val="single" w:color="auto" w:sz="4" w:space="0"/>
            </w:tcBorders>
            <w:shd w:val="clear" w:color="auto" w:fill="D9D9D9" w:themeFill="background1" w:themeFillShade="D9"/>
            <w:noWrap/>
            <w:vAlign w:val="center"/>
            <w:hideMark/>
          </w:tcPr>
          <w:p w:rsidRPr="00AF2D86" w:rsidR="00400C37" w:rsidP="00400C37" w:rsidRDefault="00400C37" w14:paraId="746BFE85" w14:textId="77777777">
            <w:pPr>
              <w:keepNext/>
              <w:jc w:val="center"/>
              <w:rPr>
                <w:b/>
                <w:bCs/>
                <w:sz w:val="22"/>
                <w:szCs w:val="22"/>
              </w:rPr>
            </w:pPr>
            <w:r w:rsidRPr="00AF2D86">
              <w:rPr>
                <w:b/>
                <w:bCs/>
                <w:sz w:val="22"/>
                <w:szCs w:val="22"/>
              </w:rPr>
              <w:t xml:space="preserve">3-Year Annual Average Percentage** </w:t>
            </w:r>
          </w:p>
        </w:tc>
        <w:tc>
          <w:tcPr>
            <w:tcW w:w="2880" w:type="dxa"/>
            <w:tcBorders>
              <w:top w:val="single" w:color="auto" w:sz="8" w:space="0"/>
              <w:left w:val="nil"/>
              <w:bottom w:val="single" w:color="auto" w:sz="4" w:space="0"/>
              <w:right w:val="single" w:color="auto" w:sz="4" w:space="0"/>
            </w:tcBorders>
            <w:shd w:val="clear" w:color="auto" w:fill="D9D9D9" w:themeFill="background1" w:themeFillShade="D9"/>
            <w:noWrap/>
            <w:vAlign w:val="center"/>
            <w:hideMark/>
          </w:tcPr>
          <w:p w:rsidRPr="00AF2D86" w:rsidR="00400C37" w:rsidP="00400C37" w:rsidRDefault="00400C37" w14:paraId="6E103437" w14:textId="77777777">
            <w:pPr>
              <w:keepNext/>
              <w:jc w:val="center"/>
              <w:rPr>
                <w:b/>
                <w:bCs/>
                <w:sz w:val="22"/>
                <w:szCs w:val="22"/>
              </w:rPr>
            </w:pPr>
            <w:r w:rsidRPr="00AF2D86">
              <w:rPr>
                <w:b/>
                <w:bCs/>
                <w:sz w:val="22"/>
                <w:szCs w:val="22"/>
              </w:rPr>
              <w:t xml:space="preserve">Annual Number of Manifests </w:t>
            </w:r>
            <w:proofErr w:type="gramStart"/>
            <w:r w:rsidRPr="00AF2D86">
              <w:rPr>
                <w:b/>
                <w:bCs/>
                <w:sz w:val="22"/>
                <w:szCs w:val="22"/>
              </w:rPr>
              <w:t>For</w:t>
            </w:r>
            <w:proofErr w:type="gramEnd"/>
            <w:r w:rsidRPr="00AF2D86">
              <w:rPr>
                <w:b/>
                <w:bCs/>
                <w:sz w:val="22"/>
                <w:szCs w:val="22"/>
              </w:rPr>
              <w:t xml:space="preserve"> Which Fees Are Paid</w:t>
            </w:r>
          </w:p>
        </w:tc>
      </w:tr>
      <w:tr w:rsidRPr="009670F6" w:rsidR="00400C37" w:rsidTr="00400C37" w14:paraId="76EEC5F8" w14:textId="77777777">
        <w:trPr>
          <w:trHeight w:val="210"/>
          <w:jc w:val="center"/>
        </w:trPr>
        <w:tc>
          <w:tcPr>
            <w:tcW w:w="4031" w:type="dxa"/>
            <w:tcBorders>
              <w:top w:val="nil"/>
              <w:left w:val="single" w:color="auto" w:sz="8" w:space="0"/>
              <w:bottom w:val="single" w:color="auto" w:sz="4" w:space="0"/>
              <w:right w:val="single" w:color="auto" w:sz="4" w:space="0"/>
            </w:tcBorders>
            <w:shd w:val="clear" w:color="auto" w:fill="auto"/>
            <w:noWrap/>
            <w:vAlign w:val="center"/>
            <w:hideMark/>
          </w:tcPr>
          <w:p w:rsidRPr="00AF2D86" w:rsidR="00400C37" w:rsidP="00400C37" w:rsidRDefault="00400C37" w14:paraId="467832AF" w14:textId="77777777">
            <w:pPr>
              <w:rPr>
                <w:sz w:val="22"/>
                <w:szCs w:val="22"/>
              </w:rPr>
            </w:pPr>
            <w:r w:rsidRPr="00AF2D86">
              <w:rPr>
                <w:sz w:val="22"/>
                <w:szCs w:val="22"/>
              </w:rPr>
              <w:t>Mailed Paper</w:t>
            </w:r>
          </w:p>
        </w:tc>
        <w:tc>
          <w:tcPr>
            <w:tcW w:w="2340" w:type="dxa"/>
            <w:tcBorders>
              <w:top w:val="nil"/>
              <w:left w:val="nil"/>
              <w:bottom w:val="single" w:color="auto" w:sz="4" w:space="0"/>
              <w:right w:val="single" w:color="auto" w:sz="4" w:space="0"/>
            </w:tcBorders>
            <w:shd w:val="clear" w:color="auto" w:fill="auto"/>
            <w:noWrap/>
            <w:hideMark/>
          </w:tcPr>
          <w:p w:rsidRPr="00AF2D86" w:rsidR="00400C37" w:rsidP="00400C37" w:rsidRDefault="00400C37" w14:paraId="0C3D333A" w14:textId="77777777">
            <w:pPr>
              <w:jc w:val="center"/>
              <w:rPr>
                <w:sz w:val="22"/>
                <w:szCs w:val="22"/>
              </w:rPr>
            </w:pPr>
            <w:r w:rsidRPr="00AF2D86">
              <w:rPr>
                <w:sz w:val="22"/>
                <w:szCs w:val="22"/>
              </w:rPr>
              <w:t>2%</w:t>
            </w:r>
          </w:p>
        </w:tc>
        <w:tc>
          <w:tcPr>
            <w:tcW w:w="2880" w:type="dxa"/>
            <w:tcBorders>
              <w:top w:val="nil"/>
              <w:left w:val="nil"/>
              <w:bottom w:val="single" w:color="auto" w:sz="4" w:space="0"/>
              <w:right w:val="single" w:color="auto" w:sz="4" w:space="0"/>
            </w:tcBorders>
            <w:shd w:val="clear" w:color="auto" w:fill="auto"/>
            <w:noWrap/>
            <w:vAlign w:val="bottom"/>
            <w:hideMark/>
          </w:tcPr>
          <w:p w:rsidRPr="00AF2D86" w:rsidR="00400C37" w:rsidP="00400C37" w:rsidRDefault="00400C37" w14:paraId="22E2EEC5" w14:textId="77777777">
            <w:pPr>
              <w:jc w:val="center"/>
              <w:rPr>
                <w:sz w:val="22"/>
                <w:szCs w:val="22"/>
              </w:rPr>
            </w:pPr>
            <w:r w:rsidRPr="00AF2D86">
              <w:rPr>
                <w:sz w:val="22"/>
                <w:szCs w:val="22"/>
              </w:rPr>
              <w:t xml:space="preserve">35,708 </w:t>
            </w:r>
          </w:p>
        </w:tc>
      </w:tr>
      <w:tr w:rsidRPr="009670F6" w:rsidR="00400C37" w:rsidTr="00400C37" w14:paraId="1CC01298" w14:textId="77777777">
        <w:trPr>
          <w:trHeight w:val="210"/>
          <w:jc w:val="center"/>
        </w:trPr>
        <w:tc>
          <w:tcPr>
            <w:tcW w:w="4031" w:type="dxa"/>
            <w:tcBorders>
              <w:top w:val="nil"/>
              <w:left w:val="single" w:color="auto" w:sz="8" w:space="0"/>
              <w:bottom w:val="single" w:color="auto" w:sz="4" w:space="0"/>
              <w:right w:val="single" w:color="auto" w:sz="4" w:space="0"/>
            </w:tcBorders>
            <w:shd w:val="clear" w:color="auto" w:fill="auto"/>
            <w:noWrap/>
            <w:vAlign w:val="center"/>
            <w:hideMark/>
          </w:tcPr>
          <w:p w:rsidRPr="00AF2D86" w:rsidR="00400C37" w:rsidP="00400C37" w:rsidRDefault="00400C37" w14:paraId="412DA318" w14:textId="77777777">
            <w:pPr>
              <w:rPr>
                <w:sz w:val="22"/>
                <w:szCs w:val="22"/>
              </w:rPr>
            </w:pPr>
            <w:r w:rsidRPr="00AF2D86">
              <w:rPr>
                <w:sz w:val="22"/>
                <w:szCs w:val="22"/>
              </w:rPr>
              <w:t>Image only</w:t>
            </w:r>
          </w:p>
        </w:tc>
        <w:tc>
          <w:tcPr>
            <w:tcW w:w="2340" w:type="dxa"/>
            <w:tcBorders>
              <w:top w:val="nil"/>
              <w:left w:val="nil"/>
              <w:bottom w:val="single" w:color="auto" w:sz="4" w:space="0"/>
              <w:right w:val="single" w:color="auto" w:sz="4" w:space="0"/>
            </w:tcBorders>
            <w:shd w:val="clear" w:color="auto" w:fill="auto"/>
            <w:noWrap/>
            <w:hideMark/>
          </w:tcPr>
          <w:p w:rsidRPr="00AF2D86" w:rsidR="00400C37" w:rsidP="00400C37" w:rsidRDefault="00400C37" w14:paraId="0ED6AE0F" w14:textId="77777777">
            <w:pPr>
              <w:jc w:val="center"/>
              <w:rPr>
                <w:sz w:val="22"/>
                <w:szCs w:val="22"/>
              </w:rPr>
            </w:pPr>
            <w:r w:rsidRPr="00AF2D86">
              <w:rPr>
                <w:sz w:val="22"/>
                <w:szCs w:val="22"/>
              </w:rPr>
              <w:t>22%</w:t>
            </w:r>
          </w:p>
        </w:tc>
        <w:tc>
          <w:tcPr>
            <w:tcW w:w="2880" w:type="dxa"/>
            <w:tcBorders>
              <w:top w:val="nil"/>
              <w:left w:val="nil"/>
              <w:bottom w:val="single" w:color="auto" w:sz="4" w:space="0"/>
              <w:right w:val="single" w:color="auto" w:sz="4" w:space="0"/>
            </w:tcBorders>
            <w:shd w:val="clear" w:color="auto" w:fill="auto"/>
            <w:noWrap/>
            <w:vAlign w:val="bottom"/>
            <w:hideMark/>
          </w:tcPr>
          <w:p w:rsidRPr="00AF2D86" w:rsidR="00400C37" w:rsidP="00400C37" w:rsidRDefault="00400C37" w14:paraId="5CE01CDC" w14:textId="77777777">
            <w:pPr>
              <w:jc w:val="center"/>
              <w:rPr>
                <w:sz w:val="22"/>
                <w:szCs w:val="22"/>
              </w:rPr>
            </w:pPr>
            <w:r w:rsidRPr="00AF2D86">
              <w:rPr>
                <w:sz w:val="22"/>
                <w:szCs w:val="22"/>
              </w:rPr>
              <w:t xml:space="preserve">392,789 </w:t>
            </w:r>
          </w:p>
        </w:tc>
      </w:tr>
      <w:tr w:rsidRPr="009670F6" w:rsidR="00400C37" w:rsidTr="00400C37" w14:paraId="6CB5D07A" w14:textId="77777777">
        <w:trPr>
          <w:trHeight w:val="210"/>
          <w:jc w:val="center"/>
        </w:trPr>
        <w:tc>
          <w:tcPr>
            <w:tcW w:w="4031" w:type="dxa"/>
            <w:tcBorders>
              <w:top w:val="nil"/>
              <w:left w:val="single" w:color="auto" w:sz="8" w:space="0"/>
              <w:bottom w:val="single" w:color="auto" w:sz="4" w:space="0"/>
              <w:right w:val="single" w:color="auto" w:sz="4" w:space="0"/>
            </w:tcBorders>
            <w:shd w:val="clear" w:color="auto" w:fill="auto"/>
            <w:noWrap/>
            <w:vAlign w:val="center"/>
            <w:hideMark/>
          </w:tcPr>
          <w:p w:rsidRPr="00AF2D86" w:rsidR="00400C37" w:rsidP="00400C37" w:rsidRDefault="00400C37" w14:paraId="0F960F90" w14:textId="77777777">
            <w:pPr>
              <w:rPr>
                <w:sz w:val="22"/>
                <w:szCs w:val="22"/>
              </w:rPr>
            </w:pPr>
            <w:r w:rsidRPr="00AF2D86">
              <w:rPr>
                <w:sz w:val="22"/>
                <w:szCs w:val="22"/>
              </w:rPr>
              <w:t>Data &amp; Image</w:t>
            </w:r>
          </w:p>
        </w:tc>
        <w:tc>
          <w:tcPr>
            <w:tcW w:w="2340" w:type="dxa"/>
            <w:tcBorders>
              <w:top w:val="nil"/>
              <w:left w:val="nil"/>
              <w:bottom w:val="single" w:color="auto" w:sz="4" w:space="0"/>
              <w:right w:val="single" w:color="auto" w:sz="4" w:space="0"/>
            </w:tcBorders>
            <w:shd w:val="clear" w:color="auto" w:fill="auto"/>
            <w:noWrap/>
            <w:hideMark/>
          </w:tcPr>
          <w:p w:rsidRPr="00AF2D86" w:rsidR="00400C37" w:rsidP="00400C37" w:rsidRDefault="00400C37" w14:paraId="0ADFBF96" w14:textId="77777777">
            <w:pPr>
              <w:jc w:val="center"/>
              <w:rPr>
                <w:sz w:val="22"/>
                <w:szCs w:val="22"/>
              </w:rPr>
            </w:pPr>
            <w:r w:rsidRPr="00AF2D86">
              <w:rPr>
                <w:sz w:val="22"/>
                <w:szCs w:val="22"/>
              </w:rPr>
              <w:t>65%</w:t>
            </w:r>
          </w:p>
        </w:tc>
        <w:tc>
          <w:tcPr>
            <w:tcW w:w="2880" w:type="dxa"/>
            <w:tcBorders>
              <w:top w:val="nil"/>
              <w:left w:val="nil"/>
              <w:bottom w:val="single" w:color="auto" w:sz="4" w:space="0"/>
              <w:right w:val="single" w:color="auto" w:sz="4" w:space="0"/>
            </w:tcBorders>
            <w:shd w:val="clear" w:color="auto" w:fill="auto"/>
            <w:noWrap/>
            <w:vAlign w:val="bottom"/>
            <w:hideMark/>
          </w:tcPr>
          <w:p w:rsidRPr="00AF2D86" w:rsidR="00400C37" w:rsidP="00400C37" w:rsidRDefault="00400C37" w14:paraId="44C5A0C7" w14:textId="77777777">
            <w:pPr>
              <w:jc w:val="center"/>
              <w:rPr>
                <w:sz w:val="22"/>
                <w:szCs w:val="22"/>
              </w:rPr>
            </w:pPr>
            <w:r w:rsidRPr="00AF2D86">
              <w:rPr>
                <w:sz w:val="22"/>
                <w:szCs w:val="22"/>
              </w:rPr>
              <w:t xml:space="preserve">1,162,537 </w:t>
            </w:r>
          </w:p>
        </w:tc>
      </w:tr>
      <w:tr w:rsidRPr="009670F6" w:rsidR="00400C37" w:rsidTr="00400C37" w14:paraId="4B926FDB" w14:textId="77777777">
        <w:trPr>
          <w:trHeight w:val="210"/>
          <w:jc w:val="center"/>
        </w:trPr>
        <w:tc>
          <w:tcPr>
            <w:tcW w:w="4031" w:type="dxa"/>
            <w:tcBorders>
              <w:top w:val="nil"/>
              <w:left w:val="single" w:color="auto" w:sz="8" w:space="0"/>
              <w:bottom w:val="single" w:color="auto" w:sz="4" w:space="0"/>
              <w:right w:val="single" w:color="auto" w:sz="4" w:space="0"/>
            </w:tcBorders>
            <w:shd w:val="clear" w:color="auto" w:fill="auto"/>
            <w:noWrap/>
            <w:vAlign w:val="center"/>
            <w:hideMark/>
          </w:tcPr>
          <w:p w:rsidRPr="00AF2D86" w:rsidR="00400C37" w:rsidP="00400C37" w:rsidRDefault="00400C37" w14:paraId="160BBE86" w14:textId="77777777">
            <w:pPr>
              <w:rPr>
                <w:sz w:val="22"/>
                <w:szCs w:val="22"/>
              </w:rPr>
            </w:pPr>
            <w:r w:rsidRPr="00AF2D86">
              <w:rPr>
                <w:sz w:val="22"/>
                <w:szCs w:val="22"/>
              </w:rPr>
              <w:t>Electronic</w:t>
            </w:r>
          </w:p>
        </w:tc>
        <w:tc>
          <w:tcPr>
            <w:tcW w:w="2340" w:type="dxa"/>
            <w:tcBorders>
              <w:top w:val="nil"/>
              <w:left w:val="nil"/>
              <w:bottom w:val="single" w:color="auto" w:sz="4" w:space="0"/>
              <w:right w:val="single" w:color="auto" w:sz="4" w:space="0"/>
            </w:tcBorders>
            <w:shd w:val="clear" w:color="auto" w:fill="auto"/>
            <w:noWrap/>
            <w:hideMark/>
          </w:tcPr>
          <w:p w:rsidRPr="00AF2D86" w:rsidR="00400C37" w:rsidP="00400C37" w:rsidRDefault="00400C37" w14:paraId="5B98EB3A" w14:textId="77777777">
            <w:pPr>
              <w:jc w:val="center"/>
              <w:rPr>
                <w:sz w:val="22"/>
                <w:szCs w:val="22"/>
              </w:rPr>
            </w:pPr>
            <w:r w:rsidRPr="00AF2D86">
              <w:rPr>
                <w:sz w:val="22"/>
                <w:szCs w:val="22"/>
              </w:rPr>
              <w:t>11%</w:t>
            </w:r>
          </w:p>
        </w:tc>
        <w:tc>
          <w:tcPr>
            <w:tcW w:w="2880" w:type="dxa"/>
            <w:tcBorders>
              <w:top w:val="nil"/>
              <w:left w:val="nil"/>
              <w:bottom w:val="single" w:color="auto" w:sz="4" w:space="0"/>
              <w:right w:val="single" w:color="auto" w:sz="4" w:space="0"/>
            </w:tcBorders>
            <w:shd w:val="clear" w:color="auto" w:fill="auto"/>
            <w:noWrap/>
            <w:vAlign w:val="bottom"/>
            <w:hideMark/>
          </w:tcPr>
          <w:p w:rsidRPr="00AF2D86" w:rsidR="00400C37" w:rsidP="00400C37" w:rsidRDefault="00400C37" w14:paraId="1484F407" w14:textId="77777777">
            <w:pPr>
              <w:jc w:val="center"/>
              <w:rPr>
                <w:sz w:val="22"/>
                <w:szCs w:val="22"/>
              </w:rPr>
            </w:pPr>
            <w:r w:rsidRPr="00AF2D86">
              <w:rPr>
                <w:sz w:val="22"/>
                <w:szCs w:val="22"/>
              </w:rPr>
              <w:t xml:space="preserve">194,370 </w:t>
            </w:r>
          </w:p>
        </w:tc>
      </w:tr>
      <w:tr w:rsidRPr="009670F6" w:rsidR="00400C37" w:rsidTr="00400C37" w14:paraId="4B7AE615" w14:textId="77777777">
        <w:trPr>
          <w:trHeight w:val="220"/>
          <w:jc w:val="center"/>
        </w:trPr>
        <w:tc>
          <w:tcPr>
            <w:tcW w:w="4031" w:type="dxa"/>
            <w:tcBorders>
              <w:top w:val="nil"/>
              <w:left w:val="single" w:color="auto" w:sz="8" w:space="0"/>
              <w:bottom w:val="single" w:color="auto" w:sz="8" w:space="0"/>
              <w:right w:val="single" w:color="auto" w:sz="4" w:space="0"/>
            </w:tcBorders>
            <w:shd w:val="clear" w:color="auto" w:fill="auto"/>
            <w:noWrap/>
            <w:vAlign w:val="center"/>
            <w:hideMark/>
          </w:tcPr>
          <w:p w:rsidRPr="00AF2D86" w:rsidR="00400C37" w:rsidP="00400C37" w:rsidRDefault="00400C37" w14:paraId="4BDA110E" w14:textId="77777777">
            <w:pPr>
              <w:rPr>
                <w:sz w:val="22"/>
                <w:szCs w:val="22"/>
              </w:rPr>
            </w:pPr>
            <w:r w:rsidRPr="00AF2D86">
              <w:rPr>
                <w:sz w:val="22"/>
                <w:szCs w:val="22"/>
              </w:rPr>
              <w:t>Total</w:t>
            </w:r>
          </w:p>
        </w:tc>
        <w:tc>
          <w:tcPr>
            <w:tcW w:w="2340" w:type="dxa"/>
            <w:tcBorders>
              <w:top w:val="nil"/>
              <w:left w:val="nil"/>
              <w:bottom w:val="single" w:color="auto" w:sz="8" w:space="0"/>
              <w:right w:val="single" w:color="auto" w:sz="4" w:space="0"/>
            </w:tcBorders>
            <w:shd w:val="clear" w:color="auto" w:fill="auto"/>
            <w:noWrap/>
            <w:hideMark/>
          </w:tcPr>
          <w:p w:rsidRPr="00AF2D86" w:rsidR="00400C37" w:rsidP="00400C37" w:rsidRDefault="00400C37" w14:paraId="07CD2087" w14:textId="77777777">
            <w:pPr>
              <w:jc w:val="center"/>
              <w:rPr>
                <w:sz w:val="22"/>
                <w:szCs w:val="22"/>
              </w:rPr>
            </w:pPr>
            <w:r w:rsidRPr="00AF2D86">
              <w:rPr>
                <w:sz w:val="22"/>
                <w:szCs w:val="22"/>
              </w:rPr>
              <w:t>100%</w:t>
            </w:r>
          </w:p>
        </w:tc>
        <w:tc>
          <w:tcPr>
            <w:tcW w:w="2880" w:type="dxa"/>
            <w:tcBorders>
              <w:top w:val="nil"/>
              <w:left w:val="nil"/>
              <w:bottom w:val="single" w:color="auto" w:sz="8" w:space="0"/>
              <w:right w:val="single" w:color="auto" w:sz="4" w:space="0"/>
            </w:tcBorders>
            <w:shd w:val="clear" w:color="auto" w:fill="auto"/>
            <w:noWrap/>
            <w:vAlign w:val="bottom"/>
            <w:hideMark/>
          </w:tcPr>
          <w:p w:rsidRPr="00AF2D86" w:rsidR="00400C37" w:rsidP="00400C37" w:rsidRDefault="00400C37" w14:paraId="636597BC" w14:textId="77777777">
            <w:pPr>
              <w:jc w:val="center"/>
              <w:rPr>
                <w:sz w:val="22"/>
                <w:szCs w:val="22"/>
              </w:rPr>
            </w:pPr>
            <w:r w:rsidRPr="00AF2D86">
              <w:rPr>
                <w:sz w:val="22"/>
                <w:szCs w:val="22"/>
              </w:rPr>
              <w:t>1,785,404</w:t>
            </w:r>
          </w:p>
        </w:tc>
      </w:tr>
    </w:tbl>
    <w:p w:rsidR="00400C37" w:rsidP="00400C37" w:rsidRDefault="00400C37" w14:paraId="44D984DA" w14:textId="77777777">
      <w:pPr>
        <w:tabs>
          <w:tab w:val="left" w:pos="-1200"/>
        </w:tabs>
        <w:rPr>
          <w:sz w:val="20"/>
          <w:szCs w:val="20"/>
        </w:rPr>
      </w:pPr>
      <w:r>
        <w:rPr>
          <w:sz w:val="20"/>
          <w:szCs w:val="20"/>
        </w:rPr>
        <w:t>*Table includes rounding error.</w:t>
      </w:r>
    </w:p>
    <w:p w:rsidRPr="00560355" w:rsidR="00400C37" w:rsidP="00400C37" w:rsidRDefault="00400C37" w14:paraId="67CA7523" w14:textId="77777777">
      <w:pPr>
        <w:tabs>
          <w:tab w:val="left" w:pos="-1200"/>
        </w:tabs>
        <w:rPr>
          <w:sz w:val="20"/>
          <w:szCs w:val="20"/>
        </w:rPr>
      </w:pPr>
      <w:r>
        <w:rPr>
          <w:sz w:val="20"/>
          <w:szCs w:val="20"/>
        </w:rPr>
        <w:t>*</w:t>
      </w:r>
      <w:r w:rsidRPr="00560355">
        <w:rPr>
          <w:sz w:val="20"/>
          <w:szCs w:val="20"/>
        </w:rPr>
        <w:t>*The</w:t>
      </w:r>
      <w:r>
        <w:rPr>
          <w:sz w:val="20"/>
          <w:szCs w:val="20"/>
        </w:rPr>
        <w:t>se</w:t>
      </w:r>
      <w:r w:rsidRPr="00560355">
        <w:rPr>
          <w:sz w:val="20"/>
          <w:szCs w:val="20"/>
        </w:rPr>
        <w:t xml:space="preserve"> </w:t>
      </w:r>
      <w:r>
        <w:rPr>
          <w:sz w:val="20"/>
          <w:szCs w:val="20"/>
        </w:rPr>
        <w:t xml:space="preserve">average annual </w:t>
      </w:r>
      <w:r w:rsidRPr="00E2084A">
        <w:rPr>
          <w:sz w:val="20"/>
          <w:szCs w:val="20"/>
        </w:rPr>
        <w:t>percentages are calculated in Table 9 of this document.</w:t>
      </w:r>
      <w:r>
        <w:rPr>
          <w:sz w:val="20"/>
          <w:szCs w:val="20"/>
        </w:rPr>
        <w:t xml:space="preserve">  Averages include rounding.</w:t>
      </w:r>
    </w:p>
    <w:p w:rsidR="00400C37" w:rsidP="00400C37" w:rsidRDefault="00400C37" w14:paraId="5CFCA6AA" w14:textId="77777777">
      <w:pPr>
        <w:tabs>
          <w:tab w:val="left" w:pos="-1200"/>
        </w:tabs>
      </w:pPr>
    </w:p>
    <w:p w:rsidR="00400C37" w:rsidP="00400C37" w:rsidRDefault="00400C37" w14:paraId="6392B7A0" w14:textId="77777777">
      <w:pPr>
        <w:tabs>
          <w:tab w:val="left" w:pos="-1200"/>
        </w:tabs>
      </w:pPr>
      <w:r w:rsidRPr="00E613B0">
        <w:t>Table 1</w:t>
      </w:r>
      <w:r>
        <w:t>1</w:t>
      </w:r>
      <w:r w:rsidRPr="00E613B0">
        <w:t xml:space="preserve"> presents EPA’s preliminary estimate of the </w:t>
      </w:r>
      <w:r>
        <w:t xml:space="preserve">average per-manifest user fees over </w:t>
      </w:r>
      <w:r w:rsidRPr="00E613B0">
        <w:t>the 3-year life of this ICR.</w:t>
      </w:r>
      <w:r w:rsidRPr="00E613B0">
        <w:rPr>
          <w:rStyle w:val="FootnoteReference"/>
          <w:vertAlign w:val="superscript"/>
        </w:rPr>
        <w:footnoteReference w:id="33"/>
      </w:r>
      <w:r w:rsidRPr="00E613B0">
        <w:t xml:space="preserve"> </w:t>
      </w:r>
      <w:r w:rsidRPr="00E44097">
        <w:t>Exhibit 21 applies these fees to the total annual number of manifests</w:t>
      </w:r>
      <w:r>
        <w:t xml:space="preserve"> for which fees must be paid as</w:t>
      </w:r>
      <w:r w:rsidRPr="00E44097">
        <w:t xml:space="preserve"> shown in Table </w:t>
      </w:r>
      <w:r>
        <w:t>10</w:t>
      </w:r>
      <w:r w:rsidRPr="00E44097">
        <w:t>.</w:t>
      </w:r>
      <w:r w:rsidRPr="00E44097">
        <w:rPr>
          <w:rStyle w:val="FootnoteReference"/>
          <w:vertAlign w:val="superscript"/>
        </w:rPr>
        <w:footnoteReference w:id="34"/>
      </w:r>
    </w:p>
    <w:p w:rsidR="00400C37" w:rsidP="00400C37" w:rsidRDefault="00400C37" w14:paraId="0E9B563C" w14:textId="77777777">
      <w:pPr>
        <w:tabs>
          <w:tab w:val="left" w:pos="-1200"/>
        </w:tabs>
        <w:rPr>
          <w:highlight w:val="yellow"/>
        </w:rPr>
      </w:pPr>
    </w:p>
    <w:p w:rsidRPr="00C50CF6" w:rsidR="00400C37" w:rsidP="00400C37" w:rsidRDefault="00400C37" w14:paraId="7847FEDB" w14:textId="77777777">
      <w:pPr>
        <w:tabs>
          <w:tab w:val="left" w:pos="-1200"/>
        </w:tabs>
        <w:jc w:val="center"/>
        <w:rPr>
          <w:b/>
        </w:rPr>
      </w:pPr>
      <w:r w:rsidRPr="00C50CF6">
        <w:rPr>
          <w:b/>
        </w:rPr>
        <w:t>Table 1</w:t>
      </w:r>
      <w:r>
        <w:rPr>
          <w:b/>
        </w:rPr>
        <w:t>1</w:t>
      </w:r>
    </w:p>
    <w:p w:rsidRPr="00C50CF6" w:rsidR="00400C37" w:rsidP="00400C37" w:rsidRDefault="00400C37" w14:paraId="7D090733" w14:textId="77777777">
      <w:pPr>
        <w:tabs>
          <w:tab w:val="left" w:pos="-1200"/>
        </w:tabs>
        <w:jc w:val="center"/>
        <w:rPr>
          <w:b/>
        </w:rPr>
      </w:pPr>
      <w:r w:rsidRPr="00C50CF6">
        <w:rPr>
          <w:b/>
        </w:rPr>
        <w:t>User Fees per Manifest</w:t>
      </w:r>
      <w:r>
        <w:rPr>
          <w:b/>
        </w:rPr>
        <w:t>, by Submittal Method</w:t>
      </w:r>
    </w:p>
    <w:tbl>
      <w:tblPr>
        <w:tblStyle w:val="TableGrid"/>
        <w:tblW w:w="0" w:type="auto"/>
        <w:jc w:val="center"/>
        <w:tblLook w:val="04A0" w:firstRow="1" w:lastRow="0" w:firstColumn="1" w:lastColumn="0" w:noHBand="0" w:noVBand="1"/>
      </w:tblPr>
      <w:tblGrid>
        <w:gridCol w:w="3732"/>
        <w:gridCol w:w="2557"/>
      </w:tblGrid>
      <w:tr w:rsidRPr="00B475AD" w:rsidR="00400C37" w:rsidTr="00400C37" w14:paraId="1F528140" w14:textId="77777777">
        <w:trPr>
          <w:jc w:val="center"/>
        </w:trPr>
        <w:tc>
          <w:tcPr>
            <w:tcW w:w="3732" w:type="dxa"/>
            <w:shd w:val="clear" w:color="auto" w:fill="BFBFBF" w:themeFill="background1" w:themeFillShade="BF"/>
          </w:tcPr>
          <w:p w:rsidRPr="00E44152" w:rsidR="00400C37" w:rsidP="00400C37" w:rsidRDefault="00400C37" w14:paraId="5E66223E" w14:textId="77777777">
            <w:pPr>
              <w:jc w:val="center"/>
              <w:rPr>
                <w:b/>
                <w:sz w:val="22"/>
                <w:szCs w:val="22"/>
              </w:rPr>
            </w:pPr>
            <w:r w:rsidRPr="00E44152">
              <w:rPr>
                <w:b/>
                <w:sz w:val="22"/>
                <w:szCs w:val="22"/>
              </w:rPr>
              <w:t>Submittal Method</w:t>
            </w:r>
          </w:p>
        </w:tc>
        <w:tc>
          <w:tcPr>
            <w:tcW w:w="2557" w:type="dxa"/>
            <w:shd w:val="clear" w:color="auto" w:fill="BFBFBF" w:themeFill="background1" w:themeFillShade="BF"/>
          </w:tcPr>
          <w:p w:rsidRPr="00E44152" w:rsidR="00400C37" w:rsidP="00400C37" w:rsidRDefault="00400C37" w14:paraId="0F3C81F6" w14:textId="77777777">
            <w:pPr>
              <w:jc w:val="center"/>
              <w:rPr>
                <w:b/>
                <w:sz w:val="22"/>
                <w:szCs w:val="22"/>
              </w:rPr>
            </w:pPr>
            <w:r w:rsidRPr="00E44152">
              <w:rPr>
                <w:b/>
                <w:sz w:val="22"/>
                <w:szCs w:val="22"/>
              </w:rPr>
              <w:t>Fee per Manifest</w:t>
            </w:r>
          </w:p>
        </w:tc>
      </w:tr>
      <w:tr w:rsidRPr="00B475AD" w:rsidR="00400C37" w:rsidTr="00400C37" w14:paraId="57D74556" w14:textId="77777777">
        <w:trPr>
          <w:jc w:val="center"/>
        </w:trPr>
        <w:tc>
          <w:tcPr>
            <w:tcW w:w="3732" w:type="dxa"/>
            <w:vAlign w:val="center"/>
          </w:tcPr>
          <w:p w:rsidRPr="00ED6C56" w:rsidR="00400C37" w:rsidP="00400C37" w:rsidRDefault="00400C37" w14:paraId="3B3547A5" w14:textId="77777777">
            <w:pPr>
              <w:rPr>
                <w:sz w:val="22"/>
                <w:szCs w:val="22"/>
              </w:rPr>
            </w:pPr>
            <w:r w:rsidRPr="00ED6C56">
              <w:rPr>
                <w:sz w:val="22"/>
                <w:szCs w:val="22"/>
              </w:rPr>
              <w:t>Mailed Paper</w:t>
            </w:r>
          </w:p>
        </w:tc>
        <w:tc>
          <w:tcPr>
            <w:tcW w:w="2557" w:type="dxa"/>
            <w:vAlign w:val="center"/>
          </w:tcPr>
          <w:p w:rsidRPr="003C1425" w:rsidR="00400C37" w:rsidP="00400C37" w:rsidRDefault="00400C37" w14:paraId="060A6527" w14:textId="77777777">
            <w:pPr>
              <w:jc w:val="center"/>
              <w:rPr>
                <w:sz w:val="22"/>
                <w:szCs w:val="22"/>
              </w:rPr>
            </w:pPr>
            <w:r w:rsidRPr="003C1425">
              <w:rPr>
                <w:sz w:val="22"/>
                <w:szCs w:val="22"/>
              </w:rPr>
              <w:t>$25.00</w:t>
            </w:r>
          </w:p>
        </w:tc>
      </w:tr>
      <w:tr w:rsidRPr="00B475AD" w:rsidR="00400C37" w:rsidTr="00400C37" w14:paraId="6B55AA6B" w14:textId="77777777">
        <w:trPr>
          <w:trHeight w:val="107"/>
          <w:jc w:val="center"/>
        </w:trPr>
        <w:tc>
          <w:tcPr>
            <w:tcW w:w="3732" w:type="dxa"/>
            <w:vAlign w:val="center"/>
          </w:tcPr>
          <w:p w:rsidRPr="00ED6C56" w:rsidR="00400C37" w:rsidP="00400C37" w:rsidRDefault="00400C37" w14:paraId="788BC89C" w14:textId="77777777">
            <w:pPr>
              <w:rPr>
                <w:sz w:val="22"/>
                <w:szCs w:val="22"/>
              </w:rPr>
            </w:pPr>
            <w:r w:rsidRPr="00ED6C56">
              <w:rPr>
                <w:sz w:val="22"/>
                <w:szCs w:val="22"/>
              </w:rPr>
              <w:t>Image only</w:t>
            </w:r>
          </w:p>
        </w:tc>
        <w:tc>
          <w:tcPr>
            <w:tcW w:w="2557" w:type="dxa"/>
            <w:vAlign w:val="center"/>
          </w:tcPr>
          <w:p w:rsidRPr="003C1425" w:rsidR="00400C37" w:rsidP="00400C37" w:rsidRDefault="00400C37" w14:paraId="259BF6BE" w14:textId="77777777">
            <w:pPr>
              <w:jc w:val="center"/>
              <w:rPr>
                <w:sz w:val="22"/>
                <w:szCs w:val="22"/>
              </w:rPr>
            </w:pPr>
            <w:r w:rsidRPr="003C1425">
              <w:rPr>
                <w:sz w:val="22"/>
                <w:szCs w:val="22"/>
              </w:rPr>
              <w:t>$20.00</w:t>
            </w:r>
          </w:p>
        </w:tc>
      </w:tr>
      <w:tr w:rsidRPr="00B475AD" w:rsidR="00400C37" w:rsidTr="00400C37" w14:paraId="678A667A" w14:textId="77777777">
        <w:trPr>
          <w:trHeight w:val="233"/>
          <w:jc w:val="center"/>
        </w:trPr>
        <w:tc>
          <w:tcPr>
            <w:tcW w:w="3732" w:type="dxa"/>
            <w:vAlign w:val="center"/>
          </w:tcPr>
          <w:p w:rsidRPr="00261FED" w:rsidR="00400C37" w:rsidP="00400C37" w:rsidRDefault="00400C37" w14:paraId="5077AB14" w14:textId="77777777">
            <w:pPr>
              <w:rPr>
                <w:sz w:val="22"/>
                <w:szCs w:val="22"/>
              </w:rPr>
            </w:pPr>
            <w:r w:rsidRPr="00261FED">
              <w:rPr>
                <w:sz w:val="22"/>
                <w:szCs w:val="22"/>
              </w:rPr>
              <w:t>Data &amp; Image</w:t>
            </w:r>
          </w:p>
        </w:tc>
        <w:tc>
          <w:tcPr>
            <w:tcW w:w="2557" w:type="dxa"/>
            <w:vAlign w:val="center"/>
          </w:tcPr>
          <w:p w:rsidRPr="003C1425" w:rsidR="00400C37" w:rsidP="00400C37" w:rsidRDefault="00400C37" w14:paraId="19EB00CD" w14:textId="77777777">
            <w:pPr>
              <w:jc w:val="center"/>
              <w:rPr>
                <w:sz w:val="22"/>
                <w:szCs w:val="22"/>
              </w:rPr>
            </w:pPr>
            <w:r w:rsidRPr="003C1425">
              <w:rPr>
                <w:sz w:val="22"/>
                <w:szCs w:val="22"/>
              </w:rPr>
              <w:t>$14.00</w:t>
            </w:r>
          </w:p>
        </w:tc>
      </w:tr>
      <w:tr w:rsidRPr="00B475AD" w:rsidR="00400C37" w:rsidTr="00400C37" w14:paraId="6CBD508B" w14:textId="77777777">
        <w:trPr>
          <w:trHeight w:val="107"/>
          <w:jc w:val="center"/>
        </w:trPr>
        <w:tc>
          <w:tcPr>
            <w:tcW w:w="3732" w:type="dxa"/>
            <w:vAlign w:val="center"/>
          </w:tcPr>
          <w:p w:rsidRPr="00261FED" w:rsidR="00400C37" w:rsidP="00400C37" w:rsidRDefault="00400C37" w14:paraId="438A4464" w14:textId="77777777">
            <w:pPr>
              <w:rPr>
                <w:sz w:val="22"/>
                <w:szCs w:val="22"/>
              </w:rPr>
            </w:pPr>
            <w:r w:rsidRPr="00261FED">
              <w:rPr>
                <w:sz w:val="22"/>
                <w:szCs w:val="22"/>
              </w:rPr>
              <w:t>Electronic</w:t>
            </w:r>
          </w:p>
        </w:tc>
        <w:tc>
          <w:tcPr>
            <w:tcW w:w="2557" w:type="dxa"/>
            <w:vAlign w:val="center"/>
          </w:tcPr>
          <w:p w:rsidRPr="003C1425" w:rsidR="00400C37" w:rsidP="00400C37" w:rsidRDefault="00400C37" w14:paraId="2A6E83A6" w14:textId="77777777">
            <w:pPr>
              <w:jc w:val="center"/>
              <w:rPr>
                <w:sz w:val="22"/>
                <w:szCs w:val="22"/>
              </w:rPr>
            </w:pPr>
            <w:r w:rsidRPr="003C1425">
              <w:rPr>
                <w:sz w:val="22"/>
                <w:szCs w:val="22"/>
              </w:rPr>
              <w:t>$8.00</w:t>
            </w:r>
          </w:p>
        </w:tc>
      </w:tr>
    </w:tbl>
    <w:p w:rsidR="00400C37" w:rsidP="00400C37" w:rsidRDefault="00400C37" w14:paraId="35C7CB26" w14:textId="77777777">
      <w:pPr>
        <w:tabs>
          <w:tab w:val="left" w:pos="-1200"/>
        </w:tabs>
        <w:rPr>
          <w:highlight w:val="yellow"/>
        </w:rPr>
      </w:pPr>
    </w:p>
    <w:p w:rsidR="00400C37" w:rsidP="00400C37" w:rsidRDefault="00400C37" w14:paraId="4CC944F3" w14:textId="77777777">
      <w:r>
        <w:t>T</w:t>
      </w:r>
      <w:r w:rsidRPr="00E44152">
        <w:t>he exhibit</w:t>
      </w:r>
      <w:r>
        <w:t xml:space="preserve"> also</w:t>
      </w:r>
      <w:r w:rsidRPr="00E44152">
        <w:t xml:space="preserve"> estimates the burden to facilities for implementing the informal fee dispute resolution procedures at 40 CFR 264.1316 and 265.1316.</w:t>
      </w:r>
    </w:p>
    <w:p w:rsidR="00400C37" w:rsidP="00400C37" w:rsidRDefault="00400C37" w14:paraId="6066F771" w14:textId="77777777"/>
    <w:p w:rsidRPr="00BC53D7" w:rsidR="00400C37" w:rsidP="00400C37" w:rsidRDefault="00400C37" w14:paraId="692F89BB" w14:textId="5FDAF6E6">
      <w:pPr>
        <w:pStyle w:val="Heading2"/>
      </w:pPr>
      <w:r w:rsidRPr="00BC53D7">
        <w:t>Bottom Line Burden Hours and Cost</w:t>
      </w:r>
    </w:p>
    <w:p w:rsidRPr="00BC53D7" w:rsidR="00400C37" w:rsidP="00400C37" w:rsidRDefault="00400C37" w14:paraId="69515EDE" w14:textId="77777777">
      <w:pPr>
        <w:rPr>
          <w:b/>
        </w:rPr>
      </w:pPr>
    </w:p>
    <w:p w:rsidRPr="00BC53D7" w:rsidR="00400C37" w:rsidP="00400C37" w:rsidRDefault="00400C37" w14:paraId="71B156C4" w14:textId="331D0531">
      <w:r w:rsidRPr="001A5E8E">
        <w:t>Exhibit 22 shows the total annual hour and cost burden to respondents. As shown in the exhibit, EPA estimates the annual respondent burden to be 2,362,089 hours and $</w:t>
      </w:r>
      <w:r w:rsidRPr="00DC651C">
        <w:t>118,940,729</w:t>
      </w:r>
      <w:r>
        <w:t xml:space="preserve"> including $29,043,234 in non-labor costs</w:t>
      </w:r>
      <w:r w:rsidRPr="001A5E8E">
        <w:t xml:space="preserve">. </w:t>
      </w:r>
      <w:r w:rsidR="00EE4582">
        <w:t xml:space="preserve">A total of </w:t>
      </w:r>
      <w:r w:rsidR="00FC5E4C">
        <w:t>1</w:t>
      </w:r>
      <w:r w:rsidR="009670E3">
        <w:t>0</w:t>
      </w:r>
      <w:r w:rsidR="00FC5E4C">
        <w:t>16,136</w:t>
      </w:r>
      <w:r w:rsidR="00E971E9">
        <w:t xml:space="preserve"> respondents</w:t>
      </w:r>
      <w:r w:rsidR="00FD0EE8">
        <w:t xml:space="preserve"> </w:t>
      </w:r>
      <w:r w:rsidRPr="001E42F0" w:rsidR="001E42F0">
        <w:t>are involved in shipping off-site, transporting, and receiving RCRA hazardous wastes</w:t>
      </w:r>
      <w:r w:rsidR="0034530A">
        <w:t xml:space="preserve">, </w:t>
      </w:r>
      <w:r w:rsidRPr="001E42F0" w:rsidR="001E42F0">
        <w:t xml:space="preserve">PCB wastes regulated under TSCA, and other state-regulated wastes </w:t>
      </w:r>
      <w:r w:rsidR="00FE25E6">
        <w:t>annually</w:t>
      </w:r>
      <w:r w:rsidR="00145F7D">
        <w:t>.</w:t>
      </w:r>
      <w:r w:rsidR="002E3311">
        <w:t xml:space="preserve"> </w:t>
      </w:r>
    </w:p>
    <w:p w:rsidR="00166F76" w:rsidRDefault="00166F76" w14:paraId="3CF8F4AA" w14:textId="5528D679"/>
    <w:p w:rsidRPr="00C425CF" w:rsidR="00166F76" w:rsidP="00166F76" w:rsidRDefault="00166F76" w14:paraId="3D2C883A" w14:textId="77777777">
      <w:pPr>
        <w:rPr>
          <w:b/>
        </w:rPr>
      </w:pPr>
      <w:r w:rsidRPr="00C425CF">
        <w:rPr>
          <w:b/>
        </w:rPr>
        <w:t>13. Provide an estimate for the total annual cost burden to respondents or record keepers</w:t>
      </w:r>
      <w:r>
        <w:rPr>
          <w:b/>
        </w:rPr>
        <w:t xml:space="preserve"> </w:t>
      </w:r>
      <w:r w:rsidRPr="00C425CF">
        <w:rPr>
          <w:b/>
        </w:rPr>
        <w:t>resulting from the collection of information. (Do not include the cost of any hour burden</w:t>
      </w:r>
      <w:r>
        <w:rPr>
          <w:b/>
        </w:rPr>
        <w:t xml:space="preserve"> </w:t>
      </w:r>
      <w:r w:rsidRPr="00C425CF">
        <w:rPr>
          <w:b/>
        </w:rPr>
        <w:t>already reflected on the burden worksheet).</w:t>
      </w:r>
    </w:p>
    <w:p w:rsidRPr="004407E0" w:rsidR="00166F76" w:rsidP="00166F76" w:rsidRDefault="00166F76" w14:paraId="7072FC0C" w14:textId="77777777">
      <w:pPr>
        <w:pStyle w:val="ListParagraph"/>
        <w:widowControl/>
        <w:numPr>
          <w:ilvl w:val="0"/>
          <w:numId w:val="49"/>
        </w:numPr>
        <w:autoSpaceDE/>
        <w:autoSpaceDN/>
        <w:adjustRightInd/>
        <w:spacing w:line="259" w:lineRule="auto"/>
        <w:rPr>
          <w:b/>
        </w:rPr>
      </w:pPr>
      <w:r w:rsidRPr="004407E0">
        <w:rPr>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4407E0">
        <w:rPr>
          <w:b/>
        </w:rPr>
        <w:t>take into account</w:t>
      </w:r>
      <w:proofErr w:type="gramEnd"/>
      <w:r w:rsidRPr="004407E0">
        <w:rPr>
          <w:b/>
        </w:rPr>
        <w:t xml:space="preserve"> costs associated with generating, maintaining, and disclosing or </w:t>
      </w:r>
      <w:r w:rsidRPr="004407E0">
        <w:rPr>
          <w:b/>
        </w:rPr>
        <w:lastRenderedPageBreak/>
        <w:t xml:space="preserve">providing the information. Include descriptions of methods used to estimate major cost factors including system and technology acquisition, expected useful life of capital equipment, the discount rate(s), and the </w:t>
      </w:r>
      <w:proofErr w:type="gramStart"/>
      <w:r w:rsidRPr="004407E0">
        <w:rPr>
          <w:b/>
        </w:rPr>
        <w:t>time period</w:t>
      </w:r>
      <w:proofErr w:type="gramEnd"/>
      <w:r w:rsidRPr="004407E0">
        <w:rPr>
          <w:b/>
        </w:rPr>
        <w:t xml:space="preserve"> over which costs will be incurred. Capital and start-up costs include, among other items, preparations for collecting information such as purchasing computers and software; monitoring, sampling, </w:t>
      </w:r>
      <w:proofErr w:type="gramStart"/>
      <w:r w:rsidRPr="004407E0">
        <w:rPr>
          <w:b/>
        </w:rPr>
        <w:t>drilling</w:t>
      </w:r>
      <w:proofErr w:type="gramEnd"/>
      <w:r w:rsidRPr="004407E0">
        <w:rPr>
          <w:b/>
        </w:rPr>
        <w:t xml:space="preserve"> and testing</w:t>
      </w:r>
      <w:r>
        <w:rPr>
          <w:b/>
        </w:rPr>
        <w:t xml:space="preserve"> </w:t>
      </w:r>
      <w:r w:rsidRPr="004407E0">
        <w:rPr>
          <w:b/>
        </w:rPr>
        <w:t>equipment; and record storage facilities.</w:t>
      </w:r>
    </w:p>
    <w:p w:rsidR="00166F76" w:rsidP="00166F76" w:rsidRDefault="00166F76" w14:paraId="063C568B" w14:textId="77777777">
      <w:pPr>
        <w:pStyle w:val="ListParagraph"/>
        <w:widowControl/>
        <w:numPr>
          <w:ilvl w:val="0"/>
          <w:numId w:val="49"/>
        </w:numPr>
        <w:autoSpaceDE/>
        <w:autoSpaceDN/>
        <w:adjustRightInd/>
        <w:spacing w:line="259" w:lineRule="auto"/>
        <w:rPr>
          <w:b/>
        </w:rPr>
      </w:pPr>
      <w:r w:rsidRPr="004407E0">
        <w:rPr>
          <w:b/>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4407E0">
        <w:rPr>
          <w:b/>
        </w:rPr>
        <w:t>process</w:t>
      </w:r>
      <w:proofErr w:type="gramEnd"/>
      <w:r w:rsidRPr="004407E0">
        <w:rPr>
          <w:b/>
        </w:rPr>
        <w:t xml:space="preserve"> and use existing economic or regulatory impact analysis associated with the rulemaking</w:t>
      </w:r>
      <w:r>
        <w:rPr>
          <w:b/>
        </w:rPr>
        <w:t xml:space="preserve"> </w:t>
      </w:r>
      <w:r w:rsidRPr="004407E0">
        <w:rPr>
          <w:b/>
        </w:rPr>
        <w:t>containing the information collection, as appropriate.</w:t>
      </w:r>
    </w:p>
    <w:p w:rsidRPr="004407E0" w:rsidR="00166F76" w:rsidP="00166F76" w:rsidRDefault="00166F76" w14:paraId="53D0C17A" w14:textId="77777777">
      <w:pPr>
        <w:pStyle w:val="ListParagraph"/>
        <w:widowControl/>
        <w:numPr>
          <w:ilvl w:val="0"/>
          <w:numId w:val="49"/>
        </w:numPr>
        <w:autoSpaceDE/>
        <w:autoSpaceDN/>
        <w:adjustRightInd/>
        <w:spacing w:line="259" w:lineRule="auto"/>
        <w:rPr>
          <w:b/>
        </w:rPr>
      </w:pPr>
      <w:r w:rsidRPr="004407E0">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w:t>
      </w:r>
      <w:r>
        <w:rPr>
          <w:b/>
        </w:rPr>
        <w:t xml:space="preserve"> </w:t>
      </w:r>
      <w:r w:rsidRPr="004407E0">
        <w:rPr>
          <w:b/>
        </w:rPr>
        <w:t>usual business or private practices.</w:t>
      </w:r>
    </w:p>
    <w:p w:rsidR="00166F76" w:rsidRDefault="00166F76" w14:paraId="1AB8C364" w14:textId="77777777"/>
    <w:p w:rsidRPr="004022F7" w:rsidR="00166F76" w:rsidP="00166F76" w:rsidRDefault="00166F76" w14:paraId="10490042" w14:textId="77777777">
      <w:pPr>
        <w:tabs>
          <w:tab w:val="left" w:pos="720"/>
        </w:tabs>
        <w:ind w:left="720" w:hanging="720"/>
      </w:pPr>
      <w:r w:rsidRPr="004022F7">
        <w:rPr>
          <w:b/>
          <w:bCs/>
        </w:rPr>
        <w:t>Capital Costs</w:t>
      </w:r>
    </w:p>
    <w:p w:rsidRPr="004022F7" w:rsidR="00166F76" w:rsidP="00166F76" w:rsidRDefault="00166F76" w14:paraId="5B9BA9CF" w14:textId="77777777"/>
    <w:p w:rsidRPr="002A1D5C" w:rsidR="00166F76" w:rsidP="00166F76" w:rsidRDefault="00166F76" w14:paraId="7DCE4F20" w14:textId="77777777">
      <w:r w:rsidRPr="00257B96">
        <w:t xml:space="preserve">Capital costs usually include any produced physical good needed to provide the needed information, such as machinery, computers, and other equipment. For this ICR, capital costs include file </w:t>
      </w:r>
      <w:r w:rsidRPr="002A1D5C">
        <w:t>cabinet costs.</w:t>
      </w:r>
      <w:r w:rsidRPr="002A1D5C">
        <w:rPr>
          <w:rStyle w:val="FootnoteReference"/>
          <w:vertAlign w:val="superscript"/>
        </w:rPr>
        <w:footnoteReference w:id="35"/>
      </w:r>
      <w:r w:rsidRPr="002A1D5C">
        <w:rPr>
          <w:vertAlign w:val="superscript"/>
        </w:rPr>
        <w:t xml:space="preserve"> </w:t>
      </w:r>
      <w:r w:rsidRPr="002A1D5C">
        <w:t xml:space="preserve"> As shown in Exhibit 22, EPA estimates the total average annual capital cost to all hazardous waste handlers under the manifest system, collectively, to be $70,957. EPA took the following steps to derive the capital costs associated with the purchase of file cabinets:</w:t>
      </w:r>
    </w:p>
    <w:p w:rsidRPr="002A1D5C" w:rsidR="00166F76" w:rsidP="00166F76" w:rsidRDefault="00166F76" w14:paraId="6EBE7229" w14:textId="77777777"/>
    <w:p w:rsidRPr="002A1D5C" w:rsidR="00166F76" w:rsidP="00166F76" w:rsidRDefault="00166F76" w14:paraId="1B2E92B2" w14:textId="77777777">
      <w:pPr>
        <w:pStyle w:val="Level1"/>
        <w:widowControl/>
        <w:numPr>
          <w:ilvl w:val="0"/>
          <w:numId w:val="5"/>
        </w:numPr>
        <w:tabs>
          <w:tab w:val="left" w:pos="720"/>
          <w:tab w:val="left" w:pos="1440"/>
        </w:tabs>
        <w:autoSpaceDE/>
        <w:autoSpaceDN/>
        <w:adjustRightInd/>
        <w:ind w:left="1440" w:hanging="360"/>
        <w:outlineLvl w:val="9"/>
      </w:pPr>
      <w:r w:rsidRPr="002A1D5C">
        <w:rPr>
          <w:i/>
        </w:rPr>
        <w:t xml:space="preserve">Estimate the total annual volume of paper manifests required to be retained by all waste handlers. </w:t>
      </w:r>
      <w:r w:rsidRPr="002A1D5C">
        <w:t xml:space="preserve">Under the manifest system, generators, transporters, and designated TSDF/receiving facilities must keep copies of paper manifests for a period of 3 years. Thus, at any given time during the effective period of this ICR, the hazardous waste industry is keeping paper copies of 3 years’ worth of manifests for domestic, import and export shipments (except that designated TSDFs in the U.S. do not receive or retain manifests for exports). In total, EPA estimates that waste handlers (i.e., generators, transporters, and designated </w:t>
      </w:r>
      <w:r w:rsidRPr="002A1D5C">
        <w:lastRenderedPageBreak/>
        <w:t xml:space="preserve">TSDF/receiving facilities) will need to keep copies of 9,713,055 manifests annually. </w:t>
      </w:r>
    </w:p>
    <w:p w:rsidRPr="00257B96" w:rsidR="00166F76" w:rsidP="00166F76" w:rsidRDefault="00166F76" w14:paraId="64BE7D9F" w14:textId="77777777">
      <w:pPr>
        <w:numPr>
          <w:ilvl w:val="12"/>
          <w:numId w:val="0"/>
        </w:numPr>
        <w:ind w:left="1440" w:hanging="360"/>
      </w:pPr>
    </w:p>
    <w:p w:rsidRPr="0055383F" w:rsidR="00166F76" w:rsidP="00166F76" w:rsidRDefault="00166F76" w14:paraId="7AE6171F" w14:textId="77777777">
      <w:pPr>
        <w:pStyle w:val="Level1"/>
        <w:widowControl/>
        <w:numPr>
          <w:ilvl w:val="0"/>
          <w:numId w:val="5"/>
        </w:numPr>
        <w:tabs>
          <w:tab w:val="left" w:pos="720"/>
          <w:tab w:val="left" w:pos="1440"/>
        </w:tabs>
        <w:autoSpaceDE/>
        <w:autoSpaceDN/>
        <w:adjustRightInd/>
        <w:ind w:left="1440" w:hanging="360"/>
        <w:outlineLvl w:val="9"/>
      </w:pPr>
      <w:r w:rsidRPr="00257B96">
        <w:rPr>
          <w:i/>
        </w:rPr>
        <w:t xml:space="preserve">Ascertain the number of standard-size file cabinets that would provide the needed capacity and estimate aggregate cost to waste handlers. </w:t>
      </w:r>
      <w:r w:rsidRPr="00257B96">
        <w:t xml:space="preserve">EPA estimates that a standard-size, 5-drawer, lateral file cabinet holds approximately 16,000 documents. Thus, for storing </w:t>
      </w:r>
      <w:r w:rsidRPr="00401C11">
        <w:t>9,713,055</w:t>
      </w:r>
      <w:r>
        <w:t xml:space="preserve"> </w:t>
      </w:r>
      <w:r w:rsidRPr="00257B96">
        <w:t xml:space="preserve">paper manifests, waste handlers would need </w:t>
      </w:r>
      <w:r w:rsidRPr="00401C11">
        <w:t>607</w:t>
      </w:r>
      <w:r w:rsidRPr="00257B96">
        <w:t xml:space="preserve"> file cabinets</w:t>
      </w:r>
      <w:r>
        <w:t xml:space="preserve"> </w:t>
      </w:r>
      <w:r w:rsidRPr="00257B96">
        <w:t xml:space="preserve">each year. These </w:t>
      </w:r>
      <w:r w:rsidRPr="0055383F">
        <w:t>6</w:t>
      </w:r>
      <w:r>
        <w:t>0</w:t>
      </w:r>
      <w:r w:rsidRPr="0055383F">
        <w:t>7</w:t>
      </w:r>
      <w:r w:rsidRPr="00257B96">
        <w:t xml:space="preserve"> file cabinets represent the total capacity needed by the industry, collectively, to store </w:t>
      </w:r>
      <w:proofErr w:type="gramStart"/>
      <w:r w:rsidRPr="00257B96">
        <w:t>all of</w:t>
      </w:r>
      <w:proofErr w:type="gramEnd"/>
      <w:r w:rsidRPr="00257B96">
        <w:t xml:space="preserve"> its paper manifests. EPA estimates that </w:t>
      </w:r>
      <w:r w:rsidRPr="0055383F">
        <w:t>the cost for one file cabinet is $630</w:t>
      </w:r>
      <w:r w:rsidRPr="0055383F">
        <w:rPr>
          <w:rStyle w:val="FootnoteReference"/>
          <w:vertAlign w:val="superscript"/>
        </w:rPr>
        <w:footnoteReference w:id="36"/>
      </w:r>
      <w:r w:rsidRPr="0055383F">
        <w:t xml:space="preserve"> and for all 6</w:t>
      </w:r>
      <w:r>
        <w:t>0</w:t>
      </w:r>
      <w:r w:rsidRPr="0055383F">
        <w:t>7 file cabinets is $</w:t>
      </w:r>
      <w:r w:rsidRPr="00401C11">
        <w:t>382,410</w:t>
      </w:r>
      <w:r w:rsidRPr="0055383F">
        <w:t>.</w:t>
      </w:r>
    </w:p>
    <w:p w:rsidRPr="00257B96" w:rsidR="00166F76" w:rsidP="00166F76" w:rsidRDefault="00166F76" w14:paraId="681202B6" w14:textId="77777777">
      <w:pPr>
        <w:pStyle w:val="Level1"/>
        <w:numPr>
          <w:ilvl w:val="12"/>
          <w:numId w:val="0"/>
        </w:numPr>
        <w:ind w:left="1440" w:hanging="360"/>
      </w:pPr>
    </w:p>
    <w:p w:rsidRPr="00257B96" w:rsidR="00166F76" w:rsidP="00166F76" w:rsidRDefault="00166F76" w14:paraId="15FEE31A" w14:textId="77777777">
      <w:pPr>
        <w:pStyle w:val="Level1"/>
        <w:widowControl/>
        <w:numPr>
          <w:ilvl w:val="0"/>
          <w:numId w:val="5"/>
        </w:numPr>
        <w:tabs>
          <w:tab w:val="left" w:pos="720"/>
          <w:tab w:val="left" w:pos="1440"/>
        </w:tabs>
        <w:autoSpaceDE/>
        <w:autoSpaceDN/>
        <w:adjustRightInd/>
        <w:ind w:left="1440" w:hanging="360"/>
        <w:outlineLvl w:val="9"/>
      </w:pPr>
      <w:r w:rsidRPr="00257B96">
        <w:rPr>
          <w:i/>
        </w:rPr>
        <w:t xml:space="preserve">Annualize the aggregate cost of standard-size file cabinets using a net present value formula. </w:t>
      </w:r>
      <w:r w:rsidRPr="00257B96">
        <w:t>EPA used the following present value formula to annualize the cost of file cabinets over the 3-year effective life of this ICR:</w:t>
      </w:r>
    </w:p>
    <w:p w:rsidRPr="00257B96" w:rsidR="00166F76" w:rsidP="00166F76" w:rsidRDefault="00166F76" w14:paraId="6E5B0DE5" w14:textId="77777777">
      <w:pPr>
        <w:numPr>
          <w:ilvl w:val="12"/>
          <w:numId w:val="0"/>
        </w:numPr>
      </w:pPr>
    </w:p>
    <w:p w:rsidRPr="00257B96" w:rsidR="00166F76" w:rsidP="00166F76" w:rsidRDefault="00166F76" w14:paraId="363105E6" w14:textId="77777777">
      <w:pPr>
        <w:keepNext/>
        <w:keepLines/>
        <w:numPr>
          <w:ilvl w:val="12"/>
          <w:numId w:val="0"/>
        </w:numPr>
        <w:ind w:left="1440" w:firstLine="720"/>
      </w:pPr>
      <w:r w:rsidRPr="00257B96">
        <w:rPr>
          <w:i/>
          <w:iCs/>
        </w:rPr>
        <w:t>Annualized Net Present Value</w:t>
      </w:r>
      <w:r w:rsidRPr="00257B96">
        <w:t xml:space="preserve"> = </w:t>
      </w:r>
      <w:r w:rsidRPr="00944563">
        <w:t>$</w:t>
      </w:r>
      <w:r w:rsidRPr="00401C11">
        <w:t>382,410</w:t>
      </w:r>
      <w:r>
        <w:t xml:space="preserve"> </w:t>
      </w:r>
      <w:r w:rsidRPr="00257B96">
        <w:t>x [1/(∑1/(1+</w:t>
      </w:r>
      <w:proofErr w:type="gramStart"/>
      <w:r w:rsidRPr="00257B96">
        <w:t>k)</w:t>
      </w:r>
      <w:r w:rsidRPr="00257B96">
        <w:rPr>
          <w:vertAlign w:val="superscript"/>
        </w:rPr>
        <w:t>t</w:t>
      </w:r>
      <w:proofErr w:type="gramEnd"/>
      <w:r w:rsidRPr="00257B96">
        <w:t>)]</w:t>
      </w:r>
    </w:p>
    <w:p w:rsidRPr="00257B96" w:rsidR="00166F76" w:rsidP="00166F76" w:rsidRDefault="00166F76" w14:paraId="11BC1E33" w14:textId="77777777">
      <w:pPr>
        <w:keepNext/>
        <w:numPr>
          <w:ilvl w:val="12"/>
          <w:numId w:val="0"/>
        </w:numPr>
        <w:tabs>
          <w:tab w:val="left" w:pos="720"/>
          <w:tab w:val="left" w:pos="1440"/>
          <w:tab w:val="left" w:pos="2160"/>
          <w:tab w:val="left" w:pos="2880"/>
        </w:tabs>
      </w:pPr>
    </w:p>
    <w:p w:rsidRPr="00257B96" w:rsidR="00166F76" w:rsidP="00166F76" w:rsidRDefault="00166F76" w14:paraId="78DF559A" w14:textId="77777777">
      <w:pPr>
        <w:keepNext/>
        <w:numPr>
          <w:ilvl w:val="12"/>
          <w:numId w:val="0"/>
        </w:numPr>
        <w:tabs>
          <w:tab w:val="left" w:pos="720"/>
          <w:tab w:val="left" w:pos="1440"/>
          <w:tab w:val="left" w:pos="2160"/>
          <w:tab w:val="left" w:pos="2880"/>
        </w:tabs>
      </w:pPr>
      <w:r w:rsidRPr="00257B96">
        <w:tab/>
      </w:r>
      <w:r w:rsidRPr="00257B96">
        <w:tab/>
      </w:r>
      <w:r w:rsidRPr="00257B96">
        <w:tab/>
        <w:t xml:space="preserve">where </w:t>
      </w:r>
      <w:r w:rsidRPr="00257B96">
        <w:tab/>
        <w:t xml:space="preserve">k = discount rate of </w:t>
      </w:r>
      <w:proofErr w:type="gramStart"/>
      <w:r w:rsidRPr="00257B96">
        <w:t>7%;</w:t>
      </w:r>
      <w:proofErr w:type="gramEnd"/>
    </w:p>
    <w:p w:rsidRPr="00257B96" w:rsidR="00166F76" w:rsidP="00166F76" w:rsidRDefault="00166F76" w14:paraId="2AE3F54D" w14:textId="77777777">
      <w:pPr>
        <w:numPr>
          <w:ilvl w:val="12"/>
          <w:numId w:val="0"/>
        </w:numPr>
        <w:ind w:left="2160" w:firstLine="720"/>
      </w:pPr>
      <w:r w:rsidRPr="00257B96">
        <w:t>t = life of equipment (7 years).</w:t>
      </w:r>
      <w:r w:rsidRPr="00257B96">
        <w:rPr>
          <w:rStyle w:val="FootnoteReference"/>
          <w:vertAlign w:val="superscript"/>
        </w:rPr>
        <w:footnoteReference w:id="37"/>
      </w:r>
    </w:p>
    <w:p w:rsidRPr="00257B96" w:rsidR="00166F76" w:rsidP="00166F76" w:rsidRDefault="00166F76" w14:paraId="0646444C" w14:textId="77777777">
      <w:pPr>
        <w:numPr>
          <w:ilvl w:val="12"/>
          <w:numId w:val="0"/>
        </w:numPr>
      </w:pPr>
    </w:p>
    <w:p w:rsidRPr="00257B96" w:rsidR="00166F76" w:rsidP="00166F76" w:rsidRDefault="00166F76" w14:paraId="50B6C95C" w14:textId="77777777">
      <w:pPr>
        <w:numPr>
          <w:ilvl w:val="12"/>
          <w:numId w:val="0"/>
        </w:numPr>
        <w:ind w:left="720"/>
      </w:pPr>
      <w:r w:rsidRPr="00257B96">
        <w:t xml:space="preserve">In total, EPA estimates that the hazardous waste industry will need to pay an annual cost of </w:t>
      </w:r>
      <w:r w:rsidRPr="0055383F">
        <w:t>$</w:t>
      </w:r>
      <w:r w:rsidRPr="00401C11">
        <w:t>70,957</w:t>
      </w:r>
      <w:r>
        <w:t xml:space="preserve"> </w:t>
      </w:r>
      <w:r w:rsidRPr="00257B96">
        <w:t xml:space="preserve">for the </w:t>
      </w:r>
      <w:r>
        <w:t>607</w:t>
      </w:r>
      <w:r w:rsidRPr="00257B96">
        <w:t xml:space="preserve"> file cabinets.</w:t>
      </w:r>
    </w:p>
    <w:p w:rsidRPr="006160A8" w:rsidR="00166F76" w:rsidP="00166F76" w:rsidRDefault="00166F76" w14:paraId="0F57BFA4" w14:textId="77777777">
      <w:pPr>
        <w:numPr>
          <w:ilvl w:val="12"/>
          <w:numId w:val="0"/>
        </w:numPr>
        <w:ind w:left="720"/>
        <w:rPr>
          <w:highlight w:val="green"/>
        </w:rPr>
      </w:pPr>
    </w:p>
    <w:p w:rsidRPr="00455BF1" w:rsidR="00166F76" w:rsidP="00166F76" w:rsidRDefault="00166F76" w14:paraId="345FBBAA" w14:textId="77777777">
      <w:pPr>
        <w:keepNext/>
        <w:numPr>
          <w:ilvl w:val="12"/>
          <w:numId w:val="0"/>
        </w:numPr>
        <w:tabs>
          <w:tab w:val="left" w:pos="720"/>
        </w:tabs>
        <w:ind w:left="720" w:hanging="720"/>
      </w:pPr>
      <w:r w:rsidRPr="00455BF1">
        <w:rPr>
          <w:b/>
          <w:bCs/>
        </w:rPr>
        <w:t>Operation and Maintenance (O&amp;M) Costs</w:t>
      </w:r>
    </w:p>
    <w:p w:rsidRPr="00455BF1" w:rsidR="00166F76" w:rsidP="00166F76" w:rsidRDefault="00166F76" w14:paraId="57AF2E5D" w14:textId="77777777">
      <w:pPr>
        <w:keepNext/>
        <w:numPr>
          <w:ilvl w:val="12"/>
          <w:numId w:val="0"/>
        </w:numPr>
      </w:pPr>
    </w:p>
    <w:p w:rsidR="00166F76" w:rsidP="00166F76" w:rsidRDefault="00166F76" w14:paraId="76929C2B" w14:textId="77777777">
      <w:pPr>
        <w:keepNext/>
        <w:numPr>
          <w:ilvl w:val="12"/>
          <w:numId w:val="0"/>
        </w:numPr>
      </w:pPr>
      <w:r w:rsidRPr="00455BF1">
        <w:t>O&amp;M costs are those costs associated with a paperwork requirement incurred continually over the life of the ICR</w:t>
      </w:r>
      <w:r>
        <w:t xml:space="preserve">. </w:t>
      </w:r>
      <w:r w:rsidRPr="00455BF1">
        <w:t>They are defined by the Paperwork Reduction Act (PRA) of 1995 as “the recurring dollar amount of costs associated with O&amp;M or purchasing services.”  For this ICR, O&amp;M costs include:</w:t>
      </w:r>
    </w:p>
    <w:p w:rsidRPr="00455BF1" w:rsidR="00166F76" w:rsidP="00166F76" w:rsidRDefault="00166F76" w14:paraId="717E1D85" w14:textId="77777777">
      <w:pPr>
        <w:keepNext/>
        <w:numPr>
          <w:ilvl w:val="12"/>
          <w:numId w:val="0"/>
        </w:numPr>
      </w:pPr>
    </w:p>
    <w:p w:rsidRPr="00197E1E" w:rsidR="00166F76" w:rsidP="00166F76" w:rsidRDefault="00166F76" w14:paraId="0E3F79EB" w14:textId="77777777">
      <w:pPr>
        <w:pStyle w:val="NoSpacing"/>
        <w:widowControl/>
      </w:pPr>
      <w:r w:rsidRPr="00EE3731">
        <w:rPr>
          <w:u w:val="single"/>
        </w:rPr>
        <w:t>Printing cost for sample manifests</w:t>
      </w:r>
      <w:r w:rsidRPr="00EE3731">
        <w:t>:  EPA estimates that respondents will incur a cost of $1,125 for each set of manifest form samples. These respondents are expected to contract with a printing company. Hence, the fee of $1,125 is considered a lump-sum cost. This O&amp;M cost was obtained through limited consultations with registered printers in July 2020. See Section 3</w:t>
      </w:r>
      <w:r>
        <w:t>C</w:t>
      </w:r>
      <w:r w:rsidRPr="00EE3731">
        <w:t xml:space="preserve"> of this document for additional information about the consultations.</w:t>
      </w:r>
    </w:p>
    <w:p w:rsidRPr="00197E1E" w:rsidR="00166F76" w:rsidP="00166F76" w:rsidRDefault="00166F76" w14:paraId="3434F6ED" w14:textId="77777777">
      <w:pPr>
        <w:pStyle w:val="NoSpacing"/>
        <w:widowControl/>
        <w:numPr>
          <w:ilvl w:val="0"/>
          <w:numId w:val="0"/>
        </w:numPr>
        <w:ind w:left="1080"/>
      </w:pPr>
    </w:p>
    <w:p w:rsidRPr="00197E1E" w:rsidR="00166F76" w:rsidP="00166F76" w:rsidRDefault="00166F76" w14:paraId="6EF1B1AB" w14:textId="77777777">
      <w:pPr>
        <w:pStyle w:val="NoSpacing"/>
        <w:widowControl/>
      </w:pPr>
      <w:r w:rsidRPr="00EE3731">
        <w:rPr>
          <w:u w:val="single"/>
        </w:rPr>
        <w:t>Purchase blank paper manifest forms from EPA-registered printer</w:t>
      </w:r>
      <w:r w:rsidRPr="00EE3731">
        <w:t>:  EPA estimates that respondents will incur a cost of $0.61 for each blank paper manifest and $0.</w:t>
      </w:r>
      <w:proofErr w:type="gramStart"/>
      <w:r w:rsidRPr="00EE3731">
        <w:t xml:space="preserve">61  </w:t>
      </w:r>
      <w:r w:rsidRPr="00EE3731">
        <w:lastRenderedPageBreak/>
        <w:t>for</w:t>
      </w:r>
      <w:proofErr w:type="gramEnd"/>
      <w:r w:rsidRPr="00EE3731">
        <w:t xml:space="preserve"> each blank paper continuation sheet they purchase from an EPA-registered printer</w:t>
      </w:r>
      <w:r w:rsidRPr="00EE3731">
        <w:rPr>
          <w:rStyle w:val="FootnoteReference"/>
          <w:vertAlign w:val="superscript"/>
        </w:rPr>
        <w:footnoteReference w:id="38"/>
      </w:r>
      <w:r w:rsidRPr="00EE3731">
        <w:rPr>
          <w:vertAlign w:val="superscript"/>
        </w:rPr>
        <w:t xml:space="preserve">, </w:t>
      </w:r>
      <w:r w:rsidRPr="00EE3731">
        <w:rPr>
          <w:rStyle w:val="FootnoteReference"/>
          <w:vertAlign w:val="superscript"/>
        </w:rPr>
        <w:footnoteReference w:id="39"/>
      </w:r>
    </w:p>
    <w:p w:rsidRPr="00197E1E" w:rsidR="00166F76" w:rsidP="00166F76" w:rsidRDefault="00166F76" w14:paraId="4939E994" w14:textId="77777777">
      <w:pPr>
        <w:pStyle w:val="NoSpacing"/>
        <w:widowControl/>
        <w:numPr>
          <w:ilvl w:val="0"/>
          <w:numId w:val="0"/>
        </w:numPr>
        <w:ind w:left="1080"/>
      </w:pPr>
    </w:p>
    <w:p w:rsidRPr="00197E1E" w:rsidR="00166F76" w:rsidP="00166F76" w:rsidRDefault="00166F76" w14:paraId="4DC2A15D" w14:textId="77777777">
      <w:pPr>
        <w:pStyle w:val="NoSpacing"/>
        <w:widowControl/>
      </w:pPr>
      <w:r w:rsidRPr="00EE3731">
        <w:rPr>
          <w:u w:val="single"/>
        </w:rPr>
        <w:t>Mailing costs</w:t>
      </w:r>
      <w:r w:rsidRPr="00EE3731">
        <w:t>:  EPA estimates that respondents will incur a cost of $0.61 to mail a one-ounce package ($0.55 for postage and $0.06 for standard-size envelope)</w:t>
      </w:r>
      <w:r w:rsidRPr="00EE3731">
        <w:rPr>
          <w:rStyle w:val="FootnoteReference"/>
          <w:vertAlign w:val="superscript"/>
        </w:rPr>
        <w:footnoteReference w:id="40"/>
      </w:r>
      <w:r w:rsidRPr="00EE3731">
        <w:rPr>
          <w:vertAlign w:val="superscript"/>
        </w:rPr>
        <w:t xml:space="preserve">, </w:t>
      </w:r>
      <w:r w:rsidRPr="00EE3731">
        <w:rPr>
          <w:rStyle w:val="FootnoteReference"/>
          <w:vertAlign w:val="superscript"/>
        </w:rPr>
        <w:footnoteReference w:id="41"/>
      </w:r>
      <w:r w:rsidRPr="00EE3731">
        <w:rPr>
          <w:vertAlign w:val="superscript"/>
        </w:rPr>
        <w:t xml:space="preserve">  </w:t>
      </w:r>
      <w:r w:rsidRPr="00EE3731">
        <w:t>EPA also estimates that respondents will incur a cost of $7.75 for mailing a larger package by priority mail.</w:t>
      </w:r>
      <w:r w:rsidRPr="00EE3731">
        <w:rPr>
          <w:rStyle w:val="FootnoteReference"/>
          <w:vertAlign w:val="superscript"/>
        </w:rPr>
        <w:footnoteReference w:id="42"/>
      </w:r>
      <w:r w:rsidRPr="00EE3731">
        <w:rPr>
          <w:vertAlign w:val="superscript"/>
        </w:rPr>
        <w:t xml:space="preserve">  </w:t>
      </w:r>
    </w:p>
    <w:p w:rsidRPr="00197E1E" w:rsidR="00166F76" w:rsidP="00F52ABE" w:rsidRDefault="00B82641" w14:paraId="3EB55B61" w14:textId="1510BCD3">
      <w:pPr>
        <w:pStyle w:val="NoSpacing"/>
        <w:widowControl/>
        <w:numPr>
          <w:ilvl w:val="0"/>
          <w:numId w:val="0"/>
        </w:numPr>
        <w:tabs>
          <w:tab w:val="left" w:pos="2200"/>
          <w:tab w:val="center" w:pos="5220"/>
        </w:tabs>
        <w:ind w:left="1080"/>
      </w:pPr>
      <w:r>
        <w:tab/>
      </w:r>
      <w:r w:rsidR="00A90B48">
        <w:tab/>
      </w:r>
    </w:p>
    <w:p w:rsidR="00166F76" w:rsidP="00166F76" w:rsidRDefault="00166F76" w14:paraId="4E7F75F9" w14:textId="32DA56A8">
      <w:pPr>
        <w:pStyle w:val="NoSpacing"/>
        <w:widowControl/>
      </w:pPr>
      <w:r w:rsidRPr="00EE3731">
        <w:rPr>
          <w:u w:val="single"/>
        </w:rPr>
        <w:t>Photocopying costs</w:t>
      </w:r>
      <w:r w:rsidRPr="00EE3731">
        <w:t xml:space="preserve">:  EPA estimates that respondents will incur a cost of $0.10 for each photocopy they make. </w:t>
      </w:r>
    </w:p>
    <w:p w:rsidR="00B82641" w:rsidP="00F52ABE" w:rsidRDefault="00B82641" w14:paraId="661E6D0F" w14:textId="77777777">
      <w:pPr>
        <w:pStyle w:val="ListParagraph"/>
      </w:pPr>
    </w:p>
    <w:p w:rsidR="005F5A95" w:rsidP="00F52ABE" w:rsidRDefault="00166F76" w14:paraId="1D61EA38" w14:textId="2A52240E">
      <w:pPr>
        <w:pStyle w:val="NoSpacing"/>
        <w:widowControl/>
      </w:pPr>
      <w:r w:rsidRPr="00B82641">
        <w:rPr>
          <w:u w:val="single"/>
        </w:rPr>
        <w:t>Long distance telephone call costs</w:t>
      </w:r>
      <w:r w:rsidRPr="00EE3731">
        <w:t xml:space="preserve">:  EPA estimates that respondents will incur a cost of $2.00 for each </w:t>
      </w:r>
      <w:r w:rsidRPr="00EE3731" w:rsidR="00B82641">
        <w:t>long-distance</w:t>
      </w:r>
      <w:r w:rsidRPr="00EE3731">
        <w:t xml:space="preserve"> telephone call they make.</w:t>
      </w:r>
    </w:p>
    <w:p w:rsidR="005F5A95" w:rsidP="00F52ABE" w:rsidRDefault="001D7FC4" w14:paraId="06B12A25" w14:textId="70C4EA5B">
      <w:pPr>
        <w:tabs>
          <w:tab w:val="left" w:pos="7940"/>
        </w:tabs>
      </w:pPr>
      <w:r>
        <w:tab/>
      </w:r>
    </w:p>
    <w:p w:rsidRPr="00675FDC" w:rsidR="00675FDC" w:rsidP="00675FDC" w:rsidRDefault="00675FDC" w14:paraId="0F8610B5" w14:textId="77777777">
      <w:pPr>
        <w:pStyle w:val="NoSpacing"/>
      </w:pPr>
      <w:r w:rsidRPr="00675FDC">
        <w:t xml:space="preserve">O&amp;M costs also include the fees assessed to manifest users. </w:t>
      </w:r>
    </w:p>
    <w:p w:rsidRPr="007F2825" w:rsidR="007F2825" w:rsidP="00F52ABE" w:rsidRDefault="00A43166" w14:paraId="51612C59" w14:textId="581F0EF3">
      <w:pPr>
        <w:pStyle w:val="NoSpacing"/>
        <w:numPr>
          <w:ilvl w:val="0"/>
          <w:numId w:val="0"/>
        </w:numPr>
        <w:ind w:left="1080"/>
      </w:pPr>
      <w:r>
        <w:t>A t</w:t>
      </w:r>
      <w:r w:rsidRPr="00FA159B">
        <w:t>reatment, storage, or disposal facility (TSDF) or other receiving facility</w:t>
      </w:r>
      <w:r w:rsidRPr="00FA159B" w:rsidDel="00FA159B">
        <w:t xml:space="preserve"> </w:t>
      </w:r>
      <w:r w:rsidRPr="007F2825">
        <w:t>will incur a cost of $25 for each paper submission, $20 for each image-only submission, $14 for each data &amp; image submission and $8 for each electronic manifest submission.</w:t>
      </w:r>
      <w:r>
        <w:t xml:space="preserve"> </w:t>
      </w:r>
      <w:r w:rsidRPr="007F2825">
        <w:t>For this ICR, total annual capital costs are $70,957 and total annual O&amp;M costs are $28,972,277. Most of the total annual O&amp;M costs are associated with manifest transactions subject to fees ($26,580,601).</w:t>
      </w:r>
    </w:p>
    <w:p w:rsidRPr="003949EE" w:rsidR="00257110" w:rsidP="0074315E" w:rsidRDefault="00257110" w14:paraId="2E79B3DD" w14:textId="77777777"/>
    <w:p w:rsidR="00166F76" w:rsidP="00166F76" w:rsidRDefault="00166F76" w14:paraId="331EC9A9" w14:textId="0A08906E">
      <w:pPr>
        <w:rPr>
          <w:b/>
        </w:rPr>
      </w:pPr>
      <w:bookmarkStart w:name="_Toc7446077" w:id="11"/>
      <w:r w:rsidRPr="00C425CF">
        <w:rPr>
          <w:b/>
        </w:rPr>
        <w:t>14. Provide estimates of annualized costs to the Federal government. Also, provide a description</w:t>
      </w:r>
      <w:r>
        <w:rPr>
          <w:b/>
        </w:rPr>
        <w:t xml:space="preserve"> </w:t>
      </w:r>
      <w:r w:rsidRPr="00C425CF">
        <w:rPr>
          <w:b/>
        </w:rPr>
        <w:t>of the method used to estimate cost, which should include quantification of hours,</w:t>
      </w:r>
      <w:r>
        <w:rPr>
          <w:b/>
        </w:rPr>
        <w:t xml:space="preserve"> </w:t>
      </w:r>
      <w:r w:rsidRPr="00C425CF">
        <w:rPr>
          <w:b/>
        </w:rPr>
        <w:t>operational expenses (such as equipment, overhead, printing, and support staff), and any</w:t>
      </w:r>
      <w:r>
        <w:rPr>
          <w:b/>
        </w:rPr>
        <w:t xml:space="preserve"> </w:t>
      </w:r>
      <w:r w:rsidRPr="00C425CF">
        <w:rPr>
          <w:b/>
        </w:rPr>
        <w:t xml:space="preserve">other expense that would not </w:t>
      </w:r>
      <w:r>
        <w:rPr>
          <w:b/>
        </w:rPr>
        <w:t>h</w:t>
      </w:r>
      <w:r w:rsidRPr="00C425CF">
        <w:rPr>
          <w:b/>
        </w:rPr>
        <w:t>ave been incurred without this collection of information.</w:t>
      </w:r>
      <w:r>
        <w:rPr>
          <w:b/>
        </w:rPr>
        <w:t xml:space="preserve"> </w:t>
      </w:r>
      <w:r w:rsidRPr="00C425CF">
        <w:rPr>
          <w:b/>
        </w:rPr>
        <w:t>Agencies may also aggregate cost estimates from Items 12, 13, and 14 in a single table.</w:t>
      </w:r>
    </w:p>
    <w:p w:rsidRPr="00C425CF" w:rsidR="00F52ABE" w:rsidP="00166F76" w:rsidRDefault="00F52ABE" w14:paraId="059973AD" w14:textId="77777777">
      <w:pPr>
        <w:rPr>
          <w:b/>
        </w:rPr>
      </w:pPr>
    </w:p>
    <w:bookmarkEnd w:id="11"/>
    <w:p w:rsidRPr="005B287E" w:rsidR="002D37E6" w:rsidP="008C7BA5" w:rsidRDefault="000F4D0A" w14:paraId="2F2F34FC" w14:textId="77777777">
      <w:pPr>
        <w:keepNext/>
        <w:tabs>
          <w:tab w:val="left" w:pos="-1200"/>
        </w:tabs>
      </w:pPr>
      <w:r w:rsidRPr="005B287E">
        <w:t>Agency activities associated with the manifest requirements include the review of exception reports, discrepancy reports, and un</w:t>
      </w:r>
      <w:r w:rsidR="00780633">
        <w:t>-</w:t>
      </w:r>
      <w:r w:rsidRPr="005B287E">
        <w:t>manifested waste reports</w:t>
      </w:r>
      <w:r w:rsidR="000E6596">
        <w:t xml:space="preserve">. </w:t>
      </w:r>
      <w:r w:rsidRPr="005B287E">
        <w:t>The Agency reviews these reports to identify potentially non-compliant or otherwise unresolved activities that warrant Agency attention</w:t>
      </w:r>
      <w:r w:rsidR="000E6596">
        <w:t xml:space="preserve">. </w:t>
      </w:r>
      <w:r w:rsidRPr="005B287E">
        <w:t>For example, upon receipt of an exception report, the Agency may conduct a follow-up investigation to assist the generator in locating the shipment</w:t>
      </w:r>
      <w:r w:rsidR="000E6596">
        <w:t xml:space="preserve">. </w:t>
      </w:r>
      <w:r w:rsidRPr="005B287E">
        <w:t xml:space="preserve">The Agency keeps these reports on </w:t>
      </w:r>
      <w:r w:rsidRPr="005B287E">
        <w:lastRenderedPageBreak/>
        <w:t>file</w:t>
      </w:r>
      <w:r w:rsidR="000E6596">
        <w:t xml:space="preserve">. </w:t>
      </w:r>
      <w:r w:rsidRPr="005B287E">
        <w:t xml:space="preserve">In addition, </w:t>
      </w:r>
      <w:r w:rsidRPr="005B287E" w:rsidR="00CB2DBC">
        <w:t>EPA</w:t>
      </w:r>
      <w:r w:rsidRPr="005B287E">
        <w:t xml:space="preserve"> requires manifest form printers to register with </w:t>
      </w:r>
      <w:r w:rsidRPr="005B287E" w:rsidR="00CB2DBC">
        <w:t>EPA</w:t>
      </w:r>
      <w:r w:rsidRPr="005B287E">
        <w:t>, as provided under 40 CFR 262.21</w:t>
      </w:r>
      <w:r w:rsidR="000E6596">
        <w:t xml:space="preserve">. </w:t>
      </w:r>
      <w:r w:rsidRPr="005B287E">
        <w:t>The Agency will need to review, process, and keep records of the data submitted</w:t>
      </w:r>
      <w:r w:rsidR="000E6596">
        <w:t xml:space="preserve">. </w:t>
      </w:r>
    </w:p>
    <w:p w:rsidRPr="005B287E" w:rsidR="002D37E6" w:rsidP="00FA3A49" w:rsidRDefault="002D37E6" w14:paraId="411077B8" w14:textId="77777777">
      <w:pPr>
        <w:tabs>
          <w:tab w:val="left" w:pos="-1200"/>
        </w:tabs>
      </w:pPr>
    </w:p>
    <w:p w:rsidR="00F0121C" w:rsidP="00FA3A49" w:rsidRDefault="005B287E" w14:paraId="2FCDB552" w14:textId="77777777">
      <w:pPr>
        <w:tabs>
          <w:tab w:val="left" w:pos="-1200"/>
        </w:tabs>
      </w:pPr>
      <w:r w:rsidRPr="005B287E">
        <w:t xml:space="preserve">In addition, EPA </w:t>
      </w:r>
      <w:r w:rsidR="00845FFB">
        <w:t xml:space="preserve">started up the </w:t>
      </w:r>
      <w:r w:rsidR="00650EC6">
        <w:t>e-</w:t>
      </w:r>
      <w:r w:rsidRPr="005B287E">
        <w:t>Manifest system</w:t>
      </w:r>
      <w:r w:rsidR="00650EC6">
        <w:t xml:space="preserve"> on June 30, 2018</w:t>
      </w:r>
      <w:r w:rsidR="000E6596">
        <w:t xml:space="preserve">. </w:t>
      </w:r>
      <w:r w:rsidR="00845FFB">
        <w:t>Agency activities</w:t>
      </w:r>
      <w:r w:rsidRPr="005B287E">
        <w:t xml:space="preserve"> include</w:t>
      </w:r>
      <w:r w:rsidR="00845FFB">
        <w:t xml:space="preserve">, among other things, </w:t>
      </w:r>
      <w:r w:rsidR="00650EC6">
        <w:t xml:space="preserve">system </w:t>
      </w:r>
      <w:r w:rsidR="007E688D">
        <w:t xml:space="preserve">development, operation and </w:t>
      </w:r>
      <w:r w:rsidRPr="005B287E">
        <w:t>maintenance, paper manifest processing, operating a call center, and</w:t>
      </w:r>
      <w:r w:rsidR="00845FFB">
        <w:t xml:space="preserve"> invoicing </w:t>
      </w:r>
      <w:r w:rsidR="00E8719A">
        <w:t>user</w:t>
      </w:r>
      <w:r w:rsidR="00845FFB">
        <w:t>s</w:t>
      </w:r>
      <w:r w:rsidR="000E6596">
        <w:t xml:space="preserve">. </w:t>
      </w:r>
    </w:p>
    <w:p w:rsidR="002527AB" w:rsidP="00FA3A49" w:rsidRDefault="002527AB" w14:paraId="01B1DEB6" w14:textId="77777777">
      <w:pPr>
        <w:tabs>
          <w:tab w:val="left" w:pos="-1200"/>
        </w:tabs>
      </w:pPr>
    </w:p>
    <w:p w:rsidR="00AE6E93" w:rsidP="00FA2B60" w:rsidRDefault="00AE6E93" w14:paraId="30A6C202" w14:textId="0343C0F9">
      <w:pPr>
        <w:pStyle w:val="Heading2"/>
        <w:keepLines w:val="0"/>
        <w:widowControl/>
      </w:pPr>
      <w:bookmarkStart w:name="_1__26_" w:id="12"/>
      <w:bookmarkStart w:name="_Toc7446085" w:id="13"/>
      <w:bookmarkEnd w:id="12"/>
      <w:r>
        <w:t>Estimating Agency Hour and Cost Burden</w:t>
      </w:r>
      <w:bookmarkEnd w:id="13"/>
      <w:r>
        <w:t xml:space="preserve"> </w:t>
      </w:r>
    </w:p>
    <w:p w:rsidR="00AE6E93" w:rsidP="00FA2B60" w:rsidRDefault="00AE6E93" w14:paraId="086D904F" w14:textId="77777777">
      <w:pPr>
        <w:keepNext/>
        <w:numPr>
          <w:ilvl w:val="12"/>
          <w:numId w:val="0"/>
        </w:numPr>
      </w:pPr>
    </w:p>
    <w:p w:rsidR="0027371A" w:rsidP="0027371A" w:rsidRDefault="00102C40" w14:paraId="6E45E869" w14:textId="77777777">
      <w:pPr>
        <w:tabs>
          <w:tab w:val="left" w:pos="-1200"/>
        </w:tabs>
      </w:pPr>
      <w:r w:rsidRPr="00174257">
        <w:t>EPA estimates the Agency hour and cost burden associated with the information collection requirements covered in this ICR in Exhibit 2</w:t>
      </w:r>
      <w:r w:rsidR="00455C5C">
        <w:t>3</w:t>
      </w:r>
      <w:r w:rsidRPr="00174257">
        <w:t>.</w:t>
      </w:r>
      <w:r w:rsidR="0027371A">
        <w:t xml:space="preserve"> This exhibit is presented in the appendix to this supporting statement. </w:t>
      </w:r>
    </w:p>
    <w:p w:rsidR="00102C40" w:rsidP="00FA2B60" w:rsidRDefault="00102C40" w14:paraId="0AF1E973" w14:textId="77777777">
      <w:pPr>
        <w:numPr>
          <w:ilvl w:val="12"/>
          <w:numId w:val="0"/>
        </w:numPr>
      </w:pPr>
    </w:p>
    <w:p w:rsidR="00AE6E93" w:rsidP="00FA2B60" w:rsidRDefault="00AE6E93" w14:paraId="7D95AA6E" w14:textId="77777777">
      <w:pPr>
        <w:keepNext/>
        <w:tabs>
          <w:tab w:val="left" w:pos="720"/>
        </w:tabs>
        <w:ind w:left="720" w:hanging="720"/>
      </w:pPr>
      <w:r>
        <w:rPr>
          <w:b/>
          <w:bCs/>
        </w:rPr>
        <w:t>Labor Costs</w:t>
      </w:r>
    </w:p>
    <w:p w:rsidR="002D3051" w:rsidP="00FA2B60" w:rsidRDefault="002D3051" w14:paraId="71B82D01" w14:textId="77777777">
      <w:pPr>
        <w:keepNext/>
        <w:numPr>
          <w:ilvl w:val="12"/>
          <w:numId w:val="0"/>
        </w:numPr>
      </w:pPr>
    </w:p>
    <w:p w:rsidR="00C31F4F" w:rsidP="00CB531E" w:rsidRDefault="005E0675" w14:paraId="41A36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E0675">
        <w:t>The hourly Agency labor rates used in this ICR were obtained from the 2020 Salary Tables for federal civilian employees, which are published by the Office of Personnel Management.   EPA estimates an average hourly labor cost of $83.84/</w:t>
      </w:r>
      <w:proofErr w:type="spellStart"/>
      <w:r w:rsidRPr="005E0675">
        <w:t>hr</w:t>
      </w:r>
      <w:proofErr w:type="spellEnd"/>
      <w:r w:rsidRPr="005E0675">
        <w:t xml:space="preserve"> for legal staff, $78.42/</w:t>
      </w:r>
      <w:proofErr w:type="spellStart"/>
      <w:r w:rsidRPr="005E0675">
        <w:t>hr</w:t>
      </w:r>
      <w:proofErr w:type="spellEnd"/>
      <w:r w:rsidRPr="005E0675">
        <w:t xml:space="preserve"> for managerial staff, $57.49/</w:t>
      </w:r>
      <w:proofErr w:type="spellStart"/>
      <w:r w:rsidRPr="005E0675">
        <w:t>hr</w:t>
      </w:r>
      <w:proofErr w:type="spellEnd"/>
      <w:r w:rsidRPr="005E0675">
        <w:t xml:space="preserve"> for technical staff, and $23.09/</w:t>
      </w:r>
      <w:proofErr w:type="spellStart"/>
      <w:r w:rsidRPr="005E0675">
        <w:t>hr</w:t>
      </w:r>
      <w:proofErr w:type="spellEnd"/>
      <w:r w:rsidRPr="005E0675">
        <w:t xml:space="preserve"> for clerical staff. The labor costs are based on the following GS levels and steps:  legal labor rates were based on GS Level 15, Step 1, managerial labor rates were based on GS Level 14, Step 4, technical labor rates were based on GS Level 12, Step 5, and clerical labor rates were based on GS Level 5, Step 1. To derive hourly estimates, EPA multiplied hourly rates by the standard government overhead factor of 1.6.</w:t>
      </w:r>
    </w:p>
    <w:p w:rsidR="00455C5C" w:rsidP="00C31F4F" w:rsidRDefault="00455C5C" w14:paraId="33C164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Pr="00585FB5" w:rsidR="00AE6E93" w:rsidP="00FA3A49" w:rsidRDefault="00A6367D" w14:paraId="1D4137A4" w14:textId="77777777">
      <w:pPr>
        <w:keepNext/>
        <w:numPr>
          <w:ilvl w:val="12"/>
          <w:numId w:val="0"/>
        </w:numPr>
        <w:tabs>
          <w:tab w:val="left" w:pos="720"/>
        </w:tabs>
        <w:ind w:left="720" w:hanging="720"/>
      </w:pPr>
      <w:r w:rsidRPr="00585FB5">
        <w:rPr>
          <w:b/>
          <w:bCs/>
        </w:rPr>
        <w:t xml:space="preserve">Capital and </w:t>
      </w:r>
      <w:r w:rsidRPr="00585FB5" w:rsidR="00AE6E93">
        <w:rPr>
          <w:b/>
          <w:bCs/>
        </w:rPr>
        <w:t xml:space="preserve">Operation </w:t>
      </w:r>
      <w:r w:rsidRPr="00585FB5">
        <w:rPr>
          <w:b/>
          <w:bCs/>
        </w:rPr>
        <w:t xml:space="preserve">&amp; </w:t>
      </w:r>
      <w:r w:rsidRPr="00585FB5" w:rsidR="00AE6E93">
        <w:rPr>
          <w:b/>
          <w:bCs/>
        </w:rPr>
        <w:t>Maintenance Costs</w:t>
      </w:r>
    </w:p>
    <w:p w:rsidR="00AE6E93" w:rsidP="00FA3A49" w:rsidRDefault="00AE6E93" w14:paraId="6A0057C8" w14:textId="77777777">
      <w:pPr>
        <w:keepNext/>
        <w:numPr>
          <w:ilvl w:val="12"/>
          <w:numId w:val="0"/>
        </w:numPr>
      </w:pPr>
    </w:p>
    <w:p w:rsidR="00C803A9" w:rsidP="000261B6" w:rsidRDefault="000261B6" w14:paraId="2A347F41" w14:textId="77777777">
      <w:pPr>
        <w:numPr>
          <w:ilvl w:val="12"/>
          <w:numId w:val="0"/>
        </w:numPr>
      </w:pPr>
      <w:r w:rsidRPr="000B383E">
        <w:t xml:space="preserve">Table </w:t>
      </w:r>
      <w:r w:rsidR="00151D44">
        <w:t>8</w:t>
      </w:r>
      <w:r w:rsidRPr="000B383E">
        <w:t xml:space="preserve"> presents preliminary</w:t>
      </w:r>
      <w:r w:rsidRPr="00447F9A">
        <w:t xml:space="preserve"> </w:t>
      </w:r>
      <w:r>
        <w:t>annual capital and O&amp;M cost</w:t>
      </w:r>
      <w:r w:rsidR="0046159B">
        <w:t xml:space="preserve"> estimate</w:t>
      </w:r>
      <w:r>
        <w:t xml:space="preserve">s </w:t>
      </w:r>
      <w:r w:rsidR="0046159B">
        <w:t>for the Agency to</w:t>
      </w:r>
      <w:r w:rsidR="001711DA">
        <w:t xml:space="preserve"> maintain, upgrad</w:t>
      </w:r>
      <w:r w:rsidR="0046159B">
        <w:t>e</w:t>
      </w:r>
      <w:r w:rsidR="001711DA">
        <w:t xml:space="preserve"> and operat</w:t>
      </w:r>
      <w:r w:rsidR="0046159B">
        <w:t>e</w:t>
      </w:r>
      <w:r>
        <w:t xml:space="preserve"> the </w:t>
      </w:r>
      <w:r w:rsidRPr="00447F9A">
        <w:t xml:space="preserve">e-Manifest </w:t>
      </w:r>
      <w:r>
        <w:t xml:space="preserve">system </w:t>
      </w:r>
      <w:r w:rsidRPr="00447F9A">
        <w:t>over the next 3 years. Th</w:t>
      </w:r>
      <w:r>
        <w:t>ese costs cover such elements as</w:t>
      </w:r>
      <w:r w:rsidR="005D3A3E">
        <w:t>:</w:t>
      </w:r>
    </w:p>
    <w:p w:rsidR="00C803A9" w:rsidP="00FA3A49" w:rsidRDefault="00C803A9" w14:paraId="3B02B429" w14:textId="77777777">
      <w:pPr>
        <w:keepNext/>
        <w:numPr>
          <w:ilvl w:val="12"/>
          <w:numId w:val="0"/>
        </w:numPr>
      </w:pPr>
    </w:p>
    <w:p w:rsidRPr="000B383E" w:rsidR="00C803A9" w:rsidP="00C803A9" w:rsidRDefault="00C803A9" w14:paraId="71C650AC" w14:textId="77777777">
      <w:pPr>
        <w:pStyle w:val="ListParagraph"/>
        <w:widowControl/>
        <w:numPr>
          <w:ilvl w:val="0"/>
          <w:numId w:val="10"/>
        </w:numPr>
        <w:ind w:left="1080"/>
      </w:pPr>
      <w:r w:rsidRPr="000B383E">
        <w:t xml:space="preserve">System </w:t>
      </w:r>
      <w:proofErr w:type="gramStart"/>
      <w:r w:rsidRPr="000B383E">
        <w:t>development;</w:t>
      </w:r>
      <w:proofErr w:type="gramEnd"/>
    </w:p>
    <w:p w:rsidRPr="000B383E" w:rsidR="00C803A9" w:rsidP="00C803A9" w:rsidRDefault="00C803A9" w14:paraId="6011D722" w14:textId="77777777">
      <w:pPr>
        <w:pStyle w:val="ListParagraph"/>
        <w:widowControl/>
        <w:numPr>
          <w:ilvl w:val="0"/>
          <w:numId w:val="10"/>
        </w:numPr>
        <w:ind w:left="1080"/>
      </w:pPr>
      <w:r w:rsidRPr="000B383E">
        <w:t xml:space="preserve">Operations &amp; </w:t>
      </w:r>
      <w:proofErr w:type="gramStart"/>
      <w:r w:rsidRPr="000B383E">
        <w:t>maintenance;</w:t>
      </w:r>
      <w:proofErr w:type="gramEnd"/>
    </w:p>
    <w:p w:rsidRPr="000B383E" w:rsidR="00C803A9" w:rsidP="00C803A9" w:rsidRDefault="00C803A9" w14:paraId="27772EE9" w14:textId="77777777">
      <w:pPr>
        <w:pStyle w:val="ListParagraph"/>
        <w:widowControl/>
        <w:numPr>
          <w:ilvl w:val="0"/>
          <w:numId w:val="10"/>
        </w:numPr>
        <w:ind w:left="1080"/>
      </w:pPr>
      <w:r w:rsidRPr="000B383E">
        <w:t>Paper manifest processing labor and O&amp;</w:t>
      </w:r>
      <w:proofErr w:type="gramStart"/>
      <w:r w:rsidRPr="000B383E">
        <w:t>M;</w:t>
      </w:r>
      <w:proofErr w:type="gramEnd"/>
    </w:p>
    <w:p w:rsidRPr="000B383E" w:rsidR="00C803A9" w:rsidP="00C803A9" w:rsidRDefault="00C803A9" w14:paraId="224F6847" w14:textId="77777777">
      <w:pPr>
        <w:pStyle w:val="ListParagraph"/>
        <w:widowControl/>
        <w:numPr>
          <w:ilvl w:val="0"/>
          <w:numId w:val="10"/>
        </w:numPr>
        <w:ind w:left="1080"/>
      </w:pPr>
      <w:r w:rsidRPr="000B383E">
        <w:t xml:space="preserve">Call </w:t>
      </w:r>
      <w:proofErr w:type="gramStart"/>
      <w:r w:rsidRPr="000B383E">
        <w:t>center;</w:t>
      </w:r>
      <w:proofErr w:type="gramEnd"/>
    </w:p>
    <w:p w:rsidRPr="000B383E" w:rsidR="00C803A9" w:rsidP="00C803A9" w:rsidRDefault="00C803A9" w14:paraId="5B603825" w14:textId="77777777">
      <w:pPr>
        <w:pStyle w:val="ListParagraph"/>
        <w:widowControl/>
        <w:numPr>
          <w:ilvl w:val="0"/>
          <w:numId w:val="10"/>
        </w:numPr>
        <w:ind w:left="1080"/>
      </w:pPr>
      <w:proofErr w:type="gramStart"/>
      <w:r w:rsidRPr="000B383E">
        <w:t>Billing;</w:t>
      </w:r>
      <w:proofErr w:type="gramEnd"/>
    </w:p>
    <w:p w:rsidRPr="000B383E" w:rsidR="00C803A9" w:rsidP="00C803A9" w:rsidRDefault="00C803A9" w14:paraId="1556C0CE" w14:textId="77777777">
      <w:pPr>
        <w:pStyle w:val="ListParagraph"/>
        <w:widowControl/>
        <w:numPr>
          <w:ilvl w:val="0"/>
          <w:numId w:val="10"/>
        </w:numPr>
        <w:ind w:left="1080"/>
      </w:pPr>
      <w:r w:rsidRPr="000B383E">
        <w:t xml:space="preserve">Additional program </w:t>
      </w:r>
      <w:proofErr w:type="gramStart"/>
      <w:r w:rsidRPr="000B383E">
        <w:t>costs;</w:t>
      </w:r>
      <w:proofErr w:type="gramEnd"/>
    </w:p>
    <w:p w:rsidRPr="000B383E" w:rsidR="00C803A9" w:rsidP="00C803A9" w:rsidRDefault="00C803A9" w14:paraId="3C2F5EC0" w14:textId="77777777">
      <w:pPr>
        <w:pStyle w:val="ListParagraph"/>
        <w:widowControl/>
        <w:numPr>
          <w:ilvl w:val="0"/>
          <w:numId w:val="10"/>
        </w:numPr>
        <w:ind w:left="1080"/>
      </w:pPr>
      <w:r w:rsidRPr="000B383E">
        <w:t>Additional indirect costs; and</w:t>
      </w:r>
    </w:p>
    <w:p w:rsidR="00C803A9" w:rsidP="00C803A9" w:rsidRDefault="00C803A9" w14:paraId="0052C345" w14:textId="77777777">
      <w:pPr>
        <w:pStyle w:val="ListParagraph"/>
        <w:widowControl/>
        <w:numPr>
          <w:ilvl w:val="0"/>
          <w:numId w:val="10"/>
        </w:numPr>
        <w:ind w:left="1080"/>
      </w:pPr>
      <w:r w:rsidRPr="000B383E">
        <w:t>Manifest processing costs.</w:t>
      </w:r>
    </w:p>
    <w:p w:rsidR="000261B6" w:rsidP="000261B6" w:rsidRDefault="000261B6" w14:paraId="0219E78A" w14:textId="77777777"/>
    <w:p w:rsidRPr="00C803A9" w:rsidR="00447F9A" w:rsidP="001237EA" w:rsidRDefault="00447F9A" w14:paraId="36D458D3" w14:textId="77777777">
      <w:pPr>
        <w:keepNext/>
        <w:jc w:val="center"/>
        <w:rPr>
          <w:b/>
        </w:rPr>
      </w:pPr>
      <w:r w:rsidRPr="00C803A9">
        <w:rPr>
          <w:b/>
        </w:rPr>
        <w:t xml:space="preserve">Table </w:t>
      </w:r>
      <w:r w:rsidR="00151D44">
        <w:rPr>
          <w:b/>
        </w:rPr>
        <w:t>8</w:t>
      </w:r>
    </w:p>
    <w:p w:rsidRPr="00F12D2D" w:rsidR="00447F9A" w:rsidP="001237EA" w:rsidRDefault="00447F9A" w14:paraId="0B6067A4" w14:textId="77777777">
      <w:pPr>
        <w:keepNext/>
        <w:tabs>
          <w:tab w:val="left" w:pos="-1200"/>
        </w:tabs>
        <w:jc w:val="center"/>
        <w:rPr>
          <w:b/>
        </w:rPr>
      </w:pPr>
      <w:r w:rsidRPr="00F12D2D">
        <w:rPr>
          <w:b/>
        </w:rPr>
        <w:t>Annual</w:t>
      </w:r>
      <w:r w:rsidR="00032A01">
        <w:rPr>
          <w:b/>
        </w:rPr>
        <w:t xml:space="preserve"> Agency</w:t>
      </w:r>
      <w:r w:rsidRPr="00F12D2D">
        <w:rPr>
          <w:b/>
        </w:rPr>
        <w:t xml:space="preserve"> Costs</w:t>
      </w:r>
      <w:r w:rsidR="00032A01">
        <w:rPr>
          <w:b/>
        </w:rPr>
        <w:t xml:space="preserve"> for e-Manifest</w:t>
      </w:r>
      <w:r w:rsidRPr="00F12D2D">
        <w:rPr>
          <w:b/>
        </w:rPr>
        <w:t>*</w:t>
      </w:r>
    </w:p>
    <w:tbl>
      <w:tblPr>
        <w:tblStyle w:val="TableGrid"/>
        <w:tblW w:w="0" w:type="auto"/>
        <w:jc w:val="center"/>
        <w:tblLook w:val="04A0" w:firstRow="1" w:lastRow="0" w:firstColumn="1" w:lastColumn="0" w:noHBand="0" w:noVBand="1"/>
      </w:tblPr>
      <w:tblGrid>
        <w:gridCol w:w="1957"/>
        <w:gridCol w:w="4275"/>
      </w:tblGrid>
      <w:tr w:rsidRPr="00F12D2D" w:rsidR="004260CA" w:rsidTr="004260CA" w14:paraId="4969F7F7" w14:textId="77777777">
        <w:trPr>
          <w:jc w:val="center"/>
        </w:trPr>
        <w:tc>
          <w:tcPr>
            <w:tcW w:w="1957" w:type="dxa"/>
            <w:shd w:val="clear" w:color="auto" w:fill="auto"/>
            <w:vAlign w:val="center"/>
          </w:tcPr>
          <w:p w:rsidRPr="004260CA" w:rsidR="004260CA" w:rsidP="005D52D7" w:rsidRDefault="005D52D7" w14:paraId="0C74BFB2" w14:textId="77777777">
            <w:pPr>
              <w:keepNext/>
              <w:widowControl/>
              <w:tabs>
                <w:tab w:val="left" w:pos="-1200"/>
              </w:tabs>
              <w:rPr>
                <w:sz w:val="22"/>
                <w:szCs w:val="22"/>
              </w:rPr>
            </w:pPr>
            <w:r>
              <w:rPr>
                <w:sz w:val="22"/>
                <w:szCs w:val="22"/>
              </w:rPr>
              <w:t>Capital</w:t>
            </w:r>
          </w:p>
        </w:tc>
        <w:tc>
          <w:tcPr>
            <w:tcW w:w="4275" w:type="dxa"/>
            <w:shd w:val="clear" w:color="auto" w:fill="auto"/>
            <w:vAlign w:val="center"/>
          </w:tcPr>
          <w:p w:rsidRPr="004260CA" w:rsidR="004260CA" w:rsidP="001237EA" w:rsidRDefault="004260CA" w14:paraId="75EABD38" w14:textId="77777777">
            <w:pPr>
              <w:keepNext/>
              <w:widowControl/>
              <w:tabs>
                <w:tab w:val="left" w:pos="-1200"/>
              </w:tabs>
              <w:jc w:val="center"/>
              <w:rPr>
                <w:sz w:val="22"/>
                <w:szCs w:val="22"/>
              </w:rPr>
            </w:pPr>
            <w:r w:rsidRPr="004260CA">
              <w:rPr>
                <w:sz w:val="22"/>
                <w:szCs w:val="22"/>
              </w:rPr>
              <w:t>$9,000,000</w:t>
            </w:r>
          </w:p>
        </w:tc>
      </w:tr>
      <w:tr w:rsidRPr="00F12D2D" w:rsidR="004260CA" w:rsidTr="004260CA" w14:paraId="12A50ED5" w14:textId="77777777">
        <w:trPr>
          <w:jc w:val="center"/>
        </w:trPr>
        <w:tc>
          <w:tcPr>
            <w:tcW w:w="1957" w:type="dxa"/>
            <w:shd w:val="clear" w:color="auto" w:fill="auto"/>
            <w:vAlign w:val="center"/>
          </w:tcPr>
          <w:p w:rsidRPr="004260CA" w:rsidR="004260CA" w:rsidP="005D52D7" w:rsidRDefault="005D52D7" w14:paraId="015AAADB" w14:textId="77777777">
            <w:pPr>
              <w:keepNext/>
              <w:widowControl/>
              <w:rPr>
                <w:sz w:val="22"/>
                <w:szCs w:val="22"/>
              </w:rPr>
            </w:pPr>
            <w:r>
              <w:rPr>
                <w:sz w:val="22"/>
                <w:szCs w:val="22"/>
              </w:rPr>
              <w:t>O&amp;M</w:t>
            </w:r>
          </w:p>
        </w:tc>
        <w:tc>
          <w:tcPr>
            <w:tcW w:w="4275" w:type="dxa"/>
            <w:shd w:val="clear" w:color="auto" w:fill="auto"/>
            <w:vAlign w:val="center"/>
          </w:tcPr>
          <w:p w:rsidRPr="004260CA" w:rsidR="004260CA" w:rsidP="001237EA" w:rsidRDefault="004260CA" w14:paraId="0E594B29" w14:textId="77777777">
            <w:pPr>
              <w:keepNext/>
              <w:widowControl/>
              <w:jc w:val="center"/>
              <w:rPr>
                <w:sz w:val="22"/>
                <w:szCs w:val="22"/>
              </w:rPr>
            </w:pPr>
            <w:r w:rsidRPr="004260CA">
              <w:rPr>
                <w:sz w:val="22"/>
                <w:szCs w:val="22"/>
              </w:rPr>
              <w:t>$9,000,000</w:t>
            </w:r>
          </w:p>
        </w:tc>
      </w:tr>
    </w:tbl>
    <w:p w:rsidR="00447F9A" w:rsidP="001237EA" w:rsidRDefault="00447F9A" w14:paraId="6136C36D" w14:textId="77777777">
      <w:pPr>
        <w:pStyle w:val="FootnoteText"/>
        <w:keepNext/>
        <w:widowControl/>
        <w:ind w:left="1530"/>
      </w:pPr>
      <w:r w:rsidRPr="00F12D2D">
        <w:t>*Th</w:t>
      </w:r>
      <w:r>
        <w:t>e table shows</w:t>
      </w:r>
      <w:r w:rsidRPr="00F12D2D">
        <w:t xml:space="preserve"> preliminary estimate</w:t>
      </w:r>
      <w:r>
        <w:t>s.</w:t>
      </w:r>
    </w:p>
    <w:p w:rsidR="0077498F" w:rsidP="00B71DC5" w:rsidRDefault="0077498F" w14:paraId="0CF41E14" w14:textId="77777777">
      <w:pPr>
        <w:pStyle w:val="Heading2"/>
      </w:pPr>
      <w:bookmarkStart w:name="_Toc7446086" w:id="14"/>
    </w:p>
    <w:p w:rsidR="00EE339B" w:rsidP="00EE339B" w:rsidRDefault="00EE339B" w14:paraId="0C32AF99" w14:textId="77777777">
      <w:r>
        <w:t>These costs are reflected in Exhibit 23.</w:t>
      </w:r>
    </w:p>
    <w:p w:rsidRPr="00EE339B" w:rsidR="00EE339B" w:rsidP="00EE339B" w:rsidRDefault="00EE339B" w14:paraId="0F873B41" w14:textId="77777777"/>
    <w:bookmarkEnd w:id="14"/>
    <w:p w:rsidRPr="00DF21A1" w:rsidR="00CD0373" w:rsidP="00FA3A49" w:rsidRDefault="00CD0373" w14:paraId="3C6E7B19" w14:textId="77777777">
      <w:pPr>
        <w:rPr>
          <w:highlight w:val="yellow"/>
        </w:rPr>
      </w:pPr>
    </w:p>
    <w:p w:rsidR="00EC4D02" w:rsidP="00FA3A49" w:rsidRDefault="00E5467C" w14:paraId="66A6D070" w14:textId="0AA3F510">
      <w:r w:rsidRPr="00A048DD">
        <w:t>Exhibit 2</w:t>
      </w:r>
      <w:r w:rsidRPr="00A048DD" w:rsidR="004F3AE9">
        <w:t>3</w:t>
      </w:r>
      <w:r w:rsidRPr="00A048DD">
        <w:t xml:space="preserve"> shows the annual Agency hour and cost burden associated with all the requirements covered in this ICR</w:t>
      </w:r>
      <w:r w:rsidRPr="00A048DD" w:rsidR="000E6596">
        <w:t xml:space="preserve">. </w:t>
      </w:r>
      <w:r w:rsidRPr="00A048DD">
        <w:t xml:space="preserve">As shown in this exhibit, EPA estimates the annual Agency burden to be </w:t>
      </w:r>
      <w:r w:rsidRPr="00A048DD" w:rsidR="00A048DD">
        <w:t xml:space="preserve">89,663 </w:t>
      </w:r>
      <w:r w:rsidRPr="00A048DD">
        <w:t>hours and</w:t>
      </w:r>
      <w:r w:rsidRPr="00A048DD" w:rsidR="004F7532">
        <w:t xml:space="preserve"> </w:t>
      </w:r>
      <w:r w:rsidRPr="00A048DD" w:rsidR="00A048DD">
        <w:t>$28,333,677</w:t>
      </w:r>
      <w:r w:rsidRPr="00A048DD" w:rsidR="000E6596">
        <w:t>.</w:t>
      </w:r>
    </w:p>
    <w:p w:rsidRPr="004F7532" w:rsidR="00FA0526" w:rsidP="00FA3A49" w:rsidRDefault="00FA0526" w14:paraId="28973CF1" w14:textId="77777777"/>
    <w:p w:rsidRPr="00C425CF" w:rsidR="003D10AB" w:rsidP="003D10AB" w:rsidRDefault="003D10AB" w14:paraId="39C9B462" w14:textId="77777777">
      <w:pPr>
        <w:rPr>
          <w:b/>
        </w:rPr>
      </w:pPr>
      <w:bookmarkStart w:name="_Toc7446088" w:id="15"/>
      <w:r w:rsidRPr="00C425CF">
        <w:rPr>
          <w:b/>
        </w:rPr>
        <w:t>15. Explain the reasons for any program changes or adjustments reported on the burden worksheet (in hour or cost burden.)</w:t>
      </w:r>
    </w:p>
    <w:bookmarkEnd w:id="15"/>
    <w:p w:rsidRPr="009E6CAF" w:rsidR="00EC6879" w:rsidP="00FA3A49" w:rsidRDefault="00EC6879" w14:paraId="0ACD62AD" w14:textId="77777777">
      <w:pPr>
        <w:tabs>
          <w:tab w:val="left" w:pos="-1440"/>
        </w:tabs>
        <w:ind w:left="720" w:hanging="720"/>
      </w:pPr>
    </w:p>
    <w:p w:rsidRPr="009E6CAF" w:rsidR="00056F80" w:rsidP="006F33B5" w:rsidRDefault="00B7251B" w14:paraId="68B933FA" w14:textId="6169AE2F">
      <w:r w:rsidRPr="009E6CAF">
        <w:t xml:space="preserve">The currently approved Manifest ICR estimates an annual respondent burden of </w:t>
      </w:r>
      <w:r w:rsidRPr="009E6CAF" w:rsidR="008F2584">
        <w:t xml:space="preserve">2,502,500 </w:t>
      </w:r>
      <w:r w:rsidRPr="009E6CAF">
        <w:t>hours.</w:t>
      </w:r>
      <w:r w:rsidRPr="009E6CAF" w:rsidR="0048342C">
        <w:rPr>
          <w:rStyle w:val="FootnoteReference"/>
          <w:vertAlign w:val="superscript"/>
        </w:rPr>
        <w:footnoteReference w:id="43"/>
      </w:r>
      <w:r w:rsidRPr="009E6CAF">
        <w:t xml:space="preserve"> This ICR estimates an annual burden of </w:t>
      </w:r>
      <w:r w:rsidRPr="009E6CAF" w:rsidR="00037357">
        <w:t xml:space="preserve">2,362,089 </w:t>
      </w:r>
      <w:r w:rsidRPr="009E6CAF">
        <w:t xml:space="preserve">hours, which is a </w:t>
      </w:r>
      <w:r w:rsidRPr="009E6CAF" w:rsidR="00037357">
        <w:t>140,411</w:t>
      </w:r>
      <w:r w:rsidR="00964267">
        <w:t xml:space="preserve"> </w:t>
      </w:r>
      <w:r w:rsidRPr="009E6CAF">
        <w:t xml:space="preserve">hour decrease from the currently approved ICR. This decrease resulted from adjustments to </w:t>
      </w:r>
      <w:r w:rsidR="00905D0B">
        <w:t>from the currently approved ICR</w:t>
      </w:r>
      <w:r w:rsidRPr="009E6CAF" w:rsidR="00A60FBD">
        <w:t xml:space="preserve">. </w:t>
      </w:r>
      <w:r w:rsidRPr="009E6CAF" w:rsidR="00D54732">
        <w:t xml:space="preserve">The burden </w:t>
      </w:r>
      <w:proofErr w:type="gramStart"/>
      <w:r w:rsidRPr="009E6CAF" w:rsidR="00D54732">
        <w:t>decrease</w:t>
      </w:r>
      <w:proofErr w:type="gramEnd"/>
      <w:r w:rsidRPr="009E6CAF" w:rsidR="00D54732">
        <w:t xml:space="preserve"> results primarily</w:t>
      </w:r>
      <w:r w:rsidRPr="009E6CAF" w:rsidR="008B29CA">
        <w:t xml:space="preserve"> </w:t>
      </w:r>
      <w:r w:rsidRPr="009E6CAF" w:rsidR="00174569">
        <w:t xml:space="preserve">from a decrease in </w:t>
      </w:r>
      <w:r w:rsidRPr="009E6CAF" w:rsidR="006F33B5">
        <w:t xml:space="preserve">the number of manifests in the manifest cycle (Adjustment 2). </w:t>
      </w:r>
      <w:r w:rsidR="00905D0B">
        <w:t>The previous ICR</w:t>
      </w:r>
      <w:r w:rsidRPr="009E6CAF" w:rsidR="00024AF6">
        <w:t xml:space="preserve"> estimate</w:t>
      </w:r>
      <w:r w:rsidR="00905D0B">
        <w:t>d</w:t>
      </w:r>
      <w:r w:rsidRPr="009E6CAF" w:rsidR="00024AF6">
        <w:t xml:space="preserve"> </w:t>
      </w:r>
      <w:r w:rsidRPr="009E6CAF" w:rsidR="000010CD">
        <w:t xml:space="preserve">1,381,909 </w:t>
      </w:r>
      <w:r w:rsidRPr="009E6CAF" w:rsidR="005E3D66">
        <w:t>forms</w:t>
      </w:r>
      <w:r w:rsidRPr="009E6CAF" w:rsidR="005E3D66">
        <w:rPr>
          <w:bCs/>
        </w:rPr>
        <w:t xml:space="preserve"> in the manifest cycle</w:t>
      </w:r>
      <w:r w:rsidRPr="009E6CAF" w:rsidR="00024AF6">
        <w:t xml:space="preserve">, whereas </w:t>
      </w:r>
      <w:r w:rsidR="00905D0B">
        <w:t xml:space="preserve">this ICR </w:t>
      </w:r>
      <w:r w:rsidRPr="009E6CAF" w:rsidR="00024AF6">
        <w:t xml:space="preserve">estimates </w:t>
      </w:r>
      <w:r w:rsidRPr="009E6CAF" w:rsidR="000010CD">
        <w:t>1,081,903</w:t>
      </w:r>
      <w:r w:rsidRPr="009E6CAF" w:rsidR="005E3D66">
        <w:t xml:space="preserve"> forms</w:t>
      </w:r>
      <w:r w:rsidRPr="009E6CAF" w:rsidR="00024AF6">
        <w:t xml:space="preserve">, which is a decrease of </w:t>
      </w:r>
      <w:r w:rsidRPr="009E6CAF" w:rsidR="000010CD">
        <w:t xml:space="preserve">300,006 </w:t>
      </w:r>
      <w:r w:rsidRPr="009E6CAF" w:rsidR="005E3D66">
        <w:t>forms</w:t>
      </w:r>
      <w:r w:rsidRPr="009E6CAF" w:rsidR="006B6148">
        <w:t>. This</w:t>
      </w:r>
      <w:r w:rsidRPr="009E6CAF" w:rsidR="00024AF6">
        <w:t xml:space="preserve"> </w:t>
      </w:r>
      <w:r w:rsidRPr="009E6CAF" w:rsidR="000010CD">
        <w:t>22</w:t>
      </w:r>
      <w:r w:rsidRPr="009E6CAF" w:rsidR="00024AF6">
        <w:t>%</w:t>
      </w:r>
      <w:r w:rsidRPr="009E6CAF" w:rsidR="006B6148">
        <w:t xml:space="preserve"> decrease</w:t>
      </w:r>
      <w:r w:rsidRPr="009E6CAF" w:rsidR="00024AF6">
        <w:t xml:space="preserve"> </w:t>
      </w:r>
      <w:r w:rsidRPr="009E6CAF" w:rsidR="009F4F4D">
        <w:t xml:space="preserve">in manifests </w:t>
      </w:r>
      <w:r w:rsidRPr="009E6CAF" w:rsidR="006B6148">
        <w:t xml:space="preserve">affects </w:t>
      </w:r>
      <w:r w:rsidRPr="009E6CAF" w:rsidR="005E3D66">
        <w:t xml:space="preserve">most </w:t>
      </w:r>
      <w:r w:rsidRPr="009E6CAF" w:rsidR="00271559">
        <w:t>of</w:t>
      </w:r>
      <w:r w:rsidRPr="009E6CAF" w:rsidR="006B6148">
        <w:t xml:space="preserve"> the ICR’s </w:t>
      </w:r>
      <w:r w:rsidRPr="009E6CAF" w:rsidR="005E3D66">
        <w:t xml:space="preserve">respondent activities and </w:t>
      </w:r>
      <w:r w:rsidRPr="009E6CAF" w:rsidR="00024AF6">
        <w:t>burden estimates</w:t>
      </w:r>
      <w:r w:rsidRPr="009E6CAF" w:rsidR="000B10EC">
        <w:t xml:space="preserve">. This includes form completion, transmittal </w:t>
      </w:r>
      <w:r w:rsidRPr="009E6CAF" w:rsidR="005E3D66">
        <w:t xml:space="preserve">(e.g., </w:t>
      </w:r>
      <w:r w:rsidRPr="009E6CAF" w:rsidR="000B10EC">
        <w:t xml:space="preserve">among </w:t>
      </w:r>
      <w:r w:rsidRPr="009E6CAF" w:rsidR="005E3D66">
        <w:t>third parties)</w:t>
      </w:r>
      <w:r w:rsidRPr="009E6CAF" w:rsidR="000B10EC">
        <w:t xml:space="preserve"> and recordkeeping by generators, </w:t>
      </w:r>
      <w:proofErr w:type="gramStart"/>
      <w:r w:rsidRPr="009E6CAF" w:rsidR="000B10EC">
        <w:t>transporters</w:t>
      </w:r>
      <w:proofErr w:type="gramEnd"/>
      <w:r w:rsidRPr="009E6CAF" w:rsidR="000B10EC">
        <w:t xml:space="preserve"> and TSDFs/</w:t>
      </w:r>
      <w:r w:rsidR="004552B9">
        <w:t>receiving</w:t>
      </w:r>
      <w:r w:rsidRPr="009E6CAF" w:rsidR="000B10EC">
        <w:t xml:space="preserve"> facilities.</w:t>
      </w:r>
      <w:r w:rsidRPr="009E6CAF" w:rsidR="00DE34BD">
        <w:t xml:space="preserve"> The manifest estimates in both ICRs </w:t>
      </w:r>
      <w:r w:rsidRPr="009E6CAF" w:rsidR="009E6445">
        <w:t>were developed</w:t>
      </w:r>
      <w:r w:rsidRPr="009E6CAF" w:rsidR="00DE34BD">
        <w:t xml:space="preserve"> </w:t>
      </w:r>
      <w:r w:rsidRPr="009E6CAF" w:rsidR="009E6445">
        <w:t xml:space="preserve">based </w:t>
      </w:r>
      <w:r w:rsidRPr="009E6CAF" w:rsidR="00DE34BD">
        <w:t>on EPA’s analysis of</w:t>
      </w:r>
      <w:r w:rsidRPr="009E6CAF" w:rsidR="00CF5806">
        <w:t xml:space="preserve"> the number of manifests in the </w:t>
      </w:r>
      <w:r w:rsidRPr="009E6CAF" w:rsidR="00DE34BD">
        <w:t xml:space="preserve">e-Manifest </w:t>
      </w:r>
      <w:r w:rsidRPr="009E6CAF" w:rsidR="00CF5806">
        <w:t>system</w:t>
      </w:r>
      <w:r w:rsidRPr="009E6CAF" w:rsidR="00DE34BD">
        <w:t>.</w:t>
      </w:r>
    </w:p>
    <w:p w:rsidRPr="009E6CAF" w:rsidR="00B46755" w:rsidP="006F33B5" w:rsidRDefault="00B46755" w14:paraId="240BFCFA" w14:textId="77777777"/>
    <w:p w:rsidRPr="009E6CAF" w:rsidR="00B46755" w:rsidP="006F33B5" w:rsidRDefault="00B46755" w14:paraId="7AF4BFA9" w14:textId="3CFEF9E3">
      <w:r w:rsidRPr="009E6CAF">
        <w:t>Note that the hour-decrease resulting from fewer manifests</w:t>
      </w:r>
      <w:r w:rsidRPr="009E6CAF" w:rsidR="00F8183D">
        <w:t xml:space="preserve"> in the manifest cycle</w:t>
      </w:r>
      <w:r w:rsidRPr="009E6CAF">
        <w:t xml:space="preserve"> was partially offset because of EPA’s improved methodology for estimating the burden for </w:t>
      </w:r>
      <w:r w:rsidR="004552B9">
        <w:t>receiving</w:t>
      </w:r>
      <w:r w:rsidRPr="009E6CAF">
        <w:t xml:space="preserve"> facilities to submit paper-based copies to the e-Manifest (Adjustment 5). In preparing </w:t>
      </w:r>
      <w:r w:rsidR="00905D0B">
        <w:t>this renewal</w:t>
      </w:r>
      <w:r w:rsidRPr="009E6CAF">
        <w:t xml:space="preserve">, EPA conducted consultations with </w:t>
      </w:r>
      <w:r w:rsidR="004552B9">
        <w:t>receiving</w:t>
      </w:r>
      <w:r w:rsidRPr="009E6CAF">
        <w:t xml:space="preserve"> facilities and prepared a more detailed analysis of their burden for submitting scanned images only as well as data sets </w:t>
      </w:r>
      <w:r w:rsidRPr="009E6CAF" w:rsidR="004D5229">
        <w:t>and</w:t>
      </w:r>
      <w:r w:rsidRPr="009E6CAF">
        <w:t xml:space="preserve"> scanned images. Th</w:t>
      </w:r>
      <w:r w:rsidRPr="009E6CAF" w:rsidR="004D5229">
        <w:t>e</w:t>
      </w:r>
      <w:r w:rsidRPr="009E6CAF">
        <w:t xml:space="preserve"> improved methodology and </w:t>
      </w:r>
      <w:r w:rsidRPr="009E6CAF" w:rsidR="004D5229">
        <w:t xml:space="preserve">updated </w:t>
      </w:r>
      <w:r w:rsidRPr="009E6CAF">
        <w:t>data resulted in an increase</w:t>
      </w:r>
      <w:r w:rsidR="00DE644D">
        <w:t xml:space="preserve"> in</w:t>
      </w:r>
      <w:r w:rsidRPr="009E6CAF" w:rsidR="00064234">
        <w:t xml:space="preserve"> burden</w:t>
      </w:r>
      <w:r w:rsidRPr="009E6CAF" w:rsidR="00C83485">
        <w:t xml:space="preserve"> for these activities</w:t>
      </w:r>
      <w:r w:rsidRPr="009E6CAF" w:rsidR="00064234">
        <w:t xml:space="preserve"> from 93,101 hours to 190,164 hours</w:t>
      </w:r>
      <w:r w:rsidRPr="009E6CAF">
        <w:t>.</w:t>
      </w:r>
    </w:p>
    <w:p w:rsidRPr="009E6CAF" w:rsidR="00B46755" w:rsidP="006F33B5" w:rsidRDefault="00B46755" w14:paraId="1A69A31E" w14:textId="77777777"/>
    <w:p w:rsidRPr="009E6CAF" w:rsidR="00641B71" w:rsidP="00C405BB" w:rsidRDefault="00C405BB" w14:paraId="61A37EF4" w14:textId="4D7CCB11">
      <w:r w:rsidRPr="009E6CAF">
        <w:t xml:space="preserve">Table 12 shows that total O&amp;M costs </w:t>
      </w:r>
      <w:r w:rsidRPr="009E6CAF" w:rsidR="00BD7AA2">
        <w:t>were</w:t>
      </w:r>
      <w:r w:rsidRPr="009E6CAF">
        <w:t xml:space="preserve"> $</w:t>
      </w:r>
      <w:r w:rsidRPr="009E6CAF" w:rsidR="00704E1C">
        <w:t>25,698,841</w:t>
      </w:r>
      <w:r w:rsidRPr="009E6CAF">
        <w:t xml:space="preserve"> in </w:t>
      </w:r>
      <w:r w:rsidR="00B9349F">
        <w:t xml:space="preserve">the previous </w:t>
      </w:r>
      <w:r w:rsidRPr="009E6CAF">
        <w:t xml:space="preserve">ICR </w:t>
      </w:r>
      <w:r w:rsidRPr="009E6CAF" w:rsidR="00BD7AA2">
        <w:t>and</w:t>
      </w:r>
      <w:r w:rsidRPr="009E6CAF">
        <w:t xml:space="preserve"> $</w:t>
      </w:r>
      <w:r w:rsidRPr="009E6CAF" w:rsidR="00704E1C">
        <w:t>28,972,277</w:t>
      </w:r>
      <w:r w:rsidRPr="009E6CAF">
        <w:t xml:space="preserve"> in </w:t>
      </w:r>
      <w:r w:rsidR="00B9349F">
        <w:t>this renewal</w:t>
      </w:r>
      <w:r w:rsidRPr="009E6CAF" w:rsidR="00C6048A">
        <w:t xml:space="preserve">, </w:t>
      </w:r>
      <w:r w:rsidRPr="009E6CAF" w:rsidR="00BD7AA2">
        <w:t>an increase of $</w:t>
      </w:r>
      <w:r w:rsidRPr="009E6CAF" w:rsidR="00704E1C">
        <w:t>3,273,436</w:t>
      </w:r>
      <w:r w:rsidRPr="009E6CAF" w:rsidR="00C6048A">
        <w:t xml:space="preserve"> (Adjustment 6)</w:t>
      </w:r>
      <w:r w:rsidRPr="009E6CAF" w:rsidR="00BD3313">
        <w:t xml:space="preserve">. </w:t>
      </w:r>
      <w:proofErr w:type="gramStart"/>
      <w:r w:rsidRPr="009E6CAF">
        <w:t>The majority of</w:t>
      </w:r>
      <w:proofErr w:type="gramEnd"/>
      <w:r w:rsidRPr="009E6CAF">
        <w:t xml:space="preserve"> th</w:t>
      </w:r>
      <w:r w:rsidRPr="009E6CAF" w:rsidR="009A2210">
        <w:t>ese</w:t>
      </w:r>
      <w:r w:rsidRPr="009E6CAF">
        <w:t xml:space="preserve"> costs </w:t>
      </w:r>
      <w:r w:rsidRPr="009E6CAF" w:rsidR="00BF7ED9">
        <w:t>are</w:t>
      </w:r>
      <w:r w:rsidRPr="009E6CAF">
        <w:t xml:space="preserve"> attributable to the user fees paid by </w:t>
      </w:r>
      <w:r w:rsidR="004552B9">
        <w:t>receiving</w:t>
      </w:r>
      <w:r w:rsidRPr="009E6CAF">
        <w:t xml:space="preserve"> facilities. </w:t>
      </w:r>
      <w:r w:rsidRPr="009E6CAF" w:rsidR="009A2210">
        <w:t xml:space="preserve">The </w:t>
      </w:r>
      <w:r w:rsidRPr="009E6CAF" w:rsidR="00912844">
        <w:t xml:space="preserve">total annual </w:t>
      </w:r>
      <w:r w:rsidRPr="009E6CAF" w:rsidR="009A2210">
        <w:t>user fee</w:t>
      </w:r>
      <w:r w:rsidRPr="009E6CAF" w:rsidR="00912844">
        <w:t xml:space="preserve"> amount paid by facilities is estimated to be</w:t>
      </w:r>
      <w:r w:rsidRPr="009E6CAF" w:rsidR="009A2210">
        <w:t xml:space="preserve"> $23,346,212 in</w:t>
      </w:r>
      <w:r w:rsidRPr="009E6CAF">
        <w:t xml:space="preserve"> </w:t>
      </w:r>
      <w:r w:rsidR="00B9349F">
        <w:t>the previous ICR</w:t>
      </w:r>
      <w:r w:rsidRPr="009E6CAF">
        <w:t xml:space="preserve"> </w:t>
      </w:r>
      <w:r w:rsidRPr="009E6CAF" w:rsidR="009A2210">
        <w:t xml:space="preserve">and $26,578,952 in </w:t>
      </w:r>
      <w:r w:rsidR="00B9349F">
        <w:t>this renewal</w:t>
      </w:r>
      <w:r w:rsidRPr="009E6CAF" w:rsidR="009A2210">
        <w:t xml:space="preserve">, an increase of </w:t>
      </w:r>
      <w:r w:rsidRPr="009E6CAF" w:rsidR="00F65F88">
        <w:t>$</w:t>
      </w:r>
      <w:r w:rsidRPr="009E6CAF" w:rsidR="00704E1C">
        <w:t xml:space="preserve">3,232,740 </w:t>
      </w:r>
      <w:r w:rsidRPr="009E6CAF" w:rsidR="00C6048A">
        <w:t>(Adjustment 7)</w:t>
      </w:r>
      <w:r w:rsidRPr="009E6CAF" w:rsidR="009A2210">
        <w:t>. This increase</w:t>
      </w:r>
      <w:r w:rsidRPr="009E6CAF" w:rsidR="00BD7AA2">
        <w:t xml:space="preserve"> in the user fee amount</w:t>
      </w:r>
      <w:r w:rsidRPr="009E6CAF">
        <w:t xml:space="preserve"> results from an improved estimation methodology and updated </w:t>
      </w:r>
      <w:r w:rsidRPr="009E6CAF" w:rsidR="00694397">
        <w:t>data</w:t>
      </w:r>
      <w:r w:rsidRPr="009E6CAF" w:rsidR="00C41781">
        <w:t>:</w:t>
      </w:r>
      <w:r w:rsidRPr="009E6CAF">
        <w:t xml:space="preserve"> </w:t>
      </w:r>
    </w:p>
    <w:p w:rsidRPr="009E6CAF" w:rsidR="00641B71" w:rsidP="00C405BB" w:rsidRDefault="00641B71" w14:paraId="584A344D" w14:textId="77777777"/>
    <w:p w:rsidRPr="009E6CAF" w:rsidR="00FC0AA0" w:rsidP="001627EC" w:rsidRDefault="001D3AA0" w14:paraId="31C549C3" w14:textId="77777777">
      <w:pPr>
        <w:pStyle w:val="ListParagraph"/>
        <w:numPr>
          <w:ilvl w:val="0"/>
          <w:numId w:val="46"/>
        </w:numPr>
      </w:pPr>
      <w:r w:rsidRPr="009E6CAF">
        <w:rPr>
          <w:b/>
          <w:u w:val="single"/>
        </w:rPr>
        <w:t xml:space="preserve">Improved </w:t>
      </w:r>
      <w:r w:rsidRPr="009E6CAF" w:rsidR="001627EC">
        <w:rPr>
          <w:b/>
          <w:u w:val="single"/>
        </w:rPr>
        <w:t>Methodology</w:t>
      </w:r>
      <w:r w:rsidRPr="009E6CAF" w:rsidR="001627EC">
        <w:t xml:space="preserve">. </w:t>
      </w:r>
      <w:r w:rsidRPr="009E6CAF" w:rsidR="00175678">
        <w:t xml:space="preserve">When </w:t>
      </w:r>
      <w:r w:rsidRPr="009E6CAF" w:rsidR="00D03DE0">
        <w:t>EPA</w:t>
      </w:r>
      <w:r w:rsidRPr="009E6CAF" w:rsidR="00175678">
        <w:t xml:space="preserve"> prepared the currently approved ICR, </w:t>
      </w:r>
      <w:r w:rsidRPr="009E6CAF" w:rsidR="00D03DE0">
        <w:t>the Agency</w:t>
      </w:r>
      <w:r w:rsidRPr="009E6CAF" w:rsidR="00C405BB">
        <w:t xml:space="preserve"> did not have actual user fee</w:t>
      </w:r>
      <w:r w:rsidRPr="009E6CAF" w:rsidR="0075043B">
        <w:t>s</w:t>
      </w:r>
      <w:r w:rsidRPr="009E6CAF" w:rsidR="001627EC">
        <w:t xml:space="preserve"> (i.e., </w:t>
      </w:r>
      <w:r w:rsidRPr="009E6CAF" w:rsidR="004D6E2B">
        <w:t xml:space="preserve">user </w:t>
      </w:r>
      <w:r w:rsidRPr="009E6CAF" w:rsidR="00C44144">
        <w:t>fee</w:t>
      </w:r>
      <w:r w:rsidRPr="009E6CAF" w:rsidR="009B1F73">
        <w:t>/</w:t>
      </w:r>
      <w:r w:rsidRPr="009E6CAF" w:rsidR="00C44144">
        <w:t>manifest</w:t>
      </w:r>
      <w:r w:rsidRPr="009E6CAF" w:rsidR="001627EC">
        <w:t>)</w:t>
      </w:r>
      <w:r w:rsidRPr="009E6CAF" w:rsidR="0075043B">
        <w:t xml:space="preserve"> for the next 3 years</w:t>
      </w:r>
      <w:r w:rsidRPr="009E6CAF" w:rsidR="00937D3A">
        <w:t>.</w:t>
      </w:r>
      <w:r w:rsidRPr="009E6CAF" w:rsidR="00D94D7B">
        <w:rPr>
          <w:rStyle w:val="FootnoteReference"/>
          <w:vertAlign w:val="superscript"/>
        </w:rPr>
        <w:footnoteReference w:id="44"/>
      </w:r>
      <w:r w:rsidRPr="009E6CAF" w:rsidR="00937D3A">
        <w:t xml:space="preserve"> </w:t>
      </w:r>
      <w:r w:rsidRPr="009E6CAF" w:rsidR="004146A1">
        <w:t>T</w:t>
      </w:r>
      <w:r w:rsidRPr="009E6CAF" w:rsidR="00C405BB">
        <w:t xml:space="preserve">he </w:t>
      </w:r>
      <w:r w:rsidRPr="009E6CAF" w:rsidR="00641B71">
        <w:t xml:space="preserve">Agency was in the process of preparing </w:t>
      </w:r>
      <w:proofErr w:type="gramStart"/>
      <w:r w:rsidRPr="009E6CAF" w:rsidR="004146A1">
        <w:t>them</w:t>
      </w:r>
      <w:proofErr w:type="gramEnd"/>
      <w:r w:rsidRPr="009E6CAF" w:rsidR="00641B71">
        <w:t xml:space="preserve"> but they were not publicly available</w:t>
      </w:r>
      <w:r w:rsidRPr="009E6CAF" w:rsidR="00F87518">
        <w:t xml:space="preserve"> yet</w:t>
      </w:r>
      <w:r w:rsidRPr="009E6CAF" w:rsidR="00641B71">
        <w:t xml:space="preserve">. </w:t>
      </w:r>
      <w:r w:rsidRPr="009E6CAF" w:rsidR="001627EC">
        <w:t xml:space="preserve">As such, the Agency </w:t>
      </w:r>
      <w:r w:rsidR="008913E5">
        <w:t>did not</w:t>
      </w:r>
      <w:r w:rsidRPr="009E6CAF" w:rsidR="00EF749D">
        <w:t xml:space="preserve"> </w:t>
      </w:r>
      <w:r w:rsidRPr="009E6CAF" w:rsidR="001627EC">
        <w:t xml:space="preserve">estimate the total user fee amount collected from facilities based on actual user fees. As an alternative, EPA decided to approximate the total user fee amount </w:t>
      </w:r>
      <w:r w:rsidRPr="009E6CAF" w:rsidR="00BA6F4B">
        <w:lastRenderedPageBreak/>
        <w:t xml:space="preserve">paid by </w:t>
      </w:r>
      <w:r w:rsidRPr="009E6CAF" w:rsidR="001627EC">
        <w:t>facilities</w:t>
      </w:r>
      <w:r w:rsidRPr="009E6CAF" w:rsidR="00BA6F4B">
        <w:t xml:space="preserve"> collectively</w:t>
      </w:r>
      <w:r w:rsidRPr="009E6CAF" w:rsidR="00FC0AA0">
        <w:t xml:space="preserve"> </w:t>
      </w:r>
      <w:r w:rsidRPr="009E6CAF" w:rsidR="001627EC">
        <w:t xml:space="preserve">based on </w:t>
      </w:r>
      <w:r w:rsidRPr="009E6CAF" w:rsidR="002C4D9C">
        <w:t>the Agency’s</w:t>
      </w:r>
      <w:r w:rsidRPr="009E6CAF" w:rsidR="001627EC">
        <w:t xml:space="preserve"> total annual cost for </w:t>
      </w:r>
      <w:r w:rsidRPr="009E6CAF" w:rsidR="005A75C4">
        <w:t>developing</w:t>
      </w:r>
      <w:r w:rsidRPr="009E6CAF" w:rsidR="001627EC">
        <w:t xml:space="preserve"> and operating the e-Manifest over the next 3 years. </w:t>
      </w:r>
      <w:r w:rsidRPr="009E6CAF" w:rsidR="000B724D">
        <w:t>Note that t</w:t>
      </w:r>
      <w:r w:rsidRPr="009E6CAF" w:rsidR="001627EC">
        <w:t xml:space="preserve">he purpose of the user fees is for EPA to recover its total </w:t>
      </w:r>
      <w:r w:rsidRPr="009E6CAF" w:rsidR="00FC0AA0">
        <w:t xml:space="preserve">annual </w:t>
      </w:r>
      <w:r w:rsidRPr="009E6CAF" w:rsidR="001627EC">
        <w:t xml:space="preserve">e-Manifest costs. </w:t>
      </w:r>
      <w:r w:rsidRPr="009E6CAF" w:rsidR="00FC0AA0">
        <w:t xml:space="preserve">Hence, </w:t>
      </w:r>
      <w:r w:rsidRPr="009E6CAF" w:rsidR="001627EC">
        <w:t>EPA</w:t>
      </w:r>
      <w:r w:rsidRPr="009E6CAF" w:rsidR="00415916">
        <w:t xml:space="preserve"> estimated its</w:t>
      </w:r>
      <w:r w:rsidRPr="009E6CAF" w:rsidR="00DA1F2E">
        <w:t xml:space="preserve"> </w:t>
      </w:r>
      <w:r w:rsidRPr="009E6CAF" w:rsidR="00FC0AA0">
        <w:t xml:space="preserve">total annual </w:t>
      </w:r>
      <w:r w:rsidRPr="009E6CAF" w:rsidR="00E92861">
        <w:t>average</w:t>
      </w:r>
      <w:r w:rsidRPr="009E6CAF" w:rsidR="000B724D">
        <w:t xml:space="preserve"> e-Manifest</w:t>
      </w:r>
      <w:r w:rsidRPr="009E6CAF" w:rsidR="00E92861">
        <w:t xml:space="preserve"> </w:t>
      </w:r>
      <w:r w:rsidRPr="009E6CAF" w:rsidR="00FC0AA0">
        <w:t>cost</w:t>
      </w:r>
      <w:r w:rsidRPr="009E6CAF" w:rsidR="001627EC">
        <w:t xml:space="preserve"> </w:t>
      </w:r>
      <w:r w:rsidRPr="009E6CAF" w:rsidR="00415916">
        <w:t xml:space="preserve">(i.e., </w:t>
      </w:r>
      <w:r w:rsidRPr="009E6CAF" w:rsidR="00FC0AA0">
        <w:t>$23,346,212</w:t>
      </w:r>
      <w:r w:rsidRPr="009E6CAF" w:rsidR="00415916">
        <w:t>) and used it</w:t>
      </w:r>
      <w:r w:rsidRPr="009E6CAF" w:rsidR="00E92861">
        <w:t xml:space="preserve"> </w:t>
      </w:r>
      <w:r w:rsidRPr="009E6CAF" w:rsidR="00DA1F2E">
        <w:t>to</w:t>
      </w:r>
      <w:r w:rsidRPr="009E6CAF" w:rsidR="001627EC">
        <w:t xml:space="preserve"> approxim</w:t>
      </w:r>
      <w:r w:rsidRPr="009E6CAF" w:rsidR="00DA1F2E">
        <w:t>ate</w:t>
      </w:r>
      <w:r w:rsidRPr="009E6CAF" w:rsidR="00641B71">
        <w:t xml:space="preserve"> the total user fee</w:t>
      </w:r>
      <w:r w:rsidRPr="009E6CAF" w:rsidR="000B724D">
        <w:t>s</w:t>
      </w:r>
      <w:r w:rsidRPr="009E6CAF" w:rsidR="00641B71">
        <w:t xml:space="preserve"> that </w:t>
      </w:r>
      <w:r w:rsidR="004552B9">
        <w:t>receiving</w:t>
      </w:r>
      <w:r w:rsidRPr="009E6CAF" w:rsidR="00641B71">
        <w:t xml:space="preserve"> facilities w</w:t>
      </w:r>
      <w:r w:rsidRPr="009E6CAF" w:rsidR="00937D3A">
        <w:t>ould</w:t>
      </w:r>
      <w:r w:rsidRPr="009E6CAF" w:rsidR="00641B71">
        <w:t xml:space="preserve"> pay collectively each year</w:t>
      </w:r>
      <w:r w:rsidRPr="009E6CAF" w:rsidR="00937D3A">
        <w:t xml:space="preserve">. </w:t>
      </w:r>
    </w:p>
    <w:p w:rsidRPr="009E6CAF" w:rsidR="00FC0AA0" w:rsidP="00FC0AA0" w:rsidRDefault="00FC0AA0" w14:paraId="78AB84DE" w14:textId="77777777">
      <w:pPr>
        <w:pStyle w:val="ListParagraph"/>
      </w:pPr>
    </w:p>
    <w:p w:rsidRPr="009E6CAF" w:rsidR="00937D3A" w:rsidP="00937D3A" w:rsidRDefault="001627EC" w14:paraId="67154057" w14:textId="24F4AF87">
      <w:pPr>
        <w:pStyle w:val="ListParagraph"/>
      </w:pPr>
      <w:r w:rsidRPr="009E6CAF">
        <w:t>EPA used</w:t>
      </w:r>
      <w:r w:rsidRPr="009E6CAF" w:rsidR="003D1A7E">
        <w:t xml:space="preserve"> currently published </w:t>
      </w:r>
      <w:r w:rsidRPr="009E6CAF" w:rsidR="00937D3A">
        <w:t>user fees</w:t>
      </w:r>
      <w:r w:rsidRPr="009E6CAF" w:rsidR="00C83130">
        <w:t xml:space="preserve"> for the coming year</w:t>
      </w:r>
      <w:r w:rsidRPr="009E6CAF" w:rsidR="00FC0AA0">
        <w:t>, along with</w:t>
      </w:r>
      <w:r w:rsidRPr="009E6CAF" w:rsidR="00937D3A">
        <w:t xml:space="preserve"> </w:t>
      </w:r>
      <w:r w:rsidRPr="009E6CAF" w:rsidR="002A4CFB">
        <w:t xml:space="preserve">the </w:t>
      </w:r>
      <w:r w:rsidRPr="009E6CAF" w:rsidR="00937D3A">
        <w:t xml:space="preserve">projected </w:t>
      </w:r>
      <w:r w:rsidRPr="009E6CAF" w:rsidR="00BB133D">
        <w:t>a</w:t>
      </w:r>
      <w:r w:rsidRPr="009E6CAF" w:rsidR="00FC0AA0">
        <w:t xml:space="preserve">nnual </w:t>
      </w:r>
      <w:r w:rsidRPr="009E6CAF" w:rsidR="00937D3A">
        <w:t>number of paper and electronic manifests</w:t>
      </w:r>
      <w:r w:rsidRPr="009E6CAF" w:rsidR="00FC0AA0">
        <w:t>,</w:t>
      </w:r>
      <w:r w:rsidRPr="009E6CAF" w:rsidR="00937D3A">
        <w:t xml:space="preserve"> to estimate </w:t>
      </w:r>
      <w:r w:rsidRPr="009E6CAF" w:rsidR="002A4CFB">
        <w:t xml:space="preserve">the </w:t>
      </w:r>
      <w:r w:rsidRPr="009E6CAF" w:rsidR="00937D3A">
        <w:t>total</w:t>
      </w:r>
      <w:r w:rsidRPr="009E6CAF" w:rsidR="00EE49BE">
        <w:t xml:space="preserve"> annual</w:t>
      </w:r>
      <w:r w:rsidRPr="009E6CAF" w:rsidR="00937D3A">
        <w:t xml:space="preserve"> fee amount of $26,578,952.</w:t>
      </w:r>
      <w:r w:rsidRPr="009E6CAF" w:rsidR="00F876FA">
        <w:rPr>
          <w:rStyle w:val="FootnoteReference"/>
          <w:vertAlign w:val="superscript"/>
        </w:rPr>
        <w:footnoteReference w:id="45"/>
      </w:r>
      <w:r w:rsidRPr="009E6CAF" w:rsidR="00BD4347">
        <w:t xml:space="preserve"> </w:t>
      </w:r>
      <w:r w:rsidRPr="009E6CAF" w:rsidR="00825AE6">
        <w:t>Because this estimate is based on actual user fee</w:t>
      </w:r>
      <w:r w:rsidRPr="009E6CAF" w:rsidR="00F91C4E">
        <w:t>s</w:t>
      </w:r>
      <w:r w:rsidRPr="009E6CAF" w:rsidR="00825AE6">
        <w:t>/manifest, it</w:t>
      </w:r>
      <w:r w:rsidRPr="009E6CAF" w:rsidR="00BD4347">
        <w:t xml:space="preserve"> is a more accurate representation of the total fees expected to be paid by facilities</w:t>
      </w:r>
      <w:r w:rsidRPr="009E6CAF" w:rsidR="003A2BF9">
        <w:t xml:space="preserve"> collectively</w:t>
      </w:r>
      <w:r w:rsidRPr="009E6CAF" w:rsidR="00BD4347">
        <w:t>.</w:t>
      </w:r>
    </w:p>
    <w:p w:rsidRPr="009E6CAF" w:rsidR="00BD4347" w:rsidP="00937D3A" w:rsidRDefault="00BD4347" w14:paraId="35524803" w14:textId="77777777">
      <w:pPr>
        <w:pStyle w:val="ListParagraph"/>
      </w:pPr>
    </w:p>
    <w:p w:rsidRPr="009E6CAF" w:rsidR="00641B71" w:rsidP="00C405BB" w:rsidRDefault="007108E7" w14:paraId="30A15EFA" w14:textId="59FE856A">
      <w:pPr>
        <w:pStyle w:val="ListParagraph"/>
        <w:numPr>
          <w:ilvl w:val="0"/>
          <w:numId w:val="46"/>
        </w:numPr>
      </w:pPr>
      <w:r w:rsidRPr="009E6CAF">
        <w:rPr>
          <w:b/>
          <w:u w:val="single"/>
        </w:rPr>
        <w:t>Updated Data</w:t>
      </w:r>
      <w:r w:rsidRPr="009E6CAF">
        <w:t xml:space="preserve">. EPA estimates that </w:t>
      </w:r>
      <w:r w:rsidRPr="009E6CAF" w:rsidR="005C1D96">
        <w:t>its</w:t>
      </w:r>
      <w:r w:rsidRPr="009E6CAF" w:rsidR="00D94D7B">
        <w:t xml:space="preserve"> </w:t>
      </w:r>
      <w:r w:rsidRPr="009E6CAF" w:rsidR="008E2093">
        <w:t>total</w:t>
      </w:r>
      <w:r w:rsidRPr="009E6CAF">
        <w:t xml:space="preserve"> annual</w:t>
      </w:r>
      <w:r w:rsidRPr="009E6CAF" w:rsidR="008E2093">
        <w:t xml:space="preserve"> </w:t>
      </w:r>
      <w:r w:rsidRPr="009E6CAF" w:rsidR="005C1D96">
        <w:t>cost for developing</w:t>
      </w:r>
      <w:r w:rsidRPr="009E6CAF" w:rsidR="000F45CD">
        <w:t xml:space="preserve"> </w:t>
      </w:r>
      <w:r w:rsidRPr="009E6CAF" w:rsidR="005C1D96">
        <w:t xml:space="preserve">and operating the </w:t>
      </w:r>
      <w:r w:rsidRPr="009E6CAF" w:rsidR="008E2093">
        <w:t>e-Manifest</w:t>
      </w:r>
      <w:r w:rsidRPr="009E6CAF" w:rsidR="00D94D7B">
        <w:t xml:space="preserve"> will increase over the next 3 years</w:t>
      </w:r>
      <w:r w:rsidRPr="009E6CAF">
        <w:t xml:space="preserve">, from </w:t>
      </w:r>
      <w:r w:rsidRPr="009E6CAF" w:rsidR="005C1D96">
        <w:t>about</w:t>
      </w:r>
      <w:r w:rsidRPr="009E6CAF">
        <w:t xml:space="preserve"> $23 million to $27 million</w:t>
      </w:r>
      <w:r w:rsidRPr="009E6CAF" w:rsidR="008E2093">
        <w:t xml:space="preserve">. Because EPA’s user fees are formulated to recover the Agency’s </w:t>
      </w:r>
      <w:r w:rsidRPr="009E6CAF" w:rsidR="00826503">
        <w:t>c</w:t>
      </w:r>
      <w:r w:rsidRPr="009E6CAF" w:rsidR="008E2093">
        <w:t>ost</w:t>
      </w:r>
      <w:r w:rsidRPr="009E6CAF">
        <w:t>s</w:t>
      </w:r>
      <w:r w:rsidRPr="009E6CAF" w:rsidR="008E2093">
        <w:t xml:space="preserve">, </w:t>
      </w:r>
      <w:r w:rsidRPr="009E6CAF">
        <w:t xml:space="preserve">EPA </w:t>
      </w:r>
      <w:r w:rsidRPr="009E6CAF" w:rsidR="0022419B">
        <w:t xml:space="preserve">projects </w:t>
      </w:r>
      <w:r w:rsidRPr="009E6CAF" w:rsidR="008E2093">
        <w:t>a</w:t>
      </w:r>
      <w:r w:rsidRPr="009E6CAF">
        <w:t xml:space="preserve"> </w:t>
      </w:r>
      <w:r w:rsidRPr="009E6CAF" w:rsidR="008E2093">
        <w:t>commensurate increase in the</w:t>
      </w:r>
      <w:r w:rsidRPr="009E6CAF" w:rsidR="000F0A22">
        <w:t xml:space="preserve"> total</w:t>
      </w:r>
      <w:r w:rsidRPr="009E6CAF" w:rsidR="008E2093">
        <w:t xml:space="preserve"> user fee</w:t>
      </w:r>
      <w:r w:rsidRPr="009E6CAF" w:rsidR="00C00761">
        <w:t>s</w:t>
      </w:r>
      <w:r w:rsidRPr="009E6CAF" w:rsidR="000F0A22">
        <w:t xml:space="preserve"> </w:t>
      </w:r>
      <w:r w:rsidRPr="009E6CAF" w:rsidR="00826503">
        <w:t>paid by f</w:t>
      </w:r>
      <w:r w:rsidRPr="009E6CAF" w:rsidR="000F0A22">
        <w:t>acilities</w:t>
      </w:r>
      <w:r w:rsidRPr="009E6CAF" w:rsidR="00826503">
        <w:t xml:space="preserve"> collectively</w:t>
      </w:r>
      <w:r w:rsidRPr="009E6CAF">
        <w:t>.</w:t>
      </w:r>
    </w:p>
    <w:p w:rsidRPr="009E6CAF" w:rsidR="001734AB" w:rsidP="00C405BB" w:rsidRDefault="001734AB" w14:paraId="39C56607" w14:textId="77777777"/>
    <w:p w:rsidRPr="009E6CAF" w:rsidR="009F6927" w:rsidP="00A12FB6" w:rsidRDefault="00A12FB6" w14:paraId="64E7DFC6" w14:textId="77777777">
      <w:pPr>
        <w:jc w:val="center"/>
        <w:rPr>
          <w:b/>
        </w:rPr>
      </w:pPr>
      <w:r w:rsidRPr="009E6CAF">
        <w:rPr>
          <w:b/>
        </w:rPr>
        <w:t>Table 1</w:t>
      </w:r>
      <w:r w:rsidRPr="009E6CAF" w:rsidR="00260D27">
        <w:rPr>
          <w:b/>
        </w:rPr>
        <w:t>2</w:t>
      </w:r>
    </w:p>
    <w:p w:rsidRPr="009E6CAF" w:rsidR="006D669D" w:rsidP="00B7251B" w:rsidRDefault="00372988" w14:paraId="2E80A8D7" w14:textId="0539C645">
      <w:pPr>
        <w:pStyle w:val="ListParagraph"/>
        <w:widowControl/>
        <w:jc w:val="center"/>
        <w:rPr>
          <w:b/>
        </w:rPr>
      </w:pPr>
      <w:r w:rsidRPr="009E6CAF">
        <w:rPr>
          <w:b/>
        </w:rPr>
        <w:t>Comparison of</w:t>
      </w:r>
      <w:r w:rsidRPr="009E6CAF" w:rsidR="007327AC">
        <w:rPr>
          <w:b/>
        </w:rPr>
        <w:t xml:space="preserve"> Estimates in</w:t>
      </w:r>
      <w:r w:rsidRPr="009E6CAF">
        <w:rPr>
          <w:b/>
        </w:rPr>
        <w:t xml:space="preserve"> </w:t>
      </w:r>
      <w:r w:rsidR="003D10AB">
        <w:rPr>
          <w:b/>
        </w:rPr>
        <w:t>Previous</w:t>
      </w:r>
      <w:r w:rsidRPr="009E6CAF">
        <w:rPr>
          <w:b/>
        </w:rPr>
        <w:t xml:space="preserve"> and </w:t>
      </w:r>
      <w:r w:rsidR="003D10AB">
        <w:rPr>
          <w:b/>
        </w:rPr>
        <w:t xml:space="preserve">Current </w:t>
      </w:r>
      <w:r w:rsidRPr="009E6CAF" w:rsidR="006D669D">
        <w:rPr>
          <w:b/>
        </w:rPr>
        <w:t>ICR</w:t>
      </w:r>
      <w:r w:rsidRPr="009E6CAF" w:rsidR="00FC42DC">
        <w:rPr>
          <w:b/>
        </w:rPr>
        <w:t xml:space="preserve"> </w:t>
      </w:r>
    </w:p>
    <w:tbl>
      <w:tblPr>
        <w:tblStyle w:val="TableGrid"/>
        <w:tblW w:w="0" w:type="auto"/>
        <w:tblInd w:w="108" w:type="dxa"/>
        <w:tblLook w:val="04A0" w:firstRow="1" w:lastRow="0" w:firstColumn="1" w:lastColumn="0" w:noHBand="0" w:noVBand="1"/>
      </w:tblPr>
      <w:tblGrid>
        <w:gridCol w:w="3978"/>
        <w:gridCol w:w="1653"/>
        <w:gridCol w:w="1929"/>
        <w:gridCol w:w="1682"/>
      </w:tblGrid>
      <w:tr w:rsidRPr="001623BB" w:rsidR="006A2172" w:rsidTr="001734AB" w14:paraId="54A91B57" w14:textId="77777777">
        <w:trPr>
          <w:trHeight w:val="516"/>
          <w:tblHeader/>
        </w:trPr>
        <w:tc>
          <w:tcPr>
            <w:tcW w:w="4132" w:type="dxa"/>
            <w:shd w:val="clear" w:color="auto" w:fill="D9D9D9" w:themeFill="background1" w:themeFillShade="D9"/>
            <w:vAlign w:val="center"/>
          </w:tcPr>
          <w:p w:rsidRPr="001623BB" w:rsidR="006A2172" w:rsidP="00024AF6" w:rsidRDefault="005F3510" w14:paraId="18DA07E4" w14:textId="77777777">
            <w:pPr>
              <w:jc w:val="center"/>
              <w:rPr>
                <w:b/>
                <w:sz w:val="22"/>
                <w:szCs w:val="22"/>
              </w:rPr>
            </w:pPr>
            <w:r w:rsidRPr="001623BB">
              <w:rPr>
                <w:b/>
                <w:sz w:val="22"/>
                <w:szCs w:val="22"/>
              </w:rPr>
              <w:t xml:space="preserve">Respondent </w:t>
            </w:r>
            <w:r w:rsidRPr="001623BB" w:rsidR="00186762">
              <w:rPr>
                <w:b/>
                <w:sz w:val="22"/>
                <w:szCs w:val="22"/>
              </w:rPr>
              <w:t>Parameter</w:t>
            </w:r>
            <w:r w:rsidRPr="001623BB" w:rsidR="006A2172">
              <w:rPr>
                <w:b/>
                <w:sz w:val="22"/>
                <w:szCs w:val="22"/>
              </w:rPr>
              <w:t xml:space="preserve"> </w:t>
            </w:r>
          </w:p>
        </w:tc>
        <w:tc>
          <w:tcPr>
            <w:tcW w:w="1672" w:type="dxa"/>
            <w:shd w:val="clear" w:color="auto" w:fill="D9D9D9" w:themeFill="background1" w:themeFillShade="D9"/>
            <w:vAlign w:val="center"/>
          </w:tcPr>
          <w:p w:rsidRPr="001623BB" w:rsidR="006A2172" w:rsidP="00314331" w:rsidRDefault="003D10AB" w14:paraId="7F6D69C0" w14:textId="4B5DBDB5">
            <w:pPr>
              <w:jc w:val="center"/>
              <w:rPr>
                <w:b/>
                <w:sz w:val="22"/>
                <w:szCs w:val="22"/>
              </w:rPr>
            </w:pPr>
            <w:r>
              <w:rPr>
                <w:b/>
                <w:sz w:val="22"/>
                <w:szCs w:val="22"/>
              </w:rPr>
              <w:t xml:space="preserve">Previous </w:t>
            </w:r>
            <w:r w:rsidRPr="001623BB" w:rsidR="006A2172">
              <w:rPr>
                <w:b/>
                <w:sz w:val="22"/>
                <w:szCs w:val="22"/>
              </w:rPr>
              <w:t>ICR</w:t>
            </w:r>
            <w:r w:rsidRPr="001623BB" w:rsidR="00E65AE0">
              <w:rPr>
                <w:b/>
                <w:sz w:val="22"/>
                <w:szCs w:val="22"/>
              </w:rPr>
              <w:t>*</w:t>
            </w:r>
          </w:p>
        </w:tc>
        <w:tc>
          <w:tcPr>
            <w:tcW w:w="1964" w:type="dxa"/>
            <w:shd w:val="clear" w:color="auto" w:fill="D9D9D9" w:themeFill="background1" w:themeFillShade="D9"/>
            <w:vAlign w:val="center"/>
          </w:tcPr>
          <w:p w:rsidRPr="001623BB" w:rsidR="006A2172" w:rsidP="0054343C" w:rsidRDefault="003D10AB" w14:paraId="237EE63C" w14:textId="4B3A58F8">
            <w:pPr>
              <w:jc w:val="center"/>
              <w:rPr>
                <w:b/>
                <w:sz w:val="22"/>
                <w:szCs w:val="22"/>
              </w:rPr>
            </w:pPr>
            <w:r>
              <w:rPr>
                <w:b/>
                <w:sz w:val="22"/>
                <w:szCs w:val="22"/>
              </w:rPr>
              <w:t xml:space="preserve">Current </w:t>
            </w:r>
            <w:r w:rsidRPr="001623BB" w:rsidR="006A2172">
              <w:rPr>
                <w:b/>
                <w:sz w:val="22"/>
                <w:szCs w:val="22"/>
              </w:rPr>
              <w:t>ICR</w:t>
            </w:r>
            <w:r w:rsidRPr="001623BB" w:rsidR="00FC42DC">
              <w:rPr>
                <w:b/>
                <w:sz w:val="22"/>
                <w:szCs w:val="22"/>
              </w:rPr>
              <w:t xml:space="preserve"> </w:t>
            </w:r>
          </w:p>
        </w:tc>
        <w:tc>
          <w:tcPr>
            <w:tcW w:w="1700" w:type="dxa"/>
            <w:shd w:val="clear" w:color="auto" w:fill="D9D9D9" w:themeFill="background1" w:themeFillShade="D9"/>
          </w:tcPr>
          <w:p w:rsidRPr="001623BB" w:rsidR="006A2172" w:rsidP="00314331" w:rsidRDefault="006F1EFD" w14:paraId="56534C75" w14:textId="77777777">
            <w:pPr>
              <w:jc w:val="center"/>
              <w:rPr>
                <w:b/>
                <w:sz w:val="22"/>
                <w:szCs w:val="22"/>
              </w:rPr>
            </w:pPr>
            <w:r w:rsidRPr="001623BB">
              <w:rPr>
                <w:b/>
                <w:sz w:val="22"/>
                <w:szCs w:val="22"/>
              </w:rPr>
              <w:t>Reason</w:t>
            </w:r>
            <w:r w:rsidRPr="001623BB" w:rsidR="006A2172">
              <w:rPr>
                <w:b/>
                <w:sz w:val="22"/>
                <w:szCs w:val="22"/>
              </w:rPr>
              <w:t xml:space="preserve"> for Adjustment in ICR</w:t>
            </w:r>
            <w:r w:rsidRPr="001623BB" w:rsidR="00FC42DC">
              <w:rPr>
                <w:b/>
                <w:sz w:val="22"/>
                <w:szCs w:val="22"/>
              </w:rPr>
              <w:t xml:space="preserve"> 0801.2</w:t>
            </w:r>
            <w:r w:rsidRPr="001623BB" w:rsidR="00314331">
              <w:rPr>
                <w:b/>
                <w:sz w:val="22"/>
                <w:szCs w:val="22"/>
              </w:rPr>
              <w:t>5</w:t>
            </w:r>
          </w:p>
        </w:tc>
      </w:tr>
      <w:tr w:rsidRPr="001623BB" w:rsidR="00314331" w:rsidTr="0029006D" w14:paraId="02FF3145" w14:textId="77777777">
        <w:tc>
          <w:tcPr>
            <w:tcW w:w="4132" w:type="dxa"/>
            <w:vAlign w:val="center"/>
          </w:tcPr>
          <w:p w:rsidRPr="001623BB" w:rsidR="00314331" w:rsidP="00E96938" w:rsidRDefault="00314331" w14:paraId="768AB597" w14:textId="77777777">
            <w:pPr>
              <w:keepNext/>
              <w:rPr>
                <w:sz w:val="22"/>
                <w:szCs w:val="22"/>
              </w:rPr>
            </w:pPr>
            <w:r w:rsidRPr="001623BB">
              <w:rPr>
                <w:sz w:val="22"/>
                <w:szCs w:val="22"/>
              </w:rPr>
              <w:t xml:space="preserve">1. </w:t>
            </w:r>
            <w:r w:rsidRPr="001623BB" w:rsidR="00E96938">
              <w:rPr>
                <w:sz w:val="22"/>
                <w:szCs w:val="22"/>
              </w:rPr>
              <w:t xml:space="preserve">Total annual number of </w:t>
            </w:r>
            <w:r w:rsidRPr="001623BB" w:rsidR="00733AAF">
              <w:rPr>
                <w:sz w:val="22"/>
                <w:szCs w:val="22"/>
              </w:rPr>
              <w:t xml:space="preserve">waste </w:t>
            </w:r>
            <w:r w:rsidRPr="001623BB" w:rsidR="00E96938">
              <w:rPr>
                <w:sz w:val="22"/>
                <w:szCs w:val="22"/>
              </w:rPr>
              <w:t>handlers using the manifest</w:t>
            </w:r>
            <w:r w:rsidRPr="001623BB" w:rsidR="00656AD0">
              <w:rPr>
                <w:sz w:val="22"/>
                <w:szCs w:val="22"/>
              </w:rPr>
              <w:t>**</w:t>
            </w:r>
          </w:p>
        </w:tc>
        <w:tc>
          <w:tcPr>
            <w:tcW w:w="1672" w:type="dxa"/>
            <w:vAlign w:val="center"/>
          </w:tcPr>
          <w:p w:rsidRPr="001623BB" w:rsidR="00314331" w:rsidP="00020B89" w:rsidRDefault="00314331" w14:paraId="42654BA8" w14:textId="77777777">
            <w:pPr>
              <w:keepNext/>
              <w:jc w:val="center"/>
              <w:rPr>
                <w:sz w:val="22"/>
                <w:szCs w:val="22"/>
              </w:rPr>
            </w:pPr>
            <w:r w:rsidRPr="001623BB">
              <w:rPr>
                <w:sz w:val="22"/>
                <w:szCs w:val="22"/>
              </w:rPr>
              <w:t>215,677</w:t>
            </w:r>
          </w:p>
        </w:tc>
        <w:tc>
          <w:tcPr>
            <w:tcW w:w="1964" w:type="dxa"/>
            <w:vAlign w:val="center"/>
          </w:tcPr>
          <w:p w:rsidRPr="001623BB" w:rsidR="00314331" w:rsidP="00020B89" w:rsidRDefault="00992F98" w14:paraId="431431CA" w14:textId="77777777">
            <w:pPr>
              <w:keepNext/>
              <w:jc w:val="center"/>
              <w:rPr>
                <w:sz w:val="22"/>
                <w:szCs w:val="22"/>
              </w:rPr>
            </w:pPr>
            <w:r w:rsidRPr="001623BB">
              <w:rPr>
                <w:sz w:val="22"/>
                <w:szCs w:val="22"/>
              </w:rPr>
              <w:t>106,136</w:t>
            </w:r>
          </w:p>
        </w:tc>
        <w:tc>
          <w:tcPr>
            <w:tcW w:w="1700" w:type="dxa"/>
            <w:vAlign w:val="center"/>
          </w:tcPr>
          <w:p w:rsidRPr="001623BB" w:rsidR="00314331" w:rsidP="00020B89" w:rsidRDefault="00032B95" w14:paraId="78C6F057" w14:textId="77777777">
            <w:pPr>
              <w:keepNext/>
              <w:jc w:val="center"/>
              <w:rPr>
                <w:sz w:val="22"/>
                <w:szCs w:val="22"/>
              </w:rPr>
            </w:pPr>
            <w:r w:rsidRPr="001623BB">
              <w:rPr>
                <w:sz w:val="22"/>
                <w:szCs w:val="22"/>
              </w:rPr>
              <w:t>Updated e-Manifest data</w:t>
            </w:r>
          </w:p>
        </w:tc>
      </w:tr>
      <w:tr w:rsidRPr="001623BB" w:rsidR="00314331" w:rsidTr="0029006D" w14:paraId="7352861B" w14:textId="77777777">
        <w:tc>
          <w:tcPr>
            <w:tcW w:w="4132" w:type="dxa"/>
            <w:vAlign w:val="center"/>
          </w:tcPr>
          <w:p w:rsidRPr="001623BB" w:rsidR="00314331" w:rsidP="0029006D" w:rsidRDefault="00314331" w14:paraId="1311DAB1" w14:textId="77777777">
            <w:pPr>
              <w:keepNext/>
              <w:widowControl/>
              <w:autoSpaceDE/>
              <w:autoSpaceDN/>
              <w:adjustRightInd/>
              <w:ind w:hanging="18"/>
              <w:rPr>
                <w:sz w:val="22"/>
                <w:szCs w:val="22"/>
              </w:rPr>
            </w:pPr>
            <w:r w:rsidRPr="001623BB">
              <w:rPr>
                <w:sz w:val="22"/>
                <w:szCs w:val="22"/>
              </w:rPr>
              <w:t xml:space="preserve">2. Total annual number of manifests </w:t>
            </w:r>
            <w:r w:rsidRPr="001623BB">
              <w:rPr>
                <w:bCs/>
                <w:sz w:val="22"/>
                <w:szCs w:val="22"/>
              </w:rPr>
              <w:t>in manifest cycle*</w:t>
            </w:r>
            <w:r w:rsidRPr="001623BB" w:rsidR="00CE4C5F">
              <w:rPr>
                <w:bCs/>
                <w:sz w:val="22"/>
                <w:szCs w:val="22"/>
              </w:rPr>
              <w:t>*</w:t>
            </w:r>
            <w:r w:rsidRPr="001623BB" w:rsidR="00656AD0">
              <w:rPr>
                <w:bCs/>
                <w:sz w:val="22"/>
                <w:szCs w:val="22"/>
              </w:rPr>
              <w:t>*</w:t>
            </w:r>
          </w:p>
        </w:tc>
        <w:tc>
          <w:tcPr>
            <w:tcW w:w="1672" w:type="dxa"/>
            <w:vAlign w:val="center"/>
          </w:tcPr>
          <w:p w:rsidRPr="001623BB" w:rsidR="00314331" w:rsidP="00020B89" w:rsidRDefault="00314331" w14:paraId="2EFF7BBD" w14:textId="77777777">
            <w:pPr>
              <w:keepNext/>
              <w:widowControl/>
              <w:autoSpaceDE/>
              <w:autoSpaceDN/>
              <w:adjustRightInd/>
              <w:jc w:val="center"/>
              <w:rPr>
                <w:sz w:val="22"/>
                <w:szCs w:val="22"/>
              </w:rPr>
            </w:pPr>
            <w:r w:rsidRPr="001623BB">
              <w:rPr>
                <w:sz w:val="22"/>
                <w:szCs w:val="22"/>
              </w:rPr>
              <w:t>1,381,909</w:t>
            </w:r>
          </w:p>
        </w:tc>
        <w:tc>
          <w:tcPr>
            <w:tcW w:w="1964" w:type="dxa"/>
            <w:shd w:val="clear" w:color="auto" w:fill="auto"/>
            <w:vAlign w:val="center"/>
          </w:tcPr>
          <w:p w:rsidRPr="001623BB" w:rsidR="00314331" w:rsidP="00020B89" w:rsidRDefault="00314331" w14:paraId="1A3ADE6D" w14:textId="77777777">
            <w:pPr>
              <w:jc w:val="center"/>
              <w:rPr>
                <w:sz w:val="22"/>
                <w:szCs w:val="22"/>
              </w:rPr>
            </w:pPr>
            <w:r w:rsidRPr="001623BB">
              <w:rPr>
                <w:sz w:val="22"/>
                <w:szCs w:val="22"/>
              </w:rPr>
              <w:t>1,081,903</w:t>
            </w:r>
          </w:p>
        </w:tc>
        <w:tc>
          <w:tcPr>
            <w:tcW w:w="1700" w:type="dxa"/>
            <w:vAlign w:val="center"/>
          </w:tcPr>
          <w:p w:rsidRPr="001623BB" w:rsidR="00314331" w:rsidP="00020B89" w:rsidRDefault="0032459F" w14:paraId="5F73AA20" w14:textId="77777777">
            <w:pPr>
              <w:keepNext/>
              <w:ind w:firstLine="252"/>
              <w:jc w:val="center"/>
              <w:rPr>
                <w:sz w:val="22"/>
                <w:szCs w:val="22"/>
              </w:rPr>
            </w:pPr>
            <w:r w:rsidRPr="001623BB">
              <w:rPr>
                <w:sz w:val="22"/>
                <w:szCs w:val="22"/>
              </w:rPr>
              <w:t>Updated</w:t>
            </w:r>
            <w:r w:rsidRPr="001623BB" w:rsidR="00314331">
              <w:rPr>
                <w:sz w:val="22"/>
                <w:szCs w:val="22"/>
              </w:rPr>
              <w:t xml:space="preserve"> e-Manifest data</w:t>
            </w:r>
          </w:p>
        </w:tc>
      </w:tr>
      <w:tr w:rsidRPr="001623BB" w:rsidR="0032459F" w:rsidTr="00007D96" w14:paraId="5D3616D9" w14:textId="77777777">
        <w:tc>
          <w:tcPr>
            <w:tcW w:w="4132" w:type="dxa"/>
            <w:vAlign w:val="center"/>
          </w:tcPr>
          <w:p w:rsidRPr="001623BB" w:rsidR="0032459F" w:rsidP="0029006D" w:rsidRDefault="0032459F" w14:paraId="3FEFBD02" w14:textId="77777777">
            <w:pPr>
              <w:widowControl/>
              <w:autoSpaceDE/>
              <w:autoSpaceDN/>
              <w:adjustRightInd/>
              <w:ind w:hanging="18"/>
              <w:rPr>
                <w:sz w:val="22"/>
                <w:szCs w:val="22"/>
              </w:rPr>
            </w:pPr>
            <w:r w:rsidRPr="001623BB">
              <w:rPr>
                <w:bCs/>
                <w:sz w:val="22"/>
                <w:szCs w:val="22"/>
              </w:rPr>
              <w:t>3. Total annual number of manifests submitted to National System</w:t>
            </w:r>
          </w:p>
        </w:tc>
        <w:tc>
          <w:tcPr>
            <w:tcW w:w="1672" w:type="dxa"/>
            <w:vAlign w:val="center"/>
          </w:tcPr>
          <w:p w:rsidRPr="001623BB" w:rsidR="0032459F" w:rsidP="00020B89" w:rsidRDefault="0032459F" w14:paraId="6B32D1A9" w14:textId="77777777">
            <w:pPr>
              <w:widowControl/>
              <w:autoSpaceDE/>
              <w:autoSpaceDN/>
              <w:adjustRightInd/>
              <w:jc w:val="center"/>
              <w:rPr>
                <w:sz w:val="22"/>
                <w:szCs w:val="22"/>
              </w:rPr>
            </w:pPr>
            <w:r w:rsidRPr="001623BB">
              <w:rPr>
                <w:sz w:val="22"/>
                <w:szCs w:val="22"/>
              </w:rPr>
              <w:t>1,765,974</w:t>
            </w:r>
          </w:p>
        </w:tc>
        <w:tc>
          <w:tcPr>
            <w:tcW w:w="1964" w:type="dxa"/>
            <w:shd w:val="clear" w:color="auto" w:fill="auto"/>
            <w:vAlign w:val="center"/>
          </w:tcPr>
          <w:p w:rsidRPr="001623BB" w:rsidR="0032459F" w:rsidP="00020B89" w:rsidRDefault="0032459F" w14:paraId="17A23BBB" w14:textId="77777777">
            <w:pPr>
              <w:jc w:val="center"/>
              <w:rPr>
                <w:sz w:val="22"/>
                <w:szCs w:val="22"/>
              </w:rPr>
            </w:pPr>
            <w:r w:rsidRPr="001623BB">
              <w:rPr>
                <w:sz w:val="22"/>
                <w:szCs w:val="22"/>
              </w:rPr>
              <w:t>1,591,034</w:t>
            </w:r>
          </w:p>
        </w:tc>
        <w:tc>
          <w:tcPr>
            <w:tcW w:w="1700" w:type="dxa"/>
          </w:tcPr>
          <w:p w:rsidRPr="001623BB" w:rsidR="0032459F" w:rsidP="00020B89" w:rsidRDefault="0032459F" w14:paraId="45DA27CF" w14:textId="77777777">
            <w:pPr>
              <w:jc w:val="center"/>
            </w:pPr>
            <w:r w:rsidRPr="001623BB">
              <w:rPr>
                <w:sz w:val="22"/>
                <w:szCs w:val="22"/>
              </w:rPr>
              <w:t>Updated e-Manifest data</w:t>
            </w:r>
          </w:p>
        </w:tc>
      </w:tr>
      <w:tr w:rsidRPr="001623BB" w:rsidR="0032459F" w:rsidTr="00007D96" w14:paraId="10DD4944" w14:textId="77777777">
        <w:tc>
          <w:tcPr>
            <w:tcW w:w="4132" w:type="dxa"/>
            <w:vAlign w:val="center"/>
          </w:tcPr>
          <w:p w:rsidRPr="001623BB" w:rsidR="0032459F" w:rsidP="0029006D" w:rsidRDefault="0032459F" w14:paraId="7F177D30" w14:textId="77777777">
            <w:pPr>
              <w:widowControl/>
              <w:autoSpaceDE/>
              <w:autoSpaceDN/>
              <w:adjustRightInd/>
              <w:ind w:hanging="18"/>
              <w:rPr>
                <w:sz w:val="22"/>
                <w:szCs w:val="22"/>
              </w:rPr>
            </w:pPr>
            <w:r w:rsidRPr="001623BB">
              <w:rPr>
                <w:bCs/>
                <w:sz w:val="22"/>
                <w:szCs w:val="22"/>
              </w:rPr>
              <w:t>4. Total annual number of manifests for which user fees are paid</w:t>
            </w:r>
          </w:p>
        </w:tc>
        <w:tc>
          <w:tcPr>
            <w:tcW w:w="1672" w:type="dxa"/>
            <w:vAlign w:val="center"/>
          </w:tcPr>
          <w:p w:rsidRPr="001623BB" w:rsidR="0032459F" w:rsidP="00020B89" w:rsidRDefault="0032459F" w14:paraId="432A8C07" w14:textId="77777777">
            <w:pPr>
              <w:widowControl/>
              <w:autoSpaceDE/>
              <w:autoSpaceDN/>
              <w:adjustRightInd/>
              <w:jc w:val="center"/>
              <w:rPr>
                <w:sz w:val="22"/>
                <w:szCs w:val="22"/>
              </w:rPr>
            </w:pPr>
            <w:r w:rsidRPr="001623BB">
              <w:rPr>
                <w:sz w:val="22"/>
                <w:szCs w:val="22"/>
              </w:rPr>
              <w:t>2,000,000</w:t>
            </w:r>
          </w:p>
        </w:tc>
        <w:tc>
          <w:tcPr>
            <w:tcW w:w="1964" w:type="dxa"/>
            <w:shd w:val="clear" w:color="auto" w:fill="auto"/>
            <w:vAlign w:val="center"/>
          </w:tcPr>
          <w:p w:rsidRPr="001623BB" w:rsidR="0032459F" w:rsidP="00020B89" w:rsidRDefault="0032459F" w14:paraId="524AD078" w14:textId="77777777">
            <w:pPr>
              <w:jc w:val="center"/>
              <w:rPr>
                <w:sz w:val="22"/>
                <w:szCs w:val="22"/>
              </w:rPr>
            </w:pPr>
            <w:r w:rsidRPr="001623BB">
              <w:rPr>
                <w:sz w:val="22"/>
                <w:szCs w:val="22"/>
              </w:rPr>
              <w:t>1,785,404</w:t>
            </w:r>
          </w:p>
        </w:tc>
        <w:tc>
          <w:tcPr>
            <w:tcW w:w="1700" w:type="dxa"/>
          </w:tcPr>
          <w:p w:rsidRPr="001623BB" w:rsidR="0032459F" w:rsidP="00020B89" w:rsidRDefault="0032459F" w14:paraId="1B2C62F6" w14:textId="77777777">
            <w:pPr>
              <w:jc w:val="center"/>
            </w:pPr>
            <w:r w:rsidRPr="001623BB">
              <w:rPr>
                <w:sz w:val="22"/>
                <w:szCs w:val="22"/>
              </w:rPr>
              <w:t>Updated e-Manifest data</w:t>
            </w:r>
          </w:p>
        </w:tc>
      </w:tr>
      <w:tr w:rsidRPr="001623BB" w:rsidR="00ED05E1" w:rsidTr="0029006D" w14:paraId="2E971ABB" w14:textId="77777777">
        <w:tc>
          <w:tcPr>
            <w:tcW w:w="4132" w:type="dxa"/>
            <w:vAlign w:val="center"/>
          </w:tcPr>
          <w:p w:rsidRPr="001623BB" w:rsidR="00ED05E1" w:rsidP="0071662F" w:rsidRDefault="00ED05E1" w14:paraId="14507DA3" w14:textId="77777777">
            <w:pPr>
              <w:rPr>
                <w:sz w:val="22"/>
                <w:szCs w:val="22"/>
              </w:rPr>
            </w:pPr>
            <w:r w:rsidRPr="001623BB">
              <w:rPr>
                <w:sz w:val="22"/>
                <w:szCs w:val="22"/>
              </w:rPr>
              <w:t>5.  Total annual burden</w:t>
            </w:r>
            <w:r w:rsidRPr="001623BB" w:rsidR="0071662F">
              <w:rPr>
                <w:sz w:val="22"/>
                <w:szCs w:val="22"/>
              </w:rPr>
              <w:t xml:space="preserve"> to all facilities</w:t>
            </w:r>
            <w:r w:rsidRPr="001623BB">
              <w:rPr>
                <w:sz w:val="22"/>
                <w:szCs w:val="22"/>
              </w:rPr>
              <w:t xml:space="preserve"> for submitting manifest copies to e-Manifest</w:t>
            </w:r>
            <w:r w:rsidRPr="001623BB" w:rsidR="00352A51">
              <w:rPr>
                <w:sz w:val="22"/>
                <w:szCs w:val="22"/>
              </w:rPr>
              <w:t xml:space="preserve"> (hours)</w:t>
            </w:r>
          </w:p>
        </w:tc>
        <w:tc>
          <w:tcPr>
            <w:tcW w:w="1672" w:type="dxa"/>
            <w:vAlign w:val="center"/>
          </w:tcPr>
          <w:p w:rsidRPr="001623BB" w:rsidR="00ED05E1" w:rsidP="00352A51" w:rsidRDefault="00ED05E1" w14:paraId="6EF09813" w14:textId="77777777">
            <w:pPr>
              <w:jc w:val="center"/>
              <w:rPr>
                <w:sz w:val="22"/>
                <w:szCs w:val="22"/>
              </w:rPr>
            </w:pPr>
            <w:r w:rsidRPr="001623BB">
              <w:rPr>
                <w:sz w:val="22"/>
                <w:szCs w:val="22"/>
              </w:rPr>
              <w:t>93,101</w:t>
            </w:r>
          </w:p>
        </w:tc>
        <w:tc>
          <w:tcPr>
            <w:tcW w:w="1964" w:type="dxa"/>
            <w:shd w:val="clear" w:color="auto" w:fill="auto"/>
            <w:vAlign w:val="center"/>
          </w:tcPr>
          <w:p w:rsidRPr="001623BB" w:rsidR="00ED05E1" w:rsidP="00352A51" w:rsidRDefault="00ED05E1" w14:paraId="1F070425" w14:textId="77777777">
            <w:pPr>
              <w:jc w:val="center"/>
              <w:rPr>
                <w:sz w:val="22"/>
                <w:szCs w:val="22"/>
              </w:rPr>
            </w:pPr>
            <w:r w:rsidRPr="001623BB">
              <w:rPr>
                <w:sz w:val="22"/>
                <w:szCs w:val="22"/>
              </w:rPr>
              <w:t>190,164</w:t>
            </w:r>
          </w:p>
        </w:tc>
        <w:tc>
          <w:tcPr>
            <w:tcW w:w="1700" w:type="dxa"/>
            <w:vAlign w:val="center"/>
          </w:tcPr>
          <w:p w:rsidRPr="001623BB" w:rsidR="00ED05E1" w:rsidP="007009FF" w:rsidRDefault="00ED05E1" w14:paraId="6B36C100" w14:textId="77777777">
            <w:pPr>
              <w:jc w:val="center"/>
              <w:rPr>
                <w:sz w:val="22"/>
                <w:szCs w:val="22"/>
              </w:rPr>
            </w:pPr>
            <w:r w:rsidRPr="001623BB">
              <w:rPr>
                <w:sz w:val="22"/>
                <w:szCs w:val="22"/>
              </w:rPr>
              <w:t xml:space="preserve">Improved methodology and </w:t>
            </w:r>
            <w:r w:rsidRPr="001623BB" w:rsidR="00B06461">
              <w:rPr>
                <w:sz w:val="22"/>
                <w:szCs w:val="22"/>
              </w:rPr>
              <w:t xml:space="preserve">updated </w:t>
            </w:r>
            <w:r w:rsidRPr="001623BB">
              <w:rPr>
                <w:sz w:val="22"/>
                <w:szCs w:val="22"/>
              </w:rPr>
              <w:t xml:space="preserve">data </w:t>
            </w:r>
          </w:p>
        </w:tc>
      </w:tr>
      <w:tr w:rsidRPr="001623BB" w:rsidR="00ED05E1" w:rsidTr="0029006D" w14:paraId="1AAC10C1" w14:textId="77777777">
        <w:tc>
          <w:tcPr>
            <w:tcW w:w="4132" w:type="dxa"/>
            <w:vAlign w:val="center"/>
          </w:tcPr>
          <w:p w:rsidRPr="001623BB" w:rsidR="00ED05E1" w:rsidP="009F26DC" w:rsidRDefault="00ED05E1" w14:paraId="75E949FA" w14:textId="77777777">
            <w:pPr>
              <w:rPr>
                <w:sz w:val="22"/>
                <w:szCs w:val="22"/>
              </w:rPr>
            </w:pPr>
            <w:r w:rsidRPr="001623BB">
              <w:rPr>
                <w:sz w:val="22"/>
                <w:szCs w:val="22"/>
              </w:rPr>
              <w:t xml:space="preserve">6. Total annual O&amp;M </w:t>
            </w:r>
            <w:r w:rsidRPr="001623BB" w:rsidR="00123D24">
              <w:rPr>
                <w:sz w:val="22"/>
                <w:szCs w:val="22"/>
              </w:rPr>
              <w:t>c</w:t>
            </w:r>
            <w:r w:rsidRPr="001623BB">
              <w:rPr>
                <w:sz w:val="22"/>
                <w:szCs w:val="22"/>
              </w:rPr>
              <w:t>osts</w:t>
            </w:r>
          </w:p>
        </w:tc>
        <w:tc>
          <w:tcPr>
            <w:tcW w:w="1672" w:type="dxa"/>
            <w:vAlign w:val="center"/>
          </w:tcPr>
          <w:p w:rsidRPr="001623BB" w:rsidR="00ED05E1" w:rsidP="00020B89" w:rsidRDefault="001F4D0A" w14:paraId="11C7F80E" w14:textId="77777777">
            <w:pPr>
              <w:jc w:val="center"/>
              <w:rPr>
                <w:sz w:val="22"/>
                <w:szCs w:val="22"/>
              </w:rPr>
            </w:pPr>
            <w:r w:rsidRPr="001623BB">
              <w:rPr>
                <w:sz w:val="22"/>
                <w:szCs w:val="22"/>
              </w:rPr>
              <w:t>$25,698,841</w:t>
            </w:r>
          </w:p>
        </w:tc>
        <w:tc>
          <w:tcPr>
            <w:tcW w:w="1964" w:type="dxa"/>
            <w:shd w:val="clear" w:color="auto" w:fill="auto"/>
            <w:vAlign w:val="center"/>
          </w:tcPr>
          <w:p w:rsidRPr="001623BB" w:rsidR="00761533" w:rsidP="00761533" w:rsidRDefault="001F4D0A" w14:paraId="3F83EADB" w14:textId="77777777">
            <w:pPr>
              <w:jc w:val="center"/>
              <w:rPr>
                <w:sz w:val="22"/>
                <w:szCs w:val="22"/>
              </w:rPr>
            </w:pPr>
            <w:r w:rsidRPr="001623BB">
              <w:rPr>
                <w:sz w:val="22"/>
                <w:szCs w:val="22"/>
              </w:rPr>
              <w:t>$28,972,277</w:t>
            </w:r>
          </w:p>
        </w:tc>
        <w:tc>
          <w:tcPr>
            <w:tcW w:w="1700" w:type="dxa"/>
            <w:vAlign w:val="center"/>
          </w:tcPr>
          <w:p w:rsidRPr="001623BB" w:rsidR="00ED05E1" w:rsidP="00C405BB" w:rsidRDefault="003C11C9" w14:paraId="42D5AF1F" w14:textId="77777777">
            <w:pPr>
              <w:jc w:val="center"/>
              <w:rPr>
                <w:sz w:val="22"/>
                <w:szCs w:val="22"/>
              </w:rPr>
            </w:pPr>
            <w:r w:rsidRPr="001623BB">
              <w:rPr>
                <w:sz w:val="22"/>
                <w:szCs w:val="22"/>
              </w:rPr>
              <w:t>Improved methodology and updated data</w:t>
            </w:r>
          </w:p>
        </w:tc>
      </w:tr>
      <w:tr w:rsidRPr="001623BB" w:rsidR="00ED05E1" w:rsidTr="0029006D" w14:paraId="3C6F1AC2" w14:textId="77777777">
        <w:tc>
          <w:tcPr>
            <w:tcW w:w="4132" w:type="dxa"/>
            <w:vAlign w:val="center"/>
          </w:tcPr>
          <w:p w:rsidRPr="001623BB" w:rsidR="00ED05E1" w:rsidP="00BC3EE0" w:rsidRDefault="00ED05E1" w14:paraId="560B8372" w14:textId="77777777">
            <w:pPr>
              <w:rPr>
                <w:sz w:val="22"/>
                <w:szCs w:val="22"/>
              </w:rPr>
            </w:pPr>
            <w:r w:rsidRPr="001623BB">
              <w:rPr>
                <w:sz w:val="22"/>
                <w:szCs w:val="22"/>
              </w:rPr>
              <w:t>7. Total annual user f</w:t>
            </w:r>
            <w:r w:rsidRPr="001623BB" w:rsidR="009F26DC">
              <w:rPr>
                <w:sz w:val="22"/>
                <w:szCs w:val="22"/>
              </w:rPr>
              <w:t>ees</w:t>
            </w:r>
            <w:r w:rsidRPr="001623BB" w:rsidR="002C53B7">
              <w:rPr>
                <w:sz w:val="22"/>
                <w:szCs w:val="22"/>
              </w:rPr>
              <w:t xml:space="preserve"> (O&amp;M </w:t>
            </w:r>
            <w:proofErr w:type="gramStart"/>
            <w:r w:rsidRPr="001623BB" w:rsidR="002C53B7">
              <w:rPr>
                <w:sz w:val="22"/>
                <w:szCs w:val="22"/>
              </w:rPr>
              <w:t>cost)</w:t>
            </w:r>
            <w:r w:rsidRPr="001623BB" w:rsidR="009F26DC">
              <w:rPr>
                <w:sz w:val="22"/>
                <w:szCs w:val="22"/>
              </w:rPr>
              <w:t>*</w:t>
            </w:r>
            <w:proofErr w:type="gramEnd"/>
            <w:r w:rsidRPr="001623BB" w:rsidR="009F26DC">
              <w:rPr>
                <w:sz w:val="22"/>
                <w:szCs w:val="22"/>
              </w:rPr>
              <w:t>**</w:t>
            </w:r>
            <w:r w:rsidRPr="001623BB" w:rsidR="00656AD0">
              <w:rPr>
                <w:sz w:val="22"/>
                <w:szCs w:val="22"/>
              </w:rPr>
              <w:t>*</w:t>
            </w:r>
          </w:p>
        </w:tc>
        <w:tc>
          <w:tcPr>
            <w:tcW w:w="1672" w:type="dxa"/>
            <w:vAlign w:val="center"/>
          </w:tcPr>
          <w:p w:rsidRPr="001623BB" w:rsidR="00ED05E1" w:rsidP="00DB1E77" w:rsidRDefault="00ED05E1" w14:paraId="12BE8342" w14:textId="77777777">
            <w:pPr>
              <w:jc w:val="center"/>
              <w:rPr>
                <w:sz w:val="22"/>
                <w:szCs w:val="22"/>
              </w:rPr>
            </w:pPr>
            <w:r w:rsidRPr="001623BB">
              <w:rPr>
                <w:sz w:val="22"/>
                <w:szCs w:val="22"/>
              </w:rPr>
              <w:t>$23,346,212</w:t>
            </w:r>
          </w:p>
        </w:tc>
        <w:tc>
          <w:tcPr>
            <w:tcW w:w="1964" w:type="dxa"/>
            <w:shd w:val="clear" w:color="auto" w:fill="auto"/>
            <w:vAlign w:val="center"/>
          </w:tcPr>
          <w:p w:rsidRPr="001623BB" w:rsidR="00ED05E1" w:rsidP="00020B89" w:rsidRDefault="00ED05E1" w14:paraId="31BE4276" w14:textId="77777777">
            <w:pPr>
              <w:jc w:val="center"/>
              <w:rPr>
                <w:sz w:val="22"/>
                <w:szCs w:val="22"/>
              </w:rPr>
            </w:pPr>
            <w:r w:rsidRPr="001623BB">
              <w:rPr>
                <w:sz w:val="22"/>
                <w:szCs w:val="22"/>
              </w:rPr>
              <w:t>$26,578,952</w:t>
            </w:r>
          </w:p>
        </w:tc>
        <w:tc>
          <w:tcPr>
            <w:tcW w:w="1700" w:type="dxa"/>
            <w:vAlign w:val="center"/>
          </w:tcPr>
          <w:p w:rsidRPr="001623BB" w:rsidR="00ED05E1" w:rsidP="003C11C9" w:rsidRDefault="00ED05E1" w14:paraId="6B086748" w14:textId="77777777">
            <w:pPr>
              <w:jc w:val="center"/>
              <w:rPr>
                <w:sz w:val="22"/>
                <w:szCs w:val="22"/>
              </w:rPr>
            </w:pPr>
            <w:r w:rsidRPr="001623BB">
              <w:rPr>
                <w:sz w:val="22"/>
                <w:szCs w:val="22"/>
              </w:rPr>
              <w:t xml:space="preserve">Improved methodology and updated </w:t>
            </w:r>
            <w:r w:rsidRPr="001623BB" w:rsidR="003C11C9">
              <w:rPr>
                <w:sz w:val="22"/>
                <w:szCs w:val="22"/>
              </w:rPr>
              <w:t>data</w:t>
            </w:r>
          </w:p>
        </w:tc>
      </w:tr>
    </w:tbl>
    <w:p w:rsidRPr="001623BB" w:rsidR="0054343C" w:rsidP="008103E5" w:rsidRDefault="00140A97" w14:paraId="0D626A02" w14:textId="77777777">
      <w:pPr>
        <w:tabs>
          <w:tab w:val="left" w:pos="-1200"/>
        </w:tabs>
        <w:rPr>
          <w:sz w:val="20"/>
          <w:szCs w:val="20"/>
        </w:rPr>
      </w:pPr>
      <w:r w:rsidRPr="001623BB">
        <w:rPr>
          <w:sz w:val="20"/>
          <w:szCs w:val="20"/>
        </w:rPr>
        <w:t>*</w:t>
      </w:r>
      <w:r w:rsidRPr="001623BB" w:rsidR="00E65AE0">
        <w:rPr>
          <w:sz w:val="20"/>
          <w:szCs w:val="20"/>
        </w:rPr>
        <w:t xml:space="preserve">Refer to ICR 0801.23 for these estimates. </w:t>
      </w:r>
      <w:r w:rsidRPr="001623BB" w:rsidR="0054343C">
        <w:rPr>
          <w:sz w:val="20"/>
          <w:szCs w:val="20"/>
        </w:rPr>
        <w:t xml:space="preserve">ICR </w:t>
      </w:r>
      <w:r w:rsidRPr="001623BB" w:rsidR="00261C7A">
        <w:rPr>
          <w:sz w:val="20"/>
          <w:szCs w:val="20"/>
        </w:rPr>
        <w:t>0</w:t>
      </w:r>
      <w:r w:rsidRPr="001623BB" w:rsidR="0054343C">
        <w:rPr>
          <w:sz w:val="20"/>
          <w:szCs w:val="20"/>
        </w:rPr>
        <w:t xml:space="preserve">801.23 was </w:t>
      </w:r>
      <w:r w:rsidRPr="001623BB" w:rsidR="000D3244">
        <w:rPr>
          <w:sz w:val="20"/>
          <w:szCs w:val="20"/>
        </w:rPr>
        <w:t>approved</w:t>
      </w:r>
      <w:r w:rsidRPr="001623BB" w:rsidR="00260377">
        <w:rPr>
          <w:sz w:val="20"/>
          <w:szCs w:val="20"/>
        </w:rPr>
        <w:t xml:space="preserve"> </w:t>
      </w:r>
      <w:r w:rsidRPr="001623BB" w:rsidR="000D3244">
        <w:rPr>
          <w:sz w:val="20"/>
          <w:szCs w:val="20"/>
        </w:rPr>
        <w:t xml:space="preserve">in </w:t>
      </w:r>
      <w:r w:rsidRPr="001623BB" w:rsidR="004C36CD">
        <w:rPr>
          <w:sz w:val="20"/>
          <w:szCs w:val="20"/>
        </w:rPr>
        <w:t xml:space="preserve">January </w:t>
      </w:r>
      <w:r w:rsidRPr="001623BB" w:rsidR="000D3244">
        <w:rPr>
          <w:sz w:val="20"/>
          <w:szCs w:val="20"/>
        </w:rPr>
        <w:t>20</w:t>
      </w:r>
      <w:r w:rsidRPr="001623BB" w:rsidR="00391C8E">
        <w:rPr>
          <w:sz w:val="20"/>
          <w:szCs w:val="20"/>
        </w:rPr>
        <w:t>20</w:t>
      </w:r>
      <w:r w:rsidRPr="001623BB" w:rsidR="000D3244">
        <w:rPr>
          <w:sz w:val="20"/>
          <w:szCs w:val="20"/>
        </w:rPr>
        <w:t xml:space="preserve"> and </w:t>
      </w:r>
      <w:r w:rsidRPr="001623BB" w:rsidR="0054343C">
        <w:rPr>
          <w:sz w:val="20"/>
          <w:szCs w:val="20"/>
        </w:rPr>
        <w:t>amended by a Justification for No Material/</w:t>
      </w:r>
      <w:proofErr w:type="spellStart"/>
      <w:r w:rsidRPr="001623BB" w:rsidR="0054343C">
        <w:rPr>
          <w:sz w:val="20"/>
          <w:szCs w:val="20"/>
        </w:rPr>
        <w:t>Nonsubstantive</w:t>
      </w:r>
      <w:proofErr w:type="spellEnd"/>
      <w:r w:rsidRPr="001623BB" w:rsidR="0054343C">
        <w:rPr>
          <w:sz w:val="20"/>
          <w:szCs w:val="20"/>
        </w:rPr>
        <w:t xml:space="preserve"> Change (</w:t>
      </w:r>
      <w:r w:rsidRPr="001623BB" w:rsidR="00261C7A">
        <w:rPr>
          <w:sz w:val="20"/>
          <w:szCs w:val="20"/>
        </w:rPr>
        <w:t>0</w:t>
      </w:r>
      <w:r w:rsidRPr="001623BB" w:rsidR="0054343C">
        <w:rPr>
          <w:sz w:val="20"/>
          <w:szCs w:val="20"/>
        </w:rPr>
        <w:t>801.24)</w:t>
      </w:r>
      <w:r w:rsidRPr="001623BB" w:rsidR="005D69C6">
        <w:rPr>
          <w:sz w:val="20"/>
          <w:szCs w:val="20"/>
        </w:rPr>
        <w:t xml:space="preserve"> in March 2020</w:t>
      </w:r>
      <w:r w:rsidRPr="001623BB" w:rsidR="0054343C">
        <w:rPr>
          <w:sz w:val="20"/>
          <w:szCs w:val="20"/>
        </w:rPr>
        <w:t>.</w:t>
      </w:r>
    </w:p>
    <w:p w:rsidRPr="001623BB" w:rsidR="00656AD0" w:rsidP="008103E5" w:rsidRDefault="00656AD0" w14:paraId="138986ED" w14:textId="77777777">
      <w:pPr>
        <w:tabs>
          <w:tab w:val="left" w:pos="-1200"/>
        </w:tabs>
        <w:rPr>
          <w:sz w:val="20"/>
          <w:szCs w:val="20"/>
        </w:rPr>
      </w:pPr>
      <w:r w:rsidRPr="001623BB">
        <w:rPr>
          <w:sz w:val="20"/>
          <w:szCs w:val="20"/>
        </w:rPr>
        <w:t>**EPA estimated 215,677 handlers based on e-Manifest</w:t>
      </w:r>
      <w:r w:rsidR="00771E53">
        <w:rPr>
          <w:sz w:val="20"/>
          <w:szCs w:val="20"/>
        </w:rPr>
        <w:t xml:space="preserve"> data</w:t>
      </w:r>
      <w:r w:rsidRPr="001623BB">
        <w:rPr>
          <w:sz w:val="20"/>
          <w:szCs w:val="20"/>
        </w:rPr>
        <w:t xml:space="preserve"> and the Regulatory Impact Analysis of the Final User Fee Rule. However,</w:t>
      </w:r>
      <w:r w:rsidRPr="001623BB" w:rsidR="00B40001">
        <w:rPr>
          <w:sz w:val="20"/>
          <w:szCs w:val="20"/>
        </w:rPr>
        <w:t xml:space="preserve"> due to limitations in the methodology,</w:t>
      </w:r>
      <w:r w:rsidRPr="001623BB">
        <w:rPr>
          <w:sz w:val="20"/>
          <w:szCs w:val="20"/>
        </w:rPr>
        <w:t xml:space="preserve"> it was an over-estimate. Since then, EPA improved its ability to query the e-Manifest for waste handler counts. The estimate of 106,136 handlers is based solely on e-Manifest data and is more accurate. Because 215,677 is an overestimate, the decrease of 109,541 handlers</w:t>
      </w:r>
      <w:r w:rsidR="0077118F">
        <w:rPr>
          <w:sz w:val="20"/>
          <w:szCs w:val="20"/>
        </w:rPr>
        <w:t xml:space="preserve"> in </w:t>
      </w:r>
      <w:r w:rsidRPr="0077118F" w:rsidR="0077118F">
        <w:rPr>
          <w:sz w:val="20"/>
          <w:szCs w:val="20"/>
        </w:rPr>
        <w:t xml:space="preserve">ICR </w:t>
      </w:r>
      <w:r w:rsidRPr="0077118F" w:rsidR="0077118F">
        <w:rPr>
          <w:sz w:val="20"/>
          <w:szCs w:val="20"/>
        </w:rPr>
        <w:lastRenderedPageBreak/>
        <w:t>0801.25</w:t>
      </w:r>
      <w:r w:rsidRPr="001623BB">
        <w:rPr>
          <w:sz w:val="20"/>
          <w:szCs w:val="20"/>
        </w:rPr>
        <w:t xml:space="preserve"> is an overestimate of the actual change.</w:t>
      </w:r>
      <w:r w:rsidRPr="001623BB" w:rsidR="009C5378">
        <w:rPr>
          <w:sz w:val="20"/>
          <w:szCs w:val="20"/>
        </w:rPr>
        <w:t xml:space="preserve"> Note that the manifest counts in both ICRs are based solely on e-Manifest data and therefore are accurate.</w:t>
      </w:r>
    </w:p>
    <w:p w:rsidRPr="001623BB" w:rsidR="009F26DC" w:rsidP="008103E5" w:rsidRDefault="00656AD0" w14:paraId="1E09EE6B" w14:textId="77777777">
      <w:pPr>
        <w:tabs>
          <w:tab w:val="left" w:pos="-1200"/>
        </w:tabs>
        <w:rPr>
          <w:sz w:val="20"/>
          <w:szCs w:val="20"/>
        </w:rPr>
      </w:pPr>
      <w:r w:rsidRPr="001623BB">
        <w:rPr>
          <w:sz w:val="20"/>
          <w:szCs w:val="20"/>
        </w:rPr>
        <w:t>*</w:t>
      </w:r>
      <w:r w:rsidRPr="001623BB" w:rsidR="00CE4C5F">
        <w:rPr>
          <w:sz w:val="20"/>
          <w:szCs w:val="20"/>
        </w:rPr>
        <w:t>**</w:t>
      </w:r>
      <w:r w:rsidRPr="001623BB" w:rsidR="00140A97">
        <w:rPr>
          <w:sz w:val="20"/>
          <w:szCs w:val="20"/>
        </w:rPr>
        <w:t xml:space="preserve">This includes form completion, transmittal to industry third parties, and recordkeeping performed by generators, </w:t>
      </w:r>
      <w:proofErr w:type="gramStart"/>
      <w:r w:rsidRPr="001623BB" w:rsidR="00140A97">
        <w:rPr>
          <w:sz w:val="20"/>
          <w:szCs w:val="20"/>
        </w:rPr>
        <w:t>transporters</w:t>
      </w:r>
      <w:proofErr w:type="gramEnd"/>
      <w:r w:rsidRPr="001623BB" w:rsidR="00140A97">
        <w:rPr>
          <w:sz w:val="20"/>
          <w:szCs w:val="20"/>
        </w:rPr>
        <w:t xml:space="preserve"> and TSDFs/receiving facilities</w:t>
      </w:r>
    </w:p>
    <w:p w:rsidR="00140A97" w:rsidP="008103E5" w:rsidRDefault="00656AD0" w14:paraId="7E0C3ACF" w14:textId="75AB0912">
      <w:pPr>
        <w:tabs>
          <w:tab w:val="left" w:pos="-1200"/>
        </w:tabs>
        <w:rPr>
          <w:sz w:val="20"/>
          <w:szCs w:val="20"/>
        </w:rPr>
      </w:pPr>
      <w:r w:rsidRPr="001623BB">
        <w:rPr>
          <w:sz w:val="20"/>
          <w:szCs w:val="20"/>
        </w:rPr>
        <w:t>*</w:t>
      </w:r>
      <w:r w:rsidRPr="001623BB" w:rsidR="009F26DC">
        <w:rPr>
          <w:sz w:val="20"/>
          <w:szCs w:val="20"/>
        </w:rPr>
        <w:t xml:space="preserve">***Total annual user fees are a </w:t>
      </w:r>
      <w:r w:rsidRPr="001623BB" w:rsidR="002C53B7">
        <w:rPr>
          <w:sz w:val="20"/>
          <w:szCs w:val="20"/>
        </w:rPr>
        <w:t>subset o</w:t>
      </w:r>
      <w:r w:rsidRPr="001623BB" w:rsidR="009F26DC">
        <w:rPr>
          <w:sz w:val="20"/>
          <w:szCs w:val="20"/>
        </w:rPr>
        <w:t>f total annual O&amp;M costs.</w:t>
      </w:r>
    </w:p>
    <w:p w:rsidR="003D10AB" w:rsidP="008103E5" w:rsidRDefault="003D10AB" w14:paraId="3D87E336" w14:textId="21246935">
      <w:pPr>
        <w:tabs>
          <w:tab w:val="left" w:pos="-1200"/>
        </w:tabs>
        <w:rPr>
          <w:sz w:val="20"/>
          <w:szCs w:val="20"/>
        </w:rPr>
      </w:pPr>
    </w:p>
    <w:p w:rsidRPr="00C425CF" w:rsidR="003D10AB" w:rsidP="003D10AB" w:rsidRDefault="003D10AB" w14:paraId="439414A5" w14:textId="77777777">
      <w:pPr>
        <w:rPr>
          <w:b/>
        </w:rPr>
      </w:pPr>
      <w:r w:rsidRPr="00C425CF">
        <w:rPr>
          <w:b/>
        </w:rPr>
        <w:t>16. For collections of information whose results will be published, outline plans for tabulation</w:t>
      </w:r>
      <w:r>
        <w:rPr>
          <w:b/>
        </w:rPr>
        <w:t xml:space="preserve"> </w:t>
      </w:r>
      <w:r w:rsidRPr="00C425CF">
        <w:rPr>
          <w:b/>
        </w:rPr>
        <w:t>and publication. Address any complex analytical techniques that will be used. Provide the</w:t>
      </w:r>
      <w:r>
        <w:rPr>
          <w:b/>
        </w:rPr>
        <w:t xml:space="preserve"> </w:t>
      </w:r>
      <w:r w:rsidRPr="00C425CF">
        <w:rPr>
          <w:b/>
        </w:rPr>
        <w:t>time schedule for the entire project, including beginning and ending dates of the collection of</w:t>
      </w:r>
      <w:r>
        <w:rPr>
          <w:b/>
        </w:rPr>
        <w:t xml:space="preserve"> </w:t>
      </w:r>
      <w:r w:rsidRPr="00C425CF">
        <w:rPr>
          <w:b/>
        </w:rPr>
        <w:t xml:space="preserve">information, </w:t>
      </w:r>
      <w:r>
        <w:rPr>
          <w:b/>
        </w:rPr>
        <w:t>c</w:t>
      </w:r>
      <w:r w:rsidRPr="00C425CF">
        <w:rPr>
          <w:b/>
        </w:rPr>
        <w:t>ompletion of report, publication dates, and other actions.</w:t>
      </w:r>
    </w:p>
    <w:p w:rsidR="00827432" w:rsidP="003D10AB" w:rsidRDefault="00827432" w14:paraId="232F066F" w14:textId="77777777">
      <w:pPr>
        <w:rPr>
          <w:bCs/>
        </w:rPr>
      </w:pPr>
    </w:p>
    <w:p w:rsidR="004D490B" w:rsidP="003D10AB" w:rsidRDefault="00B97294" w14:paraId="2D5663B0" w14:textId="06AFD946">
      <w:pPr>
        <w:rPr>
          <w:bCs/>
        </w:rPr>
      </w:pPr>
      <w:r w:rsidRPr="004000C4">
        <w:rPr>
          <w:bCs/>
        </w:rPr>
        <w:t xml:space="preserve">No </w:t>
      </w:r>
      <w:r>
        <w:rPr>
          <w:bCs/>
        </w:rPr>
        <w:t xml:space="preserve">reports or results from the </w:t>
      </w:r>
      <w:r w:rsidRPr="004000C4">
        <w:rPr>
          <w:bCs/>
        </w:rPr>
        <w:t xml:space="preserve">collection of </w:t>
      </w:r>
      <w:r>
        <w:rPr>
          <w:bCs/>
        </w:rPr>
        <w:t xml:space="preserve">manifest </w:t>
      </w:r>
      <w:r w:rsidRPr="004000C4">
        <w:rPr>
          <w:bCs/>
        </w:rPr>
        <w:t xml:space="preserve">information </w:t>
      </w:r>
      <w:r>
        <w:rPr>
          <w:bCs/>
        </w:rPr>
        <w:t>will be published.</w:t>
      </w:r>
    </w:p>
    <w:p w:rsidRPr="00231723" w:rsidR="00745247" w:rsidP="003D10AB" w:rsidRDefault="00745247" w14:paraId="53FF73D9" w14:textId="77777777">
      <w:pPr>
        <w:rPr>
          <w:bCs/>
        </w:rPr>
      </w:pPr>
    </w:p>
    <w:p w:rsidR="003D10AB" w:rsidP="003D10AB" w:rsidRDefault="003D10AB" w14:paraId="587D12E8" w14:textId="4AD09F42">
      <w:pPr>
        <w:rPr>
          <w:b/>
        </w:rPr>
      </w:pPr>
      <w:r w:rsidRPr="00C425CF">
        <w:rPr>
          <w:b/>
        </w:rPr>
        <w:t>17. If seeking approval to not display the expiration date for OMB approval of the information</w:t>
      </w:r>
      <w:r>
        <w:rPr>
          <w:b/>
        </w:rPr>
        <w:t xml:space="preserve"> </w:t>
      </w:r>
      <w:r w:rsidRPr="00C425CF">
        <w:rPr>
          <w:b/>
        </w:rPr>
        <w:t>collection, explain the reasons that display would be inappropriate.</w:t>
      </w:r>
    </w:p>
    <w:p w:rsidR="00827432" w:rsidP="005C5643" w:rsidRDefault="00827432" w14:paraId="21215D44" w14:textId="77777777">
      <w:pPr>
        <w:rPr>
          <w:bCs/>
        </w:rPr>
      </w:pPr>
    </w:p>
    <w:p w:rsidR="00827432" w:rsidP="00827432" w:rsidRDefault="00827432" w14:paraId="0D22273E" w14:textId="77777777">
      <w:pPr>
        <w:rPr>
          <w:bCs/>
        </w:rPr>
      </w:pPr>
      <w:r w:rsidRPr="0026234E">
        <w:rPr>
          <w:bCs/>
        </w:rPr>
        <w:t>OMB requires, if appropriate, that the expiration date appear</w:t>
      </w:r>
      <w:r>
        <w:rPr>
          <w:bCs/>
        </w:rPr>
        <w:t>s</w:t>
      </w:r>
      <w:r w:rsidRPr="0026234E">
        <w:rPr>
          <w:bCs/>
        </w:rPr>
        <w:t xml:space="preserve"> on the front page of an OMB-approved form. EPA believes it is inappropriate to </w:t>
      </w:r>
      <w:r>
        <w:rPr>
          <w:bCs/>
        </w:rPr>
        <w:t>display</w:t>
      </w:r>
      <w:r w:rsidRPr="0026234E">
        <w:rPr>
          <w:bCs/>
        </w:rPr>
        <w:t xml:space="preserve"> the expiration date on the manifest form and continuation sheet</w:t>
      </w:r>
      <w:r>
        <w:rPr>
          <w:bCs/>
        </w:rPr>
        <w:t xml:space="preserve"> because approved commercial printers and regulated entities would incur significant costs to produce, sell, or purchase the paper manifest forms, if the expiration date were included on the paper forms. Federal and state wastes are frequently shipped off-site requiring generators to purchase and stock large volumes of the paper forms on-site for availability and use. Table 12 of this ICR estimates 1,591,034 paper manifests are used annually to track federal and state-only regulated wastes and submitted to the national e-Manifest system. </w:t>
      </w:r>
    </w:p>
    <w:p w:rsidR="00827432" w:rsidP="00827432" w:rsidRDefault="00827432" w14:paraId="72482E77" w14:textId="77777777">
      <w:pPr>
        <w:rPr>
          <w:bCs/>
        </w:rPr>
      </w:pPr>
    </w:p>
    <w:p w:rsidRPr="0026234E" w:rsidR="0026234E" w:rsidP="00827432" w:rsidRDefault="00827432" w14:paraId="407A768D" w14:textId="1AFEB468">
      <w:pPr>
        <w:rPr>
          <w:bCs/>
        </w:rPr>
      </w:pPr>
      <w:r>
        <w:rPr>
          <w:bCs/>
        </w:rPr>
        <w:t xml:space="preserve">The manifest printing specification requirement at 40 CFR 262.21(f)(1) requires that the </w:t>
      </w:r>
      <w:r w:rsidRPr="00317231">
        <w:rPr>
          <w:bCs/>
        </w:rPr>
        <w:t>manifest and continuation sheet must be printed with the exact format and appearance as EPA Forms 8700-22 and 8700-22A, respectively.</w:t>
      </w:r>
      <w:r>
        <w:rPr>
          <w:bCs/>
        </w:rPr>
        <w:t xml:space="preserve"> To comply with this requirement, authorized commercial printers would need to discard their remaining inventory of the previous manifest forms</w:t>
      </w:r>
      <w:r w:rsidR="00236735">
        <w:rPr>
          <w:bCs/>
        </w:rPr>
        <w:t>,</w:t>
      </w:r>
      <w:r>
        <w:rPr>
          <w:bCs/>
        </w:rPr>
        <w:t xml:space="preserve"> rather than sell them</w:t>
      </w:r>
      <w:r w:rsidR="00236735">
        <w:rPr>
          <w:bCs/>
        </w:rPr>
        <w:t>,</w:t>
      </w:r>
      <w:r>
        <w:rPr>
          <w:bCs/>
        </w:rPr>
        <w:t xml:space="preserve"> produce the current, new forms with the expiration date following </w:t>
      </w:r>
      <w:r w:rsidRPr="0026234E">
        <w:rPr>
          <w:bCs/>
        </w:rPr>
        <w:t>the information collection renewal process for this ICR, which generally will occur every three years before the expiration date.</w:t>
      </w:r>
      <w:r>
        <w:rPr>
          <w:bCs/>
        </w:rPr>
        <w:t xml:space="preserve"> Similarly, generators, transporters, and receiving facilities would need to discard their inventory of the previous manifest forms</w:t>
      </w:r>
      <w:r w:rsidR="00654086">
        <w:rPr>
          <w:bCs/>
        </w:rPr>
        <w:t>,</w:t>
      </w:r>
      <w:r>
        <w:rPr>
          <w:bCs/>
        </w:rPr>
        <w:t xml:space="preserve"> rather than use them</w:t>
      </w:r>
      <w:r w:rsidR="00654086">
        <w:rPr>
          <w:bCs/>
        </w:rPr>
        <w:t>,</w:t>
      </w:r>
      <w:r>
        <w:rPr>
          <w:bCs/>
        </w:rPr>
        <w:t xml:space="preserve"> and purchase the current, new forms displaying the expiration date. Finally, any delay in the approval of the new forms displaying the expiration date, and the subsequent production, sale, and purchase of them, may affect the </w:t>
      </w:r>
      <w:r w:rsidRPr="005C5643">
        <w:rPr>
          <w:bCs/>
        </w:rPr>
        <w:t>shipment of</w:t>
      </w:r>
      <w:r>
        <w:rPr>
          <w:bCs/>
        </w:rPr>
        <w:t xml:space="preserve"> </w:t>
      </w:r>
      <w:r w:rsidRPr="005C5643">
        <w:rPr>
          <w:bCs/>
        </w:rPr>
        <w:t>waste moving in commerce.</w:t>
      </w:r>
      <w:r>
        <w:rPr>
          <w:bCs/>
        </w:rPr>
        <w:t xml:space="preserve"> Therefore, </w:t>
      </w:r>
      <w:r w:rsidRPr="0026234E">
        <w:rPr>
          <w:bCs/>
        </w:rPr>
        <w:t>the manifest form and continuation sheet do not include an expiration date.</w:t>
      </w:r>
    </w:p>
    <w:p w:rsidRPr="00C425CF" w:rsidR="003D10AB" w:rsidP="003D10AB" w:rsidRDefault="003D10AB" w14:paraId="514B3262" w14:textId="77777777">
      <w:pPr>
        <w:rPr>
          <w:b/>
        </w:rPr>
      </w:pPr>
    </w:p>
    <w:p w:rsidRPr="00C425CF" w:rsidR="003D10AB" w:rsidP="003D10AB" w:rsidRDefault="003D10AB" w14:paraId="4CD8CD37" w14:textId="77777777">
      <w:pPr>
        <w:rPr>
          <w:b/>
        </w:rPr>
      </w:pPr>
      <w:r w:rsidRPr="00C425CF">
        <w:rPr>
          <w:b/>
        </w:rPr>
        <w:t>18.Explain each exception to the topics of the certification statement identified in “Certification</w:t>
      </w:r>
      <w:r>
        <w:rPr>
          <w:b/>
        </w:rPr>
        <w:t xml:space="preserve"> </w:t>
      </w:r>
      <w:r w:rsidRPr="00C425CF">
        <w:rPr>
          <w:b/>
        </w:rPr>
        <w:t>for Paperwork Reduction Act Submissions.”</w:t>
      </w:r>
    </w:p>
    <w:p w:rsidR="003D10AB" w:rsidP="008103E5" w:rsidRDefault="003D10AB" w14:paraId="0CE4E0E3" w14:textId="77777777">
      <w:pPr>
        <w:tabs>
          <w:tab w:val="left" w:pos="-1200"/>
        </w:tabs>
        <w:rPr>
          <w:sz w:val="20"/>
          <w:szCs w:val="20"/>
        </w:rPr>
      </w:pPr>
    </w:p>
    <w:p w:rsidRPr="00352918" w:rsidR="00656AD0" w:rsidP="008103E5" w:rsidRDefault="004E6BA6" w14:paraId="36392364" w14:textId="7C5C0928">
      <w:pPr>
        <w:tabs>
          <w:tab w:val="left" w:pos="-1200"/>
        </w:tabs>
      </w:pPr>
      <w:r w:rsidRPr="00352918">
        <w:t>There are no exceptions to the topics of the certification statement.</w:t>
      </w:r>
    </w:p>
    <w:p w:rsidRPr="00853414" w:rsidR="000F4D0A" w:rsidP="00DA5465" w:rsidRDefault="00DA5465" w14:paraId="609626FF" w14:textId="4B7713BB">
      <w:pPr>
        <w:tabs>
          <w:tab w:val="left" w:pos="830"/>
        </w:tabs>
      </w:pPr>
      <w:r>
        <w:tab/>
      </w:r>
    </w:p>
    <w:sectPr w:rsidRPr="00853414" w:rsidR="000F4D0A" w:rsidSect="000B609E">
      <w:headerReference w:type="default" r:id="rId18"/>
      <w:pgSz w:w="12240" w:h="15840"/>
      <w:pgMar w:top="1440" w:right="1440" w:bottom="1440" w:left="1440" w:header="446" w:footer="54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C0FB" w14:textId="77777777" w:rsidR="00DC4F23" w:rsidRDefault="00DC4F23" w:rsidP="000F4D0A">
      <w:r>
        <w:separator/>
      </w:r>
    </w:p>
  </w:endnote>
  <w:endnote w:type="continuationSeparator" w:id="0">
    <w:p w14:paraId="5EF54D4A" w14:textId="77777777" w:rsidR="00DC4F23" w:rsidRDefault="00DC4F23" w:rsidP="000F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21F0" w14:textId="77777777" w:rsidR="00DC4F23" w:rsidRDefault="00DC4F23" w:rsidP="000F4D0A">
      <w:r>
        <w:separator/>
      </w:r>
    </w:p>
  </w:footnote>
  <w:footnote w:type="continuationSeparator" w:id="0">
    <w:p w14:paraId="03E0EE37" w14:textId="77777777" w:rsidR="00DC4F23" w:rsidRDefault="00DC4F23" w:rsidP="000F4D0A">
      <w:r>
        <w:continuationSeparator/>
      </w:r>
    </w:p>
  </w:footnote>
  <w:footnote w:id="1">
    <w:p w14:paraId="0D93A439" w14:textId="77777777" w:rsidR="00722CC2" w:rsidRPr="00656E67" w:rsidRDefault="00722CC2" w:rsidP="00656E67">
      <w:pPr>
        <w:rPr>
          <w:sz w:val="20"/>
          <w:szCs w:val="20"/>
        </w:rPr>
      </w:pPr>
      <w:r w:rsidRPr="00656E67">
        <w:rPr>
          <w:rStyle w:val="FootnoteReference"/>
          <w:sz w:val="20"/>
          <w:szCs w:val="20"/>
          <w:vertAlign w:val="superscript"/>
        </w:rPr>
        <w:footnoteRef/>
      </w:r>
      <w:r w:rsidRPr="00656E67">
        <w:rPr>
          <w:sz w:val="20"/>
          <w:szCs w:val="20"/>
        </w:rPr>
        <w:t xml:space="preserve"> Any person who offers a hazardous material for transportation in commerce must describe the hazardous material on a USDOT shipping paper in the manner required in 49 CFR </w:t>
      </w:r>
      <w:r>
        <w:rPr>
          <w:sz w:val="20"/>
          <w:szCs w:val="20"/>
        </w:rPr>
        <w:t xml:space="preserve">Part </w:t>
      </w:r>
      <w:r w:rsidRPr="00656E67">
        <w:rPr>
          <w:sz w:val="20"/>
          <w:szCs w:val="20"/>
        </w:rPr>
        <w:t>172</w:t>
      </w:r>
      <w:r>
        <w:rPr>
          <w:sz w:val="20"/>
          <w:szCs w:val="20"/>
        </w:rPr>
        <w:t>, S</w:t>
      </w:r>
      <w:r w:rsidRPr="00656E67">
        <w:rPr>
          <w:sz w:val="20"/>
          <w:szCs w:val="20"/>
        </w:rPr>
        <w:t xml:space="preserve">ubpart C. A shipping paper includes </w:t>
      </w:r>
      <w:r>
        <w:rPr>
          <w:sz w:val="20"/>
          <w:szCs w:val="20"/>
        </w:rPr>
        <w:t>“</w:t>
      </w:r>
      <w:r w:rsidRPr="00656E67">
        <w:rPr>
          <w:sz w:val="20"/>
          <w:szCs w:val="20"/>
        </w:rPr>
        <w:t>a shipping order, bill of lading, manifest or other shipping document serving a similar purpose and containing the information required by 49 CFR 172.202, 172.203 &amp; 172.204.</w:t>
      </w:r>
      <w:r>
        <w:rPr>
          <w:sz w:val="20"/>
          <w:szCs w:val="20"/>
        </w:rPr>
        <w:t>”</w:t>
      </w:r>
      <w:r w:rsidRPr="00656E67">
        <w:rPr>
          <w:sz w:val="20"/>
          <w:szCs w:val="20"/>
        </w:rPr>
        <w:t xml:space="preserve">  49 CFR 171.8 provides a definition of </w:t>
      </w:r>
      <w:r>
        <w:rPr>
          <w:sz w:val="20"/>
          <w:szCs w:val="20"/>
        </w:rPr>
        <w:t>“</w:t>
      </w:r>
      <w:r w:rsidRPr="00656E67">
        <w:rPr>
          <w:sz w:val="20"/>
          <w:szCs w:val="20"/>
        </w:rPr>
        <w:t>shipping paper</w:t>
      </w:r>
      <w:r>
        <w:rPr>
          <w:sz w:val="20"/>
          <w:szCs w:val="20"/>
        </w:rPr>
        <w:t xml:space="preserve">.” </w:t>
      </w:r>
      <w:r w:rsidRPr="00656E67">
        <w:rPr>
          <w:sz w:val="20"/>
          <w:szCs w:val="20"/>
        </w:rPr>
        <w:t>49 CFR 172.205(h) states that an EPA RCRA hazardous waste manifest (EPA Form 8700-22)</w:t>
      </w:r>
      <w:r>
        <w:rPr>
          <w:sz w:val="20"/>
          <w:szCs w:val="20"/>
        </w:rPr>
        <w:t xml:space="preserve"> “m</w:t>
      </w:r>
      <w:r w:rsidRPr="00656E67">
        <w:rPr>
          <w:sz w:val="20"/>
          <w:szCs w:val="20"/>
        </w:rPr>
        <w:t>ay be used as the shipping paper</w:t>
      </w:r>
      <w:r>
        <w:rPr>
          <w:sz w:val="20"/>
          <w:szCs w:val="20"/>
        </w:rPr>
        <w:t>”</w:t>
      </w:r>
      <w:r w:rsidRPr="00656E67">
        <w:rPr>
          <w:sz w:val="20"/>
          <w:szCs w:val="20"/>
        </w:rPr>
        <w:t xml:space="preserve"> if it contains all the information required by 49 CFR </w:t>
      </w:r>
      <w:r>
        <w:rPr>
          <w:sz w:val="20"/>
          <w:szCs w:val="20"/>
        </w:rPr>
        <w:t xml:space="preserve">Part </w:t>
      </w:r>
      <w:r w:rsidRPr="00656E67">
        <w:rPr>
          <w:sz w:val="20"/>
          <w:szCs w:val="20"/>
        </w:rPr>
        <w:t>172</w:t>
      </w:r>
      <w:r>
        <w:rPr>
          <w:sz w:val="20"/>
          <w:szCs w:val="20"/>
        </w:rPr>
        <w:t>, S</w:t>
      </w:r>
      <w:r w:rsidRPr="00656E67">
        <w:rPr>
          <w:sz w:val="20"/>
          <w:szCs w:val="20"/>
        </w:rPr>
        <w:t>ubpart C.</w:t>
      </w:r>
    </w:p>
    <w:p w14:paraId="740FDB9F" w14:textId="77777777" w:rsidR="00722CC2" w:rsidRDefault="00722CC2">
      <w:pPr>
        <w:spacing w:after="216"/>
        <w:ind w:firstLine="432"/>
        <w:rPr>
          <w:sz w:val="16"/>
          <w:szCs w:val="16"/>
        </w:rPr>
      </w:pPr>
    </w:p>
  </w:footnote>
  <w:footnote w:id="2">
    <w:p w14:paraId="1F695674" w14:textId="77777777" w:rsidR="00722CC2" w:rsidRDefault="00722CC2">
      <w:pPr>
        <w:pStyle w:val="FootnoteText"/>
      </w:pPr>
      <w:r w:rsidRPr="00070BCF">
        <w:rPr>
          <w:rStyle w:val="FootnoteReference"/>
          <w:vertAlign w:val="superscript"/>
        </w:rPr>
        <w:footnoteRef/>
      </w:r>
      <w:r>
        <w:t xml:space="preserve"> The final fee rule applies to RCRA Subtitle C TSDFs as well as non-Subtitle C facilities as specified. For purposes of organization and clarity, the requirements applicable to Subtitle C and non-Subtitle C facilities are addressed together in this section.</w:t>
      </w:r>
    </w:p>
  </w:footnote>
  <w:footnote w:id="3">
    <w:p w14:paraId="27266500" w14:textId="77777777" w:rsidR="00722CC2" w:rsidRDefault="00722CC2">
      <w:pPr>
        <w:pStyle w:val="FootnoteText"/>
      </w:pPr>
      <w:r w:rsidRPr="001F00D1">
        <w:rPr>
          <w:rStyle w:val="FootnoteReference"/>
          <w:vertAlign w:val="superscript"/>
        </w:rPr>
        <w:footnoteRef/>
      </w:r>
      <w:r w:rsidRPr="001F00D1">
        <w:rPr>
          <w:vertAlign w:val="superscript"/>
        </w:rPr>
        <w:t xml:space="preserve"> </w:t>
      </w:r>
      <w:r w:rsidRPr="00E76B2E">
        <w:t>Refer to the ICR, “Hazardous Waste Generator Standards” (EPA ICR Number 820, OMB Control 2050-0035), for procedures for addressing undeliverable export shipments under 40 CFR 262.83.</w:t>
      </w:r>
    </w:p>
  </w:footnote>
  <w:footnote w:id="4">
    <w:p w14:paraId="06FD8812" w14:textId="77777777" w:rsidR="00722CC2" w:rsidRDefault="00722CC2" w:rsidP="00CB1209">
      <w:pPr>
        <w:pStyle w:val="FootnoteText"/>
      </w:pPr>
      <w:r w:rsidRPr="00362661">
        <w:rPr>
          <w:rStyle w:val="FootnoteReference"/>
          <w:vertAlign w:val="superscript"/>
        </w:rPr>
        <w:footnoteRef/>
      </w:r>
      <w:r>
        <w:t xml:space="preserve"> </w:t>
      </w:r>
      <w:r w:rsidRPr="00946259">
        <w:t>Refer to the ICR, “Hazardous Waste Generator Standards” (EPA ICR Number 820, OMB Control 2050-0035), for exception reporting of exports under 40 CFR 262.83(h).</w:t>
      </w:r>
    </w:p>
    <w:p w14:paraId="4759D090" w14:textId="77777777" w:rsidR="00722CC2" w:rsidRDefault="00722CC2" w:rsidP="00CB1209">
      <w:pPr>
        <w:pStyle w:val="FootnoteText"/>
      </w:pPr>
    </w:p>
  </w:footnote>
  <w:footnote w:id="5">
    <w:p w14:paraId="5BA2FCBA" w14:textId="77777777" w:rsidR="00722CC2" w:rsidRDefault="00722CC2">
      <w:pPr>
        <w:pStyle w:val="FootnoteText"/>
      </w:pPr>
      <w:r w:rsidRPr="0060342C">
        <w:rPr>
          <w:rStyle w:val="FootnoteReference"/>
          <w:vertAlign w:val="superscript"/>
        </w:rPr>
        <w:footnoteRef/>
      </w:r>
      <w:r>
        <w:t xml:space="preserve"> The AES filing compliance date was December 31, 2017.</w:t>
      </w:r>
    </w:p>
  </w:footnote>
  <w:footnote w:id="6">
    <w:p w14:paraId="16C6524D" w14:textId="77777777" w:rsidR="00722CC2" w:rsidRDefault="00722CC2" w:rsidP="00BF3A17">
      <w:pPr>
        <w:pStyle w:val="FootnoteText"/>
      </w:pPr>
      <w:r w:rsidRPr="00070BCF">
        <w:rPr>
          <w:rStyle w:val="FootnoteReference"/>
          <w:vertAlign w:val="superscript"/>
        </w:rPr>
        <w:footnoteRef/>
      </w:r>
      <w:r>
        <w:t xml:space="preserve"> The final fee rule applies to RCRA Subtitle C TSDFs as well as non-Subtitle C facilities as specified. For purposes of organization and clarity, the requirements applicable to Subtitle C and non-Subtitle C facilities are addressed together in this section. </w:t>
      </w:r>
    </w:p>
  </w:footnote>
  <w:footnote w:id="7">
    <w:p w14:paraId="51500892" w14:textId="77777777" w:rsidR="00722CC2" w:rsidRDefault="00722CC2">
      <w:pPr>
        <w:pStyle w:val="FootnoteText"/>
      </w:pPr>
      <w:r w:rsidRPr="002D0015">
        <w:rPr>
          <w:rStyle w:val="FootnoteReference"/>
          <w:vertAlign w:val="superscript"/>
        </w:rPr>
        <w:footnoteRef/>
      </w:r>
      <w:r>
        <w:t xml:space="preserve"> Cross-Media Electronic Reporting Rule.</w:t>
      </w:r>
    </w:p>
  </w:footnote>
  <w:footnote w:id="8">
    <w:p w14:paraId="1B1D52C4" w14:textId="77777777" w:rsidR="00722CC2" w:rsidRDefault="00722CC2" w:rsidP="00400C37">
      <w:pPr>
        <w:pStyle w:val="FootnoteText"/>
      </w:pPr>
      <w:r w:rsidRPr="00443AB1">
        <w:rPr>
          <w:rStyle w:val="FootnoteReference"/>
          <w:vertAlign w:val="superscript"/>
        </w:rPr>
        <w:footnoteRef/>
      </w:r>
      <w:r>
        <w:t xml:space="preserve"> The e-Manifest system began operation on June 30, 2018. The e-Manifest is the repository of all paper and electronic manifests used for federal and state hazardous waste shipments. </w:t>
      </w:r>
    </w:p>
  </w:footnote>
  <w:footnote w:id="9">
    <w:p w14:paraId="4EFCE884" w14:textId="77777777" w:rsidR="00722CC2" w:rsidRDefault="00722CC2" w:rsidP="00400C37">
      <w:pPr>
        <w:pStyle w:val="FootnoteText"/>
      </w:pPr>
      <w:r w:rsidRPr="00DE57C8">
        <w:rPr>
          <w:rStyle w:val="FootnoteReference"/>
          <w:vertAlign w:val="superscript"/>
        </w:rPr>
        <w:footnoteRef/>
      </w:r>
      <w:r>
        <w:t xml:space="preserve"> The e-Manifest system does not specifically tally the number or percentage of handlers or manifests involved in the shipment of federal or state-only waste. In preparing this ICR, EPA analyzed a random sample of 50 manifests in the system and found that 68% involve federal and/or state waste and that 32% involve state waste exclusively. EPA applied these percentages to the total number of active handlers and manifests to categorize them as being subject to either the federal program or state-specific program.</w:t>
      </w:r>
    </w:p>
  </w:footnote>
  <w:footnote w:id="10">
    <w:p w14:paraId="5770FC73" w14:textId="77777777" w:rsidR="00722CC2" w:rsidRDefault="00722CC2" w:rsidP="00400C37">
      <w:pPr>
        <w:pStyle w:val="FootnoteText"/>
      </w:pPr>
      <w:r w:rsidRPr="009D2232">
        <w:rPr>
          <w:rStyle w:val="FootnoteReference"/>
          <w:vertAlign w:val="superscript"/>
        </w:rPr>
        <w:footnoteRef/>
      </w:r>
      <w:r>
        <w:t xml:space="preserve"> Refer to Table 5 for EPA’s estimate of the adoption rate for electronic manifesting.</w:t>
      </w:r>
    </w:p>
  </w:footnote>
  <w:footnote w:id="11">
    <w:p w14:paraId="2491A238" w14:textId="77777777" w:rsidR="00722CC2" w:rsidRDefault="00722CC2" w:rsidP="00400C37">
      <w:pPr>
        <w:pStyle w:val="FootnoteText"/>
      </w:pPr>
      <w:r w:rsidRPr="00972CB0">
        <w:rPr>
          <w:rStyle w:val="FootnoteReference"/>
          <w:vertAlign w:val="superscript"/>
        </w:rPr>
        <w:footnoteRef/>
      </w:r>
      <w:r>
        <w:t xml:space="preserve"> These percentages are based on a memorandum from Barnes Johnson of EPA, “e-Manifest User Fees FY 2020/FY2021,” dated July 22, 2019.</w:t>
      </w:r>
    </w:p>
  </w:footnote>
  <w:footnote w:id="12">
    <w:p w14:paraId="0208FB0A" w14:textId="77777777" w:rsidR="00722CC2" w:rsidRPr="00D663F0" w:rsidRDefault="00722CC2" w:rsidP="00400C37">
      <w:pPr>
        <w:pStyle w:val="FootnoteText"/>
      </w:pPr>
      <w:r w:rsidRPr="00D663F0">
        <w:rPr>
          <w:rStyle w:val="FootnoteReference"/>
          <w:vertAlign w:val="superscript"/>
        </w:rPr>
        <w:footnoteRef/>
      </w:r>
      <w:r w:rsidRPr="00D663F0">
        <w:rPr>
          <w:vertAlign w:val="superscript"/>
        </w:rPr>
        <w:t xml:space="preserve"> </w:t>
      </w:r>
      <w:r>
        <w:t xml:space="preserve">See Table 1 and accompanying text for further discussion on how this table sums up paper and electronic manifest totals. </w:t>
      </w:r>
      <w:r w:rsidRPr="00D663F0">
        <w:t xml:space="preserve">Although this ICR uses the 3-year averages in this table </w:t>
      </w:r>
      <w:r>
        <w:t xml:space="preserve">as the basis </w:t>
      </w:r>
      <w:r w:rsidRPr="00D663F0">
        <w:t>for calculating many of its burden estimates, EPA further refines</w:t>
      </w:r>
      <w:r>
        <w:t xml:space="preserve"> some of</w:t>
      </w:r>
      <w:r w:rsidRPr="00D663F0">
        <w:t xml:space="preserve"> them when analyzing specific requirements based on additional assumptions as appropriate</w:t>
      </w:r>
      <w:r>
        <w:t xml:space="preserve">. </w:t>
      </w:r>
      <w:r w:rsidRPr="00D663F0">
        <w:t>Refer to Section 6D of this document for additional information.</w:t>
      </w:r>
    </w:p>
  </w:footnote>
  <w:footnote w:id="13">
    <w:p w14:paraId="2D93670E" w14:textId="77777777" w:rsidR="00722CC2" w:rsidRPr="00D663F0" w:rsidRDefault="00722CC2" w:rsidP="00400C37">
      <w:pPr>
        <w:keepNext/>
        <w:keepLines/>
        <w:tabs>
          <w:tab w:val="left" w:pos="-1200"/>
        </w:tabs>
        <w:rPr>
          <w:sz w:val="20"/>
          <w:szCs w:val="20"/>
        </w:rPr>
      </w:pPr>
      <w:r w:rsidRPr="00D663F0">
        <w:rPr>
          <w:rStyle w:val="FootnoteReference"/>
          <w:sz w:val="20"/>
          <w:szCs w:val="20"/>
          <w:vertAlign w:val="superscript"/>
        </w:rPr>
        <w:footnoteRef/>
      </w:r>
      <w:r w:rsidRPr="00D663F0">
        <w:rPr>
          <w:sz w:val="20"/>
          <w:szCs w:val="20"/>
        </w:rPr>
        <w:t xml:space="preserve"> This includes form completion, transmittal to industry third parties, and recordkeeping performed by generators, </w:t>
      </w:r>
      <w:proofErr w:type="gramStart"/>
      <w:r w:rsidRPr="00D663F0">
        <w:rPr>
          <w:sz w:val="20"/>
          <w:szCs w:val="20"/>
        </w:rPr>
        <w:t>transporters</w:t>
      </w:r>
      <w:proofErr w:type="gramEnd"/>
      <w:r w:rsidRPr="00D663F0">
        <w:rPr>
          <w:sz w:val="20"/>
          <w:szCs w:val="20"/>
        </w:rPr>
        <w:t xml:space="preserve"> and TSDFs/receiving facilities.</w:t>
      </w:r>
    </w:p>
  </w:footnote>
  <w:footnote w:id="14">
    <w:p w14:paraId="0AE55550" w14:textId="77777777" w:rsidR="00722CC2" w:rsidRPr="00197E1E" w:rsidRDefault="00722CC2" w:rsidP="00400C37">
      <w:pPr>
        <w:pStyle w:val="FootnoteText"/>
      </w:pPr>
      <w:r w:rsidRPr="00EE3731">
        <w:rPr>
          <w:rStyle w:val="FootnoteReference"/>
          <w:vertAlign w:val="superscript"/>
        </w:rPr>
        <w:footnoteRef/>
      </w:r>
      <w:r w:rsidRPr="00EE3731">
        <w:t xml:space="preserve"> U.S. Bureau of Labor Statistics (BLS), Occupational Employment Statistics (OES), </w:t>
      </w:r>
      <w:r w:rsidRPr="00EE3731">
        <w:rPr>
          <w:i/>
        </w:rPr>
        <w:t>May 2019 National Occupational Employment and Wage Estimates United States</w:t>
      </w:r>
      <w:r w:rsidRPr="00EE3731">
        <w:t xml:space="preserve">. Available online at: </w:t>
      </w:r>
      <w:hyperlink r:id="rId1" w:history="1">
        <w:r w:rsidRPr="00EE3731">
          <w:rPr>
            <w:rStyle w:val="Hyperlink"/>
          </w:rPr>
          <w:t>https://www.bls.gov/oes/current/oes_nat.htm</w:t>
        </w:r>
      </w:hyperlink>
      <w:r w:rsidRPr="00EE3731">
        <w:t>. The May 2019 Occupational Employment Statistics data were released on March 31, 2020.</w:t>
      </w:r>
    </w:p>
  </w:footnote>
  <w:footnote w:id="15">
    <w:p w14:paraId="1B06A4A6" w14:textId="77777777" w:rsidR="00722CC2" w:rsidRPr="00197E1E" w:rsidRDefault="00722CC2" w:rsidP="00400C37">
      <w:pPr>
        <w:pStyle w:val="FootnoteText"/>
      </w:pPr>
      <w:r w:rsidRPr="00EE3731">
        <w:rPr>
          <w:rStyle w:val="FootnoteReference"/>
          <w:vertAlign w:val="superscript"/>
        </w:rPr>
        <w:footnoteRef/>
      </w:r>
      <w:r w:rsidRPr="00EE3731">
        <w:t xml:space="preserve"> For purposes of this analysis, the following occupational groups of the U.S. Bureau of Labor Statistics (BLS) were used:  Legal staff, SOC 23-1011, Lawyers; managerial staff, BLS SOC Code 11-1021, General and Operations Managers; technical staff, BLS SOC Code 19-4042, Environmental Science and Protection Technicians, including Health; and clerical staff, BLS SOC Code 43-6010, Secretaries and Administrative Assistants. </w:t>
      </w:r>
    </w:p>
  </w:footnote>
  <w:footnote w:id="16">
    <w:p w14:paraId="68E72BD3" w14:textId="77777777" w:rsidR="00722CC2" w:rsidRPr="00B62F4A" w:rsidRDefault="00722CC2" w:rsidP="00400C37">
      <w:pPr>
        <w:pStyle w:val="FootnoteText"/>
      </w:pPr>
      <w:r w:rsidRPr="00EE3731">
        <w:rPr>
          <w:rStyle w:val="FootnoteReference"/>
          <w:vertAlign w:val="superscript"/>
        </w:rPr>
        <w:footnoteRef/>
      </w:r>
      <w:r w:rsidRPr="00EE3731">
        <w:t xml:space="preserve"> Bureau of Labor Statistics, </w:t>
      </w:r>
      <w:r w:rsidRPr="00EE3731">
        <w:rPr>
          <w:i/>
        </w:rPr>
        <w:t>Economic News Release</w:t>
      </w:r>
      <w:r w:rsidRPr="00EE3731">
        <w:t xml:space="preserve">, “Table 2. Seasonally adjusted: Employment Cost Index for wages and salaries, by ownership, occupational group, and industry.” Available online at: </w:t>
      </w:r>
      <w:hyperlink r:id="rId2" w:history="1">
        <w:r w:rsidRPr="00EE3731">
          <w:rPr>
            <w:rStyle w:val="Hyperlink"/>
          </w:rPr>
          <w:t>https://www.bls.gov/news.release/eci.t02.htm</w:t>
        </w:r>
      </w:hyperlink>
      <w:r w:rsidRPr="00EE3731">
        <w:t>.</w:t>
      </w:r>
    </w:p>
  </w:footnote>
  <w:footnote w:id="17">
    <w:p w14:paraId="3B5AA187" w14:textId="77777777" w:rsidR="00722CC2" w:rsidRDefault="00722CC2" w:rsidP="00400C37">
      <w:pPr>
        <w:pStyle w:val="FootnoteText"/>
      </w:pPr>
      <w:r w:rsidRPr="001B5442">
        <w:rPr>
          <w:rStyle w:val="FootnoteReference"/>
          <w:vertAlign w:val="superscript"/>
        </w:rPr>
        <w:footnoteRef/>
      </w:r>
      <w:r w:rsidRPr="001B5442">
        <w:rPr>
          <w:vertAlign w:val="superscript"/>
        </w:rPr>
        <w:t xml:space="preserve"> </w:t>
      </w:r>
      <w:r w:rsidRPr="00841233">
        <w:t xml:space="preserve">This ICR does not burden </w:t>
      </w:r>
      <w:r>
        <w:t>generators</w:t>
      </w:r>
      <w:r w:rsidRPr="00841233">
        <w:t xml:space="preserve"> manifesting state hazardous waste (paper or electronic) for reading the regulations</w:t>
      </w:r>
      <w:r>
        <w:t xml:space="preserve">. </w:t>
      </w:r>
      <w:r w:rsidRPr="00841233">
        <w:t xml:space="preserve">Such </w:t>
      </w:r>
      <w:r>
        <w:t>generators</w:t>
      </w:r>
      <w:r w:rsidRPr="00841233">
        <w:t xml:space="preserve"> perform this activity because of state-specific, broade</w:t>
      </w:r>
      <w:r>
        <w:t>r-in-scope program requirements in the absence of federal requirements to do so.</w:t>
      </w:r>
    </w:p>
  </w:footnote>
  <w:footnote w:id="18">
    <w:p w14:paraId="1EF3897E" w14:textId="77777777" w:rsidR="00722CC2" w:rsidRDefault="00722CC2" w:rsidP="00400C37">
      <w:pPr>
        <w:pStyle w:val="FootnoteText"/>
      </w:pPr>
      <w:r w:rsidRPr="00757009">
        <w:rPr>
          <w:rStyle w:val="FootnoteReference"/>
          <w:vertAlign w:val="superscript"/>
        </w:rPr>
        <w:footnoteRef/>
      </w:r>
      <w:r>
        <w:t xml:space="preserve"> </w:t>
      </w:r>
      <w:r w:rsidRPr="00013722">
        <w:t>Before using the e-Manifest system, users must establish a</w:t>
      </w:r>
      <w:r>
        <w:t>n</w:t>
      </w:r>
      <w:r w:rsidRPr="00013722">
        <w:t xml:space="preserve"> account</w:t>
      </w:r>
      <w:r>
        <w:t xml:space="preserve"> </w:t>
      </w:r>
      <w:r w:rsidRPr="00013722">
        <w:t xml:space="preserve">and comply with 40 CFR Part 3 requirements (e.g., for </w:t>
      </w:r>
      <w:r>
        <w:t xml:space="preserve">obtaining </w:t>
      </w:r>
      <w:r w:rsidRPr="00013722">
        <w:t>electronic signatures), as applicable</w:t>
      </w:r>
      <w:r>
        <w:t xml:space="preserve">. It is assumed that all generators (federal and state) preparing electronic manifests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r w:rsidRPr="00D434AB">
        <w:t xml:space="preserve"> </w:t>
      </w:r>
      <w:r>
        <w:t xml:space="preserve">In addition, a system user </w:t>
      </w:r>
      <w:r w:rsidRPr="00013722">
        <w:t>must obtain an EPA identification (ID) number if it does not have one already</w:t>
      </w:r>
      <w:r>
        <w:t xml:space="preserve">. </w:t>
      </w:r>
      <w:r w:rsidRPr="00013722">
        <w:t>Although waste handlers under the federal program already have an ID, some handlers of state hazardous waste may not</w:t>
      </w:r>
      <w:r>
        <w:t xml:space="preserve">. Refer to the </w:t>
      </w:r>
      <w:r w:rsidRPr="00013722">
        <w:t xml:space="preserve">ICR, “Hazardous Waste Report, Notification of Regulated Waste Activity, and Part </w:t>
      </w:r>
      <w:proofErr w:type="gramStart"/>
      <w:r w:rsidRPr="00013722">
        <w:t>A</w:t>
      </w:r>
      <w:proofErr w:type="gramEnd"/>
      <w:r w:rsidRPr="00013722">
        <w:t xml:space="preserve"> Hazardous Waste Permit Application and Modification,” (EPA </w:t>
      </w:r>
      <w:proofErr w:type="spellStart"/>
      <w:r w:rsidRPr="00013722">
        <w:t>EPA</w:t>
      </w:r>
      <w:proofErr w:type="spellEnd"/>
      <w:r w:rsidRPr="00013722">
        <w:t xml:space="preserve"> ICR No. 0976, OMB Control No. 2050-0024) </w:t>
      </w:r>
      <w:r>
        <w:t xml:space="preserve">for </w:t>
      </w:r>
      <w:r w:rsidRPr="00013722">
        <w:t>these handlers to submit a Site Identification Form requesting an EPA ID number.</w:t>
      </w:r>
    </w:p>
  </w:footnote>
  <w:footnote w:id="19">
    <w:p w14:paraId="7FEE6B41" w14:textId="77777777" w:rsidR="00722CC2" w:rsidRDefault="00722CC2" w:rsidP="00400C37">
      <w:pPr>
        <w:pStyle w:val="FootnoteText"/>
      </w:pPr>
      <w:r w:rsidRPr="004E62D4">
        <w:rPr>
          <w:rStyle w:val="FootnoteReference"/>
          <w:vertAlign w:val="superscript"/>
        </w:rPr>
        <w:footnoteRef/>
      </w:r>
      <w:r>
        <w:t xml:space="preserve"> This ICR assumes that all generators signing the electronic manifest with a digitized electronic signature will be presented with an Electronic Signature Agreement (ESA) in the digitizer pad</w:t>
      </w:r>
      <w:r w:rsidRPr="00612AEF">
        <w:t xml:space="preserve"> </w:t>
      </w:r>
      <w:r>
        <w:t>the first time they sign it. They will sign the ESA once and it will be uploaded to the national system. They also must sign the generator signature block on that manifest and all subsequent manifests.</w:t>
      </w:r>
    </w:p>
  </w:footnote>
  <w:footnote w:id="20">
    <w:p w14:paraId="78959D90" w14:textId="77777777" w:rsidR="00722CC2" w:rsidRDefault="00722CC2" w:rsidP="00400C37">
      <w:pPr>
        <w:pStyle w:val="FootnoteText"/>
      </w:pPr>
      <w:r w:rsidRPr="001B5442">
        <w:rPr>
          <w:rStyle w:val="FootnoteReference"/>
          <w:vertAlign w:val="superscript"/>
        </w:rPr>
        <w:footnoteRef/>
      </w:r>
      <w:r w:rsidRPr="001B5442">
        <w:rPr>
          <w:vertAlign w:val="superscript"/>
        </w:rPr>
        <w:t xml:space="preserve"> </w:t>
      </w:r>
      <w:r w:rsidRPr="00841233">
        <w:t xml:space="preserve">This ICR does not burden </w:t>
      </w:r>
      <w:r>
        <w:t>transporters</w:t>
      </w:r>
      <w:r w:rsidRPr="00841233">
        <w:t xml:space="preserve"> manifesting state hazardous waste (paper or electronic) for reading the regulations</w:t>
      </w:r>
      <w:r>
        <w:t xml:space="preserve">. </w:t>
      </w:r>
      <w:r w:rsidRPr="00841233">
        <w:t xml:space="preserve">Such </w:t>
      </w:r>
      <w:r>
        <w:t>transporters</w:t>
      </w:r>
      <w:r w:rsidRPr="00841233">
        <w:t xml:space="preserve"> perform this activity because of state-specific, broade</w:t>
      </w:r>
      <w:r>
        <w:t>r-in-scope program requirements in the absence of federal requirements to do so.</w:t>
      </w:r>
    </w:p>
  </w:footnote>
  <w:footnote w:id="21">
    <w:p w14:paraId="1ECA8E62" w14:textId="77777777" w:rsidR="00722CC2" w:rsidRDefault="00722CC2" w:rsidP="00400C37">
      <w:pPr>
        <w:pStyle w:val="FootnoteText"/>
      </w:pPr>
      <w:r w:rsidRPr="00893C0C">
        <w:rPr>
          <w:rStyle w:val="FootnoteReference"/>
          <w:vertAlign w:val="superscript"/>
        </w:rPr>
        <w:footnoteRef/>
      </w:r>
      <w:r w:rsidRPr="00893C0C">
        <w:rPr>
          <w:vertAlign w:val="superscript"/>
        </w:rPr>
        <w:t xml:space="preserve"> </w:t>
      </w:r>
      <w:r w:rsidRPr="00013722">
        <w:t>Before using the e-Manifest system, users must establish a</w:t>
      </w:r>
      <w:r>
        <w:t>n</w:t>
      </w:r>
      <w:r w:rsidRPr="00013722">
        <w:t xml:space="preserve"> account and comply with 40 CFR Part 3 requirements (e.g., for electronic signatures), as applicable</w:t>
      </w:r>
      <w:r>
        <w:t xml:space="preserve">. It is assumed that all transporters (federal and state) carrying paper or electronic manifests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r w:rsidRPr="00D434AB">
        <w:t xml:space="preserve"> </w:t>
      </w:r>
      <w:r>
        <w:t xml:space="preserve">In addition, a system user </w:t>
      </w:r>
      <w:r w:rsidRPr="00013722">
        <w:t>must obtain an EPA identification (ID) number if it does not have one already</w:t>
      </w:r>
      <w:r>
        <w:t xml:space="preserve">. </w:t>
      </w:r>
      <w:r w:rsidRPr="00013722">
        <w:t>Although waste handlers under the federal program already have an ID, some handlers of state hazardous waste may not</w:t>
      </w:r>
      <w:r>
        <w:t xml:space="preserve">. Refer to the </w:t>
      </w:r>
      <w:r w:rsidRPr="00013722">
        <w:t xml:space="preserve">ICR, “Hazardous Waste Report, Notification of Regulated Waste Activity, and Part </w:t>
      </w:r>
      <w:proofErr w:type="gramStart"/>
      <w:r w:rsidRPr="00013722">
        <w:t>A</w:t>
      </w:r>
      <w:proofErr w:type="gramEnd"/>
      <w:r w:rsidRPr="00013722">
        <w:t xml:space="preserve"> Hazardous Waste Permit Application and Modification,” (EPA </w:t>
      </w:r>
      <w:proofErr w:type="spellStart"/>
      <w:r w:rsidRPr="00013722">
        <w:t>EPA</w:t>
      </w:r>
      <w:proofErr w:type="spellEnd"/>
      <w:r w:rsidRPr="00013722">
        <w:t xml:space="preserve"> ICR No. 0976, OMB Control No. 2050-0024) </w:t>
      </w:r>
      <w:r>
        <w:t xml:space="preserve">for </w:t>
      </w:r>
      <w:r w:rsidRPr="00013722">
        <w:t>these handlers to submit a Site Identification Form requesting an EPA ID number.</w:t>
      </w:r>
    </w:p>
  </w:footnote>
  <w:footnote w:id="22">
    <w:p w14:paraId="5BC4FCD3" w14:textId="77777777" w:rsidR="00722CC2" w:rsidRDefault="00722CC2" w:rsidP="00400C37">
      <w:pPr>
        <w:pStyle w:val="FootnoteText"/>
      </w:pPr>
      <w:r w:rsidRPr="004E62D4">
        <w:rPr>
          <w:rStyle w:val="FootnoteReference"/>
          <w:vertAlign w:val="superscript"/>
        </w:rPr>
        <w:footnoteRef/>
      </w:r>
      <w:r>
        <w:t xml:space="preserve"> This ICR assumes that all transporters signing the electronic manifest with a digitized electronic signature will be presented with an Electronic Signature Agreement (ESA) in the digitizer pad</w:t>
      </w:r>
      <w:r w:rsidRPr="00415EA9">
        <w:t xml:space="preserve"> </w:t>
      </w:r>
      <w:r>
        <w:t>the first time they sign it. They will sign the ESA once and it will be uploaded to the national system. They also must sign the transporter signature block on that manifest and all subsequent manifests.</w:t>
      </w:r>
    </w:p>
  </w:footnote>
  <w:footnote w:id="23">
    <w:p w14:paraId="2F23FF79" w14:textId="77777777" w:rsidR="00722CC2" w:rsidRDefault="00722CC2" w:rsidP="00400C37">
      <w:pPr>
        <w:pStyle w:val="FootnoteText"/>
      </w:pPr>
      <w:r w:rsidRPr="00F66F68">
        <w:rPr>
          <w:rStyle w:val="FootnoteReference"/>
          <w:vertAlign w:val="superscript"/>
        </w:rPr>
        <w:footnoteRef/>
      </w:r>
      <w:r>
        <w:t xml:space="preserve"> All corrections must be made in the e-Manifest system. </w:t>
      </w:r>
      <w:r w:rsidRPr="00013722">
        <w:t>Before</w:t>
      </w:r>
      <w:r>
        <w:t xml:space="preserve"> entering a correction</w:t>
      </w:r>
      <w:r w:rsidRPr="00013722">
        <w:t xml:space="preserve">, users must establish a </w:t>
      </w:r>
      <w:r>
        <w:t xml:space="preserve">system </w:t>
      </w:r>
      <w:r w:rsidRPr="00013722">
        <w:t>account and comply with 40 CFR Part 3 requirements (e.g., for electronic signatures), as applicable</w:t>
      </w:r>
      <w:r>
        <w:t xml:space="preserve">. </w:t>
      </w:r>
      <w:r w:rsidRPr="00013722">
        <w:t>The ICR, “Cross-Media Electronic Reporting Rule,” (EPA ICR No. 2002, OMB Control No. 2025-0003), address</w:t>
      </w:r>
      <w:r>
        <w:t>es</w:t>
      </w:r>
      <w:r w:rsidRPr="00013722">
        <w:t xml:space="preserve"> these activities and </w:t>
      </w:r>
      <w:r>
        <w:t>requirements for all transporters</w:t>
      </w:r>
      <w:r w:rsidRPr="00013722">
        <w:t xml:space="preserve"> in this </w:t>
      </w:r>
      <w:r>
        <w:t>ICR.</w:t>
      </w:r>
    </w:p>
  </w:footnote>
  <w:footnote w:id="24">
    <w:p w14:paraId="130C901D" w14:textId="77777777" w:rsidR="00722CC2" w:rsidRDefault="00722CC2" w:rsidP="00400C37">
      <w:pPr>
        <w:pStyle w:val="FootnoteText"/>
      </w:pPr>
      <w:r w:rsidRPr="0004782D">
        <w:rPr>
          <w:rStyle w:val="FootnoteReference"/>
          <w:vertAlign w:val="superscript"/>
        </w:rPr>
        <w:footnoteRef/>
      </w:r>
      <w:r>
        <w:t xml:space="preserve"> The final fee rule establishes provisions applicable to RCRA Subtitle C TSDFs as well as non-Subtitle C facilities as specified. For purposes of organization and clarity, the burden to Subtitle C and non-Subtitle C facilities is estimated together in this section. </w:t>
      </w:r>
    </w:p>
  </w:footnote>
  <w:footnote w:id="25">
    <w:p w14:paraId="64016321" w14:textId="77777777" w:rsidR="00722CC2" w:rsidRDefault="00722CC2" w:rsidP="00400C37">
      <w:pPr>
        <w:pStyle w:val="FootnoteText"/>
      </w:pPr>
      <w:r w:rsidRPr="00AD7AED">
        <w:rPr>
          <w:rStyle w:val="FootnoteReference"/>
          <w:vertAlign w:val="superscript"/>
        </w:rPr>
        <w:footnoteRef/>
      </w:r>
      <w:r>
        <w:t xml:space="preserve"> </w:t>
      </w:r>
      <w:r w:rsidRPr="003155AF">
        <w:t>This ICR does not burden receiving facilities manifesting state hazardous waste (paper or electronic) for reading the regulations</w:t>
      </w:r>
      <w:r>
        <w:t xml:space="preserve">. </w:t>
      </w:r>
      <w:r w:rsidRPr="003155AF">
        <w:t>Such facilities perform this activity because of state-specific, broader-in-scope program requirements</w:t>
      </w:r>
      <w:r>
        <w:t xml:space="preserve"> in the absence of federal requirements to do so</w:t>
      </w:r>
      <w:r w:rsidRPr="003155AF">
        <w:t>.</w:t>
      </w:r>
    </w:p>
  </w:footnote>
  <w:footnote w:id="26">
    <w:p w14:paraId="2444C47A" w14:textId="77777777" w:rsidR="00722CC2" w:rsidRDefault="00722CC2" w:rsidP="00400C37">
      <w:pPr>
        <w:pStyle w:val="FootnoteText"/>
      </w:pPr>
      <w:r w:rsidRPr="00893C0C">
        <w:rPr>
          <w:rStyle w:val="FootnoteReference"/>
          <w:vertAlign w:val="superscript"/>
        </w:rPr>
        <w:footnoteRef/>
      </w:r>
      <w:r>
        <w:t xml:space="preserve"> </w:t>
      </w:r>
      <w:r w:rsidRPr="00013722">
        <w:t xml:space="preserve">Before using the e-Manifest system, users must </w:t>
      </w:r>
      <w:r>
        <w:t xml:space="preserve">establish an </w:t>
      </w:r>
      <w:r w:rsidRPr="00013722">
        <w:t>account and comply with 40 CFR Part 3 requirements (e.g., for</w:t>
      </w:r>
      <w:r>
        <w:t xml:space="preserve"> obtaining</w:t>
      </w:r>
      <w:r w:rsidRPr="00013722">
        <w:t xml:space="preserve"> electronic signatures), as applicable</w:t>
      </w:r>
      <w:r>
        <w:t xml:space="preserve">. It is assumed that all facilities (federal and state)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r w:rsidRPr="00D434AB">
        <w:t xml:space="preserve"> </w:t>
      </w:r>
      <w:r>
        <w:t xml:space="preserve">In addition, a system user </w:t>
      </w:r>
      <w:r w:rsidRPr="00013722">
        <w:t>must obtain an EPA identification (ID) number if it does not have one already</w:t>
      </w:r>
      <w:r>
        <w:t xml:space="preserve">. </w:t>
      </w:r>
      <w:r w:rsidRPr="00013722">
        <w:t>Although waste handlers under the federal program already have an ID, some handlers of state hazardous waste may not</w:t>
      </w:r>
      <w:r>
        <w:t xml:space="preserve">. Refer to the </w:t>
      </w:r>
      <w:r w:rsidRPr="00013722">
        <w:t xml:space="preserve">ICR, “Hazardous Waste Report, Notification of Regulated Waste Activity, and Part </w:t>
      </w:r>
      <w:proofErr w:type="gramStart"/>
      <w:r w:rsidRPr="00013722">
        <w:t>A</w:t>
      </w:r>
      <w:proofErr w:type="gramEnd"/>
      <w:r w:rsidRPr="00013722">
        <w:t xml:space="preserve"> Hazardous Waste Permit Application and Modification,” (EPA </w:t>
      </w:r>
      <w:proofErr w:type="spellStart"/>
      <w:r w:rsidRPr="00013722">
        <w:t>EPA</w:t>
      </w:r>
      <w:proofErr w:type="spellEnd"/>
      <w:r w:rsidRPr="00013722">
        <w:t xml:space="preserve"> ICR No. 0976, OMB Control No. 2050-0024) </w:t>
      </w:r>
      <w:r>
        <w:t xml:space="preserve">for </w:t>
      </w:r>
      <w:r w:rsidRPr="00013722">
        <w:t>these handlers to submit a Site Identification F</w:t>
      </w:r>
      <w:r>
        <w:t>orm requesting an EPA ID number.</w:t>
      </w:r>
    </w:p>
  </w:footnote>
  <w:footnote w:id="27">
    <w:p w14:paraId="7D324DD7" w14:textId="77777777" w:rsidR="00722CC2" w:rsidRDefault="00722CC2" w:rsidP="00400C37">
      <w:pPr>
        <w:pStyle w:val="FootnoteText"/>
      </w:pPr>
      <w:r w:rsidRPr="004E62D4">
        <w:rPr>
          <w:rStyle w:val="FootnoteReference"/>
          <w:vertAlign w:val="superscript"/>
        </w:rPr>
        <w:footnoteRef/>
      </w:r>
      <w:r>
        <w:t xml:space="preserve"> This ICR assumes that all facilities signing the electronic manifest with a digitized electronic signature will be presented with an Electronic Signature Agreement (ESA) in the digitizer pad the first time they sign it. They will sign the ESA once and it will be uploaded to the national system. They also must sign the facility signature block on that manifest and all subsequent manifests.</w:t>
      </w:r>
    </w:p>
  </w:footnote>
  <w:footnote w:id="28">
    <w:p w14:paraId="0DE122ED" w14:textId="77777777" w:rsidR="00722CC2" w:rsidRPr="00E376A6" w:rsidRDefault="00722CC2" w:rsidP="00400C37">
      <w:pPr>
        <w:tabs>
          <w:tab w:val="left" w:pos="-1200"/>
        </w:tabs>
        <w:rPr>
          <w:sz w:val="20"/>
          <w:szCs w:val="20"/>
        </w:rPr>
      </w:pPr>
      <w:r w:rsidRPr="007D2F95">
        <w:rPr>
          <w:rStyle w:val="FootnoteReference"/>
          <w:sz w:val="20"/>
          <w:szCs w:val="20"/>
          <w:vertAlign w:val="superscript"/>
        </w:rPr>
        <w:footnoteRef/>
      </w:r>
      <w:r>
        <w:t xml:space="preserve"> </w:t>
      </w:r>
      <w:r w:rsidRPr="00E376A6">
        <w:rPr>
          <w:sz w:val="20"/>
          <w:szCs w:val="20"/>
        </w:rPr>
        <w:t>For example, the manifest requirements may not be fully clear for waste shipments that originate in a state with more extensive or broader</w:t>
      </w:r>
      <w:r>
        <w:rPr>
          <w:sz w:val="20"/>
          <w:szCs w:val="20"/>
        </w:rPr>
        <w:t>-</w:t>
      </w:r>
      <w:r w:rsidRPr="00E376A6">
        <w:rPr>
          <w:sz w:val="20"/>
          <w:szCs w:val="20"/>
        </w:rPr>
        <w:t>in</w:t>
      </w:r>
      <w:r>
        <w:rPr>
          <w:sz w:val="20"/>
          <w:szCs w:val="20"/>
        </w:rPr>
        <w:t>-</w:t>
      </w:r>
      <w:r w:rsidRPr="00E376A6">
        <w:rPr>
          <w:sz w:val="20"/>
          <w:szCs w:val="20"/>
        </w:rPr>
        <w:t xml:space="preserve">scope coverage and that are then shipped out-of-state to a </w:t>
      </w:r>
      <w:r>
        <w:rPr>
          <w:sz w:val="20"/>
          <w:szCs w:val="20"/>
        </w:rPr>
        <w:t>receiving</w:t>
      </w:r>
      <w:r w:rsidRPr="00E376A6">
        <w:rPr>
          <w:sz w:val="20"/>
          <w:szCs w:val="20"/>
        </w:rPr>
        <w:t xml:space="preserve"> facility in a state where the waste is not regulated as hazardous and does not require a manifest under the law of the destination state.</w:t>
      </w:r>
    </w:p>
  </w:footnote>
  <w:footnote w:id="29">
    <w:p w14:paraId="11058E48" w14:textId="77777777" w:rsidR="00722CC2" w:rsidRPr="0046413A" w:rsidRDefault="00722CC2" w:rsidP="00400C37">
      <w:pPr>
        <w:pStyle w:val="FootnoteText"/>
      </w:pPr>
      <w:r w:rsidRPr="0046413A">
        <w:rPr>
          <w:rStyle w:val="FootnoteReference"/>
          <w:vertAlign w:val="superscript"/>
        </w:rPr>
        <w:footnoteRef/>
      </w:r>
      <w:r w:rsidRPr="0046413A">
        <w:rPr>
          <w:vertAlign w:val="superscript"/>
        </w:rPr>
        <w:t xml:space="preserve"> </w:t>
      </w:r>
      <w:r>
        <w:t xml:space="preserve">In July 2017, EPA spoke with a representative of the New York State Department of Environmental Conservation’s manifest processing department. The state program collects, reviews, </w:t>
      </w:r>
      <w:proofErr w:type="gramStart"/>
      <w:r>
        <w:t>corrects</w:t>
      </w:r>
      <w:proofErr w:type="gramEnd"/>
      <w:r>
        <w:t xml:space="preserve"> and enters manifest data into its data system. He believes that there are clear incentives for generators to make efforts to ensure that receiving facilities complete and return the manifest in such interstate shipment scenarios. </w:t>
      </w:r>
      <w:proofErr w:type="gramStart"/>
      <w:r>
        <w:t>In particular, if</w:t>
      </w:r>
      <w:proofErr w:type="gramEnd"/>
      <w:r>
        <w:t xml:space="preserve"> the generator’s state requires the manifesting of state waste, it can be assumed that the generator is bound by the state’s regulations to retain the facility’s signed copy. Therefore, one can generally expect generators to persuade unresponsive receiving facilities to complete and return them. Because of this, he estimated that facilities are, or should be, completing and returning </w:t>
      </w:r>
      <w:proofErr w:type="gramStart"/>
      <w:r>
        <w:t>the majority of</w:t>
      </w:r>
      <w:proofErr w:type="gramEnd"/>
      <w:r>
        <w:t xml:space="preserve"> manifests even in the absence of the fee rule’s provisions. EPA agrees with his input and notes that interstate shipments represent only a portion of all shipments of state hazardous waste. Some shipments begin and end in the same state or travel between two states that regulate the same state-specific waste, obviating inter-state difficulties. Because of these observations, EPA believes 25% is a reasonable estimate of the percentage of manifests accompanying state waste that are not completed under state law by receiving facilities but that must be completed under the final rule.</w:t>
      </w:r>
    </w:p>
  </w:footnote>
  <w:footnote w:id="30">
    <w:p w14:paraId="1D300BC4" w14:textId="77777777" w:rsidR="00722CC2" w:rsidRDefault="00722CC2" w:rsidP="00400C37">
      <w:pPr>
        <w:pStyle w:val="FootnoteText"/>
      </w:pPr>
      <w:r w:rsidRPr="00167203">
        <w:rPr>
          <w:rStyle w:val="FootnoteReference"/>
          <w:vertAlign w:val="superscript"/>
        </w:rPr>
        <w:footnoteRef/>
      </w:r>
      <w:r w:rsidRPr="00167203">
        <w:rPr>
          <w:vertAlign w:val="superscript"/>
        </w:rPr>
        <w:t xml:space="preserve"> </w:t>
      </w:r>
      <w:r>
        <w:t xml:space="preserve">Receiving facilities are required to submit manifest copies to EPA under various regulations of 40 CFR. All facility burdens for copy submission are captured in these paragraphs and reflected in Exhibit 17, except if otherwise specified.  </w:t>
      </w:r>
    </w:p>
  </w:footnote>
  <w:footnote w:id="31">
    <w:p w14:paraId="57402D1A" w14:textId="77777777" w:rsidR="00722CC2" w:rsidRDefault="00722CC2" w:rsidP="00400C37">
      <w:pPr>
        <w:pStyle w:val="FootnoteText"/>
      </w:pPr>
      <w:r w:rsidRPr="00F66F68">
        <w:rPr>
          <w:rStyle w:val="FootnoteReference"/>
          <w:vertAlign w:val="superscript"/>
        </w:rPr>
        <w:footnoteRef/>
      </w:r>
      <w:r>
        <w:t xml:space="preserve"> All corrections must be made in the e-Manifest system. </w:t>
      </w:r>
      <w:r w:rsidRPr="00013722">
        <w:t>Before</w:t>
      </w:r>
      <w:r>
        <w:t xml:space="preserve"> entering a correction</w:t>
      </w:r>
      <w:r w:rsidRPr="00013722">
        <w:t xml:space="preserve">, users must establish a </w:t>
      </w:r>
      <w:r>
        <w:t xml:space="preserve">system </w:t>
      </w:r>
      <w:r w:rsidRPr="00013722">
        <w:t>account and comply with 40 CFR Part 3 requirements (e.g., for electronic signatures), as applicable</w:t>
      </w:r>
      <w:r>
        <w:t xml:space="preserve">. It is assumed that all receiving facilities will perform these activities and have system access. </w:t>
      </w:r>
      <w:r w:rsidRPr="00013722">
        <w:t>The ICR, “Cross-Media Electronic Reporting Rule,” (EPA ICR No. 2002, OMB Control No. 2025-0003), address</w:t>
      </w:r>
      <w:r>
        <w:t>es</w:t>
      </w:r>
      <w:r w:rsidRPr="00013722">
        <w:t xml:space="preserve"> these activities and </w:t>
      </w:r>
      <w:r>
        <w:t>requirements for all receiving facilities.</w:t>
      </w:r>
    </w:p>
  </w:footnote>
  <w:footnote w:id="32">
    <w:p w14:paraId="540F228C" w14:textId="77777777" w:rsidR="00722CC2" w:rsidRPr="00204385" w:rsidRDefault="00722CC2" w:rsidP="00400C37">
      <w:pPr>
        <w:pStyle w:val="FootnoteText"/>
      </w:pPr>
      <w:r w:rsidRPr="00204385">
        <w:rPr>
          <w:rStyle w:val="FootnoteReference"/>
          <w:vertAlign w:val="superscript"/>
        </w:rPr>
        <w:footnoteRef/>
      </w:r>
      <w:r w:rsidRPr="00204385">
        <w:t xml:space="preserve"> These corrections are in addition to discrepancies that </w:t>
      </w:r>
      <w:r>
        <w:t>facilities</w:t>
      </w:r>
      <w:r w:rsidRPr="00204385">
        <w:t xml:space="preserve"> must address under 40 CFR 264.72 or 265.72 procedures</w:t>
      </w:r>
      <w:r>
        <w:t xml:space="preserve">. </w:t>
      </w:r>
    </w:p>
  </w:footnote>
  <w:footnote w:id="33">
    <w:p w14:paraId="63AD4879" w14:textId="77777777" w:rsidR="00722CC2" w:rsidRPr="00D96887" w:rsidRDefault="00722CC2" w:rsidP="00400C37">
      <w:pPr>
        <w:tabs>
          <w:tab w:val="left" w:pos="-1200"/>
        </w:tabs>
        <w:rPr>
          <w:sz w:val="20"/>
          <w:szCs w:val="20"/>
        </w:rPr>
      </w:pPr>
      <w:r w:rsidRPr="00E2084A">
        <w:rPr>
          <w:rStyle w:val="FootnoteReference"/>
          <w:sz w:val="20"/>
          <w:szCs w:val="20"/>
          <w:vertAlign w:val="superscript"/>
        </w:rPr>
        <w:footnoteRef/>
      </w:r>
      <w:r w:rsidRPr="00E2084A">
        <w:rPr>
          <w:sz w:val="20"/>
          <w:szCs w:val="20"/>
        </w:rPr>
        <w:t xml:space="preserve"> These are the current user fees.</w:t>
      </w:r>
      <w:r>
        <w:rPr>
          <w:sz w:val="20"/>
          <w:szCs w:val="20"/>
        </w:rPr>
        <w:t xml:space="preserve"> </w:t>
      </w:r>
    </w:p>
  </w:footnote>
  <w:footnote w:id="34">
    <w:p w14:paraId="09C22E37" w14:textId="77777777" w:rsidR="00722CC2" w:rsidRDefault="00722CC2" w:rsidP="00400C37">
      <w:pPr>
        <w:pStyle w:val="FootnoteText"/>
      </w:pPr>
      <w:r w:rsidRPr="007E1AEE">
        <w:rPr>
          <w:rStyle w:val="FootnoteReference"/>
          <w:vertAlign w:val="superscript"/>
        </w:rPr>
        <w:footnoteRef/>
      </w:r>
      <w:r>
        <w:t xml:space="preserve"> These fees are considered O&amp;M costs for purposes of presentation in Exhibit 21.</w:t>
      </w:r>
    </w:p>
  </w:footnote>
  <w:footnote w:id="35">
    <w:p w14:paraId="737CD8A7" w14:textId="77777777" w:rsidR="00722CC2" w:rsidRPr="005F7777" w:rsidRDefault="00722CC2" w:rsidP="00166F76">
      <w:pPr>
        <w:pStyle w:val="FootnoteText"/>
      </w:pPr>
      <w:r w:rsidRPr="005F7777">
        <w:rPr>
          <w:rStyle w:val="FootnoteReference"/>
          <w:vertAlign w:val="superscript"/>
        </w:rPr>
        <w:footnoteRef/>
      </w:r>
      <w:r w:rsidRPr="005F7777">
        <w:rPr>
          <w:vertAlign w:val="superscript"/>
        </w:rPr>
        <w:t xml:space="preserve"> </w:t>
      </w:r>
      <w:r>
        <w:t xml:space="preserve">The Regulatory Impact Analysis titled, “EPA’s 2017 Final Rule - Establishing User Fees for the RCRA Electronic Hazardous Waste Manifest System (e-Manifest),” dated June 2017, </w:t>
      </w:r>
      <w:r w:rsidRPr="005F7777">
        <w:t xml:space="preserve">states that, under certain specifications of the e-Manifest system, industry entities may need to invest in internal system upgrades or hardware </w:t>
      </w:r>
      <w:proofErr w:type="gramStart"/>
      <w:r w:rsidRPr="005F7777">
        <w:t>in order to</w:t>
      </w:r>
      <w:proofErr w:type="gramEnd"/>
      <w:r w:rsidRPr="005F7777">
        <w:t xml:space="preserve"> use the e-Manifest system. These types of upgrades may range from programming to align existing proprietary systems with the e-Manifest system to a requirement to purchase smartphones or tablets </w:t>
      </w:r>
      <w:proofErr w:type="gramStart"/>
      <w:r w:rsidRPr="005F7777">
        <w:t>in order to</w:t>
      </w:r>
      <w:proofErr w:type="gramEnd"/>
      <w:r w:rsidRPr="005F7777">
        <w:t xml:space="preserve"> use the e-Manifest system at the point of waste transfer, or while the waste is in transit</w:t>
      </w:r>
      <w:r>
        <w:t xml:space="preserve">. </w:t>
      </w:r>
      <w:r w:rsidRPr="005F7777">
        <w:t>The RIA assumes that the e-Manifest system implemented under the rule will not require any such investment in either hardware or software by firms or facilities in the hazardous waste industry</w:t>
      </w:r>
      <w:r>
        <w:t xml:space="preserve">. </w:t>
      </w:r>
      <w:r w:rsidRPr="005F7777">
        <w:t>See Section 5.4.3 of the RIA for additional information.</w:t>
      </w:r>
    </w:p>
  </w:footnote>
  <w:footnote w:id="36">
    <w:p w14:paraId="1790743C" w14:textId="77777777" w:rsidR="00722CC2" w:rsidRPr="00B62F4A" w:rsidRDefault="00722CC2" w:rsidP="00166F76">
      <w:pPr>
        <w:pStyle w:val="FootnoteText"/>
      </w:pPr>
      <w:r w:rsidRPr="00B62F4A">
        <w:rPr>
          <w:rStyle w:val="FootnoteReference"/>
          <w:vertAlign w:val="superscript"/>
        </w:rPr>
        <w:footnoteRef/>
      </w:r>
      <w:r w:rsidRPr="00B62F4A">
        <w:t xml:space="preserve">  </w:t>
      </w:r>
      <w:r w:rsidRPr="0055383F">
        <w:t>Standard-size, 5-drawer, lateral file cabinet cost based on current market price, as of July 2020 at: https://www.digitalbuyer.com/global-1936p-5f12-3-drawer-36-wide-lateral-file-cabinet-letter-legal.html?msclkid=aafdf8fd20871fd83caba7e202738a97&amp;utm_source=bing&amp;utm_medium=cpc&amp;utm_campaign=Shopping%20Campaign%20Manual&amp;utm_term=1100505129115&amp;utm_content=File%20Cabinets#1294=3369.</w:t>
      </w:r>
    </w:p>
  </w:footnote>
  <w:footnote w:id="37">
    <w:p w14:paraId="1BC7EC0E" w14:textId="77777777" w:rsidR="00722CC2" w:rsidRPr="00197E1E" w:rsidRDefault="00722CC2" w:rsidP="00166F76">
      <w:pPr>
        <w:pStyle w:val="FootnoteText"/>
      </w:pPr>
      <w:r w:rsidRPr="00197E1E">
        <w:rPr>
          <w:rStyle w:val="FootnoteReference"/>
          <w:vertAlign w:val="superscript"/>
        </w:rPr>
        <w:footnoteRef/>
      </w:r>
      <w:r w:rsidRPr="00197E1E">
        <w:t xml:space="preserve"> Based on an OMB-approved discount rate of 7% (OMB Circular A-94).</w:t>
      </w:r>
    </w:p>
  </w:footnote>
  <w:footnote w:id="38">
    <w:p w14:paraId="5FB788C9" w14:textId="77777777" w:rsidR="00722CC2" w:rsidRPr="00197E1E" w:rsidRDefault="00722CC2" w:rsidP="00166F76">
      <w:pPr>
        <w:pStyle w:val="FootnoteText"/>
      </w:pPr>
      <w:r w:rsidRPr="00EE3731">
        <w:rPr>
          <w:rStyle w:val="FootnoteReference"/>
          <w:vertAlign w:val="superscript"/>
        </w:rPr>
        <w:footnoteRef/>
      </w:r>
      <w:r w:rsidRPr="00EE3731">
        <w:rPr>
          <w:vertAlign w:val="superscript"/>
        </w:rPr>
        <w:t xml:space="preserve"> </w:t>
      </w:r>
      <w:r w:rsidRPr="00EE3731">
        <w:t xml:space="preserve"> Uniform manifest form cost based on current market price for JJ Keller’s forms, as of July of 2020, at </w:t>
      </w:r>
      <w:hyperlink r:id="rId3" w:history="1">
        <w:r w:rsidRPr="00EE3731">
          <w:rPr>
            <w:rStyle w:val="Hyperlink"/>
          </w:rPr>
          <w:t>https://www.jjkeller.com/shop/Product/Uniform-Hazardous-Waste-Manifest-Pin-Feed-Format</w:t>
        </w:r>
      </w:hyperlink>
      <w:r w:rsidRPr="00EE3731">
        <w:t>. Cost is based on an order of 500 forms.</w:t>
      </w:r>
    </w:p>
  </w:footnote>
  <w:footnote w:id="39">
    <w:p w14:paraId="1F076D99" w14:textId="77777777" w:rsidR="00722CC2" w:rsidRPr="00197E1E" w:rsidRDefault="00722CC2" w:rsidP="00166F76">
      <w:pPr>
        <w:pStyle w:val="FootnoteText"/>
      </w:pPr>
      <w:r w:rsidRPr="00EE3731">
        <w:rPr>
          <w:rStyle w:val="FootnoteReference"/>
          <w:vertAlign w:val="superscript"/>
        </w:rPr>
        <w:footnoteRef/>
      </w:r>
      <w:r w:rsidRPr="00EE3731">
        <w:t xml:space="preserve">  Continuation sheet cost based on current market price for JJ Keller’s forms, as of July 2020, at: </w:t>
      </w:r>
      <w:hyperlink r:id="rId4" w:history="1">
        <w:r w:rsidRPr="00EE3731">
          <w:rPr>
            <w:rStyle w:val="Hyperlink"/>
          </w:rPr>
          <w:t>https://www.jjkeller.com/shop/Product/Uniform-Hazardous-Waste-Manifest-Pin-Feed-Format</w:t>
        </w:r>
      </w:hyperlink>
      <w:r w:rsidRPr="00EE3731">
        <w:t>. Cost is based on an order of 500 forms.</w:t>
      </w:r>
    </w:p>
  </w:footnote>
  <w:footnote w:id="40">
    <w:p w14:paraId="7B04539B" w14:textId="77777777" w:rsidR="00722CC2" w:rsidRPr="00197E1E" w:rsidRDefault="00722CC2" w:rsidP="00166F76">
      <w:pPr>
        <w:pStyle w:val="FootnoteText"/>
      </w:pPr>
      <w:r w:rsidRPr="00197E1E">
        <w:rPr>
          <w:rStyle w:val="FootnoteReference"/>
          <w:vertAlign w:val="superscript"/>
        </w:rPr>
        <w:footnoteRef/>
      </w:r>
      <w:r w:rsidRPr="00197E1E">
        <w:t xml:space="preserve"> U.S. Postal Service, “First-Class Mail - Retail.”  </w:t>
      </w:r>
      <w:r w:rsidRPr="00EE3731">
        <w:t xml:space="preserve">Available online at: </w:t>
      </w:r>
      <w:hyperlink r:id="rId5" w:history="1">
        <w:r w:rsidRPr="00EE3731">
          <w:rPr>
            <w:rStyle w:val="Hyperlink"/>
          </w:rPr>
          <w:t>https://www.usps.com/ship/first-class-mail.htm</w:t>
        </w:r>
      </w:hyperlink>
      <w:r w:rsidRPr="00EE3731">
        <w:t>.</w:t>
      </w:r>
    </w:p>
  </w:footnote>
  <w:footnote w:id="41">
    <w:p w14:paraId="70085705" w14:textId="77777777" w:rsidR="00722CC2" w:rsidRPr="00197E1E" w:rsidRDefault="00722CC2" w:rsidP="00166F76">
      <w:pPr>
        <w:pStyle w:val="FootnoteText"/>
      </w:pPr>
      <w:r w:rsidRPr="00EE3731">
        <w:rPr>
          <w:rStyle w:val="FootnoteReference"/>
          <w:vertAlign w:val="superscript"/>
        </w:rPr>
        <w:footnoteRef/>
      </w:r>
      <w:r w:rsidRPr="00EE3731">
        <w:rPr>
          <w:vertAlign w:val="superscript"/>
        </w:rPr>
        <w:t xml:space="preserve"> </w:t>
      </w:r>
      <w:r w:rsidRPr="00EE3731">
        <w:t xml:space="preserve"> Standard-size envelope cost based on current market price (i.e., box of 500 standard business gummed envelopes at $29.95).</w:t>
      </w:r>
      <w:r w:rsidRPr="00197E1E">
        <w:t xml:space="preserve"> </w:t>
      </w:r>
    </w:p>
  </w:footnote>
  <w:footnote w:id="42">
    <w:p w14:paraId="0AFF4272" w14:textId="77777777" w:rsidR="00722CC2" w:rsidRDefault="00722CC2" w:rsidP="00166F76">
      <w:pPr>
        <w:pStyle w:val="FootnoteText"/>
      </w:pPr>
      <w:r w:rsidRPr="00EE3731">
        <w:rPr>
          <w:rStyle w:val="FootnoteReference"/>
          <w:vertAlign w:val="superscript"/>
        </w:rPr>
        <w:footnoteRef/>
      </w:r>
      <w:r w:rsidRPr="00EE3731">
        <w:t xml:space="preserve"> USPS-Produced Envelope: 12-1/2" x 9-1/2" U.S. Postal Service, “First-Class Mail - Retail.”  Available online at: https://postcalc.usps.com/.</w:t>
      </w:r>
    </w:p>
  </w:footnote>
  <w:footnote w:id="43">
    <w:p w14:paraId="6884BD30" w14:textId="77777777" w:rsidR="00722CC2" w:rsidRPr="009E6CAF" w:rsidRDefault="00722CC2" w:rsidP="0048342C">
      <w:pPr>
        <w:tabs>
          <w:tab w:val="left" w:pos="-1200"/>
        </w:tabs>
        <w:rPr>
          <w:sz w:val="20"/>
          <w:szCs w:val="20"/>
        </w:rPr>
      </w:pPr>
      <w:r w:rsidRPr="00175678">
        <w:rPr>
          <w:rStyle w:val="FootnoteReference"/>
          <w:sz w:val="20"/>
          <w:szCs w:val="20"/>
          <w:vertAlign w:val="superscript"/>
        </w:rPr>
        <w:footnoteRef/>
      </w:r>
      <w:r w:rsidRPr="00175678">
        <w:rPr>
          <w:sz w:val="20"/>
          <w:szCs w:val="20"/>
        </w:rPr>
        <w:t xml:space="preserve"> </w:t>
      </w:r>
      <w:r w:rsidRPr="009E6CAF">
        <w:rPr>
          <w:sz w:val="20"/>
          <w:szCs w:val="20"/>
        </w:rPr>
        <w:t>Refer to ICR 0801.23 for a discussion of the currently approved burden estimates and assumptions. ICR 0801.23 was approved in January 2020 and amended by a Justification for No Material/</w:t>
      </w:r>
      <w:proofErr w:type="spellStart"/>
      <w:r w:rsidRPr="009E6CAF">
        <w:rPr>
          <w:sz w:val="20"/>
          <w:szCs w:val="20"/>
        </w:rPr>
        <w:t>Nonsubstantive</w:t>
      </w:r>
      <w:proofErr w:type="spellEnd"/>
      <w:r w:rsidRPr="009E6CAF">
        <w:rPr>
          <w:sz w:val="20"/>
          <w:szCs w:val="20"/>
        </w:rPr>
        <w:t xml:space="preserve"> Change (0801.24) in March 2020.</w:t>
      </w:r>
    </w:p>
  </w:footnote>
  <w:footnote w:id="44">
    <w:p w14:paraId="475ACA75" w14:textId="77777777" w:rsidR="00722CC2" w:rsidRDefault="00722CC2">
      <w:pPr>
        <w:pStyle w:val="FootnoteText"/>
      </w:pPr>
      <w:r w:rsidRPr="009E6CAF">
        <w:rPr>
          <w:rStyle w:val="FootnoteReference"/>
          <w:vertAlign w:val="superscript"/>
        </w:rPr>
        <w:footnoteRef/>
      </w:r>
      <w:r w:rsidRPr="009E6CAF">
        <w:t xml:space="preserve"> For additional information, refer to the section, “(d9) Fees for the Electronic Hazardous Waste Manifest Program,” in Section 6D</w:t>
      </w:r>
      <w:r>
        <w:t xml:space="preserve"> of the supporting statement in ICR 0801.23.</w:t>
      </w:r>
    </w:p>
  </w:footnote>
  <w:footnote w:id="45">
    <w:p w14:paraId="0115B330" w14:textId="77777777" w:rsidR="00722CC2" w:rsidRDefault="00722CC2">
      <w:pPr>
        <w:pStyle w:val="FootnoteText"/>
      </w:pPr>
      <w:r w:rsidRPr="00F876FA">
        <w:rPr>
          <w:rStyle w:val="FootnoteReference"/>
          <w:vertAlign w:val="superscript"/>
        </w:rPr>
        <w:footnoteRef/>
      </w:r>
      <w:r>
        <w:t xml:space="preserve"> See current fees at: </w:t>
      </w:r>
      <w:r w:rsidRPr="00BB26F7">
        <w:t>https://www.epa.gov/e-manifest/e-manifest-user-fees-and-payment-information#2020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F746" w14:textId="77777777" w:rsidR="00722CC2" w:rsidRDefault="00722CC2">
    <w:pPr>
      <w:spacing w:line="216"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AutoList6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6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AutoList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9"/>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B"/>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D"/>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F"/>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10"/>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1235547"/>
    <w:multiLevelType w:val="hybridMultilevel"/>
    <w:tmpl w:val="8D7A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20E0C25"/>
    <w:multiLevelType w:val="multilevel"/>
    <w:tmpl w:val="200A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D35338"/>
    <w:multiLevelType w:val="hybridMultilevel"/>
    <w:tmpl w:val="B134BF94"/>
    <w:lvl w:ilvl="0" w:tplc="04090001">
      <w:start w:val="1"/>
      <w:numFmt w:val="bullet"/>
      <w:lvlText w:val=""/>
      <w:lvlJc w:val="left"/>
      <w:pPr>
        <w:ind w:left="1440" w:hanging="360"/>
      </w:pPr>
      <w:rPr>
        <w:rFonts w:ascii="Symbol" w:hAnsi="Symbol" w:hint="default"/>
      </w:rPr>
    </w:lvl>
    <w:lvl w:ilvl="1" w:tplc="4DBA66BE">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82F31BA"/>
    <w:multiLevelType w:val="hybridMultilevel"/>
    <w:tmpl w:val="BF40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9525DD"/>
    <w:multiLevelType w:val="hybridMultilevel"/>
    <w:tmpl w:val="A6AC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700A24"/>
    <w:multiLevelType w:val="hybridMultilevel"/>
    <w:tmpl w:val="8E9A45BE"/>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532C9F"/>
    <w:multiLevelType w:val="hybridMultilevel"/>
    <w:tmpl w:val="1EA2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556BDF"/>
    <w:multiLevelType w:val="hybridMultilevel"/>
    <w:tmpl w:val="4664003E"/>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17262FA"/>
    <w:multiLevelType w:val="hybridMultilevel"/>
    <w:tmpl w:val="A40281AC"/>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24174FD"/>
    <w:multiLevelType w:val="hybridMultilevel"/>
    <w:tmpl w:val="9F18F076"/>
    <w:lvl w:ilvl="0" w:tplc="81089BE4">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3D34744"/>
    <w:multiLevelType w:val="hybridMultilevel"/>
    <w:tmpl w:val="84BE1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70A7E11"/>
    <w:multiLevelType w:val="hybridMultilevel"/>
    <w:tmpl w:val="4628EBD0"/>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1AB54566"/>
    <w:multiLevelType w:val="hybridMultilevel"/>
    <w:tmpl w:val="DD28F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E4C072D"/>
    <w:multiLevelType w:val="hybridMultilevel"/>
    <w:tmpl w:val="F4F0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925134"/>
    <w:multiLevelType w:val="hybridMultilevel"/>
    <w:tmpl w:val="62E082F4"/>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25821E33"/>
    <w:multiLevelType w:val="hybridMultilevel"/>
    <w:tmpl w:val="9DB24158"/>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4DBA66BE">
      <w:start w:val="1"/>
      <w:numFmt w:val="bullet"/>
      <w:lvlText w:val="­"/>
      <w:lvlJc w:val="left"/>
      <w:pPr>
        <w:ind w:left="3240" w:hanging="360"/>
      </w:pPr>
      <w:rPr>
        <w:rFonts w:ascii="Courier New" w:hAnsi="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263C109B"/>
    <w:multiLevelType w:val="hybridMultilevel"/>
    <w:tmpl w:val="9636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DF2A02"/>
    <w:multiLevelType w:val="hybridMultilevel"/>
    <w:tmpl w:val="B124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1506E8"/>
    <w:multiLevelType w:val="hybridMultilevel"/>
    <w:tmpl w:val="1F5A06E4"/>
    <w:lvl w:ilvl="0" w:tplc="705E2F96">
      <w:numFmt w:val="bullet"/>
      <w:lvlText w:val="•"/>
      <w:legacy w:legacy="1" w:legacySpace="0" w:legacyIndent="720"/>
      <w:lvlJc w:val="left"/>
      <w:pPr>
        <w:ind w:left="1440" w:hanging="72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B818BA"/>
    <w:multiLevelType w:val="hybridMultilevel"/>
    <w:tmpl w:val="9AF4F93E"/>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254935"/>
    <w:multiLevelType w:val="hybridMultilevel"/>
    <w:tmpl w:val="6598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391C88"/>
    <w:multiLevelType w:val="hybridMultilevel"/>
    <w:tmpl w:val="02F6D5FA"/>
    <w:lvl w:ilvl="0" w:tplc="EA4E774E">
      <w:numFmt w:val="bullet"/>
      <w:pStyle w:val="Subtitle"/>
      <w:lvlText w:val="–"/>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3720792C"/>
    <w:multiLevelType w:val="hybridMultilevel"/>
    <w:tmpl w:val="3FBC7AC2"/>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6C44D1"/>
    <w:multiLevelType w:val="hybridMultilevel"/>
    <w:tmpl w:val="7648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115F6"/>
    <w:multiLevelType w:val="hybridMultilevel"/>
    <w:tmpl w:val="4C98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16353E"/>
    <w:multiLevelType w:val="multilevel"/>
    <w:tmpl w:val="B1768DA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2" w15:restartNumberingAfterBreak="0">
    <w:nsid w:val="417F672E"/>
    <w:multiLevelType w:val="hybridMultilevel"/>
    <w:tmpl w:val="03C4F842"/>
    <w:lvl w:ilvl="0" w:tplc="415CB634">
      <w:start w:val="1"/>
      <w:numFmt w:val="bullet"/>
      <w:pStyle w:val="NoSpacing"/>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95EAC744">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438A4FAB"/>
    <w:multiLevelType w:val="hybridMultilevel"/>
    <w:tmpl w:val="49E68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4CE5681"/>
    <w:multiLevelType w:val="hybridMultilevel"/>
    <w:tmpl w:val="A8C4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EE1656"/>
    <w:multiLevelType w:val="hybridMultilevel"/>
    <w:tmpl w:val="FF888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7926583"/>
    <w:multiLevelType w:val="hybridMultilevel"/>
    <w:tmpl w:val="9FCE4E74"/>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F666CE"/>
    <w:multiLevelType w:val="hybridMultilevel"/>
    <w:tmpl w:val="6674E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84960D7"/>
    <w:multiLevelType w:val="hybridMultilevel"/>
    <w:tmpl w:val="B3ECE258"/>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489E179F"/>
    <w:multiLevelType w:val="hybridMultilevel"/>
    <w:tmpl w:val="55E0FDC6"/>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1B44FD"/>
    <w:multiLevelType w:val="hybridMultilevel"/>
    <w:tmpl w:val="C8E6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D93400"/>
    <w:multiLevelType w:val="hybridMultilevel"/>
    <w:tmpl w:val="C332E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FB46E8"/>
    <w:multiLevelType w:val="hybridMultilevel"/>
    <w:tmpl w:val="FA868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E387E86"/>
    <w:multiLevelType w:val="hybridMultilevel"/>
    <w:tmpl w:val="7D70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2B7C4B"/>
    <w:multiLevelType w:val="hybridMultilevel"/>
    <w:tmpl w:val="2C60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0B05E9"/>
    <w:multiLevelType w:val="hybridMultilevel"/>
    <w:tmpl w:val="C6EA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7F6042"/>
    <w:multiLevelType w:val="hybridMultilevel"/>
    <w:tmpl w:val="23E4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131079"/>
    <w:multiLevelType w:val="multilevel"/>
    <w:tmpl w:val="42B0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FC7FAF"/>
    <w:multiLevelType w:val="hybridMultilevel"/>
    <w:tmpl w:val="3FD07F78"/>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2B801DD"/>
    <w:multiLevelType w:val="hybridMultilevel"/>
    <w:tmpl w:val="392A6B02"/>
    <w:lvl w:ilvl="0" w:tplc="4DBA66BE">
      <w:start w:val="1"/>
      <w:numFmt w:val="bullet"/>
      <w:lvlText w:val="­"/>
      <w:lvlJc w:val="left"/>
      <w:pPr>
        <w:ind w:left="1440" w:hanging="72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E7682B"/>
    <w:multiLevelType w:val="hybridMultilevel"/>
    <w:tmpl w:val="1D62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5850C9"/>
    <w:multiLevelType w:val="hybridMultilevel"/>
    <w:tmpl w:val="F0BE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BD73AB"/>
    <w:multiLevelType w:val="hybridMultilevel"/>
    <w:tmpl w:val="88D2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DF405B"/>
    <w:multiLevelType w:val="hybridMultilevel"/>
    <w:tmpl w:val="6E2E479A"/>
    <w:lvl w:ilvl="0" w:tplc="705E2F96">
      <w:numFmt w:val="bullet"/>
      <w:lvlText w:val="•"/>
      <w:legacy w:legacy="1" w:legacySpace="0" w:legacyIndent="720"/>
      <w:lvlJc w:val="left"/>
      <w:pPr>
        <w:ind w:left="1440" w:hanging="72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FC35A5"/>
    <w:multiLevelType w:val="hybridMultilevel"/>
    <w:tmpl w:val="7F3EE912"/>
    <w:lvl w:ilvl="0" w:tplc="4DBA66BE">
      <w:start w:val="1"/>
      <w:numFmt w:val="bullet"/>
      <w:lvlText w:val="­"/>
      <w:lvlJc w:val="left"/>
      <w:pPr>
        <w:ind w:left="720" w:hanging="360"/>
      </w:pPr>
      <w:rPr>
        <w:rFonts w:ascii="Courier New" w:hAnsi="Courier New"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434FC2"/>
    <w:multiLevelType w:val="hybridMultilevel"/>
    <w:tmpl w:val="6112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055CA2"/>
    <w:multiLevelType w:val="hybridMultilevel"/>
    <w:tmpl w:val="F33E3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43C02BC"/>
    <w:multiLevelType w:val="hybridMultilevel"/>
    <w:tmpl w:val="5D2A9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4C44423"/>
    <w:multiLevelType w:val="hybridMultilevel"/>
    <w:tmpl w:val="627A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712F0D"/>
    <w:multiLevelType w:val="hybridMultilevel"/>
    <w:tmpl w:val="A19A1CC4"/>
    <w:lvl w:ilvl="0" w:tplc="4DBA66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321600"/>
    <w:multiLevelType w:val="hybridMultilevel"/>
    <w:tmpl w:val="630E7124"/>
    <w:lvl w:ilvl="0" w:tplc="4DBA66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CE1513"/>
    <w:multiLevelType w:val="hybridMultilevel"/>
    <w:tmpl w:val="5604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031ABA"/>
    <w:multiLevelType w:val="hybridMultilevel"/>
    <w:tmpl w:val="F0D2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2"/>
  </w:num>
  <w:num w:numId="2">
    <w:abstractNumId w:val="42"/>
  </w:num>
  <w:num w:numId="3">
    <w:abstractNumId w:val="37"/>
  </w:num>
  <w:num w:numId="4">
    <w:abstractNumId w:val="43"/>
  </w:num>
  <w:num w:numId="5">
    <w:abstractNumId w:val="41"/>
  </w:num>
  <w:num w:numId="6">
    <w:abstractNumId w:val="46"/>
  </w:num>
  <w:num w:numId="7">
    <w:abstractNumId w:val="22"/>
  </w:num>
  <w:num w:numId="8">
    <w:abstractNumId w:val="39"/>
  </w:num>
  <w:num w:numId="9">
    <w:abstractNumId w:val="50"/>
  </w:num>
  <w:num w:numId="10">
    <w:abstractNumId w:val="29"/>
  </w:num>
  <w:num w:numId="11">
    <w:abstractNumId w:val="52"/>
  </w:num>
  <w:num w:numId="12">
    <w:abstractNumId w:val="25"/>
  </w:num>
  <w:num w:numId="13">
    <w:abstractNumId w:val="36"/>
  </w:num>
  <w:num w:numId="14">
    <w:abstractNumId w:val="51"/>
  </w:num>
  <w:num w:numId="15">
    <w:abstractNumId w:val="20"/>
  </w:num>
  <w:num w:numId="16">
    <w:abstractNumId w:val="38"/>
  </w:num>
  <w:num w:numId="17">
    <w:abstractNumId w:val="68"/>
  </w:num>
  <w:num w:numId="18">
    <w:abstractNumId w:val="73"/>
  </w:num>
  <w:num w:numId="19">
    <w:abstractNumId w:val="61"/>
  </w:num>
  <w:num w:numId="20">
    <w:abstractNumId w:val="18"/>
  </w:num>
  <w:num w:numId="21">
    <w:abstractNumId w:val="24"/>
  </w:num>
  <w:num w:numId="22">
    <w:abstractNumId w:val="65"/>
  </w:num>
  <w:num w:numId="23">
    <w:abstractNumId w:val="28"/>
  </w:num>
  <w:num w:numId="24">
    <w:abstractNumId w:val="35"/>
  </w:num>
  <w:num w:numId="25">
    <w:abstractNumId w:val="47"/>
  </w:num>
  <w:num w:numId="26">
    <w:abstractNumId w:val="27"/>
  </w:num>
  <w:num w:numId="27">
    <w:abstractNumId w:val="59"/>
  </w:num>
  <w:num w:numId="28">
    <w:abstractNumId w:val="23"/>
  </w:num>
  <w:num w:numId="29">
    <w:abstractNumId w:val="64"/>
  </w:num>
  <w:num w:numId="30">
    <w:abstractNumId w:val="21"/>
  </w:num>
  <w:num w:numId="31">
    <w:abstractNumId w:val="34"/>
  </w:num>
  <w:num w:numId="32">
    <w:abstractNumId w:val="53"/>
  </w:num>
  <w:num w:numId="33">
    <w:abstractNumId w:val="60"/>
  </w:num>
  <w:num w:numId="34">
    <w:abstractNumId w:val="70"/>
  </w:num>
  <w:num w:numId="35">
    <w:abstractNumId w:val="62"/>
  </w:num>
  <w:num w:numId="36">
    <w:abstractNumId w:val="49"/>
  </w:num>
  <w:num w:numId="37">
    <w:abstractNumId w:val="31"/>
  </w:num>
  <w:num w:numId="38">
    <w:abstractNumId w:val="32"/>
  </w:num>
  <w:num w:numId="39">
    <w:abstractNumId w:val="71"/>
  </w:num>
  <w:num w:numId="40">
    <w:abstractNumId w:val="30"/>
  </w:num>
  <w:num w:numId="41">
    <w:abstractNumId w:val="45"/>
  </w:num>
  <w:num w:numId="42">
    <w:abstractNumId w:val="69"/>
  </w:num>
  <w:num w:numId="43">
    <w:abstractNumId w:val="63"/>
  </w:num>
  <w:num w:numId="44">
    <w:abstractNumId w:val="55"/>
  </w:num>
  <w:num w:numId="45">
    <w:abstractNumId w:val="54"/>
  </w:num>
  <w:num w:numId="46">
    <w:abstractNumId w:val="16"/>
  </w:num>
  <w:num w:numId="47">
    <w:abstractNumId w:val="33"/>
  </w:num>
  <w:num w:numId="48">
    <w:abstractNumId w:val="57"/>
  </w:num>
  <w:num w:numId="49">
    <w:abstractNumId w:val="56"/>
  </w:num>
  <w:num w:numId="50">
    <w:abstractNumId w:val="26"/>
  </w:num>
  <w:num w:numId="51">
    <w:abstractNumId w:val="58"/>
  </w:num>
  <w:num w:numId="52">
    <w:abstractNumId w:val="17"/>
  </w:num>
  <w:num w:numId="53">
    <w:abstractNumId w:val="66"/>
  </w:num>
  <w:num w:numId="54">
    <w:abstractNumId w:val="19"/>
  </w:num>
  <w:num w:numId="55">
    <w:abstractNumId w:val="44"/>
  </w:num>
  <w:num w:numId="56">
    <w:abstractNumId w:val="40"/>
  </w:num>
  <w:num w:numId="57">
    <w:abstractNumId w:val="67"/>
  </w:num>
  <w:num w:numId="58">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0A"/>
    <w:rsid w:val="000001BD"/>
    <w:rsid w:val="0000086A"/>
    <w:rsid w:val="000010CD"/>
    <w:rsid w:val="00001526"/>
    <w:rsid w:val="000034E4"/>
    <w:rsid w:val="000041A3"/>
    <w:rsid w:val="000045D0"/>
    <w:rsid w:val="000053C0"/>
    <w:rsid w:val="000055F5"/>
    <w:rsid w:val="000058C0"/>
    <w:rsid w:val="00005D62"/>
    <w:rsid w:val="00005FA5"/>
    <w:rsid w:val="00006351"/>
    <w:rsid w:val="00006824"/>
    <w:rsid w:val="00006F62"/>
    <w:rsid w:val="00007CCC"/>
    <w:rsid w:val="00007D96"/>
    <w:rsid w:val="000100AC"/>
    <w:rsid w:val="00010114"/>
    <w:rsid w:val="0001096D"/>
    <w:rsid w:val="00010B06"/>
    <w:rsid w:val="00010E91"/>
    <w:rsid w:val="0001121F"/>
    <w:rsid w:val="00011616"/>
    <w:rsid w:val="0001227A"/>
    <w:rsid w:val="00012967"/>
    <w:rsid w:val="00012A9D"/>
    <w:rsid w:val="00013089"/>
    <w:rsid w:val="00013323"/>
    <w:rsid w:val="0001460A"/>
    <w:rsid w:val="0001465A"/>
    <w:rsid w:val="00014742"/>
    <w:rsid w:val="00014C29"/>
    <w:rsid w:val="000151B3"/>
    <w:rsid w:val="000152A7"/>
    <w:rsid w:val="00015500"/>
    <w:rsid w:val="0001572C"/>
    <w:rsid w:val="0001605E"/>
    <w:rsid w:val="00016CD3"/>
    <w:rsid w:val="00016F76"/>
    <w:rsid w:val="00017171"/>
    <w:rsid w:val="00017296"/>
    <w:rsid w:val="0001748A"/>
    <w:rsid w:val="0001792F"/>
    <w:rsid w:val="00017E56"/>
    <w:rsid w:val="000202F4"/>
    <w:rsid w:val="00020B89"/>
    <w:rsid w:val="0002160C"/>
    <w:rsid w:val="00021B97"/>
    <w:rsid w:val="00022C9F"/>
    <w:rsid w:val="000238E4"/>
    <w:rsid w:val="000239AA"/>
    <w:rsid w:val="0002409F"/>
    <w:rsid w:val="00024112"/>
    <w:rsid w:val="00024415"/>
    <w:rsid w:val="00024AF6"/>
    <w:rsid w:val="0002564C"/>
    <w:rsid w:val="000261B6"/>
    <w:rsid w:val="0002642E"/>
    <w:rsid w:val="000264B0"/>
    <w:rsid w:val="00026621"/>
    <w:rsid w:val="000267DC"/>
    <w:rsid w:val="00027B1A"/>
    <w:rsid w:val="00027CA8"/>
    <w:rsid w:val="00030148"/>
    <w:rsid w:val="00030468"/>
    <w:rsid w:val="00030A0F"/>
    <w:rsid w:val="0003138E"/>
    <w:rsid w:val="000314A8"/>
    <w:rsid w:val="00031A3E"/>
    <w:rsid w:val="00031F85"/>
    <w:rsid w:val="000325EC"/>
    <w:rsid w:val="00032A01"/>
    <w:rsid w:val="00032B95"/>
    <w:rsid w:val="000339E8"/>
    <w:rsid w:val="00033B34"/>
    <w:rsid w:val="00033E49"/>
    <w:rsid w:val="00034773"/>
    <w:rsid w:val="00035138"/>
    <w:rsid w:val="00035C5B"/>
    <w:rsid w:val="000362DB"/>
    <w:rsid w:val="000364B2"/>
    <w:rsid w:val="00036B6E"/>
    <w:rsid w:val="00036F87"/>
    <w:rsid w:val="00037357"/>
    <w:rsid w:val="00037584"/>
    <w:rsid w:val="0003774F"/>
    <w:rsid w:val="00037761"/>
    <w:rsid w:val="00037AA2"/>
    <w:rsid w:val="00037B5E"/>
    <w:rsid w:val="00040B36"/>
    <w:rsid w:val="00042ED0"/>
    <w:rsid w:val="00043092"/>
    <w:rsid w:val="00043517"/>
    <w:rsid w:val="000438CC"/>
    <w:rsid w:val="000440FE"/>
    <w:rsid w:val="000449CC"/>
    <w:rsid w:val="000451FE"/>
    <w:rsid w:val="00045C85"/>
    <w:rsid w:val="00045F94"/>
    <w:rsid w:val="000466E1"/>
    <w:rsid w:val="000469DF"/>
    <w:rsid w:val="00046D9B"/>
    <w:rsid w:val="0004782D"/>
    <w:rsid w:val="00047DEE"/>
    <w:rsid w:val="00047DFB"/>
    <w:rsid w:val="000504DE"/>
    <w:rsid w:val="00050F81"/>
    <w:rsid w:val="0005119A"/>
    <w:rsid w:val="00051359"/>
    <w:rsid w:val="000516BB"/>
    <w:rsid w:val="00051B3F"/>
    <w:rsid w:val="000521DD"/>
    <w:rsid w:val="000529AB"/>
    <w:rsid w:val="00052DBF"/>
    <w:rsid w:val="00053247"/>
    <w:rsid w:val="00053712"/>
    <w:rsid w:val="000542A8"/>
    <w:rsid w:val="00054339"/>
    <w:rsid w:val="00054527"/>
    <w:rsid w:val="0005498D"/>
    <w:rsid w:val="00054A62"/>
    <w:rsid w:val="000551B4"/>
    <w:rsid w:val="00055F7F"/>
    <w:rsid w:val="0005648C"/>
    <w:rsid w:val="00056B58"/>
    <w:rsid w:val="00056F80"/>
    <w:rsid w:val="00057C12"/>
    <w:rsid w:val="00060006"/>
    <w:rsid w:val="00061266"/>
    <w:rsid w:val="00061525"/>
    <w:rsid w:val="00061E7F"/>
    <w:rsid w:val="00061EBF"/>
    <w:rsid w:val="00062362"/>
    <w:rsid w:val="000623A5"/>
    <w:rsid w:val="00062B46"/>
    <w:rsid w:val="00062D04"/>
    <w:rsid w:val="00062F73"/>
    <w:rsid w:val="00063092"/>
    <w:rsid w:val="00063FB9"/>
    <w:rsid w:val="00064234"/>
    <w:rsid w:val="00064418"/>
    <w:rsid w:val="00064B5E"/>
    <w:rsid w:val="00065558"/>
    <w:rsid w:val="0006586C"/>
    <w:rsid w:val="00065E52"/>
    <w:rsid w:val="00065FA7"/>
    <w:rsid w:val="00066081"/>
    <w:rsid w:val="0006659D"/>
    <w:rsid w:val="00067770"/>
    <w:rsid w:val="0006792B"/>
    <w:rsid w:val="000705B6"/>
    <w:rsid w:val="00070708"/>
    <w:rsid w:val="00070BCF"/>
    <w:rsid w:val="00071518"/>
    <w:rsid w:val="000715A7"/>
    <w:rsid w:val="00071B21"/>
    <w:rsid w:val="00071E5A"/>
    <w:rsid w:val="000724E9"/>
    <w:rsid w:val="00072C36"/>
    <w:rsid w:val="00072E2A"/>
    <w:rsid w:val="000732AC"/>
    <w:rsid w:val="0007396B"/>
    <w:rsid w:val="0007398D"/>
    <w:rsid w:val="000745F1"/>
    <w:rsid w:val="00074A03"/>
    <w:rsid w:val="00075448"/>
    <w:rsid w:val="0007567F"/>
    <w:rsid w:val="00076AFE"/>
    <w:rsid w:val="000774DF"/>
    <w:rsid w:val="000778B2"/>
    <w:rsid w:val="00077C9D"/>
    <w:rsid w:val="000805DD"/>
    <w:rsid w:val="00080AE1"/>
    <w:rsid w:val="000813FD"/>
    <w:rsid w:val="00081B0B"/>
    <w:rsid w:val="00082B10"/>
    <w:rsid w:val="000831A4"/>
    <w:rsid w:val="00083952"/>
    <w:rsid w:val="00083AA3"/>
    <w:rsid w:val="00083BE8"/>
    <w:rsid w:val="00084C33"/>
    <w:rsid w:val="000855B5"/>
    <w:rsid w:val="000856D2"/>
    <w:rsid w:val="00085ABA"/>
    <w:rsid w:val="000861F7"/>
    <w:rsid w:val="0008742A"/>
    <w:rsid w:val="0008743E"/>
    <w:rsid w:val="00087FA2"/>
    <w:rsid w:val="000905BF"/>
    <w:rsid w:val="000906A2"/>
    <w:rsid w:val="000906D2"/>
    <w:rsid w:val="0009079B"/>
    <w:rsid w:val="00091374"/>
    <w:rsid w:val="00091755"/>
    <w:rsid w:val="000918D7"/>
    <w:rsid w:val="0009237C"/>
    <w:rsid w:val="00093205"/>
    <w:rsid w:val="000936A7"/>
    <w:rsid w:val="00093F27"/>
    <w:rsid w:val="000953B8"/>
    <w:rsid w:val="00095D95"/>
    <w:rsid w:val="00095E0D"/>
    <w:rsid w:val="0009776C"/>
    <w:rsid w:val="00097A4F"/>
    <w:rsid w:val="00097AF0"/>
    <w:rsid w:val="000A01FE"/>
    <w:rsid w:val="000A037C"/>
    <w:rsid w:val="000A06F0"/>
    <w:rsid w:val="000A0AFC"/>
    <w:rsid w:val="000A0E1B"/>
    <w:rsid w:val="000A12E8"/>
    <w:rsid w:val="000A12EC"/>
    <w:rsid w:val="000A166B"/>
    <w:rsid w:val="000A1803"/>
    <w:rsid w:val="000A1E1B"/>
    <w:rsid w:val="000A2312"/>
    <w:rsid w:val="000A328B"/>
    <w:rsid w:val="000A374B"/>
    <w:rsid w:val="000A3CAF"/>
    <w:rsid w:val="000A3EDA"/>
    <w:rsid w:val="000A4005"/>
    <w:rsid w:val="000A40C7"/>
    <w:rsid w:val="000A45B7"/>
    <w:rsid w:val="000A543A"/>
    <w:rsid w:val="000A5513"/>
    <w:rsid w:val="000A6B2F"/>
    <w:rsid w:val="000A75ED"/>
    <w:rsid w:val="000A7979"/>
    <w:rsid w:val="000A7B4A"/>
    <w:rsid w:val="000B07DE"/>
    <w:rsid w:val="000B0C88"/>
    <w:rsid w:val="000B10EC"/>
    <w:rsid w:val="000B1354"/>
    <w:rsid w:val="000B213E"/>
    <w:rsid w:val="000B2F23"/>
    <w:rsid w:val="000B3043"/>
    <w:rsid w:val="000B3348"/>
    <w:rsid w:val="000B34D6"/>
    <w:rsid w:val="000B383E"/>
    <w:rsid w:val="000B3D7C"/>
    <w:rsid w:val="000B4AAB"/>
    <w:rsid w:val="000B508A"/>
    <w:rsid w:val="000B535B"/>
    <w:rsid w:val="000B609E"/>
    <w:rsid w:val="000B6105"/>
    <w:rsid w:val="000B6264"/>
    <w:rsid w:val="000B68B3"/>
    <w:rsid w:val="000B6C9E"/>
    <w:rsid w:val="000B724D"/>
    <w:rsid w:val="000B72A9"/>
    <w:rsid w:val="000B7318"/>
    <w:rsid w:val="000B7411"/>
    <w:rsid w:val="000B773F"/>
    <w:rsid w:val="000B7C2B"/>
    <w:rsid w:val="000C074D"/>
    <w:rsid w:val="000C07CA"/>
    <w:rsid w:val="000C0DD9"/>
    <w:rsid w:val="000C1535"/>
    <w:rsid w:val="000C185C"/>
    <w:rsid w:val="000C1C7F"/>
    <w:rsid w:val="000C2D91"/>
    <w:rsid w:val="000C34FF"/>
    <w:rsid w:val="000C446B"/>
    <w:rsid w:val="000C46B4"/>
    <w:rsid w:val="000C493F"/>
    <w:rsid w:val="000C5495"/>
    <w:rsid w:val="000C567A"/>
    <w:rsid w:val="000C6D5C"/>
    <w:rsid w:val="000C71AC"/>
    <w:rsid w:val="000C7295"/>
    <w:rsid w:val="000C7DB4"/>
    <w:rsid w:val="000C7FA1"/>
    <w:rsid w:val="000D0014"/>
    <w:rsid w:val="000D08EA"/>
    <w:rsid w:val="000D14D2"/>
    <w:rsid w:val="000D1871"/>
    <w:rsid w:val="000D1C99"/>
    <w:rsid w:val="000D1F9B"/>
    <w:rsid w:val="000D2357"/>
    <w:rsid w:val="000D2A38"/>
    <w:rsid w:val="000D3244"/>
    <w:rsid w:val="000D34B2"/>
    <w:rsid w:val="000D3587"/>
    <w:rsid w:val="000D36A8"/>
    <w:rsid w:val="000D408C"/>
    <w:rsid w:val="000D4CBC"/>
    <w:rsid w:val="000D4FDB"/>
    <w:rsid w:val="000D535F"/>
    <w:rsid w:val="000D5A1C"/>
    <w:rsid w:val="000D5B1A"/>
    <w:rsid w:val="000D5CE5"/>
    <w:rsid w:val="000D5DDE"/>
    <w:rsid w:val="000D65E7"/>
    <w:rsid w:val="000D66C0"/>
    <w:rsid w:val="000D6AE1"/>
    <w:rsid w:val="000D7C22"/>
    <w:rsid w:val="000D7F01"/>
    <w:rsid w:val="000E03E1"/>
    <w:rsid w:val="000E04F5"/>
    <w:rsid w:val="000E080A"/>
    <w:rsid w:val="000E0B01"/>
    <w:rsid w:val="000E14BB"/>
    <w:rsid w:val="000E14D1"/>
    <w:rsid w:val="000E25C0"/>
    <w:rsid w:val="000E2E3A"/>
    <w:rsid w:val="000E31FA"/>
    <w:rsid w:val="000E3421"/>
    <w:rsid w:val="000E36F9"/>
    <w:rsid w:val="000E38E4"/>
    <w:rsid w:val="000E3EC8"/>
    <w:rsid w:val="000E41C1"/>
    <w:rsid w:val="000E455D"/>
    <w:rsid w:val="000E50B9"/>
    <w:rsid w:val="000E5EBF"/>
    <w:rsid w:val="000E6518"/>
    <w:rsid w:val="000E6596"/>
    <w:rsid w:val="000E6848"/>
    <w:rsid w:val="000E6C18"/>
    <w:rsid w:val="000E7144"/>
    <w:rsid w:val="000E79BE"/>
    <w:rsid w:val="000E7B70"/>
    <w:rsid w:val="000E7FC8"/>
    <w:rsid w:val="000F005C"/>
    <w:rsid w:val="000F036D"/>
    <w:rsid w:val="000F06B8"/>
    <w:rsid w:val="000F070B"/>
    <w:rsid w:val="000F0A22"/>
    <w:rsid w:val="000F0B94"/>
    <w:rsid w:val="000F0FFB"/>
    <w:rsid w:val="000F1191"/>
    <w:rsid w:val="000F1E81"/>
    <w:rsid w:val="000F1FD4"/>
    <w:rsid w:val="000F211F"/>
    <w:rsid w:val="000F2CCA"/>
    <w:rsid w:val="000F2DD4"/>
    <w:rsid w:val="000F3417"/>
    <w:rsid w:val="000F35F9"/>
    <w:rsid w:val="000F3732"/>
    <w:rsid w:val="000F3D7D"/>
    <w:rsid w:val="000F4007"/>
    <w:rsid w:val="000F45CD"/>
    <w:rsid w:val="000F467C"/>
    <w:rsid w:val="000F4ADA"/>
    <w:rsid w:val="000F4D0A"/>
    <w:rsid w:val="000F4F4E"/>
    <w:rsid w:val="000F54D8"/>
    <w:rsid w:val="000F5D3D"/>
    <w:rsid w:val="000F60F5"/>
    <w:rsid w:val="000F6913"/>
    <w:rsid w:val="000F6983"/>
    <w:rsid w:val="000F795C"/>
    <w:rsid w:val="00100129"/>
    <w:rsid w:val="001003A5"/>
    <w:rsid w:val="00100402"/>
    <w:rsid w:val="00100D23"/>
    <w:rsid w:val="00101F7D"/>
    <w:rsid w:val="00102B5D"/>
    <w:rsid w:val="00102BE7"/>
    <w:rsid w:val="00102C40"/>
    <w:rsid w:val="001031CC"/>
    <w:rsid w:val="0010344B"/>
    <w:rsid w:val="001037E4"/>
    <w:rsid w:val="001037EE"/>
    <w:rsid w:val="00104952"/>
    <w:rsid w:val="00104D4E"/>
    <w:rsid w:val="00104ED9"/>
    <w:rsid w:val="00105333"/>
    <w:rsid w:val="001056CD"/>
    <w:rsid w:val="00105C4F"/>
    <w:rsid w:val="00106514"/>
    <w:rsid w:val="001067D6"/>
    <w:rsid w:val="00106A15"/>
    <w:rsid w:val="00106F10"/>
    <w:rsid w:val="00107187"/>
    <w:rsid w:val="0010774A"/>
    <w:rsid w:val="0010781C"/>
    <w:rsid w:val="00107E9B"/>
    <w:rsid w:val="00110683"/>
    <w:rsid w:val="001106B9"/>
    <w:rsid w:val="0011081F"/>
    <w:rsid w:val="001124D0"/>
    <w:rsid w:val="00112626"/>
    <w:rsid w:val="00112C8A"/>
    <w:rsid w:val="001137A2"/>
    <w:rsid w:val="0011383B"/>
    <w:rsid w:val="001138B2"/>
    <w:rsid w:val="00113931"/>
    <w:rsid w:val="00113AB9"/>
    <w:rsid w:val="00114372"/>
    <w:rsid w:val="00115003"/>
    <w:rsid w:val="001154FB"/>
    <w:rsid w:val="00116950"/>
    <w:rsid w:val="0011752E"/>
    <w:rsid w:val="001177C5"/>
    <w:rsid w:val="00120473"/>
    <w:rsid w:val="001206EB"/>
    <w:rsid w:val="0012081F"/>
    <w:rsid w:val="0012109A"/>
    <w:rsid w:val="00121737"/>
    <w:rsid w:val="00121911"/>
    <w:rsid w:val="00121948"/>
    <w:rsid w:val="00121969"/>
    <w:rsid w:val="00121F72"/>
    <w:rsid w:val="0012210C"/>
    <w:rsid w:val="00123070"/>
    <w:rsid w:val="001233A5"/>
    <w:rsid w:val="00123544"/>
    <w:rsid w:val="001237EA"/>
    <w:rsid w:val="00123C66"/>
    <w:rsid w:val="00123CD8"/>
    <w:rsid w:val="00123D24"/>
    <w:rsid w:val="00123E7A"/>
    <w:rsid w:val="00125BDD"/>
    <w:rsid w:val="0012675B"/>
    <w:rsid w:val="0012680F"/>
    <w:rsid w:val="00127084"/>
    <w:rsid w:val="00127833"/>
    <w:rsid w:val="001278EC"/>
    <w:rsid w:val="001278F6"/>
    <w:rsid w:val="001304DB"/>
    <w:rsid w:val="00130826"/>
    <w:rsid w:val="00130B1D"/>
    <w:rsid w:val="00130B7F"/>
    <w:rsid w:val="00130F2D"/>
    <w:rsid w:val="00131D34"/>
    <w:rsid w:val="00131DE9"/>
    <w:rsid w:val="00132878"/>
    <w:rsid w:val="001329F2"/>
    <w:rsid w:val="00132C22"/>
    <w:rsid w:val="00132C6B"/>
    <w:rsid w:val="001334EB"/>
    <w:rsid w:val="00133960"/>
    <w:rsid w:val="00133BFD"/>
    <w:rsid w:val="00134279"/>
    <w:rsid w:val="0013460D"/>
    <w:rsid w:val="0013464C"/>
    <w:rsid w:val="001347B9"/>
    <w:rsid w:val="00134A51"/>
    <w:rsid w:val="00135370"/>
    <w:rsid w:val="00135392"/>
    <w:rsid w:val="0013581F"/>
    <w:rsid w:val="00135959"/>
    <w:rsid w:val="00136641"/>
    <w:rsid w:val="00137205"/>
    <w:rsid w:val="00140422"/>
    <w:rsid w:val="00140A97"/>
    <w:rsid w:val="00140CAA"/>
    <w:rsid w:val="00141024"/>
    <w:rsid w:val="0014146D"/>
    <w:rsid w:val="00141548"/>
    <w:rsid w:val="00141639"/>
    <w:rsid w:val="00141BFC"/>
    <w:rsid w:val="00141C99"/>
    <w:rsid w:val="00141E7B"/>
    <w:rsid w:val="0014205A"/>
    <w:rsid w:val="001421E7"/>
    <w:rsid w:val="00142207"/>
    <w:rsid w:val="001425FB"/>
    <w:rsid w:val="00142AAE"/>
    <w:rsid w:val="00142E08"/>
    <w:rsid w:val="00143184"/>
    <w:rsid w:val="00143ED2"/>
    <w:rsid w:val="00143F81"/>
    <w:rsid w:val="001449B9"/>
    <w:rsid w:val="001449CE"/>
    <w:rsid w:val="00144BB9"/>
    <w:rsid w:val="00144C9C"/>
    <w:rsid w:val="00144F6C"/>
    <w:rsid w:val="00145F46"/>
    <w:rsid w:val="00145F7D"/>
    <w:rsid w:val="0014688A"/>
    <w:rsid w:val="00146C7B"/>
    <w:rsid w:val="001473C1"/>
    <w:rsid w:val="001478B0"/>
    <w:rsid w:val="001479ED"/>
    <w:rsid w:val="00147B96"/>
    <w:rsid w:val="00147C63"/>
    <w:rsid w:val="00150720"/>
    <w:rsid w:val="00150E50"/>
    <w:rsid w:val="001510E9"/>
    <w:rsid w:val="00151493"/>
    <w:rsid w:val="00151927"/>
    <w:rsid w:val="00151D44"/>
    <w:rsid w:val="001520AC"/>
    <w:rsid w:val="001523C5"/>
    <w:rsid w:val="00152645"/>
    <w:rsid w:val="00152BAE"/>
    <w:rsid w:val="00152E92"/>
    <w:rsid w:val="00153166"/>
    <w:rsid w:val="001532F9"/>
    <w:rsid w:val="001535E2"/>
    <w:rsid w:val="00153751"/>
    <w:rsid w:val="00153870"/>
    <w:rsid w:val="00153E60"/>
    <w:rsid w:val="00153F4F"/>
    <w:rsid w:val="0015446A"/>
    <w:rsid w:val="00154573"/>
    <w:rsid w:val="00154E82"/>
    <w:rsid w:val="0015516D"/>
    <w:rsid w:val="001551D5"/>
    <w:rsid w:val="00155779"/>
    <w:rsid w:val="00155F77"/>
    <w:rsid w:val="00156849"/>
    <w:rsid w:val="00156AD4"/>
    <w:rsid w:val="00157A01"/>
    <w:rsid w:val="00157C48"/>
    <w:rsid w:val="00157E2A"/>
    <w:rsid w:val="001606CD"/>
    <w:rsid w:val="00160CAB"/>
    <w:rsid w:val="00160FAF"/>
    <w:rsid w:val="0016136D"/>
    <w:rsid w:val="00161576"/>
    <w:rsid w:val="001623BB"/>
    <w:rsid w:val="001627EC"/>
    <w:rsid w:val="00162F7F"/>
    <w:rsid w:val="00163053"/>
    <w:rsid w:val="001630C6"/>
    <w:rsid w:val="001649AD"/>
    <w:rsid w:val="001654CF"/>
    <w:rsid w:val="001657F3"/>
    <w:rsid w:val="00165FF0"/>
    <w:rsid w:val="00166F76"/>
    <w:rsid w:val="00167013"/>
    <w:rsid w:val="00167203"/>
    <w:rsid w:val="00167F6A"/>
    <w:rsid w:val="00170E48"/>
    <w:rsid w:val="001711DA"/>
    <w:rsid w:val="001713CF"/>
    <w:rsid w:val="001716D7"/>
    <w:rsid w:val="00171F78"/>
    <w:rsid w:val="00172CAB"/>
    <w:rsid w:val="00172E44"/>
    <w:rsid w:val="0017307F"/>
    <w:rsid w:val="001734AB"/>
    <w:rsid w:val="00173A96"/>
    <w:rsid w:val="00174257"/>
    <w:rsid w:val="0017429E"/>
    <w:rsid w:val="0017431F"/>
    <w:rsid w:val="00174569"/>
    <w:rsid w:val="00174DBC"/>
    <w:rsid w:val="0017508E"/>
    <w:rsid w:val="0017549D"/>
    <w:rsid w:val="00175678"/>
    <w:rsid w:val="0017608E"/>
    <w:rsid w:val="00176408"/>
    <w:rsid w:val="00177587"/>
    <w:rsid w:val="00177CFA"/>
    <w:rsid w:val="00180160"/>
    <w:rsid w:val="0018018F"/>
    <w:rsid w:val="001803AB"/>
    <w:rsid w:val="0018049A"/>
    <w:rsid w:val="001808FD"/>
    <w:rsid w:val="00180AC9"/>
    <w:rsid w:val="00180C21"/>
    <w:rsid w:val="0018120F"/>
    <w:rsid w:val="001815E2"/>
    <w:rsid w:val="001817DE"/>
    <w:rsid w:val="001818A5"/>
    <w:rsid w:val="001818CA"/>
    <w:rsid w:val="00181991"/>
    <w:rsid w:val="00181DC7"/>
    <w:rsid w:val="00181F63"/>
    <w:rsid w:val="00182161"/>
    <w:rsid w:val="001824E1"/>
    <w:rsid w:val="00182633"/>
    <w:rsid w:val="00182F00"/>
    <w:rsid w:val="00183709"/>
    <w:rsid w:val="001845D9"/>
    <w:rsid w:val="00184677"/>
    <w:rsid w:val="00184C6C"/>
    <w:rsid w:val="00184D34"/>
    <w:rsid w:val="00185269"/>
    <w:rsid w:val="00185BBB"/>
    <w:rsid w:val="001864DC"/>
    <w:rsid w:val="00186567"/>
    <w:rsid w:val="00186762"/>
    <w:rsid w:val="00186D22"/>
    <w:rsid w:val="0018716B"/>
    <w:rsid w:val="00187195"/>
    <w:rsid w:val="001871E0"/>
    <w:rsid w:val="0018722F"/>
    <w:rsid w:val="001928CD"/>
    <w:rsid w:val="00192BB0"/>
    <w:rsid w:val="0019336B"/>
    <w:rsid w:val="001934C7"/>
    <w:rsid w:val="00193BA5"/>
    <w:rsid w:val="00193D4F"/>
    <w:rsid w:val="00193E5D"/>
    <w:rsid w:val="0019416F"/>
    <w:rsid w:val="00194277"/>
    <w:rsid w:val="00194BF7"/>
    <w:rsid w:val="00194CA4"/>
    <w:rsid w:val="00194CB2"/>
    <w:rsid w:val="0019502F"/>
    <w:rsid w:val="0019525E"/>
    <w:rsid w:val="00195969"/>
    <w:rsid w:val="001959F9"/>
    <w:rsid w:val="00195A29"/>
    <w:rsid w:val="001966CA"/>
    <w:rsid w:val="00196F34"/>
    <w:rsid w:val="00196FE8"/>
    <w:rsid w:val="00197304"/>
    <w:rsid w:val="001973B5"/>
    <w:rsid w:val="001979CA"/>
    <w:rsid w:val="00197D04"/>
    <w:rsid w:val="00197E1E"/>
    <w:rsid w:val="00197F80"/>
    <w:rsid w:val="00197F82"/>
    <w:rsid w:val="001A0574"/>
    <w:rsid w:val="001A0AFB"/>
    <w:rsid w:val="001A0E72"/>
    <w:rsid w:val="001A1677"/>
    <w:rsid w:val="001A17AA"/>
    <w:rsid w:val="001A2076"/>
    <w:rsid w:val="001A21D0"/>
    <w:rsid w:val="001A29CD"/>
    <w:rsid w:val="001A2F28"/>
    <w:rsid w:val="001A3997"/>
    <w:rsid w:val="001A3A21"/>
    <w:rsid w:val="001A4374"/>
    <w:rsid w:val="001A532D"/>
    <w:rsid w:val="001A579A"/>
    <w:rsid w:val="001A5B0F"/>
    <w:rsid w:val="001A5C43"/>
    <w:rsid w:val="001A5E8E"/>
    <w:rsid w:val="001A64CF"/>
    <w:rsid w:val="001A694E"/>
    <w:rsid w:val="001A6A66"/>
    <w:rsid w:val="001A6C1E"/>
    <w:rsid w:val="001A7026"/>
    <w:rsid w:val="001A75E3"/>
    <w:rsid w:val="001B0467"/>
    <w:rsid w:val="001B07F9"/>
    <w:rsid w:val="001B18AD"/>
    <w:rsid w:val="001B1BE5"/>
    <w:rsid w:val="001B22FC"/>
    <w:rsid w:val="001B2318"/>
    <w:rsid w:val="001B265C"/>
    <w:rsid w:val="001B4746"/>
    <w:rsid w:val="001B5442"/>
    <w:rsid w:val="001B5543"/>
    <w:rsid w:val="001B77E6"/>
    <w:rsid w:val="001B7C4D"/>
    <w:rsid w:val="001C0614"/>
    <w:rsid w:val="001C1404"/>
    <w:rsid w:val="001C1834"/>
    <w:rsid w:val="001C395B"/>
    <w:rsid w:val="001C3BE9"/>
    <w:rsid w:val="001C3C48"/>
    <w:rsid w:val="001C4654"/>
    <w:rsid w:val="001C4AB9"/>
    <w:rsid w:val="001C4ACA"/>
    <w:rsid w:val="001C4F64"/>
    <w:rsid w:val="001C5D33"/>
    <w:rsid w:val="001C5DEF"/>
    <w:rsid w:val="001C67FB"/>
    <w:rsid w:val="001C69FB"/>
    <w:rsid w:val="001C7035"/>
    <w:rsid w:val="001C797D"/>
    <w:rsid w:val="001C7EA3"/>
    <w:rsid w:val="001C7FE2"/>
    <w:rsid w:val="001C7FE9"/>
    <w:rsid w:val="001D092C"/>
    <w:rsid w:val="001D0DC4"/>
    <w:rsid w:val="001D1214"/>
    <w:rsid w:val="001D1284"/>
    <w:rsid w:val="001D1624"/>
    <w:rsid w:val="001D1C64"/>
    <w:rsid w:val="001D23D9"/>
    <w:rsid w:val="001D258D"/>
    <w:rsid w:val="001D275F"/>
    <w:rsid w:val="001D2D81"/>
    <w:rsid w:val="001D2F35"/>
    <w:rsid w:val="001D330F"/>
    <w:rsid w:val="001D35D8"/>
    <w:rsid w:val="001D3AA0"/>
    <w:rsid w:val="001D4118"/>
    <w:rsid w:val="001D440F"/>
    <w:rsid w:val="001D4CC8"/>
    <w:rsid w:val="001D5149"/>
    <w:rsid w:val="001D5FDF"/>
    <w:rsid w:val="001D67C6"/>
    <w:rsid w:val="001D709A"/>
    <w:rsid w:val="001D76E4"/>
    <w:rsid w:val="001D7B00"/>
    <w:rsid w:val="001D7B28"/>
    <w:rsid w:val="001D7C55"/>
    <w:rsid w:val="001D7FC4"/>
    <w:rsid w:val="001E0494"/>
    <w:rsid w:val="001E1A11"/>
    <w:rsid w:val="001E1B02"/>
    <w:rsid w:val="001E1C81"/>
    <w:rsid w:val="001E206E"/>
    <w:rsid w:val="001E2147"/>
    <w:rsid w:val="001E2577"/>
    <w:rsid w:val="001E3074"/>
    <w:rsid w:val="001E3CF9"/>
    <w:rsid w:val="001E4218"/>
    <w:rsid w:val="001E42F0"/>
    <w:rsid w:val="001E4353"/>
    <w:rsid w:val="001E4558"/>
    <w:rsid w:val="001E51DD"/>
    <w:rsid w:val="001E5C74"/>
    <w:rsid w:val="001E5DE4"/>
    <w:rsid w:val="001E6824"/>
    <w:rsid w:val="001E6954"/>
    <w:rsid w:val="001E69EE"/>
    <w:rsid w:val="001E6F7F"/>
    <w:rsid w:val="001E7A47"/>
    <w:rsid w:val="001F00D1"/>
    <w:rsid w:val="001F06EC"/>
    <w:rsid w:val="001F0B36"/>
    <w:rsid w:val="001F0CF4"/>
    <w:rsid w:val="001F0F42"/>
    <w:rsid w:val="001F1174"/>
    <w:rsid w:val="001F1F81"/>
    <w:rsid w:val="001F1FBF"/>
    <w:rsid w:val="001F222E"/>
    <w:rsid w:val="001F259B"/>
    <w:rsid w:val="001F2B71"/>
    <w:rsid w:val="001F2E81"/>
    <w:rsid w:val="001F2EDC"/>
    <w:rsid w:val="001F3F96"/>
    <w:rsid w:val="001F45EE"/>
    <w:rsid w:val="001F4D0A"/>
    <w:rsid w:val="001F5866"/>
    <w:rsid w:val="001F5BC0"/>
    <w:rsid w:val="001F5C90"/>
    <w:rsid w:val="001F5EE3"/>
    <w:rsid w:val="001F6145"/>
    <w:rsid w:val="001F7D53"/>
    <w:rsid w:val="002001CF"/>
    <w:rsid w:val="002003A9"/>
    <w:rsid w:val="00200AE3"/>
    <w:rsid w:val="00201095"/>
    <w:rsid w:val="002016BF"/>
    <w:rsid w:val="00201D1C"/>
    <w:rsid w:val="00203490"/>
    <w:rsid w:val="002038AD"/>
    <w:rsid w:val="00203F63"/>
    <w:rsid w:val="00204117"/>
    <w:rsid w:val="0020426C"/>
    <w:rsid w:val="00204385"/>
    <w:rsid w:val="00204BDD"/>
    <w:rsid w:val="002050ED"/>
    <w:rsid w:val="00206091"/>
    <w:rsid w:val="00206C4A"/>
    <w:rsid w:val="00207591"/>
    <w:rsid w:val="002101DA"/>
    <w:rsid w:val="002103B8"/>
    <w:rsid w:val="002109C6"/>
    <w:rsid w:val="00210D9F"/>
    <w:rsid w:val="002123DD"/>
    <w:rsid w:val="002125BE"/>
    <w:rsid w:val="00212767"/>
    <w:rsid w:val="00212F91"/>
    <w:rsid w:val="00213013"/>
    <w:rsid w:val="002130A6"/>
    <w:rsid w:val="002133DF"/>
    <w:rsid w:val="00213A49"/>
    <w:rsid w:val="00213DBC"/>
    <w:rsid w:val="00214A92"/>
    <w:rsid w:val="00214A99"/>
    <w:rsid w:val="002150A5"/>
    <w:rsid w:val="002153C8"/>
    <w:rsid w:val="00215AE1"/>
    <w:rsid w:val="00215B4F"/>
    <w:rsid w:val="00215DEE"/>
    <w:rsid w:val="00215EC7"/>
    <w:rsid w:val="00215FC3"/>
    <w:rsid w:val="00216095"/>
    <w:rsid w:val="002161B1"/>
    <w:rsid w:val="002163E7"/>
    <w:rsid w:val="00216618"/>
    <w:rsid w:val="0021742D"/>
    <w:rsid w:val="002177FC"/>
    <w:rsid w:val="00217DC9"/>
    <w:rsid w:val="00217F65"/>
    <w:rsid w:val="002200D2"/>
    <w:rsid w:val="00220E74"/>
    <w:rsid w:val="002210E8"/>
    <w:rsid w:val="002214E3"/>
    <w:rsid w:val="0022160D"/>
    <w:rsid w:val="00221E00"/>
    <w:rsid w:val="00222ED0"/>
    <w:rsid w:val="002232A7"/>
    <w:rsid w:val="0022419B"/>
    <w:rsid w:val="0022422B"/>
    <w:rsid w:val="00224565"/>
    <w:rsid w:val="00224824"/>
    <w:rsid w:val="002253F1"/>
    <w:rsid w:val="00226AAE"/>
    <w:rsid w:val="00226B31"/>
    <w:rsid w:val="00226E16"/>
    <w:rsid w:val="00227539"/>
    <w:rsid w:val="00227E2B"/>
    <w:rsid w:val="00227F7A"/>
    <w:rsid w:val="002301C7"/>
    <w:rsid w:val="00230890"/>
    <w:rsid w:val="00230A50"/>
    <w:rsid w:val="00230B1B"/>
    <w:rsid w:val="00231106"/>
    <w:rsid w:val="00231291"/>
    <w:rsid w:val="00231601"/>
    <w:rsid w:val="00231723"/>
    <w:rsid w:val="00231B44"/>
    <w:rsid w:val="00231BE9"/>
    <w:rsid w:val="00232C57"/>
    <w:rsid w:val="00232DE1"/>
    <w:rsid w:val="00233CA3"/>
    <w:rsid w:val="00233D18"/>
    <w:rsid w:val="00233EC0"/>
    <w:rsid w:val="00233FB4"/>
    <w:rsid w:val="00234340"/>
    <w:rsid w:val="002346D8"/>
    <w:rsid w:val="00235C10"/>
    <w:rsid w:val="00236542"/>
    <w:rsid w:val="002365AF"/>
    <w:rsid w:val="00236735"/>
    <w:rsid w:val="00237293"/>
    <w:rsid w:val="00237C46"/>
    <w:rsid w:val="00237FAE"/>
    <w:rsid w:val="00240147"/>
    <w:rsid w:val="002406B2"/>
    <w:rsid w:val="00240B3F"/>
    <w:rsid w:val="002412BD"/>
    <w:rsid w:val="0024173E"/>
    <w:rsid w:val="00241859"/>
    <w:rsid w:val="00241BF6"/>
    <w:rsid w:val="00241C28"/>
    <w:rsid w:val="002424C7"/>
    <w:rsid w:val="00242E3F"/>
    <w:rsid w:val="00243203"/>
    <w:rsid w:val="0024402E"/>
    <w:rsid w:val="00244599"/>
    <w:rsid w:val="00244BA7"/>
    <w:rsid w:val="002458B8"/>
    <w:rsid w:val="00245C1F"/>
    <w:rsid w:val="00245D79"/>
    <w:rsid w:val="00245E35"/>
    <w:rsid w:val="00245E3E"/>
    <w:rsid w:val="00245EE6"/>
    <w:rsid w:val="00245F4D"/>
    <w:rsid w:val="00247054"/>
    <w:rsid w:val="002470FD"/>
    <w:rsid w:val="002471B2"/>
    <w:rsid w:val="0024799B"/>
    <w:rsid w:val="00247D91"/>
    <w:rsid w:val="00250021"/>
    <w:rsid w:val="00250768"/>
    <w:rsid w:val="0025099C"/>
    <w:rsid w:val="00250EAE"/>
    <w:rsid w:val="002514BA"/>
    <w:rsid w:val="00251690"/>
    <w:rsid w:val="00251A04"/>
    <w:rsid w:val="00251CD8"/>
    <w:rsid w:val="00251D2F"/>
    <w:rsid w:val="002527AB"/>
    <w:rsid w:val="0025302B"/>
    <w:rsid w:val="002530E3"/>
    <w:rsid w:val="0025395F"/>
    <w:rsid w:val="00253CB3"/>
    <w:rsid w:val="00254154"/>
    <w:rsid w:val="0025439B"/>
    <w:rsid w:val="00255232"/>
    <w:rsid w:val="00255681"/>
    <w:rsid w:val="00255881"/>
    <w:rsid w:val="00255EAC"/>
    <w:rsid w:val="00256A29"/>
    <w:rsid w:val="00256AB3"/>
    <w:rsid w:val="00256CC6"/>
    <w:rsid w:val="00256E39"/>
    <w:rsid w:val="00257110"/>
    <w:rsid w:val="0025716F"/>
    <w:rsid w:val="002579A4"/>
    <w:rsid w:val="00257B96"/>
    <w:rsid w:val="00260377"/>
    <w:rsid w:val="002606BE"/>
    <w:rsid w:val="00260920"/>
    <w:rsid w:val="00260D27"/>
    <w:rsid w:val="00261C7A"/>
    <w:rsid w:val="00261E53"/>
    <w:rsid w:val="00261F96"/>
    <w:rsid w:val="00261FED"/>
    <w:rsid w:val="00262044"/>
    <w:rsid w:val="0026234E"/>
    <w:rsid w:val="002626F6"/>
    <w:rsid w:val="0026405B"/>
    <w:rsid w:val="00264D84"/>
    <w:rsid w:val="00264E9A"/>
    <w:rsid w:val="002659E4"/>
    <w:rsid w:val="00265AB4"/>
    <w:rsid w:val="00265F18"/>
    <w:rsid w:val="002662C4"/>
    <w:rsid w:val="0026692D"/>
    <w:rsid w:val="00266A59"/>
    <w:rsid w:val="00267347"/>
    <w:rsid w:val="00267487"/>
    <w:rsid w:val="00267C3C"/>
    <w:rsid w:val="00270078"/>
    <w:rsid w:val="00270351"/>
    <w:rsid w:val="00270566"/>
    <w:rsid w:val="00270FB0"/>
    <w:rsid w:val="00271559"/>
    <w:rsid w:val="00271826"/>
    <w:rsid w:val="00271915"/>
    <w:rsid w:val="002725D1"/>
    <w:rsid w:val="00272631"/>
    <w:rsid w:val="00272ABA"/>
    <w:rsid w:val="00272D2C"/>
    <w:rsid w:val="00273305"/>
    <w:rsid w:val="0027371A"/>
    <w:rsid w:val="00273C8B"/>
    <w:rsid w:val="00273CBE"/>
    <w:rsid w:val="00273CD6"/>
    <w:rsid w:val="00275635"/>
    <w:rsid w:val="002756B9"/>
    <w:rsid w:val="00275E08"/>
    <w:rsid w:val="00276580"/>
    <w:rsid w:val="00276744"/>
    <w:rsid w:val="00276AB2"/>
    <w:rsid w:val="00276E48"/>
    <w:rsid w:val="002772BA"/>
    <w:rsid w:val="00277B2E"/>
    <w:rsid w:val="002802D0"/>
    <w:rsid w:val="00280306"/>
    <w:rsid w:val="0028067D"/>
    <w:rsid w:val="00280B89"/>
    <w:rsid w:val="0028133A"/>
    <w:rsid w:val="002814A3"/>
    <w:rsid w:val="00281677"/>
    <w:rsid w:val="00281687"/>
    <w:rsid w:val="00282499"/>
    <w:rsid w:val="00283097"/>
    <w:rsid w:val="00283DC2"/>
    <w:rsid w:val="002842EA"/>
    <w:rsid w:val="002848ED"/>
    <w:rsid w:val="00284908"/>
    <w:rsid w:val="00285FDB"/>
    <w:rsid w:val="00286049"/>
    <w:rsid w:val="002860F6"/>
    <w:rsid w:val="0028672B"/>
    <w:rsid w:val="00287C95"/>
    <w:rsid w:val="0029006D"/>
    <w:rsid w:val="002901F4"/>
    <w:rsid w:val="0029057D"/>
    <w:rsid w:val="00290645"/>
    <w:rsid w:val="002906FD"/>
    <w:rsid w:val="0029122A"/>
    <w:rsid w:val="00291553"/>
    <w:rsid w:val="00291716"/>
    <w:rsid w:val="00291D8D"/>
    <w:rsid w:val="00291FF0"/>
    <w:rsid w:val="00292452"/>
    <w:rsid w:val="002927A6"/>
    <w:rsid w:val="0029583D"/>
    <w:rsid w:val="002958B4"/>
    <w:rsid w:val="00295B5A"/>
    <w:rsid w:val="00296052"/>
    <w:rsid w:val="00296355"/>
    <w:rsid w:val="00296489"/>
    <w:rsid w:val="002975AD"/>
    <w:rsid w:val="00297638"/>
    <w:rsid w:val="00297985"/>
    <w:rsid w:val="00297C67"/>
    <w:rsid w:val="00297EDB"/>
    <w:rsid w:val="002A1A5F"/>
    <w:rsid w:val="002A1D5C"/>
    <w:rsid w:val="002A20B2"/>
    <w:rsid w:val="002A23DB"/>
    <w:rsid w:val="002A2BBD"/>
    <w:rsid w:val="002A2F6D"/>
    <w:rsid w:val="002A3225"/>
    <w:rsid w:val="002A34AD"/>
    <w:rsid w:val="002A356B"/>
    <w:rsid w:val="002A35F6"/>
    <w:rsid w:val="002A4CFB"/>
    <w:rsid w:val="002A4DA3"/>
    <w:rsid w:val="002A4F42"/>
    <w:rsid w:val="002A5980"/>
    <w:rsid w:val="002A5ABE"/>
    <w:rsid w:val="002A6149"/>
    <w:rsid w:val="002A6487"/>
    <w:rsid w:val="002A6592"/>
    <w:rsid w:val="002A6EDF"/>
    <w:rsid w:val="002A721E"/>
    <w:rsid w:val="002A757C"/>
    <w:rsid w:val="002B0463"/>
    <w:rsid w:val="002B0B02"/>
    <w:rsid w:val="002B0D29"/>
    <w:rsid w:val="002B165C"/>
    <w:rsid w:val="002B17C2"/>
    <w:rsid w:val="002B1AE1"/>
    <w:rsid w:val="002B210B"/>
    <w:rsid w:val="002B271B"/>
    <w:rsid w:val="002B273D"/>
    <w:rsid w:val="002B2851"/>
    <w:rsid w:val="002B2C2A"/>
    <w:rsid w:val="002B3065"/>
    <w:rsid w:val="002B3457"/>
    <w:rsid w:val="002B409B"/>
    <w:rsid w:val="002B41A6"/>
    <w:rsid w:val="002B424A"/>
    <w:rsid w:val="002B47D0"/>
    <w:rsid w:val="002B4D66"/>
    <w:rsid w:val="002B4DC0"/>
    <w:rsid w:val="002B4FF7"/>
    <w:rsid w:val="002B58AB"/>
    <w:rsid w:val="002B5CFA"/>
    <w:rsid w:val="002B5DDE"/>
    <w:rsid w:val="002B609F"/>
    <w:rsid w:val="002B60B9"/>
    <w:rsid w:val="002B6502"/>
    <w:rsid w:val="002B65FA"/>
    <w:rsid w:val="002B6C7E"/>
    <w:rsid w:val="002B6EB8"/>
    <w:rsid w:val="002B72BA"/>
    <w:rsid w:val="002B7305"/>
    <w:rsid w:val="002C0738"/>
    <w:rsid w:val="002C07FC"/>
    <w:rsid w:val="002C10E2"/>
    <w:rsid w:val="002C12C7"/>
    <w:rsid w:val="002C179A"/>
    <w:rsid w:val="002C186D"/>
    <w:rsid w:val="002C1FB0"/>
    <w:rsid w:val="002C2A75"/>
    <w:rsid w:val="002C2EA4"/>
    <w:rsid w:val="002C2EAF"/>
    <w:rsid w:val="002C3148"/>
    <w:rsid w:val="002C3B21"/>
    <w:rsid w:val="002C3D2B"/>
    <w:rsid w:val="002C3EC0"/>
    <w:rsid w:val="002C3F2D"/>
    <w:rsid w:val="002C4338"/>
    <w:rsid w:val="002C4D9C"/>
    <w:rsid w:val="002C4F9A"/>
    <w:rsid w:val="002C53B7"/>
    <w:rsid w:val="002C5772"/>
    <w:rsid w:val="002C5F24"/>
    <w:rsid w:val="002C6320"/>
    <w:rsid w:val="002C759C"/>
    <w:rsid w:val="002C7BFE"/>
    <w:rsid w:val="002D0015"/>
    <w:rsid w:val="002D001F"/>
    <w:rsid w:val="002D0561"/>
    <w:rsid w:val="002D150B"/>
    <w:rsid w:val="002D1A47"/>
    <w:rsid w:val="002D1FB8"/>
    <w:rsid w:val="002D2D5A"/>
    <w:rsid w:val="002D2F55"/>
    <w:rsid w:val="002D3026"/>
    <w:rsid w:val="002D3051"/>
    <w:rsid w:val="002D3215"/>
    <w:rsid w:val="002D37E6"/>
    <w:rsid w:val="002D3B34"/>
    <w:rsid w:val="002D3F4C"/>
    <w:rsid w:val="002D5768"/>
    <w:rsid w:val="002D595F"/>
    <w:rsid w:val="002D5F22"/>
    <w:rsid w:val="002D67C1"/>
    <w:rsid w:val="002D6B3D"/>
    <w:rsid w:val="002D6D86"/>
    <w:rsid w:val="002D6F2A"/>
    <w:rsid w:val="002D7A9E"/>
    <w:rsid w:val="002E0523"/>
    <w:rsid w:val="002E072E"/>
    <w:rsid w:val="002E0E10"/>
    <w:rsid w:val="002E25F0"/>
    <w:rsid w:val="002E2645"/>
    <w:rsid w:val="002E2FF5"/>
    <w:rsid w:val="002E3311"/>
    <w:rsid w:val="002E3429"/>
    <w:rsid w:val="002E3639"/>
    <w:rsid w:val="002E3924"/>
    <w:rsid w:val="002E3A3B"/>
    <w:rsid w:val="002E3AD1"/>
    <w:rsid w:val="002E3B65"/>
    <w:rsid w:val="002E3BBD"/>
    <w:rsid w:val="002E49A7"/>
    <w:rsid w:val="002E4B9B"/>
    <w:rsid w:val="002E4E32"/>
    <w:rsid w:val="002E5065"/>
    <w:rsid w:val="002E5191"/>
    <w:rsid w:val="002E553B"/>
    <w:rsid w:val="002E648A"/>
    <w:rsid w:val="002E64DF"/>
    <w:rsid w:val="002E666B"/>
    <w:rsid w:val="002E6C7D"/>
    <w:rsid w:val="002E741C"/>
    <w:rsid w:val="002E7F2A"/>
    <w:rsid w:val="002F02D8"/>
    <w:rsid w:val="002F0311"/>
    <w:rsid w:val="002F03DA"/>
    <w:rsid w:val="002F0D44"/>
    <w:rsid w:val="002F11FA"/>
    <w:rsid w:val="002F1C4B"/>
    <w:rsid w:val="002F1FFC"/>
    <w:rsid w:val="002F25E5"/>
    <w:rsid w:val="002F2B1D"/>
    <w:rsid w:val="002F2BCD"/>
    <w:rsid w:val="002F2D93"/>
    <w:rsid w:val="002F3834"/>
    <w:rsid w:val="002F390D"/>
    <w:rsid w:val="002F3A88"/>
    <w:rsid w:val="002F3CD5"/>
    <w:rsid w:val="002F3F0F"/>
    <w:rsid w:val="002F4965"/>
    <w:rsid w:val="002F49F0"/>
    <w:rsid w:val="002F4C8E"/>
    <w:rsid w:val="002F4D75"/>
    <w:rsid w:val="002F4E07"/>
    <w:rsid w:val="002F51E5"/>
    <w:rsid w:val="002F5213"/>
    <w:rsid w:val="002F564C"/>
    <w:rsid w:val="002F5A26"/>
    <w:rsid w:val="002F5AAF"/>
    <w:rsid w:val="002F7130"/>
    <w:rsid w:val="002F79A2"/>
    <w:rsid w:val="002F79D8"/>
    <w:rsid w:val="003001AA"/>
    <w:rsid w:val="00300E8B"/>
    <w:rsid w:val="003012B6"/>
    <w:rsid w:val="00301520"/>
    <w:rsid w:val="00301D69"/>
    <w:rsid w:val="00301D6F"/>
    <w:rsid w:val="00302014"/>
    <w:rsid w:val="003027AF"/>
    <w:rsid w:val="00302BB5"/>
    <w:rsid w:val="00302D07"/>
    <w:rsid w:val="00303243"/>
    <w:rsid w:val="003032BB"/>
    <w:rsid w:val="00303C9E"/>
    <w:rsid w:val="003041CF"/>
    <w:rsid w:val="0030478A"/>
    <w:rsid w:val="00304812"/>
    <w:rsid w:val="00304A9D"/>
    <w:rsid w:val="003058D9"/>
    <w:rsid w:val="003059A8"/>
    <w:rsid w:val="00305DFA"/>
    <w:rsid w:val="00305E47"/>
    <w:rsid w:val="00306E6F"/>
    <w:rsid w:val="00306F72"/>
    <w:rsid w:val="0030753E"/>
    <w:rsid w:val="0030782A"/>
    <w:rsid w:val="00310255"/>
    <w:rsid w:val="0031047A"/>
    <w:rsid w:val="0031052C"/>
    <w:rsid w:val="00310711"/>
    <w:rsid w:val="00311195"/>
    <w:rsid w:val="003118D0"/>
    <w:rsid w:val="00311F7D"/>
    <w:rsid w:val="003124F9"/>
    <w:rsid w:val="003140AA"/>
    <w:rsid w:val="00314331"/>
    <w:rsid w:val="003143FB"/>
    <w:rsid w:val="0031441A"/>
    <w:rsid w:val="00314590"/>
    <w:rsid w:val="00314C9D"/>
    <w:rsid w:val="0031507C"/>
    <w:rsid w:val="00315081"/>
    <w:rsid w:val="003155AF"/>
    <w:rsid w:val="003156FF"/>
    <w:rsid w:val="00315956"/>
    <w:rsid w:val="00315E11"/>
    <w:rsid w:val="00316F95"/>
    <w:rsid w:val="00317231"/>
    <w:rsid w:val="0031739B"/>
    <w:rsid w:val="0031760B"/>
    <w:rsid w:val="003200C9"/>
    <w:rsid w:val="00320396"/>
    <w:rsid w:val="0032061B"/>
    <w:rsid w:val="003207DB"/>
    <w:rsid w:val="00320A83"/>
    <w:rsid w:val="00320CF2"/>
    <w:rsid w:val="0032117F"/>
    <w:rsid w:val="00321198"/>
    <w:rsid w:val="00322149"/>
    <w:rsid w:val="00323ED9"/>
    <w:rsid w:val="00323FE4"/>
    <w:rsid w:val="0032459F"/>
    <w:rsid w:val="00324DD7"/>
    <w:rsid w:val="0032564F"/>
    <w:rsid w:val="003261AF"/>
    <w:rsid w:val="00326311"/>
    <w:rsid w:val="0032685C"/>
    <w:rsid w:val="00326BC8"/>
    <w:rsid w:val="00326BED"/>
    <w:rsid w:val="00326EC0"/>
    <w:rsid w:val="003270DF"/>
    <w:rsid w:val="003271B1"/>
    <w:rsid w:val="0032733F"/>
    <w:rsid w:val="00327787"/>
    <w:rsid w:val="003305CF"/>
    <w:rsid w:val="0033071D"/>
    <w:rsid w:val="003309D4"/>
    <w:rsid w:val="003309E9"/>
    <w:rsid w:val="003309F3"/>
    <w:rsid w:val="0033113B"/>
    <w:rsid w:val="00332027"/>
    <w:rsid w:val="003321B4"/>
    <w:rsid w:val="00332866"/>
    <w:rsid w:val="00332FB9"/>
    <w:rsid w:val="003332FB"/>
    <w:rsid w:val="003334BB"/>
    <w:rsid w:val="0033350A"/>
    <w:rsid w:val="0033494F"/>
    <w:rsid w:val="00334EA5"/>
    <w:rsid w:val="003353CA"/>
    <w:rsid w:val="00335C8F"/>
    <w:rsid w:val="003361AC"/>
    <w:rsid w:val="003361E2"/>
    <w:rsid w:val="003363A7"/>
    <w:rsid w:val="003370E8"/>
    <w:rsid w:val="00337195"/>
    <w:rsid w:val="003371BD"/>
    <w:rsid w:val="00337291"/>
    <w:rsid w:val="00337CE8"/>
    <w:rsid w:val="00337D23"/>
    <w:rsid w:val="00337F2B"/>
    <w:rsid w:val="0034031C"/>
    <w:rsid w:val="00340BBC"/>
    <w:rsid w:val="00341909"/>
    <w:rsid w:val="003419DE"/>
    <w:rsid w:val="003427FD"/>
    <w:rsid w:val="00342C44"/>
    <w:rsid w:val="00342D89"/>
    <w:rsid w:val="00343196"/>
    <w:rsid w:val="00343A88"/>
    <w:rsid w:val="00343AF7"/>
    <w:rsid w:val="00344111"/>
    <w:rsid w:val="00344A41"/>
    <w:rsid w:val="00344B77"/>
    <w:rsid w:val="0034530A"/>
    <w:rsid w:val="003469D2"/>
    <w:rsid w:val="00346FD1"/>
    <w:rsid w:val="00347440"/>
    <w:rsid w:val="00347652"/>
    <w:rsid w:val="00347697"/>
    <w:rsid w:val="00347C32"/>
    <w:rsid w:val="00347DF6"/>
    <w:rsid w:val="003503D9"/>
    <w:rsid w:val="003506A9"/>
    <w:rsid w:val="003510A0"/>
    <w:rsid w:val="0035145C"/>
    <w:rsid w:val="003520EC"/>
    <w:rsid w:val="003521B9"/>
    <w:rsid w:val="0035276F"/>
    <w:rsid w:val="00352918"/>
    <w:rsid w:val="003529DE"/>
    <w:rsid w:val="00352A51"/>
    <w:rsid w:val="0035358E"/>
    <w:rsid w:val="0035383E"/>
    <w:rsid w:val="00354950"/>
    <w:rsid w:val="00355107"/>
    <w:rsid w:val="00356041"/>
    <w:rsid w:val="00356A70"/>
    <w:rsid w:val="00356C9A"/>
    <w:rsid w:val="0035711D"/>
    <w:rsid w:val="00357532"/>
    <w:rsid w:val="003578A6"/>
    <w:rsid w:val="00357C82"/>
    <w:rsid w:val="00357CD3"/>
    <w:rsid w:val="00360167"/>
    <w:rsid w:val="00360542"/>
    <w:rsid w:val="003607DD"/>
    <w:rsid w:val="00360FC0"/>
    <w:rsid w:val="003617C0"/>
    <w:rsid w:val="00361CCA"/>
    <w:rsid w:val="00361F4A"/>
    <w:rsid w:val="0036242D"/>
    <w:rsid w:val="0036258F"/>
    <w:rsid w:val="003625EB"/>
    <w:rsid w:val="0036264C"/>
    <w:rsid w:val="00362661"/>
    <w:rsid w:val="0036281D"/>
    <w:rsid w:val="00362B0C"/>
    <w:rsid w:val="00363894"/>
    <w:rsid w:val="00363A95"/>
    <w:rsid w:val="00363AC2"/>
    <w:rsid w:val="00363AF6"/>
    <w:rsid w:val="00364149"/>
    <w:rsid w:val="00364500"/>
    <w:rsid w:val="003646C2"/>
    <w:rsid w:val="00364B33"/>
    <w:rsid w:val="00364BBA"/>
    <w:rsid w:val="00364F25"/>
    <w:rsid w:val="00364FAF"/>
    <w:rsid w:val="0036552E"/>
    <w:rsid w:val="00365A74"/>
    <w:rsid w:val="00365EA7"/>
    <w:rsid w:val="0036627D"/>
    <w:rsid w:val="00366E5B"/>
    <w:rsid w:val="00367BDA"/>
    <w:rsid w:val="00367F3E"/>
    <w:rsid w:val="00370C44"/>
    <w:rsid w:val="00370D21"/>
    <w:rsid w:val="00371579"/>
    <w:rsid w:val="00372139"/>
    <w:rsid w:val="00372811"/>
    <w:rsid w:val="00372988"/>
    <w:rsid w:val="003729C2"/>
    <w:rsid w:val="00373009"/>
    <w:rsid w:val="003733C6"/>
    <w:rsid w:val="003736DE"/>
    <w:rsid w:val="00373A9B"/>
    <w:rsid w:val="00373E12"/>
    <w:rsid w:val="003741A7"/>
    <w:rsid w:val="003744DE"/>
    <w:rsid w:val="00374E7A"/>
    <w:rsid w:val="0037544B"/>
    <w:rsid w:val="00376667"/>
    <w:rsid w:val="00376B85"/>
    <w:rsid w:val="00377A39"/>
    <w:rsid w:val="00377E13"/>
    <w:rsid w:val="00380260"/>
    <w:rsid w:val="00380667"/>
    <w:rsid w:val="00380C4A"/>
    <w:rsid w:val="00380E48"/>
    <w:rsid w:val="00380EC9"/>
    <w:rsid w:val="00381CA4"/>
    <w:rsid w:val="003823E0"/>
    <w:rsid w:val="003833C0"/>
    <w:rsid w:val="00383B4C"/>
    <w:rsid w:val="00383E64"/>
    <w:rsid w:val="00384966"/>
    <w:rsid w:val="00384AAD"/>
    <w:rsid w:val="00385144"/>
    <w:rsid w:val="00385BAA"/>
    <w:rsid w:val="003862CE"/>
    <w:rsid w:val="00386E86"/>
    <w:rsid w:val="00387485"/>
    <w:rsid w:val="00387E20"/>
    <w:rsid w:val="00390272"/>
    <w:rsid w:val="0039039F"/>
    <w:rsid w:val="0039081B"/>
    <w:rsid w:val="00390E6F"/>
    <w:rsid w:val="00391268"/>
    <w:rsid w:val="00391794"/>
    <w:rsid w:val="00391C8E"/>
    <w:rsid w:val="003920BE"/>
    <w:rsid w:val="00392EF2"/>
    <w:rsid w:val="00393052"/>
    <w:rsid w:val="00393188"/>
    <w:rsid w:val="00393245"/>
    <w:rsid w:val="0039379F"/>
    <w:rsid w:val="0039394F"/>
    <w:rsid w:val="003941B0"/>
    <w:rsid w:val="003945E9"/>
    <w:rsid w:val="003947A8"/>
    <w:rsid w:val="003948AA"/>
    <w:rsid w:val="003949EE"/>
    <w:rsid w:val="00394A99"/>
    <w:rsid w:val="00394E15"/>
    <w:rsid w:val="00394F35"/>
    <w:rsid w:val="003951EB"/>
    <w:rsid w:val="0039536F"/>
    <w:rsid w:val="00395441"/>
    <w:rsid w:val="0039568F"/>
    <w:rsid w:val="003958EF"/>
    <w:rsid w:val="00395C86"/>
    <w:rsid w:val="003962F9"/>
    <w:rsid w:val="00396870"/>
    <w:rsid w:val="00396C4F"/>
    <w:rsid w:val="003971EC"/>
    <w:rsid w:val="0039726D"/>
    <w:rsid w:val="003972C1"/>
    <w:rsid w:val="0039736E"/>
    <w:rsid w:val="003979D8"/>
    <w:rsid w:val="00397CFC"/>
    <w:rsid w:val="003A0191"/>
    <w:rsid w:val="003A0537"/>
    <w:rsid w:val="003A0B81"/>
    <w:rsid w:val="003A1174"/>
    <w:rsid w:val="003A17F3"/>
    <w:rsid w:val="003A1E80"/>
    <w:rsid w:val="003A1F46"/>
    <w:rsid w:val="003A21C6"/>
    <w:rsid w:val="003A2459"/>
    <w:rsid w:val="003A279D"/>
    <w:rsid w:val="003A28A1"/>
    <w:rsid w:val="003A2A19"/>
    <w:rsid w:val="003A2BF9"/>
    <w:rsid w:val="003A2EC1"/>
    <w:rsid w:val="003A3046"/>
    <w:rsid w:val="003A308E"/>
    <w:rsid w:val="003A33F8"/>
    <w:rsid w:val="003A344A"/>
    <w:rsid w:val="003A3D38"/>
    <w:rsid w:val="003A4259"/>
    <w:rsid w:val="003A441F"/>
    <w:rsid w:val="003A4450"/>
    <w:rsid w:val="003A44F2"/>
    <w:rsid w:val="003A459B"/>
    <w:rsid w:val="003A496E"/>
    <w:rsid w:val="003A5031"/>
    <w:rsid w:val="003A53BE"/>
    <w:rsid w:val="003A559E"/>
    <w:rsid w:val="003A5DA1"/>
    <w:rsid w:val="003A6847"/>
    <w:rsid w:val="003A6E8E"/>
    <w:rsid w:val="003A6E8F"/>
    <w:rsid w:val="003A78E6"/>
    <w:rsid w:val="003A7DDD"/>
    <w:rsid w:val="003B02F0"/>
    <w:rsid w:val="003B0455"/>
    <w:rsid w:val="003B0A38"/>
    <w:rsid w:val="003B0C07"/>
    <w:rsid w:val="003B0CE5"/>
    <w:rsid w:val="003B0FED"/>
    <w:rsid w:val="003B115A"/>
    <w:rsid w:val="003B197F"/>
    <w:rsid w:val="003B1ACE"/>
    <w:rsid w:val="003B1CD0"/>
    <w:rsid w:val="003B1F30"/>
    <w:rsid w:val="003B2153"/>
    <w:rsid w:val="003B2174"/>
    <w:rsid w:val="003B21F2"/>
    <w:rsid w:val="003B289E"/>
    <w:rsid w:val="003B2BE4"/>
    <w:rsid w:val="003B3D9F"/>
    <w:rsid w:val="003B54E2"/>
    <w:rsid w:val="003B5F85"/>
    <w:rsid w:val="003B6216"/>
    <w:rsid w:val="003B6970"/>
    <w:rsid w:val="003B6CB8"/>
    <w:rsid w:val="003B6F2B"/>
    <w:rsid w:val="003B7791"/>
    <w:rsid w:val="003B77E7"/>
    <w:rsid w:val="003B782E"/>
    <w:rsid w:val="003B79D4"/>
    <w:rsid w:val="003B7CDE"/>
    <w:rsid w:val="003C007A"/>
    <w:rsid w:val="003C0186"/>
    <w:rsid w:val="003C1030"/>
    <w:rsid w:val="003C114B"/>
    <w:rsid w:val="003C11C9"/>
    <w:rsid w:val="003C134C"/>
    <w:rsid w:val="003C1425"/>
    <w:rsid w:val="003C1E64"/>
    <w:rsid w:val="003C1EC2"/>
    <w:rsid w:val="003C1FA2"/>
    <w:rsid w:val="003C23D7"/>
    <w:rsid w:val="003C26DE"/>
    <w:rsid w:val="003C35E1"/>
    <w:rsid w:val="003C3609"/>
    <w:rsid w:val="003C3F46"/>
    <w:rsid w:val="003C437F"/>
    <w:rsid w:val="003C4BEC"/>
    <w:rsid w:val="003C4C96"/>
    <w:rsid w:val="003C59B3"/>
    <w:rsid w:val="003C5F40"/>
    <w:rsid w:val="003C66EA"/>
    <w:rsid w:val="003C6925"/>
    <w:rsid w:val="003C6A34"/>
    <w:rsid w:val="003C7324"/>
    <w:rsid w:val="003C7325"/>
    <w:rsid w:val="003C7937"/>
    <w:rsid w:val="003C7BB4"/>
    <w:rsid w:val="003D0BB8"/>
    <w:rsid w:val="003D0BFA"/>
    <w:rsid w:val="003D0D8D"/>
    <w:rsid w:val="003D0EAB"/>
    <w:rsid w:val="003D0F02"/>
    <w:rsid w:val="003D10AB"/>
    <w:rsid w:val="003D12A5"/>
    <w:rsid w:val="003D12B3"/>
    <w:rsid w:val="003D12E5"/>
    <w:rsid w:val="003D14D9"/>
    <w:rsid w:val="003D1A7E"/>
    <w:rsid w:val="003D22B1"/>
    <w:rsid w:val="003D2520"/>
    <w:rsid w:val="003D2887"/>
    <w:rsid w:val="003D2E0D"/>
    <w:rsid w:val="003D2E98"/>
    <w:rsid w:val="003D2FA0"/>
    <w:rsid w:val="003D30A0"/>
    <w:rsid w:val="003D30A1"/>
    <w:rsid w:val="003D34B2"/>
    <w:rsid w:val="003D416D"/>
    <w:rsid w:val="003D47CE"/>
    <w:rsid w:val="003D4A89"/>
    <w:rsid w:val="003D4DD1"/>
    <w:rsid w:val="003D5576"/>
    <w:rsid w:val="003D574E"/>
    <w:rsid w:val="003D5A74"/>
    <w:rsid w:val="003D5B19"/>
    <w:rsid w:val="003D5EF3"/>
    <w:rsid w:val="003D60F3"/>
    <w:rsid w:val="003D6E1D"/>
    <w:rsid w:val="003D6EB0"/>
    <w:rsid w:val="003D7065"/>
    <w:rsid w:val="003D7476"/>
    <w:rsid w:val="003D7C35"/>
    <w:rsid w:val="003E15FF"/>
    <w:rsid w:val="003E1697"/>
    <w:rsid w:val="003E1785"/>
    <w:rsid w:val="003E1B19"/>
    <w:rsid w:val="003E1B4C"/>
    <w:rsid w:val="003E1F7D"/>
    <w:rsid w:val="003E27B4"/>
    <w:rsid w:val="003E288B"/>
    <w:rsid w:val="003E324B"/>
    <w:rsid w:val="003E37C7"/>
    <w:rsid w:val="003E3AF2"/>
    <w:rsid w:val="003E4A1B"/>
    <w:rsid w:val="003E4BC0"/>
    <w:rsid w:val="003E5EA8"/>
    <w:rsid w:val="003E672F"/>
    <w:rsid w:val="003E679D"/>
    <w:rsid w:val="003E70D6"/>
    <w:rsid w:val="003E724D"/>
    <w:rsid w:val="003E78CF"/>
    <w:rsid w:val="003E7A19"/>
    <w:rsid w:val="003F0230"/>
    <w:rsid w:val="003F05B2"/>
    <w:rsid w:val="003F0ADF"/>
    <w:rsid w:val="003F0B0B"/>
    <w:rsid w:val="003F1859"/>
    <w:rsid w:val="003F1BF1"/>
    <w:rsid w:val="003F20EC"/>
    <w:rsid w:val="003F28BB"/>
    <w:rsid w:val="003F28F3"/>
    <w:rsid w:val="003F2C45"/>
    <w:rsid w:val="003F2D0E"/>
    <w:rsid w:val="003F3030"/>
    <w:rsid w:val="003F31DB"/>
    <w:rsid w:val="003F320E"/>
    <w:rsid w:val="003F3559"/>
    <w:rsid w:val="003F3AA6"/>
    <w:rsid w:val="003F3FC1"/>
    <w:rsid w:val="003F40A1"/>
    <w:rsid w:val="003F412F"/>
    <w:rsid w:val="003F4C83"/>
    <w:rsid w:val="003F4E49"/>
    <w:rsid w:val="003F5576"/>
    <w:rsid w:val="003F59EC"/>
    <w:rsid w:val="003F6053"/>
    <w:rsid w:val="003F650F"/>
    <w:rsid w:val="003F6D6C"/>
    <w:rsid w:val="003F73EE"/>
    <w:rsid w:val="003F76AA"/>
    <w:rsid w:val="003F76DF"/>
    <w:rsid w:val="003F7919"/>
    <w:rsid w:val="003F7AE7"/>
    <w:rsid w:val="003F7DAF"/>
    <w:rsid w:val="003F7DBE"/>
    <w:rsid w:val="00400559"/>
    <w:rsid w:val="00400892"/>
    <w:rsid w:val="00400C37"/>
    <w:rsid w:val="00400F03"/>
    <w:rsid w:val="0040111F"/>
    <w:rsid w:val="00401607"/>
    <w:rsid w:val="00401AD9"/>
    <w:rsid w:val="00401C11"/>
    <w:rsid w:val="004022F7"/>
    <w:rsid w:val="00402D5F"/>
    <w:rsid w:val="00403012"/>
    <w:rsid w:val="00403023"/>
    <w:rsid w:val="004036A8"/>
    <w:rsid w:val="00403D53"/>
    <w:rsid w:val="0040467E"/>
    <w:rsid w:val="004046F6"/>
    <w:rsid w:val="00405A1A"/>
    <w:rsid w:val="004065BE"/>
    <w:rsid w:val="004069C8"/>
    <w:rsid w:val="00407520"/>
    <w:rsid w:val="004079D9"/>
    <w:rsid w:val="00407A44"/>
    <w:rsid w:val="004102A0"/>
    <w:rsid w:val="004110FE"/>
    <w:rsid w:val="0041176F"/>
    <w:rsid w:val="00411AC9"/>
    <w:rsid w:val="00411EFE"/>
    <w:rsid w:val="004125EC"/>
    <w:rsid w:val="0041375B"/>
    <w:rsid w:val="004137C5"/>
    <w:rsid w:val="00413E41"/>
    <w:rsid w:val="00414059"/>
    <w:rsid w:val="004144CE"/>
    <w:rsid w:val="004146A1"/>
    <w:rsid w:val="00414A83"/>
    <w:rsid w:val="00414E52"/>
    <w:rsid w:val="00414EA6"/>
    <w:rsid w:val="0041588C"/>
    <w:rsid w:val="00415916"/>
    <w:rsid w:val="00415B8B"/>
    <w:rsid w:val="00415EA9"/>
    <w:rsid w:val="004162A4"/>
    <w:rsid w:val="004163FE"/>
    <w:rsid w:val="0041763D"/>
    <w:rsid w:val="004176A6"/>
    <w:rsid w:val="00417BA9"/>
    <w:rsid w:val="0042015C"/>
    <w:rsid w:val="0042066D"/>
    <w:rsid w:val="00420B7A"/>
    <w:rsid w:val="0042134C"/>
    <w:rsid w:val="00421896"/>
    <w:rsid w:val="00421AEE"/>
    <w:rsid w:val="00421BFC"/>
    <w:rsid w:val="0042206A"/>
    <w:rsid w:val="00422744"/>
    <w:rsid w:val="0042299E"/>
    <w:rsid w:val="00422B58"/>
    <w:rsid w:val="0042336E"/>
    <w:rsid w:val="00423859"/>
    <w:rsid w:val="00423A7E"/>
    <w:rsid w:val="00423E93"/>
    <w:rsid w:val="00424034"/>
    <w:rsid w:val="0042412B"/>
    <w:rsid w:val="00424159"/>
    <w:rsid w:val="00424303"/>
    <w:rsid w:val="00424439"/>
    <w:rsid w:val="00424742"/>
    <w:rsid w:val="00424EF8"/>
    <w:rsid w:val="00424FEA"/>
    <w:rsid w:val="00425583"/>
    <w:rsid w:val="00425D37"/>
    <w:rsid w:val="00425E9D"/>
    <w:rsid w:val="004260CA"/>
    <w:rsid w:val="00426730"/>
    <w:rsid w:val="004269A5"/>
    <w:rsid w:val="00426C32"/>
    <w:rsid w:val="00426D47"/>
    <w:rsid w:val="00427081"/>
    <w:rsid w:val="00427B00"/>
    <w:rsid w:val="00427F9B"/>
    <w:rsid w:val="004300B0"/>
    <w:rsid w:val="004302EF"/>
    <w:rsid w:val="004306BE"/>
    <w:rsid w:val="00430E94"/>
    <w:rsid w:val="00430FAB"/>
    <w:rsid w:val="00431350"/>
    <w:rsid w:val="004315DF"/>
    <w:rsid w:val="004316A3"/>
    <w:rsid w:val="00431D09"/>
    <w:rsid w:val="004338C5"/>
    <w:rsid w:val="00433B1F"/>
    <w:rsid w:val="00433ED6"/>
    <w:rsid w:val="00434134"/>
    <w:rsid w:val="00434581"/>
    <w:rsid w:val="00435DCF"/>
    <w:rsid w:val="004362C4"/>
    <w:rsid w:val="00436656"/>
    <w:rsid w:val="00437461"/>
    <w:rsid w:val="0043780B"/>
    <w:rsid w:val="0043783D"/>
    <w:rsid w:val="004406C5"/>
    <w:rsid w:val="0044072A"/>
    <w:rsid w:val="004407DC"/>
    <w:rsid w:val="00440DD0"/>
    <w:rsid w:val="00440F60"/>
    <w:rsid w:val="004415C0"/>
    <w:rsid w:val="00441A4F"/>
    <w:rsid w:val="00441FEA"/>
    <w:rsid w:val="00442D40"/>
    <w:rsid w:val="00442D72"/>
    <w:rsid w:val="00442F37"/>
    <w:rsid w:val="0044331B"/>
    <w:rsid w:val="00443365"/>
    <w:rsid w:val="00443553"/>
    <w:rsid w:val="00443AB1"/>
    <w:rsid w:val="004440FE"/>
    <w:rsid w:val="00444A3A"/>
    <w:rsid w:val="0044509E"/>
    <w:rsid w:val="0044554A"/>
    <w:rsid w:val="00445980"/>
    <w:rsid w:val="00445D6E"/>
    <w:rsid w:val="0044611A"/>
    <w:rsid w:val="004461D5"/>
    <w:rsid w:val="00446215"/>
    <w:rsid w:val="00446507"/>
    <w:rsid w:val="004466A8"/>
    <w:rsid w:val="00446C7D"/>
    <w:rsid w:val="00447B2F"/>
    <w:rsid w:val="00447F53"/>
    <w:rsid w:val="00447F9A"/>
    <w:rsid w:val="004512BF"/>
    <w:rsid w:val="00452286"/>
    <w:rsid w:val="00452EC0"/>
    <w:rsid w:val="00453531"/>
    <w:rsid w:val="0045442E"/>
    <w:rsid w:val="00454B99"/>
    <w:rsid w:val="00454D0D"/>
    <w:rsid w:val="00454F4C"/>
    <w:rsid w:val="0045528B"/>
    <w:rsid w:val="004552B9"/>
    <w:rsid w:val="00455687"/>
    <w:rsid w:val="00455AB4"/>
    <w:rsid w:val="00455BF1"/>
    <w:rsid w:val="00455C5C"/>
    <w:rsid w:val="00455E86"/>
    <w:rsid w:val="004572B6"/>
    <w:rsid w:val="00457C09"/>
    <w:rsid w:val="00460496"/>
    <w:rsid w:val="004609B5"/>
    <w:rsid w:val="00460C4A"/>
    <w:rsid w:val="00460F6E"/>
    <w:rsid w:val="00461357"/>
    <w:rsid w:val="0046159B"/>
    <w:rsid w:val="00461C7B"/>
    <w:rsid w:val="00461F2A"/>
    <w:rsid w:val="004631A3"/>
    <w:rsid w:val="00463373"/>
    <w:rsid w:val="00463970"/>
    <w:rsid w:val="00463977"/>
    <w:rsid w:val="00463D8F"/>
    <w:rsid w:val="0046445D"/>
    <w:rsid w:val="00465DF3"/>
    <w:rsid w:val="004665A1"/>
    <w:rsid w:val="00466AB3"/>
    <w:rsid w:val="00466C1F"/>
    <w:rsid w:val="00466D30"/>
    <w:rsid w:val="00467F56"/>
    <w:rsid w:val="00470B45"/>
    <w:rsid w:val="00471176"/>
    <w:rsid w:val="0047156D"/>
    <w:rsid w:val="004718A5"/>
    <w:rsid w:val="004727B1"/>
    <w:rsid w:val="00472E4B"/>
    <w:rsid w:val="00472FCC"/>
    <w:rsid w:val="00473B79"/>
    <w:rsid w:val="00474052"/>
    <w:rsid w:val="00474772"/>
    <w:rsid w:val="00474D0A"/>
    <w:rsid w:val="00474FF0"/>
    <w:rsid w:val="004750E2"/>
    <w:rsid w:val="00475477"/>
    <w:rsid w:val="0047644E"/>
    <w:rsid w:val="00476F69"/>
    <w:rsid w:val="00477038"/>
    <w:rsid w:val="0047705C"/>
    <w:rsid w:val="00477547"/>
    <w:rsid w:val="00477D52"/>
    <w:rsid w:val="00477F85"/>
    <w:rsid w:val="0048084B"/>
    <w:rsid w:val="00480CD1"/>
    <w:rsid w:val="00480FD0"/>
    <w:rsid w:val="00481227"/>
    <w:rsid w:val="00481337"/>
    <w:rsid w:val="00481736"/>
    <w:rsid w:val="0048185E"/>
    <w:rsid w:val="00482410"/>
    <w:rsid w:val="004827A1"/>
    <w:rsid w:val="00483341"/>
    <w:rsid w:val="0048342C"/>
    <w:rsid w:val="004838ED"/>
    <w:rsid w:val="00484DF8"/>
    <w:rsid w:val="00484F41"/>
    <w:rsid w:val="00486547"/>
    <w:rsid w:val="0048660C"/>
    <w:rsid w:val="00486FAB"/>
    <w:rsid w:val="00487039"/>
    <w:rsid w:val="0048719F"/>
    <w:rsid w:val="004877B4"/>
    <w:rsid w:val="00487E97"/>
    <w:rsid w:val="004901F4"/>
    <w:rsid w:val="00490222"/>
    <w:rsid w:val="004903DF"/>
    <w:rsid w:val="0049068E"/>
    <w:rsid w:val="00490736"/>
    <w:rsid w:val="00490746"/>
    <w:rsid w:val="004910DA"/>
    <w:rsid w:val="00491102"/>
    <w:rsid w:val="00491656"/>
    <w:rsid w:val="00492230"/>
    <w:rsid w:val="00492351"/>
    <w:rsid w:val="00493C01"/>
    <w:rsid w:val="00494EC0"/>
    <w:rsid w:val="00495217"/>
    <w:rsid w:val="004952D1"/>
    <w:rsid w:val="00495504"/>
    <w:rsid w:val="00495948"/>
    <w:rsid w:val="00495BBD"/>
    <w:rsid w:val="00495D17"/>
    <w:rsid w:val="004961A4"/>
    <w:rsid w:val="00496360"/>
    <w:rsid w:val="004963FF"/>
    <w:rsid w:val="004966F1"/>
    <w:rsid w:val="00496D09"/>
    <w:rsid w:val="00496F7E"/>
    <w:rsid w:val="004973F0"/>
    <w:rsid w:val="004976C2"/>
    <w:rsid w:val="004A0C6E"/>
    <w:rsid w:val="004A12FC"/>
    <w:rsid w:val="004A1BE5"/>
    <w:rsid w:val="004A1E79"/>
    <w:rsid w:val="004A211B"/>
    <w:rsid w:val="004A2DA8"/>
    <w:rsid w:val="004A3815"/>
    <w:rsid w:val="004A3873"/>
    <w:rsid w:val="004A3AB9"/>
    <w:rsid w:val="004A3FC9"/>
    <w:rsid w:val="004A4283"/>
    <w:rsid w:val="004A4377"/>
    <w:rsid w:val="004A47FD"/>
    <w:rsid w:val="004A4CFA"/>
    <w:rsid w:val="004A5735"/>
    <w:rsid w:val="004A5F5E"/>
    <w:rsid w:val="004A60EF"/>
    <w:rsid w:val="004A65A8"/>
    <w:rsid w:val="004A6DEA"/>
    <w:rsid w:val="004A7076"/>
    <w:rsid w:val="004A76A3"/>
    <w:rsid w:val="004B0216"/>
    <w:rsid w:val="004B082B"/>
    <w:rsid w:val="004B2EC4"/>
    <w:rsid w:val="004B362D"/>
    <w:rsid w:val="004B3807"/>
    <w:rsid w:val="004B4A28"/>
    <w:rsid w:val="004B4EF8"/>
    <w:rsid w:val="004B51EF"/>
    <w:rsid w:val="004B5775"/>
    <w:rsid w:val="004B58DE"/>
    <w:rsid w:val="004B5A71"/>
    <w:rsid w:val="004B5AD1"/>
    <w:rsid w:val="004B5F42"/>
    <w:rsid w:val="004B600A"/>
    <w:rsid w:val="004B632D"/>
    <w:rsid w:val="004B63F3"/>
    <w:rsid w:val="004B68AA"/>
    <w:rsid w:val="004B6946"/>
    <w:rsid w:val="004B78FF"/>
    <w:rsid w:val="004C1115"/>
    <w:rsid w:val="004C1428"/>
    <w:rsid w:val="004C157B"/>
    <w:rsid w:val="004C1981"/>
    <w:rsid w:val="004C19B7"/>
    <w:rsid w:val="004C1F7B"/>
    <w:rsid w:val="004C25BE"/>
    <w:rsid w:val="004C2BB7"/>
    <w:rsid w:val="004C3228"/>
    <w:rsid w:val="004C355D"/>
    <w:rsid w:val="004C36CD"/>
    <w:rsid w:val="004C3AB8"/>
    <w:rsid w:val="004C55AC"/>
    <w:rsid w:val="004C5976"/>
    <w:rsid w:val="004C5C30"/>
    <w:rsid w:val="004C607D"/>
    <w:rsid w:val="004C633D"/>
    <w:rsid w:val="004C6843"/>
    <w:rsid w:val="004C71C3"/>
    <w:rsid w:val="004C7A81"/>
    <w:rsid w:val="004C7DAD"/>
    <w:rsid w:val="004D017D"/>
    <w:rsid w:val="004D0218"/>
    <w:rsid w:val="004D08BC"/>
    <w:rsid w:val="004D1212"/>
    <w:rsid w:val="004D1CC2"/>
    <w:rsid w:val="004D2112"/>
    <w:rsid w:val="004D2B85"/>
    <w:rsid w:val="004D2F64"/>
    <w:rsid w:val="004D3C31"/>
    <w:rsid w:val="004D3C80"/>
    <w:rsid w:val="004D3F44"/>
    <w:rsid w:val="004D47C2"/>
    <w:rsid w:val="004D490B"/>
    <w:rsid w:val="004D5229"/>
    <w:rsid w:val="004D5C59"/>
    <w:rsid w:val="004D6669"/>
    <w:rsid w:val="004D6C32"/>
    <w:rsid w:val="004D6E2B"/>
    <w:rsid w:val="004D6E4E"/>
    <w:rsid w:val="004D6F61"/>
    <w:rsid w:val="004D7706"/>
    <w:rsid w:val="004D7B3D"/>
    <w:rsid w:val="004D7C81"/>
    <w:rsid w:val="004D7FB9"/>
    <w:rsid w:val="004E01FF"/>
    <w:rsid w:val="004E04AF"/>
    <w:rsid w:val="004E0659"/>
    <w:rsid w:val="004E0A5B"/>
    <w:rsid w:val="004E0A93"/>
    <w:rsid w:val="004E0C52"/>
    <w:rsid w:val="004E10EB"/>
    <w:rsid w:val="004E1A2E"/>
    <w:rsid w:val="004E1A5C"/>
    <w:rsid w:val="004E1AF0"/>
    <w:rsid w:val="004E2030"/>
    <w:rsid w:val="004E2837"/>
    <w:rsid w:val="004E29E3"/>
    <w:rsid w:val="004E2C1A"/>
    <w:rsid w:val="004E2F78"/>
    <w:rsid w:val="004E35BE"/>
    <w:rsid w:val="004E4839"/>
    <w:rsid w:val="004E4DC3"/>
    <w:rsid w:val="004E4E40"/>
    <w:rsid w:val="004E51D5"/>
    <w:rsid w:val="004E52D1"/>
    <w:rsid w:val="004E55D6"/>
    <w:rsid w:val="004E56D7"/>
    <w:rsid w:val="004E58D6"/>
    <w:rsid w:val="004E605B"/>
    <w:rsid w:val="004E62D4"/>
    <w:rsid w:val="004E6742"/>
    <w:rsid w:val="004E6BA6"/>
    <w:rsid w:val="004E6C7A"/>
    <w:rsid w:val="004E6C7C"/>
    <w:rsid w:val="004E76DA"/>
    <w:rsid w:val="004E793E"/>
    <w:rsid w:val="004E7AE3"/>
    <w:rsid w:val="004F013D"/>
    <w:rsid w:val="004F01FA"/>
    <w:rsid w:val="004F085D"/>
    <w:rsid w:val="004F0F51"/>
    <w:rsid w:val="004F1576"/>
    <w:rsid w:val="004F2060"/>
    <w:rsid w:val="004F2570"/>
    <w:rsid w:val="004F3059"/>
    <w:rsid w:val="004F3775"/>
    <w:rsid w:val="004F3AE9"/>
    <w:rsid w:val="004F3E0C"/>
    <w:rsid w:val="004F4265"/>
    <w:rsid w:val="004F46CB"/>
    <w:rsid w:val="004F4C80"/>
    <w:rsid w:val="004F4CC8"/>
    <w:rsid w:val="004F4E5D"/>
    <w:rsid w:val="004F5525"/>
    <w:rsid w:val="004F57A3"/>
    <w:rsid w:val="004F5A01"/>
    <w:rsid w:val="004F5C8F"/>
    <w:rsid w:val="004F5FFB"/>
    <w:rsid w:val="004F649E"/>
    <w:rsid w:val="004F713E"/>
    <w:rsid w:val="004F7532"/>
    <w:rsid w:val="005004FB"/>
    <w:rsid w:val="00500AFA"/>
    <w:rsid w:val="005013BF"/>
    <w:rsid w:val="005017B6"/>
    <w:rsid w:val="00501FCE"/>
    <w:rsid w:val="00502465"/>
    <w:rsid w:val="00502DAF"/>
    <w:rsid w:val="00502EEC"/>
    <w:rsid w:val="005036CB"/>
    <w:rsid w:val="005037BE"/>
    <w:rsid w:val="00503987"/>
    <w:rsid w:val="00504187"/>
    <w:rsid w:val="00504ED8"/>
    <w:rsid w:val="0050511A"/>
    <w:rsid w:val="00505504"/>
    <w:rsid w:val="00505740"/>
    <w:rsid w:val="0050690B"/>
    <w:rsid w:val="00506DBD"/>
    <w:rsid w:val="00506E62"/>
    <w:rsid w:val="00506FCE"/>
    <w:rsid w:val="0050783F"/>
    <w:rsid w:val="0051021C"/>
    <w:rsid w:val="00511267"/>
    <w:rsid w:val="00511B4B"/>
    <w:rsid w:val="00511D69"/>
    <w:rsid w:val="0051268F"/>
    <w:rsid w:val="005128AC"/>
    <w:rsid w:val="005129F3"/>
    <w:rsid w:val="00512B2F"/>
    <w:rsid w:val="00513223"/>
    <w:rsid w:val="00513443"/>
    <w:rsid w:val="00513A40"/>
    <w:rsid w:val="00513D0A"/>
    <w:rsid w:val="00514732"/>
    <w:rsid w:val="005155A0"/>
    <w:rsid w:val="00515818"/>
    <w:rsid w:val="00515B97"/>
    <w:rsid w:val="00515BCD"/>
    <w:rsid w:val="00515C69"/>
    <w:rsid w:val="00515EDF"/>
    <w:rsid w:val="005161FC"/>
    <w:rsid w:val="00516292"/>
    <w:rsid w:val="005168BE"/>
    <w:rsid w:val="00516E61"/>
    <w:rsid w:val="00517E76"/>
    <w:rsid w:val="005209A0"/>
    <w:rsid w:val="00520B7A"/>
    <w:rsid w:val="00520DAB"/>
    <w:rsid w:val="00521068"/>
    <w:rsid w:val="005215EE"/>
    <w:rsid w:val="005215F8"/>
    <w:rsid w:val="00521F32"/>
    <w:rsid w:val="00522283"/>
    <w:rsid w:val="0052251A"/>
    <w:rsid w:val="0052254F"/>
    <w:rsid w:val="005226B1"/>
    <w:rsid w:val="0052352C"/>
    <w:rsid w:val="00523580"/>
    <w:rsid w:val="005237DE"/>
    <w:rsid w:val="00523DBC"/>
    <w:rsid w:val="00523EEF"/>
    <w:rsid w:val="00524269"/>
    <w:rsid w:val="005244BA"/>
    <w:rsid w:val="0052499B"/>
    <w:rsid w:val="00524EEB"/>
    <w:rsid w:val="00525015"/>
    <w:rsid w:val="005261D4"/>
    <w:rsid w:val="005262EB"/>
    <w:rsid w:val="005263AA"/>
    <w:rsid w:val="005264B0"/>
    <w:rsid w:val="00526BBA"/>
    <w:rsid w:val="00526D90"/>
    <w:rsid w:val="00526E05"/>
    <w:rsid w:val="00527204"/>
    <w:rsid w:val="005272F9"/>
    <w:rsid w:val="0052733F"/>
    <w:rsid w:val="005277CC"/>
    <w:rsid w:val="00527BF2"/>
    <w:rsid w:val="00527D92"/>
    <w:rsid w:val="0053008F"/>
    <w:rsid w:val="00530581"/>
    <w:rsid w:val="005305ED"/>
    <w:rsid w:val="00530C94"/>
    <w:rsid w:val="00531554"/>
    <w:rsid w:val="00531CAB"/>
    <w:rsid w:val="0053227E"/>
    <w:rsid w:val="0053239D"/>
    <w:rsid w:val="005325C0"/>
    <w:rsid w:val="00532869"/>
    <w:rsid w:val="00532CDE"/>
    <w:rsid w:val="0053312F"/>
    <w:rsid w:val="0053325F"/>
    <w:rsid w:val="00533665"/>
    <w:rsid w:val="00533E6E"/>
    <w:rsid w:val="00533F6F"/>
    <w:rsid w:val="0053485A"/>
    <w:rsid w:val="00535E11"/>
    <w:rsid w:val="00537366"/>
    <w:rsid w:val="00537B0C"/>
    <w:rsid w:val="005402EE"/>
    <w:rsid w:val="005409AA"/>
    <w:rsid w:val="00540F55"/>
    <w:rsid w:val="005410F7"/>
    <w:rsid w:val="00541ADD"/>
    <w:rsid w:val="00541B8A"/>
    <w:rsid w:val="005426B7"/>
    <w:rsid w:val="005429C9"/>
    <w:rsid w:val="00542C43"/>
    <w:rsid w:val="00542C8E"/>
    <w:rsid w:val="00543286"/>
    <w:rsid w:val="0054343C"/>
    <w:rsid w:val="00543DD4"/>
    <w:rsid w:val="00544795"/>
    <w:rsid w:val="00544B1F"/>
    <w:rsid w:val="00545395"/>
    <w:rsid w:val="0054562A"/>
    <w:rsid w:val="00545CF8"/>
    <w:rsid w:val="00546AEF"/>
    <w:rsid w:val="00546D35"/>
    <w:rsid w:val="00546F93"/>
    <w:rsid w:val="00547F3F"/>
    <w:rsid w:val="00550ABF"/>
    <w:rsid w:val="005517EF"/>
    <w:rsid w:val="00551DCF"/>
    <w:rsid w:val="0055295F"/>
    <w:rsid w:val="005531D1"/>
    <w:rsid w:val="0055383F"/>
    <w:rsid w:val="00553AD5"/>
    <w:rsid w:val="00553F0C"/>
    <w:rsid w:val="00553F2B"/>
    <w:rsid w:val="005543E9"/>
    <w:rsid w:val="00554F8E"/>
    <w:rsid w:val="005551ED"/>
    <w:rsid w:val="00555261"/>
    <w:rsid w:val="005564BD"/>
    <w:rsid w:val="005569EA"/>
    <w:rsid w:val="00556EBA"/>
    <w:rsid w:val="00556EF3"/>
    <w:rsid w:val="00557191"/>
    <w:rsid w:val="00557424"/>
    <w:rsid w:val="005574FF"/>
    <w:rsid w:val="005576C1"/>
    <w:rsid w:val="00557955"/>
    <w:rsid w:val="00557B14"/>
    <w:rsid w:val="00557E3E"/>
    <w:rsid w:val="00557E6D"/>
    <w:rsid w:val="0056005A"/>
    <w:rsid w:val="00560229"/>
    <w:rsid w:val="00560355"/>
    <w:rsid w:val="00560755"/>
    <w:rsid w:val="00560AA4"/>
    <w:rsid w:val="00560B0B"/>
    <w:rsid w:val="00560BC4"/>
    <w:rsid w:val="00560C58"/>
    <w:rsid w:val="00561ADD"/>
    <w:rsid w:val="00561C1D"/>
    <w:rsid w:val="00561D85"/>
    <w:rsid w:val="005620BD"/>
    <w:rsid w:val="0056214D"/>
    <w:rsid w:val="00562A08"/>
    <w:rsid w:val="00563613"/>
    <w:rsid w:val="00564410"/>
    <w:rsid w:val="005644A4"/>
    <w:rsid w:val="00564902"/>
    <w:rsid w:val="00564905"/>
    <w:rsid w:val="0056499F"/>
    <w:rsid w:val="00564A55"/>
    <w:rsid w:val="00564AF6"/>
    <w:rsid w:val="00564D69"/>
    <w:rsid w:val="00566086"/>
    <w:rsid w:val="0056612A"/>
    <w:rsid w:val="00567122"/>
    <w:rsid w:val="00567252"/>
    <w:rsid w:val="005672A5"/>
    <w:rsid w:val="00567E6C"/>
    <w:rsid w:val="00570025"/>
    <w:rsid w:val="005701B5"/>
    <w:rsid w:val="005703A3"/>
    <w:rsid w:val="005703E3"/>
    <w:rsid w:val="00570B35"/>
    <w:rsid w:val="00570FC7"/>
    <w:rsid w:val="005719E3"/>
    <w:rsid w:val="00571C78"/>
    <w:rsid w:val="00571D8B"/>
    <w:rsid w:val="00572342"/>
    <w:rsid w:val="0057288E"/>
    <w:rsid w:val="005730CD"/>
    <w:rsid w:val="00573BD2"/>
    <w:rsid w:val="00573E2C"/>
    <w:rsid w:val="00574861"/>
    <w:rsid w:val="005748D6"/>
    <w:rsid w:val="005748F3"/>
    <w:rsid w:val="005750C8"/>
    <w:rsid w:val="0057553F"/>
    <w:rsid w:val="00575A17"/>
    <w:rsid w:val="00575B0B"/>
    <w:rsid w:val="00575DE1"/>
    <w:rsid w:val="00575E9E"/>
    <w:rsid w:val="0057628E"/>
    <w:rsid w:val="00576405"/>
    <w:rsid w:val="00576588"/>
    <w:rsid w:val="00576871"/>
    <w:rsid w:val="005778E6"/>
    <w:rsid w:val="00580A72"/>
    <w:rsid w:val="00581AA2"/>
    <w:rsid w:val="00581C51"/>
    <w:rsid w:val="00582015"/>
    <w:rsid w:val="005820B7"/>
    <w:rsid w:val="00582B89"/>
    <w:rsid w:val="00583464"/>
    <w:rsid w:val="00583C63"/>
    <w:rsid w:val="00583F16"/>
    <w:rsid w:val="00584190"/>
    <w:rsid w:val="00584269"/>
    <w:rsid w:val="00584886"/>
    <w:rsid w:val="005848AD"/>
    <w:rsid w:val="00584A5A"/>
    <w:rsid w:val="00584BF5"/>
    <w:rsid w:val="00585FB5"/>
    <w:rsid w:val="005867D0"/>
    <w:rsid w:val="00587208"/>
    <w:rsid w:val="005872BE"/>
    <w:rsid w:val="005906C6"/>
    <w:rsid w:val="0059082E"/>
    <w:rsid w:val="0059180F"/>
    <w:rsid w:val="00591C35"/>
    <w:rsid w:val="00591D86"/>
    <w:rsid w:val="0059273B"/>
    <w:rsid w:val="00592B77"/>
    <w:rsid w:val="0059390E"/>
    <w:rsid w:val="00593D77"/>
    <w:rsid w:val="00594F06"/>
    <w:rsid w:val="005952F9"/>
    <w:rsid w:val="00595FD8"/>
    <w:rsid w:val="005961A9"/>
    <w:rsid w:val="00596530"/>
    <w:rsid w:val="005966B5"/>
    <w:rsid w:val="00596B33"/>
    <w:rsid w:val="00596D9E"/>
    <w:rsid w:val="005971C6"/>
    <w:rsid w:val="00597469"/>
    <w:rsid w:val="00597ABF"/>
    <w:rsid w:val="00597B22"/>
    <w:rsid w:val="005A0662"/>
    <w:rsid w:val="005A1755"/>
    <w:rsid w:val="005A1F98"/>
    <w:rsid w:val="005A200D"/>
    <w:rsid w:val="005A27AE"/>
    <w:rsid w:val="005A2800"/>
    <w:rsid w:val="005A2AB2"/>
    <w:rsid w:val="005A3486"/>
    <w:rsid w:val="005A3584"/>
    <w:rsid w:val="005A36BD"/>
    <w:rsid w:val="005A3732"/>
    <w:rsid w:val="005A396D"/>
    <w:rsid w:val="005A3986"/>
    <w:rsid w:val="005A3B6E"/>
    <w:rsid w:val="005A3D44"/>
    <w:rsid w:val="005A4085"/>
    <w:rsid w:val="005A4223"/>
    <w:rsid w:val="005A42F5"/>
    <w:rsid w:val="005A4D7F"/>
    <w:rsid w:val="005A5194"/>
    <w:rsid w:val="005A5325"/>
    <w:rsid w:val="005A5768"/>
    <w:rsid w:val="005A57C4"/>
    <w:rsid w:val="005A61CA"/>
    <w:rsid w:val="005A6A8A"/>
    <w:rsid w:val="005A71D7"/>
    <w:rsid w:val="005A722A"/>
    <w:rsid w:val="005A75C4"/>
    <w:rsid w:val="005B0E05"/>
    <w:rsid w:val="005B126B"/>
    <w:rsid w:val="005B142C"/>
    <w:rsid w:val="005B14CF"/>
    <w:rsid w:val="005B187D"/>
    <w:rsid w:val="005B2431"/>
    <w:rsid w:val="005B2568"/>
    <w:rsid w:val="005B287E"/>
    <w:rsid w:val="005B3632"/>
    <w:rsid w:val="005B3DB4"/>
    <w:rsid w:val="005B41BE"/>
    <w:rsid w:val="005B43C3"/>
    <w:rsid w:val="005B44E8"/>
    <w:rsid w:val="005B48CD"/>
    <w:rsid w:val="005B4CE9"/>
    <w:rsid w:val="005B4DC0"/>
    <w:rsid w:val="005B5C69"/>
    <w:rsid w:val="005B5DC2"/>
    <w:rsid w:val="005B68B7"/>
    <w:rsid w:val="005B6906"/>
    <w:rsid w:val="005B6BD0"/>
    <w:rsid w:val="005B720B"/>
    <w:rsid w:val="005B738A"/>
    <w:rsid w:val="005B7690"/>
    <w:rsid w:val="005B77C0"/>
    <w:rsid w:val="005B78C9"/>
    <w:rsid w:val="005B7A29"/>
    <w:rsid w:val="005C1098"/>
    <w:rsid w:val="005C1CDD"/>
    <w:rsid w:val="005C1D96"/>
    <w:rsid w:val="005C1F11"/>
    <w:rsid w:val="005C1FE4"/>
    <w:rsid w:val="005C2503"/>
    <w:rsid w:val="005C2741"/>
    <w:rsid w:val="005C2DE3"/>
    <w:rsid w:val="005C36D6"/>
    <w:rsid w:val="005C3EAD"/>
    <w:rsid w:val="005C46AB"/>
    <w:rsid w:val="005C4746"/>
    <w:rsid w:val="005C4B92"/>
    <w:rsid w:val="005C5643"/>
    <w:rsid w:val="005C5B74"/>
    <w:rsid w:val="005C5D9D"/>
    <w:rsid w:val="005C60A2"/>
    <w:rsid w:val="005C6160"/>
    <w:rsid w:val="005C6296"/>
    <w:rsid w:val="005C6A02"/>
    <w:rsid w:val="005C6A09"/>
    <w:rsid w:val="005C6B9D"/>
    <w:rsid w:val="005C6F87"/>
    <w:rsid w:val="005C7552"/>
    <w:rsid w:val="005D0121"/>
    <w:rsid w:val="005D0867"/>
    <w:rsid w:val="005D0890"/>
    <w:rsid w:val="005D0CAD"/>
    <w:rsid w:val="005D0D21"/>
    <w:rsid w:val="005D103B"/>
    <w:rsid w:val="005D171E"/>
    <w:rsid w:val="005D1A6B"/>
    <w:rsid w:val="005D2293"/>
    <w:rsid w:val="005D2783"/>
    <w:rsid w:val="005D2C0D"/>
    <w:rsid w:val="005D33D8"/>
    <w:rsid w:val="005D3A3E"/>
    <w:rsid w:val="005D4453"/>
    <w:rsid w:val="005D5145"/>
    <w:rsid w:val="005D52D7"/>
    <w:rsid w:val="005D5916"/>
    <w:rsid w:val="005D5D43"/>
    <w:rsid w:val="005D5DA0"/>
    <w:rsid w:val="005D5ED0"/>
    <w:rsid w:val="005D6624"/>
    <w:rsid w:val="005D6790"/>
    <w:rsid w:val="005D69C6"/>
    <w:rsid w:val="005D6B47"/>
    <w:rsid w:val="005D6BDD"/>
    <w:rsid w:val="005D712A"/>
    <w:rsid w:val="005D7277"/>
    <w:rsid w:val="005D73A2"/>
    <w:rsid w:val="005D7794"/>
    <w:rsid w:val="005D7DEB"/>
    <w:rsid w:val="005D7F03"/>
    <w:rsid w:val="005E0675"/>
    <w:rsid w:val="005E0ECE"/>
    <w:rsid w:val="005E15FC"/>
    <w:rsid w:val="005E17B5"/>
    <w:rsid w:val="005E229B"/>
    <w:rsid w:val="005E2650"/>
    <w:rsid w:val="005E2B40"/>
    <w:rsid w:val="005E2D5B"/>
    <w:rsid w:val="005E2E7B"/>
    <w:rsid w:val="005E30E7"/>
    <w:rsid w:val="005E3D66"/>
    <w:rsid w:val="005E54EF"/>
    <w:rsid w:val="005E5D13"/>
    <w:rsid w:val="005E5F42"/>
    <w:rsid w:val="005E627D"/>
    <w:rsid w:val="005E64DA"/>
    <w:rsid w:val="005E72E1"/>
    <w:rsid w:val="005E7A28"/>
    <w:rsid w:val="005F0584"/>
    <w:rsid w:val="005F119F"/>
    <w:rsid w:val="005F13BD"/>
    <w:rsid w:val="005F13E7"/>
    <w:rsid w:val="005F1E6E"/>
    <w:rsid w:val="005F1EAC"/>
    <w:rsid w:val="005F2197"/>
    <w:rsid w:val="005F2488"/>
    <w:rsid w:val="005F283C"/>
    <w:rsid w:val="005F321A"/>
    <w:rsid w:val="005F3510"/>
    <w:rsid w:val="005F383C"/>
    <w:rsid w:val="005F3854"/>
    <w:rsid w:val="005F3891"/>
    <w:rsid w:val="005F3D0B"/>
    <w:rsid w:val="005F3E7C"/>
    <w:rsid w:val="005F56C6"/>
    <w:rsid w:val="005F5885"/>
    <w:rsid w:val="005F5986"/>
    <w:rsid w:val="005F5A95"/>
    <w:rsid w:val="005F5DC9"/>
    <w:rsid w:val="005F628D"/>
    <w:rsid w:val="005F70B2"/>
    <w:rsid w:val="005F74CD"/>
    <w:rsid w:val="005F7777"/>
    <w:rsid w:val="0060012F"/>
    <w:rsid w:val="00600677"/>
    <w:rsid w:val="00601544"/>
    <w:rsid w:val="00601B2F"/>
    <w:rsid w:val="00602A3A"/>
    <w:rsid w:val="006032F1"/>
    <w:rsid w:val="0060342C"/>
    <w:rsid w:val="006039DE"/>
    <w:rsid w:val="00603B84"/>
    <w:rsid w:val="006044CF"/>
    <w:rsid w:val="00604998"/>
    <w:rsid w:val="00605FD9"/>
    <w:rsid w:val="006064CC"/>
    <w:rsid w:val="00606879"/>
    <w:rsid w:val="00607493"/>
    <w:rsid w:val="00607777"/>
    <w:rsid w:val="00607EC8"/>
    <w:rsid w:val="00607EF4"/>
    <w:rsid w:val="006104F9"/>
    <w:rsid w:val="00610E0F"/>
    <w:rsid w:val="0061104F"/>
    <w:rsid w:val="00611169"/>
    <w:rsid w:val="00611D57"/>
    <w:rsid w:val="00611F38"/>
    <w:rsid w:val="0061258F"/>
    <w:rsid w:val="00612623"/>
    <w:rsid w:val="006127A7"/>
    <w:rsid w:val="00612AEF"/>
    <w:rsid w:val="00612BEC"/>
    <w:rsid w:val="00613370"/>
    <w:rsid w:val="006139A6"/>
    <w:rsid w:val="00613A8D"/>
    <w:rsid w:val="00613B17"/>
    <w:rsid w:val="00613E6F"/>
    <w:rsid w:val="0061406A"/>
    <w:rsid w:val="006142E8"/>
    <w:rsid w:val="006143E3"/>
    <w:rsid w:val="006146D3"/>
    <w:rsid w:val="00614715"/>
    <w:rsid w:val="00614F26"/>
    <w:rsid w:val="00615397"/>
    <w:rsid w:val="006158B0"/>
    <w:rsid w:val="00616018"/>
    <w:rsid w:val="00616049"/>
    <w:rsid w:val="006160A8"/>
    <w:rsid w:val="00616169"/>
    <w:rsid w:val="00616287"/>
    <w:rsid w:val="006166E2"/>
    <w:rsid w:val="00616D13"/>
    <w:rsid w:val="00617228"/>
    <w:rsid w:val="0061758B"/>
    <w:rsid w:val="00617914"/>
    <w:rsid w:val="006179C7"/>
    <w:rsid w:val="0062014D"/>
    <w:rsid w:val="006207DC"/>
    <w:rsid w:val="0062080B"/>
    <w:rsid w:val="00620FA0"/>
    <w:rsid w:val="00621440"/>
    <w:rsid w:val="006219FF"/>
    <w:rsid w:val="00621AFD"/>
    <w:rsid w:val="00621B73"/>
    <w:rsid w:val="0062512E"/>
    <w:rsid w:val="00625180"/>
    <w:rsid w:val="0062579D"/>
    <w:rsid w:val="006267A5"/>
    <w:rsid w:val="0062703E"/>
    <w:rsid w:val="00630D0E"/>
    <w:rsid w:val="00630FEA"/>
    <w:rsid w:val="00631739"/>
    <w:rsid w:val="0063250B"/>
    <w:rsid w:val="00632A63"/>
    <w:rsid w:val="00632B31"/>
    <w:rsid w:val="00632E18"/>
    <w:rsid w:val="00632E2D"/>
    <w:rsid w:val="00632EFD"/>
    <w:rsid w:val="006330A6"/>
    <w:rsid w:val="0063338D"/>
    <w:rsid w:val="006333A4"/>
    <w:rsid w:val="006333EC"/>
    <w:rsid w:val="0063348A"/>
    <w:rsid w:val="006337E8"/>
    <w:rsid w:val="00633B7A"/>
    <w:rsid w:val="00633B89"/>
    <w:rsid w:val="00633F01"/>
    <w:rsid w:val="00633F5C"/>
    <w:rsid w:val="006342AC"/>
    <w:rsid w:val="006343E0"/>
    <w:rsid w:val="0063446B"/>
    <w:rsid w:val="00634482"/>
    <w:rsid w:val="006344EA"/>
    <w:rsid w:val="006345AB"/>
    <w:rsid w:val="00634A5D"/>
    <w:rsid w:val="00634DE5"/>
    <w:rsid w:val="00636741"/>
    <w:rsid w:val="00636B48"/>
    <w:rsid w:val="00636B74"/>
    <w:rsid w:val="00637DE2"/>
    <w:rsid w:val="00640708"/>
    <w:rsid w:val="00640C06"/>
    <w:rsid w:val="00641B71"/>
    <w:rsid w:val="00641F22"/>
    <w:rsid w:val="00642104"/>
    <w:rsid w:val="00642536"/>
    <w:rsid w:val="00642FF2"/>
    <w:rsid w:val="00643183"/>
    <w:rsid w:val="0064389A"/>
    <w:rsid w:val="00643918"/>
    <w:rsid w:val="00643DC8"/>
    <w:rsid w:val="00643E45"/>
    <w:rsid w:val="00643FD8"/>
    <w:rsid w:val="00644935"/>
    <w:rsid w:val="00644A84"/>
    <w:rsid w:val="00644ACF"/>
    <w:rsid w:val="00645039"/>
    <w:rsid w:val="00645177"/>
    <w:rsid w:val="0064526D"/>
    <w:rsid w:val="00646155"/>
    <w:rsid w:val="00646431"/>
    <w:rsid w:val="006475FD"/>
    <w:rsid w:val="00647C6E"/>
    <w:rsid w:val="006507D5"/>
    <w:rsid w:val="006508C2"/>
    <w:rsid w:val="00650EC6"/>
    <w:rsid w:val="006513B6"/>
    <w:rsid w:val="0065156F"/>
    <w:rsid w:val="00652577"/>
    <w:rsid w:val="00652D9F"/>
    <w:rsid w:val="00653163"/>
    <w:rsid w:val="00653185"/>
    <w:rsid w:val="00653BBD"/>
    <w:rsid w:val="00653BFD"/>
    <w:rsid w:val="00654001"/>
    <w:rsid w:val="0065401B"/>
    <w:rsid w:val="00654086"/>
    <w:rsid w:val="00654123"/>
    <w:rsid w:val="00654259"/>
    <w:rsid w:val="00654270"/>
    <w:rsid w:val="00654619"/>
    <w:rsid w:val="00654A57"/>
    <w:rsid w:val="00654B68"/>
    <w:rsid w:val="00654B7A"/>
    <w:rsid w:val="00654C6E"/>
    <w:rsid w:val="00654DA4"/>
    <w:rsid w:val="006557F8"/>
    <w:rsid w:val="00655C42"/>
    <w:rsid w:val="00655E70"/>
    <w:rsid w:val="00656AD0"/>
    <w:rsid w:val="00656E67"/>
    <w:rsid w:val="006578BF"/>
    <w:rsid w:val="00657B5F"/>
    <w:rsid w:val="0066023A"/>
    <w:rsid w:val="006605B0"/>
    <w:rsid w:val="006607C7"/>
    <w:rsid w:val="00660C21"/>
    <w:rsid w:val="00660C6E"/>
    <w:rsid w:val="00660D7E"/>
    <w:rsid w:val="0066109D"/>
    <w:rsid w:val="00661508"/>
    <w:rsid w:val="00662400"/>
    <w:rsid w:val="006624D0"/>
    <w:rsid w:val="0066279F"/>
    <w:rsid w:val="00663019"/>
    <w:rsid w:val="00663B98"/>
    <w:rsid w:val="00663C3E"/>
    <w:rsid w:val="00663D48"/>
    <w:rsid w:val="00664F88"/>
    <w:rsid w:val="00665254"/>
    <w:rsid w:val="00665F33"/>
    <w:rsid w:val="00666071"/>
    <w:rsid w:val="0066667A"/>
    <w:rsid w:val="00666B67"/>
    <w:rsid w:val="00666E23"/>
    <w:rsid w:val="006672F4"/>
    <w:rsid w:val="006676A1"/>
    <w:rsid w:val="006679DE"/>
    <w:rsid w:val="00667BFD"/>
    <w:rsid w:val="00667D16"/>
    <w:rsid w:val="00667E17"/>
    <w:rsid w:val="0067059A"/>
    <w:rsid w:val="00670BB7"/>
    <w:rsid w:val="00671939"/>
    <w:rsid w:val="00671E93"/>
    <w:rsid w:val="006720BC"/>
    <w:rsid w:val="00672201"/>
    <w:rsid w:val="00672E82"/>
    <w:rsid w:val="0067315B"/>
    <w:rsid w:val="006731B5"/>
    <w:rsid w:val="00673556"/>
    <w:rsid w:val="00673711"/>
    <w:rsid w:val="00673B2D"/>
    <w:rsid w:val="00673D15"/>
    <w:rsid w:val="00675443"/>
    <w:rsid w:val="00675C7E"/>
    <w:rsid w:val="00675C99"/>
    <w:rsid w:val="00675CE1"/>
    <w:rsid w:val="00675E64"/>
    <w:rsid w:val="00675FDC"/>
    <w:rsid w:val="00676205"/>
    <w:rsid w:val="006763C6"/>
    <w:rsid w:val="006764A9"/>
    <w:rsid w:val="00676789"/>
    <w:rsid w:val="00676845"/>
    <w:rsid w:val="00676968"/>
    <w:rsid w:val="00676A5D"/>
    <w:rsid w:val="00677066"/>
    <w:rsid w:val="006774A4"/>
    <w:rsid w:val="006808BD"/>
    <w:rsid w:val="00680922"/>
    <w:rsid w:val="00680EE3"/>
    <w:rsid w:val="00680EEF"/>
    <w:rsid w:val="00680FA3"/>
    <w:rsid w:val="00681076"/>
    <w:rsid w:val="00681122"/>
    <w:rsid w:val="00681B14"/>
    <w:rsid w:val="00681C02"/>
    <w:rsid w:val="00681F2B"/>
    <w:rsid w:val="00682D5C"/>
    <w:rsid w:val="00682FC2"/>
    <w:rsid w:val="00682FFC"/>
    <w:rsid w:val="0068399F"/>
    <w:rsid w:val="00683A24"/>
    <w:rsid w:val="00683D9F"/>
    <w:rsid w:val="00685260"/>
    <w:rsid w:val="00685B5A"/>
    <w:rsid w:val="00685C70"/>
    <w:rsid w:val="006869CC"/>
    <w:rsid w:val="006872CC"/>
    <w:rsid w:val="006874E3"/>
    <w:rsid w:val="006875B2"/>
    <w:rsid w:val="00687813"/>
    <w:rsid w:val="00687935"/>
    <w:rsid w:val="00690DFE"/>
    <w:rsid w:val="00690F62"/>
    <w:rsid w:val="006912EB"/>
    <w:rsid w:val="006915FE"/>
    <w:rsid w:val="00691773"/>
    <w:rsid w:val="00691E4B"/>
    <w:rsid w:val="00692307"/>
    <w:rsid w:val="006935C1"/>
    <w:rsid w:val="00693620"/>
    <w:rsid w:val="00693B01"/>
    <w:rsid w:val="00693DEB"/>
    <w:rsid w:val="00693EA3"/>
    <w:rsid w:val="00694397"/>
    <w:rsid w:val="00695090"/>
    <w:rsid w:val="00695D6D"/>
    <w:rsid w:val="0069692B"/>
    <w:rsid w:val="00696BC0"/>
    <w:rsid w:val="0069758D"/>
    <w:rsid w:val="00697620"/>
    <w:rsid w:val="00697886"/>
    <w:rsid w:val="00697F22"/>
    <w:rsid w:val="006A00D9"/>
    <w:rsid w:val="006A018F"/>
    <w:rsid w:val="006A030E"/>
    <w:rsid w:val="006A0B26"/>
    <w:rsid w:val="006A0D1C"/>
    <w:rsid w:val="006A0F43"/>
    <w:rsid w:val="006A13E7"/>
    <w:rsid w:val="006A1DF3"/>
    <w:rsid w:val="006A2172"/>
    <w:rsid w:val="006A2467"/>
    <w:rsid w:val="006A2CBB"/>
    <w:rsid w:val="006A2F63"/>
    <w:rsid w:val="006A3B8F"/>
    <w:rsid w:val="006A41A1"/>
    <w:rsid w:val="006A45BD"/>
    <w:rsid w:val="006A47EC"/>
    <w:rsid w:val="006A4E9D"/>
    <w:rsid w:val="006A500A"/>
    <w:rsid w:val="006A62A6"/>
    <w:rsid w:val="006A67ED"/>
    <w:rsid w:val="006A6961"/>
    <w:rsid w:val="006A6A86"/>
    <w:rsid w:val="006A6D72"/>
    <w:rsid w:val="006A719B"/>
    <w:rsid w:val="006A7290"/>
    <w:rsid w:val="006A7872"/>
    <w:rsid w:val="006A7CA9"/>
    <w:rsid w:val="006B0282"/>
    <w:rsid w:val="006B110B"/>
    <w:rsid w:val="006B1273"/>
    <w:rsid w:val="006B13D2"/>
    <w:rsid w:val="006B17FE"/>
    <w:rsid w:val="006B1903"/>
    <w:rsid w:val="006B2593"/>
    <w:rsid w:val="006B2B67"/>
    <w:rsid w:val="006B30C1"/>
    <w:rsid w:val="006B3171"/>
    <w:rsid w:val="006B3488"/>
    <w:rsid w:val="006B3664"/>
    <w:rsid w:val="006B3CA8"/>
    <w:rsid w:val="006B3CB2"/>
    <w:rsid w:val="006B407B"/>
    <w:rsid w:val="006B41F6"/>
    <w:rsid w:val="006B482E"/>
    <w:rsid w:val="006B4D75"/>
    <w:rsid w:val="006B571A"/>
    <w:rsid w:val="006B5DF6"/>
    <w:rsid w:val="006B5EDA"/>
    <w:rsid w:val="006B6072"/>
    <w:rsid w:val="006B6148"/>
    <w:rsid w:val="006B69CD"/>
    <w:rsid w:val="006B6D92"/>
    <w:rsid w:val="006B6F69"/>
    <w:rsid w:val="006B7535"/>
    <w:rsid w:val="006B7815"/>
    <w:rsid w:val="006B7BAE"/>
    <w:rsid w:val="006C02DF"/>
    <w:rsid w:val="006C0326"/>
    <w:rsid w:val="006C0940"/>
    <w:rsid w:val="006C0EC0"/>
    <w:rsid w:val="006C1863"/>
    <w:rsid w:val="006C1B4F"/>
    <w:rsid w:val="006C1CD7"/>
    <w:rsid w:val="006C209E"/>
    <w:rsid w:val="006C30D4"/>
    <w:rsid w:val="006C30DA"/>
    <w:rsid w:val="006C32AA"/>
    <w:rsid w:val="006C3ED7"/>
    <w:rsid w:val="006C412F"/>
    <w:rsid w:val="006C49AA"/>
    <w:rsid w:val="006C4EEE"/>
    <w:rsid w:val="006C61C2"/>
    <w:rsid w:val="006C6652"/>
    <w:rsid w:val="006C6AF2"/>
    <w:rsid w:val="006C7345"/>
    <w:rsid w:val="006C73E6"/>
    <w:rsid w:val="006D0A4B"/>
    <w:rsid w:val="006D0EBA"/>
    <w:rsid w:val="006D10CB"/>
    <w:rsid w:val="006D1374"/>
    <w:rsid w:val="006D1477"/>
    <w:rsid w:val="006D22EC"/>
    <w:rsid w:val="006D2D6D"/>
    <w:rsid w:val="006D323F"/>
    <w:rsid w:val="006D45F5"/>
    <w:rsid w:val="006D5883"/>
    <w:rsid w:val="006D5BA6"/>
    <w:rsid w:val="006D5E98"/>
    <w:rsid w:val="006D6063"/>
    <w:rsid w:val="006D60CC"/>
    <w:rsid w:val="006D661D"/>
    <w:rsid w:val="006D669D"/>
    <w:rsid w:val="006D6C40"/>
    <w:rsid w:val="006D6FC7"/>
    <w:rsid w:val="006E0C1E"/>
    <w:rsid w:val="006E0C5A"/>
    <w:rsid w:val="006E1115"/>
    <w:rsid w:val="006E11F0"/>
    <w:rsid w:val="006E1242"/>
    <w:rsid w:val="006E1671"/>
    <w:rsid w:val="006E1E5B"/>
    <w:rsid w:val="006E2C35"/>
    <w:rsid w:val="006E2CC1"/>
    <w:rsid w:val="006E2E15"/>
    <w:rsid w:val="006E2E83"/>
    <w:rsid w:val="006E2EB9"/>
    <w:rsid w:val="006E35AF"/>
    <w:rsid w:val="006E41A0"/>
    <w:rsid w:val="006E4B07"/>
    <w:rsid w:val="006E54C3"/>
    <w:rsid w:val="006E5EEC"/>
    <w:rsid w:val="006E6BF8"/>
    <w:rsid w:val="006E6CED"/>
    <w:rsid w:val="006E70F5"/>
    <w:rsid w:val="006E752E"/>
    <w:rsid w:val="006E75D9"/>
    <w:rsid w:val="006E7810"/>
    <w:rsid w:val="006E788F"/>
    <w:rsid w:val="006E7E7F"/>
    <w:rsid w:val="006F0B60"/>
    <w:rsid w:val="006F162B"/>
    <w:rsid w:val="006F18C3"/>
    <w:rsid w:val="006F1EFD"/>
    <w:rsid w:val="006F2215"/>
    <w:rsid w:val="006F2464"/>
    <w:rsid w:val="006F25CB"/>
    <w:rsid w:val="006F2A3A"/>
    <w:rsid w:val="006F3133"/>
    <w:rsid w:val="006F31EF"/>
    <w:rsid w:val="006F3303"/>
    <w:rsid w:val="006F33B5"/>
    <w:rsid w:val="006F38DA"/>
    <w:rsid w:val="006F3D60"/>
    <w:rsid w:val="006F3F64"/>
    <w:rsid w:val="006F403F"/>
    <w:rsid w:val="006F452D"/>
    <w:rsid w:val="006F4B3A"/>
    <w:rsid w:val="006F4BA3"/>
    <w:rsid w:val="006F5072"/>
    <w:rsid w:val="006F53C8"/>
    <w:rsid w:val="006F5651"/>
    <w:rsid w:val="006F63E1"/>
    <w:rsid w:val="006F6843"/>
    <w:rsid w:val="006F6A66"/>
    <w:rsid w:val="006F7329"/>
    <w:rsid w:val="006F7698"/>
    <w:rsid w:val="006F7EF3"/>
    <w:rsid w:val="007000A8"/>
    <w:rsid w:val="0070020A"/>
    <w:rsid w:val="00700415"/>
    <w:rsid w:val="007009FF"/>
    <w:rsid w:val="00700A9A"/>
    <w:rsid w:val="00700B00"/>
    <w:rsid w:val="00701336"/>
    <w:rsid w:val="0070149A"/>
    <w:rsid w:val="007014CB"/>
    <w:rsid w:val="0070169F"/>
    <w:rsid w:val="00701F1C"/>
    <w:rsid w:val="007023DD"/>
    <w:rsid w:val="007024E8"/>
    <w:rsid w:val="00702F07"/>
    <w:rsid w:val="0070305B"/>
    <w:rsid w:val="0070327F"/>
    <w:rsid w:val="00703412"/>
    <w:rsid w:val="00703494"/>
    <w:rsid w:val="007036B5"/>
    <w:rsid w:val="00703AA9"/>
    <w:rsid w:val="00703B3A"/>
    <w:rsid w:val="00704754"/>
    <w:rsid w:val="00704E1C"/>
    <w:rsid w:val="007051FF"/>
    <w:rsid w:val="0070575E"/>
    <w:rsid w:val="00705AA9"/>
    <w:rsid w:val="00705E77"/>
    <w:rsid w:val="00706187"/>
    <w:rsid w:val="007077D9"/>
    <w:rsid w:val="0070788A"/>
    <w:rsid w:val="00707EE6"/>
    <w:rsid w:val="007102C0"/>
    <w:rsid w:val="007104B4"/>
    <w:rsid w:val="007104D4"/>
    <w:rsid w:val="007108E7"/>
    <w:rsid w:val="00712017"/>
    <w:rsid w:val="00712AB6"/>
    <w:rsid w:val="00712DBB"/>
    <w:rsid w:val="00712F9A"/>
    <w:rsid w:val="0071328C"/>
    <w:rsid w:val="007133A0"/>
    <w:rsid w:val="00713509"/>
    <w:rsid w:val="00713832"/>
    <w:rsid w:val="0071432D"/>
    <w:rsid w:val="00714AB0"/>
    <w:rsid w:val="007150C6"/>
    <w:rsid w:val="00715C0A"/>
    <w:rsid w:val="00715CC4"/>
    <w:rsid w:val="00716270"/>
    <w:rsid w:val="007164C1"/>
    <w:rsid w:val="007165FC"/>
    <w:rsid w:val="0071662F"/>
    <w:rsid w:val="00716B4E"/>
    <w:rsid w:val="007171C9"/>
    <w:rsid w:val="00717770"/>
    <w:rsid w:val="00717A93"/>
    <w:rsid w:val="007207E2"/>
    <w:rsid w:val="00720CCB"/>
    <w:rsid w:val="00721A28"/>
    <w:rsid w:val="00721F5B"/>
    <w:rsid w:val="00722020"/>
    <w:rsid w:val="00722B66"/>
    <w:rsid w:val="00722CAC"/>
    <w:rsid w:val="00722CC2"/>
    <w:rsid w:val="007233D3"/>
    <w:rsid w:val="00723593"/>
    <w:rsid w:val="00723661"/>
    <w:rsid w:val="00723A05"/>
    <w:rsid w:val="0072400B"/>
    <w:rsid w:val="0072456F"/>
    <w:rsid w:val="00724A90"/>
    <w:rsid w:val="007254AF"/>
    <w:rsid w:val="00725F07"/>
    <w:rsid w:val="007261A3"/>
    <w:rsid w:val="007262A7"/>
    <w:rsid w:val="0072688A"/>
    <w:rsid w:val="00727B9A"/>
    <w:rsid w:val="00727EE4"/>
    <w:rsid w:val="00730AD9"/>
    <w:rsid w:val="00730BC5"/>
    <w:rsid w:val="00731024"/>
    <w:rsid w:val="00731C4E"/>
    <w:rsid w:val="00731F5D"/>
    <w:rsid w:val="007323CB"/>
    <w:rsid w:val="007327AC"/>
    <w:rsid w:val="007327CF"/>
    <w:rsid w:val="0073320E"/>
    <w:rsid w:val="0073321E"/>
    <w:rsid w:val="00733AAF"/>
    <w:rsid w:val="00733DE7"/>
    <w:rsid w:val="00734093"/>
    <w:rsid w:val="007340DB"/>
    <w:rsid w:val="00734316"/>
    <w:rsid w:val="0073442B"/>
    <w:rsid w:val="007349FA"/>
    <w:rsid w:val="00734CC3"/>
    <w:rsid w:val="00734EDB"/>
    <w:rsid w:val="0073531C"/>
    <w:rsid w:val="0073545D"/>
    <w:rsid w:val="00735D6B"/>
    <w:rsid w:val="00735FA9"/>
    <w:rsid w:val="00736042"/>
    <w:rsid w:val="00736348"/>
    <w:rsid w:val="0073650B"/>
    <w:rsid w:val="007365F4"/>
    <w:rsid w:val="007366E9"/>
    <w:rsid w:val="00737048"/>
    <w:rsid w:val="007370BA"/>
    <w:rsid w:val="007370BB"/>
    <w:rsid w:val="0073717D"/>
    <w:rsid w:val="0073781C"/>
    <w:rsid w:val="007379E9"/>
    <w:rsid w:val="00737B4F"/>
    <w:rsid w:val="007403AA"/>
    <w:rsid w:val="00740C89"/>
    <w:rsid w:val="00740DAF"/>
    <w:rsid w:val="00740E32"/>
    <w:rsid w:val="007413DB"/>
    <w:rsid w:val="0074150D"/>
    <w:rsid w:val="00741C10"/>
    <w:rsid w:val="00742638"/>
    <w:rsid w:val="00742A7D"/>
    <w:rsid w:val="0074315E"/>
    <w:rsid w:val="00743A77"/>
    <w:rsid w:val="0074433C"/>
    <w:rsid w:val="00744527"/>
    <w:rsid w:val="007447AA"/>
    <w:rsid w:val="00744A81"/>
    <w:rsid w:val="00744B8D"/>
    <w:rsid w:val="00744C6A"/>
    <w:rsid w:val="00745247"/>
    <w:rsid w:val="00745250"/>
    <w:rsid w:val="007454CF"/>
    <w:rsid w:val="0074696F"/>
    <w:rsid w:val="00746E13"/>
    <w:rsid w:val="007479DD"/>
    <w:rsid w:val="00747AE7"/>
    <w:rsid w:val="00750097"/>
    <w:rsid w:val="0075035E"/>
    <w:rsid w:val="0075043B"/>
    <w:rsid w:val="0075130F"/>
    <w:rsid w:val="00751729"/>
    <w:rsid w:val="007523C0"/>
    <w:rsid w:val="0075306E"/>
    <w:rsid w:val="007534B5"/>
    <w:rsid w:val="007537CA"/>
    <w:rsid w:val="00753943"/>
    <w:rsid w:val="007539B9"/>
    <w:rsid w:val="0075459C"/>
    <w:rsid w:val="007549B8"/>
    <w:rsid w:val="00755460"/>
    <w:rsid w:val="0075567D"/>
    <w:rsid w:val="00755818"/>
    <w:rsid w:val="0075593E"/>
    <w:rsid w:val="007561CE"/>
    <w:rsid w:val="00756378"/>
    <w:rsid w:val="00757009"/>
    <w:rsid w:val="00757250"/>
    <w:rsid w:val="00757414"/>
    <w:rsid w:val="00757803"/>
    <w:rsid w:val="00757BEA"/>
    <w:rsid w:val="00757D95"/>
    <w:rsid w:val="00757F8B"/>
    <w:rsid w:val="00760F63"/>
    <w:rsid w:val="00761533"/>
    <w:rsid w:val="007616BF"/>
    <w:rsid w:val="007617C4"/>
    <w:rsid w:val="00761D0D"/>
    <w:rsid w:val="00761FF8"/>
    <w:rsid w:val="00762556"/>
    <w:rsid w:val="00762F8C"/>
    <w:rsid w:val="0076334D"/>
    <w:rsid w:val="00763501"/>
    <w:rsid w:val="00763C3F"/>
    <w:rsid w:val="00763E2E"/>
    <w:rsid w:val="00764718"/>
    <w:rsid w:val="00764D6E"/>
    <w:rsid w:val="007655F0"/>
    <w:rsid w:val="0076576F"/>
    <w:rsid w:val="007659CD"/>
    <w:rsid w:val="00765A25"/>
    <w:rsid w:val="00765B4B"/>
    <w:rsid w:val="00766285"/>
    <w:rsid w:val="00766451"/>
    <w:rsid w:val="00766532"/>
    <w:rsid w:val="00766AB6"/>
    <w:rsid w:val="00766ED0"/>
    <w:rsid w:val="00767E19"/>
    <w:rsid w:val="00770E3C"/>
    <w:rsid w:val="00771037"/>
    <w:rsid w:val="0077118F"/>
    <w:rsid w:val="007713A0"/>
    <w:rsid w:val="00771E53"/>
    <w:rsid w:val="007727F3"/>
    <w:rsid w:val="00772811"/>
    <w:rsid w:val="007737B9"/>
    <w:rsid w:val="007744F1"/>
    <w:rsid w:val="00774773"/>
    <w:rsid w:val="0077498F"/>
    <w:rsid w:val="00774A43"/>
    <w:rsid w:val="00774D18"/>
    <w:rsid w:val="00774F3C"/>
    <w:rsid w:val="007750E7"/>
    <w:rsid w:val="00775362"/>
    <w:rsid w:val="0077536B"/>
    <w:rsid w:val="0077560B"/>
    <w:rsid w:val="00775AD4"/>
    <w:rsid w:val="00775D32"/>
    <w:rsid w:val="00776B83"/>
    <w:rsid w:val="00776DB8"/>
    <w:rsid w:val="007773C4"/>
    <w:rsid w:val="00777665"/>
    <w:rsid w:val="00777C9E"/>
    <w:rsid w:val="00777E1F"/>
    <w:rsid w:val="00777F17"/>
    <w:rsid w:val="007804A0"/>
    <w:rsid w:val="00780633"/>
    <w:rsid w:val="00780F29"/>
    <w:rsid w:val="00781515"/>
    <w:rsid w:val="00782387"/>
    <w:rsid w:val="007823B2"/>
    <w:rsid w:val="0078256B"/>
    <w:rsid w:val="00782B57"/>
    <w:rsid w:val="00782C4D"/>
    <w:rsid w:val="0078300B"/>
    <w:rsid w:val="00783AAD"/>
    <w:rsid w:val="0078479B"/>
    <w:rsid w:val="0078491C"/>
    <w:rsid w:val="0078527A"/>
    <w:rsid w:val="00785B80"/>
    <w:rsid w:val="0078648F"/>
    <w:rsid w:val="00786AFE"/>
    <w:rsid w:val="007870E5"/>
    <w:rsid w:val="0078738A"/>
    <w:rsid w:val="00787F76"/>
    <w:rsid w:val="00790E3F"/>
    <w:rsid w:val="00790FF2"/>
    <w:rsid w:val="00791813"/>
    <w:rsid w:val="00791BE2"/>
    <w:rsid w:val="00792175"/>
    <w:rsid w:val="00792A33"/>
    <w:rsid w:val="007938C3"/>
    <w:rsid w:val="0079436F"/>
    <w:rsid w:val="007945B0"/>
    <w:rsid w:val="0079464D"/>
    <w:rsid w:val="00795C81"/>
    <w:rsid w:val="00795DC9"/>
    <w:rsid w:val="00796055"/>
    <w:rsid w:val="007964B8"/>
    <w:rsid w:val="007969AA"/>
    <w:rsid w:val="00796BD2"/>
    <w:rsid w:val="00797501"/>
    <w:rsid w:val="007975FE"/>
    <w:rsid w:val="00797D66"/>
    <w:rsid w:val="00797FF6"/>
    <w:rsid w:val="007A0108"/>
    <w:rsid w:val="007A0690"/>
    <w:rsid w:val="007A0E67"/>
    <w:rsid w:val="007A13A4"/>
    <w:rsid w:val="007A18BE"/>
    <w:rsid w:val="007A3177"/>
    <w:rsid w:val="007A32B5"/>
    <w:rsid w:val="007A372A"/>
    <w:rsid w:val="007A4260"/>
    <w:rsid w:val="007A46FC"/>
    <w:rsid w:val="007A4AA8"/>
    <w:rsid w:val="007A4ACB"/>
    <w:rsid w:val="007A5040"/>
    <w:rsid w:val="007A510D"/>
    <w:rsid w:val="007A5637"/>
    <w:rsid w:val="007A6027"/>
    <w:rsid w:val="007A73BF"/>
    <w:rsid w:val="007B02C6"/>
    <w:rsid w:val="007B0501"/>
    <w:rsid w:val="007B14B4"/>
    <w:rsid w:val="007B1747"/>
    <w:rsid w:val="007B1FBC"/>
    <w:rsid w:val="007B26D7"/>
    <w:rsid w:val="007B34C3"/>
    <w:rsid w:val="007B36B1"/>
    <w:rsid w:val="007B36D1"/>
    <w:rsid w:val="007B38DB"/>
    <w:rsid w:val="007B4086"/>
    <w:rsid w:val="007B464F"/>
    <w:rsid w:val="007B472B"/>
    <w:rsid w:val="007B49D3"/>
    <w:rsid w:val="007B5245"/>
    <w:rsid w:val="007B537D"/>
    <w:rsid w:val="007B57CF"/>
    <w:rsid w:val="007B5CC5"/>
    <w:rsid w:val="007B5DFA"/>
    <w:rsid w:val="007B6CBE"/>
    <w:rsid w:val="007B750B"/>
    <w:rsid w:val="007C0E3F"/>
    <w:rsid w:val="007C130B"/>
    <w:rsid w:val="007C174C"/>
    <w:rsid w:val="007C1C12"/>
    <w:rsid w:val="007C20B0"/>
    <w:rsid w:val="007C215C"/>
    <w:rsid w:val="007C3B2B"/>
    <w:rsid w:val="007C3BC6"/>
    <w:rsid w:val="007C3CF3"/>
    <w:rsid w:val="007C3FF4"/>
    <w:rsid w:val="007C4429"/>
    <w:rsid w:val="007C46B7"/>
    <w:rsid w:val="007C4792"/>
    <w:rsid w:val="007C4B21"/>
    <w:rsid w:val="007C5170"/>
    <w:rsid w:val="007C58E2"/>
    <w:rsid w:val="007C625E"/>
    <w:rsid w:val="007C65AB"/>
    <w:rsid w:val="007C68F2"/>
    <w:rsid w:val="007C6C70"/>
    <w:rsid w:val="007C77FD"/>
    <w:rsid w:val="007C7B94"/>
    <w:rsid w:val="007D03F4"/>
    <w:rsid w:val="007D06DB"/>
    <w:rsid w:val="007D0B52"/>
    <w:rsid w:val="007D0BB9"/>
    <w:rsid w:val="007D0CA0"/>
    <w:rsid w:val="007D0EFA"/>
    <w:rsid w:val="007D0F16"/>
    <w:rsid w:val="007D29DC"/>
    <w:rsid w:val="007D2F95"/>
    <w:rsid w:val="007D2FEA"/>
    <w:rsid w:val="007D302B"/>
    <w:rsid w:val="007D30E5"/>
    <w:rsid w:val="007D3537"/>
    <w:rsid w:val="007D3C70"/>
    <w:rsid w:val="007D3ECD"/>
    <w:rsid w:val="007D437C"/>
    <w:rsid w:val="007D4690"/>
    <w:rsid w:val="007D4BC5"/>
    <w:rsid w:val="007D4D03"/>
    <w:rsid w:val="007D4F7D"/>
    <w:rsid w:val="007D520B"/>
    <w:rsid w:val="007D659B"/>
    <w:rsid w:val="007D65DC"/>
    <w:rsid w:val="007D6803"/>
    <w:rsid w:val="007D6D30"/>
    <w:rsid w:val="007D74F0"/>
    <w:rsid w:val="007D7BA3"/>
    <w:rsid w:val="007E0DF5"/>
    <w:rsid w:val="007E0E02"/>
    <w:rsid w:val="007E0E3F"/>
    <w:rsid w:val="007E104C"/>
    <w:rsid w:val="007E1682"/>
    <w:rsid w:val="007E1761"/>
    <w:rsid w:val="007E1AEE"/>
    <w:rsid w:val="007E1D1F"/>
    <w:rsid w:val="007E1E04"/>
    <w:rsid w:val="007E1E3A"/>
    <w:rsid w:val="007E302F"/>
    <w:rsid w:val="007E3B89"/>
    <w:rsid w:val="007E41A6"/>
    <w:rsid w:val="007E4335"/>
    <w:rsid w:val="007E487E"/>
    <w:rsid w:val="007E55B4"/>
    <w:rsid w:val="007E572B"/>
    <w:rsid w:val="007E6083"/>
    <w:rsid w:val="007E672E"/>
    <w:rsid w:val="007E688D"/>
    <w:rsid w:val="007E6D28"/>
    <w:rsid w:val="007E750F"/>
    <w:rsid w:val="007E794E"/>
    <w:rsid w:val="007E79E7"/>
    <w:rsid w:val="007E7E85"/>
    <w:rsid w:val="007F006F"/>
    <w:rsid w:val="007F06D2"/>
    <w:rsid w:val="007F0B60"/>
    <w:rsid w:val="007F1701"/>
    <w:rsid w:val="007F23A2"/>
    <w:rsid w:val="007F2825"/>
    <w:rsid w:val="007F3297"/>
    <w:rsid w:val="007F39C2"/>
    <w:rsid w:val="007F4226"/>
    <w:rsid w:val="007F5A54"/>
    <w:rsid w:val="007F5DC7"/>
    <w:rsid w:val="007F614C"/>
    <w:rsid w:val="007F61D3"/>
    <w:rsid w:val="007F6385"/>
    <w:rsid w:val="007F661A"/>
    <w:rsid w:val="007F66D7"/>
    <w:rsid w:val="007F688A"/>
    <w:rsid w:val="007F68B6"/>
    <w:rsid w:val="007F692C"/>
    <w:rsid w:val="007F7250"/>
    <w:rsid w:val="007F7B9E"/>
    <w:rsid w:val="008004A7"/>
    <w:rsid w:val="008004FE"/>
    <w:rsid w:val="00800A7B"/>
    <w:rsid w:val="00800D71"/>
    <w:rsid w:val="00801010"/>
    <w:rsid w:val="0080194F"/>
    <w:rsid w:val="00801AE4"/>
    <w:rsid w:val="00801C10"/>
    <w:rsid w:val="00801F06"/>
    <w:rsid w:val="008025DC"/>
    <w:rsid w:val="0080323D"/>
    <w:rsid w:val="00803245"/>
    <w:rsid w:val="00804214"/>
    <w:rsid w:val="0080432C"/>
    <w:rsid w:val="008043FE"/>
    <w:rsid w:val="00804763"/>
    <w:rsid w:val="00804AAF"/>
    <w:rsid w:val="0080566D"/>
    <w:rsid w:val="00805F93"/>
    <w:rsid w:val="00806725"/>
    <w:rsid w:val="00806A06"/>
    <w:rsid w:val="008076E5"/>
    <w:rsid w:val="00807E4B"/>
    <w:rsid w:val="0081016D"/>
    <w:rsid w:val="008101FB"/>
    <w:rsid w:val="0081028C"/>
    <w:rsid w:val="008103E5"/>
    <w:rsid w:val="00810E20"/>
    <w:rsid w:val="008112BC"/>
    <w:rsid w:val="00811497"/>
    <w:rsid w:val="00811AF1"/>
    <w:rsid w:val="00811F4D"/>
    <w:rsid w:val="008126F9"/>
    <w:rsid w:val="00813630"/>
    <w:rsid w:val="00813869"/>
    <w:rsid w:val="008138D5"/>
    <w:rsid w:val="00813D0D"/>
    <w:rsid w:val="00814188"/>
    <w:rsid w:val="008146EA"/>
    <w:rsid w:val="008148EE"/>
    <w:rsid w:val="00814A33"/>
    <w:rsid w:val="00815722"/>
    <w:rsid w:val="008160FC"/>
    <w:rsid w:val="008165B3"/>
    <w:rsid w:val="00816631"/>
    <w:rsid w:val="00816ABD"/>
    <w:rsid w:val="00816C0A"/>
    <w:rsid w:val="00817122"/>
    <w:rsid w:val="008174D0"/>
    <w:rsid w:val="0081777F"/>
    <w:rsid w:val="00817D88"/>
    <w:rsid w:val="00820160"/>
    <w:rsid w:val="0082056C"/>
    <w:rsid w:val="008208F5"/>
    <w:rsid w:val="00820CED"/>
    <w:rsid w:val="00821386"/>
    <w:rsid w:val="00821710"/>
    <w:rsid w:val="00821CA2"/>
    <w:rsid w:val="00821F7E"/>
    <w:rsid w:val="0082315F"/>
    <w:rsid w:val="0082381B"/>
    <w:rsid w:val="008239E8"/>
    <w:rsid w:val="00823ACA"/>
    <w:rsid w:val="00823F34"/>
    <w:rsid w:val="008242F3"/>
    <w:rsid w:val="00824C27"/>
    <w:rsid w:val="00824FB3"/>
    <w:rsid w:val="008252E5"/>
    <w:rsid w:val="00825AE6"/>
    <w:rsid w:val="00825CFF"/>
    <w:rsid w:val="00826503"/>
    <w:rsid w:val="00826F08"/>
    <w:rsid w:val="00827432"/>
    <w:rsid w:val="0082765F"/>
    <w:rsid w:val="008277F8"/>
    <w:rsid w:val="0082792D"/>
    <w:rsid w:val="0083044E"/>
    <w:rsid w:val="008306C9"/>
    <w:rsid w:val="0083090E"/>
    <w:rsid w:val="008314E7"/>
    <w:rsid w:val="00831B0E"/>
    <w:rsid w:val="00831D79"/>
    <w:rsid w:val="00832C28"/>
    <w:rsid w:val="00832F2C"/>
    <w:rsid w:val="00833897"/>
    <w:rsid w:val="00833A0B"/>
    <w:rsid w:val="008345BA"/>
    <w:rsid w:val="008347C7"/>
    <w:rsid w:val="008348DB"/>
    <w:rsid w:val="00834DBB"/>
    <w:rsid w:val="00835652"/>
    <w:rsid w:val="00835EA4"/>
    <w:rsid w:val="0083607A"/>
    <w:rsid w:val="008363D2"/>
    <w:rsid w:val="00836FEA"/>
    <w:rsid w:val="00837817"/>
    <w:rsid w:val="00840B76"/>
    <w:rsid w:val="00840E42"/>
    <w:rsid w:val="00841233"/>
    <w:rsid w:val="00841684"/>
    <w:rsid w:val="00841C25"/>
    <w:rsid w:val="00841CE6"/>
    <w:rsid w:val="00841E33"/>
    <w:rsid w:val="00841FDA"/>
    <w:rsid w:val="0084308D"/>
    <w:rsid w:val="0084395B"/>
    <w:rsid w:val="00843D6F"/>
    <w:rsid w:val="00843E95"/>
    <w:rsid w:val="00843FC8"/>
    <w:rsid w:val="00844F24"/>
    <w:rsid w:val="00845205"/>
    <w:rsid w:val="00845F72"/>
    <w:rsid w:val="00845FFB"/>
    <w:rsid w:val="008463EB"/>
    <w:rsid w:val="00846534"/>
    <w:rsid w:val="0084740C"/>
    <w:rsid w:val="008476EA"/>
    <w:rsid w:val="008478F0"/>
    <w:rsid w:val="00847ABF"/>
    <w:rsid w:val="00850175"/>
    <w:rsid w:val="00850213"/>
    <w:rsid w:val="008503CE"/>
    <w:rsid w:val="0085106C"/>
    <w:rsid w:val="00851E78"/>
    <w:rsid w:val="0085244D"/>
    <w:rsid w:val="00852477"/>
    <w:rsid w:val="008524F5"/>
    <w:rsid w:val="00852E8B"/>
    <w:rsid w:val="0085321F"/>
    <w:rsid w:val="00853414"/>
    <w:rsid w:val="00853504"/>
    <w:rsid w:val="00853D20"/>
    <w:rsid w:val="00853DE3"/>
    <w:rsid w:val="00853E31"/>
    <w:rsid w:val="00854665"/>
    <w:rsid w:val="00854D29"/>
    <w:rsid w:val="008550E1"/>
    <w:rsid w:val="008557C4"/>
    <w:rsid w:val="00855996"/>
    <w:rsid w:val="00855F7F"/>
    <w:rsid w:val="008563B9"/>
    <w:rsid w:val="00857D44"/>
    <w:rsid w:val="00857FBD"/>
    <w:rsid w:val="0086001D"/>
    <w:rsid w:val="00860E15"/>
    <w:rsid w:val="00860F12"/>
    <w:rsid w:val="00861B07"/>
    <w:rsid w:val="00862C61"/>
    <w:rsid w:val="00863570"/>
    <w:rsid w:val="0086394B"/>
    <w:rsid w:val="00863C50"/>
    <w:rsid w:val="00864186"/>
    <w:rsid w:val="0086451D"/>
    <w:rsid w:val="00864917"/>
    <w:rsid w:val="00864AAE"/>
    <w:rsid w:val="0086545D"/>
    <w:rsid w:val="00865583"/>
    <w:rsid w:val="00865A34"/>
    <w:rsid w:val="00865C77"/>
    <w:rsid w:val="00866995"/>
    <w:rsid w:val="00866D82"/>
    <w:rsid w:val="0086707C"/>
    <w:rsid w:val="00867159"/>
    <w:rsid w:val="00867205"/>
    <w:rsid w:val="00867798"/>
    <w:rsid w:val="00867822"/>
    <w:rsid w:val="00867B27"/>
    <w:rsid w:val="008706A7"/>
    <w:rsid w:val="00870780"/>
    <w:rsid w:val="00870A7B"/>
    <w:rsid w:val="00871437"/>
    <w:rsid w:val="008715CA"/>
    <w:rsid w:val="00871C53"/>
    <w:rsid w:val="00871FDE"/>
    <w:rsid w:val="00872359"/>
    <w:rsid w:val="00872583"/>
    <w:rsid w:val="008727BC"/>
    <w:rsid w:val="00872889"/>
    <w:rsid w:val="00873401"/>
    <w:rsid w:val="00873677"/>
    <w:rsid w:val="008739DE"/>
    <w:rsid w:val="00873C58"/>
    <w:rsid w:val="0087413A"/>
    <w:rsid w:val="00874FCC"/>
    <w:rsid w:val="00875FDE"/>
    <w:rsid w:val="00876128"/>
    <w:rsid w:val="008769EA"/>
    <w:rsid w:val="0087757C"/>
    <w:rsid w:val="008776B2"/>
    <w:rsid w:val="00877F27"/>
    <w:rsid w:val="00880CAE"/>
    <w:rsid w:val="00881322"/>
    <w:rsid w:val="00881911"/>
    <w:rsid w:val="00881A1B"/>
    <w:rsid w:val="00882540"/>
    <w:rsid w:val="00882C48"/>
    <w:rsid w:val="00883C27"/>
    <w:rsid w:val="00884146"/>
    <w:rsid w:val="00884589"/>
    <w:rsid w:val="00884DB0"/>
    <w:rsid w:val="00884F18"/>
    <w:rsid w:val="00885D79"/>
    <w:rsid w:val="00885DBD"/>
    <w:rsid w:val="0088604D"/>
    <w:rsid w:val="0088621D"/>
    <w:rsid w:val="0088657C"/>
    <w:rsid w:val="00886BEF"/>
    <w:rsid w:val="0088733E"/>
    <w:rsid w:val="008873AF"/>
    <w:rsid w:val="00890045"/>
    <w:rsid w:val="00890823"/>
    <w:rsid w:val="00890D60"/>
    <w:rsid w:val="00891182"/>
    <w:rsid w:val="008913E5"/>
    <w:rsid w:val="008918B1"/>
    <w:rsid w:val="0089198A"/>
    <w:rsid w:val="00891C01"/>
    <w:rsid w:val="00891E6F"/>
    <w:rsid w:val="00892E87"/>
    <w:rsid w:val="0089354E"/>
    <w:rsid w:val="00893B13"/>
    <w:rsid w:val="00893B33"/>
    <w:rsid w:val="00893BB3"/>
    <w:rsid w:val="00893C0C"/>
    <w:rsid w:val="00893D94"/>
    <w:rsid w:val="008942CC"/>
    <w:rsid w:val="00894590"/>
    <w:rsid w:val="00894CB0"/>
    <w:rsid w:val="00894D3D"/>
    <w:rsid w:val="00895661"/>
    <w:rsid w:val="0089592B"/>
    <w:rsid w:val="00895DCD"/>
    <w:rsid w:val="00895FDC"/>
    <w:rsid w:val="008963F2"/>
    <w:rsid w:val="00897469"/>
    <w:rsid w:val="00897827"/>
    <w:rsid w:val="00897CD6"/>
    <w:rsid w:val="00897DB6"/>
    <w:rsid w:val="008A0480"/>
    <w:rsid w:val="008A04F7"/>
    <w:rsid w:val="008A1C26"/>
    <w:rsid w:val="008A1FAA"/>
    <w:rsid w:val="008A273A"/>
    <w:rsid w:val="008A27EB"/>
    <w:rsid w:val="008A28C7"/>
    <w:rsid w:val="008A293D"/>
    <w:rsid w:val="008A2E43"/>
    <w:rsid w:val="008A30E7"/>
    <w:rsid w:val="008A31A2"/>
    <w:rsid w:val="008A351B"/>
    <w:rsid w:val="008A3C9D"/>
    <w:rsid w:val="008A48E1"/>
    <w:rsid w:val="008A4975"/>
    <w:rsid w:val="008A4D73"/>
    <w:rsid w:val="008A5792"/>
    <w:rsid w:val="008A5BFA"/>
    <w:rsid w:val="008A5E95"/>
    <w:rsid w:val="008A629D"/>
    <w:rsid w:val="008A6410"/>
    <w:rsid w:val="008A717C"/>
    <w:rsid w:val="008A7D5F"/>
    <w:rsid w:val="008A7F67"/>
    <w:rsid w:val="008B0356"/>
    <w:rsid w:val="008B1181"/>
    <w:rsid w:val="008B12C7"/>
    <w:rsid w:val="008B18DF"/>
    <w:rsid w:val="008B1AEA"/>
    <w:rsid w:val="008B1DB8"/>
    <w:rsid w:val="008B20D1"/>
    <w:rsid w:val="008B20FF"/>
    <w:rsid w:val="008B29CA"/>
    <w:rsid w:val="008B2DC6"/>
    <w:rsid w:val="008B30B0"/>
    <w:rsid w:val="008B3434"/>
    <w:rsid w:val="008B4722"/>
    <w:rsid w:val="008B49C7"/>
    <w:rsid w:val="008B4B0B"/>
    <w:rsid w:val="008B4C69"/>
    <w:rsid w:val="008B4F95"/>
    <w:rsid w:val="008B5376"/>
    <w:rsid w:val="008B5502"/>
    <w:rsid w:val="008B5BB1"/>
    <w:rsid w:val="008B7A60"/>
    <w:rsid w:val="008B7BF6"/>
    <w:rsid w:val="008C0145"/>
    <w:rsid w:val="008C0410"/>
    <w:rsid w:val="008C061A"/>
    <w:rsid w:val="008C0937"/>
    <w:rsid w:val="008C0A84"/>
    <w:rsid w:val="008C0AD3"/>
    <w:rsid w:val="008C1099"/>
    <w:rsid w:val="008C266E"/>
    <w:rsid w:val="008C30C3"/>
    <w:rsid w:val="008C349D"/>
    <w:rsid w:val="008C3844"/>
    <w:rsid w:val="008C3E1C"/>
    <w:rsid w:val="008C4957"/>
    <w:rsid w:val="008C56D5"/>
    <w:rsid w:val="008C57B7"/>
    <w:rsid w:val="008C5A5D"/>
    <w:rsid w:val="008C63AF"/>
    <w:rsid w:val="008C66CF"/>
    <w:rsid w:val="008C67C9"/>
    <w:rsid w:val="008C67E1"/>
    <w:rsid w:val="008C6C6A"/>
    <w:rsid w:val="008C6DDE"/>
    <w:rsid w:val="008C70B2"/>
    <w:rsid w:val="008C716A"/>
    <w:rsid w:val="008C7230"/>
    <w:rsid w:val="008C7611"/>
    <w:rsid w:val="008C7830"/>
    <w:rsid w:val="008C7BA5"/>
    <w:rsid w:val="008D035A"/>
    <w:rsid w:val="008D086B"/>
    <w:rsid w:val="008D08AD"/>
    <w:rsid w:val="008D0A30"/>
    <w:rsid w:val="008D1A01"/>
    <w:rsid w:val="008D1F79"/>
    <w:rsid w:val="008D1FCE"/>
    <w:rsid w:val="008D2837"/>
    <w:rsid w:val="008D2DDB"/>
    <w:rsid w:val="008D2E70"/>
    <w:rsid w:val="008D3420"/>
    <w:rsid w:val="008D3CAA"/>
    <w:rsid w:val="008D3DA2"/>
    <w:rsid w:val="008D447E"/>
    <w:rsid w:val="008D476F"/>
    <w:rsid w:val="008D4C97"/>
    <w:rsid w:val="008D68D8"/>
    <w:rsid w:val="008D7E22"/>
    <w:rsid w:val="008E069A"/>
    <w:rsid w:val="008E0BCC"/>
    <w:rsid w:val="008E0BE5"/>
    <w:rsid w:val="008E14CE"/>
    <w:rsid w:val="008E18F0"/>
    <w:rsid w:val="008E2093"/>
    <w:rsid w:val="008E220C"/>
    <w:rsid w:val="008E3361"/>
    <w:rsid w:val="008E378D"/>
    <w:rsid w:val="008E380D"/>
    <w:rsid w:val="008E3C55"/>
    <w:rsid w:val="008E3CB0"/>
    <w:rsid w:val="008E3EBC"/>
    <w:rsid w:val="008E403C"/>
    <w:rsid w:val="008E407A"/>
    <w:rsid w:val="008E433C"/>
    <w:rsid w:val="008E468D"/>
    <w:rsid w:val="008E4BA8"/>
    <w:rsid w:val="008E5E64"/>
    <w:rsid w:val="008E61D9"/>
    <w:rsid w:val="008E63BF"/>
    <w:rsid w:val="008E66C0"/>
    <w:rsid w:val="008E70CD"/>
    <w:rsid w:val="008E7269"/>
    <w:rsid w:val="008F0367"/>
    <w:rsid w:val="008F0B7F"/>
    <w:rsid w:val="008F0B8D"/>
    <w:rsid w:val="008F1F1B"/>
    <w:rsid w:val="008F201B"/>
    <w:rsid w:val="008F20E3"/>
    <w:rsid w:val="008F2186"/>
    <w:rsid w:val="008F23E1"/>
    <w:rsid w:val="008F2584"/>
    <w:rsid w:val="008F2F27"/>
    <w:rsid w:val="008F33B2"/>
    <w:rsid w:val="008F3DF3"/>
    <w:rsid w:val="008F4661"/>
    <w:rsid w:val="008F4E5A"/>
    <w:rsid w:val="008F4F01"/>
    <w:rsid w:val="008F5084"/>
    <w:rsid w:val="008F59F9"/>
    <w:rsid w:val="008F6316"/>
    <w:rsid w:val="008F66EB"/>
    <w:rsid w:val="008F6B6C"/>
    <w:rsid w:val="008F6C87"/>
    <w:rsid w:val="0090023F"/>
    <w:rsid w:val="009014DB"/>
    <w:rsid w:val="00901584"/>
    <w:rsid w:val="00901919"/>
    <w:rsid w:val="00901B8C"/>
    <w:rsid w:val="009021F0"/>
    <w:rsid w:val="0090222B"/>
    <w:rsid w:val="00902A92"/>
    <w:rsid w:val="00903945"/>
    <w:rsid w:val="00903D48"/>
    <w:rsid w:val="00903E3F"/>
    <w:rsid w:val="0090462B"/>
    <w:rsid w:val="009056EA"/>
    <w:rsid w:val="009057C8"/>
    <w:rsid w:val="00905B1B"/>
    <w:rsid w:val="00905D0B"/>
    <w:rsid w:val="00905D84"/>
    <w:rsid w:val="00905E53"/>
    <w:rsid w:val="00905EF0"/>
    <w:rsid w:val="00905F00"/>
    <w:rsid w:val="00906935"/>
    <w:rsid w:val="00907143"/>
    <w:rsid w:val="009101E9"/>
    <w:rsid w:val="0091075B"/>
    <w:rsid w:val="00910981"/>
    <w:rsid w:val="00911810"/>
    <w:rsid w:val="009124D6"/>
    <w:rsid w:val="00912844"/>
    <w:rsid w:val="00912D71"/>
    <w:rsid w:val="0091339F"/>
    <w:rsid w:val="00913D0F"/>
    <w:rsid w:val="00913FA2"/>
    <w:rsid w:val="009149E9"/>
    <w:rsid w:val="00914FAC"/>
    <w:rsid w:val="0091533F"/>
    <w:rsid w:val="0091544D"/>
    <w:rsid w:val="00915728"/>
    <w:rsid w:val="00915779"/>
    <w:rsid w:val="009162EB"/>
    <w:rsid w:val="009164D2"/>
    <w:rsid w:val="0091661A"/>
    <w:rsid w:val="00917264"/>
    <w:rsid w:val="0091760F"/>
    <w:rsid w:val="0091782D"/>
    <w:rsid w:val="009179AF"/>
    <w:rsid w:val="00917A8A"/>
    <w:rsid w:val="00917D36"/>
    <w:rsid w:val="00920356"/>
    <w:rsid w:val="0092046F"/>
    <w:rsid w:val="009206E5"/>
    <w:rsid w:val="009212C7"/>
    <w:rsid w:val="00921F79"/>
    <w:rsid w:val="00922243"/>
    <w:rsid w:val="0092273C"/>
    <w:rsid w:val="00922BAA"/>
    <w:rsid w:val="00922C7B"/>
    <w:rsid w:val="00922E28"/>
    <w:rsid w:val="009231AB"/>
    <w:rsid w:val="009244D6"/>
    <w:rsid w:val="009244DC"/>
    <w:rsid w:val="00924A80"/>
    <w:rsid w:val="00926C0C"/>
    <w:rsid w:val="00926C71"/>
    <w:rsid w:val="00926EBC"/>
    <w:rsid w:val="009272CB"/>
    <w:rsid w:val="0092772E"/>
    <w:rsid w:val="00927E44"/>
    <w:rsid w:val="0093030A"/>
    <w:rsid w:val="00930DD9"/>
    <w:rsid w:val="00930F1D"/>
    <w:rsid w:val="00931415"/>
    <w:rsid w:val="00931A57"/>
    <w:rsid w:val="00931DC4"/>
    <w:rsid w:val="009327C0"/>
    <w:rsid w:val="009332E1"/>
    <w:rsid w:val="00933318"/>
    <w:rsid w:val="00933D56"/>
    <w:rsid w:val="00934971"/>
    <w:rsid w:val="0093529B"/>
    <w:rsid w:val="00935573"/>
    <w:rsid w:val="00935741"/>
    <w:rsid w:val="00935B82"/>
    <w:rsid w:val="00935B91"/>
    <w:rsid w:val="00935C48"/>
    <w:rsid w:val="009363C6"/>
    <w:rsid w:val="00936404"/>
    <w:rsid w:val="0093670D"/>
    <w:rsid w:val="00936792"/>
    <w:rsid w:val="00936C00"/>
    <w:rsid w:val="009372F0"/>
    <w:rsid w:val="009374D4"/>
    <w:rsid w:val="00937539"/>
    <w:rsid w:val="00937B43"/>
    <w:rsid w:val="00937D3A"/>
    <w:rsid w:val="009402CC"/>
    <w:rsid w:val="009406D8"/>
    <w:rsid w:val="00941BE6"/>
    <w:rsid w:val="00942126"/>
    <w:rsid w:val="00942127"/>
    <w:rsid w:val="009421A1"/>
    <w:rsid w:val="0094288B"/>
    <w:rsid w:val="00942AD8"/>
    <w:rsid w:val="009433D2"/>
    <w:rsid w:val="009437ED"/>
    <w:rsid w:val="009438B4"/>
    <w:rsid w:val="00943BE3"/>
    <w:rsid w:val="00944098"/>
    <w:rsid w:val="00944563"/>
    <w:rsid w:val="00944DD7"/>
    <w:rsid w:val="00944F8E"/>
    <w:rsid w:val="00945686"/>
    <w:rsid w:val="00945935"/>
    <w:rsid w:val="0094594E"/>
    <w:rsid w:val="00945B52"/>
    <w:rsid w:val="00945FC9"/>
    <w:rsid w:val="00946259"/>
    <w:rsid w:val="009463EA"/>
    <w:rsid w:val="00946608"/>
    <w:rsid w:val="009473F0"/>
    <w:rsid w:val="00950134"/>
    <w:rsid w:val="00951093"/>
    <w:rsid w:val="009511C3"/>
    <w:rsid w:val="009511ED"/>
    <w:rsid w:val="00951810"/>
    <w:rsid w:val="00951987"/>
    <w:rsid w:val="00951FD9"/>
    <w:rsid w:val="009522C0"/>
    <w:rsid w:val="00952749"/>
    <w:rsid w:val="00954299"/>
    <w:rsid w:val="00954B38"/>
    <w:rsid w:val="0095570D"/>
    <w:rsid w:val="00956364"/>
    <w:rsid w:val="00956811"/>
    <w:rsid w:val="0095682B"/>
    <w:rsid w:val="00957C13"/>
    <w:rsid w:val="00957E51"/>
    <w:rsid w:val="009600D9"/>
    <w:rsid w:val="00960CD6"/>
    <w:rsid w:val="00960FEE"/>
    <w:rsid w:val="009610B2"/>
    <w:rsid w:val="009613FA"/>
    <w:rsid w:val="009617F3"/>
    <w:rsid w:val="00961982"/>
    <w:rsid w:val="00961E52"/>
    <w:rsid w:val="009620D5"/>
    <w:rsid w:val="00962221"/>
    <w:rsid w:val="0096267F"/>
    <w:rsid w:val="00962C0A"/>
    <w:rsid w:val="009639D1"/>
    <w:rsid w:val="00963D88"/>
    <w:rsid w:val="00964190"/>
    <w:rsid w:val="00964267"/>
    <w:rsid w:val="00964B32"/>
    <w:rsid w:val="00964D54"/>
    <w:rsid w:val="009658D3"/>
    <w:rsid w:val="009661C5"/>
    <w:rsid w:val="009664AA"/>
    <w:rsid w:val="0096652E"/>
    <w:rsid w:val="00966C99"/>
    <w:rsid w:val="00966CA4"/>
    <w:rsid w:val="00966E1D"/>
    <w:rsid w:val="00966FDA"/>
    <w:rsid w:val="009670E3"/>
    <w:rsid w:val="009670F6"/>
    <w:rsid w:val="00967648"/>
    <w:rsid w:val="00967A68"/>
    <w:rsid w:val="00967E7B"/>
    <w:rsid w:val="00967FD7"/>
    <w:rsid w:val="009729A6"/>
    <w:rsid w:val="00972AEA"/>
    <w:rsid w:val="00972CB0"/>
    <w:rsid w:val="00972E11"/>
    <w:rsid w:val="00972EDB"/>
    <w:rsid w:val="009738B7"/>
    <w:rsid w:val="00973CC2"/>
    <w:rsid w:val="009740E9"/>
    <w:rsid w:val="00974162"/>
    <w:rsid w:val="00974A63"/>
    <w:rsid w:val="0097541A"/>
    <w:rsid w:val="00975830"/>
    <w:rsid w:val="009758F2"/>
    <w:rsid w:val="00975FEC"/>
    <w:rsid w:val="00976318"/>
    <w:rsid w:val="00976445"/>
    <w:rsid w:val="00976881"/>
    <w:rsid w:val="00976A14"/>
    <w:rsid w:val="00976C75"/>
    <w:rsid w:val="00976E2F"/>
    <w:rsid w:val="00977498"/>
    <w:rsid w:val="00977BCA"/>
    <w:rsid w:val="00977EA9"/>
    <w:rsid w:val="0098026F"/>
    <w:rsid w:val="00980B70"/>
    <w:rsid w:val="009810C9"/>
    <w:rsid w:val="009811DD"/>
    <w:rsid w:val="0098182F"/>
    <w:rsid w:val="00981DBD"/>
    <w:rsid w:val="00981E4C"/>
    <w:rsid w:val="009820DC"/>
    <w:rsid w:val="009822F6"/>
    <w:rsid w:val="0098239E"/>
    <w:rsid w:val="00982565"/>
    <w:rsid w:val="00982BFD"/>
    <w:rsid w:val="00982F2C"/>
    <w:rsid w:val="009830F5"/>
    <w:rsid w:val="00983331"/>
    <w:rsid w:val="00983CEE"/>
    <w:rsid w:val="009841FB"/>
    <w:rsid w:val="009845D1"/>
    <w:rsid w:val="0098466B"/>
    <w:rsid w:val="00984BC7"/>
    <w:rsid w:val="00984E26"/>
    <w:rsid w:val="009850CA"/>
    <w:rsid w:val="0098541F"/>
    <w:rsid w:val="0098543B"/>
    <w:rsid w:val="009857D5"/>
    <w:rsid w:val="00986B05"/>
    <w:rsid w:val="00986B2D"/>
    <w:rsid w:val="0098743A"/>
    <w:rsid w:val="009878D6"/>
    <w:rsid w:val="00987A5B"/>
    <w:rsid w:val="00987CB4"/>
    <w:rsid w:val="0099031D"/>
    <w:rsid w:val="0099040E"/>
    <w:rsid w:val="00990884"/>
    <w:rsid w:val="00990A52"/>
    <w:rsid w:val="009911CF"/>
    <w:rsid w:val="009911F8"/>
    <w:rsid w:val="00991269"/>
    <w:rsid w:val="0099130B"/>
    <w:rsid w:val="0099172D"/>
    <w:rsid w:val="00991C53"/>
    <w:rsid w:val="00992715"/>
    <w:rsid w:val="009927BE"/>
    <w:rsid w:val="00992C23"/>
    <w:rsid w:val="00992C6A"/>
    <w:rsid w:val="00992F98"/>
    <w:rsid w:val="00993D0D"/>
    <w:rsid w:val="00994405"/>
    <w:rsid w:val="00994E7B"/>
    <w:rsid w:val="00995434"/>
    <w:rsid w:val="00996D06"/>
    <w:rsid w:val="00996DE8"/>
    <w:rsid w:val="009A0648"/>
    <w:rsid w:val="009A0BE7"/>
    <w:rsid w:val="009A0DBA"/>
    <w:rsid w:val="009A11F2"/>
    <w:rsid w:val="009A1606"/>
    <w:rsid w:val="009A171F"/>
    <w:rsid w:val="009A1761"/>
    <w:rsid w:val="009A2210"/>
    <w:rsid w:val="009A278D"/>
    <w:rsid w:val="009A301D"/>
    <w:rsid w:val="009A33AB"/>
    <w:rsid w:val="009A359A"/>
    <w:rsid w:val="009A3C16"/>
    <w:rsid w:val="009A42B2"/>
    <w:rsid w:val="009A47B0"/>
    <w:rsid w:val="009A503C"/>
    <w:rsid w:val="009A50E7"/>
    <w:rsid w:val="009A56E0"/>
    <w:rsid w:val="009A5D67"/>
    <w:rsid w:val="009A79AD"/>
    <w:rsid w:val="009A7AE6"/>
    <w:rsid w:val="009B05C0"/>
    <w:rsid w:val="009B13AC"/>
    <w:rsid w:val="009B15BE"/>
    <w:rsid w:val="009B1665"/>
    <w:rsid w:val="009B1ECD"/>
    <w:rsid w:val="009B1F73"/>
    <w:rsid w:val="009B283E"/>
    <w:rsid w:val="009B30AA"/>
    <w:rsid w:val="009B3257"/>
    <w:rsid w:val="009B39BA"/>
    <w:rsid w:val="009B3D95"/>
    <w:rsid w:val="009B3F53"/>
    <w:rsid w:val="009B40FC"/>
    <w:rsid w:val="009B43A6"/>
    <w:rsid w:val="009B45D4"/>
    <w:rsid w:val="009B5162"/>
    <w:rsid w:val="009B51C4"/>
    <w:rsid w:val="009B53E2"/>
    <w:rsid w:val="009B65C5"/>
    <w:rsid w:val="009B7031"/>
    <w:rsid w:val="009B7099"/>
    <w:rsid w:val="009B7482"/>
    <w:rsid w:val="009B7A3F"/>
    <w:rsid w:val="009B7FD8"/>
    <w:rsid w:val="009C01F2"/>
    <w:rsid w:val="009C058D"/>
    <w:rsid w:val="009C0B1B"/>
    <w:rsid w:val="009C147D"/>
    <w:rsid w:val="009C1C3A"/>
    <w:rsid w:val="009C22D4"/>
    <w:rsid w:val="009C30D1"/>
    <w:rsid w:val="009C3190"/>
    <w:rsid w:val="009C31C9"/>
    <w:rsid w:val="009C33AB"/>
    <w:rsid w:val="009C3D10"/>
    <w:rsid w:val="009C453D"/>
    <w:rsid w:val="009C48EB"/>
    <w:rsid w:val="009C4BC7"/>
    <w:rsid w:val="009C4C96"/>
    <w:rsid w:val="009C4CDF"/>
    <w:rsid w:val="009C4E98"/>
    <w:rsid w:val="009C5378"/>
    <w:rsid w:val="009C5795"/>
    <w:rsid w:val="009C5887"/>
    <w:rsid w:val="009C5C2C"/>
    <w:rsid w:val="009C664E"/>
    <w:rsid w:val="009C67EC"/>
    <w:rsid w:val="009C6C19"/>
    <w:rsid w:val="009C72EB"/>
    <w:rsid w:val="009C73C0"/>
    <w:rsid w:val="009C7A73"/>
    <w:rsid w:val="009D0335"/>
    <w:rsid w:val="009D0FDE"/>
    <w:rsid w:val="009D19E1"/>
    <w:rsid w:val="009D1A5B"/>
    <w:rsid w:val="009D2017"/>
    <w:rsid w:val="009D2232"/>
    <w:rsid w:val="009D2325"/>
    <w:rsid w:val="009D281B"/>
    <w:rsid w:val="009D3261"/>
    <w:rsid w:val="009D331D"/>
    <w:rsid w:val="009D3390"/>
    <w:rsid w:val="009D3661"/>
    <w:rsid w:val="009D4227"/>
    <w:rsid w:val="009D4EB9"/>
    <w:rsid w:val="009D4F5B"/>
    <w:rsid w:val="009D54AF"/>
    <w:rsid w:val="009D551D"/>
    <w:rsid w:val="009D5721"/>
    <w:rsid w:val="009D5CA7"/>
    <w:rsid w:val="009D62C6"/>
    <w:rsid w:val="009D6542"/>
    <w:rsid w:val="009D69EB"/>
    <w:rsid w:val="009D6DAE"/>
    <w:rsid w:val="009D76B9"/>
    <w:rsid w:val="009D7CFA"/>
    <w:rsid w:val="009D7DB4"/>
    <w:rsid w:val="009E00D3"/>
    <w:rsid w:val="009E013B"/>
    <w:rsid w:val="009E02D7"/>
    <w:rsid w:val="009E0361"/>
    <w:rsid w:val="009E0EAA"/>
    <w:rsid w:val="009E1B66"/>
    <w:rsid w:val="009E1C15"/>
    <w:rsid w:val="009E1D38"/>
    <w:rsid w:val="009E1F55"/>
    <w:rsid w:val="009E27DF"/>
    <w:rsid w:val="009E2943"/>
    <w:rsid w:val="009E2A5A"/>
    <w:rsid w:val="009E2C7B"/>
    <w:rsid w:val="009E32F9"/>
    <w:rsid w:val="009E34D0"/>
    <w:rsid w:val="009E3BED"/>
    <w:rsid w:val="009E3DCF"/>
    <w:rsid w:val="009E4007"/>
    <w:rsid w:val="009E40AA"/>
    <w:rsid w:val="009E40ED"/>
    <w:rsid w:val="009E4854"/>
    <w:rsid w:val="009E604C"/>
    <w:rsid w:val="009E621D"/>
    <w:rsid w:val="009E6445"/>
    <w:rsid w:val="009E6C81"/>
    <w:rsid w:val="009E6CAF"/>
    <w:rsid w:val="009E6F36"/>
    <w:rsid w:val="009E7499"/>
    <w:rsid w:val="009E7E35"/>
    <w:rsid w:val="009F0295"/>
    <w:rsid w:val="009F1A34"/>
    <w:rsid w:val="009F1C9F"/>
    <w:rsid w:val="009F1DB5"/>
    <w:rsid w:val="009F1F08"/>
    <w:rsid w:val="009F26DC"/>
    <w:rsid w:val="009F2A81"/>
    <w:rsid w:val="009F2D7E"/>
    <w:rsid w:val="009F2E9E"/>
    <w:rsid w:val="009F2F7E"/>
    <w:rsid w:val="009F371D"/>
    <w:rsid w:val="009F3D34"/>
    <w:rsid w:val="009F4F4D"/>
    <w:rsid w:val="009F512B"/>
    <w:rsid w:val="009F6170"/>
    <w:rsid w:val="009F6927"/>
    <w:rsid w:val="009F72EC"/>
    <w:rsid w:val="009F7DF7"/>
    <w:rsid w:val="00A0019A"/>
    <w:rsid w:val="00A003B0"/>
    <w:rsid w:val="00A00421"/>
    <w:rsid w:val="00A00456"/>
    <w:rsid w:val="00A01130"/>
    <w:rsid w:val="00A01449"/>
    <w:rsid w:val="00A01748"/>
    <w:rsid w:val="00A01CD1"/>
    <w:rsid w:val="00A020F6"/>
    <w:rsid w:val="00A032D7"/>
    <w:rsid w:val="00A03301"/>
    <w:rsid w:val="00A035E7"/>
    <w:rsid w:val="00A03D63"/>
    <w:rsid w:val="00A03DA5"/>
    <w:rsid w:val="00A03E81"/>
    <w:rsid w:val="00A03FB0"/>
    <w:rsid w:val="00A048DD"/>
    <w:rsid w:val="00A0495F"/>
    <w:rsid w:val="00A04EB1"/>
    <w:rsid w:val="00A0501B"/>
    <w:rsid w:val="00A05B03"/>
    <w:rsid w:val="00A05C73"/>
    <w:rsid w:val="00A05C9C"/>
    <w:rsid w:val="00A05EA0"/>
    <w:rsid w:val="00A061FC"/>
    <w:rsid w:val="00A06246"/>
    <w:rsid w:val="00A062D5"/>
    <w:rsid w:val="00A0658A"/>
    <w:rsid w:val="00A066A0"/>
    <w:rsid w:val="00A0680D"/>
    <w:rsid w:val="00A07A9C"/>
    <w:rsid w:val="00A108DD"/>
    <w:rsid w:val="00A10DA3"/>
    <w:rsid w:val="00A11013"/>
    <w:rsid w:val="00A111FA"/>
    <w:rsid w:val="00A12A84"/>
    <w:rsid w:val="00A12F10"/>
    <w:rsid w:val="00A12FB6"/>
    <w:rsid w:val="00A13434"/>
    <w:rsid w:val="00A140C9"/>
    <w:rsid w:val="00A143CD"/>
    <w:rsid w:val="00A143FB"/>
    <w:rsid w:val="00A14503"/>
    <w:rsid w:val="00A1468F"/>
    <w:rsid w:val="00A14D09"/>
    <w:rsid w:val="00A1503B"/>
    <w:rsid w:val="00A15734"/>
    <w:rsid w:val="00A15AFF"/>
    <w:rsid w:val="00A15FB0"/>
    <w:rsid w:val="00A1622C"/>
    <w:rsid w:val="00A16351"/>
    <w:rsid w:val="00A16BA6"/>
    <w:rsid w:val="00A175AB"/>
    <w:rsid w:val="00A17991"/>
    <w:rsid w:val="00A17B3E"/>
    <w:rsid w:val="00A17DA0"/>
    <w:rsid w:val="00A17DE6"/>
    <w:rsid w:val="00A2015C"/>
    <w:rsid w:val="00A202D5"/>
    <w:rsid w:val="00A20546"/>
    <w:rsid w:val="00A2107D"/>
    <w:rsid w:val="00A211EA"/>
    <w:rsid w:val="00A21684"/>
    <w:rsid w:val="00A217F4"/>
    <w:rsid w:val="00A22406"/>
    <w:rsid w:val="00A2275A"/>
    <w:rsid w:val="00A22AF1"/>
    <w:rsid w:val="00A22E01"/>
    <w:rsid w:val="00A23032"/>
    <w:rsid w:val="00A2303A"/>
    <w:rsid w:val="00A23059"/>
    <w:rsid w:val="00A231E0"/>
    <w:rsid w:val="00A243DD"/>
    <w:rsid w:val="00A24C92"/>
    <w:rsid w:val="00A259E7"/>
    <w:rsid w:val="00A27E1B"/>
    <w:rsid w:val="00A30A4C"/>
    <w:rsid w:val="00A31566"/>
    <w:rsid w:val="00A31698"/>
    <w:rsid w:val="00A318BD"/>
    <w:rsid w:val="00A31C8E"/>
    <w:rsid w:val="00A31C9F"/>
    <w:rsid w:val="00A32061"/>
    <w:rsid w:val="00A322CB"/>
    <w:rsid w:val="00A326E3"/>
    <w:rsid w:val="00A32A47"/>
    <w:rsid w:val="00A32EA1"/>
    <w:rsid w:val="00A33369"/>
    <w:rsid w:val="00A333BA"/>
    <w:rsid w:val="00A337BF"/>
    <w:rsid w:val="00A33CB7"/>
    <w:rsid w:val="00A33F3A"/>
    <w:rsid w:val="00A3412A"/>
    <w:rsid w:val="00A34361"/>
    <w:rsid w:val="00A348F5"/>
    <w:rsid w:val="00A351DC"/>
    <w:rsid w:val="00A35A14"/>
    <w:rsid w:val="00A35BB2"/>
    <w:rsid w:val="00A35DB7"/>
    <w:rsid w:val="00A35ED8"/>
    <w:rsid w:val="00A36403"/>
    <w:rsid w:val="00A36B52"/>
    <w:rsid w:val="00A37642"/>
    <w:rsid w:val="00A4016B"/>
    <w:rsid w:val="00A401A3"/>
    <w:rsid w:val="00A41320"/>
    <w:rsid w:val="00A414BB"/>
    <w:rsid w:val="00A4189B"/>
    <w:rsid w:val="00A421A5"/>
    <w:rsid w:val="00A4248B"/>
    <w:rsid w:val="00A42981"/>
    <w:rsid w:val="00A42F76"/>
    <w:rsid w:val="00A43166"/>
    <w:rsid w:val="00A43D65"/>
    <w:rsid w:val="00A43F2E"/>
    <w:rsid w:val="00A452C1"/>
    <w:rsid w:val="00A45808"/>
    <w:rsid w:val="00A458E4"/>
    <w:rsid w:val="00A45ED7"/>
    <w:rsid w:val="00A46377"/>
    <w:rsid w:val="00A4642A"/>
    <w:rsid w:val="00A46C82"/>
    <w:rsid w:val="00A46D62"/>
    <w:rsid w:val="00A4710E"/>
    <w:rsid w:val="00A47393"/>
    <w:rsid w:val="00A47792"/>
    <w:rsid w:val="00A5097E"/>
    <w:rsid w:val="00A509D0"/>
    <w:rsid w:val="00A50C11"/>
    <w:rsid w:val="00A50DD2"/>
    <w:rsid w:val="00A50FF6"/>
    <w:rsid w:val="00A5141F"/>
    <w:rsid w:val="00A516D5"/>
    <w:rsid w:val="00A51855"/>
    <w:rsid w:val="00A5260C"/>
    <w:rsid w:val="00A5262A"/>
    <w:rsid w:val="00A52814"/>
    <w:rsid w:val="00A52CF7"/>
    <w:rsid w:val="00A542DD"/>
    <w:rsid w:val="00A54547"/>
    <w:rsid w:val="00A54AC4"/>
    <w:rsid w:val="00A54D61"/>
    <w:rsid w:val="00A54F70"/>
    <w:rsid w:val="00A551A1"/>
    <w:rsid w:val="00A5568A"/>
    <w:rsid w:val="00A55B58"/>
    <w:rsid w:val="00A55D4A"/>
    <w:rsid w:val="00A55F7E"/>
    <w:rsid w:val="00A569B4"/>
    <w:rsid w:val="00A56CE7"/>
    <w:rsid w:val="00A57D45"/>
    <w:rsid w:val="00A57DBB"/>
    <w:rsid w:val="00A6048C"/>
    <w:rsid w:val="00A60B0C"/>
    <w:rsid w:val="00A60FBD"/>
    <w:rsid w:val="00A61705"/>
    <w:rsid w:val="00A618B6"/>
    <w:rsid w:val="00A625F1"/>
    <w:rsid w:val="00A6282C"/>
    <w:rsid w:val="00A62901"/>
    <w:rsid w:val="00A62E94"/>
    <w:rsid w:val="00A63263"/>
    <w:rsid w:val="00A6351C"/>
    <w:rsid w:val="00A6367D"/>
    <w:rsid w:val="00A63955"/>
    <w:rsid w:val="00A64B81"/>
    <w:rsid w:val="00A65828"/>
    <w:rsid w:val="00A660D3"/>
    <w:rsid w:val="00A661F5"/>
    <w:rsid w:val="00A66212"/>
    <w:rsid w:val="00A673C9"/>
    <w:rsid w:val="00A702CD"/>
    <w:rsid w:val="00A7099E"/>
    <w:rsid w:val="00A70BDB"/>
    <w:rsid w:val="00A70CAD"/>
    <w:rsid w:val="00A722B1"/>
    <w:rsid w:val="00A7230D"/>
    <w:rsid w:val="00A723D9"/>
    <w:rsid w:val="00A72E14"/>
    <w:rsid w:val="00A72F5B"/>
    <w:rsid w:val="00A730D2"/>
    <w:rsid w:val="00A73D93"/>
    <w:rsid w:val="00A7415A"/>
    <w:rsid w:val="00A74302"/>
    <w:rsid w:val="00A74E6D"/>
    <w:rsid w:val="00A7527B"/>
    <w:rsid w:val="00A7539F"/>
    <w:rsid w:val="00A755B6"/>
    <w:rsid w:val="00A758EE"/>
    <w:rsid w:val="00A75CA4"/>
    <w:rsid w:val="00A75FAB"/>
    <w:rsid w:val="00A76AB5"/>
    <w:rsid w:val="00A76D74"/>
    <w:rsid w:val="00A77169"/>
    <w:rsid w:val="00A8065C"/>
    <w:rsid w:val="00A80778"/>
    <w:rsid w:val="00A817EE"/>
    <w:rsid w:val="00A81AF2"/>
    <w:rsid w:val="00A826B6"/>
    <w:rsid w:val="00A82721"/>
    <w:rsid w:val="00A82BAA"/>
    <w:rsid w:val="00A82BD6"/>
    <w:rsid w:val="00A83B96"/>
    <w:rsid w:val="00A83C12"/>
    <w:rsid w:val="00A83FAE"/>
    <w:rsid w:val="00A84A23"/>
    <w:rsid w:val="00A84DB4"/>
    <w:rsid w:val="00A851BE"/>
    <w:rsid w:val="00A85257"/>
    <w:rsid w:val="00A857D1"/>
    <w:rsid w:val="00A85BFF"/>
    <w:rsid w:val="00A85C96"/>
    <w:rsid w:val="00A85CEF"/>
    <w:rsid w:val="00A85F1F"/>
    <w:rsid w:val="00A85F4C"/>
    <w:rsid w:val="00A85F95"/>
    <w:rsid w:val="00A865F7"/>
    <w:rsid w:val="00A86E70"/>
    <w:rsid w:val="00A90B48"/>
    <w:rsid w:val="00A90FE5"/>
    <w:rsid w:val="00A91561"/>
    <w:rsid w:val="00A9251C"/>
    <w:rsid w:val="00A92652"/>
    <w:rsid w:val="00A92662"/>
    <w:rsid w:val="00A92B84"/>
    <w:rsid w:val="00A92CDE"/>
    <w:rsid w:val="00A9307C"/>
    <w:rsid w:val="00A9347F"/>
    <w:rsid w:val="00A93646"/>
    <w:rsid w:val="00A93DC3"/>
    <w:rsid w:val="00A94064"/>
    <w:rsid w:val="00A94276"/>
    <w:rsid w:val="00A94D15"/>
    <w:rsid w:val="00A94E60"/>
    <w:rsid w:val="00A95016"/>
    <w:rsid w:val="00A95952"/>
    <w:rsid w:val="00A95FA2"/>
    <w:rsid w:val="00A96CF6"/>
    <w:rsid w:val="00A96E75"/>
    <w:rsid w:val="00A970D7"/>
    <w:rsid w:val="00A9730D"/>
    <w:rsid w:val="00A973A8"/>
    <w:rsid w:val="00A97E18"/>
    <w:rsid w:val="00AA01AF"/>
    <w:rsid w:val="00AA091E"/>
    <w:rsid w:val="00AA0DFC"/>
    <w:rsid w:val="00AA108A"/>
    <w:rsid w:val="00AA1344"/>
    <w:rsid w:val="00AA1CC5"/>
    <w:rsid w:val="00AA2E35"/>
    <w:rsid w:val="00AA3549"/>
    <w:rsid w:val="00AA3642"/>
    <w:rsid w:val="00AA3E09"/>
    <w:rsid w:val="00AA4799"/>
    <w:rsid w:val="00AA4823"/>
    <w:rsid w:val="00AA4B6C"/>
    <w:rsid w:val="00AA5039"/>
    <w:rsid w:val="00AA5920"/>
    <w:rsid w:val="00AA5979"/>
    <w:rsid w:val="00AA6A3B"/>
    <w:rsid w:val="00AA6B75"/>
    <w:rsid w:val="00AA71AA"/>
    <w:rsid w:val="00AA7511"/>
    <w:rsid w:val="00AA76CC"/>
    <w:rsid w:val="00AA7744"/>
    <w:rsid w:val="00AA78FA"/>
    <w:rsid w:val="00AA7A17"/>
    <w:rsid w:val="00AA7EAE"/>
    <w:rsid w:val="00AA7F37"/>
    <w:rsid w:val="00AB03BC"/>
    <w:rsid w:val="00AB10CB"/>
    <w:rsid w:val="00AB13DD"/>
    <w:rsid w:val="00AB166B"/>
    <w:rsid w:val="00AB1D4E"/>
    <w:rsid w:val="00AB1DAC"/>
    <w:rsid w:val="00AB26E0"/>
    <w:rsid w:val="00AB2FB4"/>
    <w:rsid w:val="00AB30AB"/>
    <w:rsid w:val="00AB3217"/>
    <w:rsid w:val="00AB33C5"/>
    <w:rsid w:val="00AB34A5"/>
    <w:rsid w:val="00AB4CE3"/>
    <w:rsid w:val="00AB4DF7"/>
    <w:rsid w:val="00AB52A4"/>
    <w:rsid w:val="00AB5514"/>
    <w:rsid w:val="00AB562B"/>
    <w:rsid w:val="00AB56E8"/>
    <w:rsid w:val="00AB596C"/>
    <w:rsid w:val="00AB615D"/>
    <w:rsid w:val="00AB636C"/>
    <w:rsid w:val="00AB646C"/>
    <w:rsid w:val="00AB67D1"/>
    <w:rsid w:val="00AB67F6"/>
    <w:rsid w:val="00AB6F23"/>
    <w:rsid w:val="00AB73B3"/>
    <w:rsid w:val="00AB74B6"/>
    <w:rsid w:val="00AC0010"/>
    <w:rsid w:val="00AC04DF"/>
    <w:rsid w:val="00AC1785"/>
    <w:rsid w:val="00AC1B87"/>
    <w:rsid w:val="00AC1CC2"/>
    <w:rsid w:val="00AC1D3C"/>
    <w:rsid w:val="00AC1DEA"/>
    <w:rsid w:val="00AC28DA"/>
    <w:rsid w:val="00AC38D2"/>
    <w:rsid w:val="00AC39E1"/>
    <w:rsid w:val="00AC4079"/>
    <w:rsid w:val="00AC5722"/>
    <w:rsid w:val="00AC5E5A"/>
    <w:rsid w:val="00AC6536"/>
    <w:rsid w:val="00AC6EDC"/>
    <w:rsid w:val="00AC72A5"/>
    <w:rsid w:val="00AC7677"/>
    <w:rsid w:val="00AC795F"/>
    <w:rsid w:val="00AC7DEA"/>
    <w:rsid w:val="00AC7EE3"/>
    <w:rsid w:val="00AD03CA"/>
    <w:rsid w:val="00AD068F"/>
    <w:rsid w:val="00AD0736"/>
    <w:rsid w:val="00AD0C28"/>
    <w:rsid w:val="00AD1257"/>
    <w:rsid w:val="00AD12F4"/>
    <w:rsid w:val="00AD185F"/>
    <w:rsid w:val="00AD2489"/>
    <w:rsid w:val="00AD2ECB"/>
    <w:rsid w:val="00AD4100"/>
    <w:rsid w:val="00AD5379"/>
    <w:rsid w:val="00AD5661"/>
    <w:rsid w:val="00AD56E0"/>
    <w:rsid w:val="00AD5C83"/>
    <w:rsid w:val="00AD6B60"/>
    <w:rsid w:val="00AD7881"/>
    <w:rsid w:val="00AD7AED"/>
    <w:rsid w:val="00AE0022"/>
    <w:rsid w:val="00AE109F"/>
    <w:rsid w:val="00AE122E"/>
    <w:rsid w:val="00AE128B"/>
    <w:rsid w:val="00AE136D"/>
    <w:rsid w:val="00AE1414"/>
    <w:rsid w:val="00AE1601"/>
    <w:rsid w:val="00AE1713"/>
    <w:rsid w:val="00AE18E5"/>
    <w:rsid w:val="00AE206F"/>
    <w:rsid w:val="00AE26C9"/>
    <w:rsid w:val="00AE26F2"/>
    <w:rsid w:val="00AE292A"/>
    <w:rsid w:val="00AE294D"/>
    <w:rsid w:val="00AE345A"/>
    <w:rsid w:val="00AE3500"/>
    <w:rsid w:val="00AE4326"/>
    <w:rsid w:val="00AE4B75"/>
    <w:rsid w:val="00AE5298"/>
    <w:rsid w:val="00AE5925"/>
    <w:rsid w:val="00AE6E93"/>
    <w:rsid w:val="00AE73A3"/>
    <w:rsid w:val="00AE771A"/>
    <w:rsid w:val="00AE7CCC"/>
    <w:rsid w:val="00AE7D71"/>
    <w:rsid w:val="00AF0F6E"/>
    <w:rsid w:val="00AF2CA0"/>
    <w:rsid w:val="00AF2CFC"/>
    <w:rsid w:val="00AF2D86"/>
    <w:rsid w:val="00AF376F"/>
    <w:rsid w:val="00AF3999"/>
    <w:rsid w:val="00AF3D44"/>
    <w:rsid w:val="00AF4198"/>
    <w:rsid w:val="00AF45F8"/>
    <w:rsid w:val="00AF4A66"/>
    <w:rsid w:val="00AF540D"/>
    <w:rsid w:val="00AF5790"/>
    <w:rsid w:val="00AF5B36"/>
    <w:rsid w:val="00AF61C0"/>
    <w:rsid w:val="00AF63C6"/>
    <w:rsid w:val="00AF6572"/>
    <w:rsid w:val="00AF65F0"/>
    <w:rsid w:val="00AF672F"/>
    <w:rsid w:val="00AF6962"/>
    <w:rsid w:val="00AF6B80"/>
    <w:rsid w:val="00AF6ED2"/>
    <w:rsid w:val="00AF6F15"/>
    <w:rsid w:val="00AF7486"/>
    <w:rsid w:val="00AF7909"/>
    <w:rsid w:val="00AF7D30"/>
    <w:rsid w:val="00B00051"/>
    <w:rsid w:val="00B00120"/>
    <w:rsid w:val="00B0046F"/>
    <w:rsid w:val="00B006D1"/>
    <w:rsid w:val="00B008F7"/>
    <w:rsid w:val="00B00F34"/>
    <w:rsid w:val="00B0149C"/>
    <w:rsid w:val="00B015B0"/>
    <w:rsid w:val="00B018DF"/>
    <w:rsid w:val="00B01E3B"/>
    <w:rsid w:val="00B0230C"/>
    <w:rsid w:val="00B043AB"/>
    <w:rsid w:val="00B04769"/>
    <w:rsid w:val="00B049F4"/>
    <w:rsid w:val="00B04C12"/>
    <w:rsid w:val="00B04D7B"/>
    <w:rsid w:val="00B050C9"/>
    <w:rsid w:val="00B05DFB"/>
    <w:rsid w:val="00B06461"/>
    <w:rsid w:val="00B076FD"/>
    <w:rsid w:val="00B079D8"/>
    <w:rsid w:val="00B10016"/>
    <w:rsid w:val="00B104A5"/>
    <w:rsid w:val="00B10550"/>
    <w:rsid w:val="00B11051"/>
    <w:rsid w:val="00B113B1"/>
    <w:rsid w:val="00B12F6F"/>
    <w:rsid w:val="00B15379"/>
    <w:rsid w:val="00B15CEE"/>
    <w:rsid w:val="00B15EA0"/>
    <w:rsid w:val="00B15EB4"/>
    <w:rsid w:val="00B15FEC"/>
    <w:rsid w:val="00B160BD"/>
    <w:rsid w:val="00B1612D"/>
    <w:rsid w:val="00B161CE"/>
    <w:rsid w:val="00B1721E"/>
    <w:rsid w:val="00B1775B"/>
    <w:rsid w:val="00B179EA"/>
    <w:rsid w:val="00B17B30"/>
    <w:rsid w:val="00B17B41"/>
    <w:rsid w:val="00B17C20"/>
    <w:rsid w:val="00B20A22"/>
    <w:rsid w:val="00B20A50"/>
    <w:rsid w:val="00B20FE4"/>
    <w:rsid w:val="00B23417"/>
    <w:rsid w:val="00B23C85"/>
    <w:rsid w:val="00B24807"/>
    <w:rsid w:val="00B24AF2"/>
    <w:rsid w:val="00B25036"/>
    <w:rsid w:val="00B250C7"/>
    <w:rsid w:val="00B2607D"/>
    <w:rsid w:val="00B2680A"/>
    <w:rsid w:val="00B26CAF"/>
    <w:rsid w:val="00B27716"/>
    <w:rsid w:val="00B27E16"/>
    <w:rsid w:val="00B30225"/>
    <w:rsid w:val="00B30865"/>
    <w:rsid w:val="00B3095D"/>
    <w:rsid w:val="00B30BC8"/>
    <w:rsid w:val="00B325CF"/>
    <w:rsid w:val="00B32635"/>
    <w:rsid w:val="00B326D8"/>
    <w:rsid w:val="00B3324D"/>
    <w:rsid w:val="00B33C89"/>
    <w:rsid w:val="00B344DC"/>
    <w:rsid w:val="00B345C2"/>
    <w:rsid w:val="00B3624A"/>
    <w:rsid w:val="00B368DA"/>
    <w:rsid w:val="00B37123"/>
    <w:rsid w:val="00B3797F"/>
    <w:rsid w:val="00B379E8"/>
    <w:rsid w:val="00B40001"/>
    <w:rsid w:val="00B40337"/>
    <w:rsid w:val="00B40396"/>
    <w:rsid w:val="00B40586"/>
    <w:rsid w:val="00B40992"/>
    <w:rsid w:val="00B40ED0"/>
    <w:rsid w:val="00B40F84"/>
    <w:rsid w:val="00B42207"/>
    <w:rsid w:val="00B4220C"/>
    <w:rsid w:val="00B42601"/>
    <w:rsid w:val="00B4299B"/>
    <w:rsid w:val="00B430EA"/>
    <w:rsid w:val="00B430F0"/>
    <w:rsid w:val="00B43559"/>
    <w:rsid w:val="00B436D0"/>
    <w:rsid w:val="00B436F6"/>
    <w:rsid w:val="00B443EB"/>
    <w:rsid w:val="00B44A02"/>
    <w:rsid w:val="00B44E74"/>
    <w:rsid w:val="00B45234"/>
    <w:rsid w:val="00B452E1"/>
    <w:rsid w:val="00B453F7"/>
    <w:rsid w:val="00B45BFB"/>
    <w:rsid w:val="00B45E48"/>
    <w:rsid w:val="00B4613B"/>
    <w:rsid w:val="00B46185"/>
    <w:rsid w:val="00B463C0"/>
    <w:rsid w:val="00B465CA"/>
    <w:rsid w:val="00B46755"/>
    <w:rsid w:val="00B46A84"/>
    <w:rsid w:val="00B472EC"/>
    <w:rsid w:val="00B500AE"/>
    <w:rsid w:val="00B50297"/>
    <w:rsid w:val="00B505A4"/>
    <w:rsid w:val="00B50B0D"/>
    <w:rsid w:val="00B5117F"/>
    <w:rsid w:val="00B51442"/>
    <w:rsid w:val="00B51637"/>
    <w:rsid w:val="00B5188B"/>
    <w:rsid w:val="00B51940"/>
    <w:rsid w:val="00B52287"/>
    <w:rsid w:val="00B52931"/>
    <w:rsid w:val="00B52A2B"/>
    <w:rsid w:val="00B53310"/>
    <w:rsid w:val="00B5380B"/>
    <w:rsid w:val="00B53DBD"/>
    <w:rsid w:val="00B53F8B"/>
    <w:rsid w:val="00B544F5"/>
    <w:rsid w:val="00B54663"/>
    <w:rsid w:val="00B54815"/>
    <w:rsid w:val="00B54AA5"/>
    <w:rsid w:val="00B558F3"/>
    <w:rsid w:val="00B55F3A"/>
    <w:rsid w:val="00B56093"/>
    <w:rsid w:val="00B56379"/>
    <w:rsid w:val="00B5681C"/>
    <w:rsid w:val="00B56F02"/>
    <w:rsid w:val="00B6023D"/>
    <w:rsid w:val="00B6024A"/>
    <w:rsid w:val="00B602FA"/>
    <w:rsid w:val="00B60985"/>
    <w:rsid w:val="00B60DB4"/>
    <w:rsid w:val="00B621A4"/>
    <w:rsid w:val="00B629A6"/>
    <w:rsid w:val="00B633F4"/>
    <w:rsid w:val="00B63752"/>
    <w:rsid w:val="00B638D8"/>
    <w:rsid w:val="00B641F0"/>
    <w:rsid w:val="00B64AEC"/>
    <w:rsid w:val="00B65A6D"/>
    <w:rsid w:val="00B666AB"/>
    <w:rsid w:val="00B668A4"/>
    <w:rsid w:val="00B66BB2"/>
    <w:rsid w:val="00B66FB2"/>
    <w:rsid w:val="00B6703A"/>
    <w:rsid w:val="00B676F3"/>
    <w:rsid w:val="00B6779E"/>
    <w:rsid w:val="00B7047D"/>
    <w:rsid w:val="00B70EA9"/>
    <w:rsid w:val="00B7127C"/>
    <w:rsid w:val="00B71DC5"/>
    <w:rsid w:val="00B71ECF"/>
    <w:rsid w:val="00B72081"/>
    <w:rsid w:val="00B7251B"/>
    <w:rsid w:val="00B72EC0"/>
    <w:rsid w:val="00B72F1E"/>
    <w:rsid w:val="00B73979"/>
    <w:rsid w:val="00B7401E"/>
    <w:rsid w:val="00B748DD"/>
    <w:rsid w:val="00B74E01"/>
    <w:rsid w:val="00B7504B"/>
    <w:rsid w:val="00B756FC"/>
    <w:rsid w:val="00B761E6"/>
    <w:rsid w:val="00B764DC"/>
    <w:rsid w:val="00B76598"/>
    <w:rsid w:val="00B76711"/>
    <w:rsid w:val="00B76847"/>
    <w:rsid w:val="00B76A41"/>
    <w:rsid w:val="00B76E0B"/>
    <w:rsid w:val="00B774E6"/>
    <w:rsid w:val="00B7762F"/>
    <w:rsid w:val="00B77F63"/>
    <w:rsid w:val="00B81687"/>
    <w:rsid w:val="00B81B30"/>
    <w:rsid w:val="00B81BE1"/>
    <w:rsid w:val="00B81F62"/>
    <w:rsid w:val="00B82467"/>
    <w:rsid w:val="00B82641"/>
    <w:rsid w:val="00B827B0"/>
    <w:rsid w:val="00B82F95"/>
    <w:rsid w:val="00B83D76"/>
    <w:rsid w:val="00B83DAA"/>
    <w:rsid w:val="00B84328"/>
    <w:rsid w:val="00B8469C"/>
    <w:rsid w:val="00B853C4"/>
    <w:rsid w:val="00B86088"/>
    <w:rsid w:val="00B861FC"/>
    <w:rsid w:val="00B8656B"/>
    <w:rsid w:val="00B86C1C"/>
    <w:rsid w:val="00B90884"/>
    <w:rsid w:val="00B9114B"/>
    <w:rsid w:val="00B91316"/>
    <w:rsid w:val="00B91443"/>
    <w:rsid w:val="00B91513"/>
    <w:rsid w:val="00B91B3C"/>
    <w:rsid w:val="00B91B79"/>
    <w:rsid w:val="00B91D39"/>
    <w:rsid w:val="00B91FC7"/>
    <w:rsid w:val="00B923D1"/>
    <w:rsid w:val="00B92910"/>
    <w:rsid w:val="00B9330D"/>
    <w:rsid w:val="00B9349F"/>
    <w:rsid w:val="00B93543"/>
    <w:rsid w:val="00B93667"/>
    <w:rsid w:val="00B937E4"/>
    <w:rsid w:val="00B93A65"/>
    <w:rsid w:val="00B93B46"/>
    <w:rsid w:val="00B93C6B"/>
    <w:rsid w:val="00B94347"/>
    <w:rsid w:val="00B94A19"/>
    <w:rsid w:val="00B94B2E"/>
    <w:rsid w:val="00B9578B"/>
    <w:rsid w:val="00B958AC"/>
    <w:rsid w:val="00B9593A"/>
    <w:rsid w:val="00B9642A"/>
    <w:rsid w:val="00B96E33"/>
    <w:rsid w:val="00B970EB"/>
    <w:rsid w:val="00B9713F"/>
    <w:rsid w:val="00B97294"/>
    <w:rsid w:val="00B973A3"/>
    <w:rsid w:val="00B97963"/>
    <w:rsid w:val="00B97C39"/>
    <w:rsid w:val="00B97C5E"/>
    <w:rsid w:val="00BA01C6"/>
    <w:rsid w:val="00BA02B8"/>
    <w:rsid w:val="00BA08B3"/>
    <w:rsid w:val="00BA0C56"/>
    <w:rsid w:val="00BA0F05"/>
    <w:rsid w:val="00BA1321"/>
    <w:rsid w:val="00BA145D"/>
    <w:rsid w:val="00BA1C01"/>
    <w:rsid w:val="00BA1F89"/>
    <w:rsid w:val="00BA2D2F"/>
    <w:rsid w:val="00BA2E50"/>
    <w:rsid w:val="00BA307C"/>
    <w:rsid w:val="00BA3434"/>
    <w:rsid w:val="00BA36A6"/>
    <w:rsid w:val="00BA3759"/>
    <w:rsid w:val="00BA3A15"/>
    <w:rsid w:val="00BA3D06"/>
    <w:rsid w:val="00BA4A40"/>
    <w:rsid w:val="00BA4B45"/>
    <w:rsid w:val="00BA577D"/>
    <w:rsid w:val="00BA57F7"/>
    <w:rsid w:val="00BA5F36"/>
    <w:rsid w:val="00BA6D3C"/>
    <w:rsid w:val="00BA6D99"/>
    <w:rsid w:val="00BA6F4B"/>
    <w:rsid w:val="00BA7704"/>
    <w:rsid w:val="00BB0227"/>
    <w:rsid w:val="00BB09BB"/>
    <w:rsid w:val="00BB0C70"/>
    <w:rsid w:val="00BB133D"/>
    <w:rsid w:val="00BB185A"/>
    <w:rsid w:val="00BB18A0"/>
    <w:rsid w:val="00BB1EA8"/>
    <w:rsid w:val="00BB269E"/>
    <w:rsid w:val="00BB26F7"/>
    <w:rsid w:val="00BB2916"/>
    <w:rsid w:val="00BB292B"/>
    <w:rsid w:val="00BB2C58"/>
    <w:rsid w:val="00BB2E26"/>
    <w:rsid w:val="00BB327A"/>
    <w:rsid w:val="00BB342B"/>
    <w:rsid w:val="00BB3B92"/>
    <w:rsid w:val="00BB3D61"/>
    <w:rsid w:val="00BB3DB1"/>
    <w:rsid w:val="00BB4066"/>
    <w:rsid w:val="00BB426A"/>
    <w:rsid w:val="00BB47F9"/>
    <w:rsid w:val="00BB4D0F"/>
    <w:rsid w:val="00BB56C1"/>
    <w:rsid w:val="00BB571E"/>
    <w:rsid w:val="00BB5F49"/>
    <w:rsid w:val="00BB5F56"/>
    <w:rsid w:val="00BB607D"/>
    <w:rsid w:val="00BB6280"/>
    <w:rsid w:val="00BB62AF"/>
    <w:rsid w:val="00BB6977"/>
    <w:rsid w:val="00BB6AB1"/>
    <w:rsid w:val="00BB6B68"/>
    <w:rsid w:val="00BB71F9"/>
    <w:rsid w:val="00BB7AE5"/>
    <w:rsid w:val="00BC01DA"/>
    <w:rsid w:val="00BC0358"/>
    <w:rsid w:val="00BC03F5"/>
    <w:rsid w:val="00BC09C0"/>
    <w:rsid w:val="00BC0DB1"/>
    <w:rsid w:val="00BC135A"/>
    <w:rsid w:val="00BC17A0"/>
    <w:rsid w:val="00BC197D"/>
    <w:rsid w:val="00BC1C93"/>
    <w:rsid w:val="00BC1CA5"/>
    <w:rsid w:val="00BC1E04"/>
    <w:rsid w:val="00BC27DB"/>
    <w:rsid w:val="00BC287F"/>
    <w:rsid w:val="00BC37B7"/>
    <w:rsid w:val="00BC3EE0"/>
    <w:rsid w:val="00BC3F42"/>
    <w:rsid w:val="00BC418A"/>
    <w:rsid w:val="00BC4F15"/>
    <w:rsid w:val="00BC53D7"/>
    <w:rsid w:val="00BC5FCB"/>
    <w:rsid w:val="00BC67B1"/>
    <w:rsid w:val="00BC69C3"/>
    <w:rsid w:val="00BC77AD"/>
    <w:rsid w:val="00BD002B"/>
    <w:rsid w:val="00BD05C7"/>
    <w:rsid w:val="00BD0A14"/>
    <w:rsid w:val="00BD0D43"/>
    <w:rsid w:val="00BD0E68"/>
    <w:rsid w:val="00BD1946"/>
    <w:rsid w:val="00BD1EE2"/>
    <w:rsid w:val="00BD2C1C"/>
    <w:rsid w:val="00BD2FED"/>
    <w:rsid w:val="00BD320E"/>
    <w:rsid w:val="00BD3313"/>
    <w:rsid w:val="00BD4088"/>
    <w:rsid w:val="00BD4347"/>
    <w:rsid w:val="00BD4831"/>
    <w:rsid w:val="00BD4EC9"/>
    <w:rsid w:val="00BD52B5"/>
    <w:rsid w:val="00BD5BE3"/>
    <w:rsid w:val="00BD5D57"/>
    <w:rsid w:val="00BD5E07"/>
    <w:rsid w:val="00BD5EB1"/>
    <w:rsid w:val="00BD6FAE"/>
    <w:rsid w:val="00BD73EC"/>
    <w:rsid w:val="00BD77EC"/>
    <w:rsid w:val="00BD7AA2"/>
    <w:rsid w:val="00BD7F15"/>
    <w:rsid w:val="00BE00ED"/>
    <w:rsid w:val="00BE09E9"/>
    <w:rsid w:val="00BE0E5B"/>
    <w:rsid w:val="00BE16AF"/>
    <w:rsid w:val="00BE1C4D"/>
    <w:rsid w:val="00BE1F88"/>
    <w:rsid w:val="00BE22CA"/>
    <w:rsid w:val="00BE270E"/>
    <w:rsid w:val="00BE2E7C"/>
    <w:rsid w:val="00BE32FC"/>
    <w:rsid w:val="00BE3303"/>
    <w:rsid w:val="00BE33B0"/>
    <w:rsid w:val="00BE3BA5"/>
    <w:rsid w:val="00BE4635"/>
    <w:rsid w:val="00BE496E"/>
    <w:rsid w:val="00BE54A9"/>
    <w:rsid w:val="00BE5903"/>
    <w:rsid w:val="00BE6912"/>
    <w:rsid w:val="00BE70A6"/>
    <w:rsid w:val="00BE74F7"/>
    <w:rsid w:val="00BE7CB8"/>
    <w:rsid w:val="00BF0187"/>
    <w:rsid w:val="00BF02D3"/>
    <w:rsid w:val="00BF0F48"/>
    <w:rsid w:val="00BF21FD"/>
    <w:rsid w:val="00BF2353"/>
    <w:rsid w:val="00BF23AF"/>
    <w:rsid w:val="00BF260B"/>
    <w:rsid w:val="00BF28AB"/>
    <w:rsid w:val="00BF3150"/>
    <w:rsid w:val="00BF3A17"/>
    <w:rsid w:val="00BF3C2A"/>
    <w:rsid w:val="00BF3E2E"/>
    <w:rsid w:val="00BF429A"/>
    <w:rsid w:val="00BF4408"/>
    <w:rsid w:val="00BF4DAE"/>
    <w:rsid w:val="00BF5280"/>
    <w:rsid w:val="00BF530F"/>
    <w:rsid w:val="00BF54EF"/>
    <w:rsid w:val="00BF593C"/>
    <w:rsid w:val="00BF5E96"/>
    <w:rsid w:val="00BF63A5"/>
    <w:rsid w:val="00BF6E05"/>
    <w:rsid w:val="00BF7069"/>
    <w:rsid w:val="00BF73CF"/>
    <w:rsid w:val="00BF73DB"/>
    <w:rsid w:val="00BF7555"/>
    <w:rsid w:val="00BF7A71"/>
    <w:rsid w:val="00BF7A81"/>
    <w:rsid w:val="00BF7AFD"/>
    <w:rsid w:val="00BF7ED9"/>
    <w:rsid w:val="00C00105"/>
    <w:rsid w:val="00C00761"/>
    <w:rsid w:val="00C00D79"/>
    <w:rsid w:val="00C01C97"/>
    <w:rsid w:val="00C01D6A"/>
    <w:rsid w:val="00C01F9B"/>
    <w:rsid w:val="00C02862"/>
    <w:rsid w:val="00C02928"/>
    <w:rsid w:val="00C02C77"/>
    <w:rsid w:val="00C02F6E"/>
    <w:rsid w:val="00C02FBD"/>
    <w:rsid w:val="00C0385D"/>
    <w:rsid w:val="00C03C9E"/>
    <w:rsid w:val="00C03DB0"/>
    <w:rsid w:val="00C04E2B"/>
    <w:rsid w:val="00C0547E"/>
    <w:rsid w:val="00C05902"/>
    <w:rsid w:val="00C05B3F"/>
    <w:rsid w:val="00C060F8"/>
    <w:rsid w:val="00C0633D"/>
    <w:rsid w:val="00C07285"/>
    <w:rsid w:val="00C075D0"/>
    <w:rsid w:val="00C079C3"/>
    <w:rsid w:val="00C07CE6"/>
    <w:rsid w:val="00C07D87"/>
    <w:rsid w:val="00C07FB0"/>
    <w:rsid w:val="00C1027C"/>
    <w:rsid w:val="00C1195F"/>
    <w:rsid w:val="00C11D13"/>
    <w:rsid w:val="00C1220A"/>
    <w:rsid w:val="00C125C5"/>
    <w:rsid w:val="00C128AA"/>
    <w:rsid w:val="00C129F5"/>
    <w:rsid w:val="00C12D36"/>
    <w:rsid w:val="00C13484"/>
    <w:rsid w:val="00C13AFC"/>
    <w:rsid w:val="00C1467F"/>
    <w:rsid w:val="00C15860"/>
    <w:rsid w:val="00C15F98"/>
    <w:rsid w:val="00C15FAE"/>
    <w:rsid w:val="00C1617A"/>
    <w:rsid w:val="00C167AD"/>
    <w:rsid w:val="00C16AD6"/>
    <w:rsid w:val="00C16E54"/>
    <w:rsid w:val="00C17439"/>
    <w:rsid w:val="00C1773F"/>
    <w:rsid w:val="00C1785B"/>
    <w:rsid w:val="00C179C1"/>
    <w:rsid w:val="00C17A5A"/>
    <w:rsid w:val="00C17BC9"/>
    <w:rsid w:val="00C17F5B"/>
    <w:rsid w:val="00C2062C"/>
    <w:rsid w:val="00C20C9F"/>
    <w:rsid w:val="00C213F7"/>
    <w:rsid w:val="00C2153B"/>
    <w:rsid w:val="00C21AD4"/>
    <w:rsid w:val="00C22084"/>
    <w:rsid w:val="00C22651"/>
    <w:rsid w:val="00C24919"/>
    <w:rsid w:val="00C24BF7"/>
    <w:rsid w:val="00C24DDC"/>
    <w:rsid w:val="00C2580A"/>
    <w:rsid w:val="00C258C6"/>
    <w:rsid w:val="00C260EE"/>
    <w:rsid w:val="00C261CC"/>
    <w:rsid w:val="00C263D3"/>
    <w:rsid w:val="00C270C4"/>
    <w:rsid w:val="00C270D4"/>
    <w:rsid w:val="00C27155"/>
    <w:rsid w:val="00C27470"/>
    <w:rsid w:val="00C2787C"/>
    <w:rsid w:val="00C279C2"/>
    <w:rsid w:val="00C301D8"/>
    <w:rsid w:val="00C3021F"/>
    <w:rsid w:val="00C3057E"/>
    <w:rsid w:val="00C30707"/>
    <w:rsid w:val="00C307FD"/>
    <w:rsid w:val="00C310D4"/>
    <w:rsid w:val="00C3117A"/>
    <w:rsid w:val="00C312B6"/>
    <w:rsid w:val="00C31832"/>
    <w:rsid w:val="00C31D88"/>
    <w:rsid w:val="00C31F4F"/>
    <w:rsid w:val="00C324A2"/>
    <w:rsid w:val="00C339DC"/>
    <w:rsid w:val="00C33A09"/>
    <w:rsid w:val="00C33FED"/>
    <w:rsid w:val="00C341B2"/>
    <w:rsid w:val="00C342A4"/>
    <w:rsid w:val="00C3445A"/>
    <w:rsid w:val="00C3462A"/>
    <w:rsid w:val="00C34C72"/>
    <w:rsid w:val="00C34E9C"/>
    <w:rsid w:val="00C35240"/>
    <w:rsid w:val="00C35357"/>
    <w:rsid w:val="00C358C3"/>
    <w:rsid w:val="00C35C7E"/>
    <w:rsid w:val="00C36118"/>
    <w:rsid w:val="00C36276"/>
    <w:rsid w:val="00C36323"/>
    <w:rsid w:val="00C3653D"/>
    <w:rsid w:val="00C36A95"/>
    <w:rsid w:val="00C373EA"/>
    <w:rsid w:val="00C375A8"/>
    <w:rsid w:val="00C3786F"/>
    <w:rsid w:val="00C37E61"/>
    <w:rsid w:val="00C40041"/>
    <w:rsid w:val="00C402D9"/>
    <w:rsid w:val="00C40526"/>
    <w:rsid w:val="00C405BB"/>
    <w:rsid w:val="00C4095F"/>
    <w:rsid w:val="00C40A81"/>
    <w:rsid w:val="00C410B9"/>
    <w:rsid w:val="00C41781"/>
    <w:rsid w:val="00C4197E"/>
    <w:rsid w:val="00C41C12"/>
    <w:rsid w:val="00C42273"/>
    <w:rsid w:val="00C42D3F"/>
    <w:rsid w:val="00C434AF"/>
    <w:rsid w:val="00C43B83"/>
    <w:rsid w:val="00C43C85"/>
    <w:rsid w:val="00C44144"/>
    <w:rsid w:val="00C44381"/>
    <w:rsid w:val="00C4500C"/>
    <w:rsid w:val="00C454C5"/>
    <w:rsid w:val="00C4560F"/>
    <w:rsid w:val="00C45B66"/>
    <w:rsid w:val="00C45F5F"/>
    <w:rsid w:val="00C46489"/>
    <w:rsid w:val="00C46544"/>
    <w:rsid w:val="00C46777"/>
    <w:rsid w:val="00C47051"/>
    <w:rsid w:val="00C475D2"/>
    <w:rsid w:val="00C47820"/>
    <w:rsid w:val="00C4792D"/>
    <w:rsid w:val="00C47AAC"/>
    <w:rsid w:val="00C47B83"/>
    <w:rsid w:val="00C47BA5"/>
    <w:rsid w:val="00C505CA"/>
    <w:rsid w:val="00C50CF6"/>
    <w:rsid w:val="00C51110"/>
    <w:rsid w:val="00C51A61"/>
    <w:rsid w:val="00C51C4B"/>
    <w:rsid w:val="00C5200E"/>
    <w:rsid w:val="00C5253B"/>
    <w:rsid w:val="00C53253"/>
    <w:rsid w:val="00C532DF"/>
    <w:rsid w:val="00C53833"/>
    <w:rsid w:val="00C5416D"/>
    <w:rsid w:val="00C548AD"/>
    <w:rsid w:val="00C548AF"/>
    <w:rsid w:val="00C55009"/>
    <w:rsid w:val="00C55106"/>
    <w:rsid w:val="00C55175"/>
    <w:rsid w:val="00C55199"/>
    <w:rsid w:val="00C55438"/>
    <w:rsid w:val="00C5560E"/>
    <w:rsid w:val="00C55670"/>
    <w:rsid w:val="00C55E82"/>
    <w:rsid w:val="00C56B71"/>
    <w:rsid w:val="00C5719C"/>
    <w:rsid w:val="00C57646"/>
    <w:rsid w:val="00C57AD1"/>
    <w:rsid w:val="00C57D41"/>
    <w:rsid w:val="00C6048A"/>
    <w:rsid w:val="00C604C6"/>
    <w:rsid w:val="00C60CD2"/>
    <w:rsid w:val="00C615D0"/>
    <w:rsid w:val="00C618B6"/>
    <w:rsid w:val="00C61D9E"/>
    <w:rsid w:val="00C62AC6"/>
    <w:rsid w:val="00C632FE"/>
    <w:rsid w:val="00C639C4"/>
    <w:rsid w:val="00C63CC6"/>
    <w:rsid w:val="00C63D41"/>
    <w:rsid w:val="00C645F9"/>
    <w:rsid w:val="00C651BC"/>
    <w:rsid w:val="00C6535E"/>
    <w:rsid w:val="00C654B2"/>
    <w:rsid w:val="00C657CF"/>
    <w:rsid w:val="00C6590F"/>
    <w:rsid w:val="00C664AC"/>
    <w:rsid w:val="00C66610"/>
    <w:rsid w:val="00C66642"/>
    <w:rsid w:val="00C666C8"/>
    <w:rsid w:val="00C66984"/>
    <w:rsid w:val="00C67396"/>
    <w:rsid w:val="00C67F3B"/>
    <w:rsid w:val="00C67FD5"/>
    <w:rsid w:val="00C70112"/>
    <w:rsid w:val="00C7021D"/>
    <w:rsid w:val="00C70323"/>
    <w:rsid w:val="00C70B95"/>
    <w:rsid w:val="00C711D5"/>
    <w:rsid w:val="00C71327"/>
    <w:rsid w:val="00C71915"/>
    <w:rsid w:val="00C71920"/>
    <w:rsid w:val="00C72A78"/>
    <w:rsid w:val="00C72DA7"/>
    <w:rsid w:val="00C74607"/>
    <w:rsid w:val="00C746F8"/>
    <w:rsid w:val="00C749A3"/>
    <w:rsid w:val="00C74C68"/>
    <w:rsid w:val="00C74CF1"/>
    <w:rsid w:val="00C74FCD"/>
    <w:rsid w:val="00C76262"/>
    <w:rsid w:val="00C764C0"/>
    <w:rsid w:val="00C76533"/>
    <w:rsid w:val="00C7655F"/>
    <w:rsid w:val="00C7664A"/>
    <w:rsid w:val="00C768F8"/>
    <w:rsid w:val="00C771F7"/>
    <w:rsid w:val="00C773B3"/>
    <w:rsid w:val="00C77532"/>
    <w:rsid w:val="00C776C5"/>
    <w:rsid w:val="00C7774C"/>
    <w:rsid w:val="00C77A20"/>
    <w:rsid w:val="00C77A59"/>
    <w:rsid w:val="00C77B9F"/>
    <w:rsid w:val="00C8004A"/>
    <w:rsid w:val="00C803A9"/>
    <w:rsid w:val="00C81007"/>
    <w:rsid w:val="00C818AA"/>
    <w:rsid w:val="00C8190F"/>
    <w:rsid w:val="00C81E15"/>
    <w:rsid w:val="00C82192"/>
    <w:rsid w:val="00C82846"/>
    <w:rsid w:val="00C82C66"/>
    <w:rsid w:val="00C82E0F"/>
    <w:rsid w:val="00C82E45"/>
    <w:rsid w:val="00C83130"/>
    <w:rsid w:val="00C83485"/>
    <w:rsid w:val="00C837DA"/>
    <w:rsid w:val="00C8380B"/>
    <w:rsid w:val="00C83812"/>
    <w:rsid w:val="00C83965"/>
    <w:rsid w:val="00C84305"/>
    <w:rsid w:val="00C84626"/>
    <w:rsid w:val="00C84988"/>
    <w:rsid w:val="00C84E07"/>
    <w:rsid w:val="00C85122"/>
    <w:rsid w:val="00C85A76"/>
    <w:rsid w:val="00C85FE5"/>
    <w:rsid w:val="00C87506"/>
    <w:rsid w:val="00C87602"/>
    <w:rsid w:val="00C8764B"/>
    <w:rsid w:val="00C877A5"/>
    <w:rsid w:val="00C87D00"/>
    <w:rsid w:val="00C87E54"/>
    <w:rsid w:val="00C9002B"/>
    <w:rsid w:val="00C91001"/>
    <w:rsid w:val="00C915C6"/>
    <w:rsid w:val="00C917C6"/>
    <w:rsid w:val="00C9267B"/>
    <w:rsid w:val="00C929A5"/>
    <w:rsid w:val="00C92D18"/>
    <w:rsid w:val="00C931F1"/>
    <w:rsid w:val="00C93436"/>
    <w:rsid w:val="00C93D06"/>
    <w:rsid w:val="00C943B5"/>
    <w:rsid w:val="00C947F5"/>
    <w:rsid w:val="00C94A3F"/>
    <w:rsid w:val="00C954D2"/>
    <w:rsid w:val="00C95875"/>
    <w:rsid w:val="00C95B20"/>
    <w:rsid w:val="00C96185"/>
    <w:rsid w:val="00C96E83"/>
    <w:rsid w:val="00C97447"/>
    <w:rsid w:val="00CA05D7"/>
    <w:rsid w:val="00CA184D"/>
    <w:rsid w:val="00CA2B6B"/>
    <w:rsid w:val="00CA2FB5"/>
    <w:rsid w:val="00CA377E"/>
    <w:rsid w:val="00CA3899"/>
    <w:rsid w:val="00CA3B97"/>
    <w:rsid w:val="00CA3BA8"/>
    <w:rsid w:val="00CA3C13"/>
    <w:rsid w:val="00CA41B0"/>
    <w:rsid w:val="00CA41F1"/>
    <w:rsid w:val="00CA4A34"/>
    <w:rsid w:val="00CA4BDC"/>
    <w:rsid w:val="00CA512E"/>
    <w:rsid w:val="00CA57B6"/>
    <w:rsid w:val="00CA5AFC"/>
    <w:rsid w:val="00CA5B1B"/>
    <w:rsid w:val="00CA625A"/>
    <w:rsid w:val="00CA6737"/>
    <w:rsid w:val="00CA6971"/>
    <w:rsid w:val="00CA6E50"/>
    <w:rsid w:val="00CA6FFF"/>
    <w:rsid w:val="00CA787F"/>
    <w:rsid w:val="00CA7D55"/>
    <w:rsid w:val="00CA7FD8"/>
    <w:rsid w:val="00CB037C"/>
    <w:rsid w:val="00CB0916"/>
    <w:rsid w:val="00CB0B6E"/>
    <w:rsid w:val="00CB1209"/>
    <w:rsid w:val="00CB1309"/>
    <w:rsid w:val="00CB1379"/>
    <w:rsid w:val="00CB1719"/>
    <w:rsid w:val="00CB176D"/>
    <w:rsid w:val="00CB17FC"/>
    <w:rsid w:val="00CB20B5"/>
    <w:rsid w:val="00CB220B"/>
    <w:rsid w:val="00CB23BB"/>
    <w:rsid w:val="00CB28B2"/>
    <w:rsid w:val="00CB2D09"/>
    <w:rsid w:val="00CB2DBC"/>
    <w:rsid w:val="00CB34AE"/>
    <w:rsid w:val="00CB38E3"/>
    <w:rsid w:val="00CB3918"/>
    <w:rsid w:val="00CB3931"/>
    <w:rsid w:val="00CB3E5F"/>
    <w:rsid w:val="00CB46D5"/>
    <w:rsid w:val="00CB531E"/>
    <w:rsid w:val="00CB673C"/>
    <w:rsid w:val="00CB6895"/>
    <w:rsid w:val="00CB6958"/>
    <w:rsid w:val="00CB6A60"/>
    <w:rsid w:val="00CB6C55"/>
    <w:rsid w:val="00CB73A6"/>
    <w:rsid w:val="00CB7A9A"/>
    <w:rsid w:val="00CC003A"/>
    <w:rsid w:val="00CC0616"/>
    <w:rsid w:val="00CC0FA8"/>
    <w:rsid w:val="00CC1FA0"/>
    <w:rsid w:val="00CC240C"/>
    <w:rsid w:val="00CC269E"/>
    <w:rsid w:val="00CC2C76"/>
    <w:rsid w:val="00CC2FB0"/>
    <w:rsid w:val="00CC2FFE"/>
    <w:rsid w:val="00CC3906"/>
    <w:rsid w:val="00CC3D17"/>
    <w:rsid w:val="00CC40C6"/>
    <w:rsid w:val="00CC498E"/>
    <w:rsid w:val="00CC4B26"/>
    <w:rsid w:val="00CC64A9"/>
    <w:rsid w:val="00CC6B0C"/>
    <w:rsid w:val="00CC6C12"/>
    <w:rsid w:val="00CC6E01"/>
    <w:rsid w:val="00CC7B98"/>
    <w:rsid w:val="00CD0373"/>
    <w:rsid w:val="00CD06B1"/>
    <w:rsid w:val="00CD1005"/>
    <w:rsid w:val="00CD1A14"/>
    <w:rsid w:val="00CD1B09"/>
    <w:rsid w:val="00CD278A"/>
    <w:rsid w:val="00CD278F"/>
    <w:rsid w:val="00CD2FB2"/>
    <w:rsid w:val="00CD31B0"/>
    <w:rsid w:val="00CD3369"/>
    <w:rsid w:val="00CD3942"/>
    <w:rsid w:val="00CD45C8"/>
    <w:rsid w:val="00CD4E33"/>
    <w:rsid w:val="00CD4EE5"/>
    <w:rsid w:val="00CD4F9B"/>
    <w:rsid w:val="00CD4FB1"/>
    <w:rsid w:val="00CD51EC"/>
    <w:rsid w:val="00CD528E"/>
    <w:rsid w:val="00CD5980"/>
    <w:rsid w:val="00CD7354"/>
    <w:rsid w:val="00CD77C2"/>
    <w:rsid w:val="00CD7E49"/>
    <w:rsid w:val="00CD7EA0"/>
    <w:rsid w:val="00CE01EE"/>
    <w:rsid w:val="00CE0AE8"/>
    <w:rsid w:val="00CE0BA0"/>
    <w:rsid w:val="00CE0BC0"/>
    <w:rsid w:val="00CE1333"/>
    <w:rsid w:val="00CE16DE"/>
    <w:rsid w:val="00CE1DF2"/>
    <w:rsid w:val="00CE2695"/>
    <w:rsid w:val="00CE26E5"/>
    <w:rsid w:val="00CE2C61"/>
    <w:rsid w:val="00CE2EA0"/>
    <w:rsid w:val="00CE30C0"/>
    <w:rsid w:val="00CE3BBF"/>
    <w:rsid w:val="00CE3D76"/>
    <w:rsid w:val="00CE44B5"/>
    <w:rsid w:val="00CE4C5F"/>
    <w:rsid w:val="00CE4E65"/>
    <w:rsid w:val="00CE5470"/>
    <w:rsid w:val="00CE5B69"/>
    <w:rsid w:val="00CE5D39"/>
    <w:rsid w:val="00CE5FB2"/>
    <w:rsid w:val="00CE7B91"/>
    <w:rsid w:val="00CE7BC3"/>
    <w:rsid w:val="00CF004F"/>
    <w:rsid w:val="00CF0117"/>
    <w:rsid w:val="00CF0205"/>
    <w:rsid w:val="00CF0A3C"/>
    <w:rsid w:val="00CF0CD9"/>
    <w:rsid w:val="00CF0ED9"/>
    <w:rsid w:val="00CF143C"/>
    <w:rsid w:val="00CF160D"/>
    <w:rsid w:val="00CF170B"/>
    <w:rsid w:val="00CF1710"/>
    <w:rsid w:val="00CF287D"/>
    <w:rsid w:val="00CF2BEB"/>
    <w:rsid w:val="00CF2F8D"/>
    <w:rsid w:val="00CF30F6"/>
    <w:rsid w:val="00CF3685"/>
    <w:rsid w:val="00CF3923"/>
    <w:rsid w:val="00CF3E40"/>
    <w:rsid w:val="00CF4282"/>
    <w:rsid w:val="00CF461B"/>
    <w:rsid w:val="00CF4860"/>
    <w:rsid w:val="00CF48A8"/>
    <w:rsid w:val="00CF4B78"/>
    <w:rsid w:val="00CF4CAE"/>
    <w:rsid w:val="00CF5806"/>
    <w:rsid w:val="00CF58BE"/>
    <w:rsid w:val="00CF5BB0"/>
    <w:rsid w:val="00CF6239"/>
    <w:rsid w:val="00CF6D6A"/>
    <w:rsid w:val="00CF6DDE"/>
    <w:rsid w:val="00CF6FFF"/>
    <w:rsid w:val="00D00546"/>
    <w:rsid w:val="00D00DC9"/>
    <w:rsid w:val="00D0109F"/>
    <w:rsid w:val="00D018DF"/>
    <w:rsid w:val="00D0202C"/>
    <w:rsid w:val="00D020A2"/>
    <w:rsid w:val="00D020FF"/>
    <w:rsid w:val="00D0258B"/>
    <w:rsid w:val="00D02A68"/>
    <w:rsid w:val="00D02F24"/>
    <w:rsid w:val="00D030CF"/>
    <w:rsid w:val="00D03159"/>
    <w:rsid w:val="00D03A0A"/>
    <w:rsid w:val="00D03DE0"/>
    <w:rsid w:val="00D04FCA"/>
    <w:rsid w:val="00D05105"/>
    <w:rsid w:val="00D0511E"/>
    <w:rsid w:val="00D06281"/>
    <w:rsid w:val="00D06C31"/>
    <w:rsid w:val="00D06C35"/>
    <w:rsid w:val="00D07033"/>
    <w:rsid w:val="00D07AEC"/>
    <w:rsid w:val="00D07CAB"/>
    <w:rsid w:val="00D07D25"/>
    <w:rsid w:val="00D07E2C"/>
    <w:rsid w:val="00D103CF"/>
    <w:rsid w:val="00D1076E"/>
    <w:rsid w:val="00D10B03"/>
    <w:rsid w:val="00D11382"/>
    <w:rsid w:val="00D11581"/>
    <w:rsid w:val="00D1163C"/>
    <w:rsid w:val="00D11AE1"/>
    <w:rsid w:val="00D11D4B"/>
    <w:rsid w:val="00D1217D"/>
    <w:rsid w:val="00D12271"/>
    <w:rsid w:val="00D12E99"/>
    <w:rsid w:val="00D132DC"/>
    <w:rsid w:val="00D132E6"/>
    <w:rsid w:val="00D13503"/>
    <w:rsid w:val="00D13AA3"/>
    <w:rsid w:val="00D13CD9"/>
    <w:rsid w:val="00D14E45"/>
    <w:rsid w:val="00D14ECF"/>
    <w:rsid w:val="00D14EF5"/>
    <w:rsid w:val="00D153BF"/>
    <w:rsid w:val="00D1614E"/>
    <w:rsid w:val="00D161AC"/>
    <w:rsid w:val="00D16A57"/>
    <w:rsid w:val="00D17946"/>
    <w:rsid w:val="00D17E4F"/>
    <w:rsid w:val="00D2008D"/>
    <w:rsid w:val="00D200D0"/>
    <w:rsid w:val="00D2036C"/>
    <w:rsid w:val="00D20AC7"/>
    <w:rsid w:val="00D20CB7"/>
    <w:rsid w:val="00D20D58"/>
    <w:rsid w:val="00D217D6"/>
    <w:rsid w:val="00D2200A"/>
    <w:rsid w:val="00D2201F"/>
    <w:rsid w:val="00D220D5"/>
    <w:rsid w:val="00D223C9"/>
    <w:rsid w:val="00D22ADC"/>
    <w:rsid w:val="00D22D6D"/>
    <w:rsid w:val="00D230AE"/>
    <w:rsid w:val="00D236E9"/>
    <w:rsid w:val="00D238FC"/>
    <w:rsid w:val="00D24260"/>
    <w:rsid w:val="00D24FDF"/>
    <w:rsid w:val="00D2534A"/>
    <w:rsid w:val="00D2572E"/>
    <w:rsid w:val="00D25F9C"/>
    <w:rsid w:val="00D2613D"/>
    <w:rsid w:val="00D266D1"/>
    <w:rsid w:val="00D26B69"/>
    <w:rsid w:val="00D26E8E"/>
    <w:rsid w:val="00D27044"/>
    <w:rsid w:val="00D279E8"/>
    <w:rsid w:val="00D27AE1"/>
    <w:rsid w:val="00D27D94"/>
    <w:rsid w:val="00D3002F"/>
    <w:rsid w:val="00D30336"/>
    <w:rsid w:val="00D306BE"/>
    <w:rsid w:val="00D309A4"/>
    <w:rsid w:val="00D30C44"/>
    <w:rsid w:val="00D30F24"/>
    <w:rsid w:val="00D3102F"/>
    <w:rsid w:val="00D31695"/>
    <w:rsid w:val="00D318A1"/>
    <w:rsid w:val="00D32720"/>
    <w:rsid w:val="00D32EEB"/>
    <w:rsid w:val="00D32F79"/>
    <w:rsid w:val="00D33091"/>
    <w:rsid w:val="00D334B1"/>
    <w:rsid w:val="00D3385C"/>
    <w:rsid w:val="00D34200"/>
    <w:rsid w:val="00D34B7B"/>
    <w:rsid w:val="00D352C8"/>
    <w:rsid w:val="00D35870"/>
    <w:rsid w:val="00D368E2"/>
    <w:rsid w:val="00D36BA6"/>
    <w:rsid w:val="00D36D6C"/>
    <w:rsid w:val="00D37488"/>
    <w:rsid w:val="00D3752C"/>
    <w:rsid w:val="00D37882"/>
    <w:rsid w:val="00D37995"/>
    <w:rsid w:val="00D37BEF"/>
    <w:rsid w:val="00D401CC"/>
    <w:rsid w:val="00D40402"/>
    <w:rsid w:val="00D40687"/>
    <w:rsid w:val="00D40A30"/>
    <w:rsid w:val="00D40C3D"/>
    <w:rsid w:val="00D41656"/>
    <w:rsid w:val="00D41A12"/>
    <w:rsid w:val="00D41A4B"/>
    <w:rsid w:val="00D4267F"/>
    <w:rsid w:val="00D42DB6"/>
    <w:rsid w:val="00D42F4C"/>
    <w:rsid w:val="00D434AB"/>
    <w:rsid w:val="00D434B8"/>
    <w:rsid w:val="00D439F0"/>
    <w:rsid w:val="00D43B31"/>
    <w:rsid w:val="00D43D0C"/>
    <w:rsid w:val="00D43EE4"/>
    <w:rsid w:val="00D4423F"/>
    <w:rsid w:val="00D44B10"/>
    <w:rsid w:val="00D44D1B"/>
    <w:rsid w:val="00D45426"/>
    <w:rsid w:val="00D45A1D"/>
    <w:rsid w:val="00D466D9"/>
    <w:rsid w:val="00D46CB2"/>
    <w:rsid w:val="00D47D4F"/>
    <w:rsid w:val="00D47DB3"/>
    <w:rsid w:val="00D508BE"/>
    <w:rsid w:val="00D50C7D"/>
    <w:rsid w:val="00D51892"/>
    <w:rsid w:val="00D51C74"/>
    <w:rsid w:val="00D51E33"/>
    <w:rsid w:val="00D52734"/>
    <w:rsid w:val="00D529A0"/>
    <w:rsid w:val="00D52AED"/>
    <w:rsid w:val="00D52C97"/>
    <w:rsid w:val="00D52CF2"/>
    <w:rsid w:val="00D52D0F"/>
    <w:rsid w:val="00D5316C"/>
    <w:rsid w:val="00D53292"/>
    <w:rsid w:val="00D53357"/>
    <w:rsid w:val="00D5399A"/>
    <w:rsid w:val="00D53A5B"/>
    <w:rsid w:val="00D53B65"/>
    <w:rsid w:val="00D54618"/>
    <w:rsid w:val="00D54732"/>
    <w:rsid w:val="00D55BCB"/>
    <w:rsid w:val="00D55E7B"/>
    <w:rsid w:val="00D56235"/>
    <w:rsid w:val="00D56FC2"/>
    <w:rsid w:val="00D5752F"/>
    <w:rsid w:val="00D577A4"/>
    <w:rsid w:val="00D57D8D"/>
    <w:rsid w:val="00D57FB4"/>
    <w:rsid w:val="00D6064B"/>
    <w:rsid w:val="00D60972"/>
    <w:rsid w:val="00D60BD2"/>
    <w:rsid w:val="00D613FF"/>
    <w:rsid w:val="00D6199E"/>
    <w:rsid w:val="00D61D2C"/>
    <w:rsid w:val="00D61EA4"/>
    <w:rsid w:val="00D62A61"/>
    <w:rsid w:val="00D62BC6"/>
    <w:rsid w:val="00D62EE6"/>
    <w:rsid w:val="00D638C4"/>
    <w:rsid w:val="00D65503"/>
    <w:rsid w:val="00D65BCE"/>
    <w:rsid w:val="00D65EB6"/>
    <w:rsid w:val="00D663F0"/>
    <w:rsid w:val="00D663FD"/>
    <w:rsid w:val="00D66F25"/>
    <w:rsid w:val="00D6733E"/>
    <w:rsid w:val="00D70724"/>
    <w:rsid w:val="00D7080C"/>
    <w:rsid w:val="00D70F28"/>
    <w:rsid w:val="00D71B65"/>
    <w:rsid w:val="00D71B95"/>
    <w:rsid w:val="00D726DA"/>
    <w:rsid w:val="00D731C8"/>
    <w:rsid w:val="00D73387"/>
    <w:rsid w:val="00D734F7"/>
    <w:rsid w:val="00D73C91"/>
    <w:rsid w:val="00D7435B"/>
    <w:rsid w:val="00D745A3"/>
    <w:rsid w:val="00D747EB"/>
    <w:rsid w:val="00D74A0C"/>
    <w:rsid w:val="00D74ED1"/>
    <w:rsid w:val="00D75870"/>
    <w:rsid w:val="00D75DEF"/>
    <w:rsid w:val="00D774DC"/>
    <w:rsid w:val="00D77AA5"/>
    <w:rsid w:val="00D77F0A"/>
    <w:rsid w:val="00D80E40"/>
    <w:rsid w:val="00D80E95"/>
    <w:rsid w:val="00D8164B"/>
    <w:rsid w:val="00D81E7A"/>
    <w:rsid w:val="00D8269A"/>
    <w:rsid w:val="00D82737"/>
    <w:rsid w:val="00D8279B"/>
    <w:rsid w:val="00D8292F"/>
    <w:rsid w:val="00D83724"/>
    <w:rsid w:val="00D83E01"/>
    <w:rsid w:val="00D8466D"/>
    <w:rsid w:val="00D8484B"/>
    <w:rsid w:val="00D84CE6"/>
    <w:rsid w:val="00D84FF3"/>
    <w:rsid w:val="00D854FE"/>
    <w:rsid w:val="00D85930"/>
    <w:rsid w:val="00D85ADE"/>
    <w:rsid w:val="00D86241"/>
    <w:rsid w:val="00D862FC"/>
    <w:rsid w:val="00D8651A"/>
    <w:rsid w:val="00D8696C"/>
    <w:rsid w:val="00D8706E"/>
    <w:rsid w:val="00D87765"/>
    <w:rsid w:val="00D87907"/>
    <w:rsid w:val="00D87994"/>
    <w:rsid w:val="00D87BEF"/>
    <w:rsid w:val="00D87C1E"/>
    <w:rsid w:val="00D9105F"/>
    <w:rsid w:val="00D913AE"/>
    <w:rsid w:val="00D91464"/>
    <w:rsid w:val="00D9181E"/>
    <w:rsid w:val="00D91B69"/>
    <w:rsid w:val="00D91B98"/>
    <w:rsid w:val="00D92004"/>
    <w:rsid w:val="00D921A6"/>
    <w:rsid w:val="00D92D76"/>
    <w:rsid w:val="00D92F36"/>
    <w:rsid w:val="00D93950"/>
    <w:rsid w:val="00D93C11"/>
    <w:rsid w:val="00D93C19"/>
    <w:rsid w:val="00D93CC1"/>
    <w:rsid w:val="00D94A4C"/>
    <w:rsid w:val="00D94D21"/>
    <w:rsid w:val="00D94D7B"/>
    <w:rsid w:val="00D94DC7"/>
    <w:rsid w:val="00D9516B"/>
    <w:rsid w:val="00D96072"/>
    <w:rsid w:val="00D96887"/>
    <w:rsid w:val="00D96B06"/>
    <w:rsid w:val="00D97DA2"/>
    <w:rsid w:val="00D97DBA"/>
    <w:rsid w:val="00DA04A8"/>
    <w:rsid w:val="00DA08D4"/>
    <w:rsid w:val="00DA11D3"/>
    <w:rsid w:val="00DA151A"/>
    <w:rsid w:val="00DA1C5C"/>
    <w:rsid w:val="00DA1F2E"/>
    <w:rsid w:val="00DA2122"/>
    <w:rsid w:val="00DA262F"/>
    <w:rsid w:val="00DA31F5"/>
    <w:rsid w:val="00DA320D"/>
    <w:rsid w:val="00DA38C0"/>
    <w:rsid w:val="00DA3D79"/>
    <w:rsid w:val="00DA3E93"/>
    <w:rsid w:val="00DA3F84"/>
    <w:rsid w:val="00DA45BB"/>
    <w:rsid w:val="00DA49A1"/>
    <w:rsid w:val="00DA4D96"/>
    <w:rsid w:val="00DA4DDC"/>
    <w:rsid w:val="00DA5465"/>
    <w:rsid w:val="00DA549C"/>
    <w:rsid w:val="00DA5A00"/>
    <w:rsid w:val="00DA5C8C"/>
    <w:rsid w:val="00DA62D4"/>
    <w:rsid w:val="00DA62DE"/>
    <w:rsid w:val="00DA7333"/>
    <w:rsid w:val="00DB02DA"/>
    <w:rsid w:val="00DB04E4"/>
    <w:rsid w:val="00DB085C"/>
    <w:rsid w:val="00DB143E"/>
    <w:rsid w:val="00DB1AD2"/>
    <w:rsid w:val="00DB1E77"/>
    <w:rsid w:val="00DB24BE"/>
    <w:rsid w:val="00DB32AC"/>
    <w:rsid w:val="00DB36E5"/>
    <w:rsid w:val="00DB38EA"/>
    <w:rsid w:val="00DB3FB7"/>
    <w:rsid w:val="00DB42B8"/>
    <w:rsid w:val="00DB47B1"/>
    <w:rsid w:val="00DB4898"/>
    <w:rsid w:val="00DB519F"/>
    <w:rsid w:val="00DB6CB3"/>
    <w:rsid w:val="00DB6CD6"/>
    <w:rsid w:val="00DB6F19"/>
    <w:rsid w:val="00DB7998"/>
    <w:rsid w:val="00DB7DD0"/>
    <w:rsid w:val="00DB7E25"/>
    <w:rsid w:val="00DB7FAA"/>
    <w:rsid w:val="00DC0700"/>
    <w:rsid w:val="00DC0E47"/>
    <w:rsid w:val="00DC0FA2"/>
    <w:rsid w:val="00DC10CF"/>
    <w:rsid w:val="00DC14DB"/>
    <w:rsid w:val="00DC15D4"/>
    <w:rsid w:val="00DC1CD3"/>
    <w:rsid w:val="00DC1CFE"/>
    <w:rsid w:val="00DC3400"/>
    <w:rsid w:val="00DC386E"/>
    <w:rsid w:val="00DC3C2D"/>
    <w:rsid w:val="00DC41C5"/>
    <w:rsid w:val="00DC4617"/>
    <w:rsid w:val="00DC46FF"/>
    <w:rsid w:val="00DC485D"/>
    <w:rsid w:val="00DC495A"/>
    <w:rsid w:val="00DC4C45"/>
    <w:rsid w:val="00DC4F23"/>
    <w:rsid w:val="00DC53F2"/>
    <w:rsid w:val="00DC576E"/>
    <w:rsid w:val="00DC5B69"/>
    <w:rsid w:val="00DC651C"/>
    <w:rsid w:val="00DC6567"/>
    <w:rsid w:val="00DC6636"/>
    <w:rsid w:val="00DC69DF"/>
    <w:rsid w:val="00DC72A2"/>
    <w:rsid w:val="00DC796A"/>
    <w:rsid w:val="00DC7DB7"/>
    <w:rsid w:val="00DD053D"/>
    <w:rsid w:val="00DD1C98"/>
    <w:rsid w:val="00DD1E06"/>
    <w:rsid w:val="00DD20AB"/>
    <w:rsid w:val="00DD20D3"/>
    <w:rsid w:val="00DD26F3"/>
    <w:rsid w:val="00DD27FD"/>
    <w:rsid w:val="00DD3A41"/>
    <w:rsid w:val="00DD3CDD"/>
    <w:rsid w:val="00DD544B"/>
    <w:rsid w:val="00DD563E"/>
    <w:rsid w:val="00DD5C3B"/>
    <w:rsid w:val="00DD5FD8"/>
    <w:rsid w:val="00DD64E4"/>
    <w:rsid w:val="00DD6C28"/>
    <w:rsid w:val="00DD6C43"/>
    <w:rsid w:val="00DD7616"/>
    <w:rsid w:val="00DD7E67"/>
    <w:rsid w:val="00DE00B8"/>
    <w:rsid w:val="00DE22B7"/>
    <w:rsid w:val="00DE34BD"/>
    <w:rsid w:val="00DE3AA5"/>
    <w:rsid w:val="00DE46D7"/>
    <w:rsid w:val="00DE5788"/>
    <w:rsid w:val="00DE57C8"/>
    <w:rsid w:val="00DE586A"/>
    <w:rsid w:val="00DE62FF"/>
    <w:rsid w:val="00DE644D"/>
    <w:rsid w:val="00DE6829"/>
    <w:rsid w:val="00DE695E"/>
    <w:rsid w:val="00DE6B67"/>
    <w:rsid w:val="00DE796D"/>
    <w:rsid w:val="00DF0672"/>
    <w:rsid w:val="00DF088C"/>
    <w:rsid w:val="00DF1A8A"/>
    <w:rsid w:val="00DF1EBD"/>
    <w:rsid w:val="00DF21A1"/>
    <w:rsid w:val="00DF22D3"/>
    <w:rsid w:val="00DF2CA4"/>
    <w:rsid w:val="00DF359A"/>
    <w:rsid w:val="00DF3823"/>
    <w:rsid w:val="00DF3A43"/>
    <w:rsid w:val="00DF3A72"/>
    <w:rsid w:val="00DF3EF8"/>
    <w:rsid w:val="00DF3F1E"/>
    <w:rsid w:val="00DF4609"/>
    <w:rsid w:val="00DF496C"/>
    <w:rsid w:val="00DF4AD8"/>
    <w:rsid w:val="00DF4B1B"/>
    <w:rsid w:val="00DF4DA7"/>
    <w:rsid w:val="00DF4F84"/>
    <w:rsid w:val="00DF538D"/>
    <w:rsid w:val="00DF5525"/>
    <w:rsid w:val="00DF55D9"/>
    <w:rsid w:val="00DF574F"/>
    <w:rsid w:val="00DF631E"/>
    <w:rsid w:val="00DF6751"/>
    <w:rsid w:val="00DF6CC4"/>
    <w:rsid w:val="00DF7E49"/>
    <w:rsid w:val="00E00325"/>
    <w:rsid w:val="00E00BCF"/>
    <w:rsid w:val="00E01966"/>
    <w:rsid w:val="00E01BE5"/>
    <w:rsid w:val="00E028D1"/>
    <w:rsid w:val="00E02E58"/>
    <w:rsid w:val="00E0354A"/>
    <w:rsid w:val="00E03730"/>
    <w:rsid w:val="00E03982"/>
    <w:rsid w:val="00E03B25"/>
    <w:rsid w:val="00E04433"/>
    <w:rsid w:val="00E044F1"/>
    <w:rsid w:val="00E0497B"/>
    <w:rsid w:val="00E04A37"/>
    <w:rsid w:val="00E054A4"/>
    <w:rsid w:val="00E0594B"/>
    <w:rsid w:val="00E05A08"/>
    <w:rsid w:val="00E05CBE"/>
    <w:rsid w:val="00E063AB"/>
    <w:rsid w:val="00E063EC"/>
    <w:rsid w:val="00E07E19"/>
    <w:rsid w:val="00E1037E"/>
    <w:rsid w:val="00E103A3"/>
    <w:rsid w:val="00E10424"/>
    <w:rsid w:val="00E108C2"/>
    <w:rsid w:val="00E108C5"/>
    <w:rsid w:val="00E1099F"/>
    <w:rsid w:val="00E10D16"/>
    <w:rsid w:val="00E10F3D"/>
    <w:rsid w:val="00E11267"/>
    <w:rsid w:val="00E12427"/>
    <w:rsid w:val="00E12544"/>
    <w:rsid w:val="00E128AB"/>
    <w:rsid w:val="00E13298"/>
    <w:rsid w:val="00E1365D"/>
    <w:rsid w:val="00E136D2"/>
    <w:rsid w:val="00E15284"/>
    <w:rsid w:val="00E156C6"/>
    <w:rsid w:val="00E1597B"/>
    <w:rsid w:val="00E1692B"/>
    <w:rsid w:val="00E16E75"/>
    <w:rsid w:val="00E173E1"/>
    <w:rsid w:val="00E174C3"/>
    <w:rsid w:val="00E17FE1"/>
    <w:rsid w:val="00E17FEA"/>
    <w:rsid w:val="00E2027B"/>
    <w:rsid w:val="00E2084A"/>
    <w:rsid w:val="00E2111A"/>
    <w:rsid w:val="00E212B8"/>
    <w:rsid w:val="00E21857"/>
    <w:rsid w:val="00E21A2B"/>
    <w:rsid w:val="00E21C54"/>
    <w:rsid w:val="00E2227A"/>
    <w:rsid w:val="00E22930"/>
    <w:rsid w:val="00E22D9A"/>
    <w:rsid w:val="00E22E4F"/>
    <w:rsid w:val="00E23003"/>
    <w:rsid w:val="00E23004"/>
    <w:rsid w:val="00E233D9"/>
    <w:rsid w:val="00E2377F"/>
    <w:rsid w:val="00E24305"/>
    <w:rsid w:val="00E2489A"/>
    <w:rsid w:val="00E255E7"/>
    <w:rsid w:val="00E25659"/>
    <w:rsid w:val="00E256B3"/>
    <w:rsid w:val="00E259D0"/>
    <w:rsid w:val="00E25C24"/>
    <w:rsid w:val="00E25E83"/>
    <w:rsid w:val="00E25E97"/>
    <w:rsid w:val="00E260E8"/>
    <w:rsid w:val="00E264F9"/>
    <w:rsid w:val="00E266BD"/>
    <w:rsid w:val="00E268F1"/>
    <w:rsid w:val="00E271D2"/>
    <w:rsid w:val="00E27836"/>
    <w:rsid w:val="00E279A6"/>
    <w:rsid w:val="00E27C08"/>
    <w:rsid w:val="00E27C29"/>
    <w:rsid w:val="00E27D7D"/>
    <w:rsid w:val="00E27DFF"/>
    <w:rsid w:val="00E31202"/>
    <w:rsid w:val="00E31342"/>
    <w:rsid w:val="00E3136F"/>
    <w:rsid w:val="00E31A92"/>
    <w:rsid w:val="00E323A6"/>
    <w:rsid w:val="00E33620"/>
    <w:rsid w:val="00E3385F"/>
    <w:rsid w:val="00E33C01"/>
    <w:rsid w:val="00E33F56"/>
    <w:rsid w:val="00E346D6"/>
    <w:rsid w:val="00E35185"/>
    <w:rsid w:val="00E3617F"/>
    <w:rsid w:val="00E37490"/>
    <w:rsid w:val="00E376E3"/>
    <w:rsid w:val="00E377AA"/>
    <w:rsid w:val="00E40329"/>
    <w:rsid w:val="00E40AA3"/>
    <w:rsid w:val="00E41629"/>
    <w:rsid w:val="00E41860"/>
    <w:rsid w:val="00E41FC1"/>
    <w:rsid w:val="00E431DA"/>
    <w:rsid w:val="00E43729"/>
    <w:rsid w:val="00E439FB"/>
    <w:rsid w:val="00E44097"/>
    <w:rsid w:val="00E44152"/>
    <w:rsid w:val="00E44306"/>
    <w:rsid w:val="00E44443"/>
    <w:rsid w:val="00E44901"/>
    <w:rsid w:val="00E4574D"/>
    <w:rsid w:val="00E45D57"/>
    <w:rsid w:val="00E45E1F"/>
    <w:rsid w:val="00E4633B"/>
    <w:rsid w:val="00E464F3"/>
    <w:rsid w:val="00E4674E"/>
    <w:rsid w:val="00E46F0B"/>
    <w:rsid w:val="00E4757D"/>
    <w:rsid w:val="00E47974"/>
    <w:rsid w:val="00E47B38"/>
    <w:rsid w:val="00E5097D"/>
    <w:rsid w:val="00E50A5E"/>
    <w:rsid w:val="00E50AB0"/>
    <w:rsid w:val="00E513F4"/>
    <w:rsid w:val="00E51A10"/>
    <w:rsid w:val="00E52000"/>
    <w:rsid w:val="00E52629"/>
    <w:rsid w:val="00E533BF"/>
    <w:rsid w:val="00E539BB"/>
    <w:rsid w:val="00E5467C"/>
    <w:rsid w:val="00E54986"/>
    <w:rsid w:val="00E55B08"/>
    <w:rsid w:val="00E55E2E"/>
    <w:rsid w:val="00E567F6"/>
    <w:rsid w:val="00E57032"/>
    <w:rsid w:val="00E579E7"/>
    <w:rsid w:val="00E6003E"/>
    <w:rsid w:val="00E6022E"/>
    <w:rsid w:val="00E60431"/>
    <w:rsid w:val="00E6057F"/>
    <w:rsid w:val="00E611EC"/>
    <w:rsid w:val="00E613B0"/>
    <w:rsid w:val="00E61D40"/>
    <w:rsid w:val="00E62149"/>
    <w:rsid w:val="00E62285"/>
    <w:rsid w:val="00E63107"/>
    <w:rsid w:val="00E63137"/>
    <w:rsid w:val="00E631D6"/>
    <w:rsid w:val="00E6325C"/>
    <w:rsid w:val="00E63711"/>
    <w:rsid w:val="00E63A84"/>
    <w:rsid w:val="00E63B35"/>
    <w:rsid w:val="00E64056"/>
    <w:rsid w:val="00E64676"/>
    <w:rsid w:val="00E649E4"/>
    <w:rsid w:val="00E64F2F"/>
    <w:rsid w:val="00E65090"/>
    <w:rsid w:val="00E659F4"/>
    <w:rsid w:val="00E65AE0"/>
    <w:rsid w:val="00E65B38"/>
    <w:rsid w:val="00E65EBC"/>
    <w:rsid w:val="00E663DD"/>
    <w:rsid w:val="00E66BD6"/>
    <w:rsid w:val="00E66C50"/>
    <w:rsid w:val="00E66DFC"/>
    <w:rsid w:val="00E67B04"/>
    <w:rsid w:val="00E67E11"/>
    <w:rsid w:val="00E67E22"/>
    <w:rsid w:val="00E70817"/>
    <w:rsid w:val="00E70B53"/>
    <w:rsid w:val="00E70BF8"/>
    <w:rsid w:val="00E70E77"/>
    <w:rsid w:val="00E70E95"/>
    <w:rsid w:val="00E718B6"/>
    <w:rsid w:val="00E71B1E"/>
    <w:rsid w:val="00E72ABA"/>
    <w:rsid w:val="00E72E76"/>
    <w:rsid w:val="00E734AA"/>
    <w:rsid w:val="00E73D93"/>
    <w:rsid w:val="00E74439"/>
    <w:rsid w:val="00E7480A"/>
    <w:rsid w:val="00E74D7D"/>
    <w:rsid w:val="00E74F1D"/>
    <w:rsid w:val="00E7519B"/>
    <w:rsid w:val="00E755D5"/>
    <w:rsid w:val="00E757F7"/>
    <w:rsid w:val="00E75B6C"/>
    <w:rsid w:val="00E76003"/>
    <w:rsid w:val="00E7684F"/>
    <w:rsid w:val="00E76B2E"/>
    <w:rsid w:val="00E76E0F"/>
    <w:rsid w:val="00E77188"/>
    <w:rsid w:val="00E771A2"/>
    <w:rsid w:val="00E7759D"/>
    <w:rsid w:val="00E77F57"/>
    <w:rsid w:val="00E802E2"/>
    <w:rsid w:val="00E81601"/>
    <w:rsid w:val="00E81B6A"/>
    <w:rsid w:val="00E81E5D"/>
    <w:rsid w:val="00E821D7"/>
    <w:rsid w:val="00E8243B"/>
    <w:rsid w:val="00E82676"/>
    <w:rsid w:val="00E82A7D"/>
    <w:rsid w:val="00E82FB2"/>
    <w:rsid w:val="00E833A8"/>
    <w:rsid w:val="00E83EBE"/>
    <w:rsid w:val="00E8439C"/>
    <w:rsid w:val="00E8476C"/>
    <w:rsid w:val="00E85057"/>
    <w:rsid w:val="00E8526E"/>
    <w:rsid w:val="00E85370"/>
    <w:rsid w:val="00E857FA"/>
    <w:rsid w:val="00E85D0F"/>
    <w:rsid w:val="00E85E4C"/>
    <w:rsid w:val="00E86073"/>
    <w:rsid w:val="00E86546"/>
    <w:rsid w:val="00E86BE6"/>
    <w:rsid w:val="00E86E82"/>
    <w:rsid w:val="00E87195"/>
    <w:rsid w:val="00E8719A"/>
    <w:rsid w:val="00E87990"/>
    <w:rsid w:val="00E87BB7"/>
    <w:rsid w:val="00E900D6"/>
    <w:rsid w:val="00E9054C"/>
    <w:rsid w:val="00E908E9"/>
    <w:rsid w:val="00E90B89"/>
    <w:rsid w:val="00E90D0C"/>
    <w:rsid w:val="00E91013"/>
    <w:rsid w:val="00E91B05"/>
    <w:rsid w:val="00E91C9A"/>
    <w:rsid w:val="00E91FD0"/>
    <w:rsid w:val="00E9224B"/>
    <w:rsid w:val="00E92861"/>
    <w:rsid w:val="00E92EDC"/>
    <w:rsid w:val="00E93C0F"/>
    <w:rsid w:val="00E93D48"/>
    <w:rsid w:val="00E93FCC"/>
    <w:rsid w:val="00E941EE"/>
    <w:rsid w:val="00E94831"/>
    <w:rsid w:val="00E94B7F"/>
    <w:rsid w:val="00E94E0D"/>
    <w:rsid w:val="00E95299"/>
    <w:rsid w:val="00E95AD2"/>
    <w:rsid w:val="00E95E4A"/>
    <w:rsid w:val="00E96938"/>
    <w:rsid w:val="00E97198"/>
    <w:rsid w:val="00E971E9"/>
    <w:rsid w:val="00E97430"/>
    <w:rsid w:val="00E97A3F"/>
    <w:rsid w:val="00E97D8E"/>
    <w:rsid w:val="00EA0633"/>
    <w:rsid w:val="00EA07C1"/>
    <w:rsid w:val="00EA0D10"/>
    <w:rsid w:val="00EA0D3C"/>
    <w:rsid w:val="00EA2447"/>
    <w:rsid w:val="00EA276D"/>
    <w:rsid w:val="00EA2A86"/>
    <w:rsid w:val="00EA3C30"/>
    <w:rsid w:val="00EA4171"/>
    <w:rsid w:val="00EA4D95"/>
    <w:rsid w:val="00EA539A"/>
    <w:rsid w:val="00EA5A53"/>
    <w:rsid w:val="00EA5CDB"/>
    <w:rsid w:val="00EA61C1"/>
    <w:rsid w:val="00EA62C0"/>
    <w:rsid w:val="00EA7056"/>
    <w:rsid w:val="00EA767E"/>
    <w:rsid w:val="00EB013B"/>
    <w:rsid w:val="00EB0396"/>
    <w:rsid w:val="00EB183E"/>
    <w:rsid w:val="00EB1EA4"/>
    <w:rsid w:val="00EB2DDE"/>
    <w:rsid w:val="00EB3140"/>
    <w:rsid w:val="00EB417C"/>
    <w:rsid w:val="00EB578E"/>
    <w:rsid w:val="00EB5D04"/>
    <w:rsid w:val="00EB611D"/>
    <w:rsid w:val="00EB6236"/>
    <w:rsid w:val="00EB6B79"/>
    <w:rsid w:val="00EB6F00"/>
    <w:rsid w:val="00EB7067"/>
    <w:rsid w:val="00EB7B1C"/>
    <w:rsid w:val="00EB7BAC"/>
    <w:rsid w:val="00EC06A1"/>
    <w:rsid w:val="00EC0BB7"/>
    <w:rsid w:val="00EC0EA5"/>
    <w:rsid w:val="00EC133C"/>
    <w:rsid w:val="00EC17B6"/>
    <w:rsid w:val="00EC1CA6"/>
    <w:rsid w:val="00EC1F2A"/>
    <w:rsid w:val="00EC2616"/>
    <w:rsid w:val="00EC357A"/>
    <w:rsid w:val="00EC4A8D"/>
    <w:rsid w:val="00EC4D02"/>
    <w:rsid w:val="00EC517D"/>
    <w:rsid w:val="00EC52DA"/>
    <w:rsid w:val="00EC5673"/>
    <w:rsid w:val="00EC57F9"/>
    <w:rsid w:val="00EC5B1F"/>
    <w:rsid w:val="00EC6879"/>
    <w:rsid w:val="00EC6D35"/>
    <w:rsid w:val="00EC7457"/>
    <w:rsid w:val="00EC777A"/>
    <w:rsid w:val="00EC7EF1"/>
    <w:rsid w:val="00EC7FAA"/>
    <w:rsid w:val="00ED0363"/>
    <w:rsid w:val="00ED036A"/>
    <w:rsid w:val="00ED05E1"/>
    <w:rsid w:val="00ED09E6"/>
    <w:rsid w:val="00ED0C7D"/>
    <w:rsid w:val="00ED0D57"/>
    <w:rsid w:val="00ED0E46"/>
    <w:rsid w:val="00ED0E9A"/>
    <w:rsid w:val="00ED2385"/>
    <w:rsid w:val="00ED2699"/>
    <w:rsid w:val="00ED2DC8"/>
    <w:rsid w:val="00ED2F04"/>
    <w:rsid w:val="00ED3654"/>
    <w:rsid w:val="00ED3EE5"/>
    <w:rsid w:val="00ED4225"/>
    <w:rsid w:val="00ED53AB"/>
    <w:rsid w:val="00ED5B2C"/>
    <w:rsid w:val="00ED5E49"/>
    <w:rsid w:val="00ED6203"/>
    <w:rsid w:val="00ED637D"/>
    <w:rsid w:val="00ED6C56"/>
    <w:rsid w:val="00ED6FED"/>
    <w:rsid w:val="00ED728F"/>
    <w:rsid w:val="00ED78FB"/>
    <w:rsid w:val="00ED7939"/>
    <w:rsid w:val="00ED7DDF"/>
    <w:rsid w:val="00EE0217"/>
    <w:rsid w:val="00EE03C4"/>
    <w:rsid w:val="00EE0658"/>
    <w:rsid w:val="00EE09D8"/>
    <w:rsid w:val="00EE13E7"/>
    <w:rsid w:val="00EE162F"/>
    <w:rsid w:val="00EE1847"/>
    <w:rsid w:val="00EE1AFE"/>
    <w:rsid w:val="00EE1B03"/>
    <w:rsid w:val="00EE24C3"/>
    <w:rsid w:val="00EE2A72"/>
    <w:rsid w:val="00EE31A8"/>
    <w:rsid w:val="00EE339B"/>
    <w:rsid w:val="00EE3731"/>
    <w:rsid w:val="00EE38A3"/>
    <w:rsid w:val="00EE3BAB"/>
    <w:rsid w:val="00EE3D95"/>
    <w:rsid w:val="00EE4189"/>
    <w:rsid w:val="00EE4582"/>
    <w:rsid w:val="00EE49BE"/>
    <w:rsid w:val="00EE4F89"/>
    <w:rsid w:val="00EE52B1"/>
    <w:rsid w:val="00EE54D1"/>
    <w:rsid w:val="00EE645E"/>
    <w:rsid w:val="00EE6928"/>
    <w:rsid w:val="00EE69B1"/>
    <w:rsid w:val="00EE6E73"/>
    <w:rsid w:val="00EE7235"/>
    <w:rsid w:val="00EE7542"/>
    <w:rsid w:val="00EE7B1D"/>
    <w:rsid w:val="00EE7E82"/>
    <w:rsid w:val="00EF013A"/>
    <w:rsid w:val="00EF0710"/>
    <w:rsid w:val="00EF0892"/>
    <w:rsid w:val="00EF13BC"/>
    <w:rsid w:val="00EF16A1"/>
    <w:rsid w:val="00EF1EE3"/>
    <w:rsid w:val="00EF218A"/>
    <w:rsid w:val="00EF2D64"/>
    <w:rsid w:val="00EF3523"/>
    <w:rsid w:val="00EF3642"/>
    <w:rsid w:val="00EF4389"/>
    <w:rsid w:val="00EF4A06"/>
    <w:rsid w:val="00EF4C7D"/>
    <w:rsid w:val="00EF5854"/>
    <w:rsid w:val="00EF5EE0"/>
    <w:rsid w:val="00EF5FD4"/>
    <w:rsid w:val="00EF61BA"/>
    <w:rsid w:val="00EF67A6"/>
    <w:rsid w:val="00EF7179"/>
    <w:rsid w:val="00EF749D"/>
    <w:rsid w:val="00EF7527"/>
    <w:rsid w:val="00F007D9"/>
    <w:rsid w:val="00F00D23"/>
    <w:rsid w:val="00F0121C"/>
    <w:rsid w:val="00F01EC5"/>
    <w:rsid w:val="00F0209A"/>
    <w:rsid w:val="00F022BA"/>
    <w:rsid w:val="00F0235E"/>
    <w:rsid w:val="00F02655"/>
    <w:rsid w:val="00F02FC2"/>
    <w:rsid w:val="00F0358F"/>
    <w:rsid w:val="00F041DC"/>
    <w:rsid w:val="00F04A35"/>
    <w:rsid w:val="00F04B99"/>
    <w:rsid w:val="00F05050"/>
    <w:rsid w:val="00F050D3"/>
    <w:rsid w:val="00F05351"/>
    <w:rsid w:val="00F05AD0"/>
    <w:rsid w:val="00F06382"/>
    <w:rsid w:val="00F0646F"/>
    <w:rsid w:val="00F06966"/>
    <w:rsid w:val="00F072A9"/>
    <w:rsid w:val="00F10159"/>
    <w:rsid w:val="00F102BA"/>
    <w:rsid w:val="00F106D1"/>
    <w:rsid w:val="00F10724"/>
    <w:rsid w:val="00F107FE"/>
    <w:rsid w:val="00F10D7E"/>
    <w:rsid w:val="00F10EFE"/>
    <w:rsid w:val="00F10F21"/>
    <w:rsid w:val="00F110AA"/>
    <w:rsid w:val="00F11B05"/>
    <w:rsid w:val="00F11D4F"/>
    <w:rsid w:val="00F1211B"/>
    <w:rsid w:val="00F124ED"/>
    <w:rsid w:val="00F129A6"/>
    <w:rsid w:val="00F12D2D"/>
    <w:rsid w:val="00F1448D"/>
    <w:rsid w:val="00F14CE2"/>
    <w:rsid w:val="00F15091"/>
    <w:rsid w:val="00F15E38"/>
    <w:rsid w:val="00F15E8A"/>
    <w:rsid w:val="00F15F8A"/>
    <w:rsid w:val="00F165CA"/>
    <w:rsid w:val="00F16F8D"/>
    <w:rsid w:val="00F1757C"/>
    <w:rsid w:val="00F175F1"/>
    <w:rsid w:val="00F206CE"/>
    <w:rsid w:val="00F20EA4"/>
    <w:rsid w:val="00F211A3"/>
    <w:rsid w:val="00F21CDD"/>
    <w:rsid w:val="00F222F9"/>
    <w:rsid w:val="00F22346"/>
    <w:rsid w:val="00F2312C"/>
    <w:rsid w:val="00F233C5"/>
    <w:rsid w:val="00F23AF0"/>
    <w:rsid w:val="00F2415D"/>
    <w:rsid w:val="00F24394"/>
    <w:rsid w:val="00F246D7"/>
    <w:rsid w:val="00F2484E"/>
    <w:rsid w:val="00F24A66"/>
    <w:rsid w:val="00F253B4"/>
    <w:rsid w:val="00F25473"/>
    <w:rsid w:val="00F259C1"/>
    <w:rsid w:val="00F2651D"/>
    <w:rsid w:val="00F26AA8"/>
    <w:rsid w:val="00F26AC3"/>
    <w:rsid w:val="00F26DAF"/>
    <w:rsid w:val="00F2727D"/>
    <w:rsid w:val="00F30158"/>
    <w:rsid w:val="00F30FBC"/>
    <w:rsid w:val="00F3112F"/>
    <w:rsid w:val="00F313B1"/>
    <w:rsid w:val="00F31651"/>
    <w:rsid w:val="00F31976"/>
    <w:rsid w:val="00F31B0B"/>
    <w:rsid w:val="00F325DF"/>
    <w:rsid w:val="00F3276E"/>
    <w:rsid w:val="00F3285A"/>
    <w:rsid w:val="00F32968"/>
    <w:rsid w:val="00F32FCC"/>
    <w:rsid w:val="00F33E54"/>
    <w:rsid w:val="00F34025"/>
    <w:rsid w:val="00F342AE"/>
    <w:rsid w:val="00F34639"/>
    <w:rsid w:val="00F3573F"/>
    <w:rsid w:val="00F35FEC"/>
    <w:rsid w:val="00F3666B"/>
    <w:rsid w:val="00F366C8"/>
    <w:rsid w:val="00F36EB2"/>
    <w:rsid w:val="00F36EEC"/>
    <w:rsid w:val="00F378BC"/>
    <w:rsid w:val="00F37BE3"/>
    <w:rsid w:val="00F40AA1"/>
    <w:rsid w:val="00F41528"/>
    <w:rsid w:val="00F41D07"/>
    <w:rsid w:val="00F42019"/>
    <w:rsid w:val="00F425CF"/>
    <w:rsid w:val="00F42628"/>
    <w:rsid w:val="00F4274C"/>
    <w:rsid w:val="00F42A4A"/>
    <w:rsid w:val="00F42CC7"/>
    <w:rsid w:val="00F4332F"/>
    <w:rsid w:val="00F43911"/>
    <w:rsid w:val="00F43950"/>
    <w:rsid w:val="00F43FC1"/>
    <w:rsid w:val="00F4472F"/>
    <w:rsid w:val="00F449DA"/>
    <w:rsid w:val="00F4501E"/>
    <w:rsid w:val="00F45185"/>
    <w:rsid w:val="00F45930"/>
    <w:rsid w:val="00F466A6"/>
    <w:rsid w:val="00F4691D"/>
    <w:rsid w:val="00F46926"/>
    <w:rsid w:val="00F4750C"/>
    <w:rsid w:val="00F5072D"/>
    <w:rsid w:val="00F51567"/>
    <w:rsid w:val="00F51788"/>
    <w:rsid w:val="00F519E1"/>
    <w:rsid w:val="00F5296B"/>
    <w:rsid w:val="00F52ABE"/>
    <w:rsid w:val="00F52D5F"/>
    <w:rsid w:val="00F538C2"/>
    <w:rsid w:val="00F53A66"/>
    <w:rsid w:val="00F53C9B"/>
    <w:rsid w:val="00F53F3D"/>
    <w:rsid w:val="00F53F75"/>
    <w:rsid w:val="00F541C8"/>
    <w:rsid w:val="00F5425B"/>
    <w:rsid w:val="00F547F0"/>
    <w:rsid w:val="00F548D1"/>
    <w:rsid w:val="00F54B9A"/>
    <w:rsid w:val="00F5595C"/>
    <w:rsid w:val="00F55D03"/>
    <w:rsid w:val="00F5652B"/>
    <w:rsid w:val="00F5663D"/>
    <w:rsid w:val="00F56AF5"/>
    <w:rsid w:val="00F56D2D"/>
    <w:rsid w:val="00F57360"/>
    <w:rsid w:val="00F57973"/>
    <w:rsid w:val="00F57CA0"/>
    <w:rsid w:val="00F57E67"/>
    <w:rsid w:val="00F600EE"/>
    <w:rsid w:val="00F60473"/>
    <w:rsid w:val="00F60C38"/>
    <w:rsid w:val="00F611FB"/>
    <w:rsid w:val="00F613D8"/>
    <w:rsid w:val="00F6323C"/>
    <w:rsid w:val="00F636FF"/>
    <w:rsid w:val="00F6383E"/>
    <w:rsid w:val="00F63CEF"/>
    <w:rsid w:val="00F645B7"/>
    <w:rsid w:val="00F6470A"/>
    <w:rsid w:val="00F64761"/>
    <w:rsid w:val="00F64A8A"/>
    <w:rsid w:val="00F64F81"/>
    <w:rsid w:val="00F6513B"/>
    <w:rsid w:val="00F65156"/>
    <w:rsid w:val="00F65385"/>
    <w:rsid w:val="00F654DF"/>
    <w:rsid w:val="00F65559"/>
    <w:rsid w:val="00F6567B"/>
    <w:rsid w:val="00F65771"/>
    <w:rsid w:val="00F657A3"/>
    <w:rsid w:val="00F65F88"/>
    <w:rsid w:val="00F66405"/>
    <w:rsid w:val="00F6653C"/>
    <w:rsid w:val="00F66948"/>
    <w:rsid w:val="00F669E4"/>
    <w:rsid w:val="00F66F68"/>
    <w:rsid w:val="00F675BD"/>
    <w:rsid w:val="00F67608"/>
    <w:rsid w:val="00F7054D"/>
    <w:rsid w:val="00F71335"/>
    <w:rsid w:val="00F71AF7"/>
    <w:rsid w:val="00F71D73"/>
    <w:rsid w:val="00F71E31"/>
    <w:rsid w:val="00F743F5"/>
    <w:rsid w:val="00F74519"/>
    <w:rsid w:val="00F74630"/>
    <w:rsid w:val="00F747E9"/>
    <w:rsid w:val="00F749BE"/>
    <w:rsid w:val="00F74BD1"/>
    <w:rsid w:val="00F751DD"/>
    <w:rsid w:val="00F7552A"/>
    <w:rsid w:val="00F75E69"/>
    <w:rsid w:val="00F76714"/>
    <w:rsid w:val="00F7687A"/>
    <w:rsid w:val="00F76C40"/>
    <w:rsid w:val="00F77492"/>
    <w:rsid w:val="00F775CE"/>
    <w:rsid w:val="00F77E1B"/>
    <w:rsid w:val="00F803BA"/>
    <w:rsid w:val="00F807A0"/>
    <w:rsid w:val="00F80B08"/>
    <w:rsid w:val="00F81532"/>
    <w:rsid w:val="00F8183D"/>
    <w:rsid w:val="00F81B60"/>
    <w:rsid w:val="00F82CCB"/>
    <w:rsid w:val="00F82FAB"/>
    <w:rsid w:val="00F83081"/>
    <w:rsid w:val="00F83AD0"/>
    <w:rsid w:val="00F84087"/>
    <w:rsid w:val="00F848BC"/>
    <w:rsid w:val="00F84B66"/>
    <w:rsid w:val="00F85808"/>
    <w:rsid w:val="00F85A1F"/>
    <w:rsid w:val="00F85B3F"/>
    <w:rsid w:val="00F85E0F"/>
    <w:rsid w:val="00F862DD"/>
    <w:rsid w:val="00F864E9"/>
    <w:rsid w:val="00F86E01"/>
    <w:rsid w:val="00F87042"/>
    <w:rsid w:val="00F87181"/>
    <w:rsid w:val="00F87518"/>
    <w:rsid w:val="00F876FA"/>
    <w:rsid w:val="00F900CA"/>
    <w:rsid w:val="00F903B3"/>
    <w:rsid w:val="00F9124E"/>
    <w:rsid w:val="00F91980"/>
    <w:rsid w:val="00F91C4E"/>
    <w:rsid w:val="00F91FB3"/>
    <w:rsid w:val="00F925B1"/>
    <w:rsid w:val="00F9322E"/>
    <w:rsid w:val="00F937DB"/>
    <w:rsid w:val="00F941D3"/>
    <w:rsid w:val="00F94281"/>
    <w:rsid w:val="00F94398"/>
    <w:rsid w:val="00F94CF4"/>
    <w:rsid w:val="00F95391"/>
    <w:rsid w:val="00F95522"/>
    <w:rsid w:val="00F9567A"/>
    <w:rsid w:val="00F957BA"/>
    <w:rsid w:val="00F95D90"/>
    <w:rsid w:val="00F95E11"/>
    <w:rsid w:val="00F960F9"/>
    <w:rsid w:val="00F9659D"/>
    <w:rsid w:val="00F967C8"/>
    <w:rsid w:val="00F97063"/>
    <w:rsid w:val="00F97FE2"/>
    <w:rsid w:val="00FA0526"/>
    <w:rsid w:val="00FA05DB"/>
    <w:rsid w:val="00FA1339"/>
    <w:rsid w:val="00FA159B"/>
    <w:rsid w:val="00FA1E1F"/>
    <w:rsid w:val="00FA2AAD"/>
    <w:rsid w:val="00FA2B60"/>
    <w:rsid w:val="00FA39CB"/>
    <w:rsid w:val="00FA3A49"/>
    <w:rsid w:val="00FA3C55"/>
    <w:rsid w:val="00FA3E8A"/>
    <w:rsid w:val="00FA3EE8"/>
    <w:rsid w:val="00FA4088"/>
    <w:rsid w:val="00FA4EB3"/>
    <w:rsid w:val="00FA4F26"/>
    <w:rsid w:val="00FA5769"/>
    <w:rsid w:val="00FA59AF"/>
    <w:rsid w:val="00FA5AFB"/>
    <w:rsid w:val="00FA5E7C"/>
    <w:rsid w:val="00FA5E7F"/>
    <w:rsid w:val="00FA6422"/>
    <w:rsid w:val="00FA64E9"/>
    <w:rsid w:val="00FA66AC"/>
    <w:rsid w:val="00FA66CC"/>
    <w:rsid w:val="00FA7504"/>
    <w:rsid w:val="00FA7726"/>
    <w:rsid w:val="00FA792F"/>
    <w:rsid w:val="00FA7C3A"/>
    <w:rsid w:val="00FA7F63"/>
    <w:rsid w:val="00FB00B2"/>
    <w:rsid w:val="00FB0158"/>
    <w:rsid w:val="00FB034D"/>
    <w:rsid w:val="00FB0376"/>
    <w:rsid w:val="00FB0BE7"/>
    <w:rsid w:val="00FB120B"/>
    <w:rsid w:val="00FB13F2"/>
    <w:rsid w:val="00FB29A8"/>
    <w:rsid w:val="00FB2A17"/>
    <w:rsid w:val="00FB2EE6"/>
    <w:rsid w:val="00FB35FF"/>
    <w:rsid w:val="00FB36E9"/>
    <w:rsid w:val="00FB3D77"/>
    <w:rsid w:val="00FB4113"/>
    <w:rsid w:val="00FB473B"/>
    <w:rsid w:val="00FB492C"/>
    <w:rsid w:val="00FB49C1"/>
    <w:rsid w:val="00FB49E3"/>
    <w:rsid w:val="00FB50F5"/>
    <w:rsid w:val="00FB534F"/>
    <w:rsid w:val="00FB5491"/>
    <w:rsid w:val="00FB55C8"/>
    <w:rsid w:val="00FB5BD5"/>
    <w:rsid w:val="00FB5CE6"/>
    <w:rsid w:val="00FB5D9F"/>
    <w:rsid w:val="00FB6014"/>
    <w:rsid w:val="00FB61D1"/>
    <w:rsid w:val="00FB6356"/>
    <w:rsid w:val="00FB653B"/>
    <w:rsid w:val="00FB659F"/>
    <w:rsid w:val="00FB6E05"/>
    <w:rsid w:val="00FB72BC"/>
    <w:rsid w:val="00FB75AB"/>
    <w:rsid w:val="00FB7721"/>
    <w:rsid w:val="00FB7E22"/>
    <w:rsid w:val="00FC0258"/>
    <w:rsid w:val="00FC04CC"/>
    <w:rsid w:val="00FC0AA0"/>
    <w:rsid w:val="00FC0C13"/>
    <w:rsid w:val="00FC0D09"/>
    <w:rsid w:val="00FC0E31"/>
    <w:rsid w:val="00FC160D"/>
    <w:rsid w:val="00FC31EE"/>
    <w:rsid w:val="00FC374D"/>
    <w:rsid w:val="00FC3B4E"/>
    <w:rsid w:val="00FC3C44"/>
    <w:rsid w:val="00FC3ED4"/>
    <w:rsid w:val="00FC42DC"/>
    <w:rsid w:val="00FC4366"/>
    <w:rsid w:val="00FC4397"/>
    <w:rsid w:val="00FC43A3"/>
    <w:rsid w:val="00FC4B97"/>
    <w:rsid w:val="00FC5364"/>
    <w:rsid w:val="00FC55CA"/>
    <w:rsid w:val="00FC55F2"/>
    <w:rsid w:val="00FC599E"/>
    <w:rsid w:val="00FC5E4C"/>
    <w:rsid w:val="00FC5EAB"/>
    <w:rsid w:val="00FC6279"/>
    <w:rsid w:val="00FC6A0C"/>
    <w:rsid w:val="00FC780F"/>
    <w:rsid w:val="00FC7E98"/>
    <w:rsid w:val="00FD0183"/>
    <w:rsid w:val="00FD024A"/>
    <w:rsid w:val="00FD049C"/>
    <w:rsid w:val="00FD0EE8"/>
    <w:rsid w:val="00FD113D"/>
    <w:rsid w:val="00FD1FFA"/>
    <w:rsid w:val="00FD2001"/>
    <w:rsid w:val="00FD252D"/>
    <w:rsid w:val="00FD280F"/>
    <w:rsid w:val="00FD2B7F"/>
    <w:rsid w:val="00FD2F82"/>
    <w:rsid w:val="00FD3018"/>
    <w:rsid w:val="00FD3B85"/>
    <w:rsid w:val="00FD3E70"/>
    <w:rsid w:val="00FD4562"/>
    <w:rsid w:val="00FD465B"/>
    <w:rsid w:val="00FD4B69"/>
    <w:rsid w:val="00FD5008"/>
    <w:rsid w:val="00FD584B"/>
    <w:rsid w:val="00FD5AEF"/>
    <w:rsid w:val="00FD5C13"/>
    <w:rsid w:val="00FD61B2"/>
    <w:rsid w:val="00FD67E9"/>
    <w:rsid w:val="00FD7CE8"/>
    <w:rsid w:val="00FD7F63"/>
    <w:rsid w:val="00FE0230"/>
    <w:rsid w:val="00FE03E9"/>
    <w:rsid w:val="00FE041F"/>
    <w:rsid w:val="00FE06DE"/>
    <w:rsid w:val="00FE0C36"/>
    <w:rsid w:val="00FE0E3E"/>
    <w:rsid w:val="00FE1379"/>
    <w:rsid w:val="00FE20EF"/>
    <w:rsid w:val="00FE25E6"/>
    <w:rsid w:val="00FE2EEB"/>
    <w:rsid w:val="00FE2F4E"/>
    <w:rsid w:val="00FE3D1A"/>
    <w:rsid w:val="00FE3E11"/>
    <w:rsid w:val="00FE59E5"/>
    <w:rsid w:val="00FE650B"/>
    <w:rsid w:val="00FE6E42"/>
    <w:rsid w:val="00FE73FE"/>
    <w:rsid w:val="00FE7620"/>
    <w:rsid w:val="00FF02F7"/>
    <w:rsid w:val="00FF03A2"/>
    <w:rsid w:val="00FF12A3"/>
    <w:rsid w:val="00FF147E"/>
    <w:rsid w:val="00FF1F18"/>
    <w:rsid w:val="00FF1FE7"/>
    <w:rsid w:val="00FF2543"/>
    <w:rsid w:val="00FF2612"/>
    <w:rsid w:val="00FF3506"/>
    <w:rsid w:val="00FF37F0"/>
    <w:rsid w:val="00FF38CB"/>
    <w:rsid w:val="00FF405D"/>
    <w:rsid w:val="00FF4F55"/>
    <w:rsid w:val="00FF539D"/>
    <w:rsid w:val="00FF5793"/>
    <w:rsid w:val="00FF6229"/>
    <w:rsid w:val="00FF623D"/>
    <w:rsid w:val="00FF6420"/>
    <w:rsid w:val="00FF6B8A"/>
    <w:rsid w:val="00FF6CAC"/>
    <w:rsid w:val="00FF6E4B"/>
    <w:rsid w:val="00FF7247"/>
    <w:rsid w:val="00FF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A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331"/>
    <w:rPr>
      <w:rFonts w:ascii="Times New Roman" w:hAnsi="Times New Roman"/>
      <w:sz w:val="24"/>
      <w:szCs w:val="24"/>
    </w:rPr>
  </w:style>
  <w:style w:type="paragraph" w:styleId="Heading1">
    <w:name w:val="heading 1"/>
    <w:basedOn w:val="Normal"/>
    <w:next w:val="Normal"/>
    <w:link w:val="Heading1Char"/>
    <w:uiPriority w:val="9"/>
    <w:qFormat/>
    <w:rsid w:val="00A86E70"/>
    <w:pPr>
      <w:keepNext/>
      <w:keepLines/>
      <w:widowControl w:val="0"/>
      <w:autoSpaceDE w:val="0"/>
      <w:autoSpaceDN w:val="0"/>
      <w:adjustRightInd w:val="0"/>
      <w:outlineLvl w:val="0"/>
    </w:pPr>
    <w:rPr>
      <w:b/>
      <w:bCs/>
      <w:szCs w:val="28"/>
    </w:rPr>
  </w:style>
  <w:style w:type="paragraph" w:styleId="Heading2">
    <w:name w:val="heading 2"/>
    <w:basedOn w:val="Normal"/>
    <w:next w:val="Normal"/>
    <w:link w:val="Heading2Char"/>
    <w:uiPriority w:val="9"/>
    <w:unhideWhenUsed/>
    <w:qFormat/>
    <w:rsid w:val="00A86E70"/>
    <w:pPr>
      <w:keepNext/>
      <w:keepLines/>
      <w:widowControl w:val="0"/>
      <w:autoSpaceDE w:val="0"/>
      <w:autoSpaceDN w:val="0"/>
      <w:adjustRightInd w:val="0"/>
      <w:outlineLvl w:val="1"/>
    </w:pPr>
    <w:rPr>
      <w:rFonts w:eastAsiaTheme="majorEastAsia" w:cstheme="majorBid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70"/>
    <w:rPr>
      <w:rFonts w:ascii="Times New Roman" w:hAnsi="Times New Roman"/>
      <w:b/>
      <w:bCs/>
      <w:sz w:val="24"/>
      <w:szCs w:val="28"/>
    </w:rPr>
  </w:style>
  <w:style w:type="character" w:styleId="FootnoteReference">
    <w:name w:val="footnote reference"/>
    <w:rsid w:val="00AA6A3B"/>
  </w:style>
  <w:style w:type="paragraph" w:styleId="TOC1">
    <w:name w:val="toc 1"/>
    <w:basedOn w:val="Normal"/>
    <w:next w:val="Normal"/>
    <w:uiPriority w:val="39"/>
    <w:qFormat/>
    <w:rsid w:val="00AA6A3B"/>
    <w:pPr>
      <w:widowControl w:val="0"/>
      <w:autoSpaceDE w:val="0"/>
      <w:autoSpaceDN w:val="0"/>
      <w:adjustRightInd w:val="0"/>
      <w:ind w:left="720" w:hanging="720"/>
    </w:pPr>
  </w:style>
  <w:style w:type="paragraph" w:styleId="TOC2">
    <w:name w:val="toc 2"/>
    <w:basedOn w:val="Normal"/>
    <w:next w:val="Normal"/>
    <w:uiPriority w:val="39"/>
    <w:qFormat/>
    <w:rsid w:val="00AA6A3B"/>
    <w:pPr>
      <w:widowControl w:val="0"/>
      <w:autoSpaceDE w:val="0"/>
      <w:autoSpaceDN w:val="0"/>
      <w:adjustRightInd w:val="0"/>
      <w:ind w:left="1440" w:hanging="720"/>
    </w:pPr>
  </w:style>
  <w:style w:type="character" w:customStyle="1" w:styleId="Hypertext">
    <w:name w:val="Hypertext"/>
    <w:uiPriority w:val="99"/>
    <w:rsid w:val="00AA6A3B"/>
    <w:rPr>
      <w:color w:val="0000FF"/>
      <w:u w:val="single"/>
    </w:rPr>
  </w:style>
  <w:style w:type="paragraph" w:customStyle="1" w:styleId="Level1">
    <w:name w:val="Level 1"/>
    <w:basedOn w:val="Normal"/>
    <w:uiPriority w:val="99"/>
    <w:rsid w:val="00AA6A3B"/>
    <w:pPr>
      <w:widowControl w:val="0"/>
      <w:autoSpaceDE w:val="0"/>
      <w:autoSpaceDN w:val="0"/>
      <w:adjustRightInd w:val="0"/>
      <w:ind w:left="1440" w:hanging="720"/>
      <w:outlineLvl w:val="0"/>
    </w:pPr>
  </w:style>
  <w:style w:type="paragraph" w:customStyle="1" w:styleId="a">
    <w:name w:val="_"/>
    <w:basedOn w:val="Normal"/>
    <w:uiPriority w:val="99"/>
    <w:rsid w:val="00AA6A3B"/>
    <w:pPr>
      <w:widowControl w:val="0"/>
      <w:autoSpaceDE w:val="0"/>
      <w:autoSpaceDN w:val="0"/>
      <w:adjustRightInd w:val="0"/>
      <w:ind w:left="1440" w:hanging="720"/>
    </w:pPr>
  </w:style>
  <w:style w:type="paragraph" w:customStyle="1" w:styleId="Level2">
    <w:name w:val="Level 2"/>
    <w:basedOn w:val="Normal"/>
    <w:uiPriority w:val="99"/>
    <w:rsid w:val="00AA6A3B"/>
    <w:pPr>
      <w:widowControl w:val="0"/>
      <w:autoSpaceDE w:val="0"/>
      <w:autoSpaceDN w:val="0"/>
      <w:adjustRightInd w:val="0"/>
      <w:ind w:left="1440" w:hanging="720"/>
      <w:outlineLvl w:val="1"/>
    </w:pPr>
  </w:style>
  <w:style w:type="paragraph" w:customStyle="1" w:styleId="Level3">
    <w:name w:val="Level 3"/>
    <w:basedOn w:val="Normal"/>
    <w:uiPriority w:val="99"/>
    <w:rsid w:val="00AA6A3B"/>
    <w:pPr>
      <w:widowControl w:val="0"/>
      <w:autoSpaceDE w:val="0"/>
      <w:autoSpaceDN w:val="0"/>
      <w:adjustRightInd w:val="0"/>
      <w:ind w:left="2160" w:hanging="720"/>
    </w:pPr>
  </w:style>
  <w:style w:type="paragraph" w:styleId="BalloonText">
    <w:name w:val="Balloon Text"/>
    <w:basedOn w:val="Normal"/>
    <w:link w:val="BalloonTextChar"/>
    <w:uiPriority w:val="99"/>
    <w:semiHidden/>
    <w:unhideWhenUsed/>
    <w:rsid w:val="00F124ED"/>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ED"/>
    <w:rPr>
      <w:rFonts w:ascii="Tahoma" w:hAnsi="Tahoma" w:cs="Tahoma"/>
      <w:sz w:val="16"/>
      <w:szCs w:val="16"/>
    </w:rPr>
  </w:style>
  <w:style w:type="paragraph" w:styleId="Header">
    <w:name w:val="header"/>
    <w:basedOn w:val="Normal"/>
    <w:link w:val="HeaderChar"/>
    <w:uiPriority w:val="99"/>
    <w:unhideWhenUsed/>
    <w:rsid w:val="00276AB2"/>
    <w:pPr>
      <w:tabs>
        <w:tab w:val="center" w:pos="4680"/>
        <w:tab w:val="right" w:pos="9360"/>
      </w:tabs>
    </w:pPr>
  </w:style>
  <w:style w:type="character" w:customStyle="1" w:styleId="HeaderChar">
    <w:name w:val="Header Char"/>
    <w:basedOn w:val="DefaultParagraphFont"/>
    <w:link w:val="Header"/>
    <w:uiPriority w:val="99"/>
    <w:rsid w:val="00276AB2"/>
    <w:rPr>
      <w:rFonts w:ascii="Times New Roman" w:hAnsi="Times New Roman" w:cs="Times New Roman"/>
      <w:sz w:val="24"/>
      <w:szCs w:val="24"/>
    </w:rPr>
  </w:style>
  <w:style w:type="paragraph" w:styleId="Footer">
    <w:name w:val="footer"/>
    <w:basedOn w:val="Normal"/>
    <w:link w:val="FooterChar"/>
    <w:uiPriority w:val="99"/>
    <w:unhideWhenUsed/>
    <w:rsid w:val="00276AB2"/>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276AB2"/>
    <w:rPr>
      <w:rFonts w:ascii="Times New Roman" w:hAnsi="Times New Roman" w:cs="Times New Roman"/>
      <w:sz w:val="24"/>
      <w:szCs w:val="24"/>
    </w:rPr>
  </w:style>
  <w:style w:type="paragraph" w:styleId="ListParagraph">
    <w:name w:val="List Paragraph"/>
    <w:aliases w:val="Bullet 3A"/>
    <w:basedOn w:val="Normal"/>
    <w:uiPriority w:val="34"/>
    <w:qFormat/>
    <w:rsid w:val="008E4BA8"/>
    <w:pPr>
      <w:widowControl w:val="0"/>
      <w:autoSpaceDE w:val="0"/>
      <w:autoSpaceDN w:val="0"/>
      <w:adjustRightInd w:val="0"/>
      <w:ind w:left="720"/>
      <w:contextualSpacing/>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qFormat/>
    <w:rsid w:val="00A108DD"/>
    <w:pPr>
      <w:widowControl w:val="0"/>
      <w:autoSpaceDE w:val="0"/>
      <w:autoSpaceDN w:val="0"/>
      <w:adjustRightInd w:val="0"/>
    </w:pPr>
    <w:rPr>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A108DD"/>
    <w:rPr>
      <w:rFonts w:ascii="Times New Roman" w:hAnsi="Times New Roman" w:cs="Times New Roman"/>
      <w:sz w:val="20"/>
      <w:szCs w:val="20"/>
    </w:rPr>
  </w:style>
  <w:style w:type="table" w:styleId="TableGrid">
    <w:name w:val="Table Grid"/>
    <w:basedOn w:val="TableNormal"/>
    <w:uiPriority w:val="59"/>
    <w:rsid w:val="00CA2B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35F9"/>
  </w:style>
  <w:style w:type="character" w:styleId="Hyperlink">
    <w:name w:val="Hyperlink"/>
    <w:basedOn w:val="DefaultParagraphFont"/>
    <w:uiPriority w:val="99"/>
    <w:rsid w:val="006F3D60"/>
    <w:rPr>
      <w:color w:val="0000FF"/>
      <w:u w:val="single"/>
    </w:rPr>
  </w:style>
  <w:style w:type="character" w:styleId="FollowedHyperlink">
    <w:name w:val="FollowedHyperlink"/>
    <w:basedOn w:val="DefaultParagraphFont"/>
    <w:uiPriority w:val="99"/>
    <w:rsid w:val="005703A3"/>
    <w:rPr>
      <w:color w:val="606420"/>
      <w:u w:val="single"/>
    </w:rPr>
  </w:style>
  <w:style w:type="paragraph" w:styleId="TOCHeading">
    <w:name w:val="TOC Heading"/>
    <w:basedOn w:val="Heading1"/>
    <w:next w:val="Normal"/>
    <w:uiPriority w:val="39"/>
    <w:semiHidden/>
    <w:unhideWhenUsed/>
    <w:qFormat/>
    <w:rsid w:val="007D6803"/>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qFormat/>
    <w:rsid w:val="007D6803"/>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D680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D6803"/>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D680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D680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D680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D6803"/>
    <w:pPr>
      <w:spacing w:after="100" w:line="276" w:lineRule="auto"/>
      <w:ind w:left="176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7D437C"/>
    <w:rPr>
      <w:sz w:val="16"/>
      <w:szCs w:val="16"/>
    </w:rPr>
  </w:style>
  <w:style w:type="paragraph" w:styleId="CommentText">
    <w:name w:val="annotation text"/>
    <w:basedOn w:val="Normal"/>
    <w:link w:val="CommentTextChar"/>
    <w:uiPriority w:val="99"/>
    <w:unhideWhenUsed/>
    <w:rsid w:val="007D437C"/>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7D437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D437C"/>
    <w:rPr>
      <w:b/>
      <w:bCs/>
    </w:rPr>
  </w:style>
  <w:style w:type="character" w:customStyle="1" w:styleId="CommentSubjectChar">
    <w:name w:val="Comment Subject Char"/>
    <w:basedOn w:val="CommentTextChar"/>
    <w:link w:val="CommentSubject"/>
    <w:uiPriority w:val="99"/>
    <w:semiHidden/>
    <w:rsid w:val="007D437C"/>
    <w:rPr>
      <w:rFonts w:ascii="Times New Roman" w:hAnsi="Times New Roman"/>
      <w:b/>
      <w:bCs/>
    </w:rPr>
  </w:style>
  <w:style w:type="paragraph" w:styleId="NoSpacing">
    <w:name w:val="No Spacing"/>
    <w:aliases w:val="Bullet 1"/>
    <w:uiPriority w:val="1"/>
    <w:qFormat/>
    <w:rsid w:val="00215FC3"/>
    <w:pPr>
      <w:widowControl w:val="0"/>
      <w:numPr>
        <w:numId w:val="2"/>
      </w:numPr>
      <w:autoSpaceDE w:val="0"/>
      <w:autoSpaceDN w:val="0"/>
      <w:adjustRightInd w:val="0"/>
      <w:ind w:left="1080"/>
    </w:pPr>
    <w:rPr>
      <w:rFonts w:ascii="Times New Roman" w:hAnsi="Times New Roman"/>
      <w:sz w:val="24"/>
      <w:szCs w:val="24"/>
    </w:rPr>
  </w:style>
  <w:style w:type="paragraph" w:styleId="Subtitle">
    <w:name w:val="Subtitle"/>
    <w:aliases w:val="Bullet 2"/>
    <w:basedOn w:val="Normal"/>
    <w:next w:val="Normal"/>
    <w:link w:val="SubtitleChar"/>
    <w:uiPriority w:val="11"/>
    <w:qFormat/>
    <w:rsid w:val="00943BE3"/>
    <w:pPr>
      <w:keepNext/>
      <w:keepLines/>
      <w:numPr>
        <w:numId w:val="3"/>
      </w:numPr>
      <w:tabs>
        <w:tab w:val="left" w:pos="-1200"/>
        <w:tab w:val="left" w:pos="1080"/>
      </w:tabs>
      <w:autoSpaceDE w:val="0"/>
      <w:autoSpaceDN w:val="0"/>
      <w:adjustRightInd w:val="0"/>
      <w:ind w:left="1440"/>
    </w:pPr>
  </w:style>
  <w:style w:type="character" w:customStyle="1" w:styleId="SubtitleChar">
    <w:name w:val="Subtitle Char"/>
    <w:aliases w:val="Bullet 2 Char"/>
    <w:basedOn w:val="DefaultParagraphFont"/>
    <w:link w:val="Subtitle"/>
    <w:uiPriority w:val="11"/>
    <w:rsid w:val="00943BE3"/>
    <w:rPr>
      <w:rFonts w:ascii="Times New Roman" w:hAnsi="Times New Roman"/>
      <w:sz w:val="24"/>
      <w:szCs w:val="24"/>
    </w:rPr>
  </w:style>
  <w:style w:type="paragraph" w:styleId="Title">
    <w:name w:val="Title"/>
    <w:aliases w:val="Bullet 3"/>
    <w:basedOn w:val="Normal"/>
    <w:next w:val="Normal"/>
    <w:link w:val="TitleChar"/>
    <w:uiPriority w:val="10"/>
    <w:qFormat/>
    <w:rsid w:val="006B571A"/>
    <w:pPr>
      <w:widowControl w:val="0"/>
      <w:numPr>
        <w:numId w:val="4"/>
      </w:numPr>
      <w:autoSpaceDE w:val="0"/>
      <w:autoSpaceDN w:val="0"/>
      <w:adjustRightInd w:val="0"/>
      <w:ind w:left="1800"/>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6B571A"/>
    <w:rPr>
      <w:rFonts w:ascii="Times New Roman" w:eastAsiaTheme="majorEastAsia" w:hAnsi="Times New Roman" w:cstheme="majorBidi"/>
      <w:spacing w:val="5"/>
      <w:kern w:val="28"/>
      <w:sz w:val="24"/>
      <w:szCs w:val="52"/>
    </w:rPr>
  </w:style>
  <w:style w:type="character" w:customStyle="1" w:styleId="Heading2Char">
    <w:name w:val="Heading 2 Char"/>
    <w:basedOn w:val="DefaultParagraphFont"/>
    <w:link w:val="Heading2"/>
    <w:uiPriority w:val="9"/>
    <w:rsid w:val="00A86E70"/>
    <w:rPr>
      <w:rFonts w:ascii="Times New Roman" w:eastAsiaTheme="majorEastAsia" w:hAnsi="Times New Roman" w:cstheme="majorBidi"/>
      <w:b/>
      <w:bCs/>
      <w:sz w:val="24"/>
      <w:szCs w:val="26"/>
    </w:rPr>
  </w:style>
  <w:style w:type="paragraph" w:styleId="EndnoteText">
    <w:name w:val="endnote text"/>
    <w:basedOn w:val="Normal"/>
    <w:link w:val="EndnoteTextChar"/>
    <w:uiPriority w:val="99"/>
    <w:semiHidden/>
    <w:unhideWhenUsed/>
    <w:rsid w:val="007E1AEE"/>
    <w:rPr>
      <w:sz w:val="20"/>
      <w:szCs w:val="20"/>
    </w:rPr>
  </w:style>
  <w:style w:type="character" w:customStyle="1" w:styleId="EndnoteTextChar">
    <w:name w:val="Endnote Text Char"/>
    <w:basedOn w:val="DefaultParagraphFont"/>
    <w:link w:val="EndnoteText"/>
    <w:uiPriority w:val="99"/>
    <w:semiHidden/>
    <w:rsid w:val="007E1AEE"/>
    <w:rPr>
      <w:rFonts w:ascii="Times New Roman" w:hAnsi="Times New Roman"/>
    </w:rPr>
  </w:style>
  <w:style w:type="character" w:styleId="EndnoteReference">
    <w:name w:val="endnote reference"/>
    <w:basedOn w:val="DefaultParagraphFont"/>
    <w:uiPriority w:val="99"/>
    <w:semiHidden/>
    <w:unhideWhenUsed/>
    <w:rsid w:val="007E1AEE"/>
    <w:rPr>
      <w:vertAlign w:val="superscript"/>
    </w:rPr>
  </w:style>
  <w:style w:type="paragraph" w:styleId="Revision">
    <w:name w:val="Revision"/>
    <w:hidden/>
    <w:uiPriority w:val="99"/>
    <w:semiHidden/>
    <w:rsid w:val="00A03301"/>
    <w:rPr>
      <w:rFonts w:ascii="Times New Roman" w:hAnsi="Times New Roman"/>
      <w:sz w:val="24"/>
      <w:szCs w:val="24"/>
    </w:rPr>
  </w:style>
  <w:style w:type="character" w:styleId="UnresolvedMention">
    <w:name w:val="Unresolved Mention"/>
    <w:basedOn w:val="DefaultParagraphFont"/>
    <w:uiPriority w:val="99"/>
    <w:semiHidden/>
    <w:unhideWhenUsed/>
    <w:rsid w:val="002860F6"/>
    <w:rPr>
      <w:color w:val="605E5C"/>
      <w:shd w:val="clear" w:color="auto" w:fill="E1DFDD"/>
    </w:rPr>
  </w:style>
  <w:style w:type="paragraph" w:styleId="NormalWeb">
    <w:name w:val="Normal (Web)"/>
    <w:basedOn w:val="Normal"/>
    <w:uiPriority w:val="99"/>
    <w:semiHidden/>
    <w:unhideWhenUsed/>
    <w:rsid w:val="00D1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9197">
      <w:bodyDiv w:val="1"/>
      <w:marLeft w:val="0"/>
      <w:marRight w:val="0"/>
      <w:marTop w:val="0"/>
      <w:marBottom w:val="0"/>
      <w:divBdr>
        <w:top w:val="none" w:sz="0" w:space="0" w:color="auto"/>
        <w:left w:val="none" w:sz="0" w:space="0" w:color="auto"/>
        <w:bottom w:val="none" w:sz="0" w:space="0" w:color="auto"/>
        <w:right w:val="none" w:sz="0" w:space="0" w:color="auto"/>
      </w:divBdr>
    </w:div>
    <w:div w:id="57024423">
      <w:bodyDiv w:val="1"/>
      <w:marLeft w:val="0"/>
      <w:marRight w:val="0"/>
      <w:marTop w:val="0"/>
      <w:marBottom w:val="0"/>
      <w:divBdr>
        <w:top w:val="none" w:sz="0" w:space="0" w:color="auto"/>
        <w:left w:val="none" w:sz="0" w:space="0" w:color="auto"/>
        <w:bottom w:val="none" w:sz="0" w:space="0" w:color="auto"/>
        <w:right w:val="none" w:sz="0" w:space="0" w:color="auto"/>
      </w:divBdr>
    </w:div>
    <w:div w:id="65929667">
      <w:bodyDiv w:val="1"/>
      <w:marLeft w:val="0"/>
      <w:marRight w:val="0"/>
      <w:marTop w:val="0"/>
      <w:marBottom w:val="0"/>
      <w:divBdr>
        <w:top w:val="none" w:sz="0" w:space="0" w:color="auto"/>
        <w:left w:val="none" w:sz="0" w:space="0" w:color="auto"/>
        <w:bottom w:val="none" w:sz="0" w:space="0" w:color="auto"/>
        <w:right w:val="none" w:sz="0" w:space="0" w:color="auto"/>
      </w:divBdr>
    </w:div>
    <w:div w:id="96751103">
      <w:bodyDiv w:val="1"/>
      <w:marLeft w:val="0"/>
      <w:marRight w:val="0"/>
      <w:marTop w:val="0"/>
      <w:marBottom w:val="0"/>
      <w:divBdr>
        <w:top w:val="none" w:sz="0" w:space="0" w:color="auto"/>
        <w:left w:val="none" w:sz="0" w:space="0" w:color="auto"/>
        <w:bottom w:val="none" w:sz="0" w:space="0" w:color="auto"/>
        <w:right w:val="none" w:sz="0" w:space="0" w:color="auto"/>
      </w:divBdr>
    </w:div>
    <w:div w:id="111484856">
      <w:bodyDiv w:val="1"/>
      <w:marLeft w:val="0"/>
      <w:marRight w:val="0"/>
      <w:marTop w:val="0"/>
      <w:marBottom w:val="0"/>
      <w:divBdr>
        <w:top w:val="none" w:sz="0" w:space="0" w:color="auto"/>
        <w:left w:val="none" w:sz="0" w:space="0" w:color="auto"/>
        <w:bottom w:val="none" w:sz="0" w:space="0" w:color="auto"/>
        <w:right w:val="none" w:sz="0" w:space="0" w:color="auto"/>
      </w:divBdr>
    </w:div>
    <w:div w:id="131142116">
      <w:bodyDiv w:val="1"/>
      <w:marLeft w:val="0"/>
      <w:marRight w:val="0"/>
      <w:marTop w:val="0"/>
      <w:marBottom w:val="0"/>
      <w:divBdr>
        <w:top w:val="none" w:sz="0" w:space="0" w:color="auto"/>
        <w:left w:val="none" w:sz="0" w:space="0" w:color="auto"/>
        <w:bottom w:val="none" w:sz="0" w:space="0" w:color="auto"/>
        <w:right w:val="none" w:sz="0" w:space="0" w:color="auto"/>
      </w:divBdr>
    </w:div>
    <w:div w:id="146822334">
      <w:bodyDiv w:val="1"/>
      <w:marLeft w:val="0"/>
      <w:marRight w:val="0"/>
      <w:marTop w:val="0"/>
      <w:marBottom w:val="0"/>
      <w:divBdr>
        <w:top w:val="none" w:sz="0" w:space="0" w:color="auto"/>
        <w:left w:val="none" w:sz="0" w:space="0" w:color="auto"/>
        <w:bottom w:val="none" w:sz="0" w:space="0" w:color="auto"/>
        <w:right w:val="none" w:sz="0" w:space="0" w:color="auto"/>
      </w:divBdr>
    </w:div>
    <w:div w:id="154612650">
      <w:bodyDiv w:val="1"/>
      <w:marLeft w:val="0"/>
      <w:marRight w:val="0"/>
      <w:marTop w:val="0"/>
      <w:marBottom w:val="0"/>
      <w:divBdr>
        <w:top w:val="none" w:sz="0" w:space="0" w:color="auto"/>
        <w:left w:val="none" w:sz="0" w:space="0" w:color="auto"/>
        <w:bottom w:val="none" w:sz="0" w:space="0" w:color="auto"/>
        <w:right w:val="none" w:sz="0" w:space="0" w:color="auto"/>
      </w:divBdr>
    </w:div>
    <w:div w:id="195970796">
      <w:bodyDiv w:val="1"/>
      <w:marLeft w:val="0"/>
      <w:marRight w:val="0"/>
      <w:marTop w:val="0"/>
      <w:marBottom w:val="0"/>
      <w:divBdr>
        <w:top w:val="none" w:sz="0" w:space="0" w:color="auto"/>
        <w:left w:val="none" w:sz="0" w:space="0" w:color="auto"/>
        <w:bottom w:val="none" w:sz="0" w:space="0" w:color="auto"/>
        <w:right w:val="none" w:sz="0" w:space="0" w:color="auto"/>
      </w:divBdr>
    </w:div>
    <w:div w:id="205220438">
      <w:bodyDiv w:val="1"/>
      <w:marLeft w:val="0"/>
      <w:marRight w:val="0"/>
      <w:marTop w:val="0"/>
      <w:marBottom w:val="0"/>
      <w:divBdr>
        <w:top w:val="none" w:sz="0" w:space="0" w:color="auto"/>
        <w:left w:val="none" w:sz="0" w:space="0" w:color="auto"/>
        <w:bottom w:val="none" w:sz="0" w:space="0" w:color="auto"/>
        <w:right w:val="none" w:sz="0" w:space="0" w:color="auto"/>
      </w:divBdr>
    </w:div>
    <w:div w:id="255602718">
      <w:bodyDiv w:val="1"/>
      <w:marLeft w:val="0"/>
      <w:marRight w:val="0"/>
      <w:marTop w:val="0"/>
      <w:marBottom w:val="0"/>
      <w:divBdr>
        <w:top w:val="none" w:sz="0" w:space="0" w:color="auto"/>
        <w:left w:val="none" w:sz="0" w:space="0" w:color="auto"/>
        <w:bottom w:val="none" w:sz="0" w:space="0" w:color="auto"/>
        <w:right w:val="none" w:sz="0" w:space="0" w:color="auto"/>
      </w:divBdr>
    </w:div>
    <w:div w:id="270671294">
      <w:bodyDiv w:val="1"/>
      <w:marLeft w:val="0"/>
      <w:marRight w:val="0"/>
      <w:marTop w:val="0"/>
      <w:marBottom w:val="0"/>
      <w:divBdr>
        <w:top w:val="none" w:sz="0" w:space="0" w:color="auto"/>
        <w:left w:val="none" w:sz="0" w:space="0" w:color="auto"/>
        <w:bottom w:val="none" w:sz="0" w:space="0" w:color="auto"/>
        <w:right w:val="none" w:sz="0" w:space="0" w:color="auto"/>
      </w:divBdr>
    </w:div>
    <w:div w:id="288901380">
      <w:bodyDiv w:val="1"/>
      <w:marLeft w:val="0"/>
      <w:marRight w:val="0"/>
      <w:marTop w:val="0"/>
      <w:marBottom w:val="0"/>
      <w:divBdr>
        <w:top w:val="none" w:sz="0" w:space="0" w:color="auto"/>
        <w:left w:val="none" w:sz="0" w:space="0" w:color="auto"/>
        <w:bottom w:val="none" w:sz="0" w:space="0" w:color="auto"/>
        <w:right w:val="none" w:sz="0" w:space="0" w:color="auto"/>
      </w:divBdr>
    </w:div>
    <w:div w:id="396829998">
      <w:bodyDiv w:val="1"/>
      <w:marLeft w:val="0"/>
      <w:marRight w:val="0"/>
      <w:marTop w:val="0"/>
      <w:marBottom w:val="0"/>
      <w:divBdr>
        <w:top w:val="none" w:sz="0" w:space="0" w:color="auto"/>
        <w:left w:val="none" w:sz="0" w:space="0" w:color="auto"/>
        <w:bottom w:val="none" w:sz="0" w:space="0" w:color="auto"/>
        <w:right w:val="none" w:sz="0" w:space="0" w:color="auto"/>
      </w:divBdr>
    </w:div>
    <w:div w:id="410278228">
      <w:bodyDiv w:val="1"/>
      <w:marLeft w:val="0"/>
      <w:marRight w:val="0"/>
      <w:marTop w:val="0"/>
      <w:marBottom w:val="0"/>
      <w:divBdr>
        <w:top w:val="none" w:sz="0" w:space="0" w:color="auto"/>
        <w:left w:val="none" w:sz="0" w:space="0" w:color="auto"/>
        <w:bottom w:val="none" w:sz="0" w:space="0" w:color="auto"/>
        <w:right w:val="none" w:sz="0" w:space="0" w:color="auto"/>
      </w:divBdr>
    </w:div>
    <w:div w:id="438985993">
      <w:bodyDiv w:val="1"/>
      <w:marLeft w:val="0"/>
      <w:marRight w:val="0"/>
      <w:marTop w:val="0"/>
      <w:marBottom w:val="0"/>
      <w:divBdr>
        <w:top w:val="none" w:sz="0" w:space="0" w:color="auto"/>
        <w:left w:val="none" w:sz="0" w:space="0" w:color="auto"/>
        <w:bottom w:val="none" w:sz="0" w:space="0" w:color="auto"/>
        <w:right w:val="none" w:sz="0" w:space="0" w:color="auto"/>
      </w:divBdr>
    </w:div>
    <w:div w:id="440299872">
      <w:bodyDiv w:val="1"/>
      <w:marLeft w:val="0"/>
      <w:marRight w:val="0"/>
      <w:marTop w:val="0"/>
      <w:marBottom w:val="0"/>
      <w:divBdr>
        <w:top w:val="none" w:sz="0" w:space="0" w:color="auto"/>
        <w:left w:val="none" w:sz="0" w:space="0" w:color="auto"/>
        <w:bottom w:val="none" w:sz="0" w:space="0" w:color="auto"/>
        <w:right w:val="none" w:sz="0" w:space="0" w:color="auto"/>
      </w:divBdr>
    </w:div>
    <w:div w:id="452941052">
      <w:bodyDiv w:val="1"/>
      <w:marLeft w:val="0"/>
      <w:marRight w:val="0"/>
      <w:marTop w:val="0"/>
      <w:marBottom w:val="0"/>
      <w:divBdr>
        <w:top w:val="none" w:sz="0" w:space="0" w:color="auto"/>
        <w:left w:val="none" w:sz="0" w:space="0" w:color="auto"/>
        <w:bottom w:val="none" w:sz="0" w:space="0" w:color="auto"/>
        <w:right w:val="none" w:sz="0" w:space="0" w:color="auto"/>
      </w:divBdr>
    </w:div>
    <w:div w:id="458426387">
      <w:bodyDiv w:val="1"/>
      <w:marLeft w:val="0"/>
      <w:marRight w:val="0"/>
      <w:marTop w:val="0"/>
      <w:marBottom w:val="0"/>
      <w:divBdr>
        <w:top w:val="none" w:sz="0" w:space="0" w:color="auto"/>
        <w:left w:val="none" w:sz="0" w:space="0" w:color="auto"/>
        <w:bottom w:val="none" w:sz="0" w:space="0" w:color="auto"/>
        <w:right w:val="none" w:sz="0" w:space="0" w:color="auto"/>
      </w:divBdr>
    </w:div>
    <w:div w:id="468404038">
      <w:bodyDiv w:val="1"/>
      <w:marLeft w:val="0"/>
      <w:marRight w:val="0"/>
      <w:marTop w:val="0"/>
      <w:marBottom w:val="0"/>
      <w:divBdr>
        <w:top w:val="none" w:sz="0" w:space="0" w:color="auto"/>
        <w:left w:val="none" w:sz="0" w:space="0" w:color="auto"/>
        <w:bottom w:val="none" w:sz="0" w:space="0" w:color="auto"/>
        <w:right w:val="none" w:sz="0" w:space="0" w:color="auto"/>
      </w:divBdr>
    </w:div>
    <w:div w:id="478352219">
      <w:bodyDiv w:val="1"/>
      <w:marLeft w:val="0"/>
      <w:marRight w:val="0"/>
      <w:marTop w:val="0"/>
      <w:marBottom w:val="0"/>
      <w:divBdr>
        <w:top w:val="none" w:sz="0" w:space="0" w:color="auto"/>
        <w:left w:val="none" w:sz="0" w:space="0" w:color="auto"/>
        <w:bottom w:val="none" w:sz="0" w:space="0" w:color="auto"/>
        <w:right w:val="none" w:sz="0" w:space="0" w:color="auto"/>
      </w:divBdr>
    </w:div>
    <w:div w:id="493764755">
      <w:bodyDiv w:val="1"/>
      <w:marLeft w:val="0"/>
      <w:marRight w:val="0"/>
      <w:marTop w:val="0"/>
      <w:marBottom w:val="0"/>
      <w:divBdr>
        <w:top w:val="none" w:sz="0" w:space="0" w:color="auto"/>
        <w:left w:val="none" w:sz="0" w:space="0" w:color="auto"/>
        <w:bottom w:val="none" w:sz="0" w:space="0" w:color="auto"/>
        <w:right w:val="none" w:sz="0" w:space="0" w:color="auto"/>
      </w:divBdr>
    </w:div>
    <w:div w:id="533467118">
      <w:bodyDiv w:val="1"/>
      <w:marLeft w:val="0"/>
      <w:marRight w:val="0"/>
      <w:marTop w:val="0"/>
      <w:marBottom w:val="0"/>
      <w:divBdr>
        <w:top w:val="none" w:sz="0" w:space="0" w:color="auto"/>
        <w:left w:val="none" w:sz="0" w:space="0" w:color="auto"/>
        <w:bottom w:val="none" w:sz="0" w:space="0" w:color="auto"/>
        <w:right w:val="none" w:sz="0" w:space="0" w:color="auto"/>
      </w:divBdr>
    </w:div>
    <w:div w:id="538667607">
      <w:bodyDiv w:val="1"/>
      <w:marLeft w:val="0"/>
      <w:marRight w:val="0"/>
      <w:marTop w:val="0"/>
      <w:marBottom w:val="0"/>
      <w:divBdr>
        <w:top w:val="none" w:sz="0" w:space="0" w:color="auto"/>
        <w:left w:val="none" w:sz="0" w:space="0" w:color="auto"/>
        <w:bottom w:val="none" w:sz="0" w:space="0" w:color="auto"/>
        <w:right w:val="none" w:sz="0" w:space="0" w:color="auto"/>
      </w:divBdr>
    </w:div>
    <w:div w:id="587806386">
      <w:bodyDiv w:val="1"/>
      <w:marLeft w:val="0"/>
      <w:marRight w:val="0"/>
      <w:marTop w:val="0"/>
      <w:marBottom w:val="0"/>
      <w:divBdr>
        <w:top w:val="none" w:sz="0" w:space="0" w:color="auto"/>
        <w:left w:val="none" w:sz="0" w:space="0" w:color="auto"/>
        <w:bottom w:val="none" w:sz="0" w:space="0" w:color="auto"/>
        <w:right w:val="none" w:sz="0" w:space="0" w:color="auto"/>
      </w:divBdr>
    </w:div>
    <w:div w:id="616062371">
      <w:bodyDiv w:val="1"/>
      <w:marLeft w:val="0"/>
      <w:marRight w:val="0"/>
      <w:marTop w:val="0"/>
      <w:marBottom w:val="0"/>
      <w:divBdr>
        <w:top w:val="none" w:sz="0" w:space="0" w:color="auto"/>
        <w:left w:val="none" w:sz="0" w:space="0" w:color="auto"/>
        <w:bottom w:val="none" w:sz="0" w:space="0" w:color="auto"/>
        <w:right w:val="none" w:sz="0" w:space="0" w:color="auto"/>
      </w:divBdr>
    </w:div>
    <w:div w:id="662395626">
      <w:bodyDiv w:val="1"/>
      <w:marLeft w:val="0"/>
      <w:marRight w:val="0"/>
      <w:marTop w:val="0"/>
      <w:marBottom w:val="0"/>
      <w:divBdr>
        <w:top w:val="none" w:sz="0" w:space="0" w:color="auto"/>
        <w:left w:val="none" w:sz="0" w:space="0" w:color="auto"/>
        <w:bottom w:val="none" w:sz="0" w:space="0" w:color="auto"/>
        <w:right w:val="none" w:sz="0" w:space="0" w:color="auto"/>
      </w:divBdr>
    </w:div>
    <w:div w:id="664936562">
      <w:bodyDiv w:val="1"/>
      <w:marLeft w:val="0"/>
      <w:marRight w:val="0"/>
      <w:marTop w:val="0"/>
      <w:marBottom w:val="0"/>
      <w:divBdr>
        <w:top w:val="none" w:sz="0" w:space="0" w:color="auto"/>
        <w:left w:val="none" w:sz="0" w:space="0" w:color="auto"/>
        <w:bottom w:val="none" w:sz="0" w:space="0" w:color="auto"/>
        <w:right w:val="none" w:sz="0" w:space="0" w:color="auto"/>
      </w:divBdr>
    </w:div>
    <w:div w:id="676076546">
      <w:bodyDiv w:val="1"/>
      <w:marLeft w:val="0"/>
      <w:marRight w:val="0"/>
      <w:marTop w:val="0"/>
      <w:marBottom w:val="0"/>
      <w:divBdr>
        <w:top w:val="none" w:sz="0" w:space="0" w:color="auto"/>
        <w:left w:val="none" w:sz="0" w:space="0" w:color="auto"/>
        <w:bottom w:val="none" w:sz="0" w:space="0" w:color="auto"/>
        <w:right w:val="none" w:sz="0" w:space="0" w:color="auto"/>
      </w:divBdr>
    </w:div>
    <w:div w:id="693657698">
      <w:bodyDiv w:val="1"/>
      <w:marLeft w:val="0"/>
      <w:marRight w:val="0"/>
      <w:marTop w:val="0"/>
      <w:marBottom w:val="0"/>
      <w:divBdr>
        <w:top w:val="none" w:sz="0" w:space="0" w:color="auto"/>
        <w:left w:val="none" w:sz="0" w:space="0" w:color="auto"/>
        <w:bottom w:val="none" w:sz="0" w:space="0" w:color="auto"/>
        <w:right w:val="none" w:sz="0" w:space="0" w:color="auto"/>
      </w:divBdr>
    </w:div>
    <w:div w:id="710350521">
      <w:bodyDiv w:val="1"/>
      <w:marLeft w:val="0"/>
      <w:marRight w:val="0"/>
      <w:marTop w:val="0"/>
      <w:marBottom w:val="0"/>
      <w:divBdr>
        <w:top w:val="none" w:sz="0" w:space="0" w:color="auto"/>
        <w:left w:val="none" w:sz="0" w:space="0" w:color="auto"/>
        <w:bottom w:val="none" w:sz="0" w:space="0" w:color="auto"/>
        <w:right w:val="none" w:sz="0" w:space="0" w:color="auto"/>
      </w:divBdr>
    </w:div>
    <w:div w:id="800733757">
      <w:bodyDiv w:val="1"/>
      <w:marLeft w:val="0"/>
      <w:marRight w:val="0"/>
      <w:marTop w:val="0"/>
      <w:marBottom w:val="0"/>
      <w:divBdr>
        <w:top w:val="none" w:sz="0" w:space="0" w:color="auto"/>
        <w:left w:val="none" w:sz="0" w:space="0" w:color="auto"/>
        <w:bottom w:val="none" w:sz="0" w:space="0" w:color="auto"/>
        <w:right w:val="none" w:sz="0" w:space="0" w:color="auto"/>
      </w:divBdr>
    </w:div>
    <w:div w:id="813452310">
      <w:bodyDiv w:val="1"/>
      <w:marLeft w:val="0"/>
      <w:marRight w:val="0"/>
      <w:marTop w:val="0"/>
      <w:marBottom w:val="0"/>
      <w:divBdr>
        <w:top w:val="none" w:sz="0" w:space="0" w:color="auto"/>
        <w:left w:val="none" w:sz="0" w:space="0" w:color="auto"/>
        <w:bottom w:val="none" w:sz="0" w:space="0" w:color="auto"/>
        <w:right w:val="none" w:sz="0" w:space="0" w:color="auto"/>
      </w:divBdr>
    </w:div>
    <w:div w:id="816995681">
      <w:bodyDiv w:val="1"/>
      <w:marLeft w:val="0"/>
      <w:marRight w:val="0"/>
      <w:marTop w:val="0"/>
      <w:marBottom w:val="0"/>
      <w:divBdr>
        <w:top w:val="none" w:sz="0" w:space="0" w:color="auto"/>
        <w:left w:val="none" w:sz="0" w:space="0" w:color="auto"/>
        <w:bottom w:val="none" w:sz="0" w:space="0" w:color="auto"/>
        <w:right w:val="none" w:sz="0" w:space="0" w:color="auto"/>
      </w:divBdr>
    </w:div>
    <w:div w:id="825364657">
      <w:bodyDiv w:val="1"/>
      <w:marLeft w:val="0"/>
      <w:marRight w:val="0"/>
      <w:marTop w:val="0"/>
      <w:marBottom w:val="0"/>
      <w:divBdr>
        <w:top w:val="none" w:sz="0" w:space="0" w:color="auto"/>
        <w:left w:val="none" w:sz="0" w:space="0" w:color="auto"/>
        <w:bottom w:val="none" w:sz="0" w:space="0" w:color="auto"/>
        <w:right w:val="none" w:sz="0" w:space="0" w:color="auto"/>
      </w:divBdr>
    </w:div>
    <w:div w:id="871115426">
      <w:bodyDiv w:val="1"/>
      <w:marLeft w:val="0"/>
      <w:marRight w:val="0"/>
      <w:marTop w:val="0"/>
      <w:marBottom w:val="0"/>
      <w:divBdr>
        <w:top w:val="none" w:sz="0" w:space="0" w:color="auto"/>
        <w:left w:val="none" w:sz="0" w:space="0" w:color="auto"/>
        <w:bottom w:val="none" w:sz="0" w:space="0" w:color="auto"/>
        <w:right w:val="none" w:sz="0" w:space="0" w:color="auto"/>
      </w:divBdr>
    </w:div>
    <w:div w:id="984089551">
      <w:bodyDiv w:val="1"/>
      <w:marLeft w:val="0"/>
      <w:marRight w:val="0"/>
      <w:marTop w:val="0"/>
      <w:marBottom w:val="0"/>
      <w:divBdr>
        <w:top w:val="none" w:sz="0" w:space="0" w:color="auto"/>
        <w:left w:val="none" w:sz="0" w:space="0" w:color="auto"/>
        <w:bottom w:val="none" w:sz="0" w:space="0" w:color="auto"/>
        <w:right w:val="none" w:sz="0" w:space="0" w:color="auto"/>
      </w:divBdr>
    </w:div>
    <w:div w:id="1000160968">
      <w:bodyDiv w:val="1"/>
      <w:marLeft w:val="0"/>
      <w:marRight w:val="0"/>
      <w:marTop w:val="0"/>
      <w:marBottom w:val="0"/>
      <w:divBdr>
        <w:top w:val="none" w:sz="0" w:space="0" w:color="auto"/>
        <w:left w:val="none" w:sz="0" w:space="0" w:color="auto"/>
        <w:bottom w:val="none" w:sz="0" w:space="0" w:color="auto"/>
        <w:right w:val="none" w:sz="0" w:space="0" w:color="auto"/>
      </w:divBdr>
      <w:divsChild>
        <w:div w:id="692540583">
          <w:marLeft w:val="0"/>
          <w:marRight w:val="0"/>
          <w:marTop w:val="0"/>
          <w:marBottom w:val="0"/>
          <w:divBdr>
            <w:top w:val="none" w:sz="0" w:space="0" w:color="auto"/>
            <w:left w:val="none" w:sz="0" w:space="0" w:color="auto"/>
            <w:bottom w:val="none" w:sz="0" w:space="0" w:color="auto"/>
            <w:right w:val="none" w:sz="0" w:space="0" w:color="auto"/>
          </w:divBdr>
          <w:divsChild>
            <w:div w:id="343484246">
              <w:marLeft w:val="0"/>
              <w:marRight w:val="0"/>
              <w:marTop w:val="0"/>
              <w:marBottom w:val="0"/>
              <w:divBdr>
                <w:top w:val="none" w:sz="0" w:space="0" w:color="auto"/>
                <w:left w:val="none" w:sz="0" w:space="0" w:color="auto"/>
                <w:bottom w:val="none" w:sz="0" w:space="0" w:color="auto"/>
                <w:right w:val="none" w:sz="0" w:space="0" w:color="auto"/>
              </w:divBdr>
              <w:divsChild>
                <w:div w:id="1875926997">
                  <w:marLeft w:val="0"/>
                  <w:marRight w:val="0"/>
                  <w:marTop w:val="0"/>
                  <w:marBottom w:val="0"/>
                  <w:divBdr>
                    <w:top w:val="none" w:sz="0" w:space="0" w:color="auto"/>
                    <w:left w:val="none" w:sz="0" w:space="0" w:color="auto"/>
                    <w:bottom w:val="none" w:sz="0" w:space="0" w:color="auto"/>
                    <w:right w:val="none" w:sz="0" w:space="0" w:color="auto"/>
                  </w:divBdr>
                  <w:divsChild>
                    <w:div w:id="968895427">
                      <w:marLeft w:val="0"/>
                      <w:marRight w:val="0"/>
                      <w:marTop w:val="0"/>
                      <w:marBottom w:val="0"/>
                      <w:divBdr>
                        <w:top w:val="none" w:sz="0" w:space="0" w:color="auto"/>
                        <w:left w:val="none" w:sz="0" w:space="0" w:color="auto"/>
                        <w:bottom w:val="none" w:sz="0" w:space="0" w:color="auto"/>
                        <w:right w:val="none" w:sz="0" w:space="0" w:color="auto"/>
                      </w:divBdr>
                      <w:divsChild>
                        <w:div w:id="6379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83780">
      <w:bodyDiv w:val="1"/>
      <w:marLeft w:val="0"/>
      <w:marRight w:val="0"/>
      <w:marTop w:val="0"/>
      <w:marBottom w:val="0"/>
      <w:divBdr>
        <w:top w:val="none" w:sz="0" w:space="0" w:color="auto"/>
        <w:left w:val="none" w:sz="0" w:space="0" w:color="auto"/>
        <w:bottom w:val="none" w:sz="0" w:space="0" w:color="auto"/>
        <w:right w:val="none" w:sz="0" w:space="0" w:color="auto"/>
      </w:divBdr>
    </w:div>
    <w:div w:id="1040588254">
      <w:bodyDiv w:val="1"/>
      <w:marLeft w:val="0"/>
      <w:marRight w:val="0"/>
      <w:marTop w:val="0"/>
      <w:marBottom w:val="0"/>
      <w:divBdr>
        <w:top w:val="none" w:sz="0" w:space="0" w:color="auto"/>
        <w:left w:val="none" w:sz="0" w:space="0" w:color="auto"/>
        <w:bottom w:val="none" w:sz="0" w:space="0" w:color="auto"/>
        <w:right w:val="none" w:sz="0" w:space="0" w:color="auto"/>
      </w:divBdr>
    </w:div>
    <w:div w:id="1058017183">
      <w:bodyDiv w:val="1"/>
      <w:marLeft w:val="0"/>
      <w:marRight w:val="0"/>
      <w:marTop w:val="0"/>
      <w:marBottom w:val="0"/>
      <w:divBdr>
        <w:top w:val="none" w:sz="0" w:space="0" w:color="auto"/>
        <w:left w:val="none" w:sz="0" w:space="0" w:color="auto"/>
        <w:bottom w:val="none" w:sz="0" w:space="0" w:color="auto"/>
        <w:right w:val="none" w:sz="0" w:space="0" w:color="auto"/>
      </w:divBdr>
    </w:div>
    <w:div w:id="1067385750">
      <w:bodyDiv w:val="1"/>
      <w:marLeft w:val="0"/>
      <w:marRight w:val="0"/>
      <w:marTop w:val="0"/>
      <w:marBottom w:val="0"/>
      <w:divBdr>
        <w:top w:val="none" w:sz="0" w:space="0" w:color="auto"/>
        <w:left w:val="none" w:sz="0" w:space="0" w:color="auto"/>
        <w:bottom w:val="none" w:sz="0" w:space="0" w:color="auto"/>
        <w:right w:val="none" w:sz="0" w:space="0" w:color="auto"/>
      </w:divBdr>
    </w:div>
    <w:div w:id="1079134470">
      <w:bodyDiv w:val="1"/>
      <w:marLeft w:val="0"/>
      <w:marRight w:val="0"/>
      <w:marTop w:val="0"/>
      <w:marBottom w:val="0"/>
      <w:divBdr>
        <w:top w:val="none" w:sz="0" w:space="0" w:color="auto"/>
        <w:left w:val="none" w:sz="0" w:space="0" w:color="auto"/>
        <w:bottom w:val="none" w:sz="0" w:space="0" w:color="auto"/>
        <w:right w:val="none" w:sz="0" w:space="0" w:color="auto"/>
      </w:divBdr>
    </w:div>
    <w:div w:id="1094714825">
      <w:bodyDiv w:val="1"/>
      <w:marLeft w:val="0"/>
      <w:marRight w:val="0"/>
      <w:marTop w:val="0"/>
      <w:marBottom w:val="0"/>
      <w:divBdr>
        <w:top w:val="none" w:sz="0" w:space="0" w:color="auto"/>
        <w:left w:val="none" w:sz="0" w:space="0" w:color="auto"/>
        <w:bottom w:val="none" w:sz="0" w:space="0" w:color="auto"/>
        <w:right w:val="none" w:sz="0" w:space="0" w:color="auto"/>
      </w:divBdr>
    </w:div>
    <w:div w:id="1142307279">
      <w:bodyDiv w:val="1"/>
      <w:marLeft w:val="0"/>
      <w:marRight w:val="0"/>
      <w:marTop w:val="0"/>
      <w:marBottom w:val="0"/>
      <w:divBdr>
        <w:top w:val="none" w:sz="0" w:space="0" w:color="auto"/>
        <w:left w:val="none" w:sz="0" w:space="0" w:color="auto"/>
        <w:bottom w:val="none" w:sz="0" w:space="0" w:color="auto"/>
        <w:right w:val="none" w:sz="0" w:space="0" w:color="auto"/>
      </w:divBdr>
    </w:div>
    <w:div w:id="1168247622">
      <w:bodyDiv w:val="1"/>
      <w:marLeft w:val="0"/>
      <w:marRight w:val="0"/>
      <w:marTop w:val="0"/>
      <w:marBottom w:val="0"/>
      <w:divBdr>
        <w:top w:val="none" w:sz="0" w:space="0" w:color="auto"/>
        <w:left w:val="none" w:sz="0" w:space="0" w:color="auto"/>
        <w:bottom w:val="none" w:sz="0" w:space="0" w:color="auto"/>
        <w:right w:val="none" w:sz="0" w:space="0" w:color="auto"/>
      </w:divBdr>
    </w:div>
    <w:div w:id="1204176616">
      <w:bodyDiv w:val="1"/>
      <w:marLeft w:val="0"/>
      <w:marRight w:val="0"/>
      <w:marTop w:val="0"/>
      <w:marBottom w:val="0"/>
      <w:divBdr>
        <w:top w:val="none" w:sz="0" w:space="0" w:color="auto"/>
        <w:left w:val="none" w:sz="0" w:space="0" w:color="auto"/>
        <w:bottom w:val="none" w:sz="0" w:space="0" w:color="auto"/>
        <w:right w:val="none" w:sz="0" w:space="0" w:color="auto"/>
      </w:divBdr>
    </w:div>
    <w:div w:id="1205409580">
      <w:bodyDiv w:val="1"/>
      <w:marLeft w:val="0"/>
      <w:marRight w:val="0"/>
      <w:marTop w:val="0"/>
      <w:marBottom w:val="0"/>
      <w:divBdr>
        <w:top w:val="none" w:sz="0" w:space="0" w:color="auto"/>
        <w:left w:val="none" w:sz="0" w:space="0" w:color="auto"/>
        <w:bottom w:val="none" w:sz="0" w:space="0" w:color="auto"/>
        <w:right w:val="none" w:sz="0" w:space="0" w:color="auto"/>
      </w:divBdr>
    </w:div>
    <w:div w:id="1214005236">
      <w:bodyDiv w:val="1"/>
      <w:marLeft w:val="0"/>
      <w:marRight w:val="0"/>
      <w:marTop w:val="0"/>
      <w:marBottom w:val="0"/>
      <w:divBdr>
        <w:top w:val="none" w:sz="0" w:space="0" w:color="auto"/>
        <w:left w:val="none" w:sz="0" w:space="0" w:color="auto"/>
        <w:bottom w:val="none" w:sz="0" w:space="0" w:color="auto"/>
        <w:right w:val="none" w:sz="0" w:space="0" w:color="auto"/>
      </w:divBdr>
    </w:div>
    <w:div w:id="1218082895">
      <w:bodyDiv w:val="1"/>
      <w:marLeft w:val="0"/>
      <w:marRight w:val="0"/>
      <w:marTop w:val="0"/>
      <w:marBottom w:val="0"/>
      <w:divBdr>
        <w:top w:val="none" w:sz="0" w:space="0" w:color="auto"/>
        <w:left w:val="none" w:sz="0" w:space="0" w:color="auto"/>
        <w:bottom w:val="none" w:sz="0" w:space="0" w:color="auto"/>
        <w:right w:val="none" w:sz="0" w:space="0" w:color="auto"/>
      </w:divBdr>
    </w:div>
    <w:div w:id="1240481930">
      <w:bodyDiv w:val="1"/>
      <w:marLeft w:val="0"/>
      <w:marRight w:val="0"/>
      <w:marTop w:val="0"/>
      <w:marBottom w:val="0"/>
      <w:divBdr>
        <w:top w:val="none" w:sz="0" w:space="0" w:color="auto"/>
        <w:left w:val="none" w:sz="0" w:space="0" w:color="auto"/>
        <w:bottom w:val="none" w:sz="0" w:space="0" w:color="auto"/>
        <w:right w:val="none" w:sz="0" w:space="0" w:color="auto"/>
      </w:divBdr>
    </w:div>
    <w:div w:id="1262647869">
      <w:bodyDiv w:val="1"/>
      <w:marLeft w:val="0"/>
      <w:marRight w:val="0"/>
      <w:marTop w:val="0"/>
      <w:marBottom w:val="0"/>
      <w:divBdr>
        <w:top w:val="none" w:sz="0" w:space="0" w:color="auto"/>
        <w:left w:val="none" w:sz="0" w:space="0" w:color="auto"/>
        <w:bottom w:val="none" w:sz="0" w:space="0" w:color="auto"/>
        <w:right w:val="none" w:sz="0" w:space="0" w:color="auto"/>
      </w:divBdr>
    </w:div>
    <w:div w:id="1271157053">
      <w:bodyDiv w:val="1"/>
      <w:marLeft w:val="0"/>
      <w:marRight w:val="0"/>
      <w:marTop w:val="0"/>
      <w:marBottom w:val="0"/>
      <w:divBdr>
        <w:top w:val="none" w:sz="0" w:space="0" w:color="auto"/>
        <w:left w:val="none" w:sz="0" w:space="0" w:color="auto"/>
        <w:bottom w:val="none" w:sz="0" w:space="0" w:color="auto"/>
        <w:right w:val="none" w:sz="0" w:space="0" w:color="auto"/>
      </w:divBdr>
    </w:div>
    <w:div w:id="1276211434">
      <w:bodyDiv w:val="1"/>
      <w:marLeft w:val="0"/>
      <w:marRight w:val="0"/>
      <w:marTop w:val="0"/>
      <w:marBottom w:val="0"/>
      <w:divBdr>
        <w:top w:val="none" w:sz="0" w:space="0" w:color="auto"/>
        <w:left w:val="none" w:sz="0" w:space="0" w:color="auto"/>
        <w:bottom w:val="none" w:sz="0" w:space="0" w:color="auto"/>
        <w:right w:val="none" w:sz="0" w:space="0" w:color="auto"/>
      </w:divBdr>
    </w:div>
    <w:div w:id="1277641209">
      <w:bodyDiv w:val="1"/>
      <w:marLeft w:val="0"/>
      <w:marRight w:val="0"/>
      <w:marTop w:val="0"/>
      <w:marBottom w:val="0"/>
      <w:divBdr>
        <w:top w:val="none" w:sz="0" w:space="0" w:color="auto"/>
        <w:left w:val="none" w:sz="0" w:space="0" w:color="auto"/>
        <w:bottom w:val="none" w:sz="0" w:space="0" w:color="auto"/>
        <w:right w:val="none" w:sz="0" w:space="0" w:color="auto"/>
      </w:divBdr>
    </w:div>
    <w:div w:id="1283460733">
      <w:bodyDiv w:val="1"/>
      <w:marLeft w:val="0"/>
      <w:marRight w:val="0"/>
      <w:marTop w:val="0"/>
      <w:marBottom w:val="0"/>
      <w:divBdr>
        <w:top w:val="none" w:sz="0" w:space="0" w:color="auto"/>
        <w:left w:val="none" w:sz="0" w:space="0" w:color="auto"/>
        <w:bottom w:val="none" w:sz="0" w:space="0" w:color="auto"/>
        <w:right w:val="none" w:sz="0" w:space="0" w:color="auto"/>
      </w:divBdr>
    </w:div>
    <w:div w:id="1288928395">
      <w:bodyDiv w:val="1"/>
      <w:marLeft w:val="0"/>
      <w:marRight w:val="0"/>
      <w:marTop w:val="0"/>
      <w:marBottom w:val="0"/>
      <w:divBdr>
        <w:top w:val="none" w:sz="0" w:space="0" w:color="auto"/>
        <w:left w:val="none" w:sz="0" w:space="0" w:color="auto"/>
        <w:bottom w:val="none" w:sz="0" w:space="0" w:color="auto"/>
        <w:right w:val="none" w:sz="0" w:space="0" w:color="auto"/>
      </w:divBdr>
    </w:div>
    <w:div w:id="1330258063">
      <w:bodyDiv w:val="1"/>
      <w:marLeft w:val="0"/>
      <w:marRight w:val="0"/>
      <w:marTop w:val="0"/>
      <w:marBottom w:val="0"/>
      <w:divBdr>
        <w:top w:val="none" w:sz="0" w:space="0" w:color="auto"/>
        <w:left w:val="none" w:sz="0" w:space="0" w:color="auto"/>
        <w:bottom w:val="none" w:sz="0" w:space="0" w:color="auto"/>
        <w:right w:val="none" w:sz="0" w:space="0" w:color="auto"/>
      </w:divBdr>
    </w:div>
    <w:div w:id="1362707784">
      <w:bodyDiv w:val="1"/>
      <w:marLeft w:val="0"/>
      <w:marRight w:val="0"/>
      <w:marTop w:val="0"/>
      <w:marBottom w:val="0"/>
      <w:divBdr>
        <w:top w:val="none" w:sz="0" w:space="0" w:color="auto"/>
        <w:left w:val="none" w:sz="0" w:space="0" w:color="auto"/>
        <w:bottom w:val="none" w:sz="0" w:space="0" w:color="auto"/>
        <w:right w:val="none" w:sz="0" w:space="0" w:color="auto"/>
      </w:divBdr>
    </w:div>
    <w:div w:id="1392314821">
      <w:bodyDiv w:val="1"/>
      <w:marLeft w:val="0"/>
      <w:marRight w:val="0"/>
      <w:marTop w:val="0"/>
      <w:marBottom w:val="0"/>
      <w:divBdr>
        <w:top w:val="none" w:sz="0" w:space="0" w:color="auto"/>
        <w:left w:val="none" w:sz="0" w:space="0" w:color="auto"/>
        <w:bottom w:val="none" w:sz="0" w:space="0" w:color="auto"/>
        <w:right w:val="none" w:sz="0" w:space="0" w:color="auto"/>
      </w:divBdr>
    </w:div>
    <w:div w:id="1400126982">
      <w:bodyDiv w:val="1"/>
      <w:marLeft w:val="0"/>
      <w:marRight w:val="0"/>
      <w:marTop w:val="0"/>
      <w:marBottom w:val="0"/>
      <w:divBdr>
        <w:top w:val="none" w:sz="0" w:space="0" w:color="auto"/>
        <w:left w:val="none" w:sz="0" w:space="0" w:color="auto"/>
        <w:bottom w:val="none" w:sz="0" w:space="0" w:color="auto"/>
        <w:right w:val="none" w:sz="0" w:space="0" w:color="auto"/>
      </w:divBdr>
    </w:div>
    <w:div w:id="1405184422">
      <w:bodyDiv w:val="1"/>
      <w:marLeft w:val="0"/>
      <w:marRight w:val="0"/>
      <w:marTop w:val="0"/>
      <w:marBottom w:val="0"/>
      <w:divBdr>
        <w:top w:val="none" w:sz="0" w:space="0" w:color="auto"/>
        <w:left w:val="none" w:sz="0" w:space="0" w:color="auto"/>
        <w:bottom w:val="none" w:sz="0" w:space="0" w:color="auto"/>
        <w:right w:val="none" w:sz="0" w:space="0" w:color="auto"/>
      </w:divBdr>
    </w:div>
    <w:div w:id="1461413199">
      <w:bodyDiv w:val="1"/>
      <w:marLeft w:val="0"/>
      <w:marRight w:val="0"/>
      <w:marTop w:val="0"/>
      <w:marBottom w:val="0"/>
      <w:divBdr>
        <w:top w:val="none" w:sz="0" w:space="0" w:color="auto"/>
        <w:left w:val="none" w:sz="0" w:space="0" w:color="auto"/>
        <w:bottom w:val="none" w:sz="0" w:space="0" w:color="auto"/>
        <w:right w:val="none" w:sz="0" w:space="0" w:color="auto"/>
      </w:divBdr>
    </w:div>
    <w:div w:id="1465078575">
      <w:bodyDiv w:val="1"/>
      <w:marLeft w:val="0"/>
      <w:marRight w:val="0"/>
      <w:marTop w:val="0"/>
      <w:marBottom w:val="0"/>
      <w:divBdr>
        <w:top w:val="none" w:sz="0" w:space="0" w:color="auto"/>
        <w:left w:val="none" w:sz="0" w:space="0" w:color="auto"/>
        <w:bottom w:val="none" w:sz="0" w:space="0" w:color="auto"/>
        <w:right w:val="none" w:sz="0" w:space="0" w:color="auto"/>
      </w:divBdr>
    </w:div>
    <w:div w:id="1488013354">
      <w:bodyDiv w:val="1"/>
      <w:marLeft w:val="0"/>
      <w:marRight w:val="0"/>
      <w:marTop w:val="0"/>
      <w:marBottom w:val="0"/>
      <w:divBdr>
        <w:top w:val="none" w:sz="0" w:space="0" w:color="auto"/>
        <w:left w:val="none" w:sz="0" w:space="0" w:color="auto"/>
        <w:bottom w:val="none" w:sz="0" w:space="0" w:color="auto"/>
        <w:right w:val="none" w:sz="0" w:space="0" w:color="auto"/>
      </w:divBdr>
    </w:div>
    <w:div w:id="1498809480">
      <w:bodyDiv w:val="1"/>
      <w:marLeft w:val="0"/>
      <w:marRight w:val="0"/>
      <w:marTop w:val="0"/>
      <w:marBottom w:val="0"/>
      <w:divBdr>
        <w:top w:val="none" w:sz="0" w:space="0" w:color="auto"/>
        <w:left w:val="none" w:sz="0" w:space="0" w:color="auto"/>
        <w:bottom w:val="none" w:sz="0" w:space="0" w:color="auto"/>
        <w:right w:val="none" w:sz="0" w:space="0" w:color="auto"/>
      </w:divBdr>
    </w:div>
    <w:div w:id="1501579161">
      <w:bodyDiv w:val="1"/>
      <w:marLeft w:val="0"/>
      <w:marRight w:val="0"/>
      <w:marTop w:val="0"/>
      <w:marBottom w:val="0"/>
      <w:divBdr>
        <w:top w:val="none" w:sz="0" w:space="0" w:color="auto"/>
        <w:left w:val="none" w:sz="0" w:space="0" w:color="auto"/>
        <w:bottom w:val="none" w:sz="0" w:space="0" w:color="auto"/>
        <w:right w:val="none" w:sz="0" w:space="0" w:color="auto"/>
      </w:divBdr>
    </w:div>
    <w:div w:id="1535070506">
      <w:bodyDiv w:val="1"/>
      <w:marLeft w:val="0"/>
      <w:marRight w:val="0"/>
      <w:marTop w:val="0"/>
      <w:marBottom w:val="0"/>
      <w:divBdr>
        <w:top w:val="none" w:sz="0" w:space="0" w:color="auto"/>
        <w:left w:val="none" w:sz="0" w:space="0" w:color="auto"/>
        <w:bottom w:val="none" w:sz="0" w:space="0" w:color="auto"/>
        <w:right w:val="none" w:sz="0" w:space="0" w:color="auto"/>
      </w:divBdr>
    </w:div>
    <w:div w:id="1542353180">
      <w:bodyDiv w:val="1"/>
      <w:marLeft w:val="0"/>
      <w:marRight w:val="0"/>
      <w:marTop w:val="0"/>
      <w:marBottom w:val="0"/>
      <w:divBdr>
        <w:top w:val="none" w:sz="0" w:space="0" w:color="auto"/>
        <w:left w:val="none" w:sz="0" w:space="0" w:color="auto"/>
        <w:bottom w:val="none" w:sz="0" w:space="0" w:color="auto"/>
        <w:right w:val="none" w:sz="0" w:space="0" w:color="auto"/>
      </w:divBdr>
    </w:div>
    <w:div w:id="1586648815">
      <w:bodyDiv w:val="1"/>
      <w:marLeft w:val="0"/>
      <w:marRight w:val="0"/>
      <w:marTop w:val="0"/>
      <w:marBottom w:val="0"/>
      <w:divBdr>
        <w:top w:val="none" w:sz="0" w:space="0" w:color="auto"/>
        <w:left w:val="none" w:sz="0" w:space="0" w:color="auto"/>
        <w:bottom w:val="none" w:sz="0" w:space="0" w:color="auto"/>
        <w:right w:val="none" w:sz="0" w:space="0" w:color="auto"/>
      </w:divBdr>
    </w:div>
    <w:div w:id="1587956241">
      <w:bodyDiv w:val="1"/>
      <w:marLeft w:val="0"/>
      <w:marRight w:val="0"/>
      <w:marTop w:val="0"/>
      <w:marBottom w:val="0"/>
      <w:divBdr>
        <w:top w:val="none" w:sz="0" w:space="0" w:color="auto"/>
        <w:left w:val="none" w:sz="0" w:space="0" w:color="auto"/>
        <w:bottom w:val="none" w:sz="0" w:space="0" w:color="auto"/>
        <w:right w:val="none" w:sz="0" w:space="0" w:color="auto"/>
      </w:divBdr>
    </w:div>
    <w:div w:id="1598126788">
      <w:bodyDiv w:val="1"/>
      <w:marLeft w:val="0"/>
      <w:marRight w:val="0"/>
      <w:marTop w:val="0"/>
      <w:marBottom w:val="0"/>
      <w:divBdr>
        <w:top w:val="none" w:sz="0" w:space="0" w:color="auto"/>
        <w:left w:val="none" w:sz="0" w:space="0" w:color="auto"/>
        <w:bottom w:val="none" w:sz="0" w:space="0" w:color="auto"/>
        <w:right w:val="none" w:sz="0" w:space="0" w:color="auto"/>
      </w:divBdr>
    </w:div>
    <w:div w:id="1631549245">
      <w:bodyDiv w:val="1"/>
      <w:marLeft w:val="0"/>
      <w:marRight w:val="0"/>
      <w:marTop w:val="0"/>
      <w:marBottom w:val="0"/>
      <w:divBdr>
        <w:top w:val="none" w:sz="0" w:space="0" w:color="auto"/>
        <w:left w:val="none" w:sz="0" w:space="0" w:color="auto"/>
        <w:bottom w:val="none" w:sz="0" w:space="0" w:color="auto"/>
        <w:right w:val="none" w:sz="0" w:space="0" w:color="auto"/>
      </w:divBdr>
    </w:div>
    <w:div w:id="1644389124">
      <w:bodyDiv w:val="1"/>
      <w:marLeft w:val="0"/>
      <w:marRight w:val="0"/>
      <w:marTop w:val="0"/>
      <w:marBottom w:val="0"/>
      <w:divBdr>
        <w:top w:val="none" w:sz="0" w:space="0" w:color="auto"/>
        <w:left w:val="none" w:sz="0" w:space="0" w:color="auto"/>
        <w:bottom w:val="none" w:sz="0" w:space="0" w:color="auto"/>
        <w:right w:val="none" w:sz="0" w:space="0" w:color="auto"/>
      </w:divBdr>
    </w:div>
    <w:div w:id="1667785204">
      <w:bodyDiv w:val="1"/>
      <w:marLeft w:val="0"/>
      <w:marRight w:val="0"/>
      <w:marTop w:val="0"/>
      <w:marBottom w:val="0"/>
      <w:divBdr>
        <w:top w:val="none" w:sz="0" w:space="0" w:color="auto"/>
        <w:left w:val="none" w:sz="0" w:space="0" w:color="auto"/>
        <w:bottom w:val="none" w:sz="0" w:space="0" w:color="auto"/>
        <w:right w:val="none" w:sz="0" w:space="0" w:color="auto"/>
      </w:divBdr>
    </w:div>
    <w:div w:id="1673333524">
      <w:bodyDiv w:val="1"/>
      <w:marLeft w:val="0"/>
      <w:marRight w:val="0"/>
      <w:marTop w:val="0"/>
      <w:marBottom w:val="0"/>
      <w:divBdr>
        <w:top w:val="none" w:sz="0" w:space="0" w:color="auto"/>
        <w:left w:val="none" w:sz="0" w:space="0" w:color="auto"/>
        <w:bottom w:val="none" w:sz="0" w:space="0" w:color="auto"/>
        <w:right w:val="none" w:sz="0" w:space="0" w:color="auto"/>
      </w:divBdr>
      <w:divsChild>
        <w:div w:id="506680055">
          <w:marLeft w:val="0"/>
          <w:marRight w:val="0"/>
          <w:marTop w:val="0"/>
          <w:marBottom w:val="0"/>
          <w:divBdr>
            <w:top w:val="none" w:sz="0" w:space="0" w:color="auto"/>
            <w:left w:val="none" w:sz="0" w:space="0" w:color="auto"/>
            <w:bottom w:val="none" w:sz="0" w:space="0" w:color="auto"/>
            <w:right w:val="none" w:sz="0" w:space="0" w:color="auto"/>
          </w:divBdr>
          <w:divsChild>
            <w:div w:id="1415783319">
              <w:marLeft w:val="0"/>
              <w:marRight w:val="0"/>
              <w:marTop w:val="0"/>
              <w:marBottom w:val="0"/>
              <w:divBdr>
                <w:top w:val="none" w:sz="0" w:space="0" w:color="auto"/>
                <w:left w:val="none" w:sz="0" w:space="0" w:color="auto"/>
                <w:bottom w:val="none" w:sz="0" w:space="0" w:color="auto"/>
                <w:right w:val="none" w:sz="0" w:space="0" w:color="auto"/>
              </w:divBdr>
              <w:divsChild>
                <w:div w:id="1242056371">
                  <w:marLeft w:val="0"/>
                  <w:marRight w:val="0"/>
                  <w:marTop w:val="0"/>
                  <w:marBottom w:val="0"/>
                  <w:divBdr>
                    <w:top w:val="none" w:sz="0" w:space="0" w:color="auto"/>
                    <w:left w:val="none" w:sz="0" w:space="0" w:color="auto"/>
                    <w:bottom w:val="none" w:sz="0" w:space="0" w:color="auto"/>
                    <w:right w:val="none" w:sz="0" w:space="0" w:color="auto"/>
                  </w:divBdr>
                  <w:divsChild>
                    <w:div w:id="1339769619">
                      <w:marLeft w:val="0"/>
                      <w:marRight w:val="0"/>
                      <w:marTop w:val="0"/>
                      <w:marBottom w:val="0"/>
                      <w:divBdr>
                        <w:top w:val="none" w:sz="0" w:space="0" w:color="auto"/>
                        <w:left w:val="none" w:sz="0" w:space="0" w:color="auto"/>
                        <w:bottom w:val="none" w:sz="0" w:space="0" w:color="auto"/>
                        <w:right w:val="none" w:sz="0" w:space="0" w:color="auto"/>
                      </w:divBdr>
                      <w:divsChild>
                        <w:div w:id="15738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99735">
              <w:marLeft w:val="0"/>
              <w:marRight w:val="0"/>
              <w:marTop w:val="0"/>
              <w:marBottom w:val="0"/>
              <w:divBdr>
                <w:top w:val="none" w:sz="0" w:space="0" w:color="auto"/>
                <w:left w:val="none" w:sz="0" w:space="0" w:color="auto"/>
                <w:bottom w:val="none" w:sz="0" w:space="0" w:color="auto"/>
                <w:right w:val="none" w:sz="0" w:space="0" w:color="auto"/>
              </w:divBdr>
            </w:div>
            <w:div w:id="59601028">
              <w:marLeft w:val="0"/>
              <w:marRight w:val="0"/>
              <w:marTop w:val="0"/>
              <w:marBottom w:val="0"/>
              <w:divBdr>
                <w:top w:val="none" w:sz="0" w:space="0" w:color="auto"/>
                <w:left w:val="none" w:sz="0" w:space="0" w:color="auto"/>
                <w:bottom w:val="none" w:sz="0" w:space="0" w:color="auto"/>
                <w:right w:val="none" w:sz="0" w:space="0" w:color="auto"/>
              </w:divBdr>
              <w:divsChild>
                <w:div w:id="669523920">
                  <w:marLeft w:val="0"/>
                  <w:marRight w:val="0"/>
                  <w:marTop w:val="0"/>
                  <w:marBottom w:val="0"/>
                  <w:divBdr>
                    <w:top w:val="none" w:sz="0" w:space="0" w:color="auto"/>
                    <w:left w:val="none" w:sz="0" w:space="0" w:color="auto"/>
                    <w:bottom w:val="none" w:sz="0" w:space="0" w:color="auto"/>
                    <w:right w:val="none" w:sz="0" w:space="0" w:color="auto"/>
                  </w:divBdr>
                  <w:divsChild>
                    <w:div w:id="2083260357">
                      <w:marLeft w:val="0"/>
                      <w:marRight w:val="0"/>
                      <w:marTop w:val="0"/>
                      <w:marBottom w:val="0"/>
                      <w:divBdr>
                        <w:top w:val="none" w:sz="0" w:space="0" w:color="auto"/>
                        <w:left w:val="none" w:sz="0" w:space="0" w:color="auto"/>
                        <w:bottom w:val="none" w:sz="0" w:space="0" w:color="auto"/>
                        <w:right w:val="none" w:sz="0" w:space="0" w:color="auto"/>
                      </w:divBdr>
                      <w:divsChild>
                        <w:div w:id="1551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382023">
      <w:bodyDiv w:val="1"/>
      <w:marLeft w:val="0"/>
      <w:marRight w:val="0"/>
      <w:marTop w:val="0"/>
      <w:marBottom w:val="0"/>
      <w:divBdr>
        <w:top w:val="none" w:sz="0" w:space="0" w:color="auto"/>
        <w:left w:val="none" w:sz="0" w:space="0" w:color="auto"/>
        <w:bottom w:val="none" w:sz="0" w:space="0" w:color="auto"/>
        <w:right w:val="none" w:sz="0" w:space="0" w:color="auto"/>
      </w:divBdr>
    </w:div>
    <w:div w:id="1675958088">
      <w:bodyDiv w:val="1"/>
      <w:marLeft w:val="0"/>
      <w:marRight w:val="0"/>
      <w:marTop w:val="0"/>
      <w:marBottom w:val="0"/>
      <w:divBdr>
        <w:top w:val="none" w:sz="0" w:space="0" w:color="auto"/>
        <w:left w:val="none" w:sz="0" w:space="0" w:color="auto"/>
        <w:bottom w:val="none" w:sz="0" w:space="0" w:color="auto"/>
        <w:right w:val="none" w:sz="0" w:space="0" w:color="auto"/>
      </w:divBdr>
    </w:div>
    <w:div w:id="1699744118">
      <w:bodyDiv w:val="1"/>
      <w:marLeft w:val="0"/>
      <w:marRight w:val="0"/>
      <w:marTop w:val="0"/>
      <w:marBottom w:val="0"/>
      <w:divBdr>
        <w:top w:val="none" w:sz="0" w:space="0" w:color="auto"/>
        <w:left w:val="none" w:sz="0" w:space="0" w:color="auto"/>
        <w:bottom w:val="none" w:sz="0" w:space="0" w:color="auto"/>
        <w:right w:val="none" w:sz="0" w:space="0" w:color="auto"/>
      </w:divBdr>
    </w:div>
    <w:div w:id="1707370668">
      <w:bodyDiv w:val="1"/>
      <w:marLeft w:val="0"/>
      <w:marRight w:val="0"/>
      <w:marTop w:val="0"/>
      <w:marBottom w:val="0"/>
      <w:divBdr>
        <w:top w:val="none" w:sz="0" w:space="0" w:color="auto"/>
        <w:left w:val="none" w:sz="0" w:space="0" w:color="auto"/>
        <w:bottom w:val="none" w:sz="0" w:space="0" w:color="auto"/>
        <w:right w:val="none" w:sz="0" w:space="0" w:color="auto"/>
      </w:divBdr>
    </w:div>
    <w:div w:id="1707749441">
      <w:bodyDiv w:val="1"/>
      <w:marLeft w:val="0"/>
      <w:marRight w:val="0"/>
      <w:marTop w:val="0"/>
      <w:marBottom w:val="0"/>
      <w:divBdr>
        <w:top w:val="none" w:sz="0" w:space="0" w:color="auto"/>
        <w:left w:val="none" w:sz="0" w:space="0" w:color="auto"/>
        <w:bottom w:val="none" w:sz="0" w:space="0" w:color="auto"/>
        <w:right w:val="none" w:sz="0" w:space="0" w:color="auto"/>
      </w:divBdr>
    </w:div>
    <w:div w:id="1724137988">
      <w:bodyDiv w:val="1"/>
      <w:marLeft w:val="0"/>
      <w:marRight w:val="0"/>
      <w:marTop w:val="0"/>
      <w:marBottom w:val="0"/>
      <w:divBdr>
        <w:top w:val="none" w:sz="0" w:space="0" w:color="auto"/>
        <w:left w:val="none" w:sz="0" w:space="0" w:color="auto"/>
        <w:bottom w:val="none" w:sz="0" w:space="0" w:color="auto"/>
        <w:right w:val="none" w:sz="0" w:space="0" w:color="auto"/>
      </w:divBdr>
    </w:div>
    <w:div w:id="1812551535">
      <w:bodyDiv w:val="1"/>
      <w:marLeft w:val="0"/>
      <w:marRight w:val="0"/>
      <w:marTop w:val="0"/>
      <w:marBottom w:val="0"/>
      <w:divBdr>
        <w:top w:val="none" w:sz="0" w:space="0" w:color="auto"/>
        <w:left w:val="none" w:sz="0" w:space="0" w:color="auto"/>
        <w:bottom w:val="none" w:sz="0" w:space="0" w:color="auto"/>
        <w:right w:val="none" w:sz="0" w:space="0" w:color="auto"/>
      </w:divBdr>
    </w:div>
    <w:div w:id="1861357416">
      <w:bodyDiv w:val="1"/>
      <w:marLeft w:val="0"/>
      <w:marRight w:val="0"/>
      <w:marTop w:val="0"/>
      <w:marBottom w:val="0"/>
      <w:divBdr>
        <w:top w:val="none" w:sz="0" w:space="0" w:color="auto"/>
        <w:left w:val="none" w:sz="0" w:space="0" w:color="auto"/>
        <w:bottom w:val="none" w:sz="0" w:space="0" w:color="auto"/>
        <w:right w:val="none" w:sz="0" w:space="0" w:color="auto"/>
      </w:divBdr>
    </w:div>
    <w:div w:id="1878425398">
      <w:bodyDiv w:val="1"/>
      <w:marLeft w:val="0"/>
      <w:marRight w:val="0"/>
      <w:marTop w:val="0"/>
      <w:marBottom w:val="0"/>
      <w:divBdr>
        <w:top w:val="none" w:sz="0" w:space="0" w:color="auto"/>
        <w:left w:val="none" w:sz="0" w:space="0" w:color="auto"/>
        <w:bottom w:val="none" w:sz="0" w:space="0" w:color="auto"/>
        <w:right w:val="none" w:sz="0" w:space="0" w:color="auto"/>
      </w:divBdr>
    </w:div>
    <w:div w:id="1885672527">
      <w:bodyDiv w:val="1"/>
      <w:marLeft w:val="0"/>
      <w:marRight w:val="0"/>
      <w:marTop w:val="0"/>
      <w:marBottom w:val="0"/>
      <w:divBdr>
        <w:top w:val="none" w:sz="0" w:space="0" w:color="auto"/>
        <w:left w:val="none" w:sz="0" w:space="0" w:color="auto"/>
        <w:bottom w:val="none" w:sz="0" w:space="0" w:color="auto"/>
        <w:right w:val="none" w:sz="0" w:space="0" w:color="auto"/>
      </w:divBdr>
    </w:div>
    <w:div w:id="1890343049">
      <w:bodyDiv w:val="1"/>
      <w:marLeft w:val="0"/>
      <w:marRight w:val="0"/>
      <w:marTop w:val="0"/>
      <w:marBottom w:val="0"/>
      <w:divBdr>
        <w:top w:val="none" w:sz="0" w:space="0" w:color="auto"/>
        <w:left w:val="none" w:sz="0" w:space="0" w:color="auto"/>
        <w:bottom w:val="none" w:sz="0" w:space="0" w:color="auto"/>
        <w:right w:val="none" w:sz="0" w:space="0" w:color="auto"/>
      </w:divBdr>
    </w:div>
    <w:div w:id="1893997913">
      <w:bodyDiv w:val="1"/>
      <w:marLeft w:val="0"/>
      <w:marRight w:val="0"/>
      <w:marTop w:val="0"/>
      <w:marBottom w:val="0"/>
      <w:divBdr>
        <w:top w:val="none" w:sz="0" w:space="0" w:color="auto"/>
        <w:left w:val="none" w:sz="0" w:space="0" w:color="auto"/>
        <w:bottom w:val="none" w:sz="0" w:space="0" w:color="auto"/>
        <w:right w:val="none" w:sz="0" w:space="0" w:color="auto"/>
      </w:divBdr>
    </w:div>
    <w:div w:id="1917011616">
      <w:bodyDiv w:val="1"/>
      <w:marLeft w:val="0"/>
      <w:marRight w:val="0"/>
      <w:marTop w:val="0"/>
      <w:marBottom w:val="0"/>
      <w:divBdr>
        <w:top w:val="none" w:sz="0" w:space="0" w:color="auto"/>
        <w:left w:val="none" w:sz="0" w:space="0" w:color="auto"/>
        <w:bottom w:val="none" w:sz="0" w:space="0" w:color="auto"/>
        <w:right w:val="none" w:sz="0" w:space="0" w:color="auto"/>
      </w:divBdr>
    </w:div>
    <w:div w:id="1930848852">
      <w:bodyDiv w:val="1"/>
      <w:marLeft w:val="0"/>
      <w:marRight w:val="0"/>
      <w:marTop w:val="0"/>
      <w:marBottom w:val="0"/>
      <w:divBdr>
        <w:top w:val="none" w:sz="0" w:space="0" w:color="auto"/>
        <w:left w:val="none" w:sz="0" w:space="0" w:color="auto"/>
        <w:bottom w:val="none" w:sz="0" w:space="0" w:color="auto"/>
        <w:right w:val="none" w:sz="0" w:space="0" w:color="auto"/>
      </w:divBdr>
    </w:div>
    <w:div w:id="1948924771">
      <w:bodyDiv w:val="1"/>
      <w:marLeft w:val="0"/>
      <w:marRight w:val="0"/>
      <w:marTop w:val="0"/>
      <w:marBottom w:val="0"/>
      <w:divBdr>
        <w:top w:val="none" w:sz="0" w:space="0" w:color="auto"/>
        <w:left w:val="none" w:sz="0" w:space="0" w:color="auto"/>
        <w:bottom w:val="none" w:sz="0" w:space="0" w:color="auto"/>
        <w:right w:val="none" w:sz="0" w:space="0" w:color="auto"/>
      </w:divBdr>
    </w:div>
    <w:div w:id="2016766415">
      <w:bodyDiv w:val="1"/>
      <w:marLeft w:val="0"/>
      <w:marRight w:val="0"/>
      <w:marTop w:val="0"/>
      <w:marBottom w:val="0"/>
      <w:divBdr>
        <w:top w:val="none" w:sz="0" w:space="0" w:color="auto"/>
        <w:left w:val="none" w:sz="0" w:space="0" w:color="auto"/>
        <w:bottom w:val="none" w:sz="0" w:space="0" w:color="auto"/>
        <w:right w:val="none" w:sz="0" w:space="0" w:color="auto"/>
      </w:divBdr>
    </w:div>
    <w:div w:id="2023820330">
      <w:bodyDiv w:val="1"/>
      <w:marLeft w:val="0"/>
      <w:marRight w:val="0"/>
      <w:marTop w:val="0"/>
      <w:marBottom w:val="0"/>
      <w:divBdr>
        <w:top w:val="none" w:sz="0" w:space="0" w:color="auto"/>
        <w:left w:val="none" w:sz="0" w:space="0" w:color="auto"/>
        <w:bottom w:val="none" w:sz="0" w:space="0" w:color="auto"/>
        <w:right w:val="none" w:sz="0" w:space="0" w:color="auto"/>
      </w:divBdr>
    </w:div>
    <w:div w:id="2030792436">
      <w:bodyDiv w:val="1"/>
      <w:marLeft w:val="0"/>
      <w:marRight w:val="0"/>
      <w:marTop w:val="0"/>
      <w:marBottom w:val="0"/>
      <w:divBdr>
        <w:top w:val="none" w:sz="0" w:space="0" w:color="auto"/>
        <w:left w:val="none" w:sz="0" w:space="0" w:color="auto"/>
        <w:bottom w:val="none" w:sz="0" w:space="0" w:color="auto"/>
        <w:right w:val="none" w:sz="0" w:space="0" w:color="auto"/>
      </w:divBdr>
    </w:div>
    <w:div w:id="2051026534">
      <w:bodyDiv w:val="1"/>
      <w:marLeft w:val="0"/>
      <w:marRight w:val="0"/>
      <w:marTop w:val="0"/>
      <w:marBottom w:val="0"/>
      <w:divBdr>
        <w:top w:val="none" w:sz="0" w:space="0" w:color="auto"/>
        <w:left w:val="none" w:sz="0" w:space="0" w:color="auto"/>
        <w:bottom w:val="none" w:sz="0" w:space="0" w:color="auto"/>
        <w:right w:val="none" w:sz="0" w:space="0" w:color="auto"/>
      </w:divBdr>
    </w:div>
    <w:div w:id="2126070190">
      <w:bodyDiv w:val="1"/>
      <w:marLeft w:val="0"/>
      <w:marRight w:val="0"/>
      <w:marTop w:val="0"/>
      <w:marBottom w:val="0"/>
      <w:divBdr>
        <w:top w:val="none" w:sz="0" w:space="0" w:color="auto"/>
        <w:left w:val="none" w:sz="0" w:space="0" w:color="auto"/>
        <w:bottom w:val="none" w:sz="0" w:space="0" w:color="auto"/>
        <w:right w:val="none" w:sz="0" w:space="0" w:color="auto"/>
      </w:divBdr>
    </w:div>
    <w:div w:id="21366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astebits.com/locator/location/ebv-explosives-environmental-company-1"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nvrecycling.com/" TargetMode="External"/><Relationship Id="rId2" Type="http://schemas.openxmlformats.org/officeDocument/2006/relationships/customXml" Target="../customXml/item2.xml"/><Relationship Id="rId16" Type="http://schemas.openxmlformats.org/officeDocument/2006/relationships/hyperlink" Target="http://www.genoabusform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leanharbors.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leshco.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jjkeller.com/shop/Product/Uniform-Hazardous-Waste-Manifest-Pin-Feed-Format" TargetMode="External"/><Relationship Id="rId2" Type="http://schemas.openxmlformats.org/officeDocument/2006/relationships/hyperlink" Target="https://www.bls.gov/news.release/eci.t02.htm" TargetMode="External"/><Relationship Id="rId1" Type="http://schemas.openxmlformats.org/officeDocument/2006/relationships/hyperlink" Target="https://www.bls.gov/oes/current/oes_nat.htm" TargetMode="External"/><Relationship Id="rId5" Type="http://schemas.openxmlformats.org/officeDocument/2006/relationships/hyperlink" Target="https://www.usps.com/ship/first-class-mail.htm" TargetMode="External"/><Relationship Id="rId4" Type="http://schemas.openxmlformats.org/officeDocument/2006/relationships/hyperlink" Target="https://www.jjkeller.com/shop/Product/Uniform-Hazardous-Waste-Manifest-Pin-Feed-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45247b5e-ffbd-4f0c-88fc-bd54b4f5e0ea"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2020-12-23T18:47:32+00:00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5247b5e-ffbd-4f0c-88fc-bd54b4f5e0ea">Pending</Records_x0020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FA713-C595-489C-BF2F-FA23E03BBB0A}">
  <ds:schemaRefs>
    <ds:schemaRef ds:uri="Microsoft.SharePoint.Taxonomy.ContentTypeSync"/>
  </ds:schemaRefs>
</ds:datastoreItem>
</file>

<file path=customXml/itemProps2.xml><?xml version="1.0" encoding="utf-8"?>
<ds:datastoreItem xmlns:ds="http://schemas.openxmlformats.org/officeDocument/2006/customXml" ds:itemID="{26E3EACD-D2EC-47BE-8251-4B78307DE6F9}">
  <ds:schemaRefs>
    <ds:schemaRef ds:uri="http://schemas.microsoft.com/sharepoint/v3/contenttype/forms"/>
  </ds:schemaRefs>
</ds:datastoreItem>
</file>

<file path=customXml/itemProps3.xml><?xml version="1.0" encoding="utf-8"?>
<ds:datastoreItem xmlns:ds="http://schemas.openxmlformats.org/officeDocument/2006/customXml" ds:itemID="{5BBCEFDE-B77D-43BB-8FA5-4DF51BAAD09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5247b5e-ffbd-4f0c-88fc-bd54b4f5e0ea"/>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27F8500A-6471-4AC9-A323-0F67E8299D5E}">
  <ds:schemaRefs>
    <ds:schemaRef ds:uri="http://schemas.openxmlformats.org/officeDocument/2006/bibliography"/>
  </ds:schemaRefs>
</ds:datastoreItem>
</file>

<file path=customXml/itemProps5.xml><?xml version="1.0" encoding="utf-8"?>
<ds:datastoreItem xmlns:ds="http://schemas.openxmlformats.org/officeDocument/2006/customXml" ds:itemID="{B684DB8F-0975-4EA1-907D-A7B3072A595B}">
  <ds:schemaRefs>
    <ds:schemaRef ds:uri="http://schemas.openxmlformats.org/officeDocument/2006/bibliography"/>
  </ds:schemaRefs>
</ds:datastoreItem>
</file>

<file path=customXml/itemProps6.xml><?xml version="1.0" encoding="utf-8"?>
<ds:datastoreItem xmlns:ds="http://schemas.openxmlformats.org/officeDocument/2006/customXml" ds:itemID="{089C0B41-4247-48DD-A618-F44AA95F6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24045</Words>
  <Characters>137059</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160783</CharactersWithSpaces>
  <SharedDoc>false</SharedDoc>
  <HLinks>
    <vt:vector size="6" baseType="variant">
      <vt:variant>
        <vt:i4>5832780</vt:i4>
      </vt:variant>
      <vt:variant>
        <vt:i4>0</vt:i4>
      </vt:variant>
      <vt:variant>
        <vt:i4>0</vt:i4>
      </vt:variant>
      <vt:variant>
        <vt:i4>5</vt:i4>
      </vt:variant>
      <vt:variant>
        <vt:lpwstr>http://www.epa.gov/osw/hazard/transportation/manifest/registry/index.htm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2022-01-20T21:47:00Z</dcterms:created>
  <dcterms:modified xsi:type="dcterms:W3CDTF">2022-01-20T21:53:00Z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ies>
</file>