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1A87" w:rsidR="00D800E5" w:rsidP="007E1A87" w:rsidRDefault="00D800E5" w14:paraId="5F45C802" w14:textId="4BC55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E1A87">
        <w:rPr>
          <w:b/>
          <w:bCs/>
          <w:sz w:val="32"/>
          <w:szCs w:val="32"/>
        </w:rPr>
        <w:t>ICR SUPPORTING STATEMENT</w:t>
      </w:r>
    </w:p>
    <w:p w:rsidR="00D800E5" w:rsidP="007E1A87" w:rsidRDefault="00D800E5" w14:paraId="6D0DC1B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p>
    <w:p w:rsidRPr="00D47F42" w:rsidR="006046B0" w:rsidP="006046B0" w:rsidRDefault="006046B0" w14:paraId="72EAD172" w14:textId="1316CEF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47F42">
        <w:rPr>
          <w:b/>
          <w:sz w:val="24"/>
          <w:szCs w:val="24"/>
        </w:rPr>
        <w:t>Identification</w:t>
      </w:r>
      <w:r w:rsidRPr="00D47F42" w:rsidR="00D47F42">
        <w:rPr>
          <w:b/>
          <w:sz w:val="24"/>
          <w:szCs w:val="24"/>
        </w:rPr>
        <w:t xml:space="preserve"> of the Information Collection</w:t>
      </w:r>
    </w:p>
    <w:p w:rsidR="002214F8" w:rsidP="00960377" w:rsidRDefault="002214F8" w14:paraId="3571EC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960377" w:rsidR="00960377" w:rsidP="00960377" w:rsidRDefault="006046B0" w14:paraId="6E885F6C" w14:textId="13D5C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47F42">
        <w:rPr>
          <w:b/>
          <w:sz w:val="24"/>
          <w:szCs w:val="24"/>
        </w:rPr>
        <w:t>1 (a) Title</w:t>
      </w:r>
      <w:r w:rsidR="00D47F42">
        <w:rPr>
          <w:b/>
          <w:sz w:val="24"/>
          <w:szCs w:val="24"/>
        </w:rPr>
        <w:t xml:space="preserve">: </w:t>
      </w:r>
      <w:r w:rsidR="00D47F42">
        <w:rPr>
          <w:b/>
          <w:sz w:val="24"/>
          <w:szCs w:val="24"/>
        </w:rPr>
        <w:tab/>
      </w:r>
      <w:r w:rsidRPr="00960377" w:rsidR="00960377">
        <w:rPr>
          <w:sz w:val="24"/>
          <w:szCs w:val="24"/>
        </w:rPr>
        <w:t xml:space="preserve">Use of </w:t>
      </w:r>
      <w:proofErr w:type="gramStart"/>
      <w:r w:rsidRPr="00960377" w:rsidR="00960377">
        <w:rPr>
          <w:sz w:val="24"/>
          <w:szCs w:val="24"/>
        </w:rPr>
        <w:t>Lead Free</w:t>
      </w:r>
      <w:proofErr w:type="gramEnd"/>
      <w:r w:rsidRPr="00960377" w:rsidR="00960377">
        <w:rPr>
          <w:sz w:val="24"/>
          <w:szCs w:val="24"/>
        </w:rPr>
        <w:t xml:space="preserve"> Pipes, </w:t>
      </w:r>
      <w:r w:rsidR="00F54A9B">
        <w:rPr>
          <w:sz w:val="24"/>
          <w:szCs w:val="24"/>
        </w:rPr>
        <w:t>Fittings,</w:t>
      </w:r>
      <w:r w:rsidRPr="00960377" w:rsidR="00960377">
        <w:rPr>
          <w:sz w:val="24"/>
          <w:szCs w:val="24"/>
        </w:rPr>
        <w:t xml:space="preserve"> </w:t>
      </w:r>
      <w:r w:rsidR="00F54A9B">
        <w:rPr>
          <w:sz w:val="24"/>
          <w:szCs w:val="24"/>
        </w:rPr>
        <w:t>Fixtures</w:t>
      </w:r>
      <w:r w:rsidRPr="00960377" w:rsidR="00960377">
        <w:rPr>
          <w:sz w:val="24"/>
          <w:szCs w:val="24"/>
        </w:rPr>
        <w:t>, Solder</w:t>
      </w:r>
      <w:r w:rsidR="00E94D95">
        <w:rPr>
          <w:sz w:val="24"/>
          <w:szCs w:val="24"/>
        </w:rPr>
        <w:t>,</w:t>
      </w:r>
      <w:r w:rsidRPr="00960377" w:rsidR="00960377">
        <w:rPr>
          <w:sz w:val="24"/>
          <w:szCs w:val="24"/>
        </w:rPr>
        <w:t xml:space="preserve"> and Flux for Drinking Water</w:t>
      </w:r>
    </w:p>
    <w:p w:rsidRPr="00960377" w:rsidR="00960377" w:rsidP="00960377" w:rsidRDefault="00960377" w14:paraId="00C1B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60377">
        <w:rPr>
          <w:sz w:val="24"/>
          <w:szCs w:val="24"/>
        </w:rPr>
        <w:tab/>
      </w:r>
      <w:r w:rsidR="00D47F42">
        <w:rPr>
          <w:sz w:val="24"/>
          <w:szCs w:val="24"/>
        </w:rPr>
        <w:tab/>
      </w:r>
      <w:r w:rsidRPr="00960377">
        <w:rPr>
          <w:sz w:val="24"/>
          <w:szCs w:val="24"/>
        </w:rPr>
        <w:t>OMB NO. 2040-NEW</w:t>
      </w:r>
    </w:p>
    <w:p w:rsidRPr="006046B0" w:rsidR="00960377" w:rsidP="00960377" w:rsidRDefault="00960377" w14:paraId="21B666B6" w14:textId="094F6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D47F42">
        <w:rPr>
          <w:sz w:val="24"/>
          <w:szCs w:val="24"/>
        </w:rPr>
        <w:tab/>
      </w:r>
      <w:r w:rsidRPr="00960377">
        <w:rPr>
          <w:sz w:val="24"/>
          <w:szCs w:val="24"/>
        </w:rPr>
        <w:t>EPA ICR NO. 2563.0</w:t>
      </w:r>
      <w:r w:rsidR="005C2EA0">
        <w:rPr>
          <w:sz w:val="24"/>
          <w:szCs w:val="24"/>
        </w:rPr>
        <w:t>2</w:t>
      </w:r>
    </w:p>
    <w:p w:rsidR="00D47F42" w:rsidP="006046B0" w:rsidRDefault="00D47F42" w14:paraId="6D8F0E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D47F42" w:rsidR="006046B0" w:rsidP="006046B0" w:rsidRDefault="006046B0" w14:paraId="2428C3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47F42">
        <w:rPr>
          <w:b/>
          <w:sz w:val="24"/>
          <w:szCs w:val="24"/>
        </w:rPr>
        <w:t>1 (b) Short Characterization/Abstract</w:t>
      </w:r>
    </w:p>
    <w:p w:rsidR="00845985" w:rsidP="00845985" w:rsidRDefault="00845985" w14:paraId="4AE59B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AC1B58" w:rsidR="00AC1B58" w:rsidP="00AC1B58" w:rsidRDefault="00AC1B58" w14:paraId="71D88D85" w14:textId="731F8E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C1B58">
        <w:rPr>
          <w:sz w:val="24"/>
          <w:szCs w:val="24"/>
        </w:rPr>
        <w:t xml:space="preserve">The Reduction of Lead in Drinking Water Act of 2011 (RLDWA, the Act) modified the technical definition of “lead free” by lowering the maximum lead content of pipes, fittings, and fixtures from 8% to 0.25% and introduced greater complexity to calculating lead free by requiring that level be met based on a weighted average of wetted surfaces. The Act also created exemptions for certain plumbing products from pre-existing </w:t>
      </w:r>
      <w:proofErr w:type="gramStart"/>
      <w:r w:rsidRPr="00AC1B58">
        <w:rPr>
          <w:sz w:val="24"/>
          <w:szCs w:val="24"/>
        </w:rPr>
        <w:t>lead free</w:t>
      </w:r>
      <w:proofErr w:type="gramEnd"/>
      <w:r w:rsidRPr="00AC1B58">
        <w:rPr>
          <w:sz w:val="24"/>
          <w:szCs w:val="24"/>
        </w:rPr>
        <w:t xml:space="preserve"> requirements. The final rule establishes product certification requirements for products intended for potable use applications in public water systems and residential or non-residential facilities to demonstrate compliance with the </w:t>
      </w:r>
      <w:proofErr w:type="gramStart"/>
      <w:r w:rsidRPr="00AC1B58">
        <w:rPr>
          <w:sz w:val="24"/>
          <w:szCs w:val="24"/>
        </w:rPr>
        <w:t>lead free</w:t>
      </w:r>
      <w:proofErr w:type="gramEnd"/>
      <w:r w:rsidRPr="00AC1B58">
        <w:rPr>
          <w:sz w:val="24"/>
          <w:szCs w:val="24"/>
        </w:rPr>
        <w:t xml:space="preserve"> requirements. </w:t>
      </w:r>
      <w:r w:rsidR="00ED7716">
        <w:rPr>
          <w:iCs/>
          <w:sz w:val="24"/>
          <w:szCs w:val="24"/>
        </w:rPr>
        <w:t>EPA</w:t>
      </w:r>
      <w:r w:rsidRPr="00AC1B58">
        <w:rPr>
          <w:iCs/>
          <w:sz w:val="24"/>
          <w:szCs w:val="24"/>
        </w:rPr>
        <w:t xml:space="preserve"> expects that these requirements for lead content in plumbing materials used in new installations and repairs will result in fewer sources of lead in drinking water and, </w:t>
      </w:r>
      <w:r w:rsidRPr="00AC1B58">
        <w:rPr>
          <w:sz w:val="24"/>
          <w:szCs w:val="24"/>
        </w:rPr>
        <w:t xml:space="preserve">consequently, will reduce </w:t>
      </w:r>
      <w:r w:rsidRPr="00AC1B58">
        <w:rPr>
          <w:iCs/>
          <w:sz w:val="24"/>
          <w:szCs w:val="24"/>
        </w:rPr>
        <w:t>adverse health effects associated with</w:t>
      </w:r>
      <w:r w:rsidRPr="00AC1B58">
        <w:rPr>
          <w:sz w:val="24"/>
          <w:szCs w:val="24"/>
        </w:rPr>
        <w:t xml:space="preserve"> exposure to lead in drinking water. Manufacturers with 10 or more employees or importers entering products purchased from or manufactured by manufacturers with 10 or more employees must demonstrate compliance with the </w:t>
      </w:r>
      <w:proofErr w:type="gramStart"/>
      <w:r w:rsidRPr="00AC1B58">
        <w:rPr>
          <w:sz w:val="24"/>
          <w:szCs w:val="24"/>
        </w:rPr>
        <w:t>lead free</w:t>
      </w:r>
      <w:proofErr w:type="gramEnd"/>
      <w:r w:rsidRPr="00AC1B58">
        <w:rPr>
          <w:sz w:val="24"/>
          <w:szCs w:val="24"/>
        </w:rPr>
        <w:t xml:space="preserve"> definition by obtaining third party certification by an American National Standards Institute (ANSI) accredited, third party certification body. Firms with fewer than 10 employees can use a </w:t>
      </w:r>
      <w:proofErr w:type="gramStart"/>
      <w:r w:rsidRPr="00AC1B58">
        <w:rPr>
          <w:sz w:val="24"/>
          <w:szCs w:val="24"/>
        </w:rPr>
        <w:t>third party</w:t>
      </w:r>
      <w:proofErr w:type="gramEnd"/>
      <w:r w:rsidRPr="00AC1B58">
        <w:rPr>
          <w:sz w:val="24"/>
          <w:szCs w:val="24"/>
        </w:rPr>
        <w:t xml:space="preserve"> certification body or self-certify that their products conform to the Safe Drinking Water Act’s (SDWA) lead free requirements. This self-certification option also extends to custom fabricated products regardless of a manufacturer’s number of employees.</w:t>
      </w:r>
    </w:p>
    <w:p w:rsidRPr="00845985" w:rsidR="00AC1B58" w:rsidP="00845985" w:rsidRDefault="00AC1B58" w14:paraId="3DA2E2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45985" w:rsidP="00845985" w:rsidRDefault="00845985" w14:paraId="5A90F5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214F8" w:rsidR="002214F8" w:rsidP="002214F8" w:rsidRDefault="002214F8" w14:paraId="0620C8F3"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214F8">
        <w:rPr>
          <w:b/>
          <w:sz w:val="24"/>
          <w:szCs w:val="24"/>
        </w:rPr>
        <w:t>Need for and Use of the Collection</w:t>
      </w:r>
    </w:p>
    <w:p w:rsidR="00845985" w:rsidP="00845985" w:rsidRDefault="00845985" w14:paraId="32C9CA8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2214F8" w:rsidR="006046B0" w:rsidP="006046B0" w:rsidRDefault="006046B0" w14:paraId="026C46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214F8">
        <w:rPr>
          <w:b/>
          <w:sz w:val="24"/>
          <w:szCs w:val="24"/>
        </w:rPr>
        <w:t>2 (a) Need/Authority for the Collection</w:t>
      </w:r>
    </w:p>
    <w:p w:rsidR="002214F8" w:rsidP="006046B0" w:rsidRDefault="002214F8" w14:paraId="0ED9C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214F8" w:rsidR="002214F8" w:rsidP="002214F8" w:rsidRDefault="00ED7716" w14:paraId="53C3ED59" w14:textId="1CA4E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002214F8">
        <w:rPr>
          <w:sz w:val="24"/>
          <w:szCs w:val="24"/>
        </w:rPr>
        <w:t xml:space="preserve"> </w:t>
      </w:r>
      <w:r w:rsidRPr="002214F8" w:rsidR="002214F8">
        <w:rPr>
          <w:sz w:val="24"/>
          <w:szCs w:val="24"/>
        </w:rPr>
        <w:t xml:space="preserve">is making changes to existing regulations to protect </w:t>
      </w:r>
      <w:r w:rsidR="00AC1B58">
        <w:rPr>
          <w:sz w:val="24"/>
          <w:szCs w:val="24"/>
        </w:rPr>
        <w:t>the public</w:t>
      </w:r>
      <w:r w:rsidRPr="002214F8" w:rsidR="002214F8">
        <w:rPr>
          <w:sz w:val="24"/>
          <w:szCs w:val="24"/>
        </w:rPr>
        <w:t xml:space="preserve"> from lead in plumbing materials used in public water systems or residential or non-residential facilities providing water for </w:t>
      </w:r>
      <w:r w:rsidR="00AC1B58">
        <w:rPr>
          <w:sz w:val="24"/>
          <w:szCs w:val="24"/>
        </w:rPr>
        <w:t>human consumption</w:t>
      </w:r>
      <w:r w:rsidRPr="002214F8" w:rsidR="002214F8">
        <w:rPr>
          <w:sz w:val="24"/>
          <w:szCs w:val="24"/>
        </w:rPr>
        <w:t xml:space="preserve"> based on the Reduction of Lead in Drinking Water Act of 2011 (RLDWA) and the Community Fire Safety Act of 2013 (CFSA). Section 1417 of the Safe Drinking Water Act (SDWA) prohibits the use and introduction into commerce of certain plumbing products that are not lead free. The RLDWA amended Section 1417 of the SDWA to revise the definition of “lead- free” to</w:t>
      </w:r>
      <w:r w:rsidR="00F54A9B">
        <w:rPr>
          <w:sz w:val="24"/>
          <w:szCs w:val="24"/>
        </w:rPr>
        <w:t>:</w:t>
      </w:r>
      <w:r w:rsidRPr="002214F8" w:rsidR="002214F8">
        <w:rPr>
          <w:sz w:val="24"/>
          <w:szCs w:val="24"/>
        </w:rPr>
        <w:t xml:space="preserve"> (1) lower the allowable maximum lead content from 8.0 percent to a weighted average of 0.25 percent of the wetted surfaces of pipes, </w:t>
      </w:r>
      <w:r w:rsidR="00F54A9B">
        <w:rPr>
          <w:sz w:val="24"/>
          <w:szCs w:val="24"/>
        </w:rPr>
        <w:t>fittings,</w:t>
      </w:r>
      <w:r w:rsidRPr="002214F8" w:rsidR="002214F8">
        <w:rPr>
          <w:sz w:val="24"/>
          <w:szCs w:val="24"/>
        </w:rPr>
        <w:t xml:space="preserve"> and </w:t>
      </w:r>
      <w:r w:rsidR="00F54A9B">
        <w:rPr>
          <w:sz w:val="24"/>
          <w:szCs w:val="24"/>
        </w:rPr>
        <w:t>fixtures</w:t>
      </w:r>
      <w:r w:rsidRPr="002214F8" w:rsidR="002214F8">
        <w:rPr>
          <w:sz w:val="24"/>
          <w:szCs w:val="24"/>
        </w:rPr>
        <w:t xml:space="preserve">; and (2) specify a required method for calculating lead content. In addition, the RLDWA created exemptions from the prohibitions in Section 1417 (also referred to as “lead-free </w:t>
      </w:r>
      <w:r w:rsidRPr="002214F8" w:rsidR="002214F8">
        <w:rPr>
          <w:sz w:val="24"/>
          <w:szCs w:val="24"/>
        </w:rPr>
        <w:lastRenderedPageBreak/>
        <w:t xml:space="preserve">requirements”) for plumbing products that are used exclusively for nonpotable services as well as for other specified products. The CFSA further amended </w:t>
      </w:r>
      <w:r w:rsidR="00F54A9B">
        <w:rPr>
          <w:sz w:val="24"/>
          <w:szCs w:val="24"/>
        </w:rPr>
        <w:t>S</w:t>
      </w:r>
      <w:r w:rsidRPr="002214F8" w:rsidR="002214F8">
        <w:rPr>
          <w:sz w:val="24"/>
          <w:szCs w:val="24"/>
        </w:rPr>
        <w:t>ection 1417 to exempt fire hydrants from these requirements.</w:t>
      </w:r>
    </w:p>
    <w:p w:rsidR="002214F8" w:rsidP="002214F8" w:rsidRDefault="002214F8" w14:paraId="1E755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214F8" w:rsidP="002214F8" w:rsidRDefault="00ED7716" w14:paraId="1692F6FE" w14:textId="6F1342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Pr="002214F8" w:rsidR="002214F8">
        <w:rPr>
          <w:sz w:val="24"/>
          <w:szCs w:val="24"/>
        </w:rPr>
        <w:t xml:space="preserve"> is establishing new requirements for manufacturers to certify compliance with the </w:t>
      </w:r>
      <w:proofErr w:type="gramStart"/>
      <w:r w:rsidRPr="002214F8" w:rsidR="002214F8">
        <w:rPr>
          <w:sz w:val="24"/>
          <w:szCs w:val="24"/>
        </w:rPr>
        <w:t>lead free</w:t>
      </w:r>
      <w:proofErr w:type="gramEnd"/>
      <w:r w:rsidRPr="002214F8" w:rsidR="002214F8">
        <w:rPr>
          <w:sz w:val="24"/>
          <w:szCs w:val="24"/>
        </w:rPr>
        <w:t xml:space="preserve"> requirements in Section 1417 of the SDWA. These certification requirements are intended </w:t>
      </w:r>
      <w:r w:rsidRPr="002214F8" w:rsidR="00E03481">
        <w:rPr>
          <w:sz w:val="24"/>
          <w:szCs w:val="24"/>
        </w:rPr>
        <w:t>to</w:t>
      </w:r>
      <w:r w:rsidR="00E03481">
        <w:rPr>
          <w:sz w:val="24"/>
          <w:szCs w:val="24"/>
        </w:rPr>
        <w:t xml:space="preserve"> </w:t>
      </w:r>
      <w:r w:rsidRPr="002214F8" w:rsidR="00E03481">
        <w:rPr>
          <w:sz w:val="24"/>
          <w:szCs w:val="24"/>
        </w:rPr>
        <w:t>help</w:t>
      </w:r>
      <w:r w:rsidRPr="002214F8" w:rsidR="002214F8">
        <w:rPr>
          <w:sz w:val="24"/>
          <w:szCs w:val="24"/>
        </w:rPr>
        <w:t xml:space="preserve"> ensure that only </w:t>
      </w:r>
      <w:proofErr w:type="gramStart"/>
      <w:r w:rsidRPr="002214F8" w:rsidR="002214F8">
        <w:rPr>
          <w:sz w:val="24"/>
          <w:szCs w:val="24"/>
        </w:rPr>
        <w:t>lead</w:t>
      </w:r>
      <w:r w:rsidR="00D800E5">
        <w:rPr>
          <w:sz w:val="24"/>
          <w:szCs w:val="24"/>
        </w:rPr>
        <w:t xml:space="preserve"> </w:t>
      </w:r>
      <w:r w:rsidRPr="002214F8" w:rsidR="002214F8">
        <w:rPr>
          <w:sz w:val="24"/>
          <w:szCs w:val="24"/>
        </w:rPr>
        <w:t>free</w:t>
      </w:r>
      <w:proofErr w:type="gramEnd"/>
      <w:r w:rsidRPr="002214F8" w:rsidR="002214F8">
        <w:rPr>
          <w:sz w:val="24"/>
          <w:szCs w:val="24"/>
        </w:rPr>
        <w:t xml:space="preserve"> plumbing products are used in repairs and new installations</w:t>
      </w:r>
      <w:r w:rsidR="00F54A9B">
        <w:rPr>
          <w:sz w:val="24"/>
          <w:szCs w:val="24"/>
        </w:rPr>
        <w:t xml:space="preserve"> of </w:t>
      </w:r>
      <w:r w:rsidRPr="002214F8" w:rsidR="002214F8">
        <w:rPr>
          <w:sz w:val="24"/>
          <w:szCs w:val="24"/>
        </w:rPr>
        <w:t xml:space="preserve">potable use applications and, consequently, </w:t>
      </w:r>
      <w:r w:rsidR="00AC1B58">
        <w:rPr>
          <w:sz w:val="24"/>
          <w:szCs w:val="24"/>
        </w:rPr>
        <w:t xml:space="preserve">will </w:t>
      </w:r>
      <w:r w:rsidRPr="002214F8" w:rsidR="002214F8">
        <w:rPr>
          <w:sz w:val="24"/>
          <w:szCs w:val="24"/>
        </w:rPr>
        <w:t xml:space="preserve">reduce </w:t>
      </w:r>
      <w:r w:rsidR="00AC1B58">
        <w:rPr>
          <w:sz w:val="24"/>
          <w:szCs w:val="24"/>
        </w:rPr>
        <w:t xml:space="preserve">adverse health effects associated with </w:t>
      </w:r>
      <w:r w:rsidRPr="002214F8" w:rsidR="002214F8">
        <w:rPr>
          <w:sz w:val="24"/>
          <w:szCs w:val="24"/>
        </w:rPr>
        <w:t xml:space="preserve">exposure to lead in drinking water. </w:t>
      </w:r>
      <w:r>
        <w:rPr>
          <w:sz w:val="24"/>
          <w:szCs w:val="24"/>
        </w:rPr>
        <w:t>EPA</w:t>
      </w:r>
      <w:r w:rsidRPr="002214F8" w:rsidR="002214F8">
        <w:rPr>
          <w:sz w:val="24"/>
          <w:szCs w:val="24"/>
        </w:rPr>
        <w:t xml:space="preserve"> is also identifying specific products that are exempt from the </w:t>
      </w:r>
      <w:proofErr w:type="gramStart"/>
      <w:r w:rsidRPr="002214F8" w:rsidR="002214F8">
        <w:rPr>
          <w:sz w:val="24"/>
          <w:szCs w:val="24"/>
        </w:rPr>
        <w:t>lead free</w:t>
      </w:r>
      <w:proofErr w:type="gramEnd"/>
      <w:r w:rsidRPr="002214F8" w:rsidR="002214F8">
        <w:rPr>
          <w:sz w:val="24"/>
          <w:szCs w:val="24"/>
        </w:rPr>
        <w:t xml:space="preserve"> requirements based on </w:t>
      </w:r>
      <w:r>
        <w:rPr>
          <w:sz w:val="24"/>
          <w:szCs w:val="24"/>
        </w:rPr>
        <w:t>EPA</w:t>
      </w:r>
      <w:r w:rsidRPr="002214F8" w:rsidR="002214F8">
        <w:rPr>
          <w:sz w:val="24"/>
          <w:szCs w:val="24"/>
        </w:rPr>
        <w:t>’s interpretation of the statutory exemptions. This clarification of the exemptions will decrease potential burden for manufacturers of certain products.</w:t>
      </w:r>
    </w:p>
    <w:p w:rsidR="00692DCB" w:rsidP="002214F8" w:rsidRDefault="00692DCB" w14:paraId="1F1A2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92DCB" w:rsidP="002214F8" w:rsidRDefault="00692DCB" w14:paraId="4A735E91" w14:textId="5DDEA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final </w:t>
      </w:r>
      <w:r w:rsidRPr="00FC7F0C" w:rsidR="00FC7F0C">
        <w:rPr>
          <w:sz w:val="24"/>
          <w:szCs w:val="24"/>
        </w:rPr>
        <w:t>rule contains a provision allowing the Administrator o</w:t>
      </w:r>
      <w:r w:rsidR="00F54A9B">
        <w:rPr>
          <w:sz w:val="24"/>
          <w:szCs w:val="24"/>
        </w:rPr>
        <w:t>r</w:t>
      </w:r>
      <w:r w:rsidRPr="00FC7F0C" w:rsidR="00FC7F0C">
        <w:rPr>
          <w:sz w:val="24"/>
          <w:szCs w:val="24"/>
        </w:rPr>
        <w:t xml:space="preserve"> his or her authorized representative to request and be provided with information deemed necessary to determine whether a person has acted or is acting in compliance with </w:t>
      </w:r>
      <w:r w:rsidR="00F54A9B">
        <w:rPr>
          <w:sz w:val="24"/>
          <w:szCs w:val="24"/>
        </w:rPr>
        <w:t>S</w:t>
      </w:r>
      <w:r w:rsidRPr="00FC7F0C" w:rsidR="00FC7F0C">
        <w:rPr>
          <w:sz w:val="24"/>
          <w:szCs w:val="24"/>
        </w:rPr>
        <w:t>ection 1417 of SDWA or the rule. This includes information related to product certification. For costing purposes</w:t>
      </w:r>
      <w:r w:rsidR="00F54A9B">
        <w:rPr>
          <w:sz w:val="24"/>
          <w:szCs w:val="24"/>
        </w:rPr>
        <w:t>,</w:t>
      </w:r>
      <w:r w:rsidR="00FC7F0C">
        <w:rPr>
          <w:sz w:val="24"/>
          <w:szCs w:val="24"/>
        </w:rPr>
        <w:t xml:space="preserve"> for the rule’s economic analysis</w:t>
      </w:r>
      <w:r w:rsidRPr="00FC7F0C" w:rsidR="00FC7F0C">
        <w:rPr>
          <w:sz w:val="24"/>
          <w:szCs w:val="24"/>
        </w:rPr>
        <w:t xml:space="preserve">, </w:t>
      </w:r>
      <w:r w:rsidR="00ED7716">
        <w:rPr>
          <w:sz w:val="24"/>
          <w:szCs w:val="24"/>
        </w:rPr>
        <w:t>EPA</w:t>
      </w:r>
      <w:r w:rsidRPr="00FC7F0C" w:rsidR="00FC7F0C">
        <w:rPr>
          <w:sz w:val="24"/>
          <w:szCs w:val="24"/>
        </w:rPr>
        <w:t xml:space="preserve"> has assumed an average of 10 such requests per year.</w:t>
      </w:r>
      <w:r w:rsidR="00FC7F0C">
        <w:rPr>
          <w:sz w:val="24"/>
          <w:szCs w:val="24"/>
        </w:rPr>
        <w:t xml:space="preserve"> However, this activity is not anticipated to occur in the first three years following the effective date of the rule since product certification requirements are not effective until three years following promulgation</w:t>
      </w:r>
      <w:r w:rsidR="006B61F5">
        <w:rPr>
          <w:sz w:val="24"/>
          <w:szCs w:val="24"/>
        </w:rPr>
        <w:t xml:space="preserve"> of the final rule</w:t>
      </w:r>
      <w:r w:rsidR="00FC7F0C">
        <w:rPr>
          <w:sz w:val="24"/>
          <w:szCs w:val="24"/>
        </w:rPr>
        <w:t xml:space="preserve">. </w:t>
      </w:r>
    </w:p>
    <w:p w:rsidR="002214F8" w:rsidP="002214F8" w:rsidRDefault="002214F8" w14:paraId="46FFB4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45985" w:rsidR="006046B0" w:rsidP="006046B0" w:rsidRDefault="006046B0" w14:paraId="5AAED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845985">
        <w:rPr>
          <w:b/>
          <w:sz w:val="24"/>
          <w:szCs w:val="24"/>
        </w:rPr>
        <w:t>2 (b) Practical Utility/Users of the Data</w:t>
      </w:r>
    </w:p>
    <w:p w:rsidRPr="005A07D9" w:rsidR="005A07D9" w:rsidP="007E1A87" w:rsidRDefault="00D927AB" w14:paraId="006C49D0" w14:textId="77777777">
      <w:pPr>
        <w:widowControl w:val="0"/>
        <w:tabs>
          <w:tab w:val="left" w:pos="2160"/>
        </w:tabs>
        <w:autoSpaceDE/>
        <w:autoSpaceDN/>
        <w:adjustRightInd/>
        <w:ind w:left="720"/>
        <w:rPr>
          <w:b/>
          <w:snapToGrid w:val="0"/>
          <w:sz w:val="24"/>
        </w:rPr>
      </w:pPr>
      <w:r>
        <w:rPr>
          <w:b/>
          <w:snapToGrid w:val="0"/>
          <w:sz w:val="24"/>
        </w:rPr>
        <w:tab/>
      </w:r>
    </w:p>
    <w:p w:rsidR="009E552E" w:rsidP="005A07D9" w:rsidRDefault="000B2BA7" w14:paraId="55585EF1" w14:textId="1FE8B20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Pr>
          <w:snapToGrid w:val="0"/>
          <w:sz w:val="24"/>
        </w:rPr>
        <w:t>T</w:t>
      </w:r>
      <w:r w:rsidRPr="005A07D9" w:rsidR="005A07D9">
        <w:rPr>
          <w:snapToGrid w:val="0"/>
          <w:sz w:val="24"/>
        </w:rPr>
        <w:t xml:space="preserve">he general public as well as plumbers and persons </w:t>
      </w:r>
      <w:r>
        <w:rPr>
          <w:snapToGrid w:val="0"/>
          <w:sz w:val="24"/>
        </w:rPr>
        <w:t>(</w:t>
      </w:r>
      <w:r w:rsidRPr="005A07D9" w:rsidR="005A07D9">
        <w:rPr>
          <w:snapToGrid w:val="0"/>
          <w:sz w:val="24"/>
        </w:rPr>
        <w:t>who build or repair public water systems</w:t>
      </w:r>
      <w:r>
        <w:rPr>
          <w:snapToGrid w:val="0"/>
          <w:sz w:val="24"/>
        </w:rPr>
        <w:t>)</w:t>
      </w:r>
      <w:r w:rsidRPr="005A07D9" w:rsidR="005A07D9">
        <w:rPr>
          <w:snapToGrid w:val="0"/>
          <w:sz w:val="24"/>
        </w:rPr>
        <w:t xml:space="preserve"> </w:t>
      </w:r>
      <w:r>
        <w:rPr>
          <w:snapToGrid w:val="0"/>
          <w:sz w:val="24"/>
        </w:rPr>
        <w:t xml:space="preserve">will </w:t>
      </w:r>
      <w:r w:rsidR="005B3C72">
        <w:rPr>
          <w:snapToGrid w:val="0"/>
          <w:sz w:val="24"/>
        </w:rPr>
        <w:t xml:space="preserve">be the </w:t>
      </w:r>
      <w:r>
        <w:rPr>
          <w:snapToGrid w:val="0"/>
          <w:sz w:val="24"/>
        </w:rPr>
        <w:t>primar</w:t>
      </w:r>
      <w:r w:rsidR="005B3C72">
        <w:rPr>
          <w:snapToGrid w:val="0"/>
          <w:sz w:val="24"/>
        </w:rPr>
        <w:t>y</w:t>
      </w:r>
      <w:r>
        <w:rPr>
          <w:snapToGrid w:val="0"/>
          <w:sz w:val="24"/>
        </w:rPr>
        <w:t xml:space="preserve"> use</w:t>
      </w:r>
      <w:r w:rsidR="005B3C72">
        <w:rPr>
          <w:snapToGrid w:val="0"/>
          <w:sz w:val="24"/>
        </w:rPr>
        <w:t>rs of</w:t>
      </w:r>
      <w:r>
        <w:rPr>
          <w:snapToGrid w:val="0"/>
          <w:sz w:val="24"/>
        </w:rPr>
        <w:t xml:space="preserve"> the data</w:t>
      </w:r>
      <w:r w:rsidR="006B61F5">
        <w:rPr>
          <w:snapToGrid w:val="0"/>
          <w:sz w:val="24"/>
        </w:rPr>
        <w:t>,</w:t>
      </w:r>
      <w:r>
        <w:rPr>
          <w:snapToGrid w:val="0"/>
          <w:sz w:val="24"/>
        </w:rPr>
        <w:t xml:space="preserve"> to identify safe, lead free</w:t>
      </w:r>
      <w:r w:rsidRPr="005A07D9" w:rsidR="005A07D9">
        <w:rPr>
          <w:snapToGrid w:val="0"/>
          <w:sz w:val="24"/>
        </w:rPr>
        <w:t xml:space="preserve"> plumbing products use</w:t>
      </w:r>
      <w:r w:rsidR="00D927AB">
        <w:rPr>
          <w:snapToGrid w:val="0"/>
          <w:sz w:val="24"/>
        </w:rPr>
        <w:t>d</w:t>
      </w:r>
      <w:r w:rsidRPr="005A07D9" w:rsidR="005A07D9">
        <w:rPr>
          <w:snapToGrid w:val="0"/>
          <w:sz w:val="24"/>
        </w:rPr>
        <w:t xml:space="preserve"> </w:t>
      </w:r>
      <w:r>
        <w:rPr>
          <w:snapToGrid w:val="0"/>
          <w:sz w:val="24"/>
        </w:rPr>
        <w:t xml:space="preserve">for conveying </w:t>
      </w:r>
      <w:r w:rsidRPr="005A07D9" w:rsidR="005A07D9">
        <w:rPr>
          <w:snapToGrid w:val="0"/>
          <w:sz w:val="24"/>
        </w:rPr>
        <w:t xml:space="preserve">drinking water. </w:t>
      </w:r>
      <w:r w:rsidR="006B61F5">
        <w:rPr>
          <w:snapToGrid w:val="0"/>
          <w:sz w:val="24"/>
        </w:rPr>
        <w:t xml:space="preserve">In finalizing the rule requirements, </w:t>
      </w:r>
      <w:r w:rsidR="00ED7716">
        <w:rPr>
          <w:snapToGrid w:val="0"/>
          <w:sz w:val="24"/>
        </w:rPr>
        <w:t>EPA</w:t>
      </w:r>
      <w:r w:rsidRPr="005A07D9" w:rsidR="005B3C72">
        <w:rPr>
          <w:snapToGrid w:val="0"/>
          <w:sz w:val="24"/>
        </w:rPr>
        <w:t xml:space="preserve"> </w:t>
      </w:r>
      <w:r w:rsidR="006B61F5">
        <w:rPr>
          <w:snapToGrid w:val="0"/>
          <w:sz w:val="24"/>
        </w:rPr>
        <w:t xml:space="preserve">considered </w:t>
      </w:r>
      <w:r w:rsidRPr="005A07D9" w:rsidR="005B3C72">
        <w:rPr>
          <w:snapToGrid w:val="0"/>
          <w:sz w:val="24"/>
        </w:rPr>
        <w:t>feedback from stakeholders</w:t>
      </w:r>
      <w:r w:rsidR="006B61F5">
        <w:rPr>
          <w:snapToGrid w:val="0"/>
          <w:sz w:val="24"/>
        </w:rPr>
        <w:t xml:space="preserve">, who </w:t>
      </w:r>
      <w:r w:rsidR="009E552E">
        <w:rPr>
          <w:snapToGrid w:val="0"/>
          <w:sz w:val="24"/>
        </w:rPr>
        <w:t>expressed confusion over which</w:t>
      </w:r>
      <w:r w:rsidR="006B61F5">
        <w:rPr>
          <w:snapToGrid w:val="0"/>
          <w:sz w:val="24"/>
        </w:rPr>
        <w:t xml:space="preserve"> </w:t>
      </w:r>
      <w:r w:rsidRPr="005A07D9" w:rsidR="005B3C72">
        <w:rPr>
          <w:snapToGrid w:val="0"/>
          <w:sz w:val="24"/>
        </w:rPr>
        <w:t>plumbing products</w:t>
      </w:r>
      <w:r w:rsidR="006B61F5">
        <w:rPr>
          <w:snapToGrid w:val="0"/>
          <w:sz w:val="24"/>
        </w:rPr>
        <w:t xml:space="preserve"> are</w:t>
      </w:r>
      <w:r w:rsidRPr="005A07D9" w:rsidR="005B3C72">
        <w:rPr>
          <w:snapToGrid w:val="0"/>
          <w:sz w:val="24"/>
        </w:rPr>
        <w:t xml:space="preserve"> safe for use with drinking water.</w:t>
      </w:r>
      <w:r w:rsidR="005B3C72">
        <w:rPr>
          <w:snapToGrid w:val="0"/>
          <w:sz w:val="24"/>
        </w:rPr>
        <w:t xml:space="preserve"> </w:t>
      </w:r>
      <w:r w:rsidRPr="005A07D9" w:rsidR="005A07D9">
        <w:rPr>
          <w:snapToGrid w:val="0"/>
          <w:sz w:val="24"/>
        </w:rPr>
        <w:t xml:space="preserve">The rule includes a requirement that manufacturers obtain a </w:t>
      </w:r>
      <w:proofErr w:type="gramStart"/>
      <w:r w:rsidRPr="005A07D9" w:rsidR="005A07D9">
        <w:rPr>
          <w:snapToGrid w:val="0"/>
          <w:sz w:val="24"/>
        </w:rPr>
        <w:t>third party</w:t>
      </w:r>
      <w:proofErr w:type="gramEnd"/>
      <w:r w:rsidRPr="005A07D9" w:rsidR="005A07D9">
        <w:rPr>
          <w:snapToGrid w:val="0"/>
          <w:sz w:val="24"/>
        </w:rPr>
        <w:t xml:space="preserve"> certification for products subject to the lead free requirements. The intent of the certification is not only to ensure that the lead content of these potable use products comply with the RLDWA lead free standard but to ensure that the public has access to </w:t>
      </w:r>
      <w:r w:rsidR="007060F9">
        <w:rPr>
          <w:snapToGrid w:val="0"/>
          <w:sz w:val="24"/>
        </w:rPr>
        <w:t>reliable</w:t>
      </w:r>
      <w:r w:rsidRPr="005A07D9" w:rsidR="005A07D9">
        <w:rPr>
          <w:snapToGrid w:val="0"/>
          <w:sz w:val="24"/>
        </w:rPr>
        <w:t xml:space="preserve"> information. This will allow the public to make informed decisions on the products they use for drinking water applications. </w:t>
      </w:r>
    </w:p>
    <w:p w:rsidR="009E552E" w:rsidP="005A07D9" w:rsidRDefault="009E552E" w14:paraId="3A3F2E1A"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p>
    <w:p w:rsidRPr="005A07D9" w:rsidR="005A07D9" w:rsidP="005A07D9" w:rsidRDefault="005A07D9" w14:paraId="24D865A0" w14:textId="3C67DE3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sidRPr="005A07D9">
        <w:rPr>
          <w:snapToGrid w:val="0"/>
          <w:sz w:val="24"/>
        </w:rPr>
        <w:t xml:space="preserve">All manufacturers taking advantage of the self-certification are required to at a minimum, post a certificate of conformity online or distribute it </w:t>
      </w:r>
      <w:r w:rsidR="005B3C72">
        <w:rPr>
          <w:snapToGrid w:val="0"/>
          <w:sz w:val="24"/>
        </w:rPr>
        <w:t>by</w:t>
      </w:r>
      <w:r w:rsidRPr="005A07D9">
        <w:rPr>
          <w:snapToGrid w:val="0"/>
          <w:sz w:val="24"/>
        </w:rPr>
        <w:t xml:space="preserve"> other means with the product. Manufacturers that are required to obtain third party certification are likely to identify a product’s certification status directly on the product and/or on the packag</w:t>
      </w:r>
      <w:r w:rsidR="00AC1B58">
        <w:rPr>
          <w:snapToGrid w:val="0"/>
          <w:sz w:val="24"/>
        </w:rPr>
        <w:t>e</w:t>
      </w:r>
      <w:r w:rsidRPr="005A07D9">
        <w:rPr>
          <w:snapToGrid w:val="0"/>
          <w:sz w:val="24"/>
        </w:rPr>
        <w:t xml:space="preserve"> labeling. Both options </w:t>
      </w:r>
      <w:r w:rsidR="00F059E1">
        <w:rPr>
          <w:snapToGrid w:val="0"/>
          <w:sz w:val="24"/>
        </w:rPr>
        <w:t>will</w:t>
      </w:r>
      <w:r w:rsidRPr="005A07D9">
        <w:rPr>
          <w:snapToGrid w:val="0"/>
          <w:sz w:val="24"/>
        </w:rPr>
        <w:t xml:space="preserve"> provide the public </w:t>
      </w:r>
      <w:r w:rsidR="00C724C6">
        <w:rPr>
          <w:snapToGrid w:val="0"/>
          <w:sz w:val="24"/>
        </w:rPr>
        <w:t xml:space="preserve">and professional installers </w:t>
      </w:r>
      <w:r w:rsidRPr="005A07D9">
        <w:rPr>
          <w:snapToGrid w:val="0"/>
          <w:sz w:val="24"/>
        </w:rPr>
        <w:t xml:space="preserve">with information necessary to determine that the products they are purchasing </w:t>
      </w:r>
      <w:r w:rsidR="002214F8">
        <w:rPr>
          <w:snapToGrid w:val="0"/>
          <w:sz w:val="24"/>
        </w:rPr>
        <w:t xml:space="preserve">or installing </w:t>
      </w:r>
      <w:r w:rsidRPr="005A07D9">
        <w:rPr>
          <w:snapToGrid w:val="0"/>
          <w:sz w:val="24"/>
        </w:rPr>
        <w:t>are safe for potable use application</w:t>
      </w:r>
      <w:r w:rsidR="002214F8">
        <w:rPr>
          <w:snapToGrid w:val="0"/>
          <w:sz w:val="24"/>
        </w:rPr>
        <w:t xml:space="preserve"> and comply with the </w:t>
      </w:r>
      <w:r w:rsidR="00F059E1">
        <w:rPr>
          <w:snapToGrid w:val="0"/>
          <w:sz w:val="24"/>
        </w:rPr>
        <w:t>use prohibition in statute for the installation of products that are not lead free in drinking water supply systems and plumbing</w:t>
      </w:r>
      <w:r w:rsidRPr="005A07D9">
        <w:rPr>
          <w:snapToGrid w:val="0"/>
          <w:sz w:val="24"/>
        </w:rPr>
        <w:t xml:space="preserve">.  </w:t>
      </w:r>
    </w:p>
    <w:p w:rsidRPr="00CB38AD" w:rsidR="006046B0" w:rsidP="00CB38AD" w:rsidRDefault="006046B0" w14:paraId="795A15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P="006046B0" w:rsidRDefault="006046B0" w14:paraId="0FE613A7"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059E1">
        <w:rPr>
          <w:b/>
          <w:sz w:val="24"/>
          <w:szCs w:val="24"/>
        </w:rPr>
        <w:t>Non Duplication</w:t>
      </w:r>
      <w:r w:rsidR="00F059E1">
        <w:rPr>
          <w:b/>
          <w:sz w:val="24"/>
          <w:szCs w:val="24"/>
        </w:rPr>
        <w:t>, Consultations, and Other Collection Criteria</w:t>
      </w:r>
    </w:p>
    <w:p w:rsidR="00F059E1" w:rsidP="006046B0" w:rsidRDefault="00F059E1" w14:paraId="088C9A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F059E1" w:rsidR="006046B0" w:rsidP="006046B0" w:rsidRDefault="006046B0" w14:paraId="150666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059E1">
        <w:rPr>
          <w:b/>
          <w:sz w:val="24"/>
          <w:szCs w:val="24"/>
        </w:rPr>
        <w:lastRenderedPageBreak/>
        <w:t>3(a) Non duplication</w:t>
      </w:r>
    </w:p>
    <w:p w:rsidR="00F059E1" w:rsidP="006046B0" w:rsidRDefault="00F059E1" w14:paraId="318455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B38AD" w:rsidP="006046B0" w:rsidRDefault="00CB38AD" w14:paraId="3CE376AB" w14:textId="44BE8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B38AD">
        <w:rPr>
          <w:sz w:val="24"/>
          <w:szCs w:val="24"/>
        </w:rPr>
        <w:t>There are currently no federal requirements to make information on lead content of plumbing products available to the public</w:t>
      </w:r>
      <w:r w:rsidR="00001C34">
        <w:rPr>
          <w:sz w:val="24"/>
          <w:szCs w:val="24"/>
        </w:rPr>
        <w:t>, including plumbers, installers, and do-it-yourselfers</w:t>
      </w:r>
      <w:r w:rsidRPr="00CB38AD">
        <w:rPr>
          <w:sz w:val="24"/>
          <w:szCs w:val="24"/>
        </w:rPr>
        <w:t xml:space="preserve">. </w:t>
      </w:r>
      <w:r w:rsidR="006C140E">
        <w:rPr>
          <w:sz w:val="24"/>
          <w:szCs w:val="24"/>
        </w:rPr>
        <w:t>T</w:t>
      </w:r>
      <w:r w:rsidR="00001C34">
        <w:rPr>
          <w:sz w:val="24"/>
          <w:szCs w:val="24"/>
        </w:rPr>
        <w:t xml:space="preserve">he rule </w:t>
      </w:r>
      <w:r w:rsidR="006C140E">
        <w:rPr>
          <w:sz w:val="24"/>
          <w:szCs w:val="24"/>
        </w:rPr>
        <w:t xml:space="preserve">relies heavily on </w:t>
      </w:r>
      <w:r w:rsidRPr="00CB38AD" w:rsidR="006C140E">
        <w:rPr>
          <w:sz w:val="24"/>
          <w:szCs w:val="24"/>
        </w:rPr>
        <w:t>current</w:t>
      </w:r>
      <w:r w:rsidR="006C140E">
        <w:rPr>
          <w:sz w:val="24"/>
          <w:szCs w:val="24"/>
        </w:rPr>
        <w:t>,</w:t>
      </w:r>
      <w:r w:rsidRPr="00CB38AD" w:rsidR="006C140E">
        <w:rPr>
          <w:sz w:val="24"/>
          <w:szCs w:val="24"/>
        </w:rPr>
        <w:t xml:space="preserve"> voluntary certification standards </w:t>
      </w:r>
      <w:r w:rsidR="006C140E">
        <w:rPr>
          <w:sz w:val="24"/>
          <w:szCs w:val="24"/>
        </w:rPr>
        <w:t>that already have a significant level of adoption</w:t>
      </w:r>
      <w:r w:rsidRPr="00CB38AD" w:rsidR="006C140E">
        <w:rPr>
          <w:sz w:val="24"/>
          <w:szCs w:val="24"/>
        </w:rPr>
        <w:t xml:space="preserve"> </w:t>
      </w:r>
      <w:r w:rsidR="006C140E">
        <w:rPr>
          <w:sz w:val="24"/>
          <w:szCs w:val="24"/>
        </w:rPr>
        <w:t>among</w:t>
      </w:r>
      <w:r w:rsidRPr="00CB38AD" w:rsidR="006C140E">
        <w:rPr>
          <w:sz w:val="24"/>
          <w:szCs w:val="24"/>
        </w:rPr>
        <w:t xml:space="preserve"> </w:t>
      </w:r>
      <w:r w:rsidR="006C140E">
        <w:rPr>
          <w:sz w:val="24"/>
          <w:szCs w:val="24"/>
        </w:rPr>
        <w:t>manufacture</w:t>
      </w:r>
      <w:r w:rsidR="006562CD">
        <w:rPr>
          <w:sz w:val="24"/>
          <w:szCs w:val="24"/>
        </w:rPr>
        <w:t>r</w:t>
      </w:r>
      <w:r w:rsidR="006C140E">
        <w:rPr>
          <w:sz w:val="24"/>
          <w:szCs w:val="24"/>
        </w:rPr>
        <w:t xml:space="preserve">s of </w:t>
      </w:r>
      <w:r w:rsidRPr="00CB38AD" w:rsidR="006C140E">
        <w:rPr>
          <w:sz w:val="24"/>
          <w:szCs w:val="24"/>
        </w:rPr>
        <w:t xml:space="preserve">plumbing </w:t>
      </w:r>
      <w:r w:rsidR="006C140E">
        <w:rPr>
          <w:sz w:val="24"/>
          <w:szCs w:val="24"/>
        </w:rPr>
        <w:t xml:space="preserve">materials and water system components.  Using this approach, </w:t>
      </w:r>
      <w:r w:rsidR="00001C34">
        <w:rPr>
          <w:sz w:val="24"/>
          <w:szCs w:val="24"/>
        </w:rPr>
        <w:t>duplication is avoided and rule costs on the regulated community</w:t>
      </w:r>
      <w:r w:rsidR="00504548">
        <w:rPr>
          <w:sz w:val="24"/>
          <w:szCs w:val="24"/>
        </w:rPr>
        <w:t xml:space="preserve"> are contained.</w:t>
      </w:r>
      <w:r w:rsidR="00001C34">
        <w:rPr>
          <w:sz w:val="24"/>
          <w:szCs w:val="24"/>
        </w:rPr>
        <w:t xml:space="preserve"> Primary rule cost</w:t>
      </w:r>
      <w:r w:rsidR="00FE3CF2">
        <w:rPr>
          <w:sz w:val="24"/>
          <w:szCs w:val="24"/>
        </w:rPr>
        <w:t>s</w:t>
      </w:r>
      <w:r w:rsidR="00001C34">
        <w:rPr>
          <w:sz w:val="24"/>
          <w:szCs w:val="24"/>
        </w:rPr>
        <w:t xml:space="preserve"> and burden are associated with the firms that are not currently </w:t>
      </w:r>
      <w:r w:rsidR="00FE3CF2">
        <w:rPr>
          <w:sz w:val="24"/>
          <w:szCs w:val="24"/>
        </w:rPr>
        <w:t>utilizing</w:t>
      </w:r>
      <w:r w:rsidR="00001C34">
        <w:rPr>
          <w:sz w:val="24"/>
          <w:szCs w:val="24"/>
        </w:rPr>
        <w:t xml:space="preserve"> the voluntary standard.</w:t>
      </w:r>
    </w:p>
    <w:p w:rsidRPr="006046B0" w:rsidR="00001C34" w:rsidP="006046B0" w:rsidRDefault="00001C34" w14:paraId="7D4C5A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F059E1" w:rsidR="006046B0" w:rsidP="006046B0" w:rsidRDefault="006046B0" w14:paraId="754A44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059E1">
        <w:rPr>
          <w:b/>
          <w:sz w:val="24"/>
          <w:szCs w:val="24"/>
        </w:rPr>
        <w:t>3(b) Public Notice Required Prior to ICR submission to OMB</w:t>
      </w:r>
    </w:p>
    <w:p w:rsidR="00F059E1" w:rsidP="006046B0" w:rsidRDefault="00F059E1" w14:paraId="3D40C6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96811" w:rsidP="006046B0" w:rsidRDefault="00ED7716" w14:paraId="79176B54" w14:textId="0B4BE9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00F96811">
        <w:rPr>
          <w:sz w:val="24"/>
          <w:szCs w:val="24"/>
        </w:rPr>
        <w:t xml:space="preserve"> proposed the rule “Use of Pipes, </w:t>
      </w:r>
      <w:r w:rsidR="00F54A9B">
        <w:rPr>
          <w:sz w:val="24"/>
          <w:szCs w:val="24"/>
        </w:rPr>
        <w:t>Fittings,</w:t>
      </w:r>
      <w:r w:rsidR="00F96811">
        <w:rPr>
          <w:sz w:val="24"/>
          <w:szCs w:val="24"/>
        </w:rPr>
        <w:t xml:space="preserve"> </w:t>
      </w:r>
      <w:r w:rsidR="00F54A9B">
        <w:rPr>
          <w:sz w:val="24"/>
          <w:szCs w:val="24"/>
        </w:rPr>
        <w:t>Fixtures</w:t>
      </w:r>
      <w:r w:rsidR="00F96811">
        <w:rPr>
          <w:sz w:val="24"/>
          <w:szCs w:val="24"/>
        </w:rPr>
        <w:t>, Solder</w:t>
      </w:r>
      <w:r w:rsidR="00E94D95">
        <w:rPr>
          <w:sz w:val="24"/>
          <w:szCs w:val="24"/>
        </w:rPr>
        <w:t>,</w:t>
      </w:r>
      <w:r w:rsidR="00F96811">
        <w:rPr>
          <w:sz w:val="24"/>
          <w:szCs w:val="24"/>
        </w:rPr>
        <w:t xml:space="preserve"> and Flux for Drinking Water” on January 17, 2017</w:t>
      </w:r>
      <w:r w:rsidR="00B12361">
        <w:rPr>
          <w:sz w:val="24"/>
          <w:szCs w:val="24"/>
        </w:rPr>
        <w:t>,</w:t>
      </w:r>
      <w:r w:rsidR="00F96811">
        <w:rPr>
          <w:sz w:val="24"/>
          <w:szCs w:val="24"/>
        </w:rPr>
        <w:t xml:space="preserve"> in </w:t>
      </w:r>
      <w:r w:rsidRPr="007E1A87" w:rsidR="00F96811">
        <w:rPr>
          <w:i/>
          <w:sz w:val="24"/>
          <w:szCs w:val="24"/>
        </w:rPr>
        <w:t>the Federal Register</w:t>
      </w:r>
      <w:r w:rsidR="00F96811">
        <w:rPr>
          <w:sz w:val="24"/>
          <w:szCs w:val="24"/>
        </w:rPr>
        <w:t xml:space="preserve"> (82 FR 4805). The </w:t>
      </w:r>
      <w:r w:rsidR="00D927AB">
        <w:rPr>
          <w:sz w:val="24"/>
          <w:szCs w:val="24"/>
        </w:rPr>
        <w:t xml:space="preserve">final rule’s </w:t>
      </w:r>
      <w:r w:rsidR="00F96811">
        <w:rPr>
          <w:sz w:val="24"/>
          <w:szCs w:val="24"/>
        </w:rPr>
        <w:t xml:space="preserve">preamble </w:t>
      </w:r>
      <w:r w:rsidR="00D927AB">
        <w:rPr>
          <w:sz w:val="24"/>
          <w:szCs w:val="24"/>
        </w:rPr>
        <w:t>p</w:t>
      </w:r>
      <w:r w:rsidR="00F96811">
        <w:rPr>
          <w:sz w:val="24"/>
          <w:szCs w:val="24"/>
        </w:rPr>
        <w:t>rovide</w:t>
      </w:r>
      <w:r w:rsidR="00D927AB">
        <w:rPr>
          <w:sz w:val="24"/>
          <w:szCs w:val="24"/>
        </w:rPr>
        <w:t>s</w:t>
      </w:r>
      <w:r w:rsidR="00F96811">
        <w:rPr>
          <w:sz w:val="24"/>
          <w:szCs w:val="24"/>
        </w:rPr>
        <w:t xml:space="preserve"> a summary of the estimated impacts of the r</w:t>
      </w:r>
      <w:r w:rsidR="00D927AB">
        <w:rPr>
          <w:sz w:val="24"/>
          <w:szCs w:val="24"/>
        </w:rPr>
        <w:t>egulation,</w:t>
      </w:r>
      <w:r w:rsidR="00F96811">
        <w:rPr>
          <w:sz w:val="24"/>
          <w:szCs w:val="24"/>
        </w:rPr>
        <w:t xml:space="preserve"> consistent with the Paperwork Reduction Act</w:t>
      </w:r>
      <w:r w:rsidR="00B12361">
        <w:rPr>
          <w:sz w:val="24"/>
          <w:szCs w:val="24"/>
        </w:rPr>
        <w:t xml:space="preserve"> and </w:t>
      </w:r>
      <w:r w:rsidR="00F96811">
        <w:rPr>
          <w:sz w:val="24"/>
          <w:szCs w:val="24"/>
        </w:rPr>
        <w:t xml:space="preserve">referenced the ICR information contained in the docket for the proposed rule. </w:t>
      </w:r>
      <w:r>
        <w:rPr>
          <w:sz w:val="24"/>
          <w:szCs w:val="24"/>
        </w:rPr>
        <w:t>EPA</w:t>
      </w:r>
      <w:r w:rsidR="00F96811">
        <w:rPr>
          <w:sz w:val="24"/>
          <w:szCs w:val="24"/>
        </w:rPr>
        <w:t xml:space="preserve"> requested comment on the ICR information presented in the proposal.</w:t>
      </w:r>
    </w:p>
    <w:p w:rsidR="002F2A6D" w:rsidP="006046B0" w:rsidRDefault="002F2A6D" w14:paraId="051B3684" w14:textId="0007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605AD" w:rsidP="002F2A6D" w:rsidRDefault="00C605AD" w14:paraId="5B734114" w14:textId="5D104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Public Comments and Agency Response:</w:t>
      </w:r>
    </w:p>
    <w:p w:rsidRPr="007E1A87" w:rsidR="00C605AD" w:rsidP="002F2A6D" w:rsidRDefault="00C605AD" w14:paraId="537CD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C53DC0" w:rsidP="002F2A6D" w:rsidRDefault="00ED7716" w14:paraId="1DEAEFDD" w14:textId="03E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Cs/>
          <w:sz w:val="24"/>
          <w:szCs w:val="24"/>
        </w:rPr>
        <w:t>EPA</w:t>
      </w:r>
      <w:r w:rsidRPr="002F2A6D" w:rsidR="002F2A6D">
        <w:rPr>
          <w:bCs/>
          <w:sz w:val="24"/>
          <w:szCs w:val="24"/>
        </w:rPr>
        <w:t xml:space="preserve"> received 25,858 comment submissions</w:t>
      </w:r>
      <w:r w:rsidR="002F2A6D">
        <w:rPr>
          <w:bCs/>
          <w:sz w:val="24"/>
          <w:szCs w:val="24"/>
        </w:rPr>
        <w:t xml:space="preserve"> concerning the proposed rule</w:t>
      </w:r>
      <w:r w:rsidRPr="002F2A6D" w:rsidR="002F2A6D">
        <w:rPr>
          <w:bCs/>
          <w:sz w:val="24"/>
          <w:szCs w:val="24"/>
        </w:rPr>
        <w:t xml:space="preserve">, of which 25,751 were identical or nearly identical because they were submitted as part of a mass mailing public comment campaign (5,212 of the 25,751 comments included unique statements in addition to the identical comment). </w:t>
      </w:r>
      <w:r w:rsidRPr="002F2A6D" w:rsidR="002F2A6D">
        <w:rPr>
          <w:sz w:val="24"/>
          <w:szCs w:val="24"/>
        </w:rPr>
        <w:t xml:space="preserve">A detailed listing of public comments received and </w:t>
      </w:r>
      <w:r>
        <w:rPr>
          <w:sz w:val="24"/>
          <w:szCs w:val="24"/>
        </w:rPr>
        <w:t>EPA</w:t>
      </w:r>
      <w:r w:rsidRPr="002F2A6D" w:rsidR="002F2A6D">
        <w:rPr>
          <w:sz w:val="24"/>
          <w:szCs w:val="24"/>
        </w:rPr>
        <w:t>’s responses to comments are available in Docket ID EPA-HQ-OW-2015-0680 at</w:t>
      </w:r>
      <w:r w:rsidR="00CC2ECA">
        <w:rPr>
          <w:sz w:val="24"/>
          <w:szCs w:val="24"/>
        </w:rPr>
        <w:t xml:space="preserve"> </w:t>
      </w:r>
      <w:hyperlink w:history="1" r:id="rId8">
        <w:r w:rsidRPr="00403AE7" w:rsidR="00CC2ECA">
          <w:rPr>
            <w:rStyle w:val="Hyperlink"/>
            <w:sz w:val="24"/>
            <w:szCs w:val="24"/>
          </w:rPr>
          <w:t>https://www.regulations.gov/</w:t>
        </w:r>
      </w:hyperlink>
      <w:r w:rsidRPr="002F2A6D" w:rsidR="002F2A6D">
        <w:rPr>
          <w:sz w:val="24"/>
          <w:szCs w:val="24"/>
        </w:rPr>
        <w:t>.</w:t>
      </w:r>
      <w:r w:rsidR="002F2A6D">
        <w:rPr>
          <w:sz w:val="24"/>
          <w:szCs w:val="24"/>
        </w:rPr>
        <w:t xml:space="preserve"> </w:t>
      </w:r>
    </w:p>
    <w:p w:rsidR="00C53DC0" w:rsidP="002F2A6D" w:rsidRDefault="00C53DC0" w14:paraId="0CBA1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33C8A" w:rsidR="002F2A6D" w:rsidP="002F2A6D" w:rsidRDefault="00ED7716" w14:paraId="067E324D" w14:textId="26D27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0003005C">
        <w:rPr>
          <w:sz w:val="24"/>
          <w:szCs w:val="24"/>
        </w:rPr>
        <w:t xml:space="preserve"> received many comments </w:t>
      </w:r>
      <w:r w:rsidR="00B03504">
        <w:rPr>
          <w:sz w:val="24"/>
          <w:szCs w:val="24"/>
        </w:rPr>
        <w:t xml:space="preserve">concerning the proposed labeling and marking of products that are lead free, with some commenters supporting the proposed requirements or requesting more stringent requirements, and some opposing the requirements. Some commenters indicated that such labeling was unnecessary and burdensome if product certification would also be </w:t>
      </w:r>
      <w:r w:rsidRPr="00DA3373" w:rsidR="00B03504">
        <w:rPr>
          <w:sz w:val="24"/>
          <w:szCs w:val="24"/>
        </w:rPr>
        <w:t xml:space="preserve">required. </w:t>
      </w:r>
      <w:r w:rsidRPr="00933C8A" w:rsidR="00B03504">
        <w:rPr>
          <w:sz w:val="24"/>
          <w:szCs w:val="24"/>
        </w:rPr>
        <w:t xml:space="preserve">For the final rule, </w:t>
      </w:r>
      <w:r>
        <w:rPr>
          <w:sz w:val="24"/>
          <w:szCs w:val="24"/>
        </w:rPr>
        <w:t>EPA</w:t>
      </w:r>
      <w:r w:rsidRPr="00933C8A" w:rsidR="00B03504">
        <w:rPr>
          <w:sz w:val="24"/>
          <w:szCs w:val="24"/>
        </w:rPr>
        <w:t xml:space="preserve"> removed the language that would have required labeling </w:t>
      </w:r>
      <w:r w:rsidRPr="00933C8A" w:rsidR="00FE3296">
        <w:rPr>
          <w:sz w:val="24"/>
          <w:szCs w:val="24"/>
        </w:rPr>
        <w:t xml:space="preserve">and marking </w:t>
      </w:r>
      <w:r w:rsidRPr="00933C8A" w:rsidR="00B03504">
        <w:rPr>
          <w:sz w:val="24"/>
          <w:szCs w:val="24"/>
        </w:rPr>
        <w:t xml:space="preserve">of </w:t>
      </w:r>
      <w:proofErr w:type="gramStart"/>
      <w:r w:rsidRPr="00933C8A" w:rsidR="00B03504">
        <w:rPr>
          <w:sz w:val="24"/>
          <w:szCs w:val="24"/>
        </w:rPr>
        <w:t>lead free</w:t>
      </w:r>
      <w:proofErr w:type="gramEnd"/>
      <w:r w:rsidRPr="00933C8A" w:rsidR="00B03504">
        <w:rPr>
          <w:sz w:val="24"/>
          <w:szCs w:val="24"/>
        </w:rPr>
        <w:t xml:space="preserve"> pipes, fittings, and fixtures. This change resulted in a significant reduction in estimated rule cost as compared to the estimated cost of the proposed rule.</w:t>
      </w:r>
    </w:p>
    <w:p w:rsidRPr="004463A2" w:rsidR="00C53DC0" w:rsidP="002F2A6D" w:rsidRDefault="00C53DC0" w14:paraId="0DD70633" w14:textId="0D158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33C8A" w:rsidR="00C53DC0" w:rsidP="002F2A6D" w:rsidRDefault="00ED7716" w14:paraId="0E5AFF2F" w14:textId="4FB757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Pr="0096552C" w:rsidR="00C53DC0">
        <w:rPr>
          <w:sz w:val="24"/>
          <w:szCs w:val="24"/>
        </w:rPr>
        <w:t xml:space="preserve"> received numerous comments on </w:t>
      </w:r>
      <w:r w:rsidRPr="0096552C" w:rsidR="00CC2ECA">
        <w:rPr>
          <w:sz w:val="24"/>
          <w:szCs w:val="24"/>
        </w:rPr>
        <w:t>the Agency’s</w:t>
      </w:r>
      <w:r w:rsidRPr="0096552C" w:rsidR="00C53DC0">
        <w:rPr>
          <w:sz w:val="24"/>
          <w:szCs w:val="24"/>
        </w:rPr>
        <w:t xml:space="preserve"> proposed definition of products that </w:t>
      </w:r>
      <w:r w:rsidRPr="000C59DF" w:rsidR="00C53DC0">
        <w:rPr>
          <w:sz w:val="24"/>
          <w:szCs w:val="24"/>
        </w:rPr>
        <w:t>are “used exclusively for nonpotable services</w:t>
      </w:r>
      <w:r w:rsidRPr="000C59DF" w:rsidR="00CC2ECA">
        <w:rPr>
          <w:sz w:val="24"/>
          <w:szCs w:val="24"/>
        </w:rPr>
        <w:t>,</w:t>
      </w:r>
      <w:r w:rsidRPr="000C59DF" w:rsidR="00C53DC0">
        <w:rPr>
          <w:sz w:val="24"/>
          <w:szCs w:val="24"/>
        </w:rPr>
        <w:t xml:space="preserve">” </w:t>
      </w:r>
      <w:r w:rsidRPr="00BB262A" w:rsidR="00CC2ECA">
        <w:rPr>
          <w:sz w:val="24"/>
          <w:szCs w:val="24"/>
        </w:rPr>
        <w:t>which</w:t>
      </w:r>
      <w:r w:rsidRPr="00BB262A" w:rsidR="00C53DC0">
        <w:rPr>
          <w:sz w:val="24"/>
          <w:szCs w:val="24"/>
        </w:rPr>
        <w:t xml:space="preserve"> would have required labeling such products as not for use with water for human consumption</w:t>
      </w:r>
      <w:r w:rsidRPr="00BB262A" w:rsidR="00D301C8">
        <w:rPr>
          <w:sz w:val="24"/>
          <w:szCs w:val="24"/>
        </w:rPr>
        <w:t>,</w:t>
      </w:r>
      <w:r w:rsidRPr="00BB262A" w:rsidR="00C53DC0">
        <w:rPr>
          <w:sz w:val="24"/>
          <w:szCs w:val="24"/>
        </w:rPr>
        <w:t xml:space="preserve"> or a similar phrase</w:t>
      </w:r>
      <w:r w:rsidRPr="00BB262A" w:rsidR="00D301C8">
        <w:rPr>
          <w:sz w:val="24"/>
          <w:szCs w:val="24"/>
        </w:rPr>
        <w:t>,</w:t>
      </w:r>
      <w:r w:rsidRPr="00BB262A" w:rsidR="00C53DC0">
        <w:rPr>
          <w:sz w:val="24"/>
          <w:szCs w:val="24"/>
        </w:rPr>
        <w:t xml:space="preserve"> unless the products were physically not compatible with potable use products. </w:t>
      </w:r>
      <w:r w:rsidRPr="00933C8A" w:rsidR="00C53DC0">
        <w:rPr>
          <w:sz w:val="24"/>
          <w:szCs w:val="24"/>
        </w:rPr>
        <w:t xml:space="preserve">Due to the numerous and widely differing perspectives and reasons expressed by commenters, </w:t>
      </w:r>
      <w:r>
        <w:rPr>
          <w:sz w:val="24"/>
          <w:szCs w:val="24"/>
        </w:rPr>
        <w:t>EPA</w:t>
      </w:r>
      <w:r w:rsidRPr="00933C8A" w:rsidR="00C53DC0">
        <w:rPr>
          <w:sz w:val="24"/>
          <w:szCs w:val="24"/>
        </w:rPr>
        <w:t xml:space="preserve"> decided not </w:t>
      </w:r>
      <w:r w:rsidRPr="00933C8A" w:rsidR="00CC2ECA">
        <w:rPr>
          <w:sz w:val="24"/>
          <w:szCs w:val="24"/>
        </w:rPr>
        <w:t xml:space="preserve">to </w:t>
      </w:r>
      <w:r w:rsidRPr="00933C8A" w:rsidR="00C53DC0">
        <w:rPr>
          <w:sz w:val="24"/>
          <w:szCs w:val="24"/>
        </w:rPr>
        <w:t xml:space="preserve">include a regulatory definition of “used exclusively for nonpotable services” in the final rule. Based on comments, it became clear that the definition could be interpreted to be both over-inclusive and under-inclusive. Therefore, </w:t>
      </w:r>
      <w:r>
        <w:rPr>
          <w:sz w:val="24"/>
          <w:szCs w:val="24"/>
        </w:rPr>
        <w:t>EPA</w:t>
      </w:r>
      <w:r w:rsidRPr="00933C8A" w:rsidR="00C53DC0">
        <w:rPr>
          <w:sz w:val="24"/>
          <w:szCs w:val="24"/>
        </w:rPr>
        <w:t xml:space="preserve"> will continue to rely on manufacturers and importers to determine which products are “used exclusively for nonpotable services.”</w:t>
      </w:r>
    </w:p>
    <w:p w:rsidRPr="00933C8A" w:rsidR="00C53DC0" w:rsidP="002F2A6D" w:rsidRDefault="00C53DC0" w14:paraId="19AA3853" w14:textId="323F9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BB262A" w:rsidR="00E2746C" w:rsidP="00A36134" w:rsidRDefault="00ED7716" w14:paraId="6C782512" w14:textId="47A08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EPA</w:t>
      </w:r>
      <w:r w:rsidRPr="004463A2" w:rsidR="00C53DC0">
        <w:rPr>
          <w:sz w:val="24"/>
          <w:szCs w:val="24"/>
        </w:rPr>
        <w:t xml:space="preserve"> received many comments </w:t>
      </w:r>
      <w:r w:rsidRPr="004463A2" w:rsidR="00A36134">
        <w:rPr>
          <w:sz w:val="24"/>
          <w:szCs w:val="24"/>
        </w:rPr>
        <w:t>concernin</w:t>
      </w:r>
      <w:r w:rsidRPr="00810521" w:rsidR="00A36134">
        <w:rPr>
          <w:sz w:val="24"/>
          <w:szCs w:val="24"/>
        </w:rPr>
        <w:t xml:space="preserve">g the certification provisions in the </w:t>
      </w:r>
      <w:r w:rsidRPr="00810521" w:rsidR="00C605AD">
        <w:rPr>
          <w:sz w:val="24"/>
          <w:szCs w:val="24"/>
        </w:rPr>
        <w:t xml:space="preserve">Agency’s </w:t>
      </w:r>
      <w:r w:rsidRPr="00BB262A" w:rsidR="00A36134">
        <w:rPr>
          <w:sz w:val="24"/>
          <w:szCs w:val="24"/>
        </w:rPr>
        <w:t xml:space="preserve">proposed rule. </w:t>
      </w:r>
    </w:p>
    <w:p w:rsidRPr="00BB262A" w:rsidR="00E2746C" w:rsidP="00A36134" w:rsidRDefault="00E2746C" w14:paraId="3B0377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BB262A" w:rsidR="00E2746C" w:rsidP="00E2746C" w:rsidRDefault="00A36134" w14:paraId="420FB3A1" w14:textId="1CB8D64A">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BB262A">
        <w:rPr>
          <w:sz w:val="24"/>
          <w:szCs w:val="24"/>
        </w:rPr>
        <w:t>Many commenters supported a requirement for third</w:t>
      </w:r>
      <w:r w:rsidRPr="00BB262A" w:rsidR="00C605AD">
        <w:rPr>
          <w:sz w:val="24"/>
          <w:szCs w:val="24"/>
        </w:rPr>
        <w:t>-</w:t>
      </w:r>
      <w:r w:rsidRPr="00BB262A">
        <w:rPr>
          <w:sz w:val="24"/>
          <w:szCs w:val="24"/>
        </w:rPr>
        <w:t xml:space="preserve">party certification and </w:t>
      </w:r>
      <w:r w:rsidRPr="00BB262A" w:rsidR="00352DB5">
        <w:rPr>
          <w:sz w:val="24"/>
          <w:szCs w:val="24"/>
        </w:rPr>
        <w:t>some commenters</w:t>
      </w:r>
      <w:r w:rsidRPr="00BB262A">
        <w:rPr>
          <w:sz w:val="24"/>
          <w:szCs w:val="24"/>
        </w:rPr>
        <w:t xml:space="preserve"> opposed </w:t>
      </w:r>
      <w:r w:rsidR="00ED7716">
        <w:rPr>
          <w:sz w:val="24"/>
          <w:szCs w:val="24"/>
        </w:rPr>
        <w:t>EPA</w:t>
      </w:r>
      <w:r w:rsidRPr="00BB262A" w:rsidR="00E2746C">
        <w:rPr>
          <w:sz w:val="24"/>
          <w:szCs w:val="24"/>
        </w:rPr>
        <w:t xml:space="preserve">’s </w:t>
      </w:r>
      <w:r w:rsidRPr="00BB262A" w:rsidR="00FE3296">
        <w:rPr>
          <w:sz w:val="24"/>
          <w:szCs w:val="24"/>
        </w:rPr>
        <w:t xml:space="preserve">proposed </w:t>
      </w:r>
      <w:r w:rsidRPr="00BB262A">
        <w:rPr>
          <w:sz w:val="24"/>
          <w:szCs w:val="24"/>
        </w:rPr>
        <w:t xml:space="preserve">provision allowing self-certification for firms having fewer than 100 employees. </w:t>
      </w:r>
    </w:p>
    <w:p w:rsidRPr="00BB262A" w:rsidR="00E2746C" w:rsidP="00E2746C" w:rsidRDefault="00A36134" w14:paraId="772764CC"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BB262A">
        <w:rPr>
          <w:sz w:val="24"/>
          <w:szCs w:val="24"/>
        </w:rPr>
        <w:t xml:space="preserve">Some commenters stated that third party certification should not be required and should remain voluntary. </w:t>
      </w:r>
    </w:p>
    <w:p w:rsidRPr="00BB262A" w:rsidR="00E2746C" w:rsidP="00C605AD" w:rsidRDefault="00A36134" w14:paraId="1E436296" w14:textId="7A018A74">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BB262A">
        <w:rPr>
          <w:sz w:val="24"/>
          <w:szCs w:val="24"/>
        </w:rPr>
        <w:t xml:space="preserve">Some commenters requested that </w:t>
      </w:r>
      <w:r w:rsidRPr="00BB262A" w:rsidR="00FE3296">
        <w:rPr>
          <w:sz w:val="24"/>
          <w:szCs w:val="24"/>
        </w:rPr>
        <w:t>all products should be third</w:t>
      </w:r>
      <w:r w:rsidRPr="00BB262A" w:rsidR="006B1D69">
        <w:rPr>
          <w:sz w:val="24"/>
          <w:szCs w:val="24"/>
        </w:rPr>
        <w:t>-</w:t>
      </w:r>
      <w:r w:rsidRPr="00BB262A" w:rsidR="00FE3296">
        <w:rPr>
          <w:sz w:val="24"/>
          <w:szCs w:val="24"/>
        </w:rPr>
        <w:t xml:space="preserve">party certified and that </w:t>
      </w:r>
      <w:r w:rsidRPr="00BB262A">
        <w:rPr>
          <w:sz w:val="24"/>
          <w:szCs w:val="24"/>
        </w:rPr>
        <w:t xml:space="preserve">self-certification, if allowed at all, should be more limited </w:t>
      </w:r>
      <w:r w:rsidRPr="00BB262A" w:rsidR="00CC2ECA">
        <w:rPr>
          <w:sz w:val="24"/>
          <w:szCs w:val="24"/>
        </w:rPr>
        <w:t xml:space="preserve">or based on other criteria </w:t>
      </w:r>
      <w:r w:rsidRPr="00BB262A">
        <w:rPr>
          <w:sz w:val="24"/>
          <w:szCs w:val="24"/>
        </w:rPr>
        <w:t xml:space="preserve">than </w:t>
      </w:r>
      <w:r w:rsidRPr="00BB262A" w:rsidR="00D301C8">
        <w:rPr>
          <w:sz w:val="24"/>
          <w:szCs w:val="24"/>
        </w:rPr>
        <w:t xml:space="preserve">what </w:t>
      </w:r>
      <w:r w:rsidR="00ED7716">
        <w:rPr>
          <w:sz w:val="24"/>
          <w:szCs w:val="24"/>
        </w:rPr>
        <w:t>EPA</w:t>
      </w:r>
      <w:r w:rsidRPr="00BB262A" w:rsidR="00D301C8">
        <w:rPr>
          <w:sz w:val="24"/>
          <w:szCs w:val="24"/>
        </w:rPr>
        <w:t xml:space="preserve"> </w:t>
      </w:r>
      <w:r w:rsidRPr="00BB262A">
        <w:rPr>
          <w:sz w:val="24"/>
          <w:szCs w:val="24"/>
        </w:rPr>
        <w:t>proposed</w:t>
      </w:r>
      <w:r w:rsidRPr="00BB262A" w:rsidR="00CC2ECA">
        <w:rPr>
          <w:sz w:val="24"/>
          <w:szCs w:val="24"/>
        </w:rPr>
        <w:t>.</w:t>
      </w:r>
    </w:p>
    <w:p w:rsidRPr="00BB262A" w:rsidR="00E2746C" w:rsidP="00E2746C" w:rsidRDefault="00A36134" w14:paraId="51565657" w14:textId="63C87F3C">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BB262A">
        <w:rPr>
          <w:sz w:val="24"/>
          <w:szCs w:val="24"/>
        </w:rPr>
        <w:t>One comment stated that third</w:t>
      </w:r>
      <w:r w:rsidRPr="00BB262A" w:rsidR="006B1D69">
        <w:rPr>
          <w:sz w:val="24"/>
          <w:szCs w:val="24"/>
        </w:rPr>
        <w:t>-</w:t>
      </w:r>
      <w:r w:rsidRPr="00BB262A">
        <w:rPr>
          <w:sz w:val="24"/>
          <w:szCs w:val="24"/>
        </w:rPr>
        <w:t>party certification should be required of all manufacturers, except for</w:t>
      </w:r>
      <w:r w:rsidRPr="00BB262A" w:rsidR="00352DB5">
        <w:rPr>
          <w:sz w:val="24"/>
          <w:szCs w:val="24"/>
        </w:rPr>
        <w:t xml:space="preserve"> all cases of</w:t>
      </w:r>
      <w:r w:rsidRPr="00BB262A">
        <w:rPr>
          <w:sz w:val="24"/>
          <w:szCs w:val="24"/>
        </w:rPr>
        <w:t xml:space="preserve"> custom fabrication, </w:t>
      </w:r>
      <w:r w:rsidRPr="00BB262A" w:rsidR="00352DB5">
        <w:rPr>
          <w:sz w:val="24"/>
          <w:szCs w:val="24"/>
        </w:rPr>
        <w:t xml:space="preserve">and </w:t>
      </w:r>
      <w:r w:rsidRPr="00BB262A">
        <w:rPr>
          <w:sz w:val="24"/>
          <w:szCs w:val="24"/>
        </w:rPr>
        <w:t xml:space="preserve">that custom fabrication should be defined </w:t>
      </w:r>
      <w:r w:rsidRPr="00BB262A" w:rsidR="00352DB5">
        <w:rPr>
          <w:sz w:val="24"/>
          <w:szCs w:val="24"/>
        </w:rPr>
        <w:t>to determine a</w:t>
      </w:r>
      <w:r w:rsidRPr="00BB262A" w:rsidR="00CC2ECA">
        <w:rPr>
          <w:sz w:val="24"/>
          <w:szCs w:val="24"/>
        </w:rPr>
        <w:t>cceptance</w:t>
      </w:r>
      <w:r w:rsidRPr="00BB262A" w:rsidR="00352DB5">
        <w:rPr>
          <w:sz w:val="24"/>
          <w:szCs w:val="24"/>
        </w:rPr>
        <w:t xml:space="preserve"> for self-certification</w:t>
      </w:r>
      <w:r w:rsidRPr="00BB262A">
        <w:rPr>
          <w:sz w:val="24"/>
          <w:szCs w:val="24"/>
        </w:rPr>
        <w:t xml:space="preserve">. </w:t>
      </w:r>
      <w:bookmarkStart w:name="_Hlk528668947" w:id="0"/>
    </w:p>
    <w:p w:rsidRPr="00BB262A" w:rsidR="00C605AD" w:rsidP="00E2746C" w:rsidRDefault="00A36134" w14:paraId="6805513D" w14:textId="3779F4BB">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BB262A">
        <w:rPr>
          <w:sz w:val="24"/>
          <w:szCs w:val="24"/>
        </w:rPr>
        <w:t>Other commenters indicated that the RLDWA recognizes the concept of area weighted average lead content and that any third</w:t>
      </w:r>
      <w:r w:rsidRPr="00BB262A" w:rsidR="00CC2ECA">
        <w:rPr>
          <w:sz w:val="24"/>
          <w:szCs w:val="24"/>
        </w:rPr>
        <w:t>-</w:t>
      </w:r>
      <w:r w:rsidRPr="00BB262A">
        <w:rPr>
          <w:sz w:val="24"/>
          <w:szCs w:val="24"/>
        </w:rPr>
        <w:t>party certification requirements should be limited to entire final</w:t>
      </w:r>
      <w:r w:rsidRPr="00BB262A" w:rsidR="006B1D69">
        <w:rPr>
          <w:sz w:val="24"/>
          <w:szCs w:val="24"/>
        </w:rPr>
        <w:t>-</w:t>
      </w:r>
      <w:r w:rsidRPr="00BB262A">
        <w:rPr>
          <w:sz w:val="24"/>
          <w:szCs w:val="24"/>
        </w:rPr>
        <w:t>end</w:t>
      </w:r>
      <w:r w:rsidRPr="00BB262A" w:rsidR="006B1D69">
        <w:rPr>
          <w:sz w:val="24"/>
          <w:szCs w:val="24"/>
        </w:rPr>
        <w:t>-</w:t>
      </w:r>
      <w:r w:rsidRPr="00BB262A">
        <w:rPr>
          <w:sz w:val="24"/>
          <w:szCs w:val="24"/>
        </w:rPr>
        <w:t>use product assembly and not individual sub-components, including any repair parts or kits. Some commenters stated that individual parts that are themselves pipes, fittings</w:t>
      </w:r>
      <w:r w:rsidRPr="00BB262A" w:rsidR="00E2746C">
        <w:rPr>
          <w:sz w:val="24"/>
          <w:szCs w:val="24"/>
        </w:rPr>
        <w:t>,</w:t>
      </w:r>
      <w:r w:rsidRPr="00BB262A">
        <w:rPr>
          <w:sz w:val="24"/>
          <w:szCs w:val="24"/>
        </w:rPr>
        <w:t xml:space="preserve"> or fixtures should be required to be lead free even if they are part of a larger assembly and that any interpretation otherwise is contrary to the statutory language.</w:t>
      </w:r>
    </w:p>
    <w:p w:rsidRPr="00BB262A" w:rsidR="00C605AD" w:rsidP="007E1A87" w:rsidRDefault="00C605AD" w14:paraId="4212FE7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Pr="00933C8A" w:rsidR="006B1D69" w:rsidP="007E1A87" w:rsidRDefault="00A36134" w14:paraId="62A0D1A6" w14:textId="28297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33C8A">
        <w:rPr>
          <w:sz w:val="24"/>
          <w:szCs w:val="24"/>
        </w:rPr>
        <w:t xml:space="preserve">Based on comments received, </w:t>
      </w:r>
      <w:r w:rsidR="00ED7716">
        <w:rPr>
          <w:sz w:val="24"/>
          <w:szCs w:val="24"/>
        </w:rPr>
        <w:t>EPA</w:t>
      </w:r>
      <w:r w:rsidRPr="00933C8A">
        <w:rPr>
          <w:sz w:val="24"/>
          <w:szCs w:val="24"/>
        </w:rPr>
        <w:t xml:space="preserve"> modified the requirements for product certification in the final rule</w:t>
      </w:r>
      <w:r w:rsidRPr="00933C8A" w:rsidR="006B1D69">
        <w:rPr>
          <w:sz w:val="24"/>
          <w:szCs w:val="24"/>
        </w:rPr>
        <w:t xml:space="preserve"> as follows:</w:t>
      </w:r>
    </w:p>
    <w:p w:rsidRPr="00933C8A" w:rsidR="006B1D69" w:rsidP="00C605AD" w:rsidRDefault="006B1D69" w14:paraId="0B3BD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933C8A" w:rsidR="006B1D69" w:rsidP="006B1D69" w:rsidRDefault="00A36134" w14:paraId="5FBF5707" w14:textId="426B74BC">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933C8A">
        <w:rPr>
          <w:sz w:val="24"/>
          <w:szCs w:val="24"/>
        </w:rPr>
        <w:t xml:space="preserve">The final rule requires third party certification but allows self-certification of products for manufacturers having fewer than 10 employees or for any custom fabricated products. </w:t>
      </w:r>
    </w:p>
    <w:p w:rsidRPr="00933C8A" w:rsidR="00C605AD" w:rsidP="007E1A87" w:rsidRDefault="00A36134" w14:paraId="11134932" w14:textId="5B2497DB">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933C8A">
        <w:rPr>
          <w:sz w:val="24"/>
          <w:szCs w:val="24"/>
        </w:rPr>
        <w:t xml:space="preserve">The final rule excludes from certification requirements: </w:t>
      </w:r>
      <w:r w:rsidRPr="00933C8A">
        <w:rPr>
          <w:bCs/>
          <w:sz w:val="24"/>
          <w:szCs w:val="24"/>
        </w:rPr>
        <w:t xml:space="preserve">(1) </w:t>
      </w:r>
      <w:r w:rsidRPr="00933C8A" w:rsidR="00FE3296">
        <w:rPr>
          <w:bCs/>
          <w:sz w:val="24"/>
          <w:szCs w:val="24"/>
        </w:rPr>
        <w:t>p</w:t>
      </w:r>
      <w:r w:rsidRPr="00933C8A">
        <w:rPr>
          <w:bCs/>
          <w:sz w:val="24"/>
          <w:szCs w:val="24"/>
        </w:rPr>
        <w:t>roduct components of assembled pipes, fittings, or fixtures if the entire product in its final assembled form is lead free certified</w:t>
      </w:r>
      <w:r w:rsidRPr="00933C8A" w:rsidR="00FE3296">
        <w:rPr>
          <w:bCs/>
          <w:sz w:val="24"/>
          <w:szCs w:val="24"/>
        </w:rPr>
        <w:t xml:space="preserve">; and </w:t>
      </w:r>
      <w:r w:rsidRPr="00933C8A">
        <w:rPr>
          <w:bCs/>
          <w:sz w:val="24"/>
          <w:szCs w:val="24"/>
        </w:rPr>
        <w:t xml:space="preserve">(2) </w:t>
      </w:r>
      <w:r w:rsidRPr="00933C8A" w:rsidR="00FE3296">
        <w:rPr>
          <w:bCs/>
          <w:sz w:val="24"/>
          <w:szCs w:val="24"/>
        </w:rPr>
        <w:t>d</w:t>
      </w:r>
      <w:r w:rsidRPr="00933C8A">
        <w:rPr>
          <w:bCs/>
          <w:sz w:val="24"/>
          <w:szCs w:val="24"/>
        </w:rPr>
        <w:t>irect replacement parts for previously installed lead free certified products if the weighted average lead content of wetted surface area for the part does not exceed such lead content of the original part.</w:t>
      </w:r>
      <w:r w:rsidRPr="00933C8A" w:rsidR="00FE3296">
        <w:rPr>
          <w:bCs/>
          <w:sz w:val="24"/>
          <w:szCs w:val="24"/>
        </w:rPr>
        <w:t xml:space="preserve"> </w:t>
      </w:r>
    </w:p>
    <w:p w:rsidRPr="00933C8A" w:rsidR="00C605AD" w:rsidP="00C605AD" w:rsidRDefault="00C605AD" w14:paraId="0DE9F6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szCs w:val="24"/>
        </w:rPr>
      </w:pPr>
    </w:p>
    <w:p w:rsidRPr="00933C8A" w:rsidR="00A36134" w:rsidP="00CD7D2E" w:rsidRDefault="00FE3296" w14:paraId="7EFBF4E9" w14:textId="2F6A2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933C8A">
        <w:rPr>
          <w:bCs/>
          <w:sz w:val="24"/>
          <w:szCs w:val="24"/>
        </w:rPr>
        <w:t xml:space="preserve">Based on public comment, the final rule </w:t>
      </w:r>
      <w:r w:rsidRPr="00933C8A" w:rsidR="00E2746C">
        <w:rPr>
          <w:bCs/>
          <w:sz w:val="24"/>
          <w:szCs w:val="24"/>
        </w:rPr>
        <w:t xml:space="preserve">also </w:t>
      </w:r>
      <w:r w:rsidRPr="00933C8A">
        <w:rPr>
          <w:bCs/>
          <w:sz w:val="24"/>
          <w:szCs w:val="24"/>
        </w:rPr>
        <w:t>specifies that manufacturers or importers maintain documentation to substantiate product certification for at least five years from the date of the last sale of the product by the manufacturer or importer, whereas the proposed rule had not specified a time limit to maintain such documentation.</w:t>
      </w:r>
    </w:p>
    <w:bookmarkEnd w:id="0"/>
    <w:p w:rsidR="00DA3373" w:rsidP="006046B0" w:rsidRDefault="00DA3373" w14:paraId="07EE9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F059E1" w:rsidR="006046B0" w:rsidP="006046B0" w:rsidRDefault="006046B0" w14:paraId="71AF8A73" w14:textId="75819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059E1">
        <w:rPr>
          <w:b/>
          <w:sz w:val="24"/>
          <w:szCs w:val="24"/>
        </w:rPr>
        <w:t>3(c) Consultations</w:t>
      </w:r>
    </w:p>
    <w:p w:rsidR="00F059E1" w:rsidP="006046B0" w:rsidRDefault="00F059E1" w14:paraId="765F4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9608A" w:rsidP="006046B0" w:rsidRDefault="00ED7716" w14:paraId="3FC584A0" w14:textId="0019A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0069608A">
        <w:rPr>
          <w:sz w:val="24"/>
          <w:szCs w:val="24"/>
        </w:rPr>
        <w:t xml:space="preserve"> conducted several outreach activities to seek input on the rule and associated collection activities. </w:t>
      </w:r>
      <w:r w:rsidR="00C5700D">
        <w:rPr>
          <w:sz w:val="24"/>
          <w:szCs w:val="24"/>
        </w:rPr>
        <w:t xml:space="preserve">A brief description of these outreach and consultation activities is included below. More information concerning how the input from these activities was used in developing the rule is contained in the Technical Support Document of the Final Rule: Use of Lead Free Pipes, </w:t>
      </w:r>
      <w:r w:rsidR="00C5700D">
        <w:rPr>
          <w:sz w:val="24"/>
          <w:szCs w:val="24"/>
        </w:rPr>
        <w:lastRenderedPageBreak/>
        <w:t xml:space="preserve">Fittings, Fixtures, Solder, and Flux for Drinking Water (available in the Docket folder for the final rule at </w:t>
      </w:r>
      <w:hyperlink w:history="1" r:id="rId9">
        <w:r w:rsidRPr="001577BB" w:rsidR="00C5700D">
          <w:rPr>
            <w:rStyle w:val="Hyperlink"/>
            <w:sz w:val="24"/>
            <w:szCs w:val="24"/>
          </w:rPr>
          <w:t>www.regulations.gov</w:t>
        </w:r>
      </w:hyperlink>
      <w:r w:rsidR="00C5700D">
        <w:rPr>
          <w:sz w:val="24"/>
          <w:szCs w:val="24"/>
        </w:rPr>
        <w:t>, doc</w:t>
      </w:r>
      <w:r w:rsidR="00E94D95">
        <w:rPr>
          <w:sz w:val="24"/>
          <w:szCs w:val="24"/>
        </w:rPr>
        <w:t xml:space="preserve">ument </w:t>
      </w:r>
      <w:r w:rsidR="00C5700D">
        <w:rPr>
          <w:sz w:val="24"/>
          <w:szCs w:val="24"/>
        </w:rPr>
        <w:t xml:space="preserve">number </w:t>
      </w:r>
      <w:r w:rsidRPr="00C5700D" w:rsidR="00C5700D">
        <w:rPr>
          <w:sz w:val="24"/>
          <w:szCs w:val="24"/>
        </w:rPr>
        <w:t>EPA-HQ-OW-2015-0680-</w:t>
      </w:r>
      <w:r w:rsidR="001C25EF">
        <w:rPr>
          <w:sz w:val="24"/>
          <w:szCs w:val="24"/>
        </w:rPr>
        <w:t>0417</w:t>
      </w:r>
      <w:r w:rsidR="00C5700D">
        <w:rPr>
          <w:sz w:val="24"/>
          <w:szCs w:val="24"/>
        </w:rPr>
        <w:t>).</w:t>
      </w:r>
    </w:p>
    <w:p w:rsidR="00A418F7" w:rsidP="006046B0" w:rsidRDefault="00A418F7" w14:paraId="177DB1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A418F7" w:rsidR="00A418F7" w:rsidP="00A418F7" w:rsidRDefault="00A418F7" w14:paraId="6DFCD19B" w14:textId="4346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418F7">
        <w:rPr>
          <w:sz w:val="24"/>
          <w:szCs w:val="24"/>
        </w:rPr>
        <w:t xml:space="preserve">In April 2015, </w:t>
      </w:r>
      <w:r w:rsidR="00ED7716">
        <w:rPr>
          <w:sz w:val="24"/>
          <w:szCs w:val="24"/>
        </w:rPr>
        <w:t>EPA</w:t>
      </w:r>
      <w:r w:rsidRPr="00A418F7">
        <w:rPr>
          <w:sz w:val="24"/>
          <w:szCs w:val="24"/>
        </w:rPr>
        <w:t xml:space="preserve"> met with the American Foundry Society (AFS), which is the largest U.S.-based metalcasting society, and manufacturers from the metalcasting industry. </w:t>
      </w:r>
      <w:r w:rsidR="00ED7716">
        <w:rPr>
          <w:sz w:val="24"/>
          <w:szCs w:val="24"/>
        </w:rPr>
        <w:t>EPA</w:t>
      </w:r>
      <w:r w:rsidR="0017694F">
        <w:rPr>
          <w:sz w:val="24"/>
          <w:szCs w:val="24"/>
        </w:rPr>
        <w:t xml:space="preserve"> convened </w:t>
      </w:r>
      <w:r w:rsidR="00B12361">
        <w:rPr>
          <w:sz w:val="24"/>
          <w:szCs w:val="24"/>
        </w:rPr>
        <w:t xml:space="preserve">the </w:t>
      </w:r>
      <w:r w:rsidRPr="00A418F7">
        <w:rPr>
          <w:sz w:val="24"/>
          <w:szCs w:val="24"/>
        </w:rPr>
        <w:t>meeting</w:t>
      </w:r>
      <w:r w:rsidR="00B12361">
        <w:rPr>
          <w:sz w:val="24"/>
          <w:szCs w:val="24"/>
        </w:rPr>
        <w:t xml:space="preserve"> </w:t>
      </w:r>
      <w:r w:rsidRPr="00A418F7">
        <w:rPr>
          <w:sz w:val="24"/>
          <w:szCs w:val="24"/>
        </w:rPr>
        <w:t xml:space="preserve">to obtain needed input to refine costs estimates for the </w:t>
      </w:r>
      <w:r w:rsidR="0017694F">
        <w:rPr>
          <w:sz w:val="24"/>
          <w:szCs w:val="24"/>
        </w:rPr>
        <w:t>Agency</w:t>
      </w:r>
      <w:r w:rsidRPr="00A418F7">
        <w:rPr>
          <w:sz w:val="24"/>
          <w:szCs w:val="24"/>
        </w:rPr>
        <w:t>’s proposed regulation related to plumbing products such as metal pipes, fitting, valves, and faucets.</w:t>
      </w:r>
      <w:r w:rsidR="00CD7D2E">
        <w:rPr>
          <w:sz w:val="24"/>
          <w:szCs w:val="24"/>
        </w:rPr>
        <w:t xml:space="preserve"> </w:t>
      </w:r>
      <w:r w:rsidR="00ED7716">
        <w:rPr>
          <w:sz w:val="24"/>
          <w:szCs w:val="24"/>
        </w:rPr>
        <w:t>EPA</w:t>
      </w:r>
      <w:r w:rsidRPr="00A418F7">
        <w:rPr>
          <w:sz w:val="24"/>
          <w:szCs w:val="24"/>
        </w:rPr>
        <w:t xml:space="preserve"> provided an overview of the Agency’s rulemaking process related to the RLDWA and solicited input on questions designed to better characterize the industry (e.g., typical company size), determine product identification methods and associated costs, and obtain estimated costs for third party certification. A summary of this meeting along with other materials provided by AFS is available in the </w:t>
      </w:r>
      <w:r w:rsidR="00622388">
        <w:rPr>
          <w:sz w:val="24"/>
          <w:szCs w:val="24"/>
        </w:rPr>
        <w:t xml:space="preserve">public </w:t>
      </w:r>
      <w:r w:rsidRPr="00A418F7">
        <w:rPr>
          <w:sz w:val="24"/>
          <w:szCs w:val="24"/>
        </w:rPr>
        <w:t>docket in folders EPA-HQ-OW-2015-0680-</w:t>
      </w:r>
      <w:r w:rsidRPr="00A418F7" w:rsidR="00623247">
        <w:rPr>
          <w:sz w:val="24"/>
          <w:szCs w:val="24"/>
        </w:rPr>
        <w:t>025</w:t>
      </w:r>
      <w:r w:rsidR="00623247">
        <w:rPr>
          <w:sz w:val="24"/>
          <w:szCs w:val="24"/>
        </w:rPr>
        <w:t xml:space="preserve">2, </w:t>
      </w:r>
      <w:r w:rsidRPr="00A418F7" w:rsidR="00623247">
        <w:rPr>
          <w:sz w:val="24"/>
          <w:szCs w:val="24"/>
        </w:rPr>
        <w:t xml:space="preserve">-0253, </w:t>
      </w:r>
      <w:r w:rsidR="00623247">
        <w:rPr>
          <w:sz w:val="24"/>
          <w:szCs w:val="24"/>
        </w:rPr>
        <w:t>-</w:t>
      </w:r>
      <w:r w:rsidRPr="00A418F7">
        <w:rPr>
          <w:sz w:val="24"/>
          <w:szCs w:val="24"/>
        </w:rPr>
        <w:t xml:space="preserve">0254, </w:t>
      </w:r>
      <w:r w:rsidR="00623247">
        <w:rPr>
          <w:sz w:val="24"/>
          <w:szCs w:val="24"/>
        </w:rPr>
        <w:t xml:space="preserve">and </w:t>
      </w:r>
      <w:r w:rsidRPr="00A418F7">
        <w:rPr>
          <w:sz w:val="24"/>
          <w:szCs w:val="24"/>
        </w:rPr>
        <w:t>-0256.</w:t>
      </w:r>
    </w:p>
    <w:p w:rsidR="00BE0CCD" w:rsidP="00A418F7" w:rsidRDefault="00BE0CCD" w14:paraId="17021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A418F7" w:rsidR="00A418F7" w:rsidP="00A418F7" w:rsidRDefault="00A418F7" w14:paraId="44B310BE" w14:textId="600E6A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418F7">
        <w:rPr>
          <w:sz w:val="24"/>
          <w:szCs w:val="24"/>
        </w:rPr>
        <w:t xml:space="preserve">In May 2015, </w:t>
      </w:r>
      <w:r w:rsidR="00ED7716">
        <w:rPr>
          <w:sz w:val="24"/>
          <w:szCs w:val="24"/>
        </w:rPr>
        <w:t>EPA</w:t>
      </w:r>
      <w:r w:rsidRPr="00A418F7">
        <w:rPr>
          <w:sz w:val="24"/>
          <w:szCs w:val="24"/>
        </w:rPr>
        <w:t xml:space="preserve"> met with Plumbing Manufacturers International (PMI), the major international trade association of plumbing products manufacturers. </w:t>
      </w:r>
      <w:proofErr w:type="gramStart"/>
      <w:r w:rsidRPr="00A418F7">
        <w:rPr>
          <w:sz w:val="24"/>
          <w:szCs w:val="24"/>
        </w:rPr>
        <w:t>Similar to</w:t>
      </w:r>
      <w:proofErr w:type="gramEnd"/>
      <w:r w:rsidRPr="00A418F7">
        <w:rPr>
          <w:sz w:val="24"/>
          <w:szCs w:val="24"/>
        </w:rPr>
        <w:t xml:space="preserve"> the April meeting with AFS, the purpose was to obtain input to help </w:t>
      </w:r>
      <w:r w:rsidR="00ED7716">
        <w:rPr>
          <w:sz w:val="24"/>
          <w:szCs w:val="24"/>
        </w:rPr>
        <w:t>EPA</w:t>
      </w:r>
      <w:r w:rsidRPr="00A418F7">
        <w:rPr>
          <w:sz w:val="24"/>
          <w:szCs w:val="24"/>
        </w:rPr>
        <w:t xml:space="preserve"> refine costs estimates for its proposed regulation related to plumbing product types that are manufactured by PMI members. Examples of these products include faucets, water filtration products, valves, and hoses.</w:t>
      </w:r>
      <w:r w:rsidR="00A514ED">
        <w:rPr>
          <w:sz w:val="24"/>
          <w:szCs w:val="24"/>
        </w:rPr>
        <w:t xml:space="preserve"> </w:t>
      </w:r>
      <w:r w:rsidR="00ED7716">
        <w:rPr>
          <w:sz w:val="24"/>
          <w:szCs w:val="24"/>
        </w:rPr>
        <w:t>EPA</w:t>
      </w:r>
      <w:r w:rsidRPr="00A418F7">
        <w:rPr>
          <w:sz w:val="24"/>
          <w:szCs w:val="24"/>
        </w:rPr>
        <w:t xml:space="preserve"> and PMI members discussed product identification methods, as well as the estimated percentage of products that currently include lead free identification, and associated costs. A summary of this meeting is available in the docket in folder EPA-HQ-OW-2015-0680-0255.</w:t>
      </w:r>
    </w:p>
    <w:p w:rsidR="00BE0CCD" w:rsidP="00A418F7" w:rsidRDefault="00BE0CCD" w14:paraId="249611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A418F7" w:rsidR="00A418F7" w:rsidP="00A418F7" w:rsidRDefault="00ED7716" w14:paraId="2C1828BD" w14:textId="5CB0B7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Pr="00A418F7" w:rsidR="00A418F7">
        <w:rPr>
          <w:sz w:val="24"/>
          <w:szCs w:val="24"/>
        </w:rPr>
        <w:t xml:space="preserve"> contacted the Association of State Drinking Water Administrators (ASDWA) for a list of representatives from </w:t>
      </w:r>
      <w:r w:rsidR="002F71A0">
        <w:rPr>
          <w:sz w:val="24"/>
          <w:szCs w:val="24"/>
        </w:rPr>
        <w:t>s</w:t>
      </w:r>
      <w:r w:rsidRPr="00A418F7" w:rsidR="00A418F7">
        <w:rPr>
          <w:sz w:val="24"/>
          <w:szCs w:val="24"/>
        </w:rPr>
        <w:t xml:space="preserve">tates who could provide valuable input during the development of the </w:t>
      </w:r>
      <w:r w:rsidR="00622388">
        <w:rPr>
          <w:sz w:val="24"/>
          <w:szCs w:val="24"/>
        </w:rPr>
        <w:t>p</w:t>
      </w:r>
      <w:r w:rsidRPr="00A418F7" w:rsidR="00A418F7">
        <w:rPr>
          <w:sz w:val="24"/>
          <w:szCs w:val="24"/>
        </w:rPr>
        <w:t xml:space="preserve">roposed </w:t>
      </w:r>
      <w:r w:rsidR="00622388">
        <w:rPr>
          <w:sz w:val="24"/>
          <w:szCs w:val="24"/>
        </w:rPr>
        <w:t>r</w:t>
      </w:r>
      <w:r w:rsidRPr="00A418F7" w:rsidR="00A418F7">
        <w:rPr>
          <w:sz w:val="24"/>
          <w:szCs w:val="24"/>
        </w:rPr>
        <w:t xml:space="preserve">ule. Based on ASDWA’s recommendations and availability of its members, </w:t>
      </w:r>
      <w:r>
        <w:rPr>
          <w:sz w:val="24"/>
          <w:szCs w:val="24"/>
        </w:rPr>
        <w:t>EPA</w:t>
      </w:r>
      <w:r w:rsidR="00C724C6">
        <w:rPr>
          <w:sz w:val="24"/>
          <w:szCs w:val="24"/>
        </w:rPr>
        <w:t xml:space="preserve"> </w:t>
      </w:r>
      <w:r w:rsidRPr="00A418F7" w:rsidR="00A418F7">
        <w:rPr>
          <w:sz w:val="24"/>
          <w:szCs w:val="24"/>
        </w:rPr>
        <w:t xml:space="preserve">consulted with representatives from drinking water programs within the States of Maine, Michigan, and Washington to help the Agency develop goals for the </w:t>
      </w:r>
      <w:r w:rsidR="00622388">
        <w:rPr>
          <w:sz w:val="24"/>
          <w:szCs w:val="24"/>
        </w:rPr>
        <w:t>p</w:t>
      </w:r>
      <w:r w:rsidRPr="00A418F7" w:rsidR="00A418F7">
        <w:rPr>
          <w:sz w:val="24"/>
          <w:szCs w:val="24"/>
        </w:rPr>
        <w:t xml:space="preserve">roposed </w:t>
      </w:r>
      <w:r w:rsidR="00622388">
        <w:rPr>
          <w:sz w:val="24"/>
          <w:szCs w:val="24"/>
        </w:rPr>
        <w:t>r</w:t>
      </w:r>
      <w:r w:rsidRPr="00A418F7" w:rsidR="00A418F7">
        <w:rPr>
          <w:sz w:val="24"/>
          <w:szCs w:val="24"/>
        </w:rPr>
        <w:t>ule.</w:t>
      </w:r>
    </w:p>
    <w:p w:rsidR="00BE0CCD" w:rsidP="00A418F7" w:rsidRDefault="00BE0CCD" w14:paraId="35DFA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418F7" w:rsidP="00A418F7" w:rsidRDefault="00ED7716" w14:paraId="5F8D01A8" w14:textId="4A44E5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Pr="00A418F7" w:rsidR="00A418F7">
        <w:rPr>
          <w:sz w:val="24"/>
          <w:szCs w:val="24"/>
        </w:rPr>
        <w:t xml:space="preserve"> held a webinar and meeting on April 14, 2015</w:t>
      </w:r>
      <w:r w:rsidR="00622388">
        <w:rPr>
          <w:sz w:val="24"/>
          <w:szCs w:val="24"/>
        </w:rPr>
        <w:t>,</w:t>
      </w:r>
      <w:r w:rsidRPr="00A418F7" w:rsidR="00A418F7">
        <w:rPr>
          <w:sz w:val="24"/>
          <w:szCs w:val="24"/>
        </w:rPr>
        <w:t xml:space="preserve"> to solicit public input</w:t>
      </w:r>
      <w:r w:rsidR="002F71A0">
        <w:rPr>
          <w:sz w:val="24"/>
          <w:szCs w:val="24"/>
        </w:rPr>
        <w:t xml:space="preserve"> for </w:t>
      </w:r>
      <w:r w:rsidRPr="00A418F7" w:rsidR="00A418F7">
        <w:rPr>
          <w:sz w:val="24"/>
          <w:szCs w:val="24"/>
        </w:rPr>
        <w:t>the</w:t>
      </w:r>
      <w:r w:rsidR="002F71A0">
        <w:rPr>
          <w:sz w:val="24"/>
          <w:szCs w:val="24"/>
        </w:rPr>
        <w:t xml:space="preserve"> Agency’s</w:t>
      </w:r>
      <w:r w:rsidRPr="00A418F7" w:rsidR="00A418F7">
        <w:rPr>
          <w:sz w:val="24"/>
          <w:szCs w:val="24"/>
        </w:rPr>
        <w:t xml:space="preserve"> </w:t>
      </w:r>
      <w:r w:rsidR="002F71A0">
        <w:rPr>
          <w:sz w:val="24"/>
          <w:szCs w:val="24"/>
        </w:rPr>
        <w:t xml:space="preserve">consideration in developing </w:t>
      </w:r>
      <w:r w:rsidRPr="00A418F7" w:rsidR="00A418F7">
        <w:rPr>
          <w:sz w:val="24"/>
          <w:szCs w:val="24"/>
        </w:rPr>
        <w:t xml:space="preserve">regulatory options for the </w:t>
      </w:r>
      <w:r w:rsidR="00622388">
        <w:rPr>
          <w:sz w:val="24"/>
          <w:szCs w:val="24"/>
        </w:rPr>
        <w:t>p</w:t>
      </w:r>
      <w:r w:rsidRPr="00A418F7" w:rsidR="00A418F7">
        <w:rPr>
          <w:sz w:val="24"/>
          <w:szCs w:val="24"/>
        </w:rPr>
        <w:t xml:space="preserve">roposed </w:t>
      </w:r>
      <w:r w:rsidR="00622388">
        <w:rPr>
          <w:sz w:val="24"/>
          <w:szCs w:val="24"/>
        </w:rPr>
        <w:t>r</w:t>
      </w:r>
      <w:r w:rsidRPr="00A418F7" w:rsidR="00A418F7">
        <w:rPr>
          <w:sz w:val="24"/>
          <w:szCs w:val="24"/>
        </w:rPr>
        <w:t xml:space="preserve">ule. The meeting provided the opportunity for state, utility, industry, and environmental/consumer stakeholders to share their perspectives on the successes and challenges of implementing the RLDWA. More than 150 people attended the online webinar and 12 </w:t>
      </w:r>
      <w:r w:rsidR="002F71A0">
        <w:rPr>
          <w:sz w:val="24"/>
          <w:szCs w:val="24"/>
        </w:rPr>
        <w:t xml:space="preserve">people </w:t>
      </w:r>
      <w:r w:rsidRPr="00A418F7" w:rsidR="00A418F7">
        <w:rPr>
          <w:sz w:val="24"/>
          <w:szCs w:val="24"/>
        </w:rPr>
        <w:t>attended in person.</w:t>
      </w:r>
    </w:p>
    <w:p w:rsidR="00623247" w:rsidP="00A418F7" w:rsidRDefault="00623247" w14:paraId="3F8576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A418F7" w:rsidR="00623247" w:rsidP="00A418F7" w:rsidRDefault="00ED7716" w14:paraId="7E1853DE" w14:textId="6B842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00623247">
        <w:rPr>
          <w:sz w:val="24"/>
          <w:szCs w:val="24"/>
        </w:rPr>
        <w:t xml:space="preserve"> contacted the eight firms currently accredited to certify plumbing components for compliance with the NSF/ANSI Standard 372 for information on the cost of certification and the technical process for testing and certifying products as meeting the standard. Four of the firms provided </w:t>
      </w:r>
      <w:r>
        <w:rPr>
          <w:sz w:val="24"/>
          <w:szCs w:val="24"/>
        </w:rPr>
        <w:t>EPA</w:t>
      </w:r>
      <w:r w:rsidR="00623247">
        <w:rPr>
          <w:sz w:val="24"/>
          <w:szCs w:val="24"/>
        </w:rPr>
        <w:t xml:space="preserve"> with information that was used in developing the economic analysis for the rule.</w:t>
      </w:r>
    </w:p>
    <w:p w:rsidR="00BE0CCD" w:rsidP="00A418F7" w:rsidRDefault="00BE0CCD" w14:paraId="06565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418F7" w:rsidP="00BE0CCD" w:rsidRDefault="00ED7716" w14:paraId="39F078E9" w14:textId="08C9A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Pr="00A418F7" w:rsidR="00A418F7">
        <w:rPr>
          <w:sz w:val="24"/>
          <w:szCs w:val="24"/>
        </w:rPr>
        <w:t xml:space="preserve"> </w:t>
      </w:r>
      <w:r w:rsidR="00BE0CCD">
        <w:rPr>
          <w:sz w:val="24"/>
          <w:szCs w:val="24"/>
        </w:rPr>
        <w:t xml:space="preserve">consulted with </w:t>
      </w:r>
      <w:r w:rsidRPr="00A418F7" w:rsidR="00A418F7">
        <w:rPr>
          <w:sz w:val="24"/>
          <w:szCs w:val="24"/>
        </w:rPr>
        <w:t xml:space="preserve">the National Drinking Water Advisory Council (NDWAC) on potential changes to the regulations pertaining to lead under the SDWA and </w:t>
      </w:r>
      <w:r w:rsidR="00622388">
        <w:rPr>
          <w:sz w:val="24"/>
          <w:szCs w:val="24"/>
        </w:rPr>
        <w:t>asked</w:t>
      </w:r>
      <w:r w:rsidRPr="00A418F7" w:rsidR="00A418F7">
        <w:rPr>
          <w:sz w:val="24"/>
          <w:szCs w:val="24"/>
        </w:rPr>
        <w:t xml:space="preserve"> the Council to consider sources of lead throughout water distribution systems, including through components used to reroute drinking water during distribution system repairs.</w:t>
      </w:r>
      <w:r w:rsidR="00623247">
        <w:rPr>
          <w:sz w:val="24"/>
          <w:szCs w:val="24"/>
        </w:rPr>
        <w:t xml:space="preserve"> </w:t>
      </w:r>
      <w:r w:rsidRPr="00A418F7" w:rsidR="00A418F7">
        <w:rPr>
          <w:sz w:val="24"/>
          <w:szCs w:val="24"/>
        </w:rPr>
        <w:t xml:space="preserve">In December 2013, </w:t>
      </w:r>
      <w:r>
        <w:rPr>
          <w:sz w:val="24"/>
          <w:szCs w:val="24"/>
        </w:rPr>
        <w:t>EPA</w:t>
      </w:r>
      <w:r w:rsidRPr="00A418F7" w:rsidR="00A418F7">
        <w:rPr>
          <w:sz w:val="24"/>
          <w:szCs w:val="24"/>
        </w:rPr>
        <w:t xml:space="preserve"> presented information to the NDWAC on the RLDWA and the Agency’s plans to develop a regulation to clarify the requirements of this Act. </w:t>
      </w:r>
    </w:p>
    <w:p w:rsidR="00B803B3" w:rsidP="00BE0CCD" w:rsidRDefault="00B803B3" w14:paraId="595B65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803B3" w:rsidP="00BE0CCD" w:rsidRDefault="00ED7716" w14:paraId="224DE355" w14:textId="75579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Pr="00B803B3" w:rsidR="00B803B3">
        <w:rPr>
          <w:sz w:val="24"/>
          <w:szCs w:val="24"/>
        </w:rPr>
        <w:t xml:space="preserve"> received a comment </w:t>
      </w:r>
      <w:r w:rsidR="00B803B3">
        <w:rPr>
          <w:sz w:val="24"/>
          <w:szCs w:val="24"/>
        </w:rPr>
        <w:t>during the public comment period for the proposed rule</w:t>
      </w:r>
      <w:r w:rsidR="00622388">
        <w:rPr>
          <w:sz w:val="24"/>
          <w:szCs w:val="24"/>
        </w:rPr>
        <w:t>,</w:t>
      </w:r>
      <w:r w:rsidR="00B803B3">
        <w:rPr>
          <w:sz w:val="24"/>
          <w:szCs w:val="24"/>
        </w:rPr>
        <w:t xml:space="preserve"> </w:t>
      </w:r>
      <w:r w:rsidRPr="00B803B3" w:rsidR="00B803B3">
        <w:rPr>
          <w:sz w:val="24"/>
          <w:szCs w:val="24"/>
        </w:rPr>
        <w:t xml:space="preserve">stating that self-certification should be allowed for custom fabricated products and that custom fabrication should be defined. </w:t>
      </w:r>
      <w:r w:rsidR="004668ED">
        <w:rPr>
          <w:sz w:val="24"/>
          <w:szCs w:val="24"/>
        </w:rPr>
        <w:t>T</w:t>
      </w:r>
      <w:r w:rsidRPr="00B803B3" w:rsidR="00B803B3">
        <w:rPr>
          <w:sz w:val="24"/>
          <w:szCs w:val="24"/>
        </w:rPr>
        <w:t xml:space="preserve">o evaluate the comment on this issue, </w:t>
      </w:r>
      <w:r>
        <w:rPr>
          <w:sz w:val="24"/>
          <w:szCs w:val="24"/>
        </w:rPr>
        <w:t>EPA</w:t>
      </w:r>
      <w:r w:rsidRPr="00B803B3" w:rsidR="00B803B3">
        <w:rPr>
          <w:sz w:val="24"/>
          <w:szCs w:val="24"/>
        </w:rPr>
        <w:t xml:space="preserve"> conducted calls during March and April 2018 with representatives of four manufacturing companies and two ANSI accredited</w:t>
      </w:r>
      <w:r w:rsidR="00622388">
        <w:rPr>
          <w:sz w:val="24"/>
          <w:szCs w:val="24"/>
        </w:rPr>
        <w:t>,</w:t>
      </w:r>
      <w:r w:rsidRPr="00B803B3" w:rsidR="00B803B3">
        <w:rPr>
          <w:sz w:val="24"/>
          <w:szCs w:val="24"/>
        </w:rPr>
        <w:t xml:space="preserve"> third party certification bodies to obtain information concerning how the custom fabrication industry functions and how the industry would characterize custom fabrication pertaining to lead free pipes, </w:t>
      </w:r>
      <w:r w:rsidR="00F54A9B">
        <w:rPr>
          <w:sz w:val="24"/>
          <w:szCs w:val="24"/>
        </w:rPr>
        <w:t>fittings,</w:t>
      </w:r>
      <w:r w:rsidRPr="00B803B3" w:rsidR="00B803B3">
        <w:rPr>
          <w:sz w:val="24"/>
          <w:szCs w:val="24"/>
        </w:rPr>
        <w:t xml:space="preserve"> and </w:t>
      </w:r>
      <w:r w:rsidR="00F54A9B">
        <w:rPr>
          <w:sz w:val="24"/>
          <w:szCs w:val="24"/>
        </w:rPr>
        <w:t>fixtures</w:t>
      </w:r>
      <w:r w:rsidRPr="00B803B3" w:rsidR="00B803B3">
        <w:rPr>
          <w:sz w:val="24"/>
          <w:szCs w:val="24"/>
        </w:rPr>
        <w:t xml:space="preserve"> for plumbing and public water systems. A list of the questions </w:t>
      </w:r>
      <w:r>
        <w:rPr>
          <w:sz w:val="24"/>
          <w:szCs w:val="24"/>
        </w:rPr>
        <w:t>EPA</w:t>
      </w:r>
      <w:r w:rsidRPr="00B803B3" w:rsidR="00B803B3">
        <w:rPr>
          <w:sz w:val="24"/>
          <w:szCs w:val="24"/>
        </w:rPr>
        <w:t xml:space="preserve"> asked during these calls and a summary of the individual responses is contained in the </w:t>
      </w:r>
      <w:r w:rsidRPr="00F059E1" w:rsidR="00B803B3">
        <w:rPr>
          <w:sz w:val="24"/>
          <w:szCs w:val="24"/>
        </w:rPr>
        <w:t xml:space="preserve">docket </w:t>
      </w:r>
      <w:r w:rsidRPr="00F059E1" w:rsidR="00F059E1">
        <w:rPr>
          <w:sz w:val="24"/>
          <w:szCs w:val="24"/>
        </w:rPr>
        <w:t xml:space="preserve">in folder </w:t>
      </w:r>
      <w:r w:rsidRPr="00F059E1" w:rsidR="00B803B3">
        <w:rPr>
          <w:sz w:val="24"/>
          <w:szCs w:val="24"/>
        </w:rPr>
        <w:t>EPA-HQ-OW-2015-0680</w:t>
      </w:r>
      <w:r w:rsidRPr="00F059E1" w:rsidR="00F059E1">
        <w:rPr>
          <w:sz w:val="24"/>
          <w:szCs w:val="24"/>
        </w:rPr>
        <w:t>-0375</w:t>
      </w:r>
      <w:r w:rsidR="00F059E1">
        <w:rPr>
          <w:sz w:val="24"/>
          <w:szCs w:val="24"/>
        </w:rPr>
        <w:t>.</w:t>
      </w:r>
    </w:p>
    <w:p w:rsidRPr="006046B0" w:rsidR="00A418F7" w:rsidP="006046B0" w:rsidRDefault="00A418F7" w14:paraId="2116EF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F059E1" w:rsidR="006046B0" w:rsidP="006046B0" w:rsidRDefault="006046B0" w14:paraId="07E43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059E1">
        <w:rPr>
          <w:b/>
          <w:sz w:val="24"/>
          <w:szCs w:val="24"/>
        </w:rPr>
        <w:t>3(d) Effects of Less Frequent Collection</w:t>
      </w:r>
    </w:p>
    <w:p w:rsidR="00F059E1" w:rsidP="006046B0" w:rsidRDefault="00F059E1" w14:paraId="5864D0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47E6E" w:rsidP="006046B0" w:rsidRDefault="00ED7716" w14:paraId="33F522BD" w14:textId="02C1A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Pr="00225420" w:rsidR="00FC7F0C">
        <w:rPr>
          <w:sz w:val="24"/>
          <w:szCs w:val="24"/>
        </w:rPr>
        <w:t xml:space="preserve"> considered alternative frequencies </w:t>
      </w:r>
      <w:r w:rsidR="00622388">
        <w:rPr>
          <w:sz w:val="24"/>
          <w:szCs w:val="24"/>
        </w:rPr>
        <w:t xml:space="preserve">of </w:t>
      </w:r>
      <w:r w:rsidRPr="00225420" w:rsidR="00FC7F0C">
        <w:rPr>
          <w:sz w:val="24"/>
          <w:szCs w:val="24"/>
        </w:rPr>
        <w:t>record retention for certified products</w:t>
      </w:r>
      <w:r w:rsidR="00533061">
        <w:rPr>
          <w:sz w:val="24"/>
          <w:szCs w:val="24"/>
        </w:rPr>
        <w:t>,</w:t>
      </w:r>
      <w:r w:rsidR="00622388">
        <w:rPr>
          <w:sz w:val="24"/>
          <w:szCs w:val="24"/>
        </w:rPr>
        <w:t xml:space="preserve"> and</w:t>
      </w:r>
      <w:r w:rsidR="00BC25A3">
        <w:rPr>
          <w:sz w:val="24"/>
          <w:szCs w:val="24"/>
        </w:rPr>
        <w:t xml:space="preserve"> </w:t>
      </w:r>
      <w:r w:rsidR="00622388">
        <w:rPr>
          <w:sz w:val="24"/>
          <w:szCs w:val="24"/>
        </w:rPr>
        <w:t>ultimately</w:t>
      </w:r>
      <w:r w:rsidR="00BC25A3">
        <w:rPr>
          <w:sz w:val="24"/>
          <w:szCs w:val="24"/>
        </w:rPr>
        <w:t xml:space="preserve"> </w:t>
      </w:r>
      <w:r w:rsidRPr="00225420" w:rsidR="00FC7F0C">
        <w:rPr>
          <w:sz w:val="24"/>
          <w:szCs w:val="24"/>
        </w:rPr>
        <w:t xml:space="preserve">chose to utilize a frequency that considers the </w:t>
      </w:r>
      <w:r w:rsidR="00FE3CF2">
        <w:rPr>
          <w:sz w:val="24"/>
          <w:szCs w:val="24"/>
        </w:rPr>
        <w:t xml:space="preserve">maximum length of time a product certification is considered valid by </w:t>
      </w:r>
      <w:r w:rsidRPr="00225420" w:rsidR="00FC7F0C">
        <w:rPr>
          <w:sz w:val="24"/>
          <w:szCs w:val="24"/>
        </w:rPr>
        <w:t xml:space="preserve">third party certification bodies </w:t>
      </w:r>
      <w:r w:rsidR="00533061">
        <w:rPr>
          <w:sz w:val="24"/>
          <w:szCs w:val="24"/>
        </w:rPr>
        <w:t>(</w:t>
      </w:r>
      <w:r w:rsidRPr="00225420" w:rsidR="00FC7F0C">
        <w:rPr>
          <w:sz w:val="24"/>
          <w:szCs w:val="24"/>
        </w:rPr>
        <w:t>already voluntarily used by some firms</w:t>
      </w:r>
      <w:r w:rsidR="00533061">
        <w:rPr>
          <w:sz w:val="24"/>
          <w:szCs w:val="24"/>
        </w:rPr>
        <w:t>)</w:t>
      </w:r>
      <w:r w:rsidRPr="00225420" w:rsidR="00FC7F0C">
        <w:rPr>
          <w:sz w:val="24"/>
          <w:szCs w:val="24"/>
        </w:rPr>
        <w:t>.</w:t>
      </w:r>
      <w:r w:rsidR="00225420">
        <w:rPr>
          <w:sz w:val="24"/>
          <w:szCs w:val="24"/>
        </w:rPr>
        <w:t xml:space="preserve"> </w:t>
      </w:r>
      <w:r>
        <w:rPr>
          <w:sz w:val="24"/>
          <w:szCs w:val="24"/>
        </w:rPr>
        <w:t>EPA</w:t>
      </w:r>
      <w:r w:rsidR="00225420">
        <w:rPr>
          <w:sz w:val="24"/>
          <w:szCs w:val="24"/>
        </w:rPr>
        <w:t xml:space="preserve"> may request </w:t>
      </w:r>
      <w:r w:rsidR="00533061">
        <w:rPr>
          <w:sz w:val="24"/>
          <w:szCs w:val="24"/>
        </w:rPr>
        <w:t xml:space="preserve">case-specific </w:t>
      </w:r>
      <w:r w:rsidR="00622388">
        <w:rPr>
          <w:sz w:val="24"/>
          <w:szCs w:val="24"/>
        </w:rPr>
        <w:t xml:space="preserve">information </w:t>
      </w:r>
      <w:r w:rsidR="00225420">
        <w:rPr>
          <w:sz w:val="24"/>
          <w:szCs w:val="24"/>
        </w:rPr>
        <w:t>from regulated firms in future years following the effective date for certification requirements</w:t>
      </w:r>
      <w:r w:rsidR="00FE3CF2">
        <w:rPr>
          <w:sz w:val="24"/>
          <w:szCs w:val="24"/>
        </w:rPr>
        <w:t xml:space="preserve"> (which is not within the timeframe of this initial ICR)</w:t>
      </w:r>
      <w:r w:rsidR="00622388">
        <w:rPr>
          <w:sz w:val="24"/>
          <w:szCs w:val="24"/>
        </w:rPr>
        <w:t>.</w:t>
      </w:r>
      <w:r w:rsidR="00225420">
        <w:rPr>
          <w:sz w:val="24"/>
          <w:szCs w:val="24"/>
        </w:rPr>
        <w:t xml:space="preserve"> </w:t>
      </w:r>
      <w:r>
        <w:rPr>
          <w:sz w:val="24"/>
          <w:szCs w:val="24"/>
        </w:rPr>
        <w:t>EPA</w:t>
      </w:r>
      <w:r w:rsidR="00225420">
        <w:rPr>
          <w:sz w:val="24"/>
          <w:szCs w:val="24"/>
        </w:rPr>
        <w:t xml:space="preserve"> projected future costs based on 10 such case-by-case requests per year. </w:t>
      </w:r>
      <w:r>
        <w:rPr>
          <w:sz w:val="24"/>
          <w:szCs w:val="24"/>
        </w:rPr>
        <w:t>EPA</w:t>
      </w:r>
      <w:r w:rsidR="00225420">
        <w:rPr>
          <w:sz w:val="24"/>
          <w:szCs w:val="24"/>
        </w:rPr>
        <w:t xml:space="preserve"> estimates there are 2,193 manufacturing firms impacted by the rule</w:t>
      </w:r>
      <w:r w:rsidR="00F47E6E">
        <w:rPr>
          <w:sz w:val="24"/>
          <w:szCs w:val="24"/>
        </w:rPr>
        <w:t>, and</w:t>
      </w:r>
      <w:r w:rsidR="00225420">
        <w:rPr>
          <w:sz w:val="24"/>
          <w:szCs w:val="24"/>
        </w:rPr>
        <w:t xml:space="preserve"> information to be submitted to </w:t>
      </w:r>
      <w:r>
        <w:rPr>
          <w:sz w:val="24"/>
          <w:szCs w:val="24"/>
        </w:rPr>
        <w:t>EPA</w:t>
      </w:r>
      <w:r w:rsidR="00225420">
        <w:rPr>
          <w:sz w:val="24"/>
          <w:szCs w:val="24"/>
        </w:rPr>
        <w:t xml:space="preserve"> in any single year is expected to average less than 0.5% of </w:t>
      </w:r>
      <w:r w:rsidR="00213B35">
        <w:rPr>
          <w:sz w:val="24"/>
          <w:szCs w:val="24"/>
        </w:rPr>
        <w:t>the total number of firms</w:t>
      </w:r>
      <w:r w:rsidR="00F47E6E">
        <w:rPr>
          <w:sz w:val="24"/>
          <w:szCs w:val="24"/>
        </w:rPr>
        <w:t>.</w:t>
      </w:r>
    </w:p>
    <w:p w:rsidR="00F47E6E" w:rsidP="006046B0" w:rsidRDefault="00F47E6E" w14:paraId="5E426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F059E1" w:rsidR="006046B0" w:rsidP="006046B0" w:rsidRDefault="006046B0" w14:paraId="2C242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059E1">
        <w:rPr>
          <w:b/>
          <w:sz w:val="24"/>
          <w:szCs w:val="24"/>
        </w:rPr>
        <w:t>3(e) General Guidelines</w:t>
      </w:r>
    </w:p>
    <w:p w:rsidR="006B7C64" w:rsidP="006046B0" w:rsidRDefault="006B7C64" w14:paraId="2DECE0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B7C64" w:rsidP="006046B0" w:rsidRDefault="006B7C64" w14:paraId="32975D22" w14:textId="4787AF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With one exception, this information collection complies with the conditions set out in 5 CFR 1320.5(d)(2). The one provision requiring special justification (</w:t>
      </w:r>
      <w:r w:rsidR="00810521">
        <w:rPr>
          <w:sz w:val="24"/>
          <w:szCs w:val="24"/>
        </w:rPr>
        <w:t xml:space="preserve">concerning </w:t>
      </w:r>
      <w:r>
        <w:rPr>
          <w:sz w:val="24"/>
          <w:szCs w:val="24"/>
        </w:rPr>
        <w:t xml:space="preserve">a five-year records retention requirement) is discussed in section 3d above.  </w:t>
      </w:r>
    </w:p>
    <w:p w:rsidRPr="00533061" w:rsidR="00F47E6E" w:rsidP="006046B0" w:rsidRDefault="00F47E6E" w14:paraId="1C9718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25D93" w:rsidR="006046B0" w:rsidP="006046B0" w:rsidRDefault="006046B0" w14:paraId="27AC52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25D93">
        <w:rPr>
          <w:b/>
          <w:sz w:val="24"/>
          <w:szCs w:val="24"/>
        </w:rPr>
        <w:t>3(f) Confidentiality</w:t>
      </w:r>
    </w:p>
    <w:p w:rsidR="00625D93" w:rsidP="006046B0" w:rsidRDefault="00625D93" w14:paraId="18D8E9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046B0" w:rsidR="00B2585A" w:rsidP="006046B0" w:rsidRDefault="00B2585A" w14:paraId="548A6D10" w14:textId="62B2D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Information related to a product’s certification status will be held by the individual domestic manufacturing firm or by </w:t>
      </w:r>
      <w:r w:rsidR="00F47E6E">
        <w:rPr>
          <w:sz w:val="24"/>
          <w:szCs w:val="24"/>
        </w:rPr>
        <w:t xml:space="preserve">the </w:t>
      </w:r>
      <w:r>
        <w:rPr>
          <w:sz w:val="24"/>
          <w:szCs w:val="24"/>
        </w:rPr>
        <w:t xml:space="preserve">importer </w:t>
      </w:r>
      <w:r w:rsidRPr="00EC522A" w:rsidR="00EC522A">
        <w:rPr>
          <w:sz w:val="24"/>
          <w:szCs w:val="24"/>
        </w:rPr>
        <w:t xml:space="preserve">entering products purchased from or manufactured by </w:t>
      </w:r>
      <w:r>
        <w:rPr>
          <w:sz w:val="24"/>
          <w:szCs w:val="24"/>
        </w:rPr>
        <w:t xml:space="preserve">a manufacturer. Since this information will not be provided to </w:t>
      </w:r>
      <w:r w:rsidR="00ED7716">
        <w:rPr>
          <w:sz w:val="24"/>
          <w:szCs w:val="24"/>
        </w:rPr>
        <w:t>EPA</w:t>
      </w:r>
      <w:r>
        <w:rPr>
          <w:sz w:val="24"/>
          <w:szCs w:val="24"/>
        </w:rPr>
        <w:t xml:space="preserve"> except on a case-by-case basis upon request, there will be no need for measures to provide for confidentiality except as follows</w:t>
      </w:r>
      <w:r w:rsidR="00F47E6E">
        <w:rPr>
          <w:sz w:val="24"/>
          <w:szCs w:val="24"/>
        </w:rPr>
        <w:t>:</w:t>
      </w:r>
      <w:r>
        <w:rPr>
          <w:sz w:val="24"/>
          <w:szCs w:val="24"/>
        </w:rPr>
        <w:t xml:space="preserve"> If compliance with the statute or rule provisions requires investigation, the rule contains a provision allowing the Administrator o</w:t>
      </w:r>
      <w:r w:rsidR="00F47E6E">
        <w:rPr>
          <w:sz w:val="24"/>
          <w:szCs w:val="24"/>
        </w:rPr>
        <w:t>r</w:t>
      </w:r>
      <w:r>
        <w:rPr>
          <w:sz w:val="24"/>
          <w:szCs w:val="24"/>
        </w:rPr>
        <w:t xml:space="preserve"> his or her authorized representative to request and be provided with information deemed necessary to determine whether a person has </w:t>
      </w:r>
      <w:r w:rsidR="00B803B3">
        <w:rPr>
          <w:sz w:val="24"/>
          <w:szCs w:val="24"/>
        </w:rPr>
        <w:t xml:space="preserve">acted or is acting in compliance with </w:t>
      </w:r>
      <w:r w:rsidR="00F47E6E">
        <w:rPr>
          <w:sz w:val="24"/>
          <w:szCs w:val="24"/>
        </w:rPr>
        <w:t>S</w:t>
      </w:r>
      <w:r w:rsidR="00B803B3">
        <w:rPr>
          <w:sz w:val="24"/>
          <w:szCs w:val="24"/>
        </w:rPr>
        <w:t xml:space="preserve">ection 1417 of SDWA or the </w:t>
      </w:r>
      <w:r w:rsidR="005F6080">
        <w:rPr>
          <w:sz w:val="24"/>
          <w:szCs w:val="24"/>
        </w:rPr>
        <w:t xml:space="preserve">final </w:t>
      </w:r>
      <w:r w:rsidR="00B803B3">
        <w:rPr>
          <w:sz w:val="24"/>
          <w:szCs w:val="24"/>
        </w:rPr>
        <w:t>rule. This includes information related to product certification. The frequency and need for requesting such</w:t>
      </w:r>
      <w:r w:rsidR="00C619F9">
        <w:rPr>
          <w:sz w:val="24"/>
          <w:szCs w:val="24"/>
        </w:rPr>
        <w:t xml:space="preserve"> case-specific</w:t>
      </w:r>
      <w:r w:rsidR="00B803B3">
        <w:rPr>
          <w:sz w:val="24"/>
          <w:szCs w:val="24"/>
        </w:rPr>
        <w:t xml:space="preserve"> information cannot be known in advance. For costing purposes, </w:t>
      </w:r>
      <w:r w:rsidR="00ED7716">
        <w:rPr>
          <w:sz w:val="24"/>
          <w:szCs w:val="24"/>
        </w:rPr>
        <w:t>EPA</w:t>
      </w:r>
      <w:r w:rsidR="00B803B3">
        <w:rPr>
          <w:sz w:val="24"/>
          <w:szCs w:val="24"/>
        </w:rPr>
        <w:t xml:space="preserve"> has assumed an average of 10 such requests per year. The handling of such information requested will be consistent with </w:t>
      </w:r>
      <w:r w:rsidR="00ED7716">
        <w:rPr>
          <w:sz w:val="24"/>
          <w:szCs w:val="24"/>
        </w:rPr>
        <w:t>EPA</w:t>
      </w:r>
      <w:r w:rsidR="00B803B3">
        <w:rPr>
          <w:sz w:val="24"/>
          <w:szCs w:val="24"/>
        </w:rPr>
        <w:t>’s confidentiality regulations (</w:t>
      </w:r>
      <w:r w:rsidR="005F6080">
        <w:rPr>
          <w:sz w:val="24"/>
          <w:szCs w:val="24"/>
        </w:rPr>
        <w:t xml:space="preserve">at </w:t>
      </w:r>
      <w:r w:rsidR="00B803B3">
        <w:rPr>
          <w:sz w:val="24"/>
          <w:szCs w:val="24"/>
        </w:rPr>
        <w:t>40 CFR 2.201 et. seq.)</w:t>
      </w:r>
      <w:r w:rsidR="00FE3CF2">
        <w:rPr>
          <w:sz w:val="24"/>
          <w:szCs w:val="24"/>
        </w:rPr>
        <w:t xml:space="preserve">. However, as stated earlier, since the final rule certification provisions are not effective until three years after final regulation </w:t>
      </w:r>
      <w:r w:rsidR="00FE3CF2">
        <w:rPr>
          <w:sz w:val="24"/>
          <w:szCs w:val="24"/>
        </w:rPr>
        <w:lastRenderedPageBreak/>
        <w:t xml:space="preserve">publication, </w:t>
      </w:r>
      <w:r w:rsidR="00ED7716">
        <w:rPr>
          <w:sz w:val="24"/>
          <w:szCs w:val="24"/>
        </w:rPr>
        <w:t>EPA</w:t>
      </w:r>
      <w:r w:rsidR="00FE3CF2">
        <w:rPr>
          <w:sz w:val="24"/>
          <w:szCs w:val="24"/>
        </w:rPr>
        <w:t xml:space="preserve"> does not anticipate any</w:t>
      </w:r>
      <w:r w:rsidR="00C619F9">
        <w:rPr>
          <w:sz w:val="24"/>
          <w:szCs w:val="24"/>
        </w:rPr>
        <w:t xml:space="preserve"> case-specific </w:t>
      </w:r>
      <w:r w:rsidR="00FE3CF2">
        <w:rPr>
          <w:sz w:val="24"/>
          <w:szCs w:val="24"/>
        </w:rPr>
        <w:t>requests during the period of this initial ICR.</w:t>
      </w:r>
    </w:p>
    <w:p w:rsidRPr="00625D93" w:rsidR="006046B0" w:rsidP="006046B0" w:rsidRDefault="006046B0" w14:paraId="1C05F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25D93">
        <w:rPr>
          <w:b/>
          <w:sz w:val="24"/>
          <w:szCs w:val="24"/>
        </w:rPr>
        <w:t>3(g) Sensitive Questions</w:t>
      </w:r>
    </w:p>
    <w:p w:rsidR="00625D93" w:rsidP="006046B0" w:rsidRDefault="00625D93" w14:paraId="2D02D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046B0" w:rsidR="00B803B3" w:rsidP="006046B0" w:rsidRDefault="00B803B3" w14:paraId="616DA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 information collection activity does not involve any sensitive questions.</w:t>
      </w:r>
    </w:p>
    <w:p w:rsidR="006046B0" w:rsidP="006046B0" w:rsidRDefault="006046B0" w14:paraId="469BDEF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625D93" w:rsidR="006046B0" w:rsidP="006046B0" w:rsidRDefault="006046B0" w14:paraId="64C699B4"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25D93">
        <w:rPr>
          <w:b/>
          <w:sz w:val="24"/>
          <w:szCs w:val="24"/>
        </w:rPr>
        <w:t>Respondents and Information Requested</w:t>
      </w:r>
      <w:r w:rsidRPr="00625D93">
        <w:rPr>
          <w:b/>
          <w:sz w:val="24"/>
          <w:szCs w:val="24"/>
        </w:rPr>
        <w:tab/>
      </w:r>
    </w:p>
    <w:p w:rsidR="00625D93" w:rsidP="006046B0" w:rsidRDefault="00625D93" w14:paraId="320369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625D93" w:rsidR="006046B0" w:rsidP="006046B0" w:rsidRDefault="006046B0" w14:paraId="47F90E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25D93">
        <w:rPr>
          <w:b/>
          <w:sz w:val="24"/>
          <w:szCs w:val="24"/>
        </w:rPr>
        <w:t>4(a) Respondents/SIC Codes</w:t>
      </w:r>
    </w:p>
    <w:p w:rsidR="006046B0" w:rsidP="006046B0" w:rsidRDefault="006046B0" w14:paraId="38B3C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P="006046B0" w:rsidRDefault="006046B0" w14:paraId="64F7509A" w14:textId="65E31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following </w:t>
      </w:r>
      <w:r w:rsidR="00505DD6">
        <w:rPr>
          <w:sz w:val="24"/>
          <w:szCs w:val="24"/>
        </w:rPr>
        <w:t xml:space="preserve">North American </w:t>
      </w:r>
      <w:r w:rsidR="00483405">
        <w:rPr>
          <w:sz w:val="24"/>
          <w:szCs w:val="24"/>
        </w:rPr>
        <w:t>Industry Classification System (</w:t>
      </w:r>
      <w:r>
        <w:rPr>
          <w:sz w:val="24"/>
          <w:szCs w:val="24"/>
        </w:rPr>
        <w:t>NAICS</w:t>
      </w:r>
      <w:r w:rsidR="00483405">
        <w:rPr>
          <w:sz w:val="24"/>
          <w:szCs w:val="24"/>
        </w:rPr>
        <w:t>)</w:t>
      </w:r>
      <w:r>
        <w:rPr>
          <w:sz w:val="24"/>
          <w:szCs w:val="24"/>
        </w:rPr>
        <w:t xml:space="preserve"> Codes are impacted by this ICR</w:t>
      </w:r>
      <w:r w:rsidR="00483405">
        <w:rPr>
          <w:sz w:val="24"/>
          <w:szCs w:val="24"/>
        </w:rPr>
        <w:t xml:space="preserve"> during the </w:t>
      </w:r>
      <w:r w:rsidR="00F54A9B">
        <w:rPr>
          <w:sz w:val="24"/>
          <w:szCs w:val="24"/>
        </w:rPr>
        <w:t>3-</w:t>
      </w:r>
      <w:r w:rsidR="00483405">
        <w:rPr>
          <w:sz w:val="24"/>
          <w:szCs w:val="24"/>
        </w:rPr>
        <w:t>year period</w:t>
      </w:r>
      <w:r>
        <w:rPr>
          <w:sz w:val="24"/>
          <w:szCs w:val="24"/>
        </w:rPr>
        <w:t>.</w:t>
      </w:r>
    </w:p>
    <w:p w:rsidR="00F80EC9" w:rsidP="006046B0" w:rsidRDefault="00F80EC9" w14:paraId="5353E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7200"/>
      </w:tblGrid>
      <w:tr w:rsidRPr="006046B0" w:rsidR="0049558D" w:rsidTr="005E3E26" w14:paraId="240EA4A8" w14:textId="60CC620A">
        <w:trPr>
          <w:trHeight w:val="290"/>
        </w:trPr>
        <w:tc>
          <w:tcPr>
            <w:tcW w:w="1980" w:type="dxa"/>
            <w:shd w:val="clear" w:color="auto" w:fill="FFFFFF" w:themeFill="background1"/>
            <w:noWrap/>
            <w:vAlign w:val="center"/>
            <w:hideMark/>
          </w:tcPr>
          <w:p w:rsidRPr="005E3E26" w:rsidR="0049558D" w:rsidP="006046B0" w:rsidRDefault="0049558D" w14:paraId="20096905" w14:textId="77777777">
            <w:pPr>
              <w:autoSpaceDE/>
              <w:adjustRightInd/>
              <w:jc w:val="center"/>
              <w:rPr>
                <w:rFonts w:ascii="Calibri" w:hAnsi="Calibri"/>
                <w:b/>
                <w:color w:val="000000"/>
              </w:rPr>
            </w:pPr>
            <w:r w:rsidRPr="005E3E26">
              <w:rPr>
                <w:rFonts w:ascii="Calibri" w:hAnsi="Calibri"/>
                <w:b/>
                <w:color w:val="000000"/>
              </w:rPr>
              <w:t>NAICS Code</w:t>
            </w:r>
          </w:p>
        </w:tc>
        <w:tc>
          <w:tcPr>
            <w:tcW w:w="7200" w:type="dxa"/>
            <w:shd w:val="clear" w:color="auto" w:fill="FFFFFF" w:themeFill="background1"/>
          </w:tcPr>
          <w:p w:rsidRPr="005E3E26" w:rsidR="0049558D" w:rsidP="006046B0" w:rsidRDefault="0049558D" w14:paraId="1BD9F965" w14:textId="1D8BF247">
            <w:pPr>
              <w:autoSpaceDE/>
              <w:adjustRightInd/>
              <w:jc w:val="center"/>
              <w:rPr>
                <w:rFonts w:ascii="Calibri" w:hAnsi="Calibri"/>
                <w:b/>
                <w:color w:val="000000"/>
              </w:rPr>
            </w:pPr>
            <w:r w:rsidRPr="005E3E26">
              <w:rPr>
                <w:rFonts w:ascii="Calibri" w:hAnsi="Calibri"/>
                <w:b/>
                <w:color w:val="000000"/>
              </w:rPr>
              <w:t>Description</w:t>
            </w:r>
          </w:p>
        </w:tc>
      </w:tr>
      <w:tr w:rsidRPr="006046B0" w:rsidR="0049558D" w:rsidTr="005E3E26" w14:paraId="1610BEB9" w14:textId="1441506A">
        <w:trPr>
          <w:trHeight w:val="290"/>
        </w:trPr>
        <w:tc>
          <w:tcPr>
            <w:tcW w:w="1980" w:type="dxa"/>
            <w:shd w:val="clear" w:color="auto" w:fill="FFFFFF" w:themeFill="background1"/>
            <w:noWrap/>
            <w:vAlign w:val="center"/>
            <w:hideMark/>
          </w:tcPr>
          <w:p w:rsidRPr="006046B0" w:rsidR="0049558D" w:rsidP="006046B0" w:rsidRDefault="0049558D" w14:paraId="60CF9194" w14:textId="77777777">
            <w:pPr>
              <w:autoSpaceDE/>
              <w:adjustRightInd/>
              <w:jc w:val="center"/>
              <w:rPr>
                <w:rFonts w:ascii="Calibri" w:hAnsi="Calibri"/>
                <w:color w:val="000000"/>
              </w:rPr>
            </w:pPr>
            <w:r w:rsidRPr="006046B0">
              <w:rPr>
                <w:rFonts w:ascii="Calibri" w:hAnsi="Calibri"/>
                <w:color w:val="000000"/>
              </w:rPr>
              <w:t>326122</w:t>
            </w:r>
          </w:p>
        </w:tc>
        <w:tc>
          <w:tcPr>
            <w:tcW w:w="7200" w:type="dxa"/>
            <w:shd w:val="clear" w:color="auto" w:fill="FFFFFF" w:themeFill="background1"/>
          </w:tcPr>
          <w:p w:rsidRPr="006046B0" w:rsidR="0049558D" w:rsidP="0049558D" w:rsidRDefault="0049558D" w14:paraId="28B6B93E" w14:textId="3DF1BBD4">
            <w:pPr>
              <w:autoSpaceDE/>
              <w:adjustRightInd/>
              <w:jc w:val="center"/>
              <w:rPr>
                <w:rFonts w:ascii="Calibri" w:hAnsi="Calibri"/>
                <w:color w:val="000000"/>
              </w:rPr>
            </w:pPr>
            <w:r w:rsidRPr="0049558D">
              <w:rPr>
                <w:rFonts w:ascii="Calibri" w:hAnsi="Calibri"/>
                <w:color w:val="000000"/>
              </w:rPr>
              <w:t>Plastics Pipe and Pipe Fitting Manufacturing</w:t>
            </w:r>
          </w:p>
        </w:tc>
      </w:tr>
      <w:tr w:rsidRPr="006046B0" w:rsidR="0049558D" w:rsidTr="005E3E26" w14:paraId="6C0FA0CF" w14:textId="04ED44FC">
        <w:trPr>
          <w:trHeight w:val="290"/>
        </w:trPr>
        <w:tc>
          <w:tcPr>
            <w:tcW w:w="1980" w:type="dxa"/>
            <w:shd w:val="clear" w:color="auto" w:fill="FFFFFF" w:themeFill="background1"/>
            <w:noWrap/>
            <w:vAlign w:val="center"/>
            <w:hideMark/>
          </w:tcPr>
          <w:p w:rsidRPr="006046B0" w:rsidR="0049558D" w:rsidP="006046B0" w:rsidRDefault="0049558D" w14:paraId="1B717E86" w14:textId="77777777">
            <w:pPr>
              <w:autoSpaceDE/>
              <w:adjustRightInd/>
              <w:jc w:val="center"/>
              <w:rPr>
                <w:rFonts w:ascii="Calibri" w:hAnsi="Calibri"/>
                <w:color w:val="000000"/>
              </w:rPr>
            </w:pPr>
            <w:r w:rsidRPr="006046B0">
              <w:rPr>
                <w:rFonts w:ascii="Calibri" w:hAnsi="Calibri"/>
                <w:color w:val="000000"/>
              </w:rPr>
              <w:t>332911</w:t>
            </w:r>
          </w:p>
        </w:tc>
        <w:tc>
          <w:tcPr>
            <w:tcW w:w="7200" w:type="dxa"/>
            <w:shd w:val="clear" w:color="auto" w:fill="FFFFFF" w:themeFill="background1"/>
          </w:tcPr>
          <w:p w:rsidRPr="006046B0" w:rsidR="0049558D" w:rsidP="006046B0" w:rsidRDefault="0049558D" w14:paraId="1D7C39A3" w14:textId="28CDA5AA">
            <w:pPr>
              <w:autoSpaceDE/>
              <w:adjustRightInd/>
              <w:jc w:val="center"/>
              <w:rPr>
                <w:rFonts w:ascii="Calibri" w:hAnsi="Calibri"/>
                <w:color w:val="000000"/>
              </w:rPr>
            </w:pPr>
            <w:r w:rsidRPr="0049558D">
              <w:rPr>
                <w:rFonts w:ascii="Calibri" w:hAnsi="Calibri"/>
                <w:color w:val="000000"/>
              </w:rPr>
              <w:t>Industrial Valve Manufacturing</w:t>
            </w:r>
          </w:p>
        </w:tc>
      </w:tr>
      <w:tr w:rsidRPr="006046B0" w:rsidR="0049558D" w:rsidTr="005E3E26" w14:paraId="4453B121" w14:textId="41BBDDA2">
        <w:trPr>
          <w:trHeight w:val="290"/>
        </w:trPr>
        <w:tc>
          <w:tcPr>
            <w:tcW w:w="1980" w:type="dxa"/>
            <w:shd w:val="clear" w:color="auto" w:fill="FFFFFF" w:themeFill="background1"/>
            <w:noWrap/>
            <w:vAlign w:val="center"/>
            <w:hideMark/>
          </w:tcPr>
          <w:p w:rsidRPr="006046B0" w:rsidR="0049558D" w:rsidP="006046B0" w:rsidRDefault="0049558D" w14:paraId="2E992601" w14:textId="77777777">
            <w:pPr>
              <w:autoSpaceDE/>
              <w:adjustRightInd/>
              <w:jc w:val="center"/>
              <w:rPr>
                <w:rFonts w:ascii="Calibri" w:hAnsi="Calibri"/>
                <w:color w:val="000000"/>
              </w:rPr>
            </w:pPr>
            <w:r w:rsidRPr="006046B0">
              <w:rPr>
                <w:rFonts w:ascii="Calibri" w:hAnsi="Calibri"/>
                <w:color w:val="000000"/>
              </w:rPr>
              <w:t>332913</w:t>
            </w:r>
          </w:p>
        </w:tc>
        <w:tc>
          <w:tcPr>
            <w:tcW w:w="7200" w:type="dxa"/>
            <w:shd w:val="clear" w:color="auto" w:fill="FFFFFF" w:themeFill="background1"/>
          </w:tcPr>
          <w:p w:rsidRPr="006046B0" w:rsidR="0049558D" w:rsidP="006046B0" w:rsidRDefault="0049558D" w14:paraId="5F326B43" w14:textId="5E39C439">
            <w:pPr>
              <w:autoSpaceDE/>
              <w:adjustRightInd/>
              <w:jc w:val="center"/>
              <w:rPr>
                <w:rFonts w:ascii="Calibri" w:hAnsi="Calibri"/>
                <w:color w:val="000000"/>
              </w:rPr>
            </w:pPr>
            <w:r w:rsidRPr="0049558D">
              <w:rPr>
                <w:rFonts w:ascii="Calibri" w:hAnsi="Calibri"/>
                <w:color w:val="000000"/>
              </w:rPr>
              <w:t>Plumbing Fixture Fitting and Trim Manufacturing</w:t>
            </w:r>
          </w:p>
        </w:tc>
      </w:tr>
      <w:tr w:rsidRPr="006046B0" w:rsidR="0049558D" w:rsidTr="005E3E26" w14:paraId="14F15A21" w14:textId="2C49DA42">
        <w:trPr>
          <w:trHeight w:val="290"/>
        </w:trPr>
        <w:tc>
          <w:tcPr>
            <w:tcW w:w="1980" w:type="dxa"/>
            <w:shd w:val="clear" w:color="auto" w:fill="FFFFFF" w:themeFill="background1"/>
            <w:noWrap/>
            <w:vAlign w:val="center"/>
            <w:hideMark/>
          </w:tcPr>
          <w:p w:rsidRPr="006046B0" w:rsidR="0049558D" w:rsidP="006046B0" w:rsidRDefault="0049558D" w14:paraId="59BF24BD" w14:textId="77777777">
            <w:pPr>
              <w:autoSpaceDE/>
              <w:adjustRightInd/>
              <w:jc w:val="center"/>
              <w:rPr>
                <w:rFonts w:ascii="Calibri" w:hAnsi="Calibri"/>
                <w:color w:val="000000"/>
              </w:rPr>
            </w:pPr>
            <w:r w:rsidRPr="006046B0">
              <w:rPr>
                <w:rFonts w:ascii="Calibri" w:hAnsi="Calibri"/>
                <w:color w:val="000000"/>
              </w:rPr>
              <w:t>332919</w:t>
            </w:r>
          </w:p>
        </w:tc>
        <w:tc>
          <w:tcPr>
            <w:tcW w:w="7200" w:type="dxa"/>
            <w:shd w:val="clear" w:color="auto" w:fill="FFFFFF" w:themeFill="background1"/>
          </w:tcPr>
          <w:p w:rsidRPr="006046B0" w:rsidR="0049558D" w:rsidP="006046B0" w:rsidRDefault="0049558D" w14:paraId="2846E58D" w14:textId="61769130">
            <w:pPr>
              <w:autoSpaceDE/>
              <w:adjustRightInd/>
              <w:jc w:val="center"/>
              <w:rPr>
                <w:rFonts w:ascii="Calibri" w:hAnsi="Calibri"/>
                <w:color w:val="000000"/>
              </w:rPr>
            </w:pPr>
            <w:r w:rsidRPr="0049558D">
              <w:rPr>
                <w:rFonts w:ascii="Calibri" w:hAnsi="Calibri"/>
                <w:color w:val="000000"/>
              </w:rPr>
              <w:t>Other Metal Valve and Pipe Fitting Manufacturing</w:t>
            </w:r>
          </w:p>
        </w:tc>
      </w:tr>
      <w:tr w:rsidRPr="006046B0" w:rsidR="0049558D" w:rsidTr="005E3E26" w14:paraId="557027FB" w14:textId="42E12851">
        <w:trPr>
          <w:trHeight w:val="290"/>
        </w:trPr>
        <w:tc>
          <w:tcPr>
            <w:tcW w:w="1980" w:type="dxa"/>
            <w:shd w:val="clear" w:color="auto" w:fill="FFFFFF" w:themeFill="background1"/>
            <w:noWrap/>
            <w:vAlign w:val="center"/>
            <w:hideMark/>
          </w:tcPr>
          <w:p w:rsidRPr="006046B0" w:rsidR="0049558D" w:rsidP="006046B0" w:rsidRDefault="0049558D" w14:paraId="0A1B53F2" w14:textId="77777777">
            <w:pPr>
              <w:autoSpaceDE/>
              <w:adjustRightInd/>
              <w:jc w:val="center"/>
              <w:rPr>
                <w:rFonts w:ascii="Calibri" w:hAnsi="Calibri"/>
                <w:color w:val="000000"/>
              </w:rPr>
            </w:pPr>
            <w:r w:rsidRPr="006046B0">
              <w:rPr>
                <w:rFonts w:ascii="Calibri" w:hAnsi="Calibri"/>
                <w:color w:val="000000"/>
              </w:rPr>
              <w:t>332996</w:t>
            </w:r>
          </w:p>
        </w:tc>
        <w:tc>
          <w:tcPr>
            <w:tcW w:w="7200" w:type="dxa"/>
            <w:shd w:val="clear" w:color="auto" w:fill="FFFFFF" w:themeFill="background1"/>
          </w:tcPr>
          <w:p w:rsidRPr="006046B0" w:rsidR="0049558D" w:rsidP="006046B0" w:rsidRDefault="0049558D" w14:paraId="52D479F3" w14:textId="16550E29">
            <w:pPr>
              <w:autoSpaceDE/>
              <w:adjustRightInd/>
              <w:jc w:val="center"/>
              <w:rPr>
                <w:rFonts w:ascii="Calibri" w:hAnsi="Calibri"/>
                <w:color w:val="000000"/>
              </w:rPr>
            </w:pPr>
            <w:r w:rsidRPr="0049558D">
              <w:rPr>
                <w:rFonts w:ascii="Calibri" w:hAnsi="Calibri"/>
                <w:color w:val="000000"/>
              </w:rPr>
              <w:t>Fabricated Pipe and Pipe Fitting Manufacturing</w:t>
            </w:r>
          </w:p>
        </w:tc>
      </w:tr>
      <w:tr w:rsidRPr="006046B0" w:rsidR="0049558D" w:rsidTr="005E3E26" w14:paraId="751D2F64" w14:textId="3C5746E7">
        <w:trPr>
          <w:trHeight w:val="290"/>
        </w:trPr>
        <w:tc>
          <w:tcPr>
            <w:tcW w:w="1980" w:type="dxa"/>
            <w:shd w:val="clear" w:color="auto" w:fill="FFFFFF" w:themeFill="background1"/>
            <w:noWrap/>
            <w:vAlign w:val="center"/>
            <w:hideMark/>
          </w:tcPr>
          <w:p w:rsidRPr="006046B0" w:rsidR="0049558D" w:rsidP="006046B0" w:rsidRDefault="0049558D" w14:paraId="4ABAA372" w14:textId="77777777">
            <w:pPr>
              <w:autoSpaceDE/>
              <w:adjustRightInd/>
              <w:jc w:val="center"/>
              <w:rPr>
                <w:rFonts w:ascii="Calibri" w:hAnsi="Calibri"/>
                <w:color w:val="000000"/>
              </w:rPr>
            </w:pPr>
            <w:r w:rsidRPr="006046B0">
              <w:rPr>
                <w:rFonts w:ascii="Calibri" w:hAnsi="Calibri"/>
                <w:color w:val="000000"/>
              </w:rPr>
              <w:t>332999</w:t>
            </w:r>
          </w:p>
        </w:tc>
        <w:tc>
          <w:tcPr>
            <w:tcW w:w="7200" w:type="dxa"/>
            <w:shd w:val="clear" w:color="auto" w:fill="FFFFFF" w:themeFill="background1"/>
          </w:tcPr>
          <w:p w:rsidRPr="006046B0" w:rsidR="0049558D" w:rsidP="006046B0" w:rsidRDefault="0049558D" w14:paraId="7B47EDC5" w14:textId="176D32F9">
            <w:pPr>
              <w:autoSpaceDE/>
              <w:adjustRightInd/>
              <w:jc w:val="center"/>
              <w:rPr>
                <w:rFonts w:ascii="Calibri" w:hAnsi="Calibri"/>
                <w:color w:val="000000"/>
              </w:rPr>
            </w:pPr>
            <w:r w:rsidRPr="0049558D">
              <w:rPr>
                <w:rFonts w:ascii="Calibri" w:hAnsi="Calibri"/>
                <w:color w:val="000000"/>
              </w:rPr>
              <w:t>All Other Miscellaneous Fabricated Metal Product Manufacturing</w:t>
            </w:r>
          </w:p>
        </w:tc>
      </w:tr>
      <w:tr w:rsidRPr="006046B0" w:rsidR="0049558D" w:rsidTr="005E3E26" w14:paraId="2C030992" w14:textId="1179A750">
        <w:trPr>
          <w:trHeight w:val="290"/>
        </w:trPr>
        <w:tc>
          <w:tcPr>
            <w:tcW w:w="1980" w:type="dxa"/>
            <w:shd w:val="clear" w:color="auto" w:fill="FFFFFF" w:themeFill="background1"/>
            <w:noWrap/>
            <w:vAlign w:val="center"/>
            <w:hideMark/>
          </w:tcPr>
          <w:p w:rsidRPr="006046B0" w:rsidR="0049558D" w:rsidP="006046B0" w:rsidRDefault="0049558D" w14:paraId="7BB00D81" w14:textId="77777777">
            <w:pPr>
              <w:autoSpaceDE/>
              <w:adjustRightInd/>
              <w:jc w:val="center"/>
              <w:rPr>
                <w:rFonts w:ascii="Calibri" w:hAnsi="Calibri"/>
                <w:color w:val="000000"/>
              </w:rPr>
            </w:pPr>
            <w:r w:rsidRPr="006046B0">
              <w:rPr>
                <w:rFonts w:ascii="Calibri" w:hAnsi="Calibri"/>
                <w:color w:val="000000"/>
              </w:rPr>
              <w:t>333318</w:t>
            </w:r>
          </w:p>
        </w:tc>
        <w:tc>
          <w:tcPr>
            <w:tcW w:w="7200" w:type="dxa"/>
            <w:shd w:val="clear" w:color="auto" w:fill="FFFFFF" w:themeFill="background1"/>
          </w:tcPr>
          <w:p w:rsidRPr="006046B0" w:rsidR="0049558D" w:rsidP="006046B0" w:rsidRDefault="0049558D" w14:paraId="03146E93" w14:textId="39FBB2A3">
            <w:pPr>
              <w:autoSpaceDE/>
              <w:adjustRightInd/>
              <w:jc w:val="center"/>
              <w:rPr>
                <w:rFonts w:ascii="Calibri" w:hAnsi="Calibri"/>
                <w:color w:val="000000"/>
              </w:rPr>
            </w:pPr>
            <w:r w:rsidRPr="0049558D">
              <w:rPr>
                <w:rFonts w:ascii="Calibri" w:hAnsi="Calibri"/>
                <w:color w:val="000000"/>
              </w:rPr>
              <w:t>Other Commercial and Service Industry Machinery Manufacturing</w:t>
            </w:r>
          </w:p>
        </w:tc>
      </w:tr>
      <w:tr w:rsidRPr="006046B0" w:rsidR="0049558D" w:rsidTr="005E3E26" w14:paraId="20CE33A8" w14:textId="41E2ADF5">
        <w:trPr>
          <w:trHeight w:val="290"/>
        </w:trPr>
        <w:tc>
          <w:tcPr>
            <w:tcW w:w="1980" w:type="dxa"/>
            <w:shd w:val="clear" w:color="auto" w:fill="FFFFFF" w:themeFill="background1"/>
            <w:noWrap/>
            <w:vAlign w:val="center"/>
            <w:hideMark/>
          </w:tcPr>
          <w:p w:rsidRPr="006046B0" w:rsidR="0049558D" w:rsidP="006046B0" w:rsidRDefault="0049558D" w14:paraId="0B92FBB0" w14:textId="77777777">
            <w:pPr>
              <w:autoSpaceDE/>
              <w:adjustRightInd/>
              <w:jc w:val="center"/>
              <w:rPr>
                <w:rFonts w:ascii="Calibri" w:hAnsi="Calibri"/>
                <w:color w:val="000000"/>
              </w:rPr>
            </w:pPr>
            <w:r w:rsidRPr="006046B0">
              <w:rPr>
                <w:rFonts w:ascii="Calibri" w:hAnsi="Calibri"/>
                <w:color w:val="000000"/>
              </w:rPr>
              <w:t>333415</w:t>
            </w:r>
          </w:p>
        </w:tc>
        <w:tc>
          <w:tcPr>
            <w:tcW w:w="7200" w:type="dxa"/>
            <w:shd w:val="clear" w:color="auto" w:fill="FFFFFF" w:themeFill="background1"/>
          </w:tcPr>
          <w:p w:rsidRPr="006046B0" w:rsidR="0049558D" w:rsidP="006046B0" w:rsidRDefault="0049558D" w14:paraId="30385E75" w14:textId="0F01CEA9">
            <w:pPr>
              <w:autoSpaceDE/>
              <w:adjustRightInd/>
              <w:jc w:val="center"/>
              <w:rPr>
                <w:rFonts w:ascii="Calibri" w:hAnsi="Calibri"/>
                <w:color w:val="000000"/>
              </w:rPr>
            </w:pPr>
            <w:r w:rsidRPr="0049558D">
              <w:rPr>
                <w:rFonts w:ascii="Calibri" w:hAnsi="Calibri"/>
                <w:color w:val="000000"/>
              </w:rPr>
              <w:t>Air-Conditioning and Warm Air Heating Equipment and Commercial and Industrial Refrigeration Equipment Manufacturing</w:t>
            </w:r>
          </w:p>
        </w:tc>
      </w:tr>
      <w:tr w:rsidRPr="006046B0" w:rsidR="0049558D" w:rsidTr="005E3E26" w14:paraId="21B577A4" w14:textId="7D8C7FCC">
        <w:trPr>
          <w:trHeight w:val="290"/>
        </w:trPr>
        <w:tc>
          <w:tcPr>
            <w:tcW w:w="1980" w:type="dxa"/>
            <w:shd w:val="clear" w:color="auto" w:fill="FFFFFF" w:themeFill="background1"/>
            <w:noWrap/>
            <w:vAlign w:val="center"/>
            <w:hideMark/>
          </w:tcPr>
          <w:p w:rsidRPr="006046B0" w:rsidR="0049558D" w:rsidP="006046B0" w:rsidRDefault="0049558D" w14:paraId="21A067A9" w14:textId="77777777">
            <w:pPr>
              <w:autoSpaceDE/>
              <w:adjustRightInd/>
              <w:jc w:val="center"/>
              <w:rPr>
                <w:rFonts w:ascii="Calibri" w:hAnsi="Calibri"/>
                <w:color w:val="000000"/>
              </w:rPr>
            </w:pPr>
            <w:r w:rsidRPr="006046B0">
              <w:rPr>
                <w:rFonts w:ascii="Calibri" w:hAnsi="Calibri"/>
                <w:color w:val="000000"/>
              </w:rPr>
              <w:t>333911</w:t>
            </w:r>
          </w:p>
        </w:tc>
        <w:tc>
          <w:tcPr>
            <w:tcW w:w="7200" w:type="dxa"/>
            <w:shd w:val="clear" w:color="auto" w:fill="FFFFFF" w:themeFill="background1"/>
          </w:tcPr>
          <w:p w:rsidRPr="006046B0" w:rsidR="0049558D" w:rsidP="006046B0" w:rsidRDefault="0049558D" w14:paraId="120FB863" w14:textId="30C3F19D">
            <w:pPr>
              <w:autoSpaceDE/>
              <w:adjustRightInd/>
              <w:jc w:val="center"/>
              <w:rPr>
                <w:rFonts w:ascii="Calibri" w:hAnsi="Calibri"/>
                <w:color w:val="000000"/>
              </w:rPr>
            </w:pPr>
            <w:r w:rsidRPr="0049558D">
              <w:rPr>
                <w:rFonts w:ascii="Calibri" w:hAnsi="Calibri"/>
                <w:color w:val="000000"/>
              </w:rPr>
              <w:t>Pump and Pumping Equipment Manufacturing</w:t>
            </w:r>
          </w:p>
        </w:tc>
      </w:tr>
      <w:tr w:rsidRPr="006046B0" w:rsidR="0049558D" w:rsidTr="005E3E26" w14:paraId="3DEB718C" w14:textId="00216A70">
        <w:trPr>
          <w:trHeight w:val="290"/>
        </w:trPr>
        <w:tc>
          <w:tcPr>
            <w:tcW w:w="1980" w:type="dxa"/>
            <w:shd w:val="clear" w:color="auto" w:fill="FFFFFF" w:themeFill="background1"/>
            <w:noWrap/>
            <w:vAlign w:val="center"/>
            <w:hideMark/>
          </w:tcPr>
          <w:p w:rsidRPr="006046B0" w:rsidR="0049558D" w:rsidP="006046B0" w:rsidRDefault="0049558D" w14:paraId="49BB9FBA" w14:textId="77777777">
            <w:pPr>
              <w:autoSpaceDE/>
              <w:adjustRightInd/>
              <w:jc w:val="center"/>
              <w:rPr>
                <w:rFonts w:ascii="Calibri" w:hAnsi="Calibri"/>
                <w:color w:val="000000"/>
              </w:rPr>
            </w:pPr>
            <w:r w:rsidRPr="006046B0">
              <w:rPr>
                <w:rFonts w:ascii="Calibri" w:hAnsi="Calibri"/>
                <w:color w:val="000000"/>
              </w:rPr>
              <w:t>333999</w:t>
            </w:r>
          </w:p>
        </w:tc>
        <w:tc>
          <w:tcPr>
            <w:tcW w:w="7200" w:type="dxa"/>
            <w:shd w:val="clear" w:color="auto" w:fill="FFFFFF" w:themeFill="background1"/>
          </w:tcPr>
          <w:p w:rsidRPr="006046B0" w:rsidR="0049558D" w:rsidP="006046B0" w:rsidRDefault="0049558D" w14:paraId="1CFCEE35" w14:textId="6FCBC2C4">
            <w:pPr>
              <w:autoSpaceDE/>
              <w:adjustRightInd/>
              <w:jc w:val="center"/>
              <w:rPr>
                <w:rFonts w:ascii="Calibri" w:hAnsi="Calibri"/>
                <w:color w:val="000000"/>
              </w:rPr>
            </w:pPr>
            <w:r w:rsidRPr="0049558D">
              <w:rPr>
                <w:rFonts w:ascii="Calibri" w:hAnsi="Calibri"/>
                <w:color w:val="000000"/>
              </w:rPr>
              <w:t xml:space="preserve">All Other Miscellaneous </w:t>
            </w:r>
            <w:proofErr w:type="gramStart"/>
            <w:r w:rsidRPr="0049558D">
              <w:rPr>
                <w:rFonts w:ascii="Calibri" w:hAnsi="Calibri"/>
                <w:color w:val="000000"/>
              </w:rPr>
              <w:t>General Purpose</w:t>
            </w:r>
            <w:proofErr w:type="gramEnd"/>
            <w:r w:rsidRPr="0049558D">
              <w:rPr>
                <w:rFonts w:ascii="Calibri" w:hAnsi="Calibri"/>
                <w:color w:val="000000"/>
              </w:rPr>
              <w:t xml:space="preserve"> Machinery Manufacturing</w:t>
            </w:r>
          </w:p>
        </w:tc>
      </w:tr>
      <w:tr w:rsidRPr="006046B0" w:rsidR="0049558D" w:rsidTr="005E3E26" w14:paraId="3807C62B" w14:textId="2E4B1E7B">
        <w:trPr>
          <w:trHeight w:val="290"/>
        </w:trPr>
        <w:tc>
          <w:tcPr>
            <w:tcW w:w="1980" w:type="dxa"/>
            <w:shd w:val="clear" w:color="auto" w:fill="FFFFFF" w:themeFill="background1"/>
            <w:noWrap/>
            <w:vAlign w:val="center"/>
            <w:hideMark/>
          </w:tcPr>
          <w:p w:rsidRPr="006046B0" w:rsidR="0049558D" w:rsidP="006046B0" w:rsidRDefault="0049558D" w14:paraId="0C6FCC92" w14:textId="77777777">
            <w:pPr>
              <w:autoSpaceDE/>
              <w:adjustRightInd/>
              <w:jc w:val="center"/>
              <w:rPr>
                <w:rFonts w:ascii="Calibri" w:hAnsi="Calibri"/>
                <w:color w:val="000000"/>
              </w:rPr>
            </w:pPr>
            <w:r w:rsidRPr="006046B0">
              <w:rPr>
                <w:rFonts w:ascii="Calibri" w:hAnsi="Calibri"/>
                <w:color w:val="000000"/>
              </w:rPr>
              <w:t>334514</w:t>
            </w:r>
          </w:p>
        </w:tc>
        <w:tc>
          <w:tcPr>
            <w:tcW w:w="7200" w:type="dxa"/>
            <w:shd w:val="clear" w:color="auto" w:fill="FFFFFF" w:themeFill="background1"/>
          </w:tcPr>
          <w:p w:rsidRPr="006046B0" w:rsidR="0049558D" w:rsidP="006046B0" w:rsidRDefault="0049558D" w14:paraId="12DD1187" w14:textId="0169B3B2">
            <w:pPr>
              <w:autoSpaceDE/>
              <w:adjustRightInd/>
              <w:jc w:val="center"/>
              <w:rPr>
                <w:rFonts w:ascii="Calibri" w:hAnsi="Calibri"/>
                <w:color w:val="000000"/>
              </w:rPr>
            </w:pPr>
            <w:r w:rsidRPr="0049558D">
              <w:rPr>
                <w:rFonts w:ascii="Calibri" w:hAnsi="Calibri"/>
                <w:color w:val="000000"/>
              </w:rPr>
              <w:t>Totalizing Fluid Meter and Counting Device Manufacturing</w:t>
            </w:r>
          </w:p>
        </w:tc>
      </w:tr>
      <w:tr w:rsidRPr="006046B0" w:rsidR="0049558D" w:rsidTr="005E3E26" w14:paraId="452922EB" w14:textId="45F62E67">
        <w:trPr>
          <w:trHeight w:val="290"/>
        </w:trPr>
        <w:tc>
          <w:tcPr>
            <w:tcW w:w="1980" w:type="dxa"/>
            <w:shd w:val="clear" w:color="auto" w:fill="FFFFFF" w:themeFill="background1"/>
            <w:noWrap/>
            <w:vAlign w:val="center"/>
            <w:hideMark/>
          </w:tcPr>
          <w:p w:rsidRPr="006046B0" w:rsidR="0049558D" w:rsidP="006046B0" w:rsidRDefault="0049558D" w14:paraId="1D4A4441" w14:textId="77777777">
            <w:pPr>
              <w:autoSpaceDE/>
              <w:adjustRightInd/>
              <w:jc w:val="center"/>
              <w:rPr>
                <w:rFonts w:ascii="Calibri" w:hAnsi="Calibri"/>
                <w:color w:val="000000"/>
              </w:rPr>
            </w:pPr>
            <w:r w:rsidRPr="006046B0">
              <w:rPr>
                <w:rFonts w:ascii="Calibri" w:hAnsi="Calibri"/>
                <w:color w:val="000000"/>
              </w:rPr>
              <w:t>335222</w:t>
            </w:r>
          </w:p>
        </w:tc>
        <w:tc>
          <w:tcPr>
            <w:tcW w:w="7200" w:type="dxa"/>
            <w:shd w:val="clear" w:color="auto" w:fill="FFFFFF" w:themeFill="background1"/>
          </w:tcPr>
          <w:p w:rsidRPr="006046B0" w:rsidR="0049558D" w:rsidP="006046B0" w:rsidRDefault="0049558D" w14:paraId="105EEE67" w14:textId="17F9EA4C">
            <w:pPr>
              <w:autoSpaceDE/>
              <w:adjustRightInd/>
              <w:jc w:val="center"/>
              <w:rPr>
                <w:rFonts w:ascii="Calibri" w:hAnsi="Calibri"/>
                <w:color w:val="000000"/>
              </w:rPr>
            </w:pPr>
            <w:r w:rsidRPr="0049558D">
              <w:rPr>
                <w:rFonts w:ascii="Calibri" w:hAnsi="Calibri"/>
                <w:color w:val="000000"/>
              </w:rPr>
              <w:t>Household Refrigerator and Home Freezer Manufacturing</w:t>
            </w:r>
          </w:p>
        </w:tc>
      </w:tr>
      <w:tr w:rsidRPr="006046B0" w:rsidR="0049558D" w:rsidTr="005E3E26" w14:paraId="24B3A81B" w14:textId="24EC95C0">
        <w:trPr>
          <w:trHeight w:val="290"/>
        </w:trPr>
        <w:tc>
          <w:tcPr>
            <w:tcW w:w="1980" w:type="dxa"/>
            <w:shd w:val="clear" w:color="auto" w:fill="FFFFFF" w:themeFill="background1"/>
            <w:noWrap/>
            <w:vAlign w:val="center"/>
            <w:hideMark/>
          </w:tcPr>
          <w:p w:rsidRPr="006046B0" w:rsidR="0049558D" w:rsidP="006046B0" w:rsidRDefault="0049558D" w14:paraId="562D58C7" w14:textId="77777777">
            <w:pPr>
              <w:autoSpaceDE/>
              <w:adjustRightInd/>
              <w:jc w:val="center"/>
              <w:rPr>
                <w:rFonts w:ascii="Calibri" w:hAnsi="Calibri"/>
                <w:color w:val="000000"/>
              </w:rPr>
            </w:pPr>
            <w:r w:rsidRPr="006046B0">
              <w:rPr>
                <w:rFonts w:ascii="Calibri" w:hAnsi="Calibri"/>
                <w:color w:val="000000"/>
              </w:rPr>
              <w:t>335228</w:t>
            </w:r>
          </w:p>
        </w:tc>
        <w:tc>
          <w:tcPr>
            <w:tcW w:w="7200" w:type="dxa"/>
            <w:shd w:val="clear" w:color="auto" w:fill="FFFFFF" w:themeFill="background1"/>
          </w:tcPr>
          <w:p w:rsidRPr="006046B0" w:rsidR="0049558D" w:rsidP="006046B0" w:rsidRDefault="0049558D" w14:paraId="2339A04C" w14:textId="5EE90281">
            <w:pPr>
              <w:autoSpaceDE/>
              <w:adjustRightInd/>
              <w:jc w:val="center"/>
              <w:rPr>
                <w:rFonts w:ascii="Calibri" w:hAnsi="Calibri"/>
                <w:color w:val="000000"/>
              </w:rPr>
            </w:pPr>
            <w:r w:rsidRPr="0049558D">
              <w:rPr>
                <w:rFonts w:ascii="Calibri" w:hAnsi="Calibri"/>
                <w:color w:val="000000"/>
              </w:rPr>
              <w:t>Other Major Household Appliance Manufacturing</w:t>
            </w:r>
          </w:p>
        </w:tc>
      </w:tr>
      <w:tr w:rsidRPr="006046B0" w:rsidR="0049558D" w:rsidTr="005E3E26" w14:paraId="3AFF71C6" w14:textId="74C74A44">
        <w:trPr>
          <w:trHeight w:val="290"/>
        </w:trPr>
        <w:tc>
          <w:tcPr>
            <w:tcW w:w="1980" w:type="dxa"/>
            <w:shd w:val="clear" w:color="auto" w:fill="FFFFFF" w:themeFill="background1"/>
            <w:noWrap/>
            <w:vAlign w:val="center"/>
            <w:hideMark/>
          </w:tcPr>
          <w:p w:rsidRPr="006046B0" w:rsidR="0049558D" w:rsidP="006046B0" w:rsidRDefault="0049558D" w14:paraId="1B44D72C" w14:textId="77777777">
            <w:pPr>
              <w:autoSpaceDE/>
              <w:adjustRightInd/>
              <w:jc w:val="center"/>
              <w:rPr>
                <w:rFonts w:ascii="Calibri" w:hAnsi="Calibri"/>
                <w:color w:val="000000"/>
              </w:rPr>
            </w:pPr>
            <w:r w:rsidRPr="006046B0">
              <w:rPr>
                <w:rFonts w:ascii="Calibri" w:hAnsi="Calibri"/>
                <w:color w:val="000000"/>
              </w:rPr>
              <w:t>339991</w:t>
            </w:r>
          </w:p>
        </w:tc>
        <w:tc>
          <w:tcPr>
            <w:tcW w:w="7200" w:type="dxa"/>
            <w:shd w:val="clear" w:color="auto" w:fill="FFFFFF" w:themeFill="background1"/>
          </w:tcPr>
          <w:p w:rsidRPr="006046B0" w:rsidR="0049558D" w:rsidP="0049558D" w:rsidRDefault="0049558D" w14:paraId="1C78F78F" w14:textId="7AD4028D">
            <w:pPr>
              <w:autoSpaceDE/>
              <w:adjustRightInd/>
              <w:jc w:val="center"/>
              <w:rPr>
                <w:rFonts w:ascii="Calibri" w:hAnsi="Calibri"/>
                <w:color w:val="000000"/>
              </w:rPr>
            </w:pPr>
            <w:r w:rsidRPr="0049558D">
              <w:rPr>
                <w:rFonts w:ascii="Calibri" w:hAnsi="Calibri"/>
                <w:color w:val="000000"/>
              </w:rPr>
              <w:t>Gasket, Packing, and Sealing Device Manufacturing</w:t>
            </w:r>
          </w:p>
        </w:tc>
      </w:tr>
    </w:tbl>
    <w:p w:rsidR="006046B0" w:rsidP="006046B0" w:rsidRDefault="006046B0" w14:paraId="74BC9B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25D93" w:rsidR="006046B0" w:rsidP="006046B0" w:rsidRDefault="006046B0" w14:paraId="029393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25D93">
        <w:rPr>
          <w:b/>
          <w:sz w:val="24"/>
          <w:szCs w:val="24"/>
        </w:rPr>
        <w:t>4(b) Information Requested</w:t>
      </w:r>
    </w:p>
    <w:p w:rsidR="00484D5C" w:rsidP="00484D5C" w:rsidRDefault="00484D5C" w14:paraId="727BBA8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Pr="006715D6" w:rsidR="006046B0" w:rsidP="00484D5C" w:rsidRDefault="006046B0" w14:paraId="0FAF77C2"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715D6">
        <w:rPr>
          <w:b/>
          <w:sz w:val="24"/>
          <w:szCs w:val="24"/>
        </w:rPr>
        <w:t>Data items, including record keeping requirements</w:t>
      </w:r>
    </w:p>
    <w:p w:rsidR="00484D5C" w:rsidP="00484D5C" w:rsidRDefault="00484D5C" w14:paraId="5992063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003C4F5F" w:rsidP="00484D5C" w:rsidRDefault="00484D5C" w14:paraId="7F149D01" w14:textId="4C521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84D5C">
        <w:rPr>
          <w:sz w:val="24"/>
          <w:szCs w:val="24"/>
        </w:rPr>
        <w:t xml:space="preserve">The final rule requires manufacturers or importers to maintain documentation to substantiate product certification for at least </w:t>
      </w:r>
      <w:r w:rsidR="00C619F9">
        <w:rPr>
          <w:sz w:val="24"/>
          <w:szCs w:val="24"/>
        </w:rPr>
        <w:t>five</w:t>
      </w:r>
      <w:r w:rsidRPr="00484D5C">
        <w:rPr>
          <w:sz w:val="24"/>
          <w:szCs w:val="24"/>
        </w:rPr>
        <w:t xml:space="preserve"> years from the date of the last sale of the product by the manufacturer or importer. Specific to third party certification, the manufacturer or importer must keep records for all products certified by an accredited </w:t>
      </w:r>
      <w:proofErr w:type="gramStart"/>
      <w:r w:rsidRPr="00484D5C">
        <w:rPr>
          <w:sz w:val="24"/>
          <w:szCs w:val="24"/>
        </w:rPr>
        <w:t>third party</w:t>
      </w:r>
      <w:proofErr w:type="gramEnd"/>
      <w:r w:rsidRPr="00484D5C">
        <w:rPr>
          <w:sz w:val="24"/>
          <w:szCs w:val="24"/>
        </w:rPr>
        <w:t xml:space="preserve"> certification body that include</w:t>
      </w:r>
      <w:r w:rsidR="00BB262A">
        <w:rPr>
          <w:sz w:val="24"/>
          <w:szCs w:val="24"/>
        </w:rPr>
        <w:t>,</w:t>
      </w:r>
      <w:r w:rsidRPr="00484D5C">
        <w:rPr>
          <w:sz w:val="24"/>
          <w:szCs w:val="24"/>
        </w:rPr>
        <w:t xml:space="preserve"> at a minimum</w:t>
      </w:r>
      <w:r w:rsidR="00BB262A">
        <w:rPr>
          <w:sz w:val="24"/>
          <w:szCs w:val="24"/>
        </w:rPr>
        <w:t>,</w:t>
      </w:r>
      <w:r w:rsidRPr="00484D5C">
        <w:rPr>
          <w:sz w:val="24"/>
          <w:szCs w:val="24"/>
        </w:rPr>
        <w:t xml:space="preserve"> </w:t>
      </w:r>
      <w:r w:rsidR="003C4F5F">
        <w:rPr>
          <w:sz w:val="24"/>
          <w:szCs w:val="24"/>
        </w:rPr>
        <w:t>d</w:t>
      </w:r>
      <w:r w:rsidRPr="00484D5C">
        <w:rPr>
          <w:sz w:val="24"/>
          <w:szCs w:val="24"/>
        </w:rPr>
        <w:t>ocumentation of certification</w:t>
      </w:r>
      <w:r w:rsidR="005F6080">
        <w:rPr>
          <w:sz w:val="24"/>
          <w:szCs w:val="24"/>
        </w:rPr>
        <w:t xml:space="preserve"> and </w:t>
      </w:r>
      <w:r w:rsidRPr="00484D5C">
        <w:rPr>
          <w:sz w:val="24"/>
          <w:szCs w:val="24"/>
        </w:rPr>
        <w:t xml:space="preserve">dates of certification and expiration. This documentation must be provided upon request to the Administrator as specified in § 143.20(b). </w:t>
      </w:r>
    </w:p>
    <w:p w:rsidR="003C4F5F" w:rsidP="00484D5C" w:rsidRDefault="003C4F5F" w14:paraId="0696E8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C4F5F" w:rsidP="00484D5C" w:rsidRDefault="00484D5C" w14:paraId="4E894847" w14:textId="0F643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84D5C">
        <w:rPr>
          <w:sz w:val="24"/>
          <w:szCs w:val="24"/>
        </w:rPr>
        <w:t xml:space="preserve">For self-certified products, manufacturers or importers must maintain, at a primary place of business within the United States, certificates of conformity and sufficient documentation to confirm that products meet the </w:t>
      </w:r>
      <w:proofErr w:type="gramStart"/>
      <w:r w:rsidRPr="00484D5C">
        <w:rPr>
          <w:sz w:val="24"/>
          <w:szCs w:val="24"/>
        </w:rPr>
        <w:t>lead free</w:t>
      </w:r>
      <w:proofErr w:type="gramEnd"/>
      <w:r w:rsidRPr="00484D5C">
        <w:rPr>
          <w:sz w:val="24"/>
          <w:szCs w:val="24"/>
        </w:rPr>
        <w:t xml:space="preserve"> requirements of th</w:t>
      </w:r>
      <w:r w:rsidR="005F6080">
        <w:rPr>
          <w:sz w:val="24"/>
          <w:szCs w:val="24"/>
        </w:rPr>
        <w:t>e final rule</w:t>
      </w:r>
      <w:r w:rsidRPr="00484D5C">
        <w:rPr>
          <w:sz w:val="24"/>
          <w:szCs w:val="24"/>
        </w:rPr>
        <w:t xml:space="preserve">. Sufficient documentation </w:t>
      </w:r>
      <w:r w:rsidRPr="00484D5C">
        <w:rPr>
          <w:sz w:val="24"/>
          <w:szCs w:val="24"/>
        </w:rPr>
        <w:lastRenderedPageBreak/>
        <w:t xml:space="preserve">may </w:t>
      </w:r>
      <w:proofErr w:type="gramStart"/>
      <w:r w:rsidRPr="00484D5C">
        <w:rPr>
          <w:sz w:val="24"/>
          <w:szCs w:val="24"/>
        </w:rPr>
        <w:t>include:</w:t>
      </w:r>
      <w:proofErr w:type="gramEnd"/>
      <w:r w:rsidRPr="00484D5C">
        <w:rPr>
          <w:sz w:val="24"/>
          <w:szCs w:val="24"/>
        </w:rPr>
        <w:t xml:space="preserve"> </w:t>
      </w:r>
      <w:r w:rsidR="003C4F5F">
        <w:rPr>
          <w:sz w:val="24"/>
          <w:szCs w:val="24"/>
        </w:rPr>
        <w:t>d</w:t>
      </w:r>
      <w:r w:rsidRPr="00484D5C" w:rsidR="003C4F5F">
        <w:rPr>
          <w:sz w:val="24"/>
          <w:szCs w:val="24"/>
        </w:rPr>
        <w:t xml:space="preserve">etailed </w:t>
      </w:r>
      <w:r w:rsidRPr="00484D5C">
        <w:rPr>
          <w:sz w:val="24"/>
          <w:szCs w:val="24"/>
        </w:rPr>
        <w:t>schematic drawings of the products indicating dimensions, calculations of the weighted average lead content of the product, lead content of materials used in manufacture</w:t>
      </w:r>
      <w:r w:rsidR="005F6080">
        <w:rPr>
          <w:sz w:val="24"/>
          <w:szCs w:val="24"/>
        </w:rPr>
        <w:t>,</w:t>
      </w:r>
      <w:r w:rsidRPr="00484D5C">
        <w:rPr>
          <w:sz w:val="24"/>
          <w:szCs w:val="24"/>
        </w:rPr>
        <w:t xml:space="preserve"> and other documentation used in verifying the lead content of a plumbing device. This documentation and certificates of conformity must be provided upon request to the Administrator as specified in § 143.20(b) and must be maintained for at least </w:t>
      </w:r>
      <w:r w:rsidR="005F6080">
        <w:rPr>
          <w:sz w:val="24"/>
          <w:szCs w:val="24"/>
        </w:rPr>
        <w:t>five</w:t>
      </w:r>
      <w:r w:rsidRPr="00484D5C">
        <w:rPr>
          <w:sz w:val="24"/>
          <w:szCs w:val="24"/>
        </w:rPr>
        <w:t xml:space="preserve"> years after the last sale of the product by the manufacturer or importer.</w:t>
      </w:r>
      <w:r w:rsidR="00906D3D">
        <w:rPr>
          <w:sz w:val="24"/>
          <w:szCs w:val="24"/>
        </w:rPr>
        <w:t xml:space="preserve"> </w:t>
      </w:r>
    </w:p>
    <w:p w:rsidR="003C4F5F" w:rsidP="00484D5C" w:rsidRDefault="003C4F5F" w14:paraId="2EADE1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84D5C" w:rsidR="00484D5C" w:rsidP="00484D5C" w:rsidRDefault="00906D3D" w14:paraId="52049942" w14:textId="03A6B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While the final rule does not require products to be certified until the date three years following </w:t>
      </w:r>
      <w:r w:rsidR="00785A13">
        <w:rPr>
          <w:sz w:val="24"/>
          <w:szCs w:val="24"/>
        </w:rPr>
        <w:t xml:space="preserve">promulgation of </w:t>
      </w:r>
      <w:r>
        <w:rPr>
          <w:sz w:val="24"/>
          <w:szCs w:val="24"/>
        </w:rPr>
        <w:t xml:space="preserve">the final rule, firms will be obtaining product certification and </w:t>
      </w:r>
      <w:r w:rsidR="00DF06F6">
        <w:rPr>
          <w:sz w:val="24"/>
          <w:szCs w:val="24"/>
        </w:rPr>
        <w:t xml:space="preserve">initiating </w:t>
      </w:r>
      <w:r>
        <w:rPr>
          <w:sz w:val="24"/>
          <w:szCs w:val="24"/>
        </w:rPr>
        <w:t xml:space="preserve">record keeping during the three years of this ICR. </w:t>
      </w:r>
    </w:p>
    <w:p w:rsidRPr="00484D5C" w:rsidR="00484D5C" w:rsidP="00484D5C" w:rsidRDefault="00484D5C" w14:paraId="157864C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Pr="006715D6" w:rsidR="006046B0" w:rsidP="00995F7D" w:rsidRDefault="006046B0" w14:paraId="46BFCE8F"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715D6">
        <w:rPr>
          <w:b/>
          <w:sz w:val="24"/>
          <w:szCs w:val="24"/>
        </w:rPr>
        <w:t>Respondent Activities</w:t>
      </w:r>
    </w:p>
    <w:p w:rsidR="00995F7D" w:rsidP="00995F7D" w:rsidRDefault="00995F7D" w14:paraId="47642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45985" w:rsidR="00995F7D" w:rsidP="00995F7D" w:rsidRDefault="00995F7D" w14:paraId="68085258" w14:textId="750E6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B262A">
        <w:rPr>
          <w:sz w:val="24"/>
          <w:szCs w:val="24"/>
        </w:rPr>
        <w:t xml:space="preserve">For the period covered by this ICR (the three years following </w:t>
      </w:r>
      <w:r w:rsidRPr="00BB262A" w:rsidR="002A4C2D">
        <w:rPr>
          <w:sz w:val="24"/>
          <w:szCs w:val="24"/>
        </w:rPr>
        <w:t xml:space="preserve">promulgation of the final </w:t>
      </w:r>
      <w:r w:rsidRPr="00BB262A">
        <w:rPr>
          <w:sz w:val="24"/>
          <w:szCs w:val="24"/>
        </w:rPr>
        <w:t>rule), manufacturers will incur burden to conduct the following rule compliance activities:</w:t>
      </w:r>
    </w:p>
    <w:p w:rsidR="00995F7D" w:rsidP="00995F7D" w:rsidRDefault="00995F7D" w14:paraId="224BEAE3"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45985">
        <w:rPr>
          <w:sz w:val="24"/>
          <w:szCs w:val="24"/>
        </w:rPr>
        <w:t>Obtaining certification of products from an accredited third party certification body to document compliance with the lead free requirements as set forth in the SDWA.</w:t>
      </w:r>
    </w:p>
    <w:p w:rsidR="00995F7D" w:rsidP="00995F7D" w:rsidRDefault="00995F7D" w14:paraId="557ED60A"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45985">
        <w:rPr>
          <w:sz w:val="24"/>
          <w:szCs w:val="24"/>
        </w:rPr>
        <w:t>Maintaining record</w:t>
      </w:r>
      <w:r w:rsidR="00C724C6">
        <w:rPr>
          <w:sz w:val="24"/>
          <w:szCs w:val="24"/>
        </w:rPr>
        <w:t>s</w:t>
      </w:r>
      <w:r w:rsidRPr="00845985">
        <w:rPr>
          <w:sz w:val="24"/>
          <w:szCs w:val="24"/>
        </w:rPr>
        <w:t xml:space="preserve"> associated with the initial certification (conducted by an accredited third party certification body) that potable use products meet the requirements of NSF/ANSI Standard 372.</w:t>
      </w:r>
    </w:p>
    <w:p w:rsidRPr="00845985" w:rsidR="00995F7D" w:rsidP="00995F7D" w:rsidRDefault="00995F7D" w14:paraId="7DE613B9"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45985">
        <w:rPr>
          <w:sz w:val="24"/>
          <w:szCs w:val="24"/>
        </w:rPr>
        <w:t xml:space="preserve">Preparing the initial certificate of conformity and maintaining records for potable use products that are self-certified by the manufacturer as being lead free. </w:t>
      </w:r>
    </w:p>
    <w:p w:rsidRPr="00995F7D" w:rsidR="00995F7D" w:rsidP="00995F7D" w:rsidRDefault="00995F7D" w14:paraId="7E8F9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25270" w:rsidR="00F16619" w:rsidP="006046B0" w:rsidRDefault="006046B0" w14:paraId="6557A158"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25270">
        <w:rPr>
          <w:b/>
          <w:sz w:val="24"/>
          <w:szCs w:val="24"/>
        </w:rPr>
        <w:t>Agency Activities, Methods, and Information Management</w:t>
      </w:r>
      <w:r w:rsidRPr="00925270">
        <w:rPr>
          <w:b/>
          <w:sz w:val="24"/>
          <w:szCs w:val="24"/>
        </w:rPr>
        <w:tab/>
      </w:r>
    </w:p>
    <w:p w:rsidRPr="00925270" w:rsidR="00925270" w:rsidP="00925270" w:rsidRDefault="00925270" w14:paraId="6DD58EE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925270" w:rsidR="006046B0" w:rsidP="006046B0" w:rsidRDefault="006046B0" w14:paraId="34D7F6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25270">
        <w:rPr>
          <w:b/>
          <w:sz w:val="24"/>
          <w:szCs w:val="24"/>
        </w:rPr>
        <w:t>5(a) Agency Activities</w:t>
      </w:r>
    </w:p>
    <w:p w:rsidR="00F16619" w:rsidP="006046B0" w:rsidRDefault="00F16619" w14:paraId="5C27E4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046B0" w:rsidR="00F16619" w:rsidP="006046B0" w:rsidRDefault="00ED7716" w14:paraId="017F2B4A" w14:textId="5B947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name="_Hlk10620865" w:id="1"/>
      <w:r>
        <w:rPr>
          <w:sz w:val="24"/>
          <w:szCs w:val="24"/>
        </w:rPr>
        <w:t>EPA</w:t>
      </w:r>
      <w:r w:rsidRPr="00BB262A" w:rsidR="000B2BA7">
        <w:rPr>
          <w:sz w:val="24"/>
          <w:szCs w:val="24"/>
        </w:rPr>
        <w:t xml:space="preserve"> </w:t>
      </w:r>
      <w:r w:rsidRPr="00BB262A" w:rsidR="00F16619">
        <w:rPr>
          <w:sz w:val="24"/>
          <w:szCs w:val="24"/>
        </w:rPr>
        <w:t xml:space="preserve">does not anticipate any activities associated with </w:t>
      </w:r>
      <w:r w:rsidRPr="00BB262A" w:rsidR="00C3349E">
        <w:rPr>
          <w:sz w:val="24"/>
          <w:szCs w:val="24"/>
        </w:rPr>
        <w:t xml:space="preserve">case-specific </w:t>
      </w:r>
      <w:r w:rsidRPr="00BB262A" w:rsidR="00F16619">
        <w:rPr>
          <w:sz w:val="24"/>
          <w:szCs w:val="24"/>
        </w:rPr>
        <w:t xml:space="preserve">information requests to individual entities during the </w:t>
      </w:r>
      <w:r w:rsidRPr="00BB262A" w:rsidR="00F54A9B">
        <w:rPr>
          <w:sz w:val="24"/>
          <w:szCs w:val="24"/>
        </w:rPr>
        <w:t>3</w:t>
      </w:r>
      <w:r w:rsidRPr="00BB262A" w:rsidR="00F16619">
        <w:rPr>
          <w:sz w:val="24"/>
          <w:szCs w:val="24"/>
        </w:rPr>
        <w:t>-year period of this ICR</w:t>
      </w:r>
      <w:r w:rsidRPr="00BB262A" w:rsidR="00785A13">
        <w:rPr>
          <w:sz w:val="24"/>
          <w:szCs w:val="24"/>
        </w:rPr>
        <w:t>,</w:t>
      </w:r>
      <w:r w:rsidRPr="00BB262A" w:rsidR="00F16619">
        <w:rPr>
          <w:sz w:val="24"/>
          <w:szCs w:val="24"/>
        </w:rPr>
        <w:t xml:space="preserve"> since product certification requirements will not be effective until three years following </w:t>
      </w:r>
      <w:r w:rsidRPr="00BB262A" w:rsidR="00785A13">
        <w:rPr>
          <w:sz w:val="24"/>
          <w:szCs w:val="24"/>
        </w:rPr>
        <w:t xml:space="preserve">promulgation of the final </w:t>
      </w:r>
      <w:r w:rsidRPr="00BB262A" w:rsidR="00F16619">
        <w:rPr>
          <w:sz w:val="24"/>
          <w:szCs w:val="24"/>
        </w:rPr>
        <w:t>rule.</w:t>
      </w:r>
    </w:p>
    <w:bookmarkEnd w:id="1"/>
    <w:p w:rsidR="00D57444" w:rsidP="006046B0" w:rsidRDefault="00D57444" w14:paraId="06AC56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25270" w:rsidR="006046B0" w:rsidP="006046B0" w:rsidRDefault="006046B0" w14:paraId="1C78A0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25270">
        <w:rPr>
          <w:b/>
          <w:sz w:val="24"/>
          <w:szCs w:val="24"/>
        </w:rPr>
        <w:t>5(b) Collection Methodology and Management</w:t>
      </w:r>
    </w:p>
    <w:p w:rsidR="00F16619" w:rsidP="006046B0" w:rsidRDefault="00F16619" w14:paraId="5AC32D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046B0" w:rsidR="00F16619" w:rsidP="006046B0" w:rsidRDefault="00F16619" w14:paraId="0CB0D30C" w14:textId="15F37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Any </w:t>
      </w:r>
      <w:r w:rsidR="00C3349E">
        <w:rPr>
          <w:sz w:val="24"/>
          <w:szCs w:val="24"/>
        </w:rPr>
        <w:t xml:space="preserve">individual entity’s submittal of case-specific </w:t>
      </w:r>
      <w:r>
        <w:rPr>
          <w:sz w:val="24"/>
          <w:szCs w:val="24"/>
        </w:rPr>
        <w:t>information</w:t>
      </w:r>
      <w:r w:rsidR="00C3349E">
        <w:rPr>
          <w:sz w:val="24"/>
          <w:szCs w:val="24"/>
        </w:rPr>
        <w:t>,</w:t>
      </w:r>
      <w:r>
        <w:rPr>
          <w:sz w:val="24"/>
          <w:szCs w:val="24"/>
        </w:rPr>
        <w:t xml:space="preserve"> </w:t>
      </w:r>
      <w:bookmarkStart w:name="_Hlk10190574" w:id="2"/>
      <w:r w:rsidR="00C3349E">
        <w:rPr>
          <w:sz w:val="24"/>
          <w:szCs w:val="24"/>
        </w:rPr>
        <w:t xml:space="preserve">in response to </w:t>
      </w:r>
      <w:r w:rsidR="00ED7716">
        <w:rPr>
          <w:sz w:val="24"/>
          <w:szCs w:val="24"/>
        </w:rPr>
        <w:t>EPA</w:t>
      </w:r>
      <w:r w:rsidR="00C3349E">
        <w:rPr>
          <w:sz w:val="24"/>
          <w:szCs w:val="24"/>
        </w:rPr>
        <w:t xml:space="preserve">’s </w:t>
      </w:r>
      <w:bookmarkEnd w:id="2"/>
      <w:r w:rsidR="003C4F5F">
        <w:rPr>
          <w:sz w:val="24"/>
          <w:szCs w:val="24"/>
        </w:rPr>
        <w:t>request, will</w:t>
      </w:r>
      <w:r>
        <w:rPr>
          <w:sz w:val="24"/>
          <w:szCs w:val="24"/>
        </w:rPr>
        <w:t xml:space="preserve"> be maintained in files of the </w:t>
      </w:r>
      <w:r w:rsidR="00C3349E">
        <w:rPr>
          <w:sz w:val="24"/>
          <w:szCs w:val="24"/>
        </w:rPr>
        <w:t>Agency’s</w:t>
      </w:r>
      <w:r>
        <w:rPr>
          <w:sz w:val="24"/>
          <w:szCs w:val="24"/>
        </w:rPr>
        <w:t xml:space="preserve"> Office of Compliance and Enforcement</w:t>
      </w:r>
      <w:r w:rsidR="00C3349E">
        <w:rPr>
          <w:sz w:val="24"/>
          <w:szCs w:val="24"/>
        </w:rPr>
        <w:t xml:space="preserve">, </w:t>
      </w:r>
      <w:r>
        <w:rPr>
          <w:sz w:val="24"/>
          <w:szCs w:val="24"/>
        </w:rPr>
        <w:t xml:space="preserve">consistent with </w:t>
      </w:r>
      <w:r w:rsidR="00C3349E">
        <w:rPr>
          <w:sz w:val="24"/>
          <w:szCs w:val="24"/>
        </w:rPr>
        <w:t>F</w:t>
      </w:r>
      <w:r>
        <w:rPr>
          <w:sz w:val="24"/>
          <w:szCs w:val="24"/>
        </w:rPr>
        <w:t xml:space="preserve">ederal record retention requirements. </w:t>
      </w:r>
    </w:p>
    <w:p w:rsidR="00F16619" w:rsidP="006046B0" w:rsidRDefault="00F16619" w14:paraId="769D25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25270" w:rsidR="006046B0" w:rsidP="007E1A87" w:rsidRDefault="006046B0" w14:paraId="18C75945" w14:textId="77777777">
      <w:pPr>
        <w:autoSpaceDE/>
        <w:autoSpaceDN/>
        <w:adjustRightInd/>
        <w:rPr>
          <w:b/>
          <w:sz w:val="24"/>
          <w:szCs w:val="24"/>
        </w:rPr>
      </w:pPr>
      <w:r w:rsidRPr="00925270">
        <w:rPr>
          <w:b/>
          <w:sz w:val="24"/>
          <w:szCs w:val="24"/>
        </w:rPr>
        <w:t>5(c) Small Entity Flexibility</w:t>
      </w:r>
    </w:p>
    <w:p w:rsidR="00F16619" w:rsidP="006046B0" w:rsidRDefault="00F16619" w14:paraId="32B87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16619" w:rsidP="006046B0" w:rsidRDefault="00ED7716" w14:paraId="6A15DC8C" w14:textId="65676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w:t>
      </w:r>
      <w:r w:rsidRPr="00F16619" w:rsidR="00F16619">
        <w:rPr>
          <w:sz w:val="24"/>
          <w:szCs w:val="24"/>
        </w:rPr>
        <w:t xml:space="preserve"> has determined that 1,976 out of 2,193 plumbing product manufacturers potentially subject to this final rule meet the small business definitions. </w:t>
      </w:r>
      <w:r>
        <w:rPr>
          <w:sz w:val="24"/>
          <w:szCs w:val="24"/>
        </w:rPr>
        <w:t>EPA</w:t>
      </w:r>
      <w:r w:rsidRPr="00F16619" w:rsidR="00F16619">
        <w:rPr>
          <w:sz w:val="24"/>
          <w:szCs w:val="24"/>
        </w:rPr>
        <w:t>’s analysis of projected impacts on small entities is described in detail in section VII (Economic Impacts)</w:t>
      </w:r>
      <w:r w:rsidR="00F16619">
        <w:rPr>
          <w:sz w:val="24"/>
          <w:szCs w:val="24"/>
        </w:rPr>
        <w:t xml:space="preserve"> of the final rule </w:t>
      </w:r>
      <w:r w:rsidRPr="00933C8A" w:rsidR="00F16619">
        <w:rPr>
          <w:i/>
          <w:sz w:val="24"/>
          <w:szCs w:val="24"/>
        </w:rPr>
        <w:t>Federal Register</w:t>
      </w:r>
      <w:r w:rsidR="00F16619">
        <w:rPr>
          <w:sz w:val="24"/>
          <w:szCs w:val="24"/>
        </w:rPr>
        <w:t xml:space="preserve"> notice</w:t>
      </w:r>
      <w:r w:rsidRPr="00F16619" w:rsidR="00F16619">
        <w:rPr>
          <w:sz w:val="24"/>
          <w:szCs w:val="24"/>
        </w:rPr>
        <w:t xml:space="preserve">. </w:t>
      </w:r>
      <w:r>
        <w:rPr>
          <w:sz w:val="24"/>
          <w:szCs w:val="24"/>
        </w:rPr>
        <w:t>EPA</w:t>
      </w:r>
      <w:r w:rsidRPr="00F16619" w:rsidR="00F16619">
        <w:rPr>
          <w:sz w:val="24"/>
          <w:szCs w:val="24"/>
        </w:rPr>
        <w:t xml:space="preserve"> projects that none of the 1,976 affected small entities would experience an impact of costs exceeding 1 percent of revenue and no small entities would incur compliance </w:t>
      </w:r>
      <w:r w:rsidRPr="00F16619" w:rsidR="00F16619">
        <w:rPr>
          <w:sz w:val="24"/>
          <w:szCs w:val="24"/>
        </w:rPr>
        <w:lastRenderedPageBreak/>
        <w:t>costs exceeding 3 percent of revenue. Details of this analysis are presented in Chapter 6 of the Final Rule Technical Support Document, available in the docket, for the final rule.</w:t>
      </w:r>
    </w:p>
    <w:p w:rsidR="00F16619" w:rsidP="006046B0" w:rsidRDefault="00F16619" w14:paraId="63BAE4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25270" w:rsidR="006046B0" w:rsidP="006046B0" w:rsidRDefault="006046B0" w14:paraId="13D4C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25270">
        <w:rPr>
          <w:b/>
          <w:sz w:val="24"/>
          <w:szCs w:val="24"/>
        </w:rPr>
        <w:t>5(d) Collection Schedule</w:t>
      </w:r>
    </w:p>
    <w:p w:rsidR="00F16619" w:rsidP="006046B0" w:rsidRDefault="00F16619" w14:paraId="64ED7A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16619" w:rsidP="006046B0" w:rsidRDefault="00F16619" w14:paraId="0580A76A" w14:textId="424FC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During the period covered by this ICR, no collection activities by </w:t>
      </w:r>
      <w:r w:rsidR="00ED7716">
        <w:rPr>
          <w:sz w:val="24"/>
          <w:szCs w:val="24"/>
        </w:rPr>
        <w:t>EPA</w:t>
      </w:r>
      <w:r w:rsidR="000B2BA7">
        <w:rPr>
          <w:sz w:val="24"/>
          <w:szCs w:val="24"/>
        </w:rPr>
        <w:t xml:space="preserve"> </w:t>
      </w:r>
      <w:r>
        <w:rPr>
          <w:sz w:val="24"/>
          <w:szCs w:val="24"/>
        </w:rPr>
        <w:t>are anticipated.</w:t>
      </w:r>
    </w:p>
    <w:p w:rsidRPr="006046B0" w:rsidR="007060F9" w:rsidP="006046B0" w:rsidRDefault="007060F9" w14:paraId="33A342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50EEB" w:rsidR="00C50EEB" w:rsidP="006046B0" w:rsidRDefault="006046B0" w14:paraId="192BF348"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50EEB">
        <w:rPr>
          <w:b/>
          <w:sz w:val="24"/>
          <w:szCs w:val="24"/>
        </w:rPr>
        <w:t>Estimating Burden and Cost</w:t>
      </w:r>
    </w:p>
    <w:p w:rsidRPr="00621848" w:rsidR="00621848" w:rsidP="00621848" w:rsidRDefault="00621848" w14:paraId="4620D318"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p>
    <w:p w:rsidRPr="006715D6" w:rsidR="00120395" w:rsidP="00120395" w:rsidRDefault="00120395" w14:paraId="744F1390" w14:textId="77777777">
      <w:pPr>
        <w:widowControl w:val="0"/>
        <w:tabs>
          <w:tab w:val="left" w:pos="0"/>
        </w:tabs>
        <w:autoSpaceDE/>
        <w:autoSpaceDN/>
        <w:adjustRightInd/>
        <w:rPr>
          <w:b/>
          <w:snapToGrid w:val="0"/>
          <w:sz w:val="24"/>
        </w:rPr>
      </w:pPr>
      <w:r w:rsidRPr="006715D6">
        <w:rPr>
          <w:b/>
          <w:snapToGrid w:val="0"/>
          <w:sz w:val="24"/>
        </w:rPr>
        <w:t>6(a) Estimating Respondent Burden</w:t>
      </w:r>
    </w:p>
    <w:p w:rsidR="00553625" w:rsidP="00120395" w:rsidRDefault="00553625" w14:paraId="18AE5EF8" w14:textId="77777777">
      <w:pPr>
        <w:widowControl w:val="0"/>
        <w:tabs>
          <w:tab w:val="left" w:pos="0"/>
        </w:tabs>
        <w:autoSpaceDE/>
        <w:autoSpaceDN/>
        <w:adjustRightInd/>
        <w:rPr>
          <w:snapToGrid w:val="0"/>
          <w:sz w:val="24"/>
        </w:rPr>
      </w:pPr>
    </w:p>
    <w:p w:rsidRPr="006E711F" w:rsidR="006E711F" w:rsidP="00AB2DF5" w:rsidRDefault="006E711F" w14:paraId="747E1A0C" w14:textId="77777777">
      <w:pPr>
        <w:widowControl w:val="0"/>
        <w:autoSpaceDE/>
        <w:autoSpaceDN/>
        <w:adjustRightInd/>
        <w:rPr>
          <w:b/>
          <w:i/>
          <w:snapToGrid w:val="0"/>
          <w:sz w:val="24"/>
        </w:rPr>
      </w:pPr>
      <w:bookmarkStart w:name="_Hlk10800125" w:id="3"/>
      <w:r w:rsidRPr="006E711F">
        <w:rPr>
          <w:b/>
          <w:i/>
          <w:snapToGrid w:val="0"/>
          <w:sz w:val="24"/>
        </w:rPr>
        <w:t>Read and Understand the Rule</w:t>
      </w:r>
    </w:p>
    <w:bookmarkEnd w:id="3"/>
    <w:p w:rsidR="002C5745" w:rsidP="00AB2DF5" w:rsidRDefault="000954BB" w14:paraId="24BA22EA" w14:textId="096088D7">
      <w:pPr>
        <w:widowControl w:val="0"/>
        <w:autoSpaceDE/>
        <w:autoSpaceDN/>
        <w:adjustRightInd/>
        <w:rPr>
          <w:snapToGrid w:val="0"/>
          <w:sz w:val="24"/>
        </w:rPr>
      </w:pPr>
      <w:r>
        <w:rPr>
          <w:snapToGrid w:val="0"/>
          <w:sz w:val="24"/>
        </w:rPr>
        <w:t xml:space="preserve">For the first three years </w:t>
      </w:r>
      <w:r w:rsidRPr="00AB2DF5">
        <w:rPr>
          <w:snapToGrid w:val="0"/>
          <w:sz w:val="24"/>
        </w:rPr>
        <w:t xml:space="preserve">after publication of the final regulation: “Use of </w:t>
      </w:r>
      <w:proofErr w:type="gramStart"/>
      <w:r w:rsidRPr="00AB2DF5" w:rsidR="003C4F5F">
        <w:rPr>
          <w:snapToGrid w:val="0"/>
          <w:sz w:val="24"/>
        </w:rPr>
        <w:t>Lead</w:t>
      </w:r>
      <w:r w:rsidR="00C5700D">
        <w:rPr>
          <w:snapToGrid w:val="0"/>
          <w:sz w:val="24"/>
        </w:rPr>
        <w:t xml:space="preserve"> </w:t>
      </w:r>
      <w:r w:rsidRPr="00AB2DF5" w:rsidR="003C4F5F">
        <w:rPr>
          <w:snapToGrid w:val="0"/>
          <w:sz w:val="24"/>
        </w:rPr>
        <w:t>Free</w:t>
      </w:r>
      <w:proofErr w:type="gramEnd"/>
      <w:r w:rsidRPr="00AB2DF5">
        <w:rPr>
          <w:snapToGrid w:val="0"/>
          <w:sz w:val="24"/>
        </w:rPr>
        <w:t xml:space="preserve"> Pipes, </w:t>
      </w:r>
      <w:r w:rsidR="00F54A9B">
        <w:rPr>
          <w:snapToGrid w:val="0"/>
          <w:sz w:val="24"/>
        </w:rPr>
        <w:t>Fittings,</w:t>
      </w:r>
      <w:r w:rsidRPr="00AB2DF5">
        <w:rPr>
          <w:snapToGrid w:val="0"/>
          <w:sz w:val="24"/>
        </w:rPr>
        <w:t xml:space="preserve"> </w:t>
      </w:r>
      <w:r w:rsidR="00F54A9B">
        <w:rPr>
          <w:snapToGrid w:val="0"/>
          <w:sz w:val="24"/>
        </w:rPr>
        <w:t>Fixtures</w:t>
      </w:r>
      <w:r w:rsidRPr="00AB2DF5">
        <w:rPr>
          <w:snapToGrid w:val="0"/>
          <w:sz w:val="24"/>
        </w:rPr>
        <w:t>, Solder</w:t>
      </w:r>
      <w:r w:rsidR="00E94D95">
        <w:rPr>
          <w:snapToGrid w:val="0"/>
          <w:sz w:val="24"/>
        </w:rPr>
        <w:t>,</w:t>
      </w:r>
      <w:r w:rsidRPr="00AB2DF5">
        <w:rPr>
          <w:snapToGrid w:val="0"/>
          <w:sz w:val="24"/>
        </w:rPr>
        <w:t xml:space="preserve"> and Flux for Drinking Water” in the </w:t>
      </w:r>
      <w:r w:rsidRPr="00AB2DF5">
        <w:rPr>
          <w:i/>
          <w:snapToGrid w:val="0"/>
          <w:sz w:val="24"/>
        </w:rPr>
        <w:t>Federal Register</w:t>
      </w:r>
      <w:r w:rsidRPr="00AB2DF5">
        <w:rPr>
          <w:snapToGrid w:val="0"/>
          <w:sz w:val="24"/>
        </w:rPr>
        <w:t>,</w:t>
      </w:r>
      <w:r>
        <w:rPr>
          <w:snapToGrid w:val="0"/>
          <w:sz w:val="24"/>
        </w:rPr>
        <w:t xml:space="preserve"> all respondents will need to read and understand the rule. </w:t>
      </w:r>
      <w:r w:rsidR="00ED7716">
        <w:rPr>
          <w:snapToGrid w:val="0"/>
          <w:sz w:val="24"/>
        </w:rPr>
        <w:t>EPA</w:t>
      </w:r>
      <w:r>
        <w:rPr>
          <w:snapToGrid w:val="0"/>
          <w:sz w:val="24"/>
        </w:rPr>
        <w:t xml:space="preserve"> estimated the burden of this activity at 8 hours per firm.</w:t>
      </w:r>
    </w:p>
    <w:p w:rsidRPr="00E704BC" w:rsidR="000954BB" w:rsidP="000954BB" w:rsidRDefault="000954BB" w14:paraId="13DA3BDC" w14:textId="5CA60A81">
      <w:pPr>
        <w:keepNext/>
        <w:autoSpaceDE/>
        <w:autoSpaceDN/>
        <w:adjustRightInd/>
        <w:spacing w:before="240" w:after="240"/>
        <w:rPr>
          <w:b/>
          <w:bCs/>
          <w:sz w:val="24"/>
          <w:szCs w:val="24"/>
        </w:rPr>
      </w:pPr>
      <w:r w:rsidRPr="00E704BC">
        <w:rPr>
          <w:b/>
          <w:bCs/>
          <w:sz w:val="24"/>
          <w:szCs w:val="24"/>
        </w:rPr>
        <w:t xml:space="preserve">Table </w:t>
      </w:r>
      <w:r w:rsidR="00CD7D2E">
        <w:rPr>
          <w:b/>
          <w:bCs/>
          <w:sz w:val="24"/>
          <w:szCs w:val="24"/>
        </w:rPr>
        <w:t>1</w:t>
      </w:r>
      <w:r w:rsidRPr="00E704BC">
        <w:rPr>
          <w:b/>
          <w:bCs/>
          <w:sz w:val="24"/>
          <w:szCs w:val="24"/>
        </w:rPr>
        <w:t xml:space="preserve">: </w:t>
      </w:r>
      <w:r>
        <w:rPr>
          <w:b/>
          <w:bCs/>
          <w:sz w:val="24"/>
          <w:szCs w:val="24"/>
        </w:rPr>
        <w:t xml:space="preserve">Read and Understand the Rule </w:t>
      </w:r>
      <w:r w:rsidRPr="00E704BC">
        <w:rPr>
          <w:b/>
          <w:bCs/>
          <w:sz w:val="24"/>
          <w:szCs w:val="24"/>
        </w:rPr>
        <w:t xml:space="preserve">Total and Average Annual Burden Hours to </w:t>
      </w:r>
      <w:r>
        <w:rPr>
          <w:b/>
          <w:bCs/>
          <w:sz w:val="24"/>
          <w:szCs w:val="24"/>
        </w:rPr>
        <w:t>Respondents</w:t>
      </w:r>
      <w:r w:rsidRPr="00E704BC">
        <w:rPr>
          <w:b/>
          <w:bCs/>
          <w:sz w:val="24"/>
          <w:szCs w:val="24"/>
        </w:rPr>
        <w:t xml:space="preserve"> for the Information Collection Request</w:t>
      </w:r>
    </w:p>
    <w:tbl>
      <w:tblPr>
        <w:tblW w:w="0" w:type="auto"/>
        <w:tblCellMar>
          <w:left w:w="0" w:type="dxa"/>
          <w:right w:w="0" w:type="dxa"/>
        </w:tblCellMar>
        <w:tblLook w:val="04A0" w:firstRow="1" w:lastRow="0" w:firstColumn="1" w:lastColumn="0" w:noHBand="0" w:noVBand="1"/>
      </w:tblPr>
      <w:tblGrid>
        <w:gridCol w:w="2497"/>
        <w:gridCol w:w="2009"/>
        <w:gridCol w:w="2386"/>
        <w:gridCol w:w="2260"/>
      </w:tblGrid>
      <w:tr w:rsidRPr="00E704BC" w:rsidR="000954BB" w:rsidTr="001E6D7B" w14:paraId="7316FF0D" w14:textId="77777777">
        <w:trPr>
          <w:trHeight w:val="660"/>
        </w:trPr>
        <w:tc>
          <w:tcPr>
            <w:tcW w:w="24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E704BC" w:rsidR="000954BB" w:rsidP="001E6D7B" w:rsidRDefault="000954BB" w14:paraId="36371A06" w14:textId="77777777">
            <w:pPr>
              <w:autoSpaceDE/>
              <w:autoSpaceDN/>
              <w:adjustRightInd/>
            </w:pPr>
          </w:p>
        </w:tc>
        <w:tc>
          <w:tcPr>
            <w:tcW w:w="20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0954BB" w:rsidP="001E6D7B" w:rsidRDefault="000954BB" w14:paraId="7AEE2D5F" w14:textId="77777777">
            <w:pPr>
              <w:autoSpaceDE/>
              <w:autoSpaceDN/>
              <w:adjustRightInd/>
              <w:jc w:val="center"/>
              <w:rPr>
                <w:color w:val="000000"/>
              </w:rPr>
            </w:pPr>
            <w:r w:rsidRPr="00E704BC">
              <w:rPr>
                <w:color w:val="000000"/>
              </w:rPr>
              <w:t xml:space="preserve">Number of </w:t>
            </w:r>
            <w:r>
              <w:rPr>
                <w:color w:val="000000"/>
              </w:rPr>
              <w:t>Respondents</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0954BB" w:rsidP="001E6D7B" w:rsidRDefault="000954BB" w14:paraId="1E4F8382" w14:textId="77777777">
            <w:pPr>
              <w:autoSpaceDE/>
              <w:autoSpaceDN/>
              <w:adjustRightInd/>
              <w:jc w:val="center"/>
            </w:pPr>
            <w:r w:rsidRPr="00E704BC">
              <w:rPr>
                <w:color w:val="000000"/>
              </w:rPr>
              <w:t>Total Burden (Hours)</w:t>
            </w:r>
          </w:p>
        </w:tc>
        <w:tc>
          <w:tcPr>
            <w:tcW w:w="2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0954BB" w:rsidP="001E6D7B" w:rsidRDefault="000954BB" w14:paraId="6B74DE93" w14:textId="77777777">
            <w:pPr>
              <w:autoSpaceDE/>
              <w:autoSpaceDN/>
              <w:adjustRightInd/>
              <w:jc w:val="center"/>
              <w:rPr>
                <w:color w:val="000000"/>
              </w:rPr>
            </w:pPr>
            <w:r w:rsidRPr="00E704BC">
              <w:rPr>
                <w:color w:val="000000"/>
              </w:rPr>
              <w:t>Average Annual Burden</w:t>
            </w:r>
          </w:p>
          <w:p w:rsidRPr="00E704BC" w:rsidR="000954BB" w:rsidP="001E6D7B" w:rsidRDefault="000954BB" w14:paraId="7D8BB11F" w14:textId="77777777">
            <w:pPr>
              <w:autoSpaceDE/>
              <w:autoSpaceDN/>
              <w:adjustRightInd/>
              <w:jc w:val="center"/>
            </w:pPr>
            <w:r w:rsidRPr="00E704BC">
              <w:rPr>
                <w:color w:val="000000"/>
              </w:rPr>
              <w:t>(Hours)</w:t>
            </w:r>
          </w:p>
        </w:tc>
      </w:tr>
      <w:tr w:rsidRPr="00E704BC" w:rsidR="000954BB" w:rsidTr="001E6D7B" w14:paraId="2A7066BD" w14:textId="77777777">
        <w:trPr>
          <w:trHeight w:val="675"/>
        </w:trPr>
        <w:tc>
          <w:tcPr>
            <w:tcW w:w="249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4BC" w:rsidR="000954BB" w:rsidP="001E6D7B" w:rsidRDefault="000954BB" w14:paraId="54437B40" w14:textId="77777777">
            <w:pPr>
              <w:autoSpaceDE/>
              <w:autoSpaceDN/>
              <w:adjustRightInd/>
            </w:pPr>
            <w:r>
              <w:t>Respondents</w:t>
            </w:r>
          </w:p>
        </w:tc>
        <w:tc>
          <w:tcPr>
            <w:tcW w:w="2009"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0954BB" w:rsidP="001E6D7B" w:rsidRDefault="000954BB" w14:paraId="3BDC24E3" w14:textId="77777777">
            <w:pPr>
              <w:autoSpaceDE/>
              <w:autoSpaceDN/>
              <w:adjustRightInd/>
              <w:jc w:val="center"/>
            </w:pPr>
          </w:p>
          <w:p w:rsidRPr="00E704BC" w:rsidR="000954BB" w:rsidP="001E6D7B" w:rsidRDefault="000954BB" w14:paraId="077FDBC1" w14:textId="77777777">
            <w:pPr>
              <w:autoSpaceDE/>
              <w:autoSpaceDN/>
              <w:adjustRightInd/>
              <w:jc w:val="center"/>
            </w:pPr>
            <w:r>
              <w:t>2,193</w:t>
            </w:r>
          </w:p>
          <w:p w:rsidRPr="00E704BC" w:rsidR="000954BB" w:rsidP="001E6D7B" w:rsidRDefault="000954BB" w14:paraId="4F1E32EF" w14:textId="77777777">
            <w:pPr>
              <w:autoSpaceDE/>
              <w:autoSpaceDN/>
              <w:adjustRightInd/>
              <w:jc w:val="center"/>
            </w:pPr>
          </w:p>
        </w:tc>
        <w:tc>
          <w:tcPr>
            <w:tcW w:w="2386"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0954BB" w:rsidP="001E6D7B" w:rsidRDefault="000954BB" w14:paraId="5494E107" w14:textId="77777777">
            <w:pPr>
              <w:autoSpaceDE/>
              <w:autoSpaceDN/>
              <w:adjustRightInd/>
              <w:jc w:val="center"/>
              <w:rPr>
                <w:snapToGrid w:val="0"/>
                <w:color w:val="000000"/>
              </w:rPr>
            </w:pPr>
            <w:r w:rsidRPr="00E704BC">
              <w:rPr>
                <w:snapToGrid w:val="0"/>
                <w:color w:val="000000"/>
              </w:rPr>
              <w:t xml:space="preserve"> </w:t>
            </w:r>
          </w:p>
          <w:p w:rsidRPr="00E704BC" w:rsidR="000954BB" w:rsidP="001E6D7B" w:rsidRDefault="000954BB" w14:paraId="6E899A17" w14:textId="77777777">
            <w:pPr>
              <w:autoSpaceDE/>
              <w:autoSpaceDN/>
              <w:adjustRightInd/>
              <w:jc w:val="center"/>
              <w:rPr>
                <w:color w:val="000000"/>
              </w:rPr>
            </w:pPr>
            <w:r>
              <w:rPr>
                <w:color w:val="000000"/>
              </w:rPr>
              <w:t>17,544</w:t>
            </w:r>
          </w:p>
          <w:p w:rsidRPr="00E704BC" w:rsidR="000954BB" w:rsidP="001E6D7B" w:rsidRDefault="000954BB" w14:paraId="2FE94850" w14:textId="77777777">
            <w:pPr>
              <w:autoSpaceDE/>
              <w:autoSpaceDN/>
              <w:adjustRightInd/>
              <w:jc w:val="center"/>
            </w:pPr>
          </w:p>
        </w:tc>
        <w:tc>
          <w:tcPr>
            <w:tcW w:w="22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0954BB" w:rsidP="001E6D7B" w:rsidRDefault="000954BB" w14:paraId="2387E487" w14:textId="77777777">
            <w:pPr>
              <w:autoSpaceDE/>
              <w:autoSpaceDN/>
              <w:adjustRightInd/>
              <w:jc w:val="center"/>
              <w:rPr>
                <w:color w:val="000000"/>
              </w:rPr>
            </w:pPr>
          </w:p>
          <w:p w:rsidRPr="00E704BC" w:rsidR="000954BB" w:rsidP="001E6D7B" w:rsidRDefault="000954BB" w14:paraId="2F56E31D" w14:textId="77777777">
            <w:pPr>
              <w:autoSpaceDE/>
              <w:autoSpaceDN/>
              <w:adjustRightInd/>
              <w:jc w:val="center"/>
              <w:rPr>
                <w:color w:val="000000"/>
              </w:rPr>
            </w:pPr>
            <w:r>
              <w:rPr>
                <w:color w:val="000000"/>
              </w:rPr>
              <w:t>5,848</w:t>
            </w:r>
          </w:p>
          <w:p w:rsidRPr="00E704BC" w:rsidR="000954BB" w:rsidP="001E6D7B" w:rsidRDefault="000954BB" w14:paraId="3353A1BC" w14:textId="77777777">
            <w:pPr>
              <w:autoSpaceDE/>
              <w:autoSpaceDN/>
              <w:adjustRightInd/>
              <w:jc w:val="center"/>
              <w:rPr>
                <w:color w:val="000000"/>
              </w:rPr>
            </w:pPr>
          </w:p>
        </w:tc>
      </w:tr>
    </w:tbl>
    <w:p w:rsidRPr="00621848" w:rsidR="000954BB" w:rsidP="000954BB" w:rsidRDefault="000954BB" w14:paraId="35223867" w14:textId="77777777">
      <w:pPr>
        <w:widowControl w:val="0"/>
        <w:autoSpaceDE/>
        <w:autoSpaceDN/>
        <w:adjustRightInd/>
        <w:rPr>
          <w:snapToGrid w:val="0"/>
          <w:sz w:val="24"/>
        </w:rPr>
      </w:pPr>
      <w:r w:rsidRPr="00621848">
        <w:rPr>
          <w:b/>
          <w:snapToGrid w:val="0"/>
          <w:sz w:val="24"/>
        </w:rPr>
        <w:t>Source:</w:t>
      </w:r>
      <w:r w:rsidRPr="00621848">
        <w:rPr>
          <w:snapToGrid w:val="0"/>
          <w:sz w:val="24"/>
        </w:rPr>
        <w:t xml:space="preserve"> Technical Support Document for the Final Rule, </w:t>
      </w:r>
      <w:r w:rsidRPr="00C724C6">
        <w:rPr>
          <w:snapToGrid w:val="0"/>
          <w:sz w:val="24"/>
        </w:rPr>
        <w:t>Exhibit 4-</w:t>
      </w:r>
      <w:r>
        <w:rPr>
          <w:snapToGrid w:val="0"/>
          <w:sz w:val="24"/>
        </w:rPr>
        <w:t>4</w:t>
      </w:r>
      <w:r w:rsidRPr="00621848">
        <w:rPr>
          <w:snapToGrid w:val="0"/>
          <w:sz w:val="24"/>
        </w:rPr>
        <w:t>.</w:t>
      </w:r>
    </w:p>
    <w:p w:rsidRPr="00AB2DF5" w:rsidR="00E704BC" w:rsidP="00AB2DF5" w:rsidRDefault="00E704BC" w14:paraId="7CDA95CA" w14:textId="77777777">
      <w:pPr>
        <w:widowControl w:val="0"/>
        <w:autoSpaceDE/>
        <w:autoSpaceDN/>
        <w:adjustRightInd/>
        <w:rPr>
          <w:snapToGrid w:val="0"/>
          <w:sz w:val="24"/>
        </w:rPr>
      </w:pPr>
    </w:p>
    <w:p w:rsidRPr="006E711F" w:rsidR="006E711F" w:rsidP="00AB2DF5" w:rsidRDefault="006E711F" w14:paraId="68B1666F" w14:textId="77777777">
      <w:pPr>
        <w:widowControl w:val="0"/>
        <w:autoSpaceDE/>
        <w:autoSpaceDN/>
        <w:adjustRightInd/>
        <w:rPr>
          <w:b/>
          <w:i/>
          <w:snapToGrid w:val="0"/>
          <w:sz w:val="24"/>
        </w:rPr>
      </w:pPr>
      <w:bookmarkStart w:name="_Hlk10800155" w:id="4"/>
      <w:r w:rsidRPr="006E711F">
        <w:rPr>
          <w:b/>
          <w:i/>
          <w:snapToGrid w:val="0"/>
          <w:sz w:val="24"/>
        </w:rPr>
        <w:t>Product Certification</w:t>
      </w:r>
    </w:p>
    <w:bookmarkEnd w:id="4"/>
    <w:p w:rsidRPr="00DA4F64" w:rsidR="00DA4F64" w:rsidP="00DA4F64" w:rsidRDefault="00DA4F64" w14:paraId="78B39A7F" w14:textId="576E58E6">
      <w:pPr>
        <w:widowControl w:val="0"/>
        <w:autoSpaceDE/>
        <w:autoSpaceDN/>
        <w:adjustRightInd/>
        <w:rPr>
          <w:snapToGrid w:val="0"/>
          <w:sz w:val="24"/>
        </w:rPr>
      </w:pPr>
      <w:r w:rsidRPr="00E823E7">
        <w:rPr>
          <w:snapToGrid w:val="0"/>
          <w:sz w:val="24"/>
        </w:rPr>
        <w:t xml:space="preserve">In developing estimates of burden and costs, </w:t>
      </w:r>
      <w:r w:rsidR="00ED7716">
        <w:rPr>
          <w:snapToGrid w:val="0"/>
          <w:sz w:val="24"/>
        </w:rPr>
        <w:t>EPA</w:t>
      </w:r>
      <w:r w:rsidRPr="00E823E7">
        <w:rPr>
          <w:snapToGrid w:val="0"/>
          <w:sz w:val="24"/>
        </w:rPr>
        <w:t xml:space="preserve"> estimated the number of entities impacted to be 2,193 manufacturers </w:t>
      </w:r>
      <w:r w:rsidRPr="00E823E7" w:rsidR="0008448C">
        <w:rPr>
          <w:snapToGrid w:val="0"/>
          <w:sz w:val="24"/>
        </w:rPr>
        <w:t xml:space="preserve">of </w:t>
      </w:r>
      <w:r w:rsidRPr="00E823E7">
        <w:rPr>
          <w:snapToGrid w:val="0"/>
          <w:sz w:val="24"/>
        </w:rPr>
        <w:t xml:space="preserve">products </w:t>
      </w:r>
      <w:r w:rsidRPr="00E823E7" w:rsidR="0008448C">
        <w:rPr>
          <w:snapToGrid w:val="0"/>
          <w:sz w:val="24"/>
        </w:rPr>
        <w:t>(</w:t>
      </w:r>
      <w:r w:rsidRPr="00E823E7">
        <w:rPr>
          <w:snapToGrid w:val="0"/>
          <w:sz w:val="24"/>
        </w:rPr>
        <w:t>intended for potable water use</w:t>
      </w:r>
      <w:r w:rsidRPr="00E823E7" w:rsidR="0008448C">
        <w:rPr>
          <w:snapToGrid w:val="0"/>
          <w:sz w:val="24"/>
        </w:rPr>
        <w:t>), who</w:t>
      </w:r>
      <w:r w:rsidRPr="00E823E7">
        <w:rPr>
          <w:snapToGrid w:val="0"/>
          <w:sz w:val="24"/>
        </w:rPr>
        <w:t xml:space="preserve"> must comply with the</w:t>
      </w:r>
      <w:r w:rsidRPr="00E823E7" w:rsidR="0008448C">
        <w:rPr>
          <w:snapToGrid w:val="0"/>
          <w:sz w:val="24"/>
        </w:rPr>
        <w:t xml:space="preserve"> final</w:t>
      </w:r>
      <w:r w:rsidRPr="00E823E7">
        <w:rPr>
          <w:snapToGrid w:val="0"/>
          <w:sz w:val="24"/>
        </w:rPr>
        <w:t xml:space="preserve"> rule’s regulatory requirements.</w:t>
      </w:r>
    </w:p>
    <w:p w:rsidRPr="00DA4F64" w:rsidR="00DA4F64" w:rsidP="00DA4F64" w:rsidRDefault="00DA4F64" w14:paraId="1D3AE2BD" w14:textId="77777777">
      <w:pPr>
        <w:widowControl w:val="0"/>
        <w:autoSpaceDE/>
        <w:autoSpaceDN/>
        <w:adjustRightInd/>
        <w:rPr>
          <w:snapToGrid w:val="0"/>
          <w:sz w:val="24"/>
        </w:rPr>
      </w:pPr>
    </w:p>
    <w:p w:rsidRPr="00DA4F64" w:rsidR="00DA4F64" w:rsidP="00DA4F64" w:rsidRDefault="00DA4F64" w14:paraId="77193603" w14:textId="0AA3D90B">
      <w:pPr>
        <w:widowControl w:val="0"/>
        <w:autoSpaceDE/>
        <w:autoSpaceDN/>
        <w:adjustRightInd/>
        <w:rPr>
          <w:snapToGrid w:val="0"/>
          <w:sz w:val="24"/>
        </w:rPr>
      </w:pPr>
      <w:r w:rsidRPr="00DA4F64">
        <w:rPr>
          <w:snapToGrid w:val="0"/>
          <w:sz w:val="24"/>
        </w:rPr>
        <w:t xml:space="preserve">To develop rule compliance costs for third party certification, </w:t>
      </w:r>
      <w:r w:rsidR="00ED7716">
        <w:rPr>
          <w:snapToGrid w:val="0"/>
          <w:sz w:val="24"/>
        </w:rPr>
        <w:t>EPA</w:t>
      </w:r>
      <w:r w:rsidRPr="00DA4F64">
        <w:rPr>
          <w:snapToGrid w:val="0"/>
          <w:sz w:val="24"/>
        </w:rPr>
        <w:t xml:space="preserve"> determined the regulatory baseline. This baseline represents the current industry practice with regard to third party certification. </w:t>
      </w:r>
      <w:r w:rsidR="00ED7716">
        <w:rPr>
          <w:snapToGrid w:val="0"/>
          <w:sz w:val="24"/>
        </w:rPr>
        <w:t>EPA</w:t>
      </w:r>
      <w:r w:rsidRPr="00DA4F64">
        <w:rPr>
          <w:snapToGrid w:val="0"/>
          <w:sz w:val="24"/>
        </w:rPr>
        <w:t xml:space="preserve"> obtained information on third party use by plumbing manufacturers by reviewing current </w:t>
      </w:r>
      <w:r w:rsidR="0008448C">
        <w:rPr>
          <w:snapToGrid w:val="0"/>
          <w:sz w:val="24"/>
        </w:rPr>
        <w:t>s</w:t>
      </w:r>
      <w:r w:rsidRPr="00DA4F64">
        <w:rPr>
          <w:snapToGrid w:val="0"/>
          <w:sz w:val="24"/>
        </w:rPr>
        <w:t xml:space="preserve">tate laws requiring certification for NSF/ANSI Standard 61 and 372; reviewing the International and Uniform Plumbing Codes; contacting the two primary industry trade groups, PMI and AFS; and acquiring information from industry third party certifiers (e.g. NSF International, CSA Group, UL, etc.). Based on the above information, </w:t>
      </w:r>
      <w:r w:rsidR="00ED7716">
        <w:rPr>
          <w:snapToGrid w:val="0"/>
          <w:sz w:val="24"/>
        </w:rPr>
        <w:t>EPA</w:t>
      </w:r>
      <w:r w:rsidR="000B2BA7">
        <w:rPr>
          <w:snapToGrid w:val="0"/>
          <w:sz w:val="24"/>
        </w:rPr>
        <w:t xml:space="preserve"> </w:t>
      </w:r>
      <w:r w:rsidRPr="00DA4F64">
        <w:rPr>
          <w:snapToGrid w:val="0"/>
          <w:sz w:val="24"/>
        </w:rPr>
        <w:t xml:space="preserve">estimated that 90 percent of manufacturers with 100 or greater employees already use an accredited </w:t>
      </w:r>
      <w:proofErr w:type="gramStart"/>
      <w:r w:rsidRPr="00DA4F64">
        <w:rPr>
          <w:snapToGrid w:val="0"/>
          <w:sz w:val="24"/>
        </w:rPr>
        <w:t>third party</w:t>
      </w:r>
      <w:proofErr w:type="gramEnd"/>
      <w:r w:rsidRPr="00DA4F64">
        <w:rPr>
          <w:snapToGrid w:val="0"/>
          <w:sz w:val="24"/>
        </w:rPr>
        <w:t xml:space="preserve"> agency to certify that their products are lead free. To account for uncertainty in the proportion of smaller manufacturers that currently use third party certification bodies, </w:t>
      </w:r>
      <w:r w:rsidR="00ED7716">
        <w:rPr>
          <w:snapToGrid w:val="0"/>
          <w:sz w:val="24"/>
        </w:rPr>
        <w:t>EPA</w:t>
      </w:r>
      <w:r w:rsidRPr="00DA4F64">
        <w:rPr>
          <w:snapToGrid w:val="0"/>
          <w:sz w:val="24"/>
        </w:rPr>
        <w:t xml:space="preserve"> chose to develop lower and upper bound cost scenarios based on baseline compliance assumptions for firms having fewer than 100 employees. Fifty to 75 percent of manufacturers having fewer the 100 employees are assumed to use third party certifiers. Table </w:t>
      </w:r>
      <w:r w:rsidR="00CD7D2E">
        <w:rPr>
          <w:snapToGrid w:val="0"/>
          <w:sz w:val="24"/>
        </w:rPr>
        <w:t>2</w:t>
      </w:r>
      <w:r w:rsidRPr="00DA4F64">
        <w:rPr>
          <w:snapToGrid w:val="0"/>
          <w:sz w:val="24"/>
        </w:rPr>
        <w:t xml:space="preserve"> summarizes the </w:t>
      </w:r>
      <w:proofErr w:type="gramStart"/>
      <w:r w:rsidRPr="00DA4F64">
        <w:rPr>
          <w:snapToGrid w:val="0"/>
          <w:sz w:val="24"/>
        </w:rPr>
        <w:t>third party</w:t>
      </w:r>
      <w:proofErr w:type="gramEnd"/>
      <w:r w:rsidRPr="00DA4F64">
        <w:rPr>
          <w:snapToGrid w:val="0"/>
          <w:sz w:val="24"/>
        </w:rPr>
        <w:t xml:space="preserve"> </w:t>
      </w:r>
      <w:r w:rsidRPr="00DA4F64">
        <w:rPr>
          <w:snapToGrid w:val="0"/>
          <w:sz w:val="24"/>
        </w:rPr>
        <w:lastRenderedPageBreak/>
        <w:t xml:space="preserve">certification baseline assumptions </w:t>
      </w:r>
      <w:r w:rsidR="00ED7716">
        <w:rPr>
          <w:snapToGrid w:val="0"/>
          <w:sz w:val="24"/>
        </w:rPr>
        <w:t>EPA</w:t>
      </w:r>
      <w:r w:rsidRPr="00DA4F64">
        <w:rPr>
          <w:snapToGrid w:val="0"/>
          <w:sz w:val="24"/>
        </w:rPr>
        <w:t xml:space="preserve"> used in the development of regulatory and ICR costs. </w:t>
      </w:r>
      <w:r w:rsidRPr="00E823E7">
        <w:rPr>
          <w:snapToGrid w:val="0"/>
          <w:sz w:val="24"/>
        </w:rPr>
        <w:t xml:space="preserve">Under the final rule, certification costs would only be attributable to those manufacturers that do not already use these </w:t>
      </w:r>
      <w:proofErr w:type="gramStart"/>
      <w:r w:rsidRPr="00DD6249">
        <w:rPr>
          <w:snapToGrid w:val="0"/>
          <w:sz w:val="24"/>
        </w:rPr>
        <w:t>third party</w:t>
      </w:r>
      <w:proofErr w:type="gramEnd"/>
      <w:r w:rsidRPr="00E823E7">
        <w:rPr>
          <w:snapToGrid w:val="0"/>
          <w:sz w:val="24"/>
        </w:rPr>
        <w:t xml:space="preserve"> certification bodies.</w:t>
      </w:r>
      <w:r w:rsidR="00BA6C4A">
        <w:rPr>
          <w:snapToGrid w:val="0"/>
          <w:sz w:val="24"/>
        </w:rPr>
        <w:t xml:space="preserve"> Many state and local plumbing codes currently require plumbers to use third party certified pipes, fittings, and fixtures in potable water supply systems and plumbing. Therefore, many manufacturers that produce the products currently have them certified so that plumbers will purchase their products and know they will </w:t>
      </w:r>
      <w:proofErr w:type="gramStart"/>
      <w:r w:rsidR="00BA6C4A">
        <w:rPr>
          <w:snapToGrid w:val="0"/>
          <w:sz w:val="24"/>
        </w:rPr>
        <w:t>be in compliance with</w:t>
      </w:r>
      <w:proofErr w:type="gramEnd"/>
      <w:r w:rsidR="00BA6C4A">
        <w:rPr>
          <w:snapToGrid w:val="0"/>
          <w:sz w:val="24"/>
        </w:rPr>
        <w:t xml:space="preserve"> these codes when they make the installations.</w:t>
      </w:r>
    </w:p>
    <w:p w:rsidRPr="00DA4F64" w:rsidR="00DA4F64" w:rsidP="00DA4F64" w:rsidRDefault="00DA4F64" w14:paraId="1D3A0AA0" w14:textId="77777777">
      <w:pPr>
        <w:widowControl w:val="0"/>
        <w:autoSpaceDE/>
        <w:autoSpaceDN/>
        <w:adjustRightInd/>
        <w:rPr>
          <w:b/>
          <w:snapToGrid w:val="0"/>
          <w:sz w:val="24"/>
        </w:rPr>
      </w:pPr>
    </w:p>
    <w:p w:rsidR="00DA4F64" w:rsidP="00DA4F64" w:rsidRDefault="00DA4F64" w14:paraId="56B66794" w14:textId="1815CFE5">
      <w:pPr>
        <w:widowControl w:val="0"/>
        <w:autoSpaceDE/>
        <w:autoSpaceDN/>
        <w:adjustRightInd/>
        <w:rPr>
          <w:b/>
          <w:snapToGrid w:val="0"/>
          <w:sz w:val="24"/>
        </w:rPr>
      </w:pPr>
      <w:r w:rsidRPr="00DA4F64">
        <w:rPr>
          <w:b/>
          <w:snapToGrid w:val="0"/>
          <w:sz w:val="24"/>
        </w:rPr>
        <w:t xml:space="preserve">Table </w:t>
      </w:r>
      <w:r w:rsidR="00CD7D2E">
        <w:rPr>
          <w:b/>
          <w:snapToGrid w:val="0"/>
          <w:sz w:val="24"/>
        </w:rPr>
        <w:t>2</w:t>
      </w:r>
      <w:r w:rsidRPr="00DA4F64">
        <w:rPr>
          <w:b/>
          <w:snapToGrid w:val="0"/>
          <w:sz w:val="24"/>
        </w:rPr>
        <w:t>:  Estimated Percentage of Respondents by Size that Do Not Already Use Third Party Certification Bodies</w:t>
      </w:r>
    </w:p>
    <w:p w:rsidRPr="00DA4F64" w:rsidR="00CD7D2E" w:rsidP="00DA4F64" w:rsidRDefault="00CD7D2E" w14:paraId="17D54D19" w14:textId="77777777">
      <w:pPr>
        <w:widowControl w:val="0"/>
        <w:autoSpaceDE/>
        <w:autoSpaceDN/>
        <w:adjustRightInd/>
        <w:rPr>
          <w:b/>
          <w:snapToGrid w:val="0"/>
          <w:sz w:val="24"/>
        </w:rPr>
      </w:pPr>
    </w:p>
    <w:tbl>
      <w:tblPr>
        <w:tblW w:w="9370" w:type="dxa"/>
        <w:jc w:val="center"/>
        <w:tblLook w:val="04A0" w:firstRow="1" w:lastRow="0" w:firstColumn="1" w:lastColumn="0" w:noHBand="0" w:noVBand="1"/>
      </w:tblPr>
      <w:tblGrid>
        <w:gridCol w:w="2986"/>
        <w:gridCol w:w="3054"/>
        <w:gridCol w:w="3330"/>
      </w:tblGrid>
      <w:tr w:rsidRPr="00DA4F64" w:rsidR="00DA4F64" w:rsidTr="004668ED" w14:paraId="693F5A7E" w14:textId="77777777">
        <w:trPr>
          <w:trHeight w:val="650"/>
          <w:jc w:val="center"/>
        </w:trPr>
        <w:tc>
          <w:tcPr>
            <w:tcW w:w="2986" w:type="dxa"/>
            <w:vMerge w:val="restart"/>
            <w:tcBorders>
              <w:top w:val="single" w:color="auto" w:sz="8" w:space="0"/>
              <w:left w:val="single" w:color="auto" w:sz="8" w:space="0"/>
              <w:right w:val="single" w:color="auto" w:sz="8" w:space="0"/>
            </w:tcBorders>
            <w:shd w:val="clear" w:color="auto" w:fill="auto"/>
            <w:vAlign w:val="center"/>
          </w:tcPr>
          <w:p w:rsidRPr="00DA4F64" w:rsidR="00DA4F64" w:rsidP="00DA4F64" w:rsidRDefault="00DA4F64" w14:paraId="2EB06F3C" w14:textId="77777777">
            <w:pPr>
              <w:widowControl w:val="0"/>
              <w:autoSpaceDE/>
              <w:autoSpaceDN/>
              <w:adjustRightInd/>
              <w:rPr>
                <w:bCs/>
                <w:snapToGrid w:val="0"/>
                <w:sz w:val="24"/>
              </w:rPr>
            </w:pPr>
            <w:r w:rsidRPr="00DA4F64">
              <w:rPr>
                <w:bCs/>
                <w:snapToGrid w:val="0"/>
                <w:sz w:val="24"/>
              </w:rPr>
              <w:t>Respondent Firm Size</w:t>
            </w:r>
            <w:r w:rsidRPr="00DA4F64">
              <w:rPr>
                <w:bCs/>
                <w:snapToGrid w:val="0"/>
                <w:sz w:val="24"/>
              </w:rPr>
              <w:br/>
              <w:t>(no. of employees)</w:t>
            </w:r>
          </w:p>
        </w:tc>
        <w:tc>
          <w:tcPr>
            <w:tcW w:w="6384" w:type="dxa"/>
            <w:gridSpan w:val="2"/>
            <w:tcBorders>
              <w:top w:val="single" w:color="auto" w:sz="8" w:space="0"/>
              <w:left w:val="single" w:color="auto" w:sz="4" w:space="0"/>
              <w:bottom w:val="single" w:color="auto" w:sz="4" w:space="0"/>
              <w:right w:val="single" w:color="000000" w:sz="8" w:space="0"/>
            </w:tcBorders>
            <w:vAlign w:val="center"/>
          </w:tcPr>
          <w:p w:rsidRPr="00DA4F64" w:rsidR="00DA4F64" w:rsidP="00DA4F64" w:rsidRDefault="00DA4F64" w14:paraId="41A81BCD" w14:textId="77777777">
            <w:pPr>
              <w:widowControl w:val="0"/>
              <w:autoSpaceDE/>
              <w:autoSpaceDN/>
              <w:adjustRightInd/>
              <w:rPr>
                <w:bCs/>
                <w:snapToGrid w:val="0"/>
                <w:sz w:val="24"/>
              </w:rPr>
            </w:pPr>
            <w:r w:rsidRPr="00DA4F64">
              <w:rPr>
                <w:bCs/>
                <w:snapToGrid w:val="0"/>
                <w:sz w:val="24"/>
              </w:rPr>
              <w:t>Percentage of Respondent Firms that Currently Do Not Use Third Party Certification Bodies and to which Certification Costs Would Apply</w:t>
            </w:r>
          </w:p>
        </w:tc>
      </w:tr>
      <w:tr w:rsidRPr="00DA4F64" w:rsidR="00DA4F64" w:rsidTr="004668ED" w14:paraId="040D6270" w14:textId="77777777">
        <w:trPr>
          <w:trHeight w:val="367"/>
          <w:jc w:val="center"/>
        </w:trPr>
        <w:tc>
          <w:tcPr>
            <w:tcW w:w="2986" w:type="dxa"/>
            <w:vMerge/>
            <w:tcBorders>
              <w:left w:val="single" w:color="auto" w:sz="8" w:space="0"/>
              <w:bottom w:val="single" w:color="000000" w:sz="8" w:space="0"/>
              <w:right w:val="single" w:color="auto" w:sz="8" w:space="0"/>
            </w:tcBorders>
            <w:vAlign w:val="center"/>
            <w:hideMark/>
          </w:tcPr>
          <w:p w:rsidRPr="00DA4F64" w:rsidR="00DA4F64" w:rsidP="00DA4F64" w:rsidRDefault="00DA4F64" w14:paraId="3E7F7781" w14:textId="77777777">
            <w:pPr>
              <w:widowControl w:val="0"/>
              <w:autoSpaceDE/>
              <w:autoSpaceDN/>
              <w:adjustRightInd/>
              <w:rPr>
                <w:bCs/>
                <w:snapToGrid w:val="0"/>
                <w:sz w:val="24"/>
              </w:rPr>
            </w:pPr>
          </w:p>
        </w:tc>
        <w:tc>
          <w:tcPr>
            <w:tcW w:w="3054" w:type="dxa"/>
            <w:tcBorders>
              <w:top w:val="single" w:color="auto" w:sz="4" w:space="0"/>
              <w:left w:val="single" w:color="auto" w:sz="4" w:space="0"/>
              <w:bottom w:val="single" w:color="auto" w:sz="4" w:space="0"/>
              <w:right w:val="single" w:color="auto" w:sz="4" w:space="0"/>
            </w:tcBorders>
            <w:vAlign w:val="center"/>
          </w:tcPr>
          <w:p w:rsidRPr="00DA4F64" w:rsidR="00DA4F64" w:rsidP="00DA4F64" w:rsidRDefault="00DA4F64" w14:paraId="3B1860A3" w14:textId="77777777">
            <w:pPr>
              <w:widowControl w:val="0"/>
              <w:autoSpaceDE/>
              <w:autoSpaceDN/>
              <w:adjustRightInd/>
              <w:rPr>
                <w:bCs/>
                <w:snapToGrid w:val="0"/>
                <w:sz w:val="24"/>
              </w:rPr>
            </w:pPr>
            <w:r w:rsidRPr="00DA4F64">
              <w:rPr>
                <w:bCs/>
                <w:snapToGrid w:val="0"/>
                <w:sz w:val="24"/>
              </w:rPr>
              <w:t>Lower Bound</w:t>
            </w:r>
          </w:p>
        </w:tc>
        <w:tc>
          <w:tcPr>
            <w:tcW w:w="3330" w:type="dxa"/>
            <w:tcBorders>
              <w:top w:val="single" w:color="auto" w:sz="4" w:space="0"/>
              <w:left w:val="single" w:color="auto" w:sz="4" w:space="0"/>
              <w:bottom w:val="single" w:color="auto" w:sz="4" w:space="0"/>
              <w:right w:val="single" w:color="auto" w:sz="8" w:space="0"/>
            </w:tcBorders>
            <w:vAlign w:val="center"/>
          </w:tcPr>
          <w:p w:rsidRPr="00DA4F64" w:rsidR="00DA4F64" w:rsidP="00DA4F64" w:rsidRDefault="00DA4F64" w14:paraId="31401FB6" w14:textId="77777777">
            <w:pPr>
              <w:widowControl w:val="0"/>
              <w:autoSpaceDE/>
              <w:autoSpaceDN/>
              <w:adjustRightInd/>
              <w:rPr>
                <w:bCs/>
                <w:snapToGrid w:val="0"/>
                <w:sz w:val="24"/>
              </w:rPr>
            </w:pPr>
            <w:r w:rsidRPr="00DA4F64">
              <w:rPr>
                <w:bCs/>
                <w:snapToGrid w:val="0"/>
                <w:sz w:val="24"/>
              </w:rPr>
              <w:t>Upper Bound</w:t>
            </w:r>
          </w:p>
        </w:tc>
      </w:tr>
      <w:tr w:rsidRPr="00DA4F64" w:rsidR="00DA4F64" w:rsidTr="004668ED" w14:paraId="74CCC822" w14:textId="77777777">
        <w:trPr>
          <w:trHeight w:val="315"/>
          <w:jc w:val="center"/>
        </w:trPr>
        <w:tc>
          <w:tcPr>
            <w:tcW w:w="2986" w:type="dxa"/>
            <w:tcBorders>
              <w:top w:val="nil"/>
              <w:left w:val="single" w:color="auto" w:sz="8" w:space="0"/>
              <w:bottom w:val="single" w:color="auto" w:sz="8" w:space="0"/>
              <w:right w:val="single" w:color="auto" w:sz="8" w:space="0"/>
            </w:tcBorders>
            <w:shd w:val="clear" w:color="auto" w:fill="auto"/>
          </w:tcPr>
          <w:p w:rsidRPr="00DA4F64" w:rsidR="00DA4F64" w:rsidP="00DA4F64" w:rsidRDefault="00DA4F64" w14:paraId="10860396" w14:textId="77777777">
            <w:pPr>
              <w:widowControl w:val="0"/>
              <w:autoSpaceDE/>
              <w:autoSpaceDN/>
              <w:adjustRightInd/>
              <w:rPr>
                <w:snapToGrid w:val="0"/>
                <w:sz w:val="24"/>
              </w:rPr>
            </w:pPr>
            <w:r w:rsidRPr="00DA4F64">
              <w:rPr>
                <w:snapToGrid w:val="0"/>
                <w:sz w:val="24"/>
              </w:rPr>
              <w:t>&lt; 10</w:t>
            </w:r>
          </w:p>
        </w:tc>
        <w:tc>
          <w:tcPr>
            <w:tcW w:w="3054" w:type="dxa"/>
            <w:tcBorders>
              <w:top w:val="single" w:color="auto" w:sz="4" w:space="0"/>
              <w:left w:val="single" w:color="auto" w:sz="4" w:space="0"/>
              <w:bottom w:val="single" w:color="auto" w:sz="4" w:space="0"/>
              <w:right w:val="single" w:color="auto" w:sz="4" w:space="0"/>
            </w:tcBorders>
          </w:tcPr>
          <w:p w:rsidRPr="00DA4F64" w:rsidR="00DA4F64" w:rsidP="00DA4F64" w:rsidRDefault="00DA4F64" w14:paraId="00443B02" w14:textId="77777777">
            <w:pPr>
              <w:widowControl w:val="0"/>
              <w:autoSpaceDE/>
              <w:autoSpaceDN/>
              <w:adjustRightInd/>
              <w:rPr>
                <w:snapToGrid w:val="0"/>
                <w:sz w:val="24"/>
              </w:rPr>
            </w:pPr>
            <w:r w:rsidRPr="00DA4F64">
              <w:rPr>
                <w:snapToGrid w:val="0"/>
                <w:sz w:val="24"/>
              </w:rPr>
              <w:t>25%</w:t>
            </w:r>
          </w:p>
        </w:tc>
        <w:tc>
          <w:tcPr>
            <w:tcW w:w="3330" w:type="dxa"/>
            <w:tcBorders>
              <w:top w:val="single" w:color="auto" w:sz="4" w:space="0"/>
              <w:left w:val="single" w:color="auto" w:sz="4" w:space="0"/>
              <w:bottom w:val="single" w:color="auto" w:sz="4" w:space="0"/>
              <w:right w:val="single" w:color="auto" w:sz="8" w:space="0"/>
            </w:tcBorders>
          </w:tcPr>
          <w:p w:rsidRPr="00DA4F64" w:rsidR="00DA4F64" w:rsidP="00DA4F64" w:rsidRDefault="00DA4F64" w14:paraId="549860F7" w14:textId="77777777">
            <w:pPr>
              <w:widowControl w:val="0"/>
              <w:autoSpaceDE/>
              <w:autoSpaceDN/>
              <w:adjustRightInd/>
              <w:rPr>
                <w:bCs/>
                <w:snapToGrid w:val="0"/>
                <w:sz w:val="24"/>
              </w:rPr>
            </w:pPr>
            <w:r w:rsidRPr="00DA4F64">
              <w:rPr>
                <w:bCs/>
                <w:snapToGrid w:val="0"/>
                <w:sz w:val="24"/>
              </w:rPr>
              <w:t>50%</w:t>
            </w:r>
          </w:p>
        </w:tc>
      </w:tr>
      <w:tr w:rsidRPr="00DA4F64" w:rsidR="00DA4F64" w:rsidTr="004668ED" w14:paraId="151CE09E" w14:textId="77777777">
        <w:trPr>
          <w:trHeight w:val="315"/>
          <w:jc w:val="center"/>
        </w:trPr>
        <w:tc>
          <w:tcPr>
            <w:tcW w:w="2986" w:type="dxa"/>
            <w:tcBorders>
              <w:top w:val="nil"/>
              <w:left w:val="single" w:color="auto" w:sz="8" w:space="0"/>
              <w:bottom w:val="single" w:color="auto" w:sz="8" w:space="0"/>
              <w:right w:val="single" w:color="auto" w:sz="8" w:space="0"/>
            </w:tcBorders>
            <w:shd w:val="clear" w:color="auto" w:fill="auto"/>
            <w:hideMark/>
          </w:tcPr>
          <w:p w:rsidRPr="00DA4F64" w:rsidR="00DA4F64" w:rsidP="00DA4F64" w:rsidRDefault="00DA4F64" w14:paraId="6F26B7DC" w14:textId="77777777">
            <w:pPr>
              <w:widowControl w:val="0"/>
              <w:autoSpaceDE/>
              <w:autoSpaceDN/>
              <w:adjustRightInd/>
              <w:rPr>
                <w:snapToGrid w:val="0"/>
                <w:sz w:val="24"/>
              </w:rPr>
            </w:pPr>
            <w:r w:rsidRPr="00DA4F64">
              <w:rPr>
                <w:snapToGrid w:val="0"/>
                <w:sz w:val="24"/>
              </w:rPr>
              <w:t>10-99</w:t>
            </w:r>
          </w:p>
        </w:tc>
        <w:tc>
          <w:tcPr>
            <w:tcW w:w="3054" w:type="dxa"/>
            <w:tcBorders>
              <w:top w:val="single" w:color="auto" w:sz="4" w:space="0"/>
              <w:left w:val="single" w:color="auto" w:sz="4" w:space="0"/>
              <w:bottom w:val="single" w:color="auto" w:sz="4" w:space="0"/>
              <w:right w:val="single" w:color="auto" w:sz="4" w:space="0"/>
            </w:tcBorders>
          </w:tcPr>
          <w:p w:rsidRPr="00DA4F64" w:rsidR="00DA4F64" w:rsidP="00DA4F64" w:rsidRDefault="00DA4F64" w14:paraId="3B686856" w14:textId="77777777">
            <w:pPr>
              <w:widowControl w:val="0"/>
              <w:autoSpaceDE/>
              <w:autoSpaceDN/>
              <w:adjustRightInd/>
              <w:rPr>
                <w:snapToGrid w:val="0"/>
                <w:sz w:val="24"/>
              </w:rPr>
            </w:pPr>
            <w:r w:rsidRPr="00DA4F64">
              <w:rPr>
                <w:snapToGrid w:val="0"/>
                <w:sz w:val="24"/>
              </w:rPr>
              <w:t>25%</w:t>
            </w:r>
          </w:p>
        </w:tc>
        <w:tc>
          <w:tcPr>
            <w:tcW w:w="3330" w:type="dxa"/>
            <w:tcBorders>
              <w:top w:val="single" w:color="auto" w:sz="4" w:space="0"/>
              <w:left w:val="single" w:color="auto" w:sz="4" w:space="0"/>
              <w:bottom w:val="single" w:color="auto" w:sz="4" w:space="0"/>
              <w:right w:val="single" w:color="auto" w:sz="8" w:space="0"/>
            </w:tcBorders>
          </w:tcPr>
          <w:p w:rsidRPr="00DA4F64" w:rsidR="00DA4F64" w:rsidP="00DA4F64" w:rsidRDefault="00DA4F64" w14:paraId="2F7776FF" w14:textId="77777777">
            <w:pPr>
              <w:widowControl w:val="0"/>
              <w:autoSpaceDE/>
              <w:autoSpaceDN/>
              <w:adjustRightInd/>
              <w:rPr>
                <w:bCs/>
                <w:snapToGrid w:val="0"/>
                <w:sz w:val="24"/>
              </w:rPr>
            </w:pPr>
            <w:r w:rsidRPr="00DA4F64">
              <w:rPr>
                <w:bCs/>
                <w:snapToGrid w:val="0"/>
                <w:sz w:val="24"/>
              </w:rPr>
              <w:t>50%</w:t>
            </w:r>
          </w:p>
        </w:tc>
      </w:tr>
      <w:tr w:rsidRPr="00DA4F64" w:rsidR="00DA4F64" w:rsidTr="004668ED" w14:paraId="32EA7309" w14:textId="77777777">
        <w:trPr>
          <w:trHeight w:val="315"/>
          <w:jc w:val="center"/>
        </w:trPr>
        <w:tc>
          <w:tcPr>
            <w:tcW w:w="2986" w:type="dxa"/>
            <w:tcBorders>
              <w:top w:val="nil"/>
              <w:left w:val="single" w:color="auto" w:sz="8" w:space="0"/>
              <w:bottom w:val="single" w:color="auto" w:sz="8" w:space="0"/>
              <w:right w:val="single" w:color="auto" w:sz="8" w:space="0"/>
            </w:tcBorders>
            <w:shd w:val="clear" w:color="auto" w:fill="auto"/>
            <w:hideMark/>
          </w:tcPr>
          <w:p w:rsidRPr="00DA4F64" w:rsidR="00DA4F64" w:rsidP="00DA4F64" w:rsidRDefault="00DA4F64" w14:paraId="0FE1C7EC" w14:textId="77777777">
            <w:pPr>
              <w:widowControl w:val="0"/>
              <w:autoSpaceDE/>
              <w:autoSpaceDN/>
              <w:adjustRightInd/>
              <w:rPr>
                <w:snapToGrid w:val="0"/>
                <w:sz w:val="24"/>
              </w:rPr>
            </w:pPr>
            <w:r w:rsidRPr="00DA4F64">
              <w:rPr>
                <w:snapToGrid w:val="0"/>
                <w:sz w:val="24"/>
              </w:rPr>
              <w:t>100-499</w:t>
            </w:r>
          </w:p>
        </w:tc>
        <w:tc>
          <w:tcPr>
            <w:tcW w:w="3054" w:type="dxa"/>
            <w:tcBorders>
              <w:top w:val="single" w:color="auto" w:sz="4" w:space="0"/>
              <w:left w:val="single" w:color="auto" w:sz="4" w:space="0"/>
              <w:bottom w:val="single" w:color="auto" w:sz="4" w:space="0"/>
              <w:right w:val="single" w:color="auto" w:sz="4" w:space="0"/>
            </w:tcBorders>
          </w:tcPr>
          <w:p w:rsidRPr="00DA4F64" w:rsidR="00DA4F64" w:rsidP="00DA4F64" w:rsidRDefault="00DA4F64" w14:paraId="63BF56E3" w14:textId="77777777">
            <w:pPr>
              <w:widowControl w:val="0"/>
              <w:autoSpaceDE/>
              <w:autoSpaceDN/>
              <w:adjustRightInd/>
              <w:rPr>
                <w:snapToGrid w:val="0"/>
                <w:sz w:val="24"/>
              </w:rPr>
            </w:pPr>
            <w:r w:rsidRPr="00DA4F64">
              <w:rPr>
                <w:snapToGrid w:val="0"/>
                <w:sz w:val="24"/>
              </w:rPr>
              <w:t>10%</w:t>
            </w:r>
          </w:p>
        </w:tc>
        <w:tc>
          <w:tcPr>
            <w:tcW w:w="3330" w:type="dxa"/>
            <w:tcBorders>
              <w:top w:val="single" w:color="auto" w:sz="4" w:space="0"/>
              <w:left w:val="single" w:color="auto" w:sz="4" w:space="0"/>
              <w:bottom w:val="single" w:color="auto" w:sz="4" w:space="0"/>
              <w:right w:val="single" w:color="auto" w:sz="8" w:space="0"/>
            </w:tcBorders>
          </w:tcPr>
          <w:p w:rsidRPr="00DA4F64" w:rsidR="00DA4F64" w:rsidP="00DA4F64" w:rsidRDefault="00DA4F64" w14:paraId="3E753E79" w14:textId="77777777">
            <w:pPr>
              <w:widowControl w:val="0"/>
              <w:autoSpaceDE/>
              <w:autoSpaceDN/>
              <w:adjustRightInd/>
              <w:rPr>
                <w:bCs/>
                <w:snapToGrid w:val="0"/>
                <w:sz w:val="24"/>
              </w:rPr>
            </w:pPr>
            <w:r w:rsidRPr="00DA4F64">
              <w:rPr>
                <w:snapToGrid w:val="0"/>
                <w:sz w:val="24"/>
              </w:rPr>
              <w:t>10%</w:t>
            </w:r>
          </w:p>
        </w:tc>
      </w:tr>
      <w:tr w:rsidRPr="00DA4F64" w:rsidR="00DA4F64" w:rsidTr="004668ED" w14:paraId="31BB9E8E" w14:textId="77777777">
        <w:trPr>
          <w:trHeight w:val="315"/>
          <w:jc w:val="center"/>
        </w:trPr>
        <w:tc>
          <w:tcPr>
            <w:tcW w:w="2986" w:type="dxa"/>
            <w:tcBorders>
              <w:top w:val="nil"/>
              <w:left w:val="single" w:color="auto" w:sz="8" w:space="0"/>
              <w:bottom w:val="single" w:color="auto" w:sz="8" w:space="0"/>
              <w:right w:val="single" w:color="auto" w:sz="8" w:space="0"/>
            </w:tcBorders>
            <w:shd w:val="clear" w:color="auto" w:fill="auto"/>
            <w:hideMark/>
          </w:tcPr>
          <w:p w:rsidRPr="00DA4F64" w:rsidR="00DA4F64" w:rsidP="00DA4F64" w:rsidRDefault="00DA4F64" w14:paraId="674BFA42" w14:textId="77777777">
            <w:pPr>
              <w:widowControl w:val="0"/>
              <w:autoSpaceDE/>
              <w:autoSpaceDN/>
              <w:adjustRightInd/>
              <w:rPr>
                <w:snapToGrid w:val="0"/>
                <w:sz w:val="24"/>
              </w:rPr>
            </w:pPr>
            <w:r w:rsidRPr="00DA4F64">
              <w:rPr>
                <w:snapToGrid w:val="0"/>
                <w:sz w:val="24"/>
              </w:rPr>
              <w:t>≥ 500</w:t>
            </w:r>
          </w:p>
        </w:tc>
        <w:tc>
          <w:tcPr>
            <w:tcW w:w="3054" w:type="dxa"/>
            <w:tcBorders>
              <w:top w:val="single" w:color="auto" w:sz="4" w:space="0"/>
              <w:left w:val="single" w:color="auto" w:sz="4" w:space="0"/>
              <w:bottom w:val="single" w:color="auto" w:sz="4" w:space="0"/>
              <w:right w:val="single" w:color="auto" w:sz="4" w:space="0"/>
            </w:tcBorders>
          </w:tcPr>
          <w:p w:rsidRPr="00DA4F64" w:rsidR="00DA4F64" w:rsidP="00DA4F64" w:rsidRDefault="00DA4F64" w14:paraId="68CC9595" w14:textId="77777777">
            <w:pPr>
              <w:widowControl w:val="0"/>
              <w:autoSpaceDE/>
              <w:autoSpaceDN/>
              <w:adjustRightInd/>
              <w:rPr>
                <w:snapToGrid w:val="0"/>
                <w:sz w:val="24"/>
              </w:rPr>
            </w:pPr>
            <w:r w:rsidRPr="00DA4F64">
              <w:rPr>
                <w:snapToGrid w:val="0"/>
                <w:sz w:val="24"/>
              </w:rPr>
              <w:t>10%</w:t>
            </w:r>
          </w:p>
        </w:tc>
        <w:tc>
          <w:tcPr>
            <w:tcW w:w="3330" w:type="dxa"/>
            <w:tcBorders>
              <w:top w:val="single" w:color="auto" w:sz="4" w:space="0"/>
              <w:left w:val="single" w:color="auto" w:sz="4" w:space="0"/>
              <w:bottom w:val="single" w:color="auto" w:sz="4" w:space="0"/>
              <w:right w:val="single" w:color="auto" w:sz="8" w:space="0"/>
            </w:tcBorders>
          </w:tcPr>
          <w:p w:rsidRPr="00DA4F64" w:rsidR="00DA4F64" w:rsidP="00DA4F64" w:rsidRDefault="00DA4F64" w14:paraId="0B936CA5" w14:textId="77777777">
            <w:pPr>
              <w:widowControl w:val="0"/>
              <w:autoSpaceDE/>
              <w:autoSpaceDN/>
              <w:adjustRightInd/>
              <w:rPr>
                <w:bCs/>
                <w:snapToGrid w:val="0"/>
                <w:sz w:val="24"/>
              </w:rPr>
            </w:pPr>
            <w:r w:rsidRPr="00DA4F64">
              <w:rPr>
                <w:snapToGrid w:val="0"/>
                <w:sz w:val="24"/>
              </w:rPr>
              <w:t>10%</w:t>
            </w:r>
          </w:p>
        </w:tc>
      </w:tr>
    </w:tbl>
    <w:p w:rsidRPr="00DA4F64" w:rsidR="00DA4F64" w:rsidP="00DA4F64" w:rsidRDefault="00DA4F64" w14:paraId="05BE724D" w14:textId="77777777">
      <w:pPr>
        <w:widowControl w:val="0"/>
        <w:autoSpaceDE/>
        <w:autoSpaceDN/>
        <w:adjustRightInd/>
        <w:rPr>
          <w:snapToGrid w:val="0"/>
          <w:sz w:val="24"/>
        </w:rPr>
      </w:pPr>
      <w:bookmarkStart w:name="_Hlk10793832" w:id="5"/>
      <w:r w:rsidRPr="00DA4F64">
        <w:rPr>
          <w:b/>
          <w:snapToGrid w:val="0"/>
          <w:sz w:val="24"/>
        </w:rPr>
        <w:t>Source:</w:t>
      </w:r>
      <w:r w:rsidRPr="00DA4F64">
        <w:rPr>
          <w:snapToGrid w:val="0"/>
          <w:sz w:val="24"/>
        </w:rPr>
        <w:t xml:space="preserve"> Technical Support Document for the Final Rule, Exhibit 4-6.</w:t>
      </w:r>
    </w:p>
    <w:bookmarkEnd w:id="5"/>
    <w:p w:rsidR="00D514C1" w:rsidP="00AB2DF5" w:rsidRDefault="00D514C1" w14:paraId="763396BD" w14:textId="77777777">
      <w:pPr>
        <w:widowControl w:val="0"/>
        <w:autoSpaceDE/>
        <w:autoSpaceDN/>
        <w:adjustRightInd/>
        <w:rPr>
          <w:snapToGrid w:val="0"/>
          <w:sz w:val="24"/>
        </w:rPr>
      </w:pPr>
    </w:p>
    <w:p w:rsidRPr="00AB2DF5" w:rsidR="00AB2DF5" w:rsidP="00AB2DF5" w:rsidRDefault="00AB2DF5" w14:paraId="342AB54A" w14:textId="16F2C637">
      <w:pPr>
        <w:widowControl w:val="0"/>
        <w:autoSpaceDE/>
        <w:autoSpaceDN/>
        <w:adjustRightInd/>
        <w:rPr>
          <w:snapToGrid w:val="0"/>
          <w:sz w:val="24"/>
        </w:rPr>
      </w:pPr>
      <w:r w:rsidRPr="00AB2DF5">
        <w:rPr>
          <w:snapToGrid w:val="0"/>
          <w:sz w:val="24"/>
        </w:rPr>
        <w:t xml:space="preserve">For the first three years </w:t>
      </w:r>
      <w:bookmarkStart w:name="_Hlk10793361" w:id="6"/>
      <w:r w:rsidRPr="00AB2DF5">
        <w:rPr>
          <w:snapToGrid w:val="0"/>
          <w:sz w:val="24"/>
        </w:rPr>
        <w:t xml:space="preserve">after publication of the final regulation: “Use of </w:t>
      </w:r>
      <w:proofErr w:type="gramStart"/>
      <w:r w:rsidRPr="00AB2DF5">
        <w:rPr>
          <w:snapToGrid w:val="0"/>
          <w:sz w:val="24"/>
        </w:rPr>
        <w:t>Lead Free</w:t>
      </w:r>
      <w:proofErr w:type="gramEnd"/>
      <w:r w:rsidRPr="00AB2DF5">
        <w:rPr>
          <w:snapToGrid w:val="0"/>
          <w:sz w:val="24"/>
        </w:rPr>
        <w:t xml:space="preserve"> Pipes, </w:t>
      </w:r>
      <w:r w:rsidR="00F54A9B">
        <w:rPr>
          <w:snapToGrid w:val="0"/>
          <w:sz w:val="24"/>
        </w:rPr>
        <w:t>Fittings,</w:t>
      </w:r>
      <w:r w:rsidRPr="00AB2DF5">
        <w:rPr>
          <w:snapToGrid w:val="0"/>
          <w:sz w:val="24"/>
        </w:rPr>
        <w:t xml:space="preserve"> </w:t>
      </w:r>
      <w:r w:rsidR="00F54A9B">
        <w:rPr>
          <w:snapToGrid w:val="0"/>
          <w:sz w:val="24"/>
        </w:rPr>
        <w:t>Fixtures</w:t>
      </w:r>
      <w:r w:rsidRPr="00AB2DF5">
        <w:rPr>
          <w:snapToGrid w:val="0"/>
          <w:sz w:val="24"/>
        </w:rPr>
        <w:t>, Solder</w:t>
      </w:r>
      <w:r w:rsidR="00E94D95">
        <w:rPr>
          <w:snapToGrid w:val="0"/>
          <w:sz w:val="24"/>
        </w:rPr>
        <w:t>,</w:t>
      </w:r>
      <w:r w:rsidRPr="00AB2DF5">
        <w:rPr>
          <w:snapToGrid w:val="0"/>
          <w:sz w:val="24"/>
        </w:rPr>
        <w:t xml:space="preserve"> and Flux for Drinking Water” in the </w:t>
      </w:r>
      <w:r w:rsidRPr="00AB2DF5">
        <w:rPr>
          <w:i/>
          <w:snapToGrid w:val="0"/>
          <w:sz w:val="24"/>
        </w:rPr>
        <w:t>Federal Register</w:t>
      </w:r>
      <w:r w:rsidRPr="00AB2DF5">
        <w:rPr>
          <w:snapToGrid w:val="0"/>
          <w:sz w:val="24"/>
        </w:rPr>
        <w:t>,</w:t>
      </w:r>
      <w:bookmarkEnd w:id="6"/>
      <w:r w:rsidRPr="00AB2DF5">
        <w:rPr>
          <w:snapToGrid w:val="0"/>
          <w:sz w:val="24"/>
        </w:rPr>
        <w:t xml:space="preserve"> manufacturers with 10 or more employees will incur burden to conduct the following rule compliance activities:</w:t>
      </w:r>
    </w:p>
    <w:p w:rsidRPr="00AB2DF5" w:rsidR="00AB2DF5" w:rsidP="00AB2DF5" w:rsidRDefault="00AB2DF5" w14:paraId="6579AF9F" w14:textId="413413A8">
      <w:pPr>
        <w:widowControl w:val="0"/>
        <w:numPr>
          <w:ilvl w:val="0"/>
          <w:numId w:val="6"/>
        </w:numPr>
        <w:autoSpaceDE/>
        <w:autoSpaceDN/>
        <w:adjustRightInd/>
        <w:rPr>
          <w:snapToGrid w:val="0"/>
          <w:sz w:val="24"/>
        </w:rPr>
      </w:pPr>
      <w:r w:rsidRPr="00AB2DF5">
        <w:rPr>
          <w:snapToGrid w:val="0"/>
          <w:sz w:val="24"/>
        </w:rPr>
        <w:t>Obtaining c</w:t>
      </w:r>
      <w:r w:rsidRPr="00AB2DF5">
        <w:rPr>
          <w:bCs/>
          <w:snapToGrid w:val="0"/>
          <w:sz w:val="24"/>
        </w:rPr>
        <w:t>ertification of products from an accredited</w:t>
      </w:r>
      <w:r w:rsidR="0008448C">
        <w:rPr>
          <w:bCs/>
          <w:snapToGrid w:val="0"/>
          <w:sz w:val="24"/>
        </w:rPr>
        <w:t>,</w:t>
      </w:r>
      <w:r w:rsidRPr="00AB2DF5">
        <w:rPr>
          <w:bCs/>
          <w:snapToGrid w:val="0"/>
          <w:sz w:val="24"/>
        </w:rPr>
        <w:t xml:space="preserve"> third</w:t>
      </w:r>
      <w:r w:rsidR="00883E34">
        <w:rPr>
          <w:bCs/>
          <w:snapToGrid w:val="0"/>
          <w:sz w:val="24"/>
        </w:rPr>
        <w:t>-</w:t>
      </w:r>
      <w:r w:rsidRPr="00AB2DF5">
        <w:rPr>
          <w:bCs/>
          <w:snapToGrid w:val="0"/>
          <w:sz w:val="24"/>
        </w:rPr>
        <w:t>party certification body to document compliance with the lead</w:t>
      </w:r>
      <w:r w:rsidR="00883E34">
        <w:rPr>
          <w:bCs/>
          <w:snapToGrid w:val="0"/>
          <w:sz w:val="24"/>
        </w:rPr>
        <w:t>-</w:t>
      </w:r>
      <w:r w:rsidRPr="00AB2DF5">
        <w:rPr>
          <w:bCs/>
          <w:snapToGrid w:val="0"/>
          <w:sz w:val="24"/>
        </w:rPr>
        <w:t>free requirements as set forth in the Safe Drinking Water Act,</w:t>
      </w:r>
      <w:r w:rsidRPr="00AB2DF5">
        <w:rPr>
          <w:snapToGrid w:val="0"/>
          <w:sz w:val="24"/>
        </w:rPr>
        <w:t xml:space="preserve"> </w:t>
      </w:r>
    </w:p>
    <w:p w:rsidRPr="00AB2DF5" w:rsidR="00AB2DF5" w:rsidP="00AB2DF5" w:rsidRDefault="00AB2DF5" w14:paraId="08535B81" w14:textId="77777777">
      <w:pPr>
        <w:widowControl w:val="0"/>
        <w:numPr>
          <w:ilvl w:val="0"/>
          <w:numId w:val="6"/>
        </w:numPr>
        <w:autoSpaceDE/>
        <w:autoSpaceDN/>
        <w:adjustRightInd/>
        <w:rPr>
          <w:snapToGrid w:val="0"/>
          <w:sz w:val="24"/>
        </w:rPr>
      </w:pPr>
      <w:r w:rsidRPr="00AB2DF5">
        <w:rPr>
          <w:snapToGrid w:val="0"/>
          <w:sz w:val="24"/>
        </w:rPr>
        <w:t>Maintaining documentation associated with the initial certification (conducted by an independent third party certifying agency) that potable use products (those supplying water for human consumption) meet requirements such as the NSF/ANSI Standard 372.</w:t>
      </w:r>
    </w:p>
    <w:p w:rsidRPr="00AB2DF5" w:rsidR="00AB2DF5" w:rsidP="00AB2DF5" w:rsidRDefault="00AB2DF5" w14:paraId="00EA1731" w14:textId="77777777">
      <w:pPr>
        <w:widowControl w:val="0"/>
        <w:autoSpaceDE/>
        <w:autoSpaceDN/>
        <w:adjustRightInd/>
        <w:rPr>
          <w:snapToGrid w:val="0"/>
          <w:sz w:val="24"/>
        </w:rPr>
      </w:pPr>
    </w:p>
    <w:p w:rsidRPr="00E704BC" w:rsidR="00E704BC" w:rsidP="00E704BC" w:rsidRDefault="00E704BC" w14:paraId="2F88768A" w14:textId="4ACA32AB">
      <w:pPr>
        <w:widowControl w:val="0"/>
        <w:tabs>
          <w:tab w:val="left" w:pos="0"/>
        </w:tabs>
        <w:autoSpaceDE/>
        <w:autoSpaceDN/>
        <w:adjustRightInd/>
        <w:rPr>
          <w:snapToGrid w:val="0"/>
          <w:sz w:val="24"/>
        </w:rPr>
      </w:pPr>
      <w:r w:rsidRPr="00E704BC">
        <w:rPr>
          <w:snapToGrid w:val="0"/>
          <w:sz w:val="24"/>
        </w:rPr>
        <w:t xml:space="preserve">Under the final rule analysis, all firms are assumed to come into compliance with the third party or self-certification requirements </w:t>
      </w:r>
      <w:r w:rsidR="00324DC8">
        <w:rPr>
          <w:snapToGrid w:val="0"/>
          <w:sz w:val="24"/>
        </w:rPr>
        <w:t xml:space="preserve">within three years of the </w:t>
      </w:r>
      <w:r w:rsidRPr="00E704BC">
        <w:rPr>
          <w:snapToGrid w:val="0"/>
          <w:sz w:val="24"/>
        </w:rPr>
        <w:t>rule</w:t>
      </w:r>
      <w:r w:rsidR="00324DC8">
        <w:rPr>
          <w:snapToGrid w:val="0"/>
          <w:sz w:val="24"/>
        </w:rPr>
        <w:t xml:space="preserve">’s </w:t>
      </w:r>
      <w:r w:rsidR="00F1474B">
        <w:rPr>
          <w:snapToGrid w:val="0"/>
          <w:sz w:val="24"/>
        </w:rPr>
        <w:t xml:space="preserve">publication </w:t>
      </w:r>
      <w:r w:rsidRPr="00E704BC">
        <w:rPr>
          <w:snapToGrid w:val="0"/>
          <w:sz w:val="24"/>
        </w:rPr>
        <w:t xml:space="preserve">date. </w:t>
      </w:r>
      <w:r w:rsidR="00ED7716">
        <w:rPr>
          <w:snapToGrid w:val="0"/>
          <w:sz w:val="24"/>
        </w:rPr>
        <w:t>EPA</w:t>
      </w:r>
      <w:r w:rsidRPr="00E704BC">
        <w:rPr>
          <w:snapToGrid w:val="0"/>
          <w:sz w:val="24"/>
        </w:rPr>
        <w:t xml:space="preserve"> assumes that firms will come into compliance with these certification requirements evenly over this initial </w:t>
      </w:r>
      <w:r w:rsidR="00F54A9B">
        <w:rPr>
          <w:snapToGrid w:val="0"/>
          <w:sz w:val="24"/>
        </w:rPr>
        <w:t>3</w:t>
      </w:r>
      <w:r w:rsidRPr="00E704BC">
        <w:rPr>
          <w:snapToGrid w:val="0"/>
          <w:sz w:val="24"/>
        </w:rPr>
        <w:t>-year period (one-third of firms incur initial certification costs each year). In the analysis</w:t>
      </w:r>
      <w:r w:rsidR="0008448C">
        <w:rPr>
          <w:snapToGrid w:val="0"/>
          <w:sz w:val="24"/>
        </w:rPr>
        <w:t>,</w:t>
      </w:r>
      <w:r w:rsidRPr="00E704BC">
        <w:rPr>
          <w:snapToGrid w:val="0"/>
          <w:sz w:val="24"/>
        </w:rPr>
        <w:t xml:space="preserve"> firms</w:t>
      </w:r>
      <w:r w:rsidR="0008448C">
        <w:rPr>
          <w:snapToGrid w:val="0"/>
          <w:sz w:val="24"/>
        </w:rPr>
        <w:t xml:space="preserve"> will </w:t>
      </w:r>
      <w:r w:rsidR="005B1758">
        <w:rPr>
          <w:snapToGrid w:val="0"/>
          <w:sz w:val="24"/>
        </w:rPr>
        <w:t>incur</w:t>
      </w:r>
      <w:r w:rsidR="0008448C">
        <w:rPr>
          <w:snapToGrid w:val="0"/>
          <w:sz w:val="24"/>
        </w:rPr>
        <w:t xml:space="preserve"> certification renewal costs </w:t>
      </w:r>
      <w:r w:rsidRPr="00E704BC">
        <w:rPr>
          <w:snapToGrid w:val="0"/>
          <w:sz w:val="24"/>
        </w:rPr>
        <w:t xml:space="preserve">in years </w:t>
      </w:r>
      <w:r w:rsidR="00324DC8">
        <w:rPr>
          <w:snapToGrid w:val="0"/>
          <w:sz w:val="24"/>
        </w:rPr>
        <w:t>following this 3</w:t>
      </w:r>
      <w:r w:rsidRPr="00E704BC">
        <w:rPr>
          <w:snapToGrid w:val="0"/>
          <w:sz w:val="24"/>
        </w:rPr>
        <w:t>-year ICR period</w:t>
      </w:r>
      <w:r w:rsidR="00324DC8">
        <w:rPr>
          <w:snapToGrid w:val="0"/>
          <w:sz w:val="24"/>
        </w:rPr>
        <w:t>.</w:t>
      </w:r>
      <w:r w:rsidR="006665EE">
        <w:rPr>
          <w:snapToGrid w:val="0"/>
          <w:sz w:val="24"/>
        </w:rPr>
        <w:t xml:space="preserve"> For example, in year 2, the one-third of firms that initially had their products certified the first year will incur certification renewal costs. In year 3, two-thirds of firms will incur certification renewal costs. In future years (year 4 and beyond), all firms will incur certification renewal costs. </w:t>
      </w:r>
      <w:r w:rsidR="00324DC8">
        <w:rPr>
          <w:snapToGrid w:val="0"/>
          <w:sz w:val="24"/>
        </w:rPr>
        <w:t xml:space="preserve"> </w:t>
      </w:r>
      <w:r w:rsidRPr="00E704BC">
        <w:rPr>
          <w:snapToGrid w:val="0"/>
          <w:sz w:val="24"/>
        </w:rPr>
        <w:t xml:space="preserve"> </w:t>
      </w:r>
    </w:p>
    <w:p w:rsidR="00E704BC" w:rsidP="00AB2DF5" w:rsidRDefault="00E704BC" w14:paraId="21384768" w14:textId="77777777">
      <w:pPr>
        <w:widowControl w:val="0"/>
        <w:autoSpaceDE/>
        <w:autoSpaceDN/>
        <w:adjustRightInd/>
        <w:rPr>
          <w:snapToGrid w:val="0"/>
          <w:sz w:val="24"/>
        </w:rPr>
      </w:pPr>
    </w:p>
    <w:p w:rsidRPr="00AB2DF5" w:rsidR="00AB2DF5" w:rsidP="00AB2DF5" w:rsidRDefault="00AB2DF5" w14:paraId="07181366" w14:textId="4A06A263">
      <w:pPr>
        <w:widowControl w:val="0"/>
        <w:autoSpaceDE/>
        <w:autoSpaceDN/>
        <w:adjustRightInd/>
        <w:rPr>
          <w:snapToGrid w:val="0"/>
          <w:sz w:val="24"/>
        </w:rPr>
      </w:pPr>
      <w:r w:rsidRPr="00AB2DF5">
        <w:rPr>
          <w:snapToGrid w:val="0"/>
          <w:sz w:val="24"/>
        </w:rPr>
        <w:t>Firms with fewer than 10 employees and those manufacturing custom-fabricated products will be allowed to choose between third party certification and self-certifying compliance with the</w:t>
      </w:r>
      <w:r w:rsidR="00785A13">
        <w:rPr>
          <w:snapToGrid w:val="0"/>
          <w:sz w:val="24"/>
        </w:rPr>
        <w:t xml:space="preserve"> final </w:t>
      </w:r>
      <w:r w:rsidRPr="00AB2DF5">
        <w:rPr>
          <w:snapToGrid w:val="0"/>
          <w:sz w:val="24"/>
        </w:rPr>
        <w:t xml:space="preserve">rule’s </w:t>
      </w:r>
      <w:proofErr w:type="gramStart"/>
      <w:r w:rsidRPr="00AB2DF5">
        <w:rPr>
          <w:snapToGrid w:val="0"/>
          <w:sz w:val="24"/>
        </w:rPr>
        <w:t>lead free</w:t>
      </w:r>
      <w:proofErr w:type="gramEnd"/>
      <w:r w:rsidRPr="00AB2DF5">
        <w:rPr>
          <w:snapToGrid w:val="0"/>
          <w:sz w:val="24"/>
        </w:rPr>
        <w:t xml:space="preserve"> requirements. </w:t>
      </w:r>
      <w:r w:rsidR="00ED7716">
        <w:rPr>
          <w:snapToGrid w:val="0"/>
          <w:sz w:val="24"/>
        </w:rPr>
        <w:t>EPA</w:t>
      </w:r>
      <w:r w:rsidRPr="00AB2DF5">
        <w:rPr>
          <w:snapToGrid w:val="0"/>
          <w:sz w:val="24"/>
        </w:rPr>
        <w:t xml:space="preserve"> assumes in this ICR that these manufacturers will select the </w:t>
      </w:r>
      <w:r w:rsidRPr="00AB2DF5">
        <w:rPr>
          <w:snapToGrid w:val="0"/>
          <w:sz w:val="24"/>
        </w:rPr>
        <w:lastRenderedPageBreak/>
        <w:t xml:space="preserve">lower cost self-certification option and incur the burden of: </w:t>
      </w:r>
    </w:p>
    <w:p w:rsidRPr="00CD7D2E" w:rsidR="00AB2DF5" w:rsidP="00CD7D2E" w:rsidRDefault="00AB2DF5" w14:paraId="41ACEB23" w14:textId="77777777">
      <w:pPr>
        <w:pStyle w:val="ListParagraph"/>
        <w:widowControl w:val="0"/>
        <w:numPr>
          <w:ilvl w:val="0"/>
          <w:numId w:val="14"/>
        </w:numPr>
        <w:autoSpaceDE/>
        <w:autoSpaceDN/>
        <w:adjustRightInd/>
        <w:rPr>
          <w:snapToGrid w:val="0"/>
          <w:sz w:val="24"/>
        </w:rPr>
      </w:pPr>
      <w:r w:rsidRPr="00CD7D2E">
        <w:rPr>
          <w:snapToGrid w:val="0"/>
          <w:sz w:val="24"/>
        </w:rPr>
        <w:t xml:space="preserve">Preparing the initial certificate of conformity and maintaining documentation for potable use products that are self-certified by the manufacturer as being lead free. </w:t>
      </w:r>
    </w:p>
    <w:p w:rsidRPr="00AB2DF5" w:rsidR="00AB2DF5" w:rsidP="00AB2DF5" w:rsidRDefault="00AB2DF5" w14:paraId="21C56CF4" w14:textId="77777777">
      <w:pPr>
        <w:widowControl w:val="0"/>
        <w:autoSpaceDE/>
        <w:autoSpaceDN/>
        <w:adjustRightInd/>
        <w:ind w:left="720"/>
        <w:rPr>
          <w:snapToGrid w:val="0"/>
          <w:sz w:val="24"/>
        </w:rPr>
      </w:pPr>
    </w:p>
    <w:p w:rsidRPr="00AB2DF5" w:rsidR="00AB2DF5" w:rsidP="00AB2DF5" w:rsidRDefault="00AB2DF5" w14:paraId="2DF19685" w14:textId="7B9088C0">
      <w:pPr>
        <w:widowControl w:val="0"/>
        <w:autoSpaceDE/>
        <w:autoSpaceDN/>
        <w:adjustRightInd/>
        <w:rPr>
          <w:snapToGrid w:val="0"/>
          <w:sz w:val="24"/>
        </w:rPr>
      </w:pPr>
      <w:r w:rsidRPr="00AB2DF5">
        <w:rPr>
          <w:snapToGrid w:val="0"/>
          <w:sz w:val="24"/>
        </w:rPr>
        <w:t xml:space="preserve">The rule requirement to respond to </w:t>
      </w:r>
      <w:r w:rsidR="00ED7716">
        <w:rPr>
          <w:snapToGrid w:val="0"/>
          <w:sz w:val="24"/>
        </w:rPr>
        <w:t>EPA</w:t>
      </w:r>
      <w:r w:rsidRPr="00AB2DF5">
        <w:rPr>
          <w:snapToGrid w:val="0"/>
          <w:sz w:val="24"/>
        </w:rPr>
        <w:t xml:space="preserve"> requests for information is on an ad hoc basis (however, this information collection is not anticipated to occur during the </w:t>
      </w:r>
      <w:r w:rsidR="00F54A9B">
        <w:rPr>
          <w:snapToGrid w:val="0"/>
          <w:sz w:val="24"/>
        </w:rPr>
        <w:t>3</w:t>
      </w:r>
      <w:r w:rsidRPr="00AB2DF5">
        <w:rPr>
          <w:snapToGrid w:val="0"/>
          <w:sz w:val="24"/>
        </w:rPr>
        <w:t>-year period covered by this ICR).</w:t>
      </w:r>
    </w:p>
    <w:p w:rsidR="00553625" w:rsidP="00120395" w:rsidRDefault="00553625" w14:paraId="282849E7" w14:textId="77777777">
      <w:pPr>
        <w:widowControl w:val="0"/>
        <w:tabs>
          <w:tab w:val="left" w:pos="0"/>
        </w:tabs>
        <w:autoSpaceDE/>
        <w:autoSpaceDN/>
        <w:adjustRightInd/>
        <w:rPr>
          <w:snapToGrid w:val="0"/>
          <w:sz w:val="24"/>
        </w:rPr>
      </w:pPr>
    </w:p>
    <w:p w:rsidRPr="00E704BC" w:rsidR="00E704BC" w:rsidP="00E704BC" w:rsidRDefault="00E704BC" w14:paraId="2CA7F7BD" w14:textId="3A4679DC">
      <w:pPr>
        <w:widowControl w:val="0"/>
        <w:tabs>
          <w:tab w:val="left" w:pos="0"/>
        </w:tabs>
        <w:autoSpaceDE/>
        <w:autoSpaceDN/>
        <w:adjustRightInd/>
        <w:rPr>
          <w:snapToGrid w:val="0"/>
          <w:sz w:val="24"/>
        </w:rPr>
      </w:pPr>
      <w:r w:rsidRPr="00E704BC">
        <w:rPr>
          <w:snapToGrid w:val="0"/>
          <w:sz w:val="24"/>
        </w:rPr>
        <w:t xml:space="preserve">Third party initial certification and renewal are applied to firms with 10 or more employees. Table </w:t>
      </w:r>
      <w:r w:rsidR="008649E5">
        <w:rPr>
          <w:snapToGrid w:val="0"/>
          <w:sz w:val="24"/>
        </w:rPr>
        <w:t>3</w:t>
      </w:r>
      <w:r w:rsidRPr="00E704BC">
        <w:rPr>
          <w:snapToGrid w:val="0"/>
          <w:sz w:val="24"/>
        </w:rPr>
        <w:t xml:space="preserve"> presents the total and average annual labor burden and labor cost to manufacturers with 10 or more employees for this ICR. Values in this table are ranges based on </w:t>
      </w:r>
      <w:r w:rsidR="00ED7716">
        <w:rPr>
          <w:snapToGrid w:val="0"/>
          <w:sz w:val="24"/>
        </w:rPr>
        <w:t>EPA</w:t>
      </w:r>
      <w:r w:rsidRPr="00E704BC">
        <w:rPr>
          <w:snapToGrid w:val="0"/>
          <w:sz w:val="24"/>
        </w:rPr>
        <w:t xml:space="preserve"> lower and upper bound estimated percentages of manufacture</w:t>
      </w:r>
      <w:r w:rsidR="006562CD">
        <w:rPr>
          <w:snapToGrid w:val="0"/>
          <w:sz w:val="24"/>
        </w:rPr>
        <w:t>r</w:t>
      </w:r>
      <w:r w:rsidRPr="00E704BC">
        <w:rPr>
          <w:snapToGrid w:val="0"/>
          <w:sz w:val="24"/>
        </w:rPr>
        <w:t xml:space="preserve">s with fewer than 100 employees that are currently not already compliant with the final rule requirements (see Table </w:t>
      </w:r>
      <w:r w:rsidR="00CD7D2E">
        <w:rPr>
          <w:snapToGrid w:val="0"/>
          <w:sz w:val="24"/>
        </w:rPr>
        <w:t>2</w:t>
      </w:r>
      <w:r w:rsidRPr="00E704BC">
        <w:rPr>
          <w:snapToGrid w:val="0"/>
          <w:sz w:val="24"/>
        </w:rPr>
        <w:t>).</w:t>
      </w:r>
      <w:r>
        <w:rPr>
          <w:snapToGrid w:val="0"/>
          <w:sz w:val="24"/>
        </w:rPr>
        <w:t xml:space="preserve"> </w:t>
      </w:r>
      <w:r w:rsidR="00ED7716">
        <w:rPr>
          <w:snapToGrid w:val="0"/>
          <w:sz w:val="24"/>
        </w:rPr>
        <w:t>EPA</w:t>
      </w:r>
      <w:r>
        <w:rPr>
          <w:snapToGrid w:val="0"/>
          <w:sz w:val="24"/>
        </w:rPr>
        <w:t xml:space="preserve"> estimates burden to respondents to be 8 hours per product family to be third party certified for initial certification and an average of 8 hours per year afterwards to maintain the certification.</w:t>
      </w:r>
    </w:p>
    <w:p w:rsidRPr="00E704BC" w:rsidR="00E704BC" w:rsidP="00E704BC" w:rsidRDefault="00E704BC" w14:paraId="42D7D8D0" w14:textId="77777777">
      <w:pPr>
        <w:keepNext/>
        <w:autoSpaceDE/>
        <w:autoSpaceDN/>
        <w:adjustRightInd/>
        <w:spacing w:before="240" w:after="240"/>
        <w:rPr>
          <w:b/>
          <w:bCs/>
          <w:sz w:val="24"/>
          <w:szCs w:val="24"/>
        </w:rPr>
      </w:pPr>
      <w:bookmarkStart w:name="_Hlk10793660" w:id="7"/>
      <w:bookmarkStart w:name="_Hlk10705332" w:id="8"/>
      <w:r w:rsidRPr="00E704BC">
        <w:rPr>
          <w:b/>
          <w:bCs/>
          <w:sz w:val="24"/>
          <w:szCs w:val="24"/>
        </w:rPr>
        <w:t xml:space="preserve">Table </w:t>
      </w:r>
      <w:r w:rsidR="001E6D7B">
        <w:rPr>
          <w:b/>
          <w:bCs/>
          <w:sz w:val="24"/>
          <w:szCs w:val="24"/>
        </w:rPr>
        <w:t>3</w:t>
      </w:r>
      <w:r w:rsidRPr="00E704BC">
        <w:rPr>
          <w:b/>
          <w:bCs/>
          <w:sz w:val="24"/>
          <w:szCs w:val="24"/>
        </w:rPr>
        <w:t xml:space="preserve">: </w:t>
      </w:r>
      <w:r w:rsidR="000954BB">
        <w:rPr>
          <w:b/>
          <w:bCs/>
          <w:sz w:val="24"/>
          <w:szCs w:val="24"/>
        </w:rPr>
        <w:t xml:space="preserve">Product Certification </w:t>
      </w:r>
      <w:r w:rsidRPr="00E704BC">
        <w:rPr>
          <w:b/>
          <w:bCs/>
          <w:sz w:val="24"/>
          <w:szCs w:val="24"/>
        </w:rPr>
        <w:t xml:space="preserve">Total and Average Annual Burden Hours to </w:t>
      </w:r>
      <w:r w:rsidR="00123E02">
        <w:rPr>
          <w:b/>
          <w:bCs/>
          <w:sz w:val="24"/>
          <w:szCs w:val="24"/>
        </w:rPr>
        <w:t>Respondents</w:t>
      </w:r>
      <w:r w:rsidRPr="00E704BC">
        <w:rPr>
          <w:b/>
          <w:bCs/>
          <w:sz w:val="24"/>
          <w:szCs w:val="24"/>
        </w:rPr>
        <w:t xml:space="preserve"> with 10 or Greater Employees for the Information Collection Request</w:t>
      </w:r>
    </w:p>
    <w:tbl>
      <w:tblPr>
        <w:tblW w:w="0" w:type="auto"/>
        <w:tblCellMar>
          <w:left w:w="0" w:type="dxa"/>
          <w:right w:w="0" w:type="dxa"/>
        </w:tblCellMar>
        <w:tblLook w:val="04A0" w:firstRow="1" w:lastRow="0" w:firstColumn="1" w:lastColumn="0" w:noHBand="0" w:noVBand="1"/>
      </w:tblPr>
      <w:tblGrid>
        <w:gridCol w:w="2497"/>
        <w:gridCol w:w="2009"/>
        <w:gridCol w:w="2386"/>
        <w:gridCol w:w="2260"/>
      </w:tblGrid>
      <w:tr w:rsidRPr="00E704BC" w:rsidR="00DE52FA" w:rsidTr="00DE52FA" w14:paraId="2F5C4DF9" w14:textId="77777777">
        <w:trPr>
          <w:trHeight w:val="660"/>
        </w:trPr>
        <w:tc>
          <w:tcPr>
            <w:tcW w:w="24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E704BC" w:rsidR="00DE52FA" w:rsidP="00E704BC" w:rsidRDefault="00DE52FA" w14:paraId="6DA58484" w14:textId="77777777">
            <w:pPr>
              <w:autoSpaceDE/>
              <w:autoSpaceDN/>
              <w:adjustRightInd/>
            </w:pPr>
          </w:p>
        </w:tc>
        <w:tc>
          <w:tcPr>
            <w:tcW w:w="20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E704BC" w:rsidRDefault="00DE52FA" w14:paraId="01D9BDCF" w14:textId="77777777">
            <w:pPr>
              <w:autoSpaceDE/>
              <w:autoSpaceDN/>
              <w:adjustRightInd/>
              <w:jc w:val="center"/>
              <w:rPr>
                <w:color w:val="000000"/>
              </w:rPr>
            </w:pPr>
            <w:r w:rsidRPr="00E704BC">
              <w:rPr>
                <w:color w:val="000000"/>
              </w:rPr>
              <w:t xml:space="preserve">Number of </w:t>
            </w:r>
            <w:r>
              <w:rPr>
                <w:color w:val="000000"/>
              </w:rPr>
              <w:t>Respondents</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E704BC" w:rsidRDefault="00DE52FA" w14:paraId="1953596F" w14:textId="77777777">
            <w:pPr>
              <w:autoSpaceDE/>
              <w:autoSpaceDN/>
              <w:adjustRightInd/>
              <w:jc w:val="center"/>
            </w:pPr>
            <w:r w:rsidRPr="00E704BC">
              <w:rPr>
                <w:color w:val="000000"/>
              </w:rPr>
              <w:t>Total Burden (Hours)</w:t>
            </w:r>
          </w:p>
        </w:tc>
        <w:tc>
          <w:tcPr>
            <w:tcW w:w="2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E704BC" w:rsidRDefault="00DE52FA" w14:paraId="2D9AC9C0" w14:textId="77777777">
            <w:pPr>
              <w:autoSpaceDE/>
              <w:autoSpaceDN/>
              <w:adjustRightInd/>
              <w:jc w:val="center"/>
              <w:rPr>
                <w:color w:val="000000"/>
              </w:rPr>
            </w:pPr>
            <w:r w:rsidRPr="00E704BC">
              <w:rPr>
                <w:color w:val="000000"/>
              </w:rPr>
              <w:t>Average Annual Burden</w:t>
            </w:r>
          </w:p>
          <w:p w:rsidRPr="00E704BC" w:rsidR="00DE52FA" w:rsidP="00E704BC" w:rsidRDefault="00DE52FA" w14:paraId="263A8DBD" w14:textId="77777777">
            <w:pPr>
              <w:autoSpaceDE/>
              <w:autoSpaceDN/>
              <w:adjustRightInd/>
              <w:jc w:val="center"/>
            </w:pPr>
            <w:r w:rsidRPr="00E704BC">
              <w:rPr>
                <w:color w:val="000000"/>
              </w:rPr>
              <w:t>(Hours)</w:t>
            </w:r>
          </w:p>
        </w:tc>
      </w:tr>
      <w:tr w:rsidRPr="00E704BC" w:rsidR="00DE52FA" w:rsidTr="00DE52FA" w14:paraId="1C0E20C6" w14:textId="77777777">
        <w:trPr>
          <w:trHeight w:val="675"/>
        </w:trPr>
        <w:tc>
          <w:tcPr>
            <w:tcW w:w="249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4BC" w:rsidR="00DE52FA" w:rsidP="00E704BC" w:rsidRDefault="00DE52FA" w14:paraId="032819C9" w14:textId="77777777">
            <w:pPr>
              <w:autoSpaceDE/>
              <w:autoSpaceDN/>
              <w:adjustRightInd/>
            </w:pPr>
            <w:r>
              <w:t xml:space="preserve">Respondents </w:t>
            </w:r>
            <w:r w:rsidRPr="00E704BC">
              <w:t>with 10 or greater employees</w:t>
            </w:r>
          </w:p>
        </w:tc>
        <w:tc>
          <w:tcPr>
            <w:tcW w:w="2009"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E704BC" w:rsidRDefault="00DE52FA" w14:paraId="3471DCB5" w14:textId="77777777">
            <w:pPr>
              <w:autoSpaceDE/>
              <w:autoSpaceDN/>
              <w:adjustRightInd/>
              <w:jc w:val="center"/>
            </w:pPr>
          </w:p>
          <w:p w:rsidRPr="00E704BC" w:rsidR="00DE52FA" w:rsidP="00E704BC" w:rsidRDefault="00DE52FA" w14:paraId="0F2CD770" w14:textId="77777777">
            <w:pPr>
              <w:autoSpaceDE/>
              <w:autoSpaceDN/>
              <w:adjustRightInd/>
              <w:jc w:val="center"/>
            </w:pPr>
            <w:r w:rsidRPr="00E704BC">
              <w:t>1,338</w:t>
            </w:r>
          </w:p>
          <w:p w:rsidRPr="00E704BC" w:rsidR="00DE52FA" w:rsidP="00E704BC" w:rsidRDefault="00DE52FA" w14:paraId="46519956" w14:textId="77777777">
            <w:pPr>
              <w:autoSpaceDE/>
              <w:autoSpaceDN/>
              <w:adjustRightInd/>
              <w:jc w:val="center"/>
            </w:pPr>
          </w:p>
        </w:tc>
        <w:tc>
          <w:tcPr>
            <w:tcW w:w="2386"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E704BC" w:rsidRDefault="00DE52FA" w14:paraId="4374542E" w14:textId="77777777">
            <w:pPr>
              <w:autoSpaceDE/>
              <w:autoSpaceDN/>
              <w:adjustRightInd/>
              <w:jc w:val="center"/>
              <w:rPr>
                <w:snapToGrid w:val="0"/>
                <w:color w:val="000000"/>
              </w:rPr>
            </w:pPr>
            <w:r w:rsidRPr="00E704BC">
              <w:rPr>
                <w:snapToGrid w:val="0"/>
                <w:color w:val="000000"/>
              </w:rPr>
              <w:t xml:space="preserve"> </w:t>
            </w:r>
          </w:p>
          <w:p w:rsidRPr="00E704BC" w:rsidR="00DE52FA" w:rsidP="00E704BC" w:rsidRDefault="00DE52FA" w14:paraId="60CE3DAE" w14:textId="77777777">
            <w:pPr>
              <w:autoSpaceDE/>
              <w:autoSpaceDN/>
              <w:adjustRightInd/>
              <w:jc w:val="center"/>
              <w:rPr>
                <w:color w:val="000000"/>
              </w:rPr>
            </w:pPr>
            <w:r w:rsidRPr="00E704BC">
              <w:rPr>
                <w:color w:val="000000"/>
              </w:rPr>
              <w:t>27,281 – 47,681</w:t>
            </w:r>
          </w:p>
          <w:p w:rsidRPr="00E704BC" w:rsidR="00DE52FA" w:rsidP="00E704BC" w:rsidRDefault="00DE52FA" w14:paraId="6321154D" w14:textId="77777777">
            <w:pPr>
              <w:autoSpaceDE/>
              <w:autoSpaceDN/>
              <w:adjustRightInd/>
              <w:jc w:val="center"/>
            </w:pPr>
          </w:p>
        </w:tc>
        <w:tc>
          <w:tcPr>
            <w:tcW w:w="22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E704BC" w:rsidRDefault="00DE52FA" w14:paraId="073B03B1" w14:textId="77777777">
            <w:pPr>
              <w:autoSpaceDE/>
              <w:autoSpaceDN/>
              <w:adjustRightInd/>
              <w:jc w:val="center"/>
              <w:rPr>
                <w:color w:val="000000"/>
              </w:rPr>
            </w:pPr>
          </w:p>
          <w:p w:rsidRPr="00E704BC" w:rsidR="00DE52FA" w:rsidP="00E704BC" w:rsidRDefault="00DE52FA" w14:paraId="7E09532C" w14:textId="77777777">
            <w:pPr>
              <w:autoSpaceDE/>
              <w:autoSpaceDN/>
              <w:adjustRightInd/>
              <w:jc w:val="center"/>
              <w:rPr>
                <w:color w:val="000000"/>
              </w:rPr>
            </w:pPr>
            <w:r w:rsidRPr="00E704BC">
              <w:rPr>
                <w:color w:val="000000"/>
              </w:rPr>
              <w:t>9,094 – 15,894</w:t>
            </w:r>
          </w:p>
          <w:p w:rsidRPr="00E704BC" w:rsidR="00DE52FA" w:rsidP="00E704BC" w:rsidRDefault="00DE52FA" w14:paraId="46C8AFD4" w14:textId="77777777">
            <w:pPr>
              <w:autoSpaceDE/>
              <w:autoSpaceDN/>
              <w:adjustRightInd/>
              <w:jc w:val="center"/>
              <w:rPr>
                <w:color w:val="000000"/>
              </w:rPr>
            </w:pPr>
          </w:p>
        </w:tc>
      </w:tr>
    </w:tbl>
    <w:bookmarkEnd w:id="7"/>
    <w:p w:rsidRPr="00E704BC" w:rsidR="00E704BC" w:rsidP="00E704BC" w:rsidRDefault="00E704BC" w14:paraId="650C0DB7" w14:textId="77777777">
      <w:pPr>
        <w:autoSpaceDE/>
        <w:autoSpaceDN/>
        <w:adjustRightInd/>
        <w:rPr>
          <w:sz w:val="22"/>
          <w:szCs w:val="22"/>
          <w:lang w:eastAsia="ja-JP"/>
        </w:rPr>
      </w:pPr>
      <w:r w:rsidRPr="00E704BC">
        <w:rPr>
          <w:b/>
          <w:bCs/>
          <w:sz w:val="22"/>
          <w:szCs w:val="22"/>
          <w:lang w:eastAsia="ja-JP"/>
        </w:rPr>
        <w:t>Source:</w:t>
      </w:r>
      <w:r w:rsidRPr="00E704BC">
        <w:rPr>
          <w:sz w:val="22"/>
          <w:szCs w:val="22"/>
          <w:lang w:eastAsia="ja-JP"/>
        </w:rPr>
        <w:t xml:space="preserve"> Lead Free Rule Cost Model_Final Rule, ICR Analysis  worksheets.</w:t>
      </w:r>
    </w:p>
    <w:p w:rsidRPr="00E704BC" w:rsidR="00E704BC" w:rsidP="00E704BC" w:rsidRDefault="00E704BC" w14:paraId="1A7711C1" w14:textId="77777777">
      <w:pPr>
        <w:widowControl w:val="0"/>
        <w:tabs>
          <w:tab w:val="left" w:pos="0"/>
        </w:tabs>
        <w:autoSpaceDE/>
        <w:autoSpaceDN/>
        <w:adjustRightInd/>
        <w:rPr>
          <w:snapToGrid w:val="0"/>
          <w:sz w:val="24"/>
        </w:rPr>
      </w:pPr>
    </w:p>
    <w:p w:rsidR="00E704BC" w:rsidP="00E704BC" w:rsidRDefault="00E704BC" w14:paraId="64F0DEA5" w14:textId="3CBDCA95">
      <w:pPr>
        <w:widowControl w:val="0"/>
        <w:tabs>
          <w:tab w:val="left" w:pos="0"/>
        </w:tabs>
        <w:autoSpaceDE/>
        <w:autoSpaceDN/>
        <w:adjustRightInd/>
        <w:rPr>
          <w:snapToGrid w:val="0"/>
          <w:sz w:val="24"/>
        </w:rPr>
      </w:pPr>
      <w:r w:rsidRPr="00E704BC">
        <w:rPr>
          <w:snapToGrid w:val="0"/>
          <w:sz w:val="24"/>
        </w:rPr>
        <w:t xml:space="preserve">The final rule also allows firms with fewer than 10 employees and those manufacturing custom-fabricated products the choice between third party certification or self-certifying compliance with lead free requirements. </w:t>
      </w:r>
      <w:r w:rsidR="00ED7716">
        <w:rPr>
          <w:snapToGrid w:val="0"/>
          <w:sz w:val="24"/>
        </w:rPr>
        <w:t>EPA</w:t>
      </w:r>
      <w:r w:rsidRPr="00E704BC">
        <w:rPr>
          <w:snapToGrid w:val="0"/>
          <w:sz w:val="24"/>
        </w:rPr>
        <w:t xml:space="preserve"> estimated that each manufacturer would require 40 hours of labor to initially develop the certificate of conformity, which certifies a product family as being compliant with the </w:t>
      </w:r>
      <w:proofErr w:type="gramStart"/>
      <w:r w:rsidRPr="00E704BC">
        <w:rPr>
          <w:snapToGrid w:val="0"/>
          <w:sz w:val="24"/>
        </w:rPr>
        <w:t>lead free</w:t>
      </w:r>
      <w:proofErr w:type="gramEnd"/>
      <w:r w:rsidRPr="00E704BC">
        <w:rPr>
          <w:snapToGrid w:val="0"/>
          <w:sz w:val="24"/>
        </w:rPr>
        <w:t xml:space="preserve"> requirements. The labor burden for the annual renewal of the self-certification per product family is estimated to be 16 hours. These hours are used in the updating of the certificate of conformity and recordkeeping activities. </w:t>
      </w:r>
    </w:p>
    <w:p w:rsidRPr="00E704BC" w:rsidR="00E704BC" w:rsidP="00E704BC" w:rsidRDefault="00E704BC" w14:paraId="079A4F5D" w14:textId="77777777">
      <w:pPr>
        <w:widowControl w:val="0"/>
        <w:tabs>
          <w:tab w:val="left" w:pos="0"/>
        </w:tabs>
        <w:autoSpaceDE/>
        <w:autoSpaceDN/>
        <w:adjustRightInd/>
        <w:rPr>
          <w:snapToGrid w:val="0"/>
          <w:sz w:val="24"/>
        </w:rPr>
      </w:pPr>
    </w:p>
    <w:p w:rsidRPr="00E704BC" w:rsidR="00E704BC" w:rsidP="00E704BC" w:rsidRDefault="005B1758" w14:paraId="45E35A15" w14:textId="3517AB6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Pr>
          <w:snapToGrid w:val="0"/>
          <w:sz w:val="24"/>
        </w:rPr>
        <w:t>I</w:t>
      </w:r>
      <w:r w:rsidRPr="00E704BC" w:rsidR="00E704BC">
        <w:rPr>
          <w:snapToGrid w:val="0"/>
          <w:sz w:val="24"/>
        </w:rPr>
        <w:t>n the analysis of the final rule</w:t>
      </w:r>
      <w:r>
        <w:rPr>
          <w:snapToGrid w:val="0"/>
          <w:sz w:val="24"/>
        </w:rPr>
        <w:t xml:space="preserve">, </w:t>
      </w:r>
      <w:r w:rsidR="00ED7716">
        <w:rPr>
          <w:snapToGrid w:val="0"/>
          <w:sz w:val="24"/>
        </w:rPr>
        <w:t>EPA</w:t>
      </w:r>
      <w:r w:rsidRPr="00E704BC" w:rsidR="00E704BC">
        <w:rPr>
          <w:snapToGrid w:val="0"/>
          <w:sz w:val="24"/>
        </w:rPr>
        <w:t xml:space="preserve"> assumed that all firms with fewer than 10 employees would elect to self-certify. Table </w:t>
      </w:r>
      <w:r w:rsidR="008B74A8">
        <w:rPr>
          <w:snapToGrid w:val="0"/>
          <w:sz w:val="24"/>
        </w:rPr>
        <w:t>4</w:t>
      </w:r>
      <w:r w:rsidRPr="00E704BC" w:rsidR="00E704BC">
        <w:rPr>
          <w:snapToGrid w:val="0"/>
          <w:sz w:val="24"/>
        </w:rPr>
        <w:t xml:space="preserve"> shows the estimated total and average annual labor burden hours and costs for firms with fewer than 10 employees. Values in this table are ranges based on </w:t>
      </w:r>
      <w:r w:rsidR="00ED7716">
        <w:rPr>
          <w:snapToGrid w:val="0"/>
          <w:sz w:val="24"/>
        </w:rPr>
        <w:t>EPA</w:t>
      </w:r>
      <w:r w:rsidRPr="00E704BC" w:rsidR="00E704BC">
        <w:rPr>
          <w:snapToGrid w:val="0"/>
          <w:sz w:val="24"/>
        </w:rPr>
        <w:t xml:space="preserve"> lower and upper bound estimated percentages of manufacture</w:t>
      </w:r>
      <w:r w:rsidR="006562CD">
        <w:rPr>
          <w:snapToGrid w:val="0"/>
          <w:sz w:val="24"/>
        </w:rPr>
        <w:t>r</w:t>
      </w:r>
      <w:r w:rsidRPr="00E704BC" w:rsidR="00E704BC">
        <w:rPr>
          <w:snapToGrid w:val="0"/>
          <w:sz w:val="24"/>
        </w:rPr>
        <w:t>s with fewer than 100 employees that are currently not already compliant with the final rule requirements (see Table 1).</w:t>
      </w:r>
    </w:p>
    <w:p w:rsidR="00CD7D2E" w:rsidRDefault="00CD7D2E" w14:paraId="29564027" w14:textId="77777777">
      <w:pPr>
        <w:autoSpaceDE/>
        <w:autoSpaceDN/>
        <w:adjustRightInd/>
        <w:rPr>
          <w:rFonts w:eastAsia="Calibri"/>
          <w:b/>
          <w:bCs/>
          <w:sz w:val="24"/>
          <w:szCs w:val="24"/>
        </w:rPr>
      </w:pPr>
      <w:r>
        <w:rPr>
          <w:rFonts w:eastAsia="Calibri"/>
          <w:b/>
          <w:bCs/>
          <w:sz w:val="24"/>
          <w:szCs w:val="24"/>
        </w:rPr>
        <w:br w:type="page"/>
      </w:r>
    </w:p>
    <w:p w:rsidRPr="00E704BC" w:rsidR="00E704BC" w:rsidP="00E704BC" w:rsidRDefault="00E704BC" w14:paraId="3E03B36B" w14:textId="0D91B194">
      <w:pPr>
        <w:keepNext/>
        <w:autoSpaceDE/>
        <w:autoSpaceDN/>
        <w:adjustRightInd/>
        <w:spacing w:before="240" w:after="240"/>
        <w:rPr>
          <w:rFonts w:eastAsia="Calibri"/>
          <w:b/>
          <w:bCs/>
          <w:sz w:val="24"/>
          <w:szCs w:val="24"/>
        </w:rPr>
      </w:pPr>
      <w:r w:rsidRPr="00E704BC">
        <w:rPr>
          <w:rFonts w:eastAsia="Calibri"/>
          <w:b/>
          <w:bCs/>
          <w:sz w:val="24"/>
          <w:szCs w:val="24"/>
        </w:rPr>
        <w:lastRenderedPageBreak/>
        <w:t xml:space="preserve">Table </w:t>
      </w:r>
      <w:r w:rsidR="001E6D7B">
        <w:rPr>
          <w:rFonts w:eastAsia="Calibri"/>
          <w:b/>
          <w:bCs/>
          <w:sz w:val="24"/>
          <w:szCs w:val="24"/>
        </w:rPr>
        <w:t>4</w:t>
      </w:r>
      <w:r w:rsidRPr="00E704BC">
        <w:rPr>
          <w:rFonts w:eastAsia="Calibri"/>
          <w:b/>
          <w:bCs/>
          <w:sz w:val="24"/>
          <w:szCs w:val="24"/>
        </w:rPr>
        <w:t xml:space="preserve">: </w:t>
      </w:r>
      <w:r w:rsidR="000954BB">
        <w:rPr>
          <w:rFonts w:eastAsia="Calibri"/>
          <w:b/>
          <w:bCs/>
          <w:sz w:val="24"/>
          <w:szCs w:val="24"/>
        </w:rPr>
        <w:t xml:space="preserve">Product Certification </w:t>
      </w:r>
      <w:r w:rsidRPr="00E704BC">
        <w:rPr>
          <w:rFonts w:eastAsia="Calibri"/>
          <w:b/>
          <w:bCs/>
          <w:sz w:val="24"/>
          <w:szCs w:val="24"/>
        </w:rPr>
        <w:t xml:space="preserve">Total and Average Annual Burden Hours to </w:t>
      </w:r>
      <w:r w:rsidR="0095658E">
        <w:rPr>
          <w:rFonts w:eastAsia="Calibri"/>
          <w:b/>
          <w:bCs/>
          <w:sz w:val="24"/>
          <w:szCs w:val="24"/>
        </w:rPr>
        <w:t xml:space="preserve">Respondents </w:t>
      </w:r>
      <w:r w:rsidRPr="00E704BC">
        <w:rPr>
          <w:rFonts w:eastAsia="Calibri"/>
          <w:b/>
          <w:bCs/>
          <w:sz w:val="24"/>
          <w:szCs w:val="24"/>
        </w:rPr>
        <w:t>with Fewer than 10 Employees for the Information Collection Request</w:t>
      </w:r>
    </w:p>
    <w:tbl>
      <w:tblPr>
        <w:tblpPr w:leftFromText="180" w:rightFromText="180" w:vertAnchor="text" w:tblpY="1"/>
        <w:tblOverlap w:val="never"/>
        <w:tblW w:w="9471" w:type="dxa"/>
        <w:tblLayout w:type="fixed"/>
        <w:tblCellMar>
          <w:left w:w="0" w:type="dxa"/>
          <w:right w:w="0" w:type="dxa"/>
        </w:tblCellMar>
        <w:tblLook w:val="04A0" w:firstRow="1" w:lastRow="0" w:firstColumn="1" w:lastColumn="0" w:noHBand="0" w:noVBand="1"/>
      </w:tblPr>
      <w:tblGrid>
        <w:gridCol w:w="2584"/>
        <w:gridCol w:w="2079"/>
        <w:gridCol w:w="2469"/>
        <w:gridCol w:w="2339"/>
      </w:tblGrid>
      <w:tr w:rsidRPr="00E704BC" w:rsidR="00DE52FA" w:rsidTr="00BE064B" w14:paraId="0DD460FC" w14:textId="77777777">
        <w:trPr>
          <w:trHeight w:val="682"/>
        </w:trPr>
        <w:tc>
          <w:tcPr>
            <w:tcW w:w="2584"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E704BC" w:rsidR="00DE52FA" w:rsidP="00E704BC" w:rsidRDefault="00DE52FA" w14:paraId="2F06D6E8" w14:textId="77777777">
            <w:pPr>
              <w:autoSpaceDE/>
              <w:autoSpaceDN/>
              <w:adjustRightInd/>
              <w:rPr>
                <w:rFonts w:eastAsia="Calibri"/>
              </w:rPr>
            </w:pPr>
          </w:p>
        </w:tc>
        <w:tc>
          <w:tcPr>
            <w:tcW w:w="2079"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E704BC" w:rsidR="00DE52FA" w:rsidP="00E704BC" w:rsidRDefault="00DE52FA" w14:paraId="346F3D40" w14:textId="77777777">
            <w:pPr>
              <w:autoSpaceDE/>
              <w:autoSpaceDN/>
              <w:adjustRightInd/>
              <w:jc w:val="center"/>
              <w:rPr>
                <w:rFonts w:eastAsia="Calibri"/>
                <w:color w:val="000000"/>
              </w:rPr>
            </w:pPr>
            <w:r w:rsidRPr="00E704BC">
              <w:rPr>
                <w:rFonts w:eastAsia="Calibri"/>
                <w:color w:val="000000"/>
              </w:rPr>
              <w:t xml:space="preserve">Number of </w:t>
            </w:r>
            <w:r>
              <w:rPr>
                <w:rFonts w:eastAsia="Calibri"/>
                <w:color w:val="000000"/>
              </w:rPr>
              <w:t>Respondents</w:t>
            </w:r>
          </w:p>
        </w:tc>
        <w:tc>
          <w:tcPr>
            <w:tcW w:w="2469"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E704BC" w:rsidR="00DE52FA" w:rsidP="00E704BC" w:rsidRDefault="00DE52FA" w14:paraId="2A8D9838" w14:textId="77777777">
            <w:pPr>
              <w:autoSpaceDE/>
              <w:autoSpaceDN/>
              <w:adjustRightInd/>
              <w:jc w:val="center"/>
              <w:rPr>
                <w:rFonts w:eastAsia="Calibri"/>
              </w:rPr>
            </w:pPr>
            <w:r w:rsidRPr="00E704BC">
              <w:rPr>
                <w:rFonts w:eastAsia="Calibri"/>
                <w:color w:val="000000"/>
              </w:rPr>
              <w:t>Total Burden (Hours)</w:t>
            </w:r>
          </w:p>
        </w:tc>
        <w:tc>
          <w:tcPr>
            <w:tcW w:w="2339"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E704BC" w:rsidR="00DE52FA" w:rsidP="00E704BC" w:rsidRDefault="00DE52FA" w14:paraId="15155943" w14:textId="77777777">
            <w:pPr>
              <w:autoSpaceDE/>
              <w:autoSpaceDN/>
              <w:adjustRightInd/>
              <w:jc w:val="center"/>
              <w:rPr>
                <w:rFonts w:eastAsia="Calibri"/>
                <w:color w:val="000000"/>
              </w:rPr>
            </w:pPr>
            <w:r w:rsidRPr="00E704BC">
              <w:rPr>
                <w:rFonts w:eastAsia="Calibri"/>
                <w:color w:val="000000"/>
              </w:rPr>
              <w:t xml:space="preserve">Average Annual Burden </w:t>
            </w:r>
          </w:p>
          <w:p w:rsidRPr="00E704BC" w:rsidR="00DE52FA" w:rsidP="00E704BC" w:rsidRDefault="00DE52FA" w14:paraId="6F0E2CAA" w14:textId="77777777">
            <w:pPr>
              <w:autoSpaceDE/>
              <w:autoSpaceDN/>
              <w:adjustRightInd/>
              <w:jc w:val="center"/>
              <w:rPr>
                <w:rFonts w:eastAsia="Calibri"/>
              </w:rPr>
            </w:pPr>
            <w:r w:rsidRPr="00E704BC">
              <w:rPr>
                <w:rFonts w:eastAsia="Calibri"/>
                <w:color w:val="000000"/>
              </w:rPr>
              <w:t>(Hours)</w:t>
            </w:r>
          </w:p>
        </w:tc>
      </w:tr>
      <w:tr w:rsidRPr="00E704BC" w:rsidR="00DE52FA" w:rsidTr="00BE064B" w14:paraId="4FB74224" w14:textId="77777777">
        <w:trPr>
          <w:trHeight w:val="747"/>
        </w:trPr>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704BC" w:rsidR="00DE52FA" w:rsidP="00E704BC" w:rsidRDefault="00DE52FA" w14:paraId="27995454" w14:textId="77777777">
            <w:pPr>
              <w:autoSpaceDE/>
              <w:autoSpaceDN/>
              <w:adjustRightInd/>
              <w:rPr>
                <w:rFonts w:eastAsia="Calibri"/>
              </w:rPr>
            </w:pPr>
            <w:r>
              <w:rPr>
                <w:rFonts w:eastAsia="Calibri"/>
              </w:rPr>
              <w:t>Respondents</w:t>
            </w:r>
            <w:r w:rsidRPr="00E704BC">
              <w:rPr>
                <w:rFonts w:eastAsia="Calibri"/>
              </w:rPr>
              <w:t xml:space="preserve"> with fewer than 10 employees</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04BC" w:rsidR="00DE52FA" w:rsidP="00E704BC" w:rsidRDefault="00DE52FA" w14:paraId="4044D782" w14:textId="77777777">
            <w:pPr>
              <w:autoSpaceDE/>
              <w:autoSpaceDN/>
              <w:adjustRightInd/>
              <w:jc w:val="center"/>
              <w:rPr>
                <w:rFonts w:eastAsia="Calibri"/>
              </w:rPr>
            </w:pPr>
          </w:p>
          <w:p w:rsidRPr="00E704BC" w:rsidR="00DE52FA" w:rsidP="00E704BC" w:rsidRDefault="00DE52FA" w14:paraId="2C0C6A86" w14:textId="77777777">
            <w:pPr>
              <w:autoSpaceDE/>
              <w:autoSpaceDN/>
              <w:adjustRightInd/>
              <w:jc w:val="center"/>
              <w:rPr>
                <w:rFonts w:eastAsia="Calibri"/>
              </w:rPr>
            </w:pPr>
            <w:r w:rsidRPr="00E704BC">
              <w:rPr>
                <w:rFonts w:eastAsia="Calibri"/>
              </w:rPr>
              <w:t>855</w:t>
            </w:r>
          </w:p>
          <w:p w:rsidRPr="00E704BC" w:rsidR="00DE52FA" w:rsidP="00E704BC" w:rsidRDefault="00DE52FA" w14:paraId="735F576A" w14:textId="77777777">
            <w:pPr>
              <w:autoSpaceDE/>
              <w:autoSpaceDN/>
              <w:adjustRightInd/>
              <w:jc w:val="center"/>
              <w:rPr>
                <w:rFonts w:eastAsia="Calibri"/>
              </w:rPr>
            </w:pPr>
          </w:p>
        </w:tc>
        <w:tc>
          <w:tcPr>
            <w:tcW w:w="2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04BC" w:rsidR="00DE52FA" w:rsidP="00E704BC" w:rsidRDefault="00DE52FA" w14:paraId="2BA97B50" w14:textId="77777777">
            <w:pPr>
              <w:autoSpaceDE/>
              <w:autoSpaceDN/>
              <w:adjustRightInd/>
              <w:jc w:val="center"/>
              <w:rPr>
                <w:rFonts w:eastAsia="Calibri"/>
              </w:rPr>
            </w:pPr>
            <w:r w:rsidRPr="00E704BC">
              <w:rPr>
                <w:rFonts w:eastAsia="Calibri"/>
              </w:rPr>
              <w:t>84,144 – 168,288</w:t>
            </w:r>
          </w:p>
        </w:tc>
        <w:tc>
          <w:tcPr>
            <w:tcW w:w="23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04BC" w:rsidR="00DE52FA" w:rsidP="00E704BC" w:rsidRDefault="00DE52FA" w14:paraId="1FEC8501" w14:textId="77777777">
            <w:pPr>
              <w:autoSpaceDE/>
              <w:autoSpaceDN/>
              <w:adjustRightInd/>
              <w:jc w:val="center"/>
              <w:rPr>
                <w:rFonts w:eastAsia="Calibri"/>
                <w:color w:val="000000"/>
              </w:rPr>
            </w:pPr>
            <w:r w:rsidRPr="00E704BC">
              <w:rPr>
                <w:rFonts w:eastAsia="Calibri"/>
                <w:color w:val="000000"/>
              </w:rPr>
              <w:t>28,048 – 56</w:t>
            </w:r>
            <w:r w:rsidR="007060F9">
              <w:rPr>
                <w:rFonts w:eastAsia="Calibri"/>
                <w:color w:val="000000"/>
              </w:rPr>
              <w:t>,</w:t>
            </w:r>
            <w:r w:rsidRPr="00E704BC">
              <w:rPr>
                <w:rFonts w:eastAsia="Calibri"/>
                <w:color w:val="000000"/>
              </w:rPr>
              <w:t>096</w:t>
            </w:r>
          </w:p>
        </w:tc>
      </w:tr>
    </w:tbl>
    <w:p w:rsidRPr="00E704BC" w:rsidR="00E704BC" w:rsidP="00E704BC" w:rsidRDefault="00E704BC" w14:paraId="4471438F" w14:textId="77777777">
      <w:pPr>
        <w:autoSpaceDE/>
        <w:autoSpaceDN/>
        <w:adjustRightInd/>
        <w:rPr>
          <w:rFonts w:eastAsia="Calibri"/>
          <w:b/>
          <w:bCs/>
          <w:sz w:val="22"/>
          <w:szCs w:val="22"/>
        </w:rPr>
      </w:pPr>
      <w:r w:rsidRPr="00E704BC">
        <w:rPr>
          <w:rFonts w:eastAsia="Calibri"/>
          <w:b/>
          <w:bCs/>
          <w:sz w:val="22"/>
          <w:szCs w:val="22"/>
          <w:lang w:eastAsia="ja-JP"/>
        </w:rPr>
        <w:t>Source:</w:t>
      </w:r>
      <w:r w:rsidRPr="00E704BC">
        <w:rPr>
          <w:rFonts w:eastAsia="Calibri"/>
          <w:sz w:val="22"/>
          <w:szCs w:val="22"/>
          <w:lang w:eastAsia="ja-JP"/>
        </w:rPr>
        <w:t xml:space="preserve"> Lead Free Rule Cost Model</w:t>
      </w:r>
      <w:r w:rsidRPr="009479D4" w:rsidR="009479D4">
        <w:rPr>
          <w:rFonts w:eastAsia="Calibri"/>
          <w:sz w:val="22"/>
          <w:szCs w:val="22"/>
          <w:lang w:eastAsia="ja-JP"/>
        </w:rPr>
        <w:t>_Final Rule</w:t>
      </w:r>
      <w:r w:rsidRPr="00E704BC">
        <w:rPr>
          <w:rFonts w:eastAsia="Calibri"/>
          <w:sz w:val="22"/>
          <w:szCs w:val="22"/>
          <w:lang w:eastAsia="ja-JP"/>
        </w:rPr>
        <w:t>, ICR Analysis worksheets.</w:t>
      </w:r>
    </w:p>
    <w:p w:rsidRPr="00E704BC" w:rsidR="00E704BC" w:rsidP="00E704BC" w:rsidRDefault="00E704BC" w14:paraId="48398EAE"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sidRPr="00E704BC">
        <w:rPr>
          <w:snapToGrid w:val="0"/>
          <w:sz w:val="24"/>
        </w:rPr>
        <w:t xml:space="preserve"> </w:t>
      </w:r>
    </w:p>
    <w:p w:rsidRPr="00E704BC" w:rsidR="00E704BC" w:rsidP="00E704BC" w:rsidRDefault="00E704BC" w14:paraId="632378DC" w14:textId="397BF325">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sidRPr="00E704BC">
        <w:rPr>
          <w:snapToGrid w:val="0"/>
          <w:sz w:val="24"/>
        </w:rPr>
        <w:t xml:space="preserve">Table </w:t>
      </w:r>
      <w:r w:rsidR="008B74A8">
        <w:rPr>
          <w:snapToGrid w:val="0"/>
          <w:sz w:val="24"/>
        </w:rPr>
        <w:t>5</w:t>
      </w:r>
      <w:r w:rsidRPr="00E704BC">
        <w:rPr>
          <w:snapToGrid w:val="0"/>
          <w:sz w:val="24"/>
        </w:rPr>
        <w:t xml:space="preserve"> provides the total and average burden hours and labor costs for firms of all employee size categories. Again, ranges are based on lower and upper bound estimated percentages of manufacture</w:t>
      </w:r>
      <w:r w:rsidR="00EC522A">
        <w:rPr>
          <w:snapToGrid w:val="0"/>
          <w:sz w:val="24"/>
        </w:rPr>
        <w:t>r</w:t>
      </w:r>
      <w:r w:rsidRPr="00E704BC">
        <w:rPr>
          <w:snapToGrid w:val="0"/>
          <w:sz w:val="24"/>
        </w:rPr>
        <w:t>s with fewer than 100 employees.</w:t>
      </w:r>
    </w:p>
    <w:p w:rsidRPr="00E704BC" w:rsidR="00E704BC" w:rsidP="00E704BC" w:rsidRDefault="00E704BC" w14:paraId="62E06CFB" w14:textId="77777777">
      <w:pPr>
        <w:keepNext/>
        <w:autoSpaceDE/>
        <w:autoSpaceDN/>
        <w:adjustRightInd/>
        <w:spacing w:before="240" w:after="240"/>
        <w:rPr>
          <w:rFonts w:eastAsia="Calibri"/>
          <w:b/>
          <w:bCs/>
          <w:sz w:val="24"/>
          <w:szCs w:val="24"/>
        </w:rPr>
      </w:pPr>
      <w:r w:rsidRPr="00E704BC">
        <w:rPr>
          <w:rFonts w:eastAsia="Calibri"/>
          <w:b/>
          <w:bCs/>
          <w:sz w:val="24"/>
          <w:szCs w:val="24"/>
        </w:rPr>
        <w:t xml:space="preserve">Table </w:t>
      </w:r>
      <w:r w:rsidR="001E6D7B">
        <w:rPr>
          <w:rFonts w:eastAsia="Calibri"/>
          <w:b/>
          <w:bCs/>
          <w:sz w:val="24"/>
          <w:szCs w:val="24"/>
        </w:rPr>
        <w:t>5</w:t>
      </w:r>
      <w:r w:rsidRPr="00E704BC">
        <w:rPr>
          <w:rFonts w:eastAsia="Calibri"/>
          <w:b/>
          <w:bCs/>
          <w:sz w:val="24"/>
          <w:szCs w:val="24"/>
        </w:rPr>
        <w:t xml:space="preserve">: Total and Average Annual Burden Hours to </w:t>
      </w:r>
      <w:r w:rsidR="00BE064B">
        <w:rPr>
          <w:rFonts w:eastAsia="Calibri"/>
          <w:b/>
          <w:bCs/>
          <w:sz w:val="24"/>
          <w:szCs w:val="24"/>
        </w:rPr>
        <w:t>Respondents</w:t>
      </w:r>
      <w:r w:rsidRPr="00E704BC">
        <w:rPr>
          <w:rFonts w:eastAsia="Calibri"/>
          <w:b/>
          <w:bCs/>
          <w:sz w:val="24"/>
          <w:szCs w:val="24"/>
        </w:rPr>
        <w:t xml:space="preserve"> Across All Employee Size Categories for the Information Collection Request</w:t>
      </w:r>
    </w:p>
    <w:tbl>
      <w:tblPr>
        <w:tblW w:w="0" w:type="auto"/>
        <w:jc w:val="center"/>
        <w:tblCellMar>
          <w:left w:w="0" w:type="dxa"/>
          <w:right w:w="0" w:type="dxa"/>
        </w:tblCellMar>
        <w:tblLook w:val="04A0" w:firstRow="1" w:lastRow="0" w:firstColumn="1" w:lastColumn="0" w:noHBand="0" w:noVBand="1"/>
      </w:tblPr>
      <w:tblGrid>
        <w:gridCol w:w="2531"/>
        <w:gridCol w:w="2036"/>
        <w:gridCol w:w="2418"/>
        <w:gridCol w:w="2290"/>
      </w:tblGrid>
      <w:tr w:rsidRPr="00E704BC" w:rsidR="00BE064B" w:rsidTr="00BE064B" w14:paraId="2C7CD2AC" w14:textId="77777777">
        <w:trPr>
          <w:trHeight w:val="528"/>
          <w:jc w:val="center"/>
        </w:trPr>
        <w:tc>
          <w:tcPr>
            <w:tcW w:w="25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E704BC" w:rsidR="00BE064B" w:rsidP="00E704BC" w:rsidRDefault="00BE064B" w14:paraId="56C1C9F3" w14:textId="77777777">
            <w:pPr>
              <w:autoSpaceDE/>
              <w:autoSpaceDN/>
              <w:adjustRightInd/>
              <w:rPr>
                <w:rFonts w:eastAsia="Calibri"/>
              </w:rPr>
            </w:pPr>
          </w:p>
        </w:tc>
        <w:tc>
          <w:tcPr>
            <w:tcW w:w="20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BE064B" w:rsidP="00E704BC" w:rsidRDefault="00BE064B" w14:paraId="636D5747" w14:textId="77777777">
            <w:pPr>
              <w:autoSpaceDE/>
              <w:autoSpaceDN/>
              <w:adjustRightInd/>
              <w:jc w:val="center"/>
              <w:rPr>
                <w:rFonts w:eastAsia="Calibri"/>
                <w:color w:val="000000"/>
              </w:rPr>
            </w:pPr>
            <w:r w:rsidRPr="00E704BC">
              <w:rPr>
                <w:rFonts w:eastAsia="Calibri"/>
                <w:color w:val="000000"/>
              </w:rPr>
              <w:t xml:space="preserve">Number of </w:t>
            </w:r>
            <w:r>
              <w:rPr>
                <w:rFonts w:eastAsia="Calibri"/>
                <w:color w:val="000000"/>
              </w:rPr>
              <w:t>Respondents</w:t>
            </w:r>
          </w:p>
        </w:tc>
        <w:tc>
          <w:tcPr>
            <w:tcW w:w="2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BE064B" w:rsidP="00E704BC" w:rsidRDefault="00BE064B" w14:paraId="74BA1D20" w14:textId="77777777">
            <w:pPr>
              <w:autoSpaceDE/>
              <w:autoSpaceDN/>
              <w:adjustRightInd/>
              <w:jc w:val="center"/>
              <w:rPr>
                <w:rFonts w:eastAsia="Calibri"/>
              </w:rPr>
            </w:pPr>
            <w:r w:rsidRPr="00E704BC">
              <w:rPr>
                <w:rFonts w:eastAsia="Calibri"/>
                <w:color w:val="000000"/>
              </w:rPr>
              <w:t>Total Burden (Hours)</w:t>
            </w:r>
          </w:p>
        </w:tc>
        <w:tc>
          <w:tcPr>
            <w:tcW w:w="22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BE064B" w:rsidP="00E704BC" w:rsidRDefault="00BE064B" w14:paraId="22FC48C4" w14:textId="77777777">
            <w:pPr>
              <w:autoSpaceDE/>
              <w:autoSpaceDN/>
              <w:adjustRightInd/>
              <w:jc w:val="center"/>
              <w:rPr>
                <w:rFonts w:eastAsia="Calibri"/>
                <w:color w:val="000000"/>
              </w:rPr>
            </w:pPr>
            <w:r w:rsidRPr="00E704BC">
              <w:rPr>
                <w:rFonts w:eastAsia="Calibri"/>
                <w:color w:val="000000"/>
              </w:rPr>
              <w:t xml:space="preserve">Average Annual Burden </w:t>
            </w:r>
          </w:p>
          <w:p w:rsidRPr="00E704BC" w:rsidR="00BE064B" w:rsidP="00E704BC" w:rsidRDefault="00BE064B" w14:paraId="43804FA9" w14:textId="77777777">
            <w:pPr>
              <w:autoSpaceDE/>
              <w:autoSpaceDN/>
              <w:adjustRightInd/>
              <w:jc w:val="center"/>
              <w:rPr>
                <w:rFonts w:eastAsia="Calibri"/>
              </w:rPr>
            </w:pPr>
            <w:r w:rsidRPr="00E704BC">
              <w:rPr>
                <w:rFonts w:eastAsia="Calibri"/>
                <w:color w:val="000000"/>
              </w:rPr>
              <w:t>(Hours)</w:t>
            </w:r>
          </w:p>
        </w:tc>
      </w:tr>
      <w:tr w:rsidRPr="00E704BC" w:rsidR="00BE064B" w:rsidTr="00BE064B" w14:paraId="34982373" w14:textId="77777777">
        <w:trPr>
          <w:trHeight w:val="756"/>
          <w:jc w:val="center"/>
        </w:trPr>
        <w:tc>
          <w:tcPr>
            <w:tcW w:w="25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4BC" w:rsidR="00BE064B" w:rsidP="00E704BC" w:rsidRDefault="00BE064B" w14:paraId="4BAAE6E0" w14:textId="77777777">
            <w:pPr>
              <w:autoSpaceDE/>
              <w:autoSpaceDN/>
              <w:adjustRightInd/>
              <w:rPr>
                <w:rFonts w:eastAsia="Calibri"/>
              </w:rPr>
            </w:pPr>
            <w:r>
              <w:rPr>
                <w:rFonts w:eastAsia="Calibri"/>
              </w:rPr>
              <w:t>Respondents</w:t>
            </w:r>
            <w:r w:rsidRPr="00E704BC">
              <w:rPr>
                <w:rFonts w:eastAsia="Calibri"/>
              </w:rPr>
              <w:t xml:space="preserve"> – All size categories</w:t>
            </w:r>
          </w:p>
        </w:tc>
        <w:tc>
          <w:tcPr>
            <w:tcW w:w="2036"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BE064B" w:rsidP="00E704BC" w:rsidRDefault="00BE064B" w14:paraId="766809C5" w14:textId="77777777">
            <w:pPr>
              <w:autoSpaceDE/>
              <w:autoSpaceDN/>
              <w:adjustRightInd/>
              <w:jc w:val="center"/>
              <w:rPr>
                <w:rFonts w:eastAsia="Calibri"/>
              </w:rPr>
            </w:pPr>
            <w:r w:rsidRPr="00E704BC">
              <w:rPr>
                <w:rFonts w:eastAsia="Calibri"/>
              </w:rPr>
              <w:t>2,193</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BE064B" w:rsidP="00E704BC" w:rsidRDefault="00BE064B" w14:paraId="104BC813" w14:textId="77777777">
            <w:pPr>
              <w:autoSpaceDE/>
              <w:autoSpaceDN/>
              <w:adjustRightInd/>
              <w:jc w:val="center"/>
              <w:rPr>
                <w:rFonts w:eastAsia="Calibri"/>
              </w:rPr>
            </w:pPr>
            <w:r w:rsidRPr="00E704BC">
              <w:rPr>
                <w:rFonts w:eastAsia="Calibri"/>
              </w:rPr>
              <w:t>1</w:t>
            </w:r>
            <w:r w:rsidR="001E6D7B">
              <w:rPr>
                <w:rFonts w:eastAsia="Calibri"/>
              </w:rPr>
              <w:t>28</w:t>
            </w:r>
            <w:r w:rsidRPr="00E704BC">
              <w:rPr>
                <w:rFonts w:eastAsia="Calibri"/>
              </w:rPr>
              <w:t>,</w:t>
            </w:r>
            <w:r w:rsidR="001E6D7B">
              <w:rPr>
                <w:rFonts w:eastAsia="Calibri"/>
              </w:rPr>
              <w:t>969</w:t>
            </w:r>
            <w:r w:rsidRPr="00E704BC">
              <w:rPr>
                <w:rFonts w:eastAsia="Calibri"/>
              </w:rPr>
              <w:t xml:space="preserve"> </w:t>
            </w:r>
            <w:r w:rsidR="001E6D7B">
              <w:rPr>
                <w:rFonts w:eastAsia="Calibri"/>
              </w:rPr>
              <w:t>–</w:t>
            </w:r>
            <w:r w:rsidRPr="00E704BC">
              <w:rPr>
                <w:rFonts w:eastAsia="Calibri"/>
              </w:rPr>
              <w:t xml:space="preserve"> 2</w:t>
            </w:r>
            <w:r w:rsidR="001E6D7B">
              <w:rPr>
                <w:rFonts w:eastAsia="Calibri"/>
              </w:rPr>
              <w:t>33,513</w:t>
            </w:r>
          </w:p>
        </w:tc>
        <w:tc>
          <w:tcPr>
            <w:tcW w:w="22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BE064B" w:rsidP="00E704BC" w:rsidRDefault="00BE064B" w14:paraId="46473DF8" w14:textId="77777777">
            <w:pPr>
              <w:autoSpaceDE/>
              <w:autoSpaceDN/>
              <w:adjustRightInd/>
              <w:jc w:val="center"/>
              <w:rPr>
                <w:snapToGrid w:val="0"/>
                <w:color w:val="000000"/>
              </w:rPr>
            </w:pPr>
          </w:p>
          <w:p w:rsidRPr="00E704BC" w:rsidR="00BE064B" w:rsidP="00E704BC" w:rsidRDefault="001E6D7B" w14:paraId="36212E5B" w14:textId="77777777">
            <w:pPr>
              <w:autoSpaceDE/>
              <w:autoSpaceDN/>
              <w:adjustRightInd/>
              <w:jc w:val="center"/>
              <w:rPr>
                <w:rFonts w:eastAsia="Calibri"/>
                <w:color w:val="000000"/>
              </w:rPr>
            </w:pPr>
            <w:r>
              <w:rPr>
                <w:rFonts w:eastAsia="Calibri"/>
                <w:color w:val="000000"/>
              </w:rPr>
              <w:t>42,990</w:t>
            </w:r>
            <w:r w:rsidRPr="00E704BC" w:rsidR="00BE064B">
              <w:rPr>
                <w:rFonts w:eastAsia="Calibri"/>
                <w:color w:val="000000"/>
              </w:rPr>
              <w:t xml:space="preserve"> </w:t>
            </w:r>
            <w:r w:rsidRPr="00E704BC" w:rsidR="00BE064B">
              <w:rPr>
                <w:rFonts w:eastAsia="Calibri"/>
              </w:rPr>
              <w:t>– 7</w:t>
            </w:r>
            <w:r>
              <w:rPr>
                <w:rFonts w:eastAsia="Calibri"/>
              </w:rPr>
              <w:t>7</w:t>
            </w:r>
            <w:r w:rsidRPr="00E704BC" w:rsidR="00BE064B">
              <w:rPr>
                <w:rFonts w:eastAsia="Calibri"/>
              </w:rPr>
              <w:t>,</w:t>
            </w:r>
            <w:r>
              <w:rPr>
                <w:rFonts w:eastAsia="Calibri"/>
              </w:rPr>
              <w:t>838</w:t>
            </w:r>
          </w:p>
          <w:p w:rsidRPr="00E704BC" w:rsidR="00BE064B" w:rsidP="00E704BC" w:rsidRDefault="00BE064B" w14:paraId="31FC3C0A" w14:textId="77777777">
            <w:pPr>
              <w:autoSpaceDE/>
              <w:autoSpaceDN/>
              <w:adjustRightInd/>
              <w:jc w:val="center"/>
              <w:rPr>
                <w:rFonts w:eastAsia="Calibri"/>
              </w:rPr>
            </w:pPr>
          </w:p>
        </w:tc>
      </w:tr>
    </w:tbl>
    <w:p w:rsidRPr="00E704BC" w:rsidR="00E704BC" w:rsidP="00E704BC" w:rsidRDefault="00E704BC" w14:paraId="4B94C81F" w14:textId="77777777">
      <w:pPr>
        <w:autoSpaceDE/>
        <w:autoSpaceDN/>
        <w:adjustRightInd/>
        <w:rPr>
          <w:rFonts w:eastAsia="Calibri"/>
          <w:sz w:val="22"/>
          <w:szCs w:val="22"/>
          <w:lang w:eastAsia="ja-JP"/>
        </w:rPr>
      </w:pPr>
      <w:r w:rsidRPr="00E704BC">
        <w:rPr>
          <w:rFonts w:eastAsia="Calibri"/>
          <w:b/>
          <w:bCs/>
          <w:sz w:val="22"/>
          <w:szCs w:val="22"/>
          <w:lang w:eastAsia="ja-JP"/>
        </w:rPr>
        <w:t>Source:</w:t>
      </w:r>
      <w:r w:rsidRPr="00E704BC">
        <w:rPr>
          <w:rFonts w:eastAsia="Calibri"/>
          <w:sz w:val="22"/>
          <w:szCs w:val="22"/>
          <w:lang w:eastAsia="ja-JP"/>
        </w:rPr>
        <w:t xml:space="preserve"> Lead Free Rule Cost Model</w:t>
      </w:r>
      <w:r w:rsidRPr="009479D4" w:rsidR="009479D4">
        <w:rPr>
          <w:rFonts w:eastAsia="Calibri"/>
          <w:sz w:val="22"/>
          <w:szCs w:val="22"/>
          <w:lang w:eastAsia="ja-JP"/>
        </w:rPr>
        <w:t>_Final Rule</w:t>
      </w:r>
      <w:r w:rsidRPr="00E704BC">
        <w:rPr>
          <w:rFonts w:eastAsia="Calibri"/>
          <w:sz w:val="22"/>
          <w:szCs w:val="22"/>
          <w:lang w:eastAsia="ja-JP"/>
        </w:rPr>
        <w:t>, ICR Analysis worksheets.</w:t>
      </w:r>
    </w:p>
    <w:bookmarkEnd w:id="8"/>
    <w:p w:rsidRPr="00E704BC" w:rsidR="00E704BC" w:rsidP="00E704BC" w:rsidRDefault="00E704BC" w14:paraId="25CE22D5"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p>
    <w:p w:rsidR="00E704BC" w:rsidP="00E704BC" w:rsidRDefault="00E704BC" w14:paraId="701B097C" w14:textId="77777777">
      <w:pPr>
        <w:widowControl w:val="0"/>
        <w:tabs>
          <w:tab w:val="left" w:pos="0"/>
        </w:tabs>
        <w:autoSpaceDE/>
        <w:autoSpaceDN/>
        <w:adjustRightInd/>
        <w:rPr>
          <w:snapToGrid w:val="0"/>
          <w:sz w:val="24"/>
        </w:rPr>
      </w:pPr>
      <w:r w:rsidRPr="00E704BC">
        <w:rPr>
          <w:snapToGrid w:val="0"/>
          <w:sz w:val="24"/>
        </w:rPr>
        <w:t xml:space="preserve">Total labor burden to manufacturers of all sized ranges from </w:t>
      </w:r>
      <w:r w:rsidRPr="00E704BC">
        <w:rPr>
          <w:color w:val="000000"/>
          <w:sz w:val="24"/>
          <w:szCs w:val="24"/>
        </w:rPr>
        <w:t>1</w:t>
      </w:r>
      <w:r w:rsidR="007060F9">
        <w:rPr>
          <w:color w:val="000000"/>
          <w:sz w:val="24"/>
          <w:szCs w:val="24"/>
        </w:rPr>
        <w:t>28,969</w:t>
      </w:r>
      <w:r w:rsidRPr="00E704BC">
        <w:rPr>
          <w:color w:val="000000"/>
          <w:sz w:val="24"/>
          <w:szCs w:val="24"/>
        </w:rPr>
        <w:t xml:space="preserve"> </w:t>
      </w:r>
      <w:r w:rsidR="007060F9">
        <w:rPr>
          <w:color w:val="000000"/>
          <w:sz w:val="24"/>
          <w:szCs w:val="24"/>
        </w:rPr>
        <w:t xml:space="preserve">to </w:t>
      </w:r>
      <w:r w:rsidRPr="00E704BC">
        <w:rPr>
          <w:color w:val="000000"/>
          <w:sz w:val="24"/>
          <w:szCs w:val="24"/>
        </w:rPr>
        <w:t>2</w:t>
      </w:r>
      <w:r w:rsidR="007060F9">
        <w:rPr>
          <w:color w:val="000000"/>
          <w:sz w:val="24"/>
          <w:szCs w:val="24"/>
        </w:rPr>
        <w:t>33</w:t>
      </w:r>
      <w:r w:rsidRPr="00E704BC">
        <w:rPr>
          <w:color w:val="000000"/>
          <w:sz w:val="24"/>
          <w:szCs w:val="24"/>
        </w:rPr>
        <w:t>,</w:t>
      </w:r>
      <w:r w:rsidR="007060F9">
        <w:rPr>
          <w:color w:val="000000"/>
          <w:sz w:val="24"/>
          <w:szCs w:val="24"/>
        </w:rPr>
        <w:t>513</w:t>
      </w:r>
      <w:r w:rsidRPr="00E704BC">
        <w:rPr>
          <w:color w:val="000000"/>
          <w:sz w:val="24"/>
          <w:szCs w:val="24"/>
        </w:rPr>
        <w:t xml:space="preserve"> </w:t>
      </w:r>
      <w:r w:rsidRPr="00E704BC">
        <w:rPr>
          <w:snapToGrid w:val="0"/>
          <w:sz w:val="24"/>
        </w:rPr>
        <w:t xml:space="preserve">hours over the three-year ICR period. Estimated average annual burden varies between </w:t>
      </w:r>
      <w:r w:rsidR="007060F9">
        <w:rPr>
          <w:snapToGrid w:val="0"/>
          <w:sz w:val="24"/>
        </w:rPr>
        <w:t>42,990</w:t>
      </w:r>
      <w:r w:rsidRPr="00E704BC">
        <w:rPr>
          <w:snapToGrid w:val="0"/>
          <w:sz w:val="24"/>
        </w:rPr>
        <w:t xml:space="preserve"> and 7</w:t>
      </w:r>
      <w:r w:rsidR="007060F9">
        <w:rPr>
          <w:snapToGrid w:val="0"/>
          <w:sz w:val="24"/>
        </w:rPr>
        <w:t>7</w:t>
      </w:r>
      <w:r w:rsidRPr="00E704BC">
        <w:rPr>
          <w:snapToGrid w:val="0"/>
          <w:sz w:val="24"/>
        </w:rPr>
        <w:t>,</w:t>
      </w:r>
      <w:r w:rsidR="007060F9">
        <w:rPr>
          <w:snapToGrid w:val="0"/>
          <w:sz w:val="24"/>
        </w:rPr>
        <w:t>838</w:t>
      </w:r>
      <w:r w:rsidRPr="00E704BC">
        <w:rPr>
          <w:snapToGrid w:val="0"/>
          <w:sz w:val="24"/>
        </w:rPr>
        <w:t xml:space="preserve"> hours.</w:t>
      </w:r>
    </w:p>
    <w:p w:rsidR="00553625" w:rsidP="00120395" w:rsidRDefault="00553625" w14:paraId="5847DE85" w14:textId="77777777">
      <w:pPr>
        <w:widowControl w:val="0"/>
        <w:tabs>
          <w:tab w:val="left" w:pos="0"/>
        </w:tabs>
        <w:autoSpaceDE/>
        <w:autoSpaceDN/>
        <w:adjustRightInd/>
        <w:rPr>
          <w:snapToGrid w:val="0"/>
          <w:sz w:val="24"/>
        </w:rPr>
      </w:pPr>
    </w:p>
    <w:p w:rsidRPr="006E4D15" w:rsidR="00442CE3" w:rsidP="00442CE3" w:rsidRDefault="00442CE3" w14:paraId="5830738D" w14:textId="77777777">
      <w:pPr>
        <w:widowControl w:val="0"/>
        <w:tabs>
          <w:tab w:val="left" w:pos="0"/>
        </w:tabs>
        <w:autoSpaceDE/>
        <w:autoSpaceDN/>
        <w:adjustRightInd/>
        <w:rPr>
          <w:b/>
          <w:snapToGrid w:val="0"/>
          <w:sz w:val="24"/>
        </w:rPr>
      </w:pPr>
      <w:r w:rsidRPr="006E4D15">
        <w:rPr>
          <w:b/>
          <w:snapToGrid w:val="0"/>
          <w:sz w:val="24"/>
        </w:rPr>
        <w:t>6(b) Estimating Respondent Costs</w:t>
      </w:r>
    </w:p>
    <w:p w:rsidR="00425984" w:rsidP="00425984" w:rsidRDefault="00425984" w14:paraId="55CDBCE4" w14:textId="77777777">
      <w:pPr>
        <w:pStyle w:val="ListParagraph"/>
        <w:widowControl w:val="0"/>
        <w:tabs>
          <w:tab w:val="left" w:pos="0"/>
        </w:tabs>
        <w:autoSpaceDE/>
        <w:autoSpaceDN/>
        <w:adjustRightInd/>
        <w:rPr>
          <w:b/>
          <w:snapToGrid w:val="0"/>
          <w:sz w:val="24"/>
        </w:rPr>
      </w:pPr>
    </w:p>
    <w:p w:rsidRPr="006E4D15" w:rsidR="00442CE3" w:rsidP="007F3566" w:rsidRDefault="00442CE3" w14:paraId="50D45A68" w14:textId="77777777">
      <w:pPr>
        <w:pStyle w:val="ListParagraph"/>
        <w:widowControl w:val="0"/>
        <w:numPr>
          <w:ilvl w:val="0"/>
          <w:numId w:val="11"/>
        </w:numPr>
        <w:tabs>
          <w:tab w:val="left" w:pos="0"/>
        </w:tabs>
        <w:autoSpaceDE/>
        <w:autoSpaceDN/>
        <w:adjustRightInd/>
        <w:rPr>
          <w:b/>
          <w:snapToGrid w:val="0"/>
          <w:sz w:val="24"/>
        </w:rPr>
      </w:pPr>
      <w:r w:rsidRPr="006E4D15">
        <w:rPr>
          <w:b/>
          <w:snapToGrid w:val="0"/>
          <w:sz w:val="24"/>
        </w:rPr>
        <w:t>Labor Costs</w:t>
      </w:r>
    </w:p>
    <w:p w:rsidR="006E4D15" w:rsidP="007F3566" w:rsidRDefault="006E4D15" w14:paraId="7D9D30FA" w14:textId="77777777">
      <w:pPr>
        <w:widowControl w:val="0"/>
        <w:tabs>
          <w:tab w:val="left" w:pos="0"/>
        </w:tabs>
        <w:autoSpaceDE/>
        <w:autoSpaceDN/>
        <w:adjustRightInd/>
        <w:rPr>
          <w:snapToGrid w:val="0"/>
          <w:sz w:val="24"/>
        </w:rPr>
      </w:pPr>
    </w:p>
    <w:p w:rsidRPr="006E711F" w:rsidR="00835B8B" w:rsidP="00835B8B" w:rsidRDefault="00835B8B" w14:paraId="126CE7ED" w14:textId="77777777">
      <w:pPr>
        <w:widowControl w:val="0"/>
        <w:autoSpaceDE/>
        <w:autoSpaceDN/>
        <w:adjustRightInd/>
        <w:rPr>
          <w:b/>
          <w:i/>
          <w:snapToGrid w:val="0"/>
          <w:sz w:val="24"/>
        </w:rPr>
      </w:pPr>
      <w:r w:rsidRPr="006E711F">
        <w:rPr>
          <w:b/>
          <w:i/>
          <w:snapToGrid w:val="0"/>
          <w:sz w:val="24"/>
        </w:rPr>
        <w:t>Read and Understand the Rule</w:t>
      </w:r>
    </w:p>
    <w:p w:rsidR="00CD7D2E" w:rsidP="007F3566" w:rsidRDefault="001E6D7B" w14:paraId="0895CDDE" w14:textId="77777777">
      <w:pPr>
        <w:widowControl w:val="0"/>
        <w:tabs>
          <w:tab w:val="left" w:pos="0"/>
        </w:tabs>
        <w:autoSpaceDE/>
        <w:autoSpaceDN/>
        <w:adjustRightInd/>
        <w:rPr>
          <w:snapToGrid w:val="0"/>
          <w:sz w:val="24"/>
        </w:rPr>
      </w:pPr>
      <w:r>
        <w:rPr>
          <w:snapToGrid w:val="0"/>
          <w:sz w:val="24"/>
        </w:rPr>
        <w:t xml:space="preserve">The labor costs </w:t>
      </w:r>
      <w:r w:rsidR="005B1758">
        <w:rPr>
          <w:snapToGrid w:val="0"/>
          <w:sz w:val="24"/>
        </w:rPr>
        <w:t>to</w:t>
      </w:r>
      <w:r>
        <w:rPr>
          <w:snapToGrid w:val="0"/>
          <w:sz w:val="24"/>
        </w:rPr>
        <w:t xml:space="preserve"> read and understand the rule are based on an 8 hour per firm labor burden times a $71.72 per hour loaded</w:t>
      </w:r>
      <w:r w:rsidR="005B1758">
        <w:rPr>
          <w:snapToGrid w:val="0"/>
          <w:sz w:val="24"/>
        </w:rPr>
        <w:t xml:space="preserve"> (added overhead)</w:t>
      </w:r>
      <w:r>
        <w:rPr>
          <w:snapToGrid w:val="0"/>
          <w:sz w:val="24"/>
        </w:rPr>
        <w:t xml:space="preserve"> labor rate. </w:t>
      </w:r>
      <w:r w:rsidRPr="007F3566">
        <w:rPr>
          <w:snapToGrid w:val="0"/>
          <w:sz w:val="24"/>
        </w:rPr>
        <w:t xml:space="preserve">The </w:t>
      </w:r>
      <w:r>
        <w:rPr>
          <w:snapToGrid w:val="0"/>
          <w:sz w:val="24"/>
        </w:rPr>
        <w:t xml:space="preserve">unloaded </w:t>
      </w:r>
      <w:r w:rsidR="005B1758">
        <w:rPr>
          <w:snapToGrid w:val="0"/>
          <w:sz w:val="24"/>
        </w:rPr>
        <w:t xml:space="preserve">(base) </w:t>
      </w:r>
      <w:r w:rsidRPr="007F3566">
        <w:rPr>
          <w:snapToGrid w:val="0"/>
          <w:sz w:val="24"/>
        </w:rPr>
        <w:t xml:space="preserve">hourly labor rate </w:t>
      </w:r>
      <w:r>
        <w:rPr>
          <w:snapToGrid w:val="0"/>
          <w:sz w:val="24"/>
        </w:rPr>
        <w:t xml:space="preserve">of $46.76 </w:t>
      </w:r>
      <w:r w:rsidRPr="007F3566">
        <w:rPr>
          <w:snapToGrid w:val="0"/>
          <w:sz w:val="24"/>
        </w:rPr>
        <w:t>was obtained from the Bureau of Labor Statistics (BLS) Occupational Employment Survey</w:t>
      </w:r>
      <w:r w:rsidRPr="00BF1D92">
        <w:rPr>
          <w:snapToGrid w:val="0"/>
          <w:sz w:val="24"/>
        </w:rPr>
        <w:t>, May 2014.</w:t>
      </w:r>
      <w:r w:rsidRPr="007F3566">
        <w:rPr>
          <w:snapToGrid w:val="0"/>
          <w:sz w:val="24"/>
        </w:rPr>
        <w:t xml:space="preserve"> The rate is based on the base wage rate </w:t>
      </w:r>
      <w:r>
        <w:rPr>
          <w:snapToGrid w:val="0"/>
          <w:sz w:val="24"/>
        </w:rPr>
        <w:t xml:space="preserve">for Industrial Production Managers </w:t>
      </w:r>
      <w:r w:rsidRPr="007F3566">
        <w:rPr>
          <w:snapToGrid w:val="0"/>
          <w:sz w:val="24"/>
        </w:rPr>
        <w:t>in NAICS 332900 - Other Fabricated Metal Product Manufacturing, which was selected because it represents several product categories impacted by the proposed rulemaking</w:t>
      </w:r>
      <w:r w:rsidR="005B1758">
        <w:rPr>
          <w:snapToGrid w:val="0"/>
          <w:sz w:val="24"/>
        </w:rPr>
        <w:t>,</w:t>
      </w:r>
      <w:r w:rsidRPr="007F3566">
        <w:rPr>
          <w:snapToGrid w:val="0"/>
          <w:sz w:val="24"/>
        </w:rPr>
        <w:t xml:space="preserve"> including potable use and use-exempted products (e.g., pipe, pipe </w:t>
      </w:r>
      <w:r w:rsidR="00F54A9B">
        <w:rPr>
          <w:snapToGrid w:val="0"/>
          <w:sz w:val="24"/>
        </w:rPr>
        <w:t>fittings,</w:t>
      </w:r>
      <w:r w:rsidRPr="007F3566">
        <w:rPr>
          <w:snapToGrid w:val="0"/>
          <w:sz w:val="24"/>
        </w:rPr>
        <w:t xml:space="preserve"> valves, and plumbing fixture </w:t>
      </w:r>
      <w:r w:rsidR="00F54A9B">
        <w:rPr>
          <w:snapToGrid w:val="0"/>
          <w:sz w:val="24"/>
        </w:rPr>
        <w:t>fittings,</w:t>
      </w:r>
      <w:r w:rsidRPr="007F3566">
        <w:rPr>
          <w:snapToGrid w:val="0"/>
          <w:sz w:val="24"/>
        </w:rPr>
        <w:t xml:space="preserve"> and trim, such as sinks). This base rate was adjusted to include the additional non-wage labor costs to firms using a loading rate of 1.53. This loading rate was derived using the BLS Employer Costs for Employee Compensation report </w:t>
      </w:r>
      <w:r w:rsidR="005B1758">
        <w:rPr>
          <w:snapToGrid w:val="0"/>
          <w:sz w:val="24"/>
        </w:rPr>
        <w:t>(</w:t>
      </w:r>
      <w:r w:rsidRPr="007F3566">
        <w:rPr>
          <w:snapToGrid w:val="0"/>
          <w:sz w:val="24"/>
        </w:rPr>
        <w:t>Table 10, December 2014</w:t>
      </w:r>
      <w:r w:rsidR="005B1758">
        <w:rPr>
          <w:snapToGrid w:val="0"/>
          <w:sz w:val="24"/>
        </w:rPr>
        <w:t>)</w:t>
      </w:r>
      <w:r w:rsidRPr="007F3566">
        <w:rPr>
          <w:snapToGrid w:val="0"/>
          <w:sz w:val="24"/>
        </w:rPr>
        <w:t xml:space="preserve">, and represents the percent of total compensation for all workers in the goods-producing </w:t>
      </w:r>
    </w:p>
    <w:p w:rsidR="00CD7D2E" w:rsidRDefault="00CD7D2E" w14:paraId="196009B6" w14:textId="77777777">
      <w:pPr>
        <w:autoSpaceDE/>
        <w:autoSpaceDN/>
        <w:adjustRightInd/>
        <w:rPr>
          <w:snapToGrid w:val="0"/>
          <w:sz w:val="24"/>
        </w:rPr>
      </w:pPr>
      <w:r>
        <w:rPr>
          <w:snapToGrid w:val="0"/>
          <w:sz w:val="24"/>
        </w:rPr>
        <w:br w:type="page"/>
      </w:r>
    </w:p>
    <w:p w:rsidR="001E6D7B" w:rsidP="007F3566" w:rsidRDefault="001E6D7B" w14:paraId="770A215F" w14:textId="76078401">
      <w:pPr>
        <w:widowControl w:val="0"/>
        <w:tabs>
          <w:tab w:val="left" w:pos="0"/>
        </w:tabs>
        <w:autoSpaceDE/>
        <w:autoSpaceDN/>
        <w:adjustRightInd/>
        <w:rPr>
          <w:snapToGrid w:val="0"/>
          <w:sz w:val="24"/>
        </w:rPr>
      </w:pPr>
      <w:r w:rsidRPr="007F3566">
        <w:rPr>
          <w:snapToGrid w:val="0"/>
          <w:sz w:val="24"/>
        </w:rPr>
        <w:lastRenderedPageBreak/>
        <w:t>industries that are specific to manufacturing.</w:t>
      </w:r>
      <w:r w:rsidR="008B74A8">
        <w:rPr>
          <w:snapToGrid w:val="0"/>
          <w:sz w:val="24"/>
        </w:rPr>
        <w:t xml:space="preserve"> Table 6 summarizes the labor costs </w:t>
      </w:r>
      <w:r w:rsidR="005B1758">
        <w:rPr>
          <w:snapToGrid w:val="0"/>
          <w:sz w:val="24"/>
        </w:rPr>
        <w:t>to</w:t>
      </w:r>
      <w:r w:rsidR="008B74A8">
        <w:rPr>
          <w:snapToGrid w:val="0"/>
          <w:sz w:val="24"/>
        </w:rPr>
        <w:t xml:space="preserve"> </w:t>
      </w:r>
      <w:r w:rsidR="005B1758">
        <w:rPr>
          <w:snapToGrid w:val="0"/>
          <w:sz w:val="24"/>
        </w:rPr>
        <w:t>r</w:t>
      </w:r>
      <w:r w:rsidR="008B74A8">
        <w:rPr>
          <w:snapToGrid w:val="0"/>
          <w:sz w:val="24"/>
        </w:rPr>
        <w:t xml:space="preserve">ead and </w:t>
      </w:r>
      <w:r w:rsidR="005B1758">
        <w:rPr>
          <w:snapToGrid w:val="0"/>
          <w:sz w:val="24"/>
        </w:rPr>
        <w:t>u</w:t>
      </w:r>
      <w:r w:rsidR="008B74A8">
        <w:rPr>
          <w:snapToGrid w:val="0"/>
          <w:sz w:val="24"/>
        </w:rPr>
        <w:t xml:space="preserve">nderstand the </w:t>
      </w:r>
      <w:r w:rsidR="005B1758">
        <w:rPr>
          <w:snapToGrid w:val="0"/>
          <w:sz w:val="24"/>
        </w:rPr>
        <w:t>r</w:t>
      </w:r>
      <w:r w:rsidR="008B74A8">
        <w:rPr>
          <w:snapToGrid w:val="0"/>
          <w:sz w:val="24"/>
        </w:rPr>
        <w:t>ule.</w:t>
      </w:r>
    </w:p>
    <w:p w:rsidRPr="00E704BC" w:rsidR="001E6D7B" w:rsidP="001E6D7B" w:rsidRDefault="001E6D7B" w14:paraId="0E969B32" w14:textId="77777777">
      <w:pPr>
        <w:keepNext/>
        <w:autoSpaceDE/>
        <w:autoSpaceDN/>
        <w:adjustRightInd/>
        <w:spacing w:before="240" w:after="240"/>
        <w:rPr>
          <w:b/>
          <w:bCs/>
          <w:sz w:val="24"/>
          <w:szCs w:val="24"/>
        </w:rPr>
      </w:pPr>
      <w:r w:rsidRPr="00E704BC">
        <w:rPr>
          <w:b/>
          <w:bCs/>
          <w:sz w:val="24"/>
          <w:szCs w:val="24"/>
        </w:rPr>
        <w:t xml:space="preserve">Table </w:t>
      </w:r>
      <w:r w:rsidR="008B74A8">
        <w:rPr>
          <w:b/>
          <w:bCs/>
          <w:sz w:val="24"/>
          <w:szCs w:val="24"/>
        </w:rPr>
        <w:t>6</w:t>
      </w:r>
      <w:r w:rsidRPr="00E704BC">
        <w:rPr>
          <w:b/>
          <w:bCs/>
          <w:sz w:val="24"/>
          <w:szCs w:val="24"/>
        </w:rPr>
        <w:t xml:space="preserve">: </w:t>
      </w:r>
      <w:r>
        <w:rPr>
          <w:b/>
          <w:bCs/>
          <w:sz w:val="24"/>
          <w:szCs w:val="24"/>
        </w:rPr>
        <w:t xml:space="preserve">Read and Understand the Rule </w:t>
      </w:r>
      <w:r w:rsidRPr="00E704BC">
        <w:rPr>
          <w:b/>
          <w:bCs/>
          <w:sz w:val="24"/>
          <w:szCs w:val="24"/>
        </w:rPr>
        <w:t xml:space="preserve">Total and Average Annual Burden Hours and Labor Costs to </w:t>
      </w:r>
      <w:r>
        <w:rPr>
          <w:b/>
          <w:bCs/>
          <w:sz w:val="24"/>
          <w:szCs w:val="24"/>
        </w:rPr>
        <w:t>Respondents</w:t>
      </w:r>
      <w:r w:rsidRPr="00E704BC">
        <w:rPr>
          <w:b/>
          <w:bCs/>
          <w:sz w:val="24"/>
          <w:szCs w:val="24"/>
        </w:rPr>
        <w:t xml:space="preserve"> for the Information Collection Request</w:t>
      </w:r>
    </w:p>
    <w:tbl>
      <w:tblPr>
        <w:tblW w:w="0" w:type="auto"/>
        <w:tblCellMar>
          <w:left w:w="0" w:type="dxa"/>
          <w:right w:w="0" w:type="dxa"/>
        </w:tblCellMar>
        <w:tblLook w:val="04A0" w:firstRow="1" w:lastRow="0" w:firstColumn="1" w:lastColumn="0" w:noHBand="0" w:noVBand="1"/>
      </w:tblPr>
      <w:tblGrid>
        <w:gridCol w:w="1790"/>
        <w:gridCol w:w="1440"/>
        <w:gridCol w:w="1710"/>
        <w:gridCol w:w="1620"/>
        <w:gridCol w:w="1440"/>
        <w:gridCol w:w="1340"/>
      </w:tblGrid>
      <w:tr w:rsidRPr="00E704BC" w:rsidR="001E6D7B" w:rsidTr="001E6D7B" w14:paraId="71E26066" w14:textId="77777777">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E704BC" w:rsidR="001E6D7B" w:rsidP="001E6D7B" w:rsidRDefault="001E6D7B" w14:paraId="42CC7CF8" w14:textId="77777777">
            <w:pPr>
              <w:autoSpaceDE/>
              <w:autoSpaceDN/>
              <w:adjustRightInd/>
            </w:pP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1E6D7B" w:rsidP="001E6D7B" w:rsidRDefault="001E6D7B" w14:paraId="39E30B96" w14:textId="77777777">
            <w:pPr>
              <w:autoSpaceDE/>
              <w:autoSpaceDN/>
              <w:adjustRightInd/>
              <w:jc w:val="center"/>
              <w:rPr>
                <w:color w:val="000000"/>
              </w:rPr>
            </w:pPr>
            <w:r w:rsidRPr="00E704BC">
              <w:rPr>
                <w:color w:val="000000"/>
              </w:rPr>
              <w:t xml:space="preserve">Number of </w:t>
            </w:r>
            <w:r>
              <w:rPr>
                <w:color w:val="000000"/>
              </w:rPr>
              <w:t>Respondents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1E6D7B" w:rsidP="001E6D7B" w:rsidRDefault="001E6D7B" w14:paraId="56405CFF" w14:textId="77777777">
            <w:pPr>
              <w:autoSpaceDE/>
              <w:autoSpaceDN/>
              <w:adjustRightInd/>
              <w:jc w:val="center"/>
            </w:pPr>
            <w:r w:rsidRPr="00E704BC">
              <w:rPr>
                <w:color w:val="000000"/>
              </w:rPr>
              <w:t>Total Burden (Hours)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1E6D7B" w:rsidP="001E6D7B" w:rsidRDefault="001E6D7B" w14:paraId="7E3C84DD" w14:textId="77777777">
            <w:pPr>
              <w:autoSpaceDE/>
              <w:autoSpaceDN/>
              <w:adjustRightInd/>
              <w:jc w:val="center"/>
              <w:rPr>
                <w:color w:val="000000"/>
              </w:rPr>
            </w:pPr>
            <w:r w:rsidRPr="00E704BC">
              <w:rPr>
                <w:color w:val="000000"/>
              </w:rPr>
              <w:t>Average Annual Burden</w:t>
            </w:r>
          </w:p>
          <w:p w:rsidRPr="00E704BC" w:rsidR="001E6D7B" w:rsidP="001E6D7B" w:rsidRDefault="001E6D7B" w14:paraId="72C21781" w14:textId="77777777">
            <w:pPr>
              <w:autoSpaceDE/>
              <w:autoSpaceDN/>
              <w:adjustRightInd/>
              <w:jc w:val="center"/>
            </w:pPr>
            <w:r w:rsidRPr="00E704BC">
              <w:rPr>
                <w:color w:val="000000"/>
              </w:rPr>
              <w:t>(Hours)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1E6D7B" w:rsidP="001E6D7B" w:rsidRDefault="001E6D7B" w14:paraId="1B0CAE92" w14:textId="77777777">
            <w:pPr>
              <w:autoSpaceDE/>
              <w:autoSpaceDN/>
              <w:adjustRightInd/>
              <w:jc w:val="center"/>
              <w:rPr>
                <w:color w:val="000000"/>
              </w:rPr>
            </w:pPr>
            <w:r w:rsidRPr="00E704BC">
              <w:rPr>
                <w:color w:val="000000"/>
              </w:rPr>
              <w:t>Total Labor Costs</w:t>
            </w:r>
          </w:p>
          <w:p w:rsidRPr="00E704BC" w:rsidR="001E6D7B" w:rsidP="001E6D7B" w:rsidRDefault="001E6D7B" w14:paraId="5091D082" w14:textId="77777777">
            <w:pPr>
              <w:autoSpaceDE/>
              <w:autoSpaceDN/>
              <w:adjustRightInd/>
              <w:jc w:val="center"/>
              <w:rPr>
                <w:color w:val="000000"/>
              </w:rPr>
            </w:pPr>
            <w:r w:rsidRPr="00E704BC">
              <w:rPr>
                <w:color w:val="000000"/>
              </w:rPr>
              <w:t>(in millions)</w:t>
            </w:r>
          </w:p>
        </w:tc>
        <w:tc>
          <w:tcPr>
            <w:tcW w:w="1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1E6D7B" w:rsidP="001E6D7B" w:rsidRDefault="001E6D7B" w14:paraId="04F8F148" w14:textId="77777777">
            <w:pPr>
              <w:autoSpaceDE/>
              <w:autoSpaceDN/>
              <w:adjustRightInd/>
              <w:jc w:val="center"/>
              <w:rPr>
                <w:color w:val="000000"/>
              </w:rPr>
            </w:pPr>
            <w:r w:rsidRPr="00E704BC">
              <w:rPr>
                <w:color w:val="000000"/>
              </w:rPr>
              <w:t>Average Annual Labor Costs</w:t>
            </w:r>
          </w:p>
          <w:p w:rsidRPr="00E704BC" w:rsidR="001E6D7B" w:rsidP="001E6D7B" w:rsidRDefault="001E6D7B" w14:paraId="5D4D19C4" w14:textId="77777777">
            <w:pPr>
              <w:autoSpaceDE/>
              <w:autoSpaceDN/>
              <w:adjustRightInd/>
              <w:jc w:val="center"/>
            </w:pPr>
            <w:r w:rsidRPr="00E704BC">
              <w:rPr>
                <w:color w:val="000000"/>
              </w:rPr>
              <w:t>(in millions)</w:t>
            </w:r>
          </w:p>
        </w:tc>
      </w:tr>
      <w:tr w:rsidRPr="00E704BC" w:rsidR="001E6D7B" w:rsidTr="001E6D7B" w14:paraId="15419A58"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4BC" w:rsidR="001E6D7B" w:rsidP="001E6D7B" w:rsidRDefault="001E6D7B" w14:paraId="14990DFC" w14:textId="77777777">
            <w:pPr>
              <w:autoSpaceDE/>
              <w:autoSpaceDN/>
              <w:adjustRightInd/>
            </w:pPr>
            <w:r>
              <w:t>Respondents</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1E6D7B" w:rsidP="001E6D7B" w:rsidRDefault="001E6D7B" w14:paraId="4EBA49CC" w14:textId="77777777">
            <w:pPr>
              <w:autoSpaceDE/>
              <w:autoSpaceDN/>
              <w:adjustRightInd/>
              <w:jc w:val="center"/>
            </w:pPr>
            <w:r>
              <w:t>2,193</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1E6D7B" w:rsidP="001E6D7B" w:rsidRDefault="001E6D7B" w14:paraId="5BADFB5D" w14:textId="77777777">
            <w:pPr>
              <w:autoSpaceDE/>
              <w:autoSpaceDN/>
              <w:adjustRightInd/>
              <w:jc w:val="center"/>
              <w:rPr>
                <w:snapToGrid w:val="0"/>
                <w:color w:val="000000"/>
              </w:rPr>
            </w:pPr>
            <w:r w:rsidRPr="00E704BC">
              <w:rPr>
                <w:snapToGrid w:val="0"/>
                <w:color w:val="000000"/>
              </w:rPr>
              <w:t xml:space="preserve"> </w:t>
            </w:r>
          </w:p>
          <w:p w:rsidRPr="00E704BC" w:rsidR="001E6D7B" w:rsidP="001E6D7B" w:rsidRDefault="001E6D7B" w14:paraId="3C90F9F9" w14:textId="77777777">
            <w:pPr>
              <w:autoSpaceDE/>
              <w:autoSpaceDN/>
              <w:adjustRightInd/>
              <w:jc w:val="center"/>
              <w:rPr>
                <w:color w:val="000000"/>
              </w:rPr>
            </w:pPr>
            <w:r>
              <w:rPr>
                <w:color w:val="000000"/>
              </w:rPr>
              <w:t>17,544</w:t>
            </w:r>
          </w:p>
          <w:p w:rsidRPr="00E704BC" w:rsidR="001E6D7B" w:rsidP="001E6D7B" w:rsidRDefault="001E6D7B" w14:paraId="20D2A179" w14:textId="77777777">
            <w:pPr>
              <w:autoSpaceDE/>
              <w:autoSpaceDN/>
              <w:adjustRightInd/>
              <w:jc w:val="center"/>
            </w:pP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1E6D7B" w:rsidP="001E6D7B" w:rsidRDefault="001E6D7B" w14:paraId="4B895488" w14:textId="77777777">
            <w:pPr>
              <w:autoSpaceDE/>
              <w:autoSpaceDN/>
              <w:adjustRightInd/>
              <w:jc w:val="center"/>
              <w:rPr>
                <w:color w:val="000000"/>
              </w:rPr>
            </w:pPr>
          </w:p>
          <w:p w:rsidRPr="00E704BC" w:rsidR="001E6D7B" w:rsidP="001E6D7B" w:rsidRDefault="001E6D7B" w14:paraId="6E7CBA5F" w14:textId="77777777">
            <w:pPr>
              <w:autoSpaceDE/>
              <w:autoSpaceDN/>
              <w:adjustRightInd/>
              <w:jc w:val="center"/>
              <w:rPr>
                <w:color w:val="000000"/>
              </w:rPr>
            </w:pPr>
            <w:r>
              <w:rPr>
                <w:color w:val="000000"/>
              </w:rPr>
              <w:t>5,848</w:t>
            </w:r>
          </w:p>
          <w:p w:rsidRPr="00E704BC" w:rsidR="001E6D7B" w:rsidP="001E6D7B" w:rsidRDefault="001E6D7B" w14:paraId="4206CDF7" w14:textId="77777777">
            <w:pPr>
              <w:autoSpaceDE/>
              <w:autoSpaceDN/>
              <w:adjustRightInd/>
              <w:jc w:val="center"/>
              <w:rPr>
                <w:color w:val="000000"/>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1E6D7B" w:rsidP="001E6D7B" w:rsidRDefault="001E6D7B" w14:paraId="1A185586" w14:textId="77777777">
            <w:pPr>
              <w:autoSpaceDE/>
              <w:autoSpaceDN/>
              <w:adjustRightInd/>
              <w:jc w:val="center"/>
              <w:rPr>
                <w:color w:val="000000"/>
              </w:rPr>
            </w:pPr>
          </w:p>
          <w:p w:rsidRPr="00E704BC" w:rsidR="001E6D7B" w:rsidP="001E6D7B" w:rsidRDefault="001E6D7B" w14:paraId="3295B286" w14:textId="77777777">
            <w:pPr>
              <w:autoSpaceDE/>
              <w:autoSpaceDN/>
              <w:adjustRightInd/>
              <w:jc w:val="center"/>
              <w:rPr>
                <w:color w:val="000000"/>
              </w:rPr>
            </w:pPr>
            <w:r w:rsidRPr="00E704BC">
              <w:rPr>
                <w:color w:val="000000"/>
              </w:rPr>
              <w:t>$</w:t>
            </w:r>
            <w:r w:rsidR="00917F0D">
              <w:rPr>
                <w:color w:val="000000"/>
              </w:rPr>
              <w:t>1.26</w:t>
            </w:r>
          </w:p>
          <w:p w:rsidRPr="00E704BC" w:rsidR="001E6D7B" w:rsidP="001E6D7B" w:rsidRDefault="001E6D7B" w14:paraId="33EE850A" w14:textId="77777777">
            <w:pPr>
              <w:autoSpaceDE/>
              <w:autoSpaceDN/>
              <w:adjustRightInd/>
              <w:jc w:val="center"/>
              <w:rPr>
                <w:color w:val="000000"/>
              </w:rPr>
            </w:pPr>
            <w:r w:rsidRPr="00E704BC">
              <w:rPr>
                <w:color w:val="000000"/>
              </w:rPr>
              <w:t xml:space="preserve"> </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1E6D7B" w:rsidP="001E6D7B" w:rsidRDefault="001E6D7B" w14:paraId="6072999C" w14:textId="77777777">
            <w:pPr>
              <w:autoSpaceDE/>
              <w:autoSpaceDN/>
              <w:adjustRightInd/>
              <w:jc w:val="center"/>
              <w:rPr>
                <w:color w:val="000000"/>
              </w:rPr>
            </w:pPr>
          </w:p>
          <w:p w:rsidRPr="00E704BC" w:rsidR="001E6D7B" w:rsidP="001E6D7B" w:rsidRDefault="001E6D7B" w14:paraId="277BF2BB" w14:textId="77777777">
            <w:pPr>
              <w:autoSpaceDE/>
              <w:autoSpaceDN/>
              <w:adjustRightInd/>
              <w:jc w:val="center"/>
              <w:rPr>
                <w:color w:val="000000"/>
              </w:rPr>
            </w:pPr>
            <w:r w:rsidRPr="00E704BC">
              <w:rPr>
                <w:color w:val="000000"/>
              </w:rPr>
              <w:t>$0.4</w:t>
            </w:r>
            <w:r w:rsidR="00917F0D">
              <w:rPr>
                <w:color w:val="000000"/>
              </w:rPr>
              <w:t>2</w:t>
            </w:r>
          </w:p>
          <w:p w:rsidRPr="00E704BC" w:rsidR="001E6D7B" w:rsidP="001E6D7B" w:rsidRDefault="001E6D7B" w14:paraId="591BA97A" w14:textId="77777777">
            <w:pPr>
              <w:autoSpaceDE/>
              <w:autoSpaceDN/>
              <w:adjustRightInd/>
              <w:jc w:val="center"/>
              <w:rPr>
                <w:color w:val="000000"/>
              </w:rPr>
            </w:pPr>
            <w:r w:rsidRPr="00E704BC">
              <w:rPr>
                <w:color w:val="000000"/>
              </w:rPr>
              <w:t xml:space="preserve"> </w:t>
            </w:r>
          </w:p>
        </w:tc>
      </w:tr>
    </w:tbl>
    <w:p w:rsidRPr="00621848" w:rsidR="00917F0D" w:rsidP="00917F0D" w:rsidRDefault="00917F0D" w14:paraId="10CAE076" w14:textId="77777777">
      <w:pPr>
        <w:widowControl w:val="0"/>
        <w:autoSpaceDE/>
        <w:autoSpaceDN/>
        <w:adjustRightInd/>
        <w:rPr>
          <w:snapToGrid w:val="0"/>
          <w:sz w:val="24"/>
        </w:rPr>
      </w:pPr>
      <w:r w:rsidRPr="00621848">
        <w:rPr>
          <w:b/>
          <w:snapToGrid w:val="0"/>
          <w:sz w:val="24"/>
        </w:rPr>
        <w:t>Source:</w:t>
      </w:r>
      <w:r w:rsidRPr="00621848">
        <w:rPr>
          <w:snapToGrid w:val="0"/>
          <w:sz w:val="24"/>
        </w:rPr>
        <w:t xml:space="preserve"> Technical Support Document for the Final Rule, </w:t>
      </w:r>
      <w:r w:rsidRPr="00C724C6">
        <w:rPr>
          <w:snapToGrid w:val="0"/>
          <w:sz w:val="24"/>
        </w:rPr>
        <w:t>Exhibit 4-</w:t>
      </w:r>
      <w:r>
        <w:rPr>
          <w:snapToGrid w:val="0"/>
          <w:sz w:val="24"/>
        </w:rPr>
        <w:t>4</w:t>
      </w:r>
      <w:r w:rsidRPr="00621848">
        <w:rPr>
          <w:snapToGrid w:val="0"/>
          <w:sz w:val="24"/>
        </w:rPr>
        <w:t>.</w:t>
      </w:r>
    </w:p>
    <w:p w:rsidR="00917F0D" w:rsidP="007F3566" w:rsidRDefault="00917F0D" w14:paraId="5211D513" w14:textId="77777777">
      <w:pPr>
        <w:widowControl w:val="0"/>
        <w:tabs>
          <w:tab w:val="left" w:pos="0"/>
        </w:tabs>
        <w:autoSpaceDE/>
        <w:autoSpaceDN/>
        <w:adjustRightInd/>
        <w:rPr>
          <w:snapToGrid w:val="0"/>
          <w:sz w:val="24"/>
        </w:rPr>
      </w:pPr>
    </w:p>
    <w:p w:rsidRPr="006E711F" w:rsidR="00835B8B" w:rsidP="00835B8B" w:rsidRDefault="00835B8B" w14:paraId="11281B50" w14:textId="77777777">
      <w:pPr>
        <w:widowControl w:val="0"/>
        <w:autoSpaceDE/>
        <w:autoSpaceDN/>
        <w:adjustRightInd/>
        <w:rPr>
          <w:b/>
          <w:i/>
          <w:snapToGrid w:val="0"/>
          <w:sz w:val="24"/>
        </w:rPr>
      </w:pPr>
      <w:r w:rsidRPr="006E711F">
        <w:rPr>
          <w:b/>
          <w:i/>
          <w:snapToGrid w:val="0"/>
          <w:sz w:val="24"/>
        </w:rPr>
        <w:t>Product Certification</w:t>
      </w:r>
    </w:p>
    <w:p w:rsidRPr="00E704BC" w:rsidR="008B74A8" w:rsidP="008B74A8" w:rsidRDefault="007F3566" w14:paraId="4AAC84A2" w14:textId="784B292A">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sidRPr="007F3566">
        <w:rPr>
          <w:snapToGrid w:val="0"/>
          <w:sz w:val="24"/>
        </w:rPr>
        <w:t xml:space="preserve">The recordkeeping costs </w:t>
      </w:r>
      <w:r w:rsidR="00245C4D">
        <w:rPr>
          <w:snapToGrid w:val="0"/>
          <w:sz w:val="24"/>
        </w:rPr>
        <w:t xml:space="preserve">for third party certification </w:t>
      </w:r>
      <w:r w:rsidRPr="007F3566">
        <w:rPr>
          <w:snapToGrid w:val="0"/>
          <w:sz w:val="24"/>
        </w:rPr>
        <w:t xml:space="preserve">are based on an 8 hour per product family labor burden times a $28.05 per hour </w:t>
      </w:r>
      <w:r w:rsidR="00162743">
        <w:rPr>
          <w:snapToGrid w:val="0"/>
          <w:sz w:val="24"/>
        </w:rPr>
        <w:t>loaded</w:t>
      </w:r>
      <w:r w:rsidR="00B23109">
        <w:rPr>
          <w:snapToGrid w:val="0"/>
          <w:sz w:val="24"/>
        </w:rPr>
        <w:t xml:space="preserve"> (added overhead)</w:t>
      </w:r>
      <w:r w:rsidR="00162743">
        <w:rPr>
          <w:snapToGrid w:val="0"/>
          <w:sz w:val="24"/>
        </w:rPr>
        <w:t xml:space="preserve"> </w:t>
      </w:r>
      <w:r w:rsidRPr="007F3566">
        <w:rPr>
          <w:snapToGrid w:val="0"/>
          <w:sz w:val="24"/>
        </w:rPr>
        <w:t xml:space="preserve">labor rate. </w:t>
      </w:r>
      <w:bookmarkStart w:name="_Hlk10794205" w:id="9"/>
      <w:r w:rsidRPr="007F3566">
        <w:rPr>
          <w:snapToGrid w:val="0"/>
          <w:sz w:val="24"/>
        </w:rPr>
        <w:t xml:space="preserve">The </w:t>
      </w:r>
      <w:r w:rsidR="00245C4D">
        <w:rPr>
          <w:snapToGrid w:val="0"/>
          <w:sz w:val="24"/>
        </w:rPr>
        <w:t xml:space="preserve">unloaded </w:t>
      </w:r>
      <w:r w:rsidR="00B23109">
        <w:rPr>
          <w:snapToGrid w:val="0"/>
          <w:sz w:val="24"/>
        </w:rPr>
        <w:t xml:space="preserve">(base) </w:t>
      </w:r>
      <w:r w:rsidRPr="007F3566">
        <w:rPr>
          <w:snapToGrid w:val="0"/>
          <w:sz w:val="24"/>
        </w:rPr>
        <w:t xml:space="preserve">hourly labor rate </w:t>
      </w:r>
      <w:r w:rsidR="00245C4D">
        <w:rPr>
          <w:snapToGrid w:val="0"/>
          <w:sz w:val="24"/>
        </w:rPr>
        <w:t xml:space="preserve">of $18.29 </w:t>
      </w:r>
      <w:r w:rsidRPr="007F3566">
        <w:rPr>
          <w:snapToGrid w:val="0"/>
          <w:sz w:val="24"/>
        </w:rPr>
        <w:t xml:space="preserve">was obtained from the Bureau of Labor Statistics (BLS) Occupational Employment Survey </w:t>
      </w:r>
      <w:r w:rsidR="00B23109">
        <w:rPr>
          <w:snapToGrid w:val="0"/>
          <w:sz w:val="24"/>
        </w:rPr>
        <w:t>(</w:t>
      </w:r>
      <w:r w:rsidRPr="00BF1D92">
        <w:rPr>
          <w:snapToGrid w:val="0"/>
          <w:sz w:val="24"/>
        </w:rPr>
        <w:t>May 2014</w:t>
      </w:r>
      <w:r w:rsidR="00B23109">
        <w:rPr>
          <w:snapToGrid w:val="0"/>
          <w:sz w:val="24"/>
        </w:rPr>
        <w:t>)</w:t>
      </w:r>
      <w:r w:rsidRPr="007F3566">
        <w:rPr>
          <w:snapToGrid w:val="0"/>
          <w:sz w:val="24"/>
        </w:rPr>
        <w:t>. The rate is based on the highest base wage rate across the technical labor categories, Computer Control Programmers and Operators, in NAICS 332900 - Other Fabricated Metal Product Manufacturing, which was selected because it represents several product categories impacted by the proposed rulemaking</w:t>
      </w:r>
      <w:r w:rsidR="00B23109">
        <w:rPr>
          <w:snapToGrid w:val="0"/>
          <w:sz w:val="24"/>
        </w:rPr>
        <w:t>,</w:t>
      </w:r>
      <w:r w:rsidRPr="007F3566">
        <w:rPr>
          <w:snapToGrid w:val="0"/>
          <w:sz w:val="24"/>
        </w:rPr>
        <w:t xml:space="preserve"> including potable use and use-exempted products (e.g., pipe, pipe </w:t>
      </w:r>
      <w:r w:rsidR="00F54A9B">
        <w:rPr>
          <w:snapToGrid w:val="0"/>
          <w:sz w:val="24"/>
        </w:rPr>
        <w:t>fittings</w:t>
      </w:r>
      <w:r w:rsidRPr="007F3566">
        <w:rPr>
          <w:snapToGrid w:val="0"/>
          <w:sz w:val="24"/>
        </w:rPr>
        <w:t xml:space="preserve">, valves, and plumbing fixture </w:t>
      </w:r>
      <w:r w:rsidR="00F54A9B">
        <w:rPr>
          <w:snapToGrid w:val="0"/>
          <w:sz w:val="24"/>
        </w:rPr>
        <w:t>fittings,</w:t>
      </w:r>
      <w:r w:rsidRPr="007F3566">
        <w:rPr>
          <w:snapToGrid w:val="0"/>
          <w:sz w:val="24"/>
        </w:rPr>
        <w:t xml:space="preserve"> and trim, such as sinks). This base rate was adjusted to include the additional non-wage labor costs to firms using a loading rate of 1.53.  This loading rate was derived using the BLS Employer Costs for Employee Compensation report</w:t>
      </w:r>
      <w:r w:rsidR="00B23109">
        <w:rPr>
          <w:snapToGrid w:val="0"/>
          <w:sz w:val="24"/>
        </w:rPr>
        <w:t xml:space="preserve"> (</w:t>
      </w:r>
      <w:r w:rsidRPr="007F3566">
        <w:rPr>
          <w:snapToGrid w:val="0"/>
          <w:sz w:val="24"/>
        </w:rPr>
        <w:t>Table 10, December 2014</w:t>
      </w:r>
      <w:r w:rsidR="00B23109">
        <w:rPr>
          <w:snapToGrid w:val="0"/>
          <w:sz w:val="24"/>
        </w:rPr>
        <w:t>)</w:t>
      </w:r>
      <w:r w:rsidRPr="007F3566">
        <w:rPr>
          <w:snapToGrid w:val="0"/>
          <w:sz w:val="24"/>
        </w:rPr>
        <w:t xml:space="preserve"> and represents the percent of total compensation for all workers in the goods-producing industries that are specific to manufacturing. </w:t>
      </w:r>
      <w:bookmarkEnd w:id="9"/>
      <w:r w:rsidR="008B74A8">
        <w:rPr>
          <w:snapToGrid w:val="0"/>
          <w:sz w:val="24"/>
        </w:rPr>
        <w:t xml:space="preserve">Table 7 summarizes the labor costs for product certification for firms anticipated to use third party certification. </w:t>
      </w:r>
      <w:r w:rsidRPr="00E704BC" w:rsidR="008B74A8">
        <w:rPr>
          <w:snapToGrid w:val="0"/>
          <w:sz w:val="24"/>
        </w:rPr>
        <w:t xml:space="preserve">Values in this table are ranges based on </w:t>
      </w:r>
      <w:r w:rsidR="00ED7716">
        <w:rPr>
          <w:snapToGrid w:val="0"/>
          <w:sz w:val="24"/>
        </w:rPr>
        <w:t>EPA</w:t>
      </w:r>
      <w:r w:rsidRPr="00E704BC" w:rsidR="008B74A8">
        <w:rPr>
          <w:snapToGrid w:val="0"/>
          <w:sz w:val="24"/>
        </w:rPr>
        <w:t xml:space="preserve"> lower and upper bound estimated percentages of manufacture</w:t>
      </w:r>
      <w:r w:rsidR="00EC522A">
        <w:rPr>
          <w:snapToGrid w:val="0"/>
          <w:sz w:val="24"/>
        </w:rPr>
        <w:t>r</w:t>
      </w:r>
      <w:r w:rsidRPr="00E704BC" w:rsidR="008B74A8">
        <w:rPr>
          <w:snapToGrid w:val="0"/>
          <w:sz w:val="24"/>
        </w:rPr>
        <w:t>s with fewer than 100 employees that are currently not already compliant with the final rule requirements (see Table 1).</w:t>
      </w:r>
    </w:p>
    <w:p w:rsidRPr="00E704BC" w:rsidR="00DE52FA" w:rsidP="00DE52FA" w:rsidRDefault="00DE52FA" w14:paraId="57691A02" w14:textId="77777777">
      <w:pPr>
        <w:keepNext/>
        <w:autoSpaceDE/>
        <w:autoSpaceDN/>
        <w:adjustRightInd/>
        <w:spacing w:before="240" w:after="240"/>
        <w:rPr>
          <w:b/>
          <w:bCs/>
          <w:sz w:val="24"/>
          <w:szCs w:val="24"/>
        </w:rPr>
      </w:pPr>
      <w:r w:rsidRPr="00E704BC">
        <w:rPr>
          <w:b/>
          <w:bCs/>
          <w:sz w:val="24"/>
          <w:szCs w:val="24"/>
        </w:rPr>
        <w:t xml:space="preserve">Table </w:t>
      </w:r>
      <w:r w:rsidR="008B74A8">
        <w:rPr>
          <w:b/>
          <w:bCs/>
          <w:sz w:val="24"/>
          <w:szCs w:val="24"/>
        </w:rPr>
        <w:t>7</w:t>
      </w:r>
      <w:r w:rsidRPr="00E704BC">
        <w:rPr>
          <w:b/>
          <w:bCs/>
          <w:sz w:val="24"/>
          <w:szCs w:val="24"/>
        </w:rPr>
        <w:t xml:space="preserve">: </w:t>
      </w:r>
      <w:r w:rsidR="00917F0D">
        <w:rPr>
          <w:b/>
          <w:bCs/>
          <w:sz w:val="24"/>
          <w:szCs w:val="24"/>
        </w:rPr>
        <w:t xml:space="preserve">Product Certification </w:t>
      </w:r>
      <w:r w:rsidRPr="00E704BC">
        <w:rPr>
          <w:b/>
          <w:bCs/>
          <w:sz w:val="24"/>
          <w:szCs w:val="24"/>
        </w:rPr>
        <w:t xml:space="preserve">Total and Average Annual Burden Hours and Labor Costs to </w:t>
      </w:r>
      <w:r>
        <w:rPr>
          <w:b/>
          <w:bCs/>
          <w:sz w:val="24"/>
          <w:szCs w:val="24"/>
        </w:rPr>
        <w:t>Respondents</w:t>
      </w:r>
      <w:r w:rsidRPr="00E704BC">
        <w:rPr>
          <w:b/>
          <w:bCs/>
          <w:sz w:val="24"/>
          <w:szCs w:val="24"/>
        </w:rPr>
        <w:t xml:space="preserve"> with 10 or Greater Employees for the Information Collection Request</w:t>
      </w:r>
    </w:p>
    <w:tbl>
      <w:tblPr>
        <w:tblW w:w="0" w:type="auto"/>
        <w:tblCellMar>
          <w:left w:w="0" w:type="dxa"/>
          <w:right w:w="0" w:type="dxa"/>
        </w:tblCellMar>
        <w:tblLook w:val="04A0" w:firstRow="1" w:lastRow="0" w:firstColumn="1" w:lastColumn="0" w:noHBand="0" w:noVBand="1"/>
      </w:tblPr>
      <w:tblGrid>
        <w:gridCol w:w="1790"/>
        <w:gridCol w:w="1440"/>
        <w:gridCol w:w="1710"/>
        <w:gridCol w:w="1620"/>
        <w:gridCol w:w="1440"/>
        <w:gridCol w:w="1340"/>
      </w:tblGrid>
      <w:tr w:rsidRPr="00E704BC" w:rsidR="00DE52FA" w:rsidTr="001E6D7B" w14:paraId="24BC39B0" w14:textId="77777777">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7617B2CA" w14:textId="77777777">
            <w:pPr>
              <w:autoSpaceDE/>
              <w:autoSpaceDN/>
              <w:adjustRightInd/>
            </w:pP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0632D716" w14:textId="77777777">
            <w:pPr>
              <w:autoSpaceDE/>
              <w:autoSpaceDN/>
              <w:adjustRightInd/>
              <w:jc w:val="center"/>
              <w:rPr>
                <w:color w:val="000000"/>
              </w:rPr>
            </w:pPr>
            <w:r w:rsidRPr="00E704BC">
              <w:rPr>
                <w:color w:val="000000"/>
              </w:rPr>
              <w:t xml:space="preserve">Number of </w:t>
            </w:r>
            <w:r>
              <w:rPr>
                <w:color w:val="000000"/>
              </w:rPr>
              <w:t>Respondents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67722974" w14:textId="77777777">
            <w:pPr>
              <w:autoSpaceDE/>
              <w:autoSpaceDN/>
              <w:adjustRightInd/>
              <w:jc w:val="center"/>
            </w:pPr>
            <w:r w:rsidRPr="00E704BC">
              <w:rPr>
                <w:color w:val="000000"/>
              </w:rPr>
              <w:t>Total Burden (Hours)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21AD2567" w14:textId="77777777">
            <w:pPr>
              <w:autoSpaceDE/>
              <w:autoSpaceDN/>
              <w:adjustRightInd/>
              <w:jc w:val="center"/>
              <w:rPr>
                <w:color w:val="000000"/>
              </w:rPr>
            </w:pPr>
            <w:r w:rsidRPr="00E704BC">
              <w:rPr>
                <w:color w:val="000000"/>
              </w:rPr>
              <w:t>Average Annual Burden</w:t>
            </w:r>
          </w:p>
          <w:p w:rsidRPr="00E704BC" w:rsidR="00DE52FA" w:rsidP="001E6D7B" w:rsidRDefault="00DE52FA" w14:paraId="0A80A73B" w14:textId="77777777">
            <w:pPr>
              <w:autoSpaceDE/>
              <w:autoSpaceDN/>
              <w:adjustRightInd/>
              <w:jc w:val="center"/>
            </w:pPr>
            <w:r w:rsidRPr="00E704BC">
              <w:rPr>
                <w:color w:val="000000"/>
              </w:rPr>
              <w:t>(Hours)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049C2880" w14:textId="77777777">
            <w:pPr>
              <w:autoSpaceDE/>
              <w:autoSpaceDN/>
              <w:adjustRightInd/>
              <w:jc w:val="center"/>
              <w:rPr>
                <w:color w:val="000000"/>
              </w:rPr>
            </w:pPr>
            <w:r w:rsidRPr="00E704BC">
              <w:rPr>
                <w:color w:val="000000"/>
              </w:rPr>
              <w:t>Total Labor Costs</w:t>
            </w:r>
          </w:p>
          <w:p w:rsidRPr="00E704BC" w:rsidR="00DE52FA" w:rsidP="001E6D7B" w:rsidRDefault="00DE52FA" w14:paraId="75CA7476" w14:textId="77777777">
            <w:pPr>
              <w:autoSpaceDE/>
              <w:autoSpaceDN/>
              <w:adjustRightInd/>
              <w:jc w:val="center"/>
              <w:rPr>
                <w:color w:val="000000"/>
              </w:rPr>
            </w:pPr>
            <w:r w:rsidRPr="00E704BC">
              <w:rPr>
                <w:color w:val="000000"/>
              </w:rPr>
              <w:t>(in millions)</w:t>
            </w:r>
          </w:p>
        </w:tc>
        <w:tc>
          <w:tcPr>
            <w:tcW w:w="1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72E2DB62" w14:textId="77777777">
            <w:pPr>
              <w:autoSpaceDE/>
              <w:autoSpaceDN/>
              <w:adjustRightInd/>
              <w:jc w:val="center"/>
              <w:rPr>
                <w:color w:val="000000"/>
              </w:rPr>
            </w:pPr>
            <w:r w:rsidRPr="00E704BC">
              <w:rPr>
                <w:color w:val="000000"/>
              </w:rPr>
              <w:t>Average Annual Labor Costs</w:t>
            </w:r>
          </w:p>
          <w:p w:rsidRPr="00E704BC" w:rsidR="00DE52FA" w:rsidP="001E6D7B" w:rsidRDefault="00DE52FA" w14:paraId="04073D02" w14:textId="77777777">
            <w:pPr>
              <w:autoSpaceDE/>
              <w:autoSpaceDN/>
              <w:adjustRightInd/>
              <w:jc w:val="center"/>
            </w:pPr>
            <w:r w:rsidRPr="00E704BC">
              <w:rPr>
                <w:color w:val="000000"/>
              </w:rPr>
              <w:t>(in millions)</w:t>
            </w:r>
          </w:p>
        </w:tc>
      </w:tr>
      <w:tr w:rsidRPr="00E704BC" w:rsidR="00DE52FA" w:rsidTr="001E6D7B" w14:paraId="04B0B3F1"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63FDE51C" w14:textId="77777777">
            <w:pPr>
              <w:autoSpaceDE/>
              <w:autoSpaceDN/>
              <w:adjustRightInd/>
            </w:pPr>
            <w:r>
              <w:t xml:space="preserve">Respondents </w:t>
            </w:r>
            <w:r w:rsidRPr="00E704BC">
              <w:t>with 10 or greater employees</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1E4B4AA6" w14:textId="77777777">
            <w:pPr>
              <w:autoSpaceDE/>
              <w:autoSpaceDN/>
              <w:adjustRightInd/>
              <w:jc w:val="center"/>
            </w:pPr>
          </w:p>
          <w:p w:rsidRPr="00E704BC" w:rsidR="00DE52FA" w:rsidP="001E6D7B" w:rsidRDefault="00DE52FA" w14:paraId="497B9639" w14:textId="77777777">
            <w:pPr>
              <w:autoSpaceDE/>
              <w:autoSpaceDN/>
              <w:adjustRightInd/>
              <w:jc w:val="center"/>
            </w:pPr>
            <w:r w:rsidRPr="00E704BC">
              <w:t>1,338</w:t>
            </w:r>
          </w:p>
          <w:p w:rsidRPr="00E704BC" w:rsidR="00DE52FA" w:rsidP="001E6D7B" w:rsidRDefault="00DE52FA" w14:paraId="253EF355" w14:textId="77777777">
            <w:pPr>
              <w:autoSpaceDE/>
              <w:autoSpaceDN/>
              <w:adjustRightInd/>
              <w:jc w:val="center"/>
            </w:pP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7B09C98F" w14:textId="77777777">
            <w:pPr>
              <w:autoSpaceDE/>
              <w:autoSpaceDN/>
              <w:adjustRightInd/>
              <w:jc w:val="center"/>
              <w:rPr>
                <w:snapToGrid w:val="0"/>
                <w:color w:val="000000"/>
              </w:rPr>
            </w:pPr>
            <w:r w:rsidRPr="00E704BC">
              <w:rPr>
                <w:snapToGrid w:val="0"/>
                <w:color w:val="000000"/>
              </w:rPr>
              <w:t xml:space="preserve"> </w:t>
            </w:r>
          </w:p>
          <w:p w:rsidRPr="00E704BC" w:rsidR="00DE52FA" w:rsidP="001E6D7B" w:rsidRDefault="00DE52FA" w14:paraId="4186704E" w14:textId="77777777">
            <w:pPr>
              <w:autoSpaceDE/>
              <w:autoSpaceDN/>
              <w:adjustRightInd/>
              <w:jc w:val="center"/>
              <w:rPr>
                <w:color w:val="000000"/>
              </w:rPr>
            </w:pPr>
            <w:r w:rsidRPr="00E704BC">
              <w:rPr>
                <w:color w:val="000000"/>
              </w:rPr>
              <w:t>27,281 – 47,681</w:t>
            </w:r>
          </w:p>
          <w:p w:rsidRPr="00E704BC" w:rsidR="00DE52FA" w:rsidP="001E6D7B" w:rsidRDefault="00DE52FA" w14:paraId="5D8F35D4" w14:textId="77777777">
            <w:pPr>
              <w:autoSpaceDE/>
              <w:autoSpaceDN/>
              <w:adjustRightInd/>
              <w:jc w:val="center"/>
            </w:pP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5A10E985" w14:textId="77777777">
            <w:pPr>
              <w:autoSpaceDE/>
              <w:autoSpaceDN/>
              <w:adjustRightInd/>
              <w:jc w:val="center"/>
              <w:rPr>
                <w:color w:val="000000"/>
              </w:rPr>
            </w:pPr>
          </w:p>
          <w:p w:rsidRPr="00E704BC" w:rsidR="00DE52FA" w:rsidP="001E6D7B" w:rsidRDefault="00DE52FA" w14:paraId="55DB758C" w14:textId="77777777">
            <w:pPr>
              <w:autoSpaceDE/>
              <w:autoSpaceDN/>
              <w:adjustRightInd/>
              <w:jc w:val="center"/>
              <w:rPr>
                <w:color w:val="000000"/>
              </w:rPr>
            </w:pPr>
            <w:r w:rsidRPr="00E704BC">
              <w:rPr>
                <w:color w:val="000000"/>
              </w:rPr>
              <w:t>9,094 – 15,894</w:t>
            </w:r>
          </w:p>
          <w:p w:rsidRPr="00E704BC" w:rsidR="00DE52FA" w:rsidP="001E6D7B" w:rsidRDefault="00DE52FA" w14:paraId="5F395AB8" w14:textId="77777777">
            <w:pPr>
              <w:autoSpaceDE/>
              <w:autoSpaceDN/>
              <w:adjustRightInd/>
              <w:jc w:val="center"/>
              <w:rPr>
                <w:color w:val="000000"/>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365A1D09" w14:textId="77777777">
            <w:pPr>
              <w:autoSpaceDE/>
              <w:autoSpaceDN/>
              <w:adjustRightInd/>
              <w:jc w:val="center"/>
              <w:rPr>
                <w:color w:val="000000"/>
              </w:rPr>
            </w:pPr>
          </w:p>
          <w:p w:rsidRPr="00E704BC" w:rsidR="00DE52FA" w:rsidP="001E6D7B" w:rsidRDefault="00DE52FA" w14:paraId="3A18B418" w14:textId="77777777">
            <w:pPr>
              <w:autoSpaceDE/>
              <w:autoSpaceDN/>
              <w:adjustRightInd/>
              <w:jc w:val="center"/>
              <w:rPr>
                <w:color w:val="000000"/>
              </w:rPr>
            </w:pPr>
            <w:r w:rsidRPr="00E704BC">
              <w:rPr>
                <w:color w:val="000000"/>
              </w:rPr>
              <w:t>$0.77 - $1.34</w:t>
            </w:r>
          </w:p>
          <w:p w:rsidRPr="00E704BC" w:rsidR="00DE52FA" w:rsidP="001E6D7B" w:rsidRDefault="00DE52FA" w14:paraId="60C1BDAE" w14:textId="77777777">
            <w:pPr>
              <w:autoSpaceDE/>
              <w:autoSpaceDN/>
              <w:adjustRightInd/>
              <w:jc w:val="center"/>
              <w:rPr>
                <w:color w:val="000000"/>
              </w:rPr>
            </w:pPr>
            <w:r w:rsidRPr="00E704BC">
              <w:rPr>
                <w:color w:val="000000"/>
              </w:rPr>
              <w:t xml:space="preserve"> </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0396A890" w14:textId="77777777">
            <w:pPr>
              <w:autoSpaceDE/>
              <w:autoSpaceDN/>
              <w:adjustRightInd/>
              <w:jc w:val="center"/>
              <w:rPr>
                <w:color w:val="000000"/>
              </w:rPr>
            </w:pPr>
          </w:p>
          <w:p w:rsidRPr="00E704BC" w:rsidR="00DE52FA" w:rsidP="001E6D7B" w:rsidRDefault="00DE52FA" w14:paraId="45CD4273" w14:textId="77777777">
            <w:pPr>
              <w:autoSpaceDE/>
              <w:autoSpaceDN/>
              <w:adjustRightInd/>
              <w:jc w:val="center"/>
              <w:rPr>
                <w:color w:val="000000"/>
              </w:rPr>
            </w:pPr>
            <w:r w:rsidRPr="00E704BC">
              <w:rPr>
                <w:color w:val="000000"/>
              </w:rPr>
              <w:t>$0.26 - $0.45</w:t>
            </w:r>
          </w:p>
          <w:p w:rsidRPr="00E704BC" w:rsidR="00DE52FA" w:rsidP="001E6D7B" w:rsidRDefault="00DE52FA" w14:paraId="6E7B2112" w14:textId="77777777">
            <w:pPr>
              <w:autoSpaceDE/>
              <w:autoSpaceDN/>
              <w:adjustRightInd/>
              <w:jc w:val="center"/>
              <w:rPr>
                <w:color w:val="000000"/>
              </w:rPr>
            </w:pPr>
            <w:r w:rsidRPr="00E704BC">
              <w:rPr>
                <w:color w:val="000000"/>
              </w:rPr>
              <w:t xml:space="preserve"> </w:t>
            </w:r>
          </w:p>
        </w:tc>
      </w:tr>
    </w:tbl>
    <w:p w:rsidRPr="00E704BC" w:rsidR="00DE52FA" w:rsidP="00DE52FA" w:rsidRDefault="00DE52FA" w14:paraId="09F3D688" w14:textId="77777777">
      <w:pPr>
        <w:autoSpaceDE/>
        <w:autoSpaceDN/>
        <w:adjustRightInd/>
        <w:rPr>
          <w:sz w:val="22"/>
          <w:szCs w:val="22"/>
          <w:lang w:eastAsia="ja-JP"/>
        </w:rPr>
      </w:pPr>
      <w:r w:rsidRPr="00E704BC">
        <w:rPr>
          <w:b/>
          <w:bCs/>
          <w:sz w:val="22"/>
          <w:szCs w:val="22"/>
          <w:lang w:eastAsia="ja-JP"/>
        </w:rPr>
        <w:t>Source:</w:t>
      </w:r>
      <w:r w:rsidRPr="00E704BC">
        <w:rPr>
          <w:sz w:val="22"/>
          <w:szCs w:val="22"/>
          <w:lang w:eastAsia="ja-JP"/>
        </w:rPr>
        <w:t xml:space="preserve"> Lead Free Rule Cost Model_Final Rule, ICR Analysis  worksheets.</w:t>
      </w:r>
    </w:p>
    <w:p w:rsidRPr="00E704BC" w:rsidR="00DE52FA" w:rsidP="00DE52FA" w:rsidRDefault="00DE52FA" w14:paraId="6A79D8CD" w14:textId="77777777">
      <w:pPr>
        <w:widowControl w:val="0"/>
        <w:tabs>
          <w:tab w:val="left" w:pos="0"/>
        </w:tabs>
        <w:autoSpaceDE/>
        <w:autoSpaceDN/>
        <w:adjustRightInd/>
        <w:rPr>
          <w:snapToGrid w:val="0"/>
          <w:sz w:val="24"/>
        </w:rPr>
      </w:pPr>
    </w:p>
    <w:p w:rsidRPr="00E704BC" w:rsidR="00DE52FA" w:rsidP="00DE52FA" w:rsidRDefault="00B23109" w14:paraId="5F7F0F8E" w14:textId="526614D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Pr>
          <w:snapToGrid w:val="0"/>
          <w:sz w:val="24"/>
        </w:rPr>
        <w:t>I</w:t>
      </w:r>
      <w:r w:rsidRPr="00E704BC" w:rsidR="00DE52FA">
        <w:rPr>
          <w:snapToGrid w:val="0"/>
          <w:sz w:val="24"/>
        </w:rPr>
        <w:t>n the analysis of the final rule</w:t>
      </w:r>
      <w:r>
        <w:rPr>
          <w:snapToGrid w:val="0"/>
          <w:sz w:val="24"/>
        </w:rPr>
        <w:t xml:space="preserve">, </w:t>
      </w:r>
      <w:r w:rsidR="00ED7716">
        <w:rPr>
          <w:snapToGrid w:val="0"/>
          <w:sz w:val="24"/>
        </w:rPr>
        <w:t>EPA</w:t>
      </w:r>
      <w:r w:rsidRPr="00E704BC" w:rsidR="00DE52FA">
        <w:rPr>
          <w:snapToGrid w:val="0"/>
          <w:sz w:val="24"/>
        </w:rPr>
        <w:t xml:space="preserve"> assumed that all firms with fewer than 10 employees would elect to self-certify. Table </w:t>
      </w:r>
      <w:r w:rsidR="008B74A8">
        <w:rPr>
          <w:snapToGrid w:val="0"/>
          <w:sz w:val="24"/>
        </w:rPr>
        <w:t>8</w:t>
      </w:r>
      <w:r w:rsidRPr="00E704BC" w:rsidR="00DE52FA">
        <w:rPr>
          <w:snapToGrid w:val="0"/>
          <w:sz w:val="24"/>
        </w:rPr>
        <w:t xml:space="preserve"> shows the estimated total and average annual labor burden hours and </w:t>
      </w:r>
      <w:r w:rsidRPr="00E704BC" w:rsidR="00DE52FA">
        <w:rPr>
          <w:snapToGrid w:val="0"/>
          <w:sz w:val="24"/>
        </w:rPr>
        <w:lastRenderedPageBreak/>
        <w:t xml:space="preserve">costs for firms </w:t>
      </w:r>
      <w:r w:rsidR="008B74A8">
        <w:rPr>
          <w:snapToGrid w:val="0"/>
          <w:sz w:val="24"/>
        </w:rPr>
        <w:t>expected to use self-certification for products</w:t>
      </w:r>
      <w:r w:rsidRPr="00E704BC" w:rsidR="00DE52FA">
        <w:rPr>
          <w:snapToGrid w:val="0"/>
          <w:sz w:val="24"/>
        </w:rPr>
        <w:t xml:space="preserve">. Values in this table are ranges based on </w:t>
      </w:r>
      <w:r w:rsidR="00ED7716">
        <w:rPr>
          <w:snapToGrid w:val="0"/>
          <w:sz w:val="24"/>
        </w:rPr>
        <w:t>EPA</w:t>
      </w:r>
      <w:r w:rsidRPr="00E704BC" w:rsidR="00DE52FA">
        <w:rPr>
          <w:snapToGrid w:val="0"/>
          <w:sz w:val="24"/>
        </w:rPr>
        <w:t xml:space="preserve"> lower and upper bound estimated percentages of manufacture</w:t>
      </w:r>
      <w:r w:rsidR="00EC522A">
        <w:rPr>
          <w:snapToGrid w:val="0"/>
          <w:sz w:val="24"/>
        </w:rPr>
        <w:t>r</w:t>
      </w:r>
      <w:r w:rsidRPr="00E704BC" w:rsidR="00DE52FA">
        <w:rPr>
          <w:snapToGrid w:val="0"/>
          <w:sz w:val="24"/>
        </w:rPr>
        <w:t>s with fewer than 100 employees that are currently not already compliant with the final rule requirements (see Table 1).</w:t>
      </w:r>
    </w:p>
    <w:p w:rsidRPr="00E704BC" w:rsidR="00DE52FA" w:rsidP="00DE52FA" w:rsidRDefault="00DE52FA" w14:paraId="2884A7AF" w14:textId="77777777">
      <w:pPr>
        <w:keepNext/>
        <w:autoSpaceDE/>
        <w:autoSpaceDN/>
        <w:adjustRightInd/>
        <w:spacing w:before="240" w:after="240"/>
        <w:rPr>
          <w:rFonts w:eastAsia="Calibri"/>
          <w:b/>
          <w:bCs/>
          <w:sz w:val="24"/>
          <w:szCs w:val="24"/>
        </w:rPr>
      </w:pPr>
      <w:r w:rsidRPr="00E704BC">
        <w:rPr>
          <w:rFonts w:eastAsia="Calibri"/>
          <w:b/>
          <w:bCs/>
          <w:sz w:val="24"/>
          <w:szCs w:val="24"/>
        </w:rPr>
        <w:t xml:space="preserve">Table </w:t>
      </w:r>
      <w:r w:rsidR="008B74A8">
        <w:rPr>
          <w:rFonts w:eastAsia="Calibri"/>
          <w:b/>
          <w:bCs/>
          <w:sz w:val="24"/>
          <w:szCs w:val="24"/>
        </w:rPr>
        <w:t>8</w:t>
      </w:r>
      <w:r w:rsidRPr="00E704BC">
        <w:rPr>
          <w:rFonts w:eastAsia="Calibri"/>
          <w:b/>
          <w:bCs/>
          <w:sz w:val="24"/>
          <w:szCs w:val="24"/>
        </w:rPr>
        <w:t xml:space="preserve">: </w:t>
      </w:r>
      <w:r w:rsidR="00917F0D">
        <w:rPr>
          <w:rFonts w:eastAsia="Calibri"/>
          <w:b/>
          <w:bCs/>
          <w:sz w:val="24"/>
          <w:szCs w:val="24"/>
        </w:rPr>
        <w:t xml:space="preserve">Product Certification </w:t>
      </w:r>
      <w:r w:rsidRPr="00E704BC">
        <w:rPr>
          <w:rFonts w:eastAsia="Calibri"/>
          <w:b/>
          <w:bCs/>
          <w:sz w:val="24"/>
          <w:szCs w:val="24"/>
        </w:rPr>
        <w:t xml:space="preserve">Total and Average Annual Burden Hours and Labor Costs to </w:t>
      </w:r>
      <w:r>
        <w:rPr>
          <w:rFonts w:eastAsia="Calibri"/>
          <w:b/>
          <w:bCs/>
          <w:sz w:val="24"/>
          <w:szCs w:val="24"/>
        </w:rPr>
        <w:t xml:space="preserve">Respondents </w:t>
      </w:r>
      <w:r w:rsidRPr="00E704BC">
        <w:rPr>
          <w:rFonts w:eastAsia="Calibri"/>
          <w:b/>
          <w:bCs/>
          <w:sz w:val="24"/>
          <w:szCs w:val="24"/>
        </w:rPr>
        <w:t>with Fewer than 10 Employees for the Information Collection Request</w:t>
      </w:r>
    </w:p>
    <w:tbl>
      <w:tblPr>
        <w:tblpPr w:leftFromText="180" w:rightFromText="180" w:vertAnchor="text" w:tblpY="1"/>
        <w:tblOverlap w:val="never"/>
        <w:tblW w:w="9350" w:type="dxa"/>
        <w:tblLayout w:type="fixed"/>
        <w:tblCellMar>
          <w:left w:w="0" w:type="dxa"/>
          <w:right w:w="0" w:type="dxa"/>
        </w:tblCellMar>
        <w:tblLook w:val="04A0" w:firstRow="1" w:lastRow="0" w:firstColumn="1" w:lastColumn="0" w:noHBand="0" w:noVBand="1"/>
      </w:tblPr>
      <w:tblGrid>
        <w:gridCol w:w="1790"/>
        <w:gridCol w:w="1440"/>
        <w:gridCol w:w="1710"/>
        <w:gridCol w:w="1620"/>
        <w:gridCol w:w="1440"/>
        <w:gridCol w:w="1350"/>
      </w:tblGrid>
      <w:tr w:rsidRPr="00E704BC" w:rsidR="00DE52FA" w:rsidTr="001E6D7B" w14:paraId="40C49D87" w14:textId="77777777">
        <w:tc>
          <w:tcPr>
            <w:tcW w:w="17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E704BC" w:rsidR="00DE52FA" w:rsidP="001E6D7B" w:rsidRDefault="00DE52FA" w14:paraId="0421AA09" w14:textId="77777777">
            <w:pPr>
              <w:autoSpaceDE/>
              <w:autoSpaceDN/>
              <w:adjustRightInd/>
              <w:rPr>
                <w:rFonts w:eastAsia="Calibri"/>
              </w:rPr>
            </w:pP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E704BC" w:rsidR="00DE52FA" w:rsidP="001E6D7B" w:rsidRDefault="00DE52FA" w14:paraId="1A84DD5C" w14:textId="77777777">
            <w:pPr>
              <w:autoSpaceDE/>
              <w:autoSpaceDN/>
              <w:adjustRightInd/>
              <w:jc w:val="center"/>
              <w:rPr>
                <w:rFonts w:eastAsia="Calibri"/>
                <w:color w:val="000000"/>
              </w:rPr>
            </w:pPr>
            <w:r w:rsidRPr="00E704BC">
              <w:rPr>
                <w:rFonts w:eastAsia="Calibri"/>
                <w:color w:val="000000"/>
              </w:rPr>
              <w:t xml:space="preserve">Number of </w:t>
            </w:r>
            <w:r>
              <w:rPr>
                <w:rFonts w:eastAsia="Calibri"/>
                <w:color w:val="000000"/>
              </w:rPr>
              <w:t>Respondents</w:t>
            </w:r>
          </w:p>
        </w:tc>
        <w:tc>
          <w:tcPr>
            <w:tcW w:w="171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E704BC" w:rsidR="00DE52FA" w:rsidP="001E6D7B" w:rsidRDefault="00DE52FA" w14:paraId="762CCDD6" w14:textId="77777777">
            <w:pPr>
              <w:autoSpaceDE/>
              <w:autoSpaceDN/>
              <w:adjustRightInd/>
              <w:jc w:val="center"/>
              <w:rPr>
                <w:rFonts w:eastAsia="Calibri"/>
              </w:rPr>
            </w:pPr>
            <w:r w:rsidRPr="00E704BC">
              <w:rPr>
                <w:rFonts w:eastAsia="Calibri"/>
                <w:color w:val="000000"/>
              </w:rPr>
              <w:t>Total Burden (Hours)</w:t>
            </w:r>
          </w:p>
        </w:tc>
        <w:tc>
          <w:tcPr>
            <w:tcW w:w="16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E704BC" w:rsidR="00DE52FA" w:rsidP="001E6D7B" w:rsidRDefault="00DE52FA" w14:paraId="2FE18C85" w14:textId="77777777">
            <w:pPr>
              <w:autoSpaceDE/>
              <w:autoSpaceDN/>
              <w:adjustRightInd/>
              <w:jc w:val="center"/>
              <w:rPr>
                <w:rFonts w:eastAsia="Calibri"/>
                <w:color w:val="000000"/>
              </w:rPr>
            </w:pPr>
            <w:r w:rsidRPr="00E704BC">
              <w:rPr>
                <w:rFonts w:eastAsia="Calibri"/>
                <w:color w:val="000000"/>
              </w:rPr>
              <w:t xml:space="preserve">Average Annual Burden </w:t>
            </w:r>
          </w:p>
          <w:p w:rsidRPr="00E704BC" w:rsidR="00DE52FA" w:rsidP="001E6D7B" w:rsidRDefault="00DE52FA" w14:paraId="7AD894DE" w14:textId="77777777">
            <w:pPr>
              <w:autoSpaceDE/>
              <w:autoSpaceDN/>
              <w:adjustRightInd/>
              <w:jc w:val="center"/>
              <w:rPr>
                <w:rFonts w:eastAsia="Calibri"/>
              </w:rPr>
            </w:pPr>
            <w:r w:rsidRPr="00E704BC">
              <w:rPr>
                <w:rFonts w:eastAsia="Calibri"/>
                <w:color w:val="000000"/>
              </w:rPr>
              <w:t>(Hours)</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E704BC" w:rsidR="00DE52FA" w:rsidP="001E6D7B" w:rsidRDefault="00DE52FA" w14:paraId="61D3FE95" w14:textId="77777777">
            <w:pPr>
              <w:autoSpaceDE/>
              <w:autoSpaceDN/>
              <w:adjustRightInd/>
              <w:jc w:val="center"/>
              <w:rPr>
                <w:rFonts w:eastAsia="Calibri"/>
                <w:color w:val="000000"/>
              </w:rPr>
            </w:pPr>
            <w:r w:rsidRPr="00E704BC">
              <w:rPr>
                <w:rFonts w:eastAsia="Calibri"/>
                <w:color w:val="000000"/>
              </w:rPr>
              <w:t>Total Labor Costs</w:t>
            </w:r>
          </w:p>
          <w:p w:rsidRPr="00E704BC" w:rsidR="00DE52FA" w:rsidP="001E6D7B" w:rsidRDefault="00DE52FA" w14:paraId="1CDA96BD" w14:textId="77777777">
            <w:pPr>
              <w:autoSpaceDE/>
              <w:autoSpaceDN/>
              <w:adjustRightInd/>
              <w:jc w:val="center"/>
              <w:rPr>
                <w:rFonts w:eastAsia="Calibri"/>
              </w:rPr>
            </w:pPr>
            <w:r w:rsidRPr="00E704BC">
              <w:rPr>
                <w:rFonts w:eastAsia="Calibri"/>
                <w:color w:val="000000"/>
              </w:rPr>
              <w:t>(in millions)</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E704BC" w:rsidR="00DE52FA" w:rsidP="001E6D7B" w:rsidRDefault="00DE52FA" w14:paraId="08D586C3" w14:textId="77777777">
            <w:pPr>
              <w:autoSpaceDE/>
              <w:autoSpaceDN/>
              <w:adjustRightInd/>
              <w:jc w:val="center"/>
              <w:rPr>
                <w:rFonts w:eastAsia="Calibri"/>
                <w:color w:val="000000"/>
              </w:rPr>
            </w:pPr>
            <w:r w:rsidRPr="00E704BC">
              <w:rPr>
                <w:rFonts w:eastAsia="Calibri"/>
                <w:color w:val="000000"/>
              </w:rPr>
              <w:t>Average Annual Labor Costs</w:t>
            </w:r>
          </w:p>
          <w:p w:rsidRPr="00E704BC" w:rsidR="00DE52FA" w:rsidP="001E6D7B" w:rsidRDefault="00DE52FA" w14:paraId="029F9FDD" w14:textId="77777777">
            <w:pPr>
              <w:autoSpaceDE/>
              <w:autoSpaceDN/>
              <w:adjustRightInd/>
              <w:jc w:val="center"/>
              <w:rPr>
                <w:rFonts w:eastAsia="Calibri"/>
              </w:rPr>
            </w:pPr>
            <w:r w:rsidRPr="00E704BC">
              <w:rPr>
                <w:rFonts w:eastAsia="Calibri"/>
                <w:color w:val="000000"/>
              </w:rPr>
              <w:t>(in millions)</w:t>
            </w:r>
          </w:p>
        </w:tc>
      </w:tr>
      <w:tr w:rsidRPr="00E704BC" w:rsidR="00DE52FA" w:rsidTr="001E6D7B" w14:paraId="187045A8" w14:textId="77777777">
        <w:trPr>
          <w:trHeight w:val="755"/>
        </w:trPr>
        <w:tc>
          <w:tcPr>
            <w:tcW w:w="17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704BC" w:rsidR="00DE52FA" w:rsidP="001E6D7B" w:rsidRDefault="00DE52FA" w14:paraId="51DC1F62" w14:textId="77777777">
            <w:pPr>
              <w:autoSpaceDE/>
              <w:autoSpaceDN/>
              <w:adjustRightInd/>
              <w:rPr>
                <w:rFonts w:eastAsia="Calibri"/>
              </w:rPr>
            </w:pPr>
            <w:r>
              <w:rPr>
                <w:rFonts w:eastAsia="Calibri"/>
              </w:rPr>
              <w:t>Respondents</w:t>
            </w:r>
            <w:r w:rsidRPr="00E704BC">
              <w:rPr>
                <w:rFonts w:eastAsia="Calibri"/>
              </w:rPr>
              <w:t xml:space="preserve"> with fewer than 10 employees</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04BC" w:rsidR="00DE52FA" w:rsidP="001E6D7B" w:rsidRDefault="00DE52FA" w14:paraId="04ACCD32" w14:textId="77777777">
            <w:pPr>
              <w:autoSpaceDE/>
              <w:autoSpaceDN/>
              <w:adjustRightInd/>
              <w:jc w:val="center"/>
              <w:rPr>
                <w:rFonts w:eastAsia="Calibri"/>
              </w:rPr>
            </w:pPr>
          </w:p>
          <w:p w:rsidRPr="00E704BC" w:rsidR="00DE52FA" w:rsidP="001E6D7B" w:rsidRDefault="00DE52FA" w14:paraId="74489B6D" w14:textId="77777777">
            <w:pPr>
              <w:autoSpaceDE/>
              <w:autoSpaceDN/>
              <w:adjustRightInd/>
              <w:jc w:val="center"/>
              <w:rPr>
                <w:rFonts w:eastAsia="Calibri"/>
              </w:rPr>
            </w:pPr>
            <w:r w:rsidRPr="00E704BC">
              <w:rPr>
                <w:rFonts w:eastAsia="Calibri"/>
              </w:rPr>
              <w:t>855</w:t>
            </w:r>
          </w:p>
          <w:p w:rsidRPr="00E704BC" w:rsidR="00DE52FA" w:rsidP="001E6D7B" w:rsidRDefault="00DE52FA" w14:paraId="207FA181" w14:textId="77777777">
            <w:pPr>
              <w:autoSpaceDE/>
              <w:autoSpaceDN/>
              <w:adjustRightInd/>
              <w:jc w:val="center"/>
              <w:rPr>
                <w:rFonts w:eastAsia="Calibri"/>
              </w:rPr>
            </w:pPr>
          </w:p>
        </w:tc>
        <w:tc>
          <w:tcPr>
            <w:tcW w:w="17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04BC" w:rsidR="00DE52FA" w:rsidP="001E6D7B" w:rsidRDefault="00DE52FA" w14:paraId="5B63A3E9" w14:textId="77777777">
            <w:pPr>
              <w:autoSpaceDE/>
              <w:autoSpaceDN/>
              <w:adjustRightInd/>
              <w:jc w:val="center"/>
              <w:rPr>
                <w:rFonts w:eastAsia="Calibri"/>
              </w:rPr>
            </w:pPr>
            <w:r w:rsidRPr="00E704BC">
              <w:rPr>
                <w:rFonts w:eastAsia="Calibri"/>
              </w:rPr>
              <w:t>84,144 – 168,288</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04BC" w:rsidR="00DE52FA" w:rsidP="001E6D7B" w:rsidRDefault="00DE52FA" w14:paraId="1893F784" w14:textId="77777777">
            <w:pPr>
              <w:autoSpaceDE/>
              <w:autoSpaceDN/>
              <w:adjustRightInd/>
              <w:jc w:val="center"/>
              <w:rPr>
                <w:rFonts w:eastAsia="Calibri"/>
                <w:color w:val="000000"/>
              </w:rPr>
            </w:pPr>
            <w:r w:rsidRPr="00E704BC">
              <w:rPr>
                <w:rFonts w:eastAsia="Calibri"/>
                <w:color w:val="000000"/>
              </w:rPr>
              <w:t>28,048 – 56.096</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04BC" w:rsidR="00DE52FA" w:rsidP="001E6D7B" w:rsidRDefault="00DE52FA" w14:paraId="7F8B3C92" w14:textId="77777777">
            <w:pPr>
              <w:autoSpaceDE/>
              <w:autoSpaceDN/>
              <w:adjustRightInd/>
              <w:jc w:val="center"/>
              <w:rPr>
                <w:rFonts w:eastAsia="Calibri"/>
                <w:color w:val="000000"/>
              </w:rPr>
            </w:pPr>
          </w:p>
          <w:p w:rsidRPr="00E704BC" w:rsidR="00DE52FA" w:rsidP="001E6D7B" w:rsidRDefault="00DE52FA" w14:paraId="1B9FA108" w14:textId="77777777">
            <w:pPr>
              <w:autoSpaceDE/>
              <w:autoSpaceDN/>
              <w:adjustRightInd/>
              <w:jc w:val="center"/>
              <w:rPr>
                <w:rFonts w:eastAsia="Calibri"/>
                <w:color w:val="000000"/>
              </w:rPr>
            </w:pPr>
            <w:r w:rsidRPr="00E704BC">
              <w:rPr>
                <w:rFonts w:eastAsia="Calibri"/>
                <w:color w:val="000000"/>
              </w:rPr>
              <w:t>$2.36 - -$4.72</w:t>
            </w:r>
          </w:p>
          <w:p w:rsidRPr="00E704BC" w:rsidR="00DE52FA" w:rsidP="001E6D7B" w:rsidRDefault="00DE52FA" w14:paraId="55F16A46" w14:textId="77777777">
            <w:pPr>
              <w:autoSpaceDE/>
              <w:autoSpaceDN/>
              <w:adjustRightInd/>
              <w:jc w:val="center"/>
              <w:rPr>
                <w:rFonts w:eastAsia="Calibri"/>
                <w:color w:val="000000"/>
              </w:rPr>
            </w:pPr>
            <w:r w:rsidRPr="00E704BC">
              <w:rPr>
                <w:rFonts w:eastAsia="Calibri"/>
                <w:color w:val="000000"/>
              </w:rPr>
              <w:t xml:space="preserve"> </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04BC" w:rsidR="00DE52FA" w:rsidP="001E6D7B" w:rsidRDefault="00DE52FA" w14:paraId="2986EC61" w14:textId="77777777">
            <w:pPr>
              <w:autoSpaceDE/>
              <w:autoSpaceDN/>
              <w:adjustRightInd/>
              <w:jc w:val="center"/>
              <w:rPr>
                <w:rFonts w:eastAsia="Calibri"/>
                <w:color w:val="000000"/>
              </w:rPr>
            </w:pPr>
          </w:p>
          <w:p w:rsidRPr="00E704BC" w:rsidR="00DE52FA" w:rsidP="001E6D7B" w:rsidRDefault="00DE52FA" w14:paraId="3826FCC3" w14:textId="77777777">
            <w:pPr>
              <w:autoSpaceDE/>
              <w:autoSpaceDN/>
              <w:adjustRightInd/>
              <w:jc w:val="center"/>
              <w:rPr>
                <w:rFonts w:eastAsia="Calibri"/>
                <w:color w:val="000000"/>
              </w:rPr>
            </w:pPr>
            <w:r w:rsidRPr="00E704BC">
              <w:rPr>
                <w:rFonts w:eastAsia="Calibri"/>
                <w:color w:val="000000"/>
              </w:rPr>
              <w:t>$0.79 - $1.57</w:t>
            </w:r>
          </w:p>
          <w:p w:rsidRPr="00E704BC" w:rsidR="00DE52FA" w:rsidP="001E6D7B" w:rsidRDefault="00DE52FA" w14:paraId="4ABB8F2B" w14:textId="77777777">
            <w:pPr>
              <w:autoSpaceDE/>
              <w:autoSpaceDN/>
              <w:adjustRightInd/>
              <w:jc w:val="center"/>
              <w:rPr>
                <w:rFonts w:eastAsia="Calibri"/>
                <w:color w:val="000000"/>
              </w:rPr>
            </w:pPr>
            <w:r w:rsidRPr="00E704BC">
              <w:rPr>
                <w:rFonts w:eastAsia="Calibri"/>
                <w:color w:val="000000"/>
              </w:rPr>
              <w:t xml:space="preserve"> </w:t>
            </w:r>
          </w:p>
        </w:tc>
      </w:tr>
    </w:tbl>
    <w:p w:rsidRPr="00E704BC" w:rsidR="00DE52FA" w:rsidP="00DE52FA" w:rsidRDefault="00DE52FA" w14:paraId="262CFA20" w14:textId="77777777">
      <w:pPr>
        <w:autoSpaceDE/>
        <w:autoSpaceDN/>
        <w:adjustRightInd/>
        <w:rPr>
          <w:rFonts w:eastAsia="Calibri"/>
          <w:b/>
          <w:bCs/>
          <w:sz w:val="22"/>
          <w:szCs w:val="22"/>
        </w:rPr>
      </w:pPr>
      <w:r w:rsidRPr="00E704BC">
        <w:rPr>
          <w:rFonts w:eastAsia="Calibri"/>
          <w:b/>
          <w:bCs/>
          <w:sz w:val="22"/>
          <w:szCs w:val="22"/>
          <w:lang w:eastAsia="ja-JP"/>
        </w:rPr>
        <w:t>Source:</w:t>
      </w:r>
      <w:r w:rsidRPr="00E704BC">
        <w:rPr>
          <w:rFonts w:eastAsia="Calibri"/>
          <w:sz w:val="22"/>
          <w:szCs w:val="22"/>
          <w:lang w:eastAsia="ja-JP"/>
        </w:rPr>
        <w:t xml:space="preserve"> Lead Free Rule Cost Model</w:t>
      </w:r>
      <w:r w:rsidRPr="009479D4" w:rsidR="009479D4">
        <w:rPr>
          <w:rFonts w:eastAsia="Calibri"/>
          <w:sz w:val="22"/>
          <w:szCs w:val="22"/>
          <w:lang w:eastAsia="ja-JP"/>
        </w:rPr>
        <w:t>_Final Rule</w:t>
      </w:r>
      <w:r w:rsidRPr="00E704BC">
        <w:rPr>
          <w:rFonts w:eastAsia="Calibri"/>
          <w:sz w:val="22"/>
          <w:szCs w:val="22"/>
          <w:lang w:eastAsia="ja-JP"/>
        </w:rPr>
        <w:t>, ICR Analysis worksheets.</w:t>
      </w:r>
    </w:p>
    <w:p w:rsidRPr="00E704BC" w:rsidR="00DE52FA" w:rsidP="00DE52FA" w:rsidRDefault="00DE52FA" w14:paraId="26846B07"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sidRPr="00E704BC">
        <w:rPr>
          <w:snapToGrid w:val="0"/>
          <w:sz w:val="24"/>
        </w:rPr>
        <w:t xml:space="preserve"> </w:t>
      </w:r>
    </w:p>
    <w:p w:rsidRPr="00E704BC" w:rsidR="00DE52FA" w:rsidP="00DE52FA" w:rsidRDefault="00DE52FA" w14:paraId="410AB75F" w14:textId="27DC2D31">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sidRPr="00E704BC">
        <w:rPr>
          <w:snapToGrid w:val="0"/>
          <w:sz w:val="24"/>
        </w:rPr>
        <w:t xml:space="preserve">Table </w:t>
      </w:r>
      <w:r w:rsidR="008B74A8">
        <w:rPr>
          <w:snapToGrid w:val="0"/>
          <w:sz w:val="24"/>
        </w:rPr>
        <w:t>9</w:t>
      </w:r>
      <w:r w:rsidRPr="00E704BC">
        <w:rPr>
          <w:snapToGrid w:val="0"/>
          <w:sz w:val="24"/>
        </w:rPr>
        <w:t xml:space="preserve"> provides the total and average burden hours and labor costs for firms of all employee size categories. Again, ranges are based on lower and upper bound estimated percentages of manufacture</w:t>
      </w:r>
      <w:r w:rsidR="006562CD">
        <w:rPr>
          <w:snapToGrid w:val="0"/>
          <w:sz w:val="24"/>
        </w:rPr>
        <w:t>r</w:t>
      </w:r>
      <w:r w:rsidRPr="00E704BC">
        <w:rPr>
          <w:snapToGrid w:val="0"/>
          <w:sz w:val="24"/>
        </w:rPr>
        <w:t>s with fewer than 100 employees.</w:t>
      </w:r>
    </w:p>
    <w:p w:rsidRPr="00E704BC" w:rsidR="00DE52FA" w:rsidP="00DE52FA" w:rsidRDefault="00DE52FA" w14:paraId="53298A75" w14:textId="77777777">
      <w:pPr>
        <w:keepNext/>
        <w:autoSpaceDE/>
        <w:autoSpaceDN/>
        <w:adjustRightInd/>
        <w:spacing w:before="240" w:after="240"/>
        <w:rPr>
          <w:rFonts w:eastAsia="Calibri"/>
          <w:b/>
          <w:bCs/>
          <w:sz w:val="24"/>
          <w:szCs w:val="24"/>
        </w:rPr>
      </w:pPr>
      <w:bookmarkStart w:name="_Hlk10716418" w:id="10"/>
      <w:r w:rsidRPr="00E704BC">
        <w:rPr>
          <w:rFonts w:eastAsia="Calibri"/>
          <w:b/>
          <w:bCs/>
          <w:sz w:val="24"/>
          <w:szCs w:val="24"/>
        </w:rPr>
        <w:t xml:space="preserve">Table </w:t>
      </w:r>
      <w:r w:rsidR="008B74A8">
        <w:rPr>
          <w:rFonts w:eastAsia="Calibri"/>
          <w:b/>
          <w:bCs/>
          <w:sz w:val="24"/>
          <w:szCs w:val="24"/>
        </w:rPr>
        <w:t>9</w:t>
      </w:r>
      <w:r w:rsidRPr="00E704BC">
        <w:rPr>
          <w:rFonts w:eastAsia="Calibri"/>
          <w:b/>
          <w:bCs/>
          <w:sz w:val="24"/>
          <w:szCs w:val="24"/>
        </w:rPr>
        <w:t xml:space="preserve">: Total and Average Annual Burden Hours and Labor Costs to </w:t>
      </w:r>
      <w:r w:rsidR="00BE064B">
        <w:rPr>
          <w:rFonts w:eastAsia="Calibri"/>
          <w:b/>
          <w:bCs/>
          <w:sz w:val="24"/>
          <w:szCs w:val="24"/>
        </w:rPr>
        <w:t xml:space="preserve">Respondents </w:t>
      </w:r>
      <w:r w:rsidRPr="00E704BC">
        <w:rPr>
          <w:rFonts w:eastAsia="Calibri"/>
          <w:b/>
          <w:bCs/>
          <w:sz w:val="24"/>
          <w:szCs w:val="24"/>
        </w:rPr>
        <w:t>Across All Employee Size Categories for the Information Collection Request</w:t>
      </w:r>
    </w:p>
    <w:bookmarkEnd w:id="10"/>
    <w:tbl>
      <w:tblPr>
        <w:tblW w:w="0" w:type="auto"/>
        <w:jc w:val="center"/>
        <w:tblCellMar>
          <w:left w:w="0" w:type="dxa"/>
          <w:right w:w="0" w:type="dxa"/>
        </w:tblCellMar>
        <w:tblLook w:val="04A0" w:firstRow="1" w:lastRow="0" w:firstColumn="1" w:lastColumn="0" w:noHBand="0" w:noVBand="1"/>
      </w:tblPr>
      <w:tblGrid>
        <w:gridCol w:w="1790"/>
        <w:gridCol w:w="1440"/>
        <w:gridCol w:w="1710"/>
        <w:gridCol w:w="1620"/>
        <w:gridCol w:w="1440"/>
        <w:gridCol w:w="1340"/>
      </w:tblGrid>
      <w:tr w:rsidRPr="00E704BC" w:rsidR="00DE52FA" w:rsidTr="001E6D7B" w14:paraId="4C4CA784" w14:textId="77777777">
        <w:trPr>
          <w:jc w:val="center"/>
        </w:trPr>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7BB18743" w14:textId="77777777">
            <w:pPr>
              <w:autoSpaceDE/>
              <w:autoSpaceDN/>
              <w:adjustRightInd/>
              <w:rPr>
                <w:rFonts w:eastAsia="Calibri"/>
              </w:rPr>
            </w:pP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649F1098" w14:textId="77777777">
            <w:pPr>
              <w:autoSpaceDE/>
              <w:autoSpaceDN/>
              <w:adjustRightInd/>
              <w:jc w:val="center"/>
              <w:rPr>
                <w:rFonts w:eastAsia="Calibri"/>
                <w:color w:val="000000"/>
              </w:rPr>
            </w:pPr>
            <w:r w:rsidRPr="00E704BC">
              <w:rPr>
                <w:rFonts w:eastAsia="Calibri"/>
                <w:color w:val="000000"/>
              </w:rPr>
              <w:t xml:space="preserve">Number of </w:t>
            </w:r>
            <w:r>
              <w:rPr>
                <w:rFonts w:eastAsia="Calibri"/>
                <w:color w:val="000000"/>
              </w:rPr>
              <w:t>Respondents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454C8FC7" w14:textId="77777777">
            <w:pPr>
              <w:autoSpaceDE/>
              <w:autoSpaceDN/>
              <w:adjustRightInd/>
              <w:jc w:val="center"/>
              <w:rPr>
                <w:rFonts w:eastAsia="Calibri"/>
              </w:rPr>
            </w:pPr>
            <w:r w:rsidRPr="00E704BC">
              <w:rPr>
                <w:rFonts w:eastAsia="Calibri"/>
                <w:color w:val="000000"/>
              </w:rPr>
              <w:t>Total Burden (Hours)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2534A919" w14:textId="77777777">
            <w:pPr>
              <w:autoSpaceDE/>
              <w:autoSpaceDN/>
              <w:adjustRightInd/>
              <w:jc w:val="center"/>
              <w:rPr>
                <w:rFonts w:eastAsia="Calibri"/>
                <w:color w:val="000000"/>
              </w:rPr>
            </w:pPr>
            <w:r w:rsidRPr="00E704BC">
              <w:rPr>
                <w:rFonts w:eastAsia="Calibri"/>
                <w:color w:val="000000"/>
              </w:rPr>
              <w:t xml:space="preserve">Average Annual Burden </w:t>
            </w:r>
          </w:p>
          <w:p w:rsidRPr="00E704BC" w:rsidR="00DE52FA" w:rsidP="001E6D7B" w:rsidRDefault="00DE52FA" w14:paraId="7047FBD2" w14:textId="77777777">
            <w:pPr>
              <w:autoSpaceDE/>
              <w:autoSpaceDN/>
              <w:adjustRightInd/>
              <w:jc w:val="center"/>
              <w:rPr>
                <w:rFonts w:eastAsia="Calibri"/>
              </w:rPr>
            </w:pPr>
            <w:r w:rsidRPr="00E704BC">
              <w:rPr>
                <w:rFonts w:eastAsia="Calibri"/>
                <w:color w:val="000000"/>
              </w:rPr>
              <w:t>(Hours)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14949C08" w14:textId="77777777">
            <w:pPr>
              <w:autoSpaceDE/>
              <w:autoSpaceDN/>
              <w:adjustRightInd/>
              <w:jc w:val="center"/>
              <w:rPr>
                <w:rFonts w:eastAsia="Calibri"/>
                <w:color w:val="000000"/>
              </w:rPr>
            </w:pPr>
            <w:r w:rsidRPr="00E704BC">
              <w:rPr>
                <w:rFonts w:eastAsia="Calibri"/>
                <w:color w:val="000000"/>
              </w:rPr>
              <w:t>Total Labor Costs</w:t>
            </w:r>
          </w:p>
          <w:p w:rsidRPr="00E704BC" w:rsidR="00DE52FA" w:rsidP="001E6D7B" w:rsidRDefault="00DE52FA" w14:paraId="24329262" w14:textId="77777777">
            <w:pPr>
              <w:autoSpaceDE/>
              <w:autoSpaceDN/>
              <w:adjustRightInd/>
              <w:jc w:val="center"/>
              <w:rPr>
                <w:rFonts w:eastAsia="Calibri"/>
              </w:rPr>
            </w:pPr>
            <w:r w:rsidRPr="00E704BC">
              <w:rPr>
                <w:rFonts w:eastAsia="Calibri"/>
                <w:color w:val="000000"/>
              </w:rPr>
              <w:t>(in millions)</w:t>
            </w:r>
          </w:p>
        </w:tc>
        <w:tc>
          <w:tcPr>
            <w:tcW w:w="1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43268B46" w14:textId="77777777">
            <w:pPr>
              <w:autoSpaceDE/>
              <w:autoSpaceDN/>
              <w:adjustRightInd/>
              <w:jc w:val="center"/>
              <w:rPr>
                <w:rFonts w:eastAsia="Calibri"/>
                <w:color w:val="000000"/>
              </w:rPr>
            </w:pPr>
            <w:r w:rsidRPr="00E704BC">
              <w:rPr>
                <w:rFonts w:eastAsia="Calibri"/>
                <w:color w:val="000000"/>
              </w:rPr>
              <w:t>Average Annual Labor Costs</w:t>
            </w:r>
          </w:p>
          <w:p w:rsidRPr="00E704BC" w:rsidR="00DE52FA" w:rsidP="001E6D7B" w:rsidRDefault="00DE52FA" w14:paraId="38B9D5D2" w14:textId="77777777">
            <w:pPr>
              <w:autoSpaceDE/>
              <w:autoSpaceDN/>
              <w:adjustRightInd/>
              <w:jc w:val="center"/>
              <w:rPr>
                <w:rFonts w:eastAsia="Calibri"/>
              </w:rPr>
            </w:pPr>
            <w:r w:rsidRPr="00E704BC">
              <w:rPr>
                <w:rFonts w:eastAsia="Calibri"/>
                <w:color w:val="000000"/>
              </w:rPr>
              <w:t>(in millions)</w:t>
            </w:r>
          </w:p>
        </w:tc>
      </w:tr>
      <w:tr w:rsidRPr="00E704BC" w:rsidR="00DE52FA" w:rsidTr="001E6D7B" w14:paraId="65C7C98B" w14:textId="77777777">
        <w:trPr>
          <w:trHeight w:val="988"/>
          <w:jc w:val="center"/>
        </w:trPr>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4BC" w:rsidR="00DE52FA" w:rsidP="001E6D7B" w:rsidRDefault="00DE52FA" w14:paraId="33C33EB5" w14:textId="77777777">
            <w:pPr>
              <w:autoSpaceDE/>
              <w:autoSpaceDN/>
              <w:adjustRightInd/>
              <w:rPr>
                <w:rFonts w:eastAsia="Calibri"/>
              </w:rPr>
            </w:pPr>
            <w:r>
              <w:rPr>
                <w:rFonts w:eastAsia="Calibri"/>
              </w:rPr>
              <w:t>Respondents</w:t>
            </w:r>
            <w:r w:rsidRPr="00E704BC">
              <w:rPr>
                <w:rFonts w:eastAsia="Calibri"/>
              </w:rPr>
              <w:t xml:space="preserve"> – All size categories</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644971BB" w14:textId="77777777">
            <w:pPr>
              <w:autoSpaceDE/>
              <w:autoSpaceDN/>
              <w:adjustRightInd/>
              <w:jc w:val="center"/>
              <w:rPr>
                <w:rFonts w:eastAsia="Calibri"/>
              </w:rPr>
            </w:pPr>
            <w:r w:rsidRPr="00E704BC">
              <w:rPr>
                <w:rFonts w:eastAsia="Calibri"/>
              </w:rPr>
              <w:t>2,193</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917F0D" w14:paraId="709CF3D0" w14:textId="77777777">
            <w:pPr>
              <w:autoSpaceDE/>
              <w:autoSpaceDN/>
              <w:adjustRightInd/>
              <w:jc w:val="center"/>
              <w:rPr>
                <w:rFonts w:eastAsia="Calibri"/>
              </w:rPr>
            </w:pPr>
            <w:r>
              <w:rPr>
                <w:rFonts w:eastAsia="Calibri"/>
              </w:rPr>
              <w:t>128,969</w:t>
            </w:r>
            <w:r w:rsidRPr="00E704BC" w:rsidR="00DE52FA">
              <w:rPr>
                <w:rFonts w:eastAsia="Calibri"/>
              </w:rPr>
              <w:t xml:space="preserve"> </w:t>
            </w:r>
            <w:r>
              <w:rPr>
                <w:rFonts w:eastAsia="Calibri"/>
              </w:rPr>
              <w:t>–</w:t>
            </w:r>
            <w:r w:rsidRPr="00E704BC" w:rsidR="00DE52FA">
              <w:rPr>
                <w:rFonts w:eastAsia="Calibri"/>
              </w:rPr>
              <w:t>2</w:t>
            </w:r>
            <w:r>
              <w:rPr>
                <w:rFonts w:eastAsia="Calibri"/>
              </w:rPr>
              <w:t>33,513</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50426D72" w14:textId="77777777">
            <w:pPr>
              <w:autoSpaceDE/>
              <w:autoSpaceDN/>
              <w:adjustRightInd/>
              <w:jc w:val="center"/>
              <w:rPr>
                <w:snapToGrid w:val="0"/>
                <w:color w:val="000000"/>
              </w:rPr>
            </w:pPr>
          </w:p>
          <w:p w:rsidRPr="00E704BC" w:rsidR="00DE52FA" w:rsidP="001E6D7B" w:rsidRDefault="00917F0D" w14:paraId="1F6D840F" w14:textId="77777777">
            <w:pPr>
              <w:autoSpaceDE/>
              <w:autoSpaceDN/>
              <w:adjustRightInd/>
              <w:jc w:val="center"/>
              <w:rPr>
                <w:rFonts w:eastAsia="Calibri"/>
                <w:color w:val="000000"/>
              </w:rPr>
            </w:pPr>
            <w:r>
              <w:rPr>
                <w:rFonts w:eastAsia="Calibri"/>
                <w:color w:val="000000"/>
              </w:rPr>
              <w:t>42</w:t>
            </w:r>
            <w:r w:rsidRPr="00E704BC" w:rsidR="00DE52FA">
              <w:rPr>
                <w:rFonts w:eastAsia="Calibri"/>
                <w:color w:val="000000"/>
              </w:rPr>
              <w:t>,</w:t>
            </w:r>
            <w:r>
              <w:rPr>
                <w:rFonts w:eastAsia="Calibri"/>
                <w:color w:val="000000"/>
              </w:rPr>
              <w:t>990</w:t>
            </w:r>
            <w:r w:rsidRPr="00E704BC" w:rsidR="00DE52FA">
              <w:rPr>
                <w:rFonts w:eastAsia="Calibri"/>
                <w:color w:val="000000"/>
              </w:rPr>
              <w:t xml:space="preserve"> </w:t>
            </w:r>
            <w:r w:rsidRPr="00E704BC" w:rsidR="00DE52FA">
              <w:rPr>
                <w:rFonts w:eastAsia="Calibri"/>
              </w:rPr>
              <w:t>– 7</w:t>
            </w:r>
            <w:r>
              <w:rPr>
                <w:rFonts w:eastAsia="Calibri"/>
              </w:rPr>
              <w:t>7</w:t>
            </w:r>
            <w:r w:rsidRPr="00E704BC" w:rsidR="00DE52FA">
              <w:rPr>
                <w:rFonts w:eastAsia="Calibri"/>
              </w:rPr>
              <w:t>,</w:t>
            </w:r>
            <w:r>
              <w:rPr>
                <w:rFonts w:eastAsia="Calibri"/>
              </w:rPr>
              <w:t>838</w:t>
            </w:r>
          </w:p>
          <w:p w:rsidRPr="00E704BC" w:rsidR="00DE52FA" w:rsidP="001E6D7B" w:rsidRDefault="00DE52FA" w14:paraId="476FFE87" w14:textId="77777777">
            <w:pPr>
              <w:autoSpaceDE/>
              <w:autoSpaceDN/>
              <w:adjustRightInd/>
              <w:jc w:val="center"/>
              <w:rPr>
                <w:rFonts w:eastAsia="Calibri"/>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2E845B09" w14:textId="77777777">
            <w:pPr>
              <w:autoSpaceDE/>
              <w:autoSpaceDN/>
              <w:adjustRightInd/>
              <w:jc w:val="center"/>
              <w:rPr>
                <w:rFonts w:eastAsia="Calibri"/>
                <w:color w:val="000000"/>
              </w:rPr>
            </w:pPr>
          </w:p>
          <w:p w:rsidRPr="00E704BC" w:rsidR="00DE52FA" w:rsidP="001E6D7B" w:rsidRDefault="00DE52FA" w14:paraId="26A52184" w14:textId="77777777">
            <w:pPr>
              <w:autoSpaceDE/>
              <w:autoSpaceDN/>
              <w:adjustRightInd/>
              <w:jc w:val="center"/>
              <w:rPr>
                <w:rFonts w:eastAsia="Calibri"/>
                <w:color w:val="000000"/>
              </w:rPr>
            </w:pPr>
          </w:p>
          <w:p w:rsidRPr="00E704BC" w:rsidR="00DE52FA" w:rsidP="001E6D7B" w:rsidRDefault="00DE52FA" w14:paraId="2803961A" w14:textId="77777777">
            <w:pPr>
              <w:autoSpaceDE/>
              <w:autoSpaceDN/>
              <w:adjustRightInd/>
              <w:jc w:val="center"/>
              <w:rPr>
                <w:rFonts w:eastAsia="Calibri"/>
                <w:color w:val="000000"/>
              </w:rPr>
            </w:pPr>
            <w:r w:rsidRPr="00E704BC">
              <w:rPr>
                <w:rFonts w:eastAsia="Calibri"/>
                <w:color w:val="000000"/>
              </w:rPr>
              <w:t>$</w:t>
            </w:r>
            <w:r w:rsidR="006E711F">
              <w:rPr>
                <w:rFonts w:eastAsia="Calibri"/>
                <w:color w:val="000000"/>
              </w:rPr>
              <w:t>4</w:t>
            </w:r>
            <w:r w:rsidRPr="00E704BC">
              <w:rPr>
                <w:rFonts w:eastAsia="Calibri"/>
                <w:color w:val="000000"/>
              </w:rPr>
              <w:t>.3</w:t>
            </w:r>
            <w:r w:rsidR="006E711F">
              <w:rPr>
                <w:rFonts w:eastAsia="Calibri"/>
                <w:color w:val="000000"/>
              </w:rPr>
              <w:t>9</w:t>
            </w:r>
            <w:r w:rsidRPr="00E704BC">
              <w:rPr>
                <w:rFonts w:eastAsia="Calibri"/>
                <w:color w:val="000000"/>
              </w:rPr>
              <w:t xml:space="preserve"> - $</w:t>
            </w:r>
            <w:r w:rsidR="006E711F">
              <w:rPr>
                <w:rFonts w:eastAsia="Calibri"/>
                <w:color w:val="000000"/>
              </w:rPr>
              <w:t>7</w:t>
            </w:r>
            <w:r w:rsidRPr="00E704BC">
              <w:rPr>
                <w:rFonts w:eastAsia="Calibri"/>
                <w:color w:val="000000"/>
              </w:rPr>
              <w:t>.</w:t>
            </w:r>
            <w:r w:rsidR="006E711F">
              <w:rPr>
                <w:rFonts w:eastAsia="Calibri"/>
                <w:color w:val="000000"/>
              </w:rPr>
              <w:t>32</w:t>
            </w:r>
          </w:p>
          <w:p w:rsidRPr="00E704BC" w:rsidR="00DE52FA" w:rsidP="001E6D7B" w:rsidRDefault="00DE52FA" w14:paraId="2CA2326C" w14:textId="77777777">
            <w:pPr>
              <w:autoSpaceDE/>
              <w:autoSpaceDN/>
              <w:adjustRightInd/>
              <w:jc w:val="center"/>
              <w:rPr>
                <w:rFonts w:eastAsia="Calibri"/>
                <w:color w:val="000000"/>
              </w:rPr>
            </w:pPr>
          </w:p>
          <w:p w:rsidRPr="00E704BC" w:rsidR="00DE52FA" w:rsidP="001E6D7B" w:rsidRDefault="00DE52FA" w14:paraId="65751DF1" w14:textId="77777777">
            <w:pPr>
              <w:autoSpaceDE/>
              <w:autoSpaceDN/>
              <w:adjustRightInd/>
              <w:jc w:val="center"/>
              <w:rPr>
                <w:rFonts w:eastAsia="Calibri"/>
                <w:color w:val="000000"/>
              </w:rPr>
            </w:pP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E704BC" w:rsidR="00DE52FA" w:rsidP="001E6D7B" w:rsidRDefault="00DE52FA" w14:paraId="590A960B" w14:textId="77777777">
            <w:pPr>
              <w:autoSpaceDE/>
              <w:autoSpaceDN/>
              <w:adjustRightInd/>
              <w:jc w:val="center"/>
              <w:rPr>
                <w:rFonts w:eastAsia="Calibri"/>
                <w:color w:val="000000"/>
              </w:rPr>
            </w:pPr>
          </w:p>
          <w:p w:rsidRPr="00E704BC" w:rsidR="00DE52FA" w:rsidP="001E6D7B" w:rsidRDefault="00DE52FA" w14:paraId="062B08A1" w14:textId="77777777">
            <w:pPr>
              <w:autoSpaceDE/>
              <w:autoSpaceDN/>
              <w:adjustRightInd/>
              <w:jc w:val="center"/>
              <w:rPr>
                <w:rFonts w:eastAsia="Calibri"/>
                <w:color w:val="000000"/>
              </w:rPr>
            </w:pPr>
          </w:p>
          <w:p w:rsidRPr="00E704BC" w:rsidR="00DE52FA" w:rsidP="001E6D7B" w:rsidRDefault="00DE52FA" w14:paraId="3BF6B9CB" w14:textId="77777777">
            <w:pPr>
              <w:autoSpaceDE/>
              <w:autoSpaceDN/>
              <w:adjustRightInd/>
              <w:jc w:val="center"/>
              <w:rPr>
                <w:rFonts w:eastAsia="Calibri"/>
                <w:color w:val="000000"/>
              </w:rPr>
            </w:pPr>
            <w:r w:rsidRPr="00E704BC">
              <w:rPr>
                <w:rFonts w:eastAsia="Calibri"/>
                <w:color w:val="000000"/>
              </w:rPr>
              <w:t>$1.4</w:t>
            </w:r>
            <w:r w:rsidR="006E711F">
              <w:rPr>
                <w:rFonts w:eastAsia="Calibri"/>
                <w:color w:val="000000"/>
              </w:rPr>
              <w:t>6</w:t>
            </w:r>
            <w:r w:rsidRPr="00E704BC">
              <w:rPr>
                <w:rFonts w:eastAsia="Calibri"/>
                <w:color w:val="000000"/>
              </w:rPr>
              <w:t xml:space="preserve"> - $2.</w:t>
            </w:r>
            <w:r w:rsidR="006E711F">
              <w:rPr>
                <w:rFonts w:eastAsia="Calibri"/>
                <w:color w:val="000000"/>
              </w:rPr>
              <w:t>44</w:t>
            </w:r>
          </w:p>
          <w:p w:rsidRPr="00E704BC" w:rsidR="00DE52FA" w:rsidP="001E6D7B" w:rsidRDefault="00DE52FA" w14:paraId="03426828" w14:textId="77777777">
            <w:pPr>
              <w:autoSpaceDE/>
              <w:autoSpaceDN/>
              <w:adjustRightInd/>
              <w:jc w:val="center"/>
              <w:rPr>
                <w:rFonts w:eastAsia="Calibri"/>
                <w:color w:val="000000"/>
              </w:rPr>
            </w:pPr>
          </w:p>
          <w:p w:rsidRPr="00E704BC" w:rsidR="00DE52FA" w:rsidP="001E6D7B" w:rsidRDefault="00DE52FA" w14:paraId="25A27DFB" w14:textId="77777777">
            <w:pPr>
              <w:autoSpaceDE/>
              <w:autoSpaceDN/>
              <w:adjustRightInd/>
              <w:jc w:val="center"/>
              <w:rPr>
                <w:rFonts w:eastAsia="Calibri"/>
                <w:color w:val="000000"/>
              </w:rPr>
            </w:pPr>
          </w:p>
        </w:tc>
      </w:tr>
    </w:tbl>
    <w:p w:rsidRPr="00E704BC" w:rsidR="00DE52FA" w:rsidP="00DE52FA" w:rsidRDefault="00DE52FA" w14:paraId="3C8BD5A7" w14:textId="77777777">
      <w:pPr>
        <w:autoSpaceDE/>
        <w:autoSpaceDN/>
        <w:adjustRightInd/>
        <w:rPr>
          <w:rFonts w:eastAsia="Calibri"/>
          <w:sz w:val="22"/>
          <w:szCs w:val="22"/>
          <w:lang w:eastAsia="ja-JP"/>
        </w:rPr>
      </w:pPr>
      <w:r w:rsidRPr="00E704BC">
        <w:rPr>
          <w:rFonts w:eastAsia="Calibri"/>
          <w:b/>
          <w:bCs/>
          <w:sz w:val="22"/>
          <w:szCs w:val="22"/>
          <w:lang w:eastAsia="ja-JP"/>
        </w:rPr>
        <w:t>Source:</w:t>
      </w:r>
      <w:r w:rsidRPr="00E704BC">
        <w:rPr>
          <w:rFonts w:eastAsia="Calibri"/>
          <w:sz w:val="22"/>
          <w:szCs w:val="22"/>
          <w:lang w:eastAsia="ja-JP"/>
        </w:rPr>
        <w:t xml:space="preserve"> Lead Free Rule Cost Model</w:t>
      </w:r>
      <w:r w:rsidRPr="009479D4" w:rsidR="009479D4">
        <w:rPr>
          <w:rFonts w:eastAsia="Calibri"/>
          <w:sz w:val="22"/>
          <w:szCs w:val="22"/>
          <w:lang w:eastAsia="ja-JP"/>
        </w:rPr>
        <w:t>_Final Rule</w:t>
      </w:r>
      <w:r w:rsidRPr="00E704BC">
        <w:rPr>
          <w:rFonts w:eastAsia="Calibri"/>
          <w:sz w:val="22"/>
          <w:szCs w:val="22"/>
          <w:lang w:eastAsia="ja-JP"/>
        </w:rPr>
        <w:t>, ICR Analysis worksheets.</w:t>
      </w:r>
    </w:p>
    <w:p w:rsidRPr="007F3566" w:rsidR="007F3566" w:rsidP="007F3566" w:rsidRDefault="007F3566" w14:paraId="5B9040AE" w14:textId="77777777">
      <w:pPr>
        <w:widowControl w:val="0"/>
        <w:tabs>
          <w:tab w:val="left" w:pos="0"/>
        </w:tabs>
        <w:autoSpaceDE/>
        <w:autoSpaceDN/>
        <w:adjustRightInd/>
        <w:rPr>
          <w:snapToGrid w:val="0"/>
          <w:sz w:val="24"/>
        </w:rPr>
      </w:pPr>
    </w:p>
    <w:p w:rsidRPr="006E4D15" w:rsidR="00442CE3" w:rsidP="007F3566" w:rsidRDefault="00442CE3" w14:paraId="480E4B52" w14:textId="77777777">
      <w:pPr>
        <w:pStyle w:val="ListParagraph"/>
        <w:widowControl w:val="0"/>
        <w:numPr>
          <w:ilvl w:val="0"/>
          <w:numId w:val="11"/>
        </w:numPr>
        <w:tabs>
          <w:tab w:val="left" w:pos="0"/>
        </w:tabs>
        <w:autoSpaceDE/>
        <w:autoSpaceDN/>
        <w:adjustRightInd/>
        <w:rPr>
          <w:b/>
          <w:snapToGrid w:val="0"/>
          <w:sz w:val="24"/>
        </w:rPr>
      </w:pPr>
      <w:r w:rsidRPr="006E4D15">
        <w:rPr>
          <w:b/>
          <w:snapToGrid w:val="0"/>
          <w:sz w:val="24"/>
        </w:rPr>
        <w:t>Operations and Maintenance Costs</w:t>
      </w:r>
    </w:p>
    <w:p w:rsidR="007F3566" w:rsidP="007F3566" w:rsidRDefault="007F3566" w14:paraId="676C6925" w14:textId="77777777">
      <w:pPr>
        <w:widowControl w:val="0"/>
        <w:tabs>
          <w:tab w:val="left" w:pos="0"/>
        </w:tabs>
        <w:autoSpaceDE/>
        <w:autoSpaceDN/>
        <w:adjustRightInd/>
        <w:rPr>
          <w:snapToGrid w:val="0"/>
          <w:sz w:val="24"/>
        </w:rPr>
      </w:pPr>
    </w:p>
    <w:p w:rsidRPr="00621848" w:rsidR="00EF7D20" w:rsidP="00EF7D20" w:rsidRDefault="00EF7D20" w14:paraId="450AA0E9" w14:textId="3139C615">
      <w:pPr>
        <w:widowControl w:val="0"/>
        <w:autoSpaceDE/>
        <w:autoSpaceDN/>
        <w:adjustRightInd/>
        <w:rPr>
          <w:snapToGrid w:val="0"/>
          <w:sz w:val="24"/>
        </w:rPr>
      </w:pPr>
      <w:r w:rsidRPr="00621848">
        <w:rPr>
          <w:snapToGrid w:val="0"/>
          <w:sz w:val="24"/>
        </w:rPr>
        <w:t xml:space="preserve">Third party certifying firms usually conduct the certification process for a plumbing manufacturer’s specific plumbing product families. For NSF/ANSI Standard 372, products of the same material formulation and similar configuration are considered one product family. So, certifying costs were developed based on a product family basis. </w:t>
      </w:r>
      <w:r w:rsidR="00ED7716">
        <w:rPr>
          <w:snapToGrid w:val="0"/>
          <w:sz w:val="24"/>
        </w:rPr>
        <w:t>EPA</w:t>
      </w:r>
      <w:r w:rsidRPr="00621848">
        <w:rPr>
          <w:snapToGrid w:val="0"/>
          <w:sz w:val="24"/>
        </w:rPr>
        <w:t xml:space="preserve"> estimated that each firm produces an average of three product families</w:t>
      </w:r>
      <w:r w:rsidR="000F2E08">
        <w:rPr>
          <w:snapToGrid w:val="0"/>
          <w:sz w:val="24"/>
        </w:rPr>
        <w:t xml:space="preserve"> for each broad type of potable use products produced by a given firm. This estimate was </w:t>
      </w:r>
      <w:r w:rsidRPr="00621848">
        <w:rPr>
          <w:snapToGrid w:val="0"/>
          <w:sz w:val="24"/>
        </w:rPr>
        <w:t xml:space="preserve">based on an assessment of firm website data for manufacturers across all potable plumbing product subcategories. </w:t>
      </w:r>
    </w:p>
    <w:p w:rsidRPr="00621848" w:rsidR="00EF7D20" w:rsidP="00EF7D20" w:rsidRDefault="00EF7D20" w14:paraId="43CBD6C6" w14:textId="77777777">
      <w:pPr>
        <w:widowControl w:val="0"/>
        <w:autoSpaceDE/>
        <w:autoSpaceDN/>
        <w:adjustRightInd/>
        <w:rPr>
          <w:snapToGrid w:val="0"/>
          <w:sz w:val="24"/>
        </w:rPr>
      </w:pPr>
    </w:p>
    <w:p w:rsidRPr="00621848" w:rsidR="00EF7D20" w:rsidP="00EF7D20" w:rsidRDefault="00EF7D20" w14:paraId="7DFB3262" w14:textId="1070EEE5">
      <w:pPr>
        <w:widowControl w:val="0"/>
        <w:autoSpaceDE/>
        <w:autoSpaceDN/>
        <w:adjustRightInd/>
        <w:rPr>
          <w:snapToGrid w:val="0"/>
          <w:sz w:val="24"/>
        </w:rPr>
      </w:pPr>
      <w:r w:rsidRPr="00621848">
        <w:rPr>
          <w:snapToGrid w:val="0"/>
          <w:sz w:val="24"/>
        </w:rPr>
        <w:t>Certification costs can be broken into initial assessment and testing costs and annual renewal costs. Most of the accredited</w:t>
      </w:r>
      <w:r w:rsidR="00B23109">
        <w:rPr>
          <w:snapToGrid w:val="0"/>
          <w:sz w:val="24"/>
        </w:rPr>
        <w:t>,</w:t>
      </w:r>
      <w:r w:rsidRPr="00621848">
        <w:rPr>
          <w:snapToGrid w:val="0"/>
          <w:sz w:val="24"/>
        </w:rPr>
        <w:t xml:space="preserve"> third party certification bodies offer an annual renewal based on an audit process for a set number of years after the initial certification year</w:t>
      </w:r>
      <w:r w:rsidR="00E04E2F">
        <w:rPr>
          <w:snapToGrid w:val="0"/>
          <w:sz w:val="24"/>
        </w:rPr>
        <w:t xml:space="preserve"> (the number of years </w:t>
      </w:r>
      <w:r w:rsidR="00E04E2F">
        <w:rPr>
          <w:snapToGrid w:val="0"/>
          <w:sz w:val="24"/>
        </w:rPr>
        <w:lastRenderedPageBreak/>
        <w:t>between audits varies among the eight certification bodies and is described below</w:t>
      </w:r>
      <w:r w:rsidR="001802BD">
        <w:rPr>
          <w:snapToGrid w:val="0"/>
          <w:sz w:val="24"/>
        </w:rPr>
        <w:t>, so EPA computed an annual average certification renewal cost</w:t>
      </w:r>
      <w:r w:rsidR="00E04E2F">
        <w:rPr>
          <w:snapToGrid w:val="0"/>
          <w:sz w:val="24"/>
        </w:rPr>
        <w:t>)</w:t>
      </w:r>
      <w:r w:rsidRPr="00621848">
        <w:rPr>
          <w:snapToGrid w:val="0"/>
          <w:sz w:val="24"/>
        </w:rPr>
        <w:t xml:space="preserve">. To derive initial and renewal certification unit cost, </w:t>
      </w:r>
      <w:r w:rsidR="00ED7716">
        <w:rPr>
          <w:snapToGrid w:val="0"/>
          <w:sz w:val="24"/>
        </w:rPr>
        <w:t>EPA</w:t>
      </w:r>
      <w:r w:rsidRPr="00621848">
        <w:rPr>
          <w:snapToGrid w:val="0"/>
          <w:sz w:val="24"/>
        </w:rPr>
        <w:t xml:space="preserve"> contacted the eight ANSI accredited</w:t>
      </w:r>
      <w:r w:rsidR="00B23109">
        <w:rPr>
          <w:snapToGrid w:val="0"/>
          <w:sz w:val="24"/>
        </w:rPr>
        <w:t>,</w:t>
      </w:r>
      <w:r w:rsidRPr="00621848">
        <w:rPr>
          <w:snapToGrid w:val="0"/>
          <w:sz w:val="24"/>
        </w:rPr>
        <w:t xml:space="preserve"> third party certification bodies to obtain estimated costs for certifying products to NSF/ANSI Standard 372. The certifiers were asked to provide estimates for four representative product categories (faucets, </w:t>
      </w:r>
      <w:r w:rsidR="00F54A9B">
        <w:rPr>
          <w:snapToGrid w:val="0"/>
          <w:sz w:val="24"/>
        </w:rPr>
        <w:t>fittings,</w:t>
      </w:r>
      <w:r w:rsidRPr="00621848">
        <w:rPr>
          <w:snapToGrid w:val="0"/>
          <w:sz w:val="24"/>
        </w:rPr>
        <w:t xml:space="preserve"> valves, and pipes), which are intended to represent the range in complexity of plumbing products. </w:t>
      </w:r>
    </w:p>
    <w:p w:rsidRPr="00621848" w:rsidR="00EF7D20" w:rsidP="00EF7D20" w:rsidRDefault="00EF7D20" w14:paraId="28C8CC3E" w14:textId="77777777">
      <w:pPr>
        <w:widowControl w:val="0"/>
        <w:autoSpaceDE/>
        <w:autoSpaceDN/>
        <w:adjustRightInd/>
        <w:rPr>
          <w:snapToGrid w:val="0"/>
          <w:sz w:val="24"/>
        </w:rPr>
      </w:pPr>
    </w:p>
    <w:p w:rsidR="00EF7D20" w:rsidP="00EF7D20" w:rsidRDefault="00EF7D20" w14:paraId="3A503D11" w14:textId="7A7992CB">
      <w:pPr>
        <w:widowControl w:val="0"/>
        <w:autoSpaceDE/>
        <w:autoSpaceDN/>
        <w:adjustRightInd/>
        <w:rPr>
          <w:snapToGrid w:val="0"/>
          <w:sz w:val="24"/>
        </w:rPr>
      </w:pPr>
      <w:r w:rsidRPr="00621848">
        <w:rPr>
          <w:snapToGrid w:val="0"/>
          <w:sz w:val="24"/>
        </w:rPr>
        <w:t xml:space="preserve">Four certification bodies provided quotes of sufficient specificity or comparable scope that could be used in estimating initial certification costs. None of the firms provided quotes for all four product lines. Costs varied based on the product type and certifying agency. </w:t>
      </w:r>
      <w:r w:rsidR="00ED7716">
        <w:rPr>
          <w:snapToGrid w:val="0"/>
          <w:sz w:val="24"/>
        </w:rPr>
        <w:t>EPA</w:t>
      </w:r>
      <w:r w:rsidRPr="00621848">
        <w:rPr>
          <w:snapToGrid w:val="0"/>
          <w:sz w:val="24"/>
        </w:rPr>
        <w:t xml:space="preserve"> used the average (rounded)</w:t>
      </w:r>
      <w:r w:rsidR="00785A13">
        <w:rPr>
          <w:snapToGrid w:val="0"/>
          <w:sz w:val="24"/>
        </w:rPr>
        <w:t>,</w:t>
      </w:r>
      <w:r w:rsidRPr="00621848">
        <w:rPr>
          <w:snapToGrid w:val="0"/>
          <w:sz w:val="24"/>
        </w:rPr>
        <w:t xml:space="preserve"> across firms and product types, as the estimated costs</w:t>
      </w:r>
      <w:r w:rsidR="000B28DC">
        <w:rPr>
          <w:snapToGrid w:val="0"/>
          <w:sz w:val="24"/>
        </w:rPr>
        <w:t xml:space="preserve"> (of $6,000)</w:t>
      </w:r>
      <w:r w:rsidRPr="00621848">
        <w:rPr>
          <w:snapToGrid w:val="0"/>
          <w:sz w:val="24"/>
        </w:rPr>
        <w:t xml:space="preserve"> for an initial certification of a single product family. Five of the eight certification bodies provided estimates for annually renewing the third party certification to Standard 372. Costs varied based on the product type and certifying agency. One of the responding certifiers requires re-certification every year. The other four certification bodies varied in the length of time required for renewal from annual to every five years. </w:t>
      </w:r>
      <w:r w:rsidR="00ED7716">
        <w:rPr>
          <w:snapToGrid w:val="0"/>
          <w:sz w:val="24"/>
        </w:rPr>
        <w:t>EPA</w:t>
      </w:r>
      <w:r w:rsidRPr="00621848">
        <w:rPr>
          <w:snapToGrid w:val="0"/>
          <w:sz w:val="24"/>
        </w:rPr>
        <w:t xml:space="preserve"> determined a </w:t>
      </w:r>
      <w:r w:rsidR="000B28DC">
        <w:rPr>
          <w:snapToGrid w:val="0"/>
          <w:sz w:val="24"/>
        </w:rPr>
        <w:t>5</w:t>
      </w:r>
      <w:r w:rsidRPr="00621848">
        <w:rPr>
          <w:snapToGrid w:val="0"/>
          <w:sz w:val="24"/>
        </w:rPr>
        <w:t xml:space="preserve">-year cost stream for each of the </w:t>
      </w:r>
      <w:proofErr w:type="gramStart"/>
      <w:r w:rsidRPr="00621848">
        <w:rPr>
          <w:snapToGrid w:val="0"/>
          <w:sz w:val="24"/>
        </w:rPr>
        <w:t>third party</w:t>
      </w:r>
      <w:proofErr w:type="gramEnd"/>
      <w:r w:rsidRPr="00621848">
        <w:rPr>
          <w:snapToGrid w:val="0"/>
          <w:sz w:val="24"/>
        </w:rPr>
        <w:t xml:space="preserve"> certifiers and computed a per product family average annual renewal cost of $3,200.</w:t>
      </w:r>
    </w:p>
    <w:p w:rsidR="006421C8" w:rsidP="00EF7D20" w:rsidRDefault="006421C8" w14:paraId="33438726" w14:textId="77777777">
      <w:pPr>
        <w:widowControl w:val="0"/>
        <w:autoSpaceDE/>
        <w:autoSpaceDN/>
        <w:adjustRightInd/>
        <w:rPr>
          <w:snapToGrid w:val="0"/>
          <w:sz w:val="24"/>
        </w:rPr>
      </w:pPr>
    </w:p>
    <w:p w:rsidRPr="00621848" w:rsidR="006421C8" w:rsidP="00EF7D20" w:rsidRDefault="006421C8" w14:paraId="40A48BB4" w14:textId="77777777">
      <w:pPr>
        <w:widowControl w:val="0"/>
        <w:autoSpaceDE/>
        <w:autoSpaceDN/>
        <w:adjustRightInd/>
        <w:rPr>
          <w:snapToGrid w:val="0"/>
          <w:sz w:val="24"/>
        </w:rPr>
      </w:pPr>
      <w:r w:rsidRPr="00EC5DD1">
        <w:rPr>
          <w:snapToGrid w:val="0"/>
          <w:sz w:val="24"/>
        </w:rPr>
        <w:t xml:space="preserve">There are no O&amp;M costs related to self-certification since all </w:t>
      </w:r>
      <w:r w:rsidRPr="00EC5DD1" w:rsidR="000B78B9">
        <w:rPr>
          <w:snapToGrid w:val="0"/>
          <w:sz w:val="24"/>
        </w:rPr>
        <w:t xml:space="preserve">ICR related </w:t>
      </w:r>
      <w:r w:rsidRPr="00EC5DD1">
        <w:rPr>
          <w:snapToGrid w:val="0"/>
          <w:sz w:val="24"/>
        </w:rPr>
        <w:t>costs are represented by labor burden related costs.</w:t>
      </w:r>
    </w:p>
    <w:p w:rsidRPr="00621848" w:rsidR="00EF7D20" w:rsidP="00EF7D20" w:rsidRDefault="00EF7D20" w14:paraId="03905C8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p>
    <w:p w:rsidRPr="00621848" w:rsidR="00EF7D20" w:rsidP="00EF7D20" w:rsidRDefault="00EF7D20" w14:paraId="54394163" w14:textId="250171AE">
      <w:pPr>
        <w:widowControl w:val="0"/>
        <w:tabs>
          <w:tab w:val="left" w:pos="0"/>
        </w:tabs>
        <w:autoSpaceDE/>
        <w:autoSpaceDN/>
        <w:adjustRightInd/>
        <w:rPr>
          <w:snapToGrid w:val="0"/>
          <w:sz w:val="24"/>
        </w:rPr>
      </w:pPr>
      <w:r w:rsidRPr="00621848">
        <w:rPr>
          <w:snapToGrid w:val="0"/>
          <w:sz w:val="24"/>
        </w:rPr>
        <w:t xml:space="preserve">Under the final rule analysis, all firms are assumed to come into compliance with the third party or self-certification requirements of the rule in the first three years after the </w:t>
      </w:r>
      <w:r w:rsidR="00A514ED">
        <w:rPr>
          <w:snapToGrid w:val="0"/>
          <w:sz w:val="24"/>
        </w:rPr>
        <w:t>publication</w:t>
      </w:r>
      <w:r w:rsidRPr="00621848">
        <w:rPr>
          <w:snapToGrid w:val="0"/>
          <w:sz w:val="24"/>
        </w:rPr>
        <w:t xml:space="preserve"> date of the final rule as required by the regulation. </w:t>
      </w:r>
      <w:r w:rsidR="00ED7716">
        <w:rPr>
          <w:snapToGrid w:val="0"/>
          <w:sz w:val="24"/>
        </w:rPr>
        <w:t>EPA</w:t>
      </w:r>
      <w:r w:rsidRPr="00621848">
        <w:rPr>
          <w:snapToGrid w:val="0"/>
          <w:sz w:val="24"/>
        </w:rPr>
        <w:t xml:space="preserve"> assumes that firms will come into compliance with these certification requirements evenly over this initial </w:t>
      </w:r>
      <w:r w:rsidR="00F54A9B">
        <w:rPr>
          <w:snapToGrid w:val="0"/>
          <w:sz w:val="24"/>
        </w:rPr>
        <w:t>3</w:t>
      </w:r>
      <w:r w:rsidRPr="00621848">
        <w:rPr>
          <w:snapToGrid w:val="0"/>
          <w:sz w:val="24"/>
        </w:rPr>
        <w:t>-year period (one-third of firms incur initial certification costs each year). In the analysis</w:t>
      </w:r>
      <w:r w:rsidR="000B28DC">
        <w:rPr>
          <w:snapToGrid w:val="0"/>
          <w:sz w:val="24"/>
        </w:rPr>
        <w:t>,</w:t>
      </w:r>
      <w:r w:rsidRPr="00621848">
        <w:rPr>
          <w:snapToGrid w:val="0"/>
          <w:sz w:val="24"/>
        </w:rPr>
        <w:t xml:space="preserve"> firms </w:t>
      </w:r>
      <w:r w:rsidR="000B28DC">
        <w:rPr>
          <w:snapToGrid w:val="0"/>
          <w:sz w:val="24"/>
        </w:rPr>
        <w:t>will incur</w:t>
      </w:r>
      <w:r w:rsidRPr="00621848">
        <w:rPr>
          <w:snapToGrid w:val="0"/>
          <w:sz w:val="24"/>
        </w:rPr>
        <w:t xml:space="preserve"> certification renewal cost</w:t>
      </w:r>
      <w:r w:rsidR="00785A13">
        <w:rPr>
          <w:snapToGrid w:val="0"/>
          <w:sz w:val="24"/>
        </w:rPr>
        <w:t>s</w:t>
      </w:r>
      <w:r w:rsidRPr="00621848">
        <w:rPr>
          <w:snapToGrid w:val="0"/>
          <w:sz w:val="24"/>
        </w:rPr>
        <w:t xml:space="preserve"> in the </w:t>
      </w:r>
      <w:r w:rsidR="0096552C">
        <w:rPr>
          <w:snapToGrid w:val="0"/>
          <w:sz w:val="24"/>
        </w:rPr>
        <w:t xml:space="preserve">years </w:t>
      </w:r>
      <w:r w:rsidRPr="00621848">
        <w:rPr>
          <w:snapToGrid w:val="0"/>
          <w:sz w:val="24"/>
        </w:rPr>
        <w:t xml:space="preserve">following </w:t>
      </w:r>
      <w:r w:rsidR="00785A13">
        <w:rPr>
          <w:snapToGrid w:val="0"/>
          <w:sz w:val="24"/>
        </w:rPr>
        <w:t xml:space="preserve">this </w:t>
      </w:r>
      <w:r w:rsidR="00F54A9B">
        <w:rPr>
          <w:snapToGrid w:val="0"/>
          <w:sz w:val="24"/>
        </w:rPr>
        <w:t>3</w:t>
      </w:r>
      <w:r w:rsidRPr="00621848">
        <w:rPr>
          <w:snapToGrid w:val="0"/>
          <w:sz w:val="24"/>
        </w:rPr>
        <w:t>-year ICR</w:t>
      </w:r>
      <w:r w:rsidR="00785A13">
        <w:rPr>
          <w:snapToGrid w:val="0"/>
          <w:sz w:val="24"/>
        </w:rPr>
        <w:t xml:space="preserve"> period</w:t>
      </w:r>
      <w:r w:rsidRPr="00621848">
        <w:rPr>
          <w:snapToGrid w:val="0"/>
          <w:sz w:val="24"/>
        </w:rPr>
        <w:t xml:space="preserve">. </w:t>
      </w:r>
      <w:r w:rsidR="008B74A8">
        <w:rPr>
          <w:snapToGrid w:val="0"/>
          <w:sz w:val="24"/>
        </w:rPr>
        <w:t>Table 10 summarizes the O&amp;M cost estimates.</w:t>
      </w:r>
    </w:p>
    <w:p w:rsidR="00EF29C7" w:rsidRDefault="00EF29C7" w14:paraId="4A42E496" w14:textId="77777777">
      <w:pPr>
        <w:autoSpaceDE/>
        <w:autoSpaceDN/>
        <w:adjustRightInd/>
        <w:rPr>
          <w:b/>
          <w:bCs/>
          <w:snapToGrid w:val="0"/>
          <w:sz w:val="24"/>
        </w:rPr>
      </w:pPr>
      <w:r>
        <w:rPr>
          <w:b/>
          <w:bCs/>
          <w:snapToGrid w:val="0"/>
          <w:sz w:val="24"/>
        </w:rPr>
        <w:br w:type="page"/>
      </w:r>
    </w:p>
    <w:p w:rsidRPr="00F35A7F" w:rsidR="00405717" w:rsidP="006E4D15" w:rsidRDefault="00405717" w14:paraId="338E5738" w14:textId="0ECF858B">
      <w:pPr>
        <w:keepNext/>
        <w:spacing w:before="240" w:after="240"/>
        <w:rPr>
          <w:rFonts w:eastAsiaTheme="minorHAnsi"/>
          <w:b/>
          <w:bCs/>
          <w:szCs w:val="24"/>
        </w:rPr>
      </w:pPr>
      <w:r w:rsidRPr="00063875">
        <w:rPr>
          <w:b/>
          <w:bCs/>
          <w:snapToGrid w:val="0"/>
          <w:sz w:val="24"/>
        </w:rPr>
        <w:lastRenderedPageBreak/>
        <w:t xml:space="preserve">Table </w:t>
      </w:r>
      <w:r w:rsidR="008B74A8">
        <w:rPr>
          <w:b/>
          <w:bCs/>
          <w:snapToGrid w:val="0"/>
          <w:sz w:val="24"/>
        </w:rPr>
        <w:t>10</w:t>
      </w:r>
      <w:r w:rsidRPr="00063875">
        <w:rPr>
          <w:b/>
          <w:bCs/>
          <w:snapToGrid w:val="0"/>
          <w:sz w:val="24"/>
        </w:rPr>
        <w:t xml:space="preserve">: </w:t>
      </w:r>
      <w:r w:rsidRPr="00405717">
        <w:rPr>
          <w:b/>
          <w:snapToGrid w:val="0"/>
          <w:sz w:val="24"/>
        </w:rPr>
        <w:t xml:space="preserve">Total and Average Annual O&amp;M Costs to </w:t>
      </w:r>
      <w:r>
        <w:rPr>
          <w:b/>
          <w:snapToGrid w:val="0"/>
          <w:sz w:val="24"/>
        </w:rPr>
        <w:t>Respondents</w:t>
      </w:r>
      <w:r w:rsidRPr="00405717">
        <w:rPr>
          <w:b/>
          <w:snapToGrid w:val="0"/>
          <w:sz w:val="24"/>
        </w:rPr>
        <w:t xml:space="preserve"> for the Information Collection Request</w:t>
      </w:r>
    </w:p>
    <w:tbl>
      <w:tblPr>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705"/>
        <w:gridCol w:w="1445"/>
        <w:gridCol w:w="1440"/>
        <w:gridCol w:w="1530"/>
        <w:gridCol w:w="1620"/>
        <w:gridCol w:w="1530"/>
      </w:tblGrid>
      <w:tr w:rsidRPr="00F35A7F" w:rsidR="006E4D15" w:rsidTr="00AB2DF5" w14:paraId="6A0AABB5" w14:textId="77777777">
        <w:trPr>
          <w:trHeight w:val="412"/>
          <w:jc w:val="center"/>
        </w:trPr>
        <w:tc>
          <w:tcPr>
            <w:tcW w:w="1705" w:type="dxa"/>
            <w:vMerge w:val="restart"/>
            <w:tcMar>
              <w:top w:w="0" w:type="dxa"/>
              <w:left w:w="108" w:type="dxa"/>
              <w:bottom w:w="0" w:type="dxa"/>
              <w:right w:w="108" w:type="dxa"/>
            </w:tcMar>
          </w:tcPr>
          <w:p w:rsidRPr="00F35A7F" w:rsidR="006E4D15" w:rsidP="00AB2DF5" w:rsidRDefault="006E4D15" w14:paraId="76B4DA87" w14:textId="77777777">
            <w:pPr>
              <w:rPr>
                <w:rFonts w:eastAsiaTheme="minorHAnsi"/>
              </w:rPr>
            </w:pPr>
          </w:p>
        </w:tc>
        <w:tc>
          <w:tcPr>
            <w:tcW w:w="1445" w:type="dxa"/>
            <w:vMerge w:val="restart"/>
            <w:tcMar>
              <w:top w:w="0" w:type="dxa"/>
              <w:left w:w="108" w:type="dxa"/>
              <w:bottom w:w="0" w:type="dxa"/>
              <w:right w:w="108" w:type="dxa"/>
            </w:tcMar>
            <w:vAlign w:val="center"/>
          </w:tcPr>
          <w:p w:rsidRPr="00F35A7F" w:rsidR="006E4D15" w:rsidP="00AB2DF5" w:rsidRDefault="006E4D15" w14:paraId="13306F6C" w14:textId="77777777">
            <w:pPr>
              <w:jc w:val="center"/>
              <w:rPr>
                <w:rFonts w:eastAsiaTheme="minorHAnsi"/>
              </w:rPr>
            </w:pPr>
            <w:r w:rsidRPr="00F35A7F">
              <w:rPr>
                <w:rFonts w:eastAsiaTheme="minorHAnsi"/>
              </w:rPr>
              <w:t xml:space="preserve">Number of </w:t>
            </w:r>
            <w:r w:rsidR="006421C8">
              <w:rPr>
                <w:rFonts w:eastAsiaTheme="minorHAnsi"/>
              </w:rPr>
              <w:t>R</w:t>
            </w:r>
            <w:r w:rsidR="003457B5">
              <w:rPr>
                <w:rFonts w:eastAsiaTheme="minorHAnsi"/>
              </w:rPr>
              <w:t>espondents</w:t>
            </w:r>
          </w:p>
        </w:tc>
        <w:tc>
          <w:tcPr>
            <w:tcW w:w="2970" w:type="dxa"/>
            <w:gridSpan w:val="2"/>
            <w:vAlign w:val="center"/>
          </w:tcPr>
          <w:p w:rsidRPr="00F35A7F" w:rsidR="006E4D15" w:rsidP="00AB2DF5" w:rsidRDefault="006E4D15" w14:paraId="442F37CF" w14:textId="77777777">
            <w:pPr>
              <w:jc w:val="center"/>
              <w:rPr>
                <w:rFonts w:eastAsiaTheme="minorHAnsi"/>
              </w:rPr>
            </w:pPr>
            <w:r>
              <w:rPr>
                <w:rFonts w:eastAsiaTheme="minorHAnsi"/>
              </w:rPr>
              <w:t xml:space="preserve">Initial </w:t>
            </w:r>
            <w:r w:rsidRPr="00F35A7F">
              <w:rPr>
                <w:rFonts w:eastAsiaTheme="minorHAnsi"/>
              </w:rPr>
              <w:t>Certification Costs</w:t>
            </w:r>
            <w:r>
              <w:rPr>
                <w:rFonts w:eastAsiaTheme="minorHAnsi"/>
              </w:rPr>
              <w:t xml:space="preserve"> (O&amp;M)</w:t>
            </w:r>
          </w:p>
        </w:tc>
        <w:tc>
          <w:tcPr>
            <w:tcW w:w="3150" w:type="dxa"/>
            <w:gridSpan w:val="2"/>
            <w:tcMar>
              <w:top w:w="0" w:type="dxa"/>
              <w:left w:w="108" w:type="dxa"/>
              <w:bottom w:w="0" w:type="dxa"/>
              <w:right w:w="108" w:type="dxa"/>
            </w:tcMar>
            <w:vAlign w:val="center"/>
          </w:tcPr>
          <w:p w:rsidRPr="00F35A7F" w:rsidR="006E4D15" w:rsidP="00AB2DF5" w:rsidRDefault="006E4D15" w14:paraId="627CD52B" w14:textId="77777777">
            <w:pPr>
              <w:jc w:val="center"/>
              <w:rPr>
                <w:rFonts w:eastAsiaTheme="minorHAnsi"/>
              </w:rPr>
            </w:pPr>
            <w:r>
              <w:rPr>
                <w:rFonts w:eastAsiaTheme="minorHAnsi"/>
              </w:rPr>
              <w:t xml:space="preserve">Renewal </w:t>
            </w:r>
            <w:r w:rsidRPr="00F35A7F">
              <w:rPr>
                <w:rFonts w:eastAsiaTheme="minorHAnsi"/>
              </w:rPr>
              <w:t>Certification Costs</w:t>
            </w:r>
            <w:r>
              <w:rPr>
                <w:rFonts w:eastAsiaTheme="minorHAnsi"/>
              </w:rPr>
              <w:t xml:space="preserve"> (O&amp;M)</w:t>
            </w:r>
          </w:p>
        </w:tc>
      </w:tr>
      <w:tr w:rsidRPr="00F35A7F" w:rsidR="006E4D15" w:rsidTr="00AB2DF5" w14:paraId="406F754F" w14:textId="77777777">
        <w:trPr>
          <w:trHeight w:val="412"/>
          <w:jc w:val="center"/>
        </w:trPr>
        <w:tc>
          <w:tcPr>
            <w:tcW w:w="1705" w:type="dxa"/>
            <w:vMerge/>
            <w:tcMar>
              <w:top w:w="0" w:type="dxa"/>
              <w:left w:w="108" w:type="dxa"/>
              <w:bottom w:w="0" w:type="dxa"/>
              <w:right w:w="108" w:type="dxa"/>
            </w:tcMar>
          </w:tcPr>
          <w:p w:rsidRPr="00F35A7F" w:rsidR="006E4D15" w:rsidP="00AB2DF5" w:rsidRDefault="006E4D15" w14:paraId="366A3DD5" w14:textId="77777777">
            <w:pPr>
              <w:rPr>
                <w:rFonts w:eastAsiaTheme="minorHAnsi"/>
              </w:rPr>
            </w:pPr>
          </w:p>
        </w:tc>
        <w:tc>
          <w:tcPr>
            <w:tcW w:w="1445" w:type="dxa"/>
            <w:vMerge/>
            <w:tcMar>
              <w:top w:w="0" w:type="dxa"/>
              <w:left w:w="108" w:type="dxa"/>
              <w:bottom w:w="0" w:type="dxa"/>
              <w:right w:w="108" w:type="dxa"/>
            </w:tcMar>
            <w:vAlign w:val="center"/>
            <w:hideMark/>
          </w:tcPr>
          <w:p w:rsidRPr="00F35A7F" w:rsidR="006E4D15" w:rsidP="00AB2DF5" w:rsidRDefault="006E4D15" w14:paraId="24D2F09E" w14:textId="77777777">
            <w:pPr>
              <w:jc w:val="center"/>
              <w:rPr>
                <w:rFonts w:eastAsiaTheme="minorHAnsi"/>
              </w:rPr>
            </w:pPr>
          </w:p>
        </w:tc>
        <w:tc>
          <w:tcPr>
            <w:tcW w:w="1440" w:type="dxa"/>
            <w:vAlign w:val="center"/>
          </w:tcPr>
          <w:p w:rsidRPr="00F35A7F" w:rsidR="006E4D15" w:rsidP="00AB2DF5" w:rsidRDefault="006E4D15" w14:paraId="4B65A7E0" w14:textId="77777777">
            <w:pPr>
              <w:jc w:val="center"/>
              <w:rPr>
                <w:rFonts w:eastAsiaTheme="minorHAnsi"/>
              </w:rPr>
            </w:pPr>
            <w:r>
              <w:rPr>
                <w:rFonts w:eastAsiaTheme="minorHAnsi"/>
              </w:rPr>
              <w:t>Total Initial Cert.</w:t>
            </w:r>
            <w:r w:rsidRPr="00F35A7F">
              <w:rPr>
                <w:rFonts w:eastAsiaTheme="minorHAnsi"/>
              </w:rPr>
              <w:t xml:space="preserve"> Costs</w:t>
            </w:r>
          </w:p>
          <w:p w:rsidRPr="00F35A7F" w:rsidR="006E4D15" w:rsidP="00AB2DF5" w:rsidRDefault="006E4D15" w14:paraId="15E62B59" w14:textId="77777777">
            <w:pPr>
              <w:jc w:val="center"/>
              <w:rPr>
                <w:rFonts w:eastAsiaTheme="minorHAnsi"/>
              </w:rPr>
            </w:pPr>
            <w:r w:rsidRPr="00F35A7F">
              <w:rPr>
                <w:rFonts w:eastAsiaTheme="minorHAnsi"/>
                <w:color w:val="000000"/>
              </w:rPr>
              <w:t>(in millions)</w:t>
            </w:r>
          </w:p>
        </w:tc>
        <w:tc>
          <w:tcPr>
            <w:tcW w:w="1530" w:type="dxa"/>
            <w:vAlign w:val="center"/>
          </w:tcPr>
          <w:p w:rsidRPr="00F35A7F" w:rsidR="006E4D15" w:rsidP="00AB2DF5" w:rsidRDefault="006E4D15" w14:paraId="3A19A92F" w14:textId="77777777">
            <w:pPr>
              <w:jc w:val="center"/>
              <w:rPr>
                <w:rFonts w:eastAsiaTheme="minorHAnsi"/>
              </w:rPr>
            </w:pPr>
            <w:r>
              <w:rPr>
                <w:rFonts w:eastAsiaTheme="minorHAnsi"/>
              </w:rPr>
              <w:t>Average Initial Cert.</w:t>
            </w:r>
            <w:r w:rsidRPr="00F35A7F">
              <w:rPr>
                <w:rFonts w:eastAsiaTheme="minorHAnsi"/>
              </w:rPr>
              <w:t xml:space="preserve"> Costs</w:t>
            </w:r>
          </w:p>
          <w:p w:rsidRPr="00F35A7F" w:rsidR="006E4D15" w:rsidP="00AB2DF5" w:rsidRDefault="006E4D15" w14:paraId="057C3E3A" w14:textId="77777777">
            <w:pPr>
              <w:jc w:val="center"/>
              <w:rPr>
                <w:rFonts w:eastAsiaTheme="minorHAnsi"/>
              </w:rPr>
            </w:pPr>
            <w:r w:rsidRPr="00F35A7F">
              <w:rPr>
                <w:rFonts w:eastAsiaTheme="minorHAnsi"/>
                <w:color w:val="000000"/>
              </w:rPr>
              <w:t>(in millions)</w:t>
            </w:r>
          </w:p>
        </w:tc>
        <w:tc>
          <w:tcPr>
            <w:tcW w:w="1620" w:type="dxa"/>
            <w:tcMar>
              <w:top w:w="0" w:type="dxa"/>
              <w:left w:w="108" w:type="dxa"/>
              <w:bottom w:w="0" w:type="dxa"/>
              <w:right w:w="108" w:type="dxa"/>
            </w:tcMar>
            <w:vAlign w:val="center"/>
            <w:hideMark/>
          </w:tcPr>
          <w:p w:rsidRPr="00F35A7F" w:rsidR="006E4D15" w:rsidP="00AB2DF5" w:rsidRDefault="006E4D15" w14:paraId="0A6BFBDC" w14:textId="77777777">
            <w:pPr>
              <w:jc w:val="center"/>
              <w:rPr>
                <w:rFonts w:eastAsiaTheme="minorHAnsi"/>
              </w:rPr>
            </w:pPr>
            <w:r>
              <w:rPr>
                <w:rFonts w:eastAsiaTheme="minorHAnsi"/>
              </w:rPr>
              <w:t>Total Renewal</w:t>
            </w:r>
            <w:r w:rsidRPr="00F35A7F">
              <w:rPr>
                <w:rFonts w:eastAsiaTheme="minorHAnsi"/>
              </w:rPr>
              <w:t xml:space="preserve"> Costs</w:t>
            </w:r>
          </w:p>
          <w:p w:rsidRPr="00F35A7F" w:rsidR="006E4D15" w:rsidP="00AB2DF5" w:rsidRDefault="006E4D15" w14:paraId="6BA9D0A8" w14:textId="77777777">
            <w:pPr>
              <w:jc w:val="center"/>
              <w:rPr>
                <w:rFonts w:eastAsiaTheme="minorHAnsi"/>
              </w:rPr>
            </w:pPr>
            <w:r w:rsidRPr="00F35A7F">
              <w:rPr>
                <w:rFonts w:eastAsiaTheme="minorHAnsi"/>
                <w:color w:val="000000"/>
              </w:rPr>
              <w:t>(in millions)</w:t>
            </w:r>
          </w:p>
        </w:tc>
        <w:tc>
          <w:tcPr>
            <w:tcW w:w="1530" w:type="dxa"/>
            <w:tcMar>
              <w:top w:w="0" w:type="dxa"/>
              <w:left w:w="108" w:type="dxa"/>
              <w:bottom w:w="0" w:type="dxa"/>
              <w:right w:w="108" w:type="dxa"/>
            </w:tcMar>
            <w:vAlign w:val="center"/>
            <w:hideMark/>
          </w:tcPr>
          <w:p w:rsidRPr="00F35A7F" w:rsidR="006E4D15" w:rsidP="00AB2DF5" w:rsidRDefault="006E4D15" w14:paraId="6CB69D89" w14:textId="77777777">
            <w:pPr>
              <w:jc w:val="center"/>
              <w:rPr>
                <w:rFonts w:eastAsiaTheme="minorHAnsi"/>
              </w:rPr>
            </w:pPr>
            <w:r>
              <w:rPr>
                <w:rFonts w:eastAsiaTheme="minorHAnsi"/>
              </w:rPr>
              <w:t>Average Renewal</w:t>
            </w:r>
            <w:r w:rsidRPr="00F35A7F">
              <w:rPr>
                <w:rFonts w:eastAsiaTheme="minorHAnsi"/>
              </w:rPr>
              <w:t xml:space="preserve"> Costs</w:t>
            </w:r>
          </w:p>
          <w:p w:rsidRPr="00F35A7F" w:rsidR="006E4D15" w:rsidP="00AB2DF5" w:rsidRDefault="006E4D15" w14:paraId="34C68F2D" w14:textId="77777777">
            <w:pPr>
              <w:jc w:val="center"/>
              <w:rPr>
                <w:rFonts w:eastAsiaTheme="minorHAnsi"/>
              </w:rPr>
            </w:pPr>
            <w:r w:rsidRPr="00F35A7F">
              <w:rPr>
                <w:rFonts w:eastAsiaTheme="minorHAnsi"/>
                <w:color w:val="000000"/>
              </w:rPr>
              <w:t>(in millions)</w:t>
            </w:r>
          </w:p>
        </w:tc>
      </w:tr>
      <w:tr w:rsidRPr="00F35A7F" w:rsidR="006E4D15" w:rsidTr="006421C8" w14:paraId="276F94B1" w14:textId="77777777">
        <w:trPr>
          <w:trHeight w:val="737"/>
          <w:jc w:val="center"/>
        </w:trPr>
        <w:tc>
          <w:tcPr>
            <w:tcW w:w="1705" w:type="dxa"/>
            <w:tcMar>
              <w:top w:w="0" w:type="dxa"/>
              <w:left w:w="108" w:type="dxa"/>
              <w:bottom w:w="0" w:type="dxa"/>
              <w:right w:w="108" w:type="dxa"/>
            </w:tcMar>
            <w:vAlign w:val="center"/>
            <w:hideMark/>
          </w:tcPr>
          <w:p w:rsidRPr="00F35A7F" w:rsidR="006E4D15" w:rsidP="00AB2DF5" w:rsidRDefault="006E4D15" w14:paraId="0EF427E0" w14:textId="77777777">
            <w:pPr>
              <w:rPr>
                <w:rFonts w:eastAsiaTheme="minorHAnsi"/>
              </w:rPr>
            </w:pPr>
            <w:bookmarkStart w:name="_Hlk10714774" w:id="11"/>
            <w:r>
              <w:rPr>
                <w:rFonts w:eastAsiaTheme="minorHAnsi"/>
              </w:rPr>
              <w:t>Third Party Certification</w:t>
            </w:r>
          </w:p>
        </w:tc>
        <w:tc>
          <w:tcPr>
            <w:tcW w:w="1445" w:type="dxa"/>
            <w:tcMar>
              <w:top w:w="0" w:type="dxa"/>
              <w:left w:w="108" w:type="dxa"/>
              <w:bottom w:w="0" w:type="dxa"/>
              <w:right w:w="108" w:type="dxa"/>
            </w:tcMar>
            <w:vAlign w:val="center"/>
          </w:tcPr>
          <w:p w:rsidRPr="00F35A7F" w:rsidR="006E4D15" w:rsidP="00AB2DF5" w:rsidRDefault="006E4D15" w14:paraId="47AA7D7D" w14:textId="77777777">
            <w:pPr>
              <w:jc w:val="center"/>
              <w:rPr>
                <w:rFonts w:eastAsiaTheme="minorHAnsi"/>
              </w:rPr>
            </w:pPr>
            <w:r>
              <w:rPr>
                <w:rFonts w:eastAsiaTheme="minorHAnsi"/>
              </w:rPr>
              <w:t>1,338</w:t>
            </w:r>
          </w:p>
        </w:tc>
        <w:tc>
          <w:tcPr>
            <w:tcW w:w="1440" w:type="dxa"/>
            <w:vAlign w:val="center"/>
          </w:tcPr>
          <w:p w:rsidRPr="00F35A7F" w:rsidR="006E4D15" w:rsidP="00AB2DF5" w:rsidRDefault="006E4D15" w14:paraId="729CF854" w14:textId="77777777">
            <w:pPr>
              <w:ind w:left="91"/>
              <w:jc w:val="center"/>
              <w:rPr>
                <w:rFonts w:eastAsiaTheme="minorHAnsi"/>
              </w:rPr>
            </w:pPr>
            <w:r>
              <w:rPr>
                <w:rFonts w:eastAsiaTheme="minorHAnsi"/>
              </w:rPr>
              <w:t>$10.23 - $17.88</w:t>
            </w:r>
          </w:p>
        </w:tc>
        <w:tc>
          <w:tcPr>
            <w:tcW w:w="1530" w:type="dxa"/>
            <w:vAlign w:val="center"/>
          </w:tcPr>
          <w:p w:rsidRPr="00F35A7F" w:rsidR="006E4D15" w:rsidP="00AB2DF5" w:rsidRDefault="006E4D15" w14:paraId="0AEF9924" w14:textId="77777777">
            <w:pPr>
              <w:ind w:left="91"/>
              <w:jc w:val="center"/>
              <w:rPr>
                <w:rFonts w:eastAsiaTheme="minorHAnsi"/>
              </w:rPr>
            </w:pPr>
            <w:r>
              <w:rPr>
                <w:rFonts w:eastAsiaTheme="minorHAnsi"/>
              </w:rPr>
              <w:t>$3.41 - $5.96</w:t>
            </w:r>
          </w:p>
        </w:tc>
        <w:tc>
          <w:tcPr>
            <w:tcW w:w="1620" w:type="dxa"/>
            <w:tcMar>
              <w:top w:w="0" w:type="dxa"/>
              <w:left w:w="108" w:type="dxa"/>
              <w:bottom w:w="0" w:type="dxa"/>
              <w:right w:w="108" w:type="dxa"/>
            </w:tcMar>
            <w:vAlign w:val="center"/>
          </w:tcPr>
          <w:p w:rsidRPr="00F35A7F" w:rsidR="006E4D15" w:rsidP="00AB2DF5" w:rsidRDefault="006E4D15" w14:paraId="24D2BFD7" w14:textId="77777777">
            <w:pPr>
              <w:jc w:val="center"/>
              <w:rPr>
                <w:rFonts w:eastAsiaTheme="minorHAnsi"/>
              </w:rPr>
            </w:pPr>
            <w:r>
              <w:rPr>
                <w:rFonts w:eastAsiaTheme="minorHAnsi"/>
              </w:rPr>
              <w:t>$5.46 - $9.54</w:t>
            </w:r>
          </w:p>
        </w:tc>
        <w:tc>
          <w:tcPr>
            <w:tcW w:w="1530" w:type="dxa"/>
            <w:tcMar>
              <w:top w:w="0" w:type="dxa"/>
              <w:left w:w="108" w:type="dxa"/>
              <w:bottom w:w="0" w:type="dxa"/>
              <w:right w:w="108" w:type="dxa"/>
            </w:tcMar>
            <w:vAlign w:val="center"/>
          </w:tcPr>
          <w:p w:rsidRPr="00F35A7F" w:rsidR="006E4D15" w:rsidP="00AB2DF5" w:rsidRDefault="006E4D15" w14:paraId="441652B4" w14:textId="77777777">
            <w:pPr>
              <w:jc w:val="center"/>
              <w:rPr>
                <w:rFonts w:eastAsiaTheme="minorHAnsi"/>
              </w:rPr>
            </w:pPr>
            <w:r>
              <w:rPr>
                <w:rFonts w:eastAsiaTheme="minorHAnsi"/>
              </w:rPr>
              <w:t xml:space="preserve"> $1.82 - $3.18</w:t>
            </w:r>
          </w:p>
        </w:tc>
      </w:tr>
      <w:bookmarkEnd w:id="11"/>
      <w:tr w:rsidRPr="00F35A7F" w:rsidR="006421C8" w:rsidTr="006421C8" w14:paraId="08F5D472" w14:textId="77777777">
        <w:trPr>
          <w:jc w:val="center"/>
        </w:trPr>
        <w:tc>
          <w:tcPr>
            <w:tcW w:w="1705" w:type="dxa"/>
            <w:tcMar>
              <w:top w:w="0" w:type="dxa"/>
              <w:left w:w="108" w:type="dxa"/>
              <w:bottom w:w="0" w:type="dxa"/>
              <w:right w:w="108" w:type="dxa"/>
            </w:tcMar>
            <w:vAlign w:val="center"/>
          </w:tcPr>
          <w:p w:rsidR="006421C8" w:rsidP="00AB2DF5" w:rsidRDefault="006421C8" w14:paraId="7EA800D8" w14:textId="77777777">
            <w:pPr>
              <w:rPr>
                <w:rFonts w:eastAsiaTheme="minorHAnsi"/>
              </w:rPr>
            </w:pPr>
          </w:p>
          <w:p w:rsidR="006421C8" w:rsidP="00AB2DF5" w:rsidRDefault="006421C8" w14:paraId="0E3567AA" w14:textId="77777777">
            <w:pPr>
              <w:rPr>
                <w:rFonts w:eastAsiaTheme="minorHAnsi"/>
              </w:rPr>
            </w:pPr>
            <w:r>
              <w:rPr>
                <w:rFonts w:eastAsiaTheme="minorHAnsi"/>
              </w:rPr>
              <w:t>Self-Certification</w:t>
            </w:r>
          </w:p>
          <w:p w:rsidR="006421C8" w:rsidP="00AB2DF5" w:rsidRDefault="006421C8" w14:paraId="31D6AEB7" w14:textId="77777777">
            <w:pPr>
              <w:rPr>
                <w:rFonts w:eastAsiaTheme="minorHAnsi"/>
              </w:rPr>
            </w:pPr>
          </w:p>
        </w:tc>
        <w:tc>
          <w:tcPr>
            <w:tcW w:w="1445" w:type="dxa"/>
            <w:tcMar>
              <w:top w:w="0" w:type="dxa"/>
              <w:left w:w="108" w:type="dxa"/>
              <w:bottom w:w="0" w:type="dxa"/>
              <w:right w:w="108" w:type="dxa"/>
            </w:tcMar>
            <w:vAlign w:val="center"/>
          </w:tcPr>
          <w:p w:rsidR="006421C8" w:rsidP="00AB2DF5" w:rsidRDefault="006421C8" w14:paraId="13F960AD" w14:textId="77777777">
            <w:pPr>
              <w:jc w:val="center"/>
              <w:rPr>
                <w:rFonts w:eastAsiaTheme="minorHAnsi"/>
              </w:rPr>
            </w:pPr>
            <w:r>
              <w:rPr>
                <w:rFonts w:eastAsiaTheme="minorHAnsi"/>
              </w:rPr>
              <w:t>855</w:t>
            </w:r>
          </w:p>
        </w:tc>
        <w:tc>
          <w:tcPr>
            <w:tcW w:w="1440" w:type="dxa"/>
            <w:vAlign w:val="center"/>
          </w:tcPr>
          <w:p w:rsidR="006421C8" w:rsidP="00AB2DF5" w:rsidRDefault="006421C8" w14:paraId="60FE772E" w14:textId="77777777">
            <w:pPr>
              <w:ind w:left="91"/>
              <w:jc w:val="center"/>
              <w:rPr>
                <w:rFonts w:eastAsiaTheme="minorHAnsi"/>
              </w:rPr>
            </w:pPr>
            <w:r>
              <w:rPr>
                <w:rFonts w:eastAsiaTheme="minorHAnsi"/>
              </w:rPr>
              <w:t>$0</w:t>
            </w:r>
          </w:p>
        </w:tc>
        <w:tc>
          <w:tcPr>
            <w:tcW w:w="1530" w:type="dxa"/>
            <w:vAlign w:val="center"/>
          </w:tcPr>
          <w:p w:rsidR="006421C8" w:rsidP="00AB2DF5" w:rsidRDefault="006421C8" w14:paraId="1D2F119B" w14:textId="77777777">
            <w:pPr>
              <w:ind w:left="91"/>
              <w:jc w:val="center"/>
              <w:rPr>
                <w:rFonts w:eastAsiaTheme="minorHAnsi"/>
              </w:rPr>
            </w:pPr>
            <w:r>
              <w:rPr>
                <w:rFonts w:eastAsiaTheme="minorHAnsi"/>
              </w:rPr>
              <w:t>$0</w:t>
            </w:r>
          </w:p>
        </w:tc>
        <w:tc>
          <w:tcPr>
            <w:tcW w:w="1620" w:type="dxa"/>
            <w:tcMar>
              <w:top w:w="0" w:type="dxa"/>
              <w:left w:w="108" w:type="dxa"/>
              <w:bottom w:w="0" w:type="dxa"/>
              <w:right w:w="108" w:type="dxa"/>
            </w:tcMar>
            <w:vAlign w:val="center"/>
          </w:tcPr>
          <w:p w:rsidR="006421C8" w:rsidP="00AB2DF5" w:rsidRDefault="006421C8" w14:paraId="31C31E62" w14:textId="77777777">
            <w:pPr>
              <w:jc w:val="center"/>
              <w:rPr>
                <w:rFonts w:eastAsiaTheme="minorHAnsi"/>
              </w:rPr>
            </w:pPr>
            <w:r>
              <w:rPr>
                <w:rFonts w:eastAsiaTheme="minorHAnsi"/>
              </w:rPr>
              <w:t>$0</w:t>
            </w:r>
          </w:p>
        </w:tc>
        <w:tc>
          <w:tcPr>
            <w:tcW w:w="1530" w:type="dxa"/>
            <w:tcMar>
              <w:top w:w="0" w:type="dxa"/>
              <w:left w:w="108" w:type="dxa"/>
              <w:bottom w:w="0" w:type="dxa"/>
              <w:right w:w="108" w:type="dxa"/>
            </w:tcMar>
            <w:vAlign w:val="center"/>
          </w:tcPr>
          <w:p w:rsidR="006421C8" w:rsidP="00AB2DF5" w:rsidRDefault="006421C8" w14:paraId="25715C7C" w14:textId="77777777">
            <w:pPr>
              <w:jc w:val="center"/>
              <w:rPr>
                <w:rFonts w:eastAsiaTheme="minorHAnsi"/>
              </w:rPr>
            </w:pPr>
            <w:r>
              <w:rPr>
                <w:rFonts w:eastAsiaTheme="minorHAnsi"/>
              </w:rPr>
              <w:t>$0</w:t>
            </w:r>
          </w:p>
        </w:tc>
      </w:tr>
      <w:tr w:rsidRPr="00F35A7F" w:rsidR="006421C8" w:rsidTr="006421C8" w14:paraId="194B4CA2" w14:textId="77777777">
        <w:trPr>
          <w:jc w:val="center"/>
        </w:trPr>
        <w:tc>
          <w:tcPr>
            <w:tcW w:w="1705" w:type="dxa"/>
            <w:tcMar>
              <w:top w:w="0" w:type="dxa"/>
              <w:left w:w="108" w:type="dxa"/>
              <w:bottom w:w="0" w:type="dxa"/>
              <w:right w:w="108" w:type="dxa"/>
            </w:tcMar>
            <w:vAlign w:val="center"/>
          </w:tcPr>
          <w:p w:rsidR="006421C8" w:rsidP="006421C8" w:rsidRDefault="006421C8" w14:paraId="59E3D342" w14:textId="77777777">
            <w:pPr>
              <w:rPr>
                <w:rFonts w:eastAsiaTheme="minorHAnsi"/>
              </w:rPr>
            </w:pPr>
          </w:p>
          <w:p w:rsidR="006421C8" w:rsidP="006421C8" w:rsidRDefault="006421C8" w14:paraId="142C6D83" w14:textId="77777777">
            <w:pPr>
              <w:rPr>
                <w:rFonts w:eastAsiaTheme="minorHAnsi"/>
              </w:rPr>
            </w:pPr>
            <w:r>
              <w:rPr>
                <w:rFonts w:eastAsiaTheme="minorHAnsi"/>
              </w:rPr>
              <w:t>Total</w:t>
            </w:r>
          </w:p>
          <w:p w:rsidR="006421C8" w:rsidP="006421C8" w:rsidRDefault="006421C8" w14:paraId="0771E899" w14:textId="77777777">
            <w:pPr>
              <w:rPr>
                <w:rFonts w:eastAsiaTheme="minorHAnsi"/>
              </w:rPr>
            </w:pPr>
          </w:p>
        </w:tc>
        <w:tc>
          <w:tcPr>
            <w:tcW w:w="1445" w:type="dxa"/>
            <w:tcMar>
              <w:top w:w="0" w:type="dxa"/>
              <w:left w:w="108" w:type="dxa"/>
              <w:bottom w:w="0" w:type="dxa"/>
              <w:right w:w="108" w:type="dxa"/>
            </w:tcMar>
            <w:vAlign w:val="center"/>
          </w:tcPr>
          <w:p w:rsidR="006421C8" w:rsidP="006421C8" w:rsidRDefault="006421C8" w14:paraId="37F4FD4A" w14:textId="77777777">
            <w:pPr>
              <w:jc w:val="center"/>
              <w:rPr>
                <w:rFonts w:eastAsiaTheme="minorHAnsi"/>
              </w:rPr>
            </w:pPr>
            <w:r>
              <w:rPr>
                <w:rFonts w:eastAsiaTheme="minorHAnsi"/>
              </w:rPr>
              <w:t>2,193</w:t>
            </w:r>
          </w:p>
        </w:tc>
        <w:tc>
          <w:tcPr>
            <w:tcW w:w="1440" w:type="dxa"/>
            <w:vAlign w:val="center"/>
          </w:tcPr>
          <w:p w:rsidRPr="00F35A7F" w:rsidR="006421C8" w:rsidP="006421C8" w:rsidRDefault="006421C8" w14:paraId="4CA5D334" w14:textId="77777777">
            <w:pPr>
              <w:ind w:left="91"/>
              <w:jc w:val="center"/>
              <w:rPr>
                <w:rFonts w:eastAsiaTheme="minorHAnsi"/>
              </w:rPr>
            </w:pPr>
            <w:r>
              <w:rPr>
                <w:rFonts w:eastAsiaTheme="minorHAnsi"/>
              </w:rPr>
              <w:t>$10.23 - $17.88</w:t>
            </w:r>
          </w:p>
        </w:tc>
        <w:tc>
          <w:tcPr>
            <w:tcW w:w="1530" w:type="dxa"/>
            <w:vAlign w:val="center"/>
          </w:tcPr>
          <w:p w:rsidRPr="00F35A7F" w:rsidR="006421C8" w:rsidP="006421C8" w:rsidRDefault="006421C8" w14:paraId="10A44B22" w14:textId="77777777">
            <w:pPr>
              <w:ind w:left="91"/>
              <w:jc w:val="center"/>
              <w:rPr>
                <w:rFonts w:eastAsiaTheme="minorHAnsi"/>
              </w:rPr>
            </w:pPr>
            <w:r>
              <w:rPr>
                <w:rFonts w:eastAsiaTheme="minorHAnsi"/>
              </w:rPr>
              <w:t>$3.41 - $5.96</w:t>
            </w:r>
          </w:p>
        </w:tc>
        <w:tc>
          <w:tcPr>
            <w:tcW w:w="1620" w:type="dxa"/>
            <w:tcMar>
              <w:top w:w="0" w:type="dxa"/>
              <w:left w:w="108" w:type="dxa"/>
              <w:bottom w:w="0" w:type="dxa"/>
              <w:right w:w="108" w:type="dxa"/>
            </w:tcMar>
            <w:vAlign w:val="center"/>
          </w:tcPr>
          <w:p w:rsidRPr="00F35A7F" w:rsidR="006421C8" w:rsidP="006421C8" w:rsidRDefault="006421C8" w14:paraId="09E317A5" w14:textId="77777777">
            <w:pPr>
              <w:jc w:val="center"/>
              <w:rPr>
                <w:rFonts w:eastAsiaTheme="minorHAnsi"/>
              </w:rPr>
            </w:pPr>
            <w:r>
              <w:rPr>
                <w:rFonts w:eastAsiaTheme="minorHAnsi"/>
              </w:rPr>
              <w:t>$5.46 - $9.54</w:t>
            </w:r>
          </w:p>
        </w:tc>
        <w:tc>
          <w:tcPr>
            <w:tcW w:w="1530" w:type="dxa"/>
            <w:tcMar>
              <w:top w:w="0" w:type="dxa"/>
              <w:left w:w="108" w:type="dxa"/>
              <w:bottom w:w="0" w:type="dxa"/>
              <w:right w:w="108" w:type="dxa"/>
            </w:tcMar>
            <w:vAlign w:val="center"/>
          </w:tcPr>
          <w:p w:rsidRPr="00F35A7F" w:rsidR="006421C8" w:rsidP="006421C8" w:rsidRDefault="006421C8" w14:paraId="680EC292" w14:textId="77777777">
            <w:pPr>
              <w:jc w:val="center"/>
              <w:rPr>
                <w:rFonts w:eastAsiaTheme="minorHAnsi"/>
              </w:rPr>
            </w:pPr>
            <w:r>
              <w:rPr>
                <w:rFonts w:eastAsiaTheme="minorHAnsi"/>
              </w:rPr>
              <w:t xml:space="preserve"> $1.82 - $3.18</w:t>
            </w:r>
          </w:p>
        </w:tc>
      </w:tr>
    </w:tbl>
    <w:p w:rsidRPr="00F35A7F" w:rsidR="006E4D15" w:rsidP="006E4D15" w:rsidRDefault="006E4D15" w14:paraId="78C7A469" w14:textId="77777777">
      <w:pPr>
        <w:rPr>
          <w:rFonts w:eastAsiaTheme="minorHAnsi"/>
          <w:sz w:val="22"/>
          <w:szCs w:val="22"/>
          <w:lang w:eastAsia="ja-JP"/>
        </w:rPr>
      </w:pPr>
      <w:r w:rsidRPr="00F35A7F">
        <w:rPr>
          <w:rFonts w:eastAsiaTheme="minorHAnsi"/>
          <w:b/>
          <w:bCs/>
          <w:sz w:val="22"/>
          <w:szCs w:val="22"/>
          <w:lang w:eastAsia="ja-JP"/>
        </w:rPr>
        <w:t>Source:</w:t>
      </w:r>
      <w:r w:rsidRPr="00F35A7F">
        <w:rPr>
          <w:rFonts w:eastAsiaTheme="minorHAnsi"/>
          <w:sz w:val="22"/>
          <w:szCs w:val="22"/>
          <w:lang w:eastAsia="ja-JP"/>
        </w:rPr>
        <w:t xml:space="preserve"> Lead Free Rule Cost Model</w:t>
      </w:r>
      <w:r w:rsidRPr="009479D4" w:rsidR="009479D4">
        <w:rPr>
          <w:rFonts w:eastAsiaTheme="minorHAnsi"/>
          <w:sz w:val="22"/>
          <w:szCs w:val="22"/>
          <w:lang w:eastAsia="ja-JP"/>
        </w:rPr>
        <w:t>_Final Rule</w:t>
      </w:r>
      <w:r w:rsidRPr="00F35A7F">
        <w:rPr>
          <w:rFonts w:eastAsiaTheme="minorHAnsi"/>
          <w:sz w:val="22"/>
          <w:szCs w:val="22"/>
          <w:lang w:eastAsia="ja-JP"/>
        </w:rPr>
        <w:t>, ICR Analysis worksheets.</w:t>
      </w:r>
    </w:p>
    <w:p w:rsidRPr="007F3566" w:rsidR="007F3566" w:rsidP="007F3566" w:rsidRDefault="007F3566" w14:paraId="1DFB4DE0" w14:textId="77777777">
      <w:pPr>
        <w:widowControl w:val="0"/>
        <w:tabs>
          <w:tab w:val="left" w:pos="0"/>
        </w:tabs>
        <w:autoSpaceDE/>
        <w:autoSpaceDN/>
        <w:adjustRightInd/>
        <w:rPr>
          <w:snapToGrid w:val="0"/>
          <w:sz w:val="24"/>
        </w:rPr>
      </w:pPr>
    </w:p>
    <w:p w:rsidRPr="00063875" w:rsidR="00442CE3" w:rsidP="00171B56" w:rsidRDefault="00442CE3" w14:paraId="4CE75C6C" w14:textId="77777777">
      <w:pPr>
        <w:pStyle w:val="ListParagraph"/>
        <w:widowControl w:val="0"/>
        <w:numPr>
          <w:ilvl w:val="0"/>
          <w:numId w:val="11"/>
        </w:numPr>
        <w:tabs>
          <w:tab w:val="left" w:pos="0"/>
        </w:tabs>
        <w:autoSpaceDE/>
        <w:autoSpaceDN/>
        <w:adjustRightInd/>
        <w:rPr>
          <w:b/>
          <w:snapToGrid w:val="0"/>
          <w:sz w:val="24"/>
        </w:rPr>
      </w:pPr>
      <w:r w:rsidRPr="00063875">
        <w:rPr>
          <w:b/>
          <w:snapToGrid w:val="0"/>
          <w:sz w:val="24"/>
        </w:rPr>
        <w:t>Capital/Start-up Costs</w:t>
      </w:r>
    </w:p>
    <w:p w:rsidR="00171B56" w:rsidP="00171B56" w:rsidRDefault="00171B56" w14:paraId="62D1711A" w14:textId="77777777">
      <w:pPr>
        <w:widowControl w:val="0"/>
        <w:tabs>
          <w:tab w:val="left" w:pos="0"/>
        </w:tabs>
        <w:autoSpaceDE/>
        <w:autoSpaceDN/>
        <w:adjustRightInd/>
        <w:rPr>
          <w:snapToGrid w:val="0"/>
          <w:sz w:val="24"/>
        </w:rPr>
      </w:pPr>
    </w:p>
    <w:p w:rsidR="00171B56" w:rsidP="00171B56" w:rsidRDefault="00171B56" w14:paraId="17ECD26E" w14:textId="77777777">
      <w:pPr>
        <w:widowControl w:val="0"/>
        <w:tabs>
          <w:tab w:val="left" w:pos="0"/>
        </w:tabs>
        <w:autoSpaceDE/>
        <w:autoSpaceDN/>
        <w:adjustRightInd/>
        <w:rPr>
          <w:snapToGrid w:val="0"/>
          <w:sz w:val="24"/>
        </w:rPr>
      </w:pPr>
      <w:r>
        <w:rPr>
          <w:snapToGrid w:val="0"/>
          <w:sz w:val="24"/>
        </w:rPr>
        <w:t xml:space="preserve">There are </w:t>
      </w:r>
      <w:r w:rsidR="00063875">
        <w:rPr>
          <w:snapToGrid w:val="0"/>
          <w:sz w:val="24"/>
        </w:rPr>
        <w:t>no capital start-up costs related to this ICR.</w:t>
      </w:r>
    </w:p>
    <w:p w:rsidRPr="00171B56" w:rsidR="00063875" w:rsidP="00171B56" w:rsidRDefault="00063875" w14:paraId="73519395" w14:textId="77777777">
      <w:pPr>
        <w:widowControl w:val="0"/>
        <w:tabs>
          <w:tab w:val="left" w:pos="0"/>
        </w:tabs>
        <w:autoSpaceDE/>
        <w:autoSpaceDN/>
        <w:adjustRightInd/>
        <w:rPr>
          <w:snapToGrid w:val="0"/>
          <w:sz w:val="24"/>
        </w:rPr>
      </w:pPr>
    </w:p>
    <w:p w:rsidRPr="006715D6" w:rsidR="006046B0" w:rsidP="006046B0" w:rsidRDefault="006046B0" w14:paraId="1B97C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bookmarkStart w:name="_Hlk10193874" w:id="12"/>
      <w:r w:rsidRPr="006715D6">
        <w:rPr>
          <w:b/>
          <w:sz w:val="24"/>
          <w:szCs w:val="24"/>
        </w:rPr>
        <w:t>6(c) Estimating Agency Burden and Cost</w:t>
      </w:r>
    </w:p>
    <w:p w:rsidR="00B257E6" w:rsidP="006046B0" w:rsidRDefault="00B257E6" w14:paraId="2802F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257E6" w:rsidP="006046B0" w:rsidRDefault="00B257E6" w14:paraId="6B4088CE" w14:textId="32E07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P</w:t>
      </w:r>
      <w:r w:rsidRPr="00B257E6">
        <w:rPr>
          <w:sz w:val="24"/>
          <w:szCs w:val="24"/>
        </w:rPr>
        <w:t xml:space="preserve">roduct certification requirements will not be effective until </w:t>
      </w:r>
      <w:r w:rsidR="006E12F6">
        <w:rPr>
          <w:sz w:val="24"/>
          <w:szCs w:val="24"/>
        </w:rPr>
        <w:t xml:space="preserve">after the </w:t>
      </w:r>
      <w:r w:rsidRPr="00B257E6">
        <w:rPr>
          <w:sz w:val="24"/>
          <w:szCs w:val="24"/>
        </w:rPr>
        <w:t>three</w:t>
      </w:r>
      <w:r w:rsidR="006E12F6">
        <w:rPr>
          <w:sz w:val="24"/>
          <w:szCs w:val="24"/>
        </w:rPr>
        <w:t>-</w:t>
      </w:r>
      <w:r w:rsidRPr="00B257E6">
        <w:rPr>
          <w:sz w:val="24"/>
          <w:szCs w:val="24"/>
        </w:rPr>
        <w:t>year</w:t>
      </w:r>
      <w:r w:rsidR="006E12F6">
        <w:rPr>
          <w:sz w:val="24"/>
          <w:szCs w:val="24"/>
        </w:rPr>
        <w:t xml:space="preserve"> implementation period for this final rule. Until then, the Agency will not have a role to play in this regulatory regime and will therefore, have no associated </w:t>
      </w:r>
      <w:r>
        <w:rPr>
          <w:sz w:val="24"/>
          <w:szCs w:val="24"/>
        </w:rPr>
        <w:t>burden or cost</w:t>
      </w:r>
      <w:r w:rsidR="006E12F6">
        <w:rPr>
          <w:sz w:val="24"/>
          <w:szCs w:val="24"/>
        </w:rPr>
        <w:t xml:space="preserve">s.  </w:t>
      </w:r>
    </w:p>
    <w:p w:rsidRPr="006046B0" w:rsidR="00B257E6" w:rsidP="006046B0" w:rsidRDefault="00B257E6" w14:paraId="25CD28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715D6" w:rsidR="006046B0" w:rsidP="006046B0" w:rsidRDefault="006046B0" w14:paraId="4A8DB1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715D6">
        <w:rPr>
          <w:b/>
          <w:sz w:val="24"/>
          <w:szCs w:val="24"/>
        </w:rPr>
        <w:t>6(d) Estimating the Respondent Universe and Total Burden and Costs</w:t>
      </w:r>
    </w:p>
    <w:p w:rsidR="006715D6" w:rsidP="006046B0" w:rsidRDefault="006715D6" w14:paraId="38DDB4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63875" w:rsidP="006046B0" w:rsidRDefault="00063875" w14:paraId="2C68AB76" w14:textId="64AB3B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Respondents for this ICR include 2,193 manufacturers producing potable water pipes, </w:t>
      </w:r>
      <w:r w:rsidR="00F54A9B">
        <w:rPr>
          <w:sz w:val="24"/>
          <w:szCs w:val="24"/>
        </w:rPr>
        <w:t>fittings,</w:t>
      </w:r>
      <w:r>
        <w:rPr>
          <w:sz w:val="24"/>
          <w:szCs w:val="24"/>
        </w:rPr>
        <w:t xml:space="preserve"> or </w:t>
      </w:r>
      <w:r w:rsidR="00F54A9B">
        <w:rPr>
          <w:sz w:val="24"/>
          <w:szCs w:val="24"/>
        </w:rPr>
        <w:t>fixtures</w:t>
      </w:r>
      <w:r>
        <w:rPr>
          <w:sz w:val="24"/>
          <w:szCs w:val="24"/>
        </w:rPr>
        <w:t xml:space="preserve"> </w:t>
      </w:r>
      <w:r w:rsidRPr="00063875">
        <w:rPr>
          <w:sz w:val="24"/>
          <w:szCs w:val="24"/>
        </w:rPr>
        <w:t>o</w:t>
      </w:r>
      <w:r>
        <w:rPr>
          <w:sz w:val="24"/>
          <w:szCs w:val="24"/>
        </w:rPr>
        <w:t>r sourcing such products from foreign manufacturers. To</w:t>
      </w:r>
      <w:r w:rsidRPr="00063875">
        <w:rPr>
          <w:sz w:val="24"/>
          <w:szCs w:val="24"/>
        </w:rPr>
        <w:t>tal labor burden to manufacturers of all size</w:t>
      </w:r>
      <w:r>
        <w:rPr>
          <w:sz w:val="24"/>
          <w:szCs w:val="24"/>
        </w:rPr>
        <w:t>s</w:t>
      </w:r>
      <w:r w:rsidRPr="00063875">
        <w:rPr>
          <w:sz w:val="24"/>
          <w:szCs w:val="24"/>
        </w:rPr>
        <w:t xml:space="preserve"> ranges from 1</w:t>
      </w:r>
      <w:r w:rsidR="000F2E08">
        <w:rPr>
          <w:sz w:val="24"/>
          <w:szCs w:val="24"/>
        </w:rPr>
        <w:t>28</w:t>
      </w:r>
      <w:r w:rsidRPr="00063875">
        <w:rPr>
          <w:sz w:val="24"/>
          <w:szCs w:val="24"/>
        </w:rPr>
        <w:t>,</w:t>
      </w:r>
      <w:r w:rsidR="000F2E08">
        <w:rPr>
          <w:sz w:val="24"/>
          <w:szCs w:val="24"/>
        </w:rPr>
        <w:t>969</w:t>
      </w:r>
      <w:r w:rsidRPr="00063875">
        <w:rPr>
          <w:sz w:val="24"/>
          <w:szCs w:val="24"/>
        </w:rPr>
        <w:t xml:space="preserve"> </w:t>
      </w:r>
      <w:r w:rsidR="000F2E08">
        <w:rPr>
          <w:sz w:val="24"/>
          <w:szCs w:val="24"/>
        </w:rPr>
        <w:t>to</w:t>
      </w:r>
      <w:r w:rsidRPr="00063875">
        <w:rPr>
          <w:sz w:val="24"/>
          <w:szCs w:val="24"/>
        </w:rPr>
        <w:t xml:space="preserve"> 2</w:t>
      </w:r>
      <w:r w:rsidR="000F2E08">
        <w:rPr>
          <w:sz w:val="24"/>
          <w:szCs w:val="24"/>
        </w:rPr>
        <w:t>33</w:t>
      </w:r>
      <w:r w:rsidRPr="00063875">
        <w:rPr>
          <w:sz w:val="24"/>
          <w:szCs w:val="24"/>
        </w:rPr>
        <w:t>,</w:t>
      </w:r>
      <w:r w:rsidR="000F2E08">
        <w:rPr>
          <w:sz w:val="24"/>
          <w:szCs w:val="24"/>
        </w:rPr>
        <w:t>513</w:t>
      </w:r>
      <w:r w:rsidRPr="00063875">
        <w:rPr>
          <w:sz w:val="24"/>
          <w:szCs w:val="24"/>
        </w:rPr>
        <w:t xml:space="preserve"> hours over the three-year ICR period. Estimated average annual burden varies between </w:t>
      </w:r>
      <w:r w:rsidR="00E66996">
        <w:rPr>
          <w:sz w:val="24"/>
          <w:szCs w:val="24"/>
        </w:rPr>
        <w:t>42,990</w:t>
      </w:r>
      <w:r w:rsidRPr="004F2D64" w:rsidR="00E66996">
        <w:rPr>
          <w:sz w:val="24"/>
          <w:szCs w:val="24"/>
        </w:rPr>
        <w:t xml:space="preserve"> </w:t>
      </w:r>
      <w:r w:rsidR="00E66996">
        <w:rPr>
          <w:sz w:val="24"/>
          <w:szCs w:val="24"/>
        </w:rPr>
        <w:t xml:space="preserve">and </w:t>
      </w:r>
      <w:r w:rsidRPr="004F2D64" w:rsidR="00E66996">
        <w:rPr>
          <w:sz w:val="24"/>
          <w:szCs w:val="24"/>
        </w:rPr>
        <w:t>7</w:t>
      </w:r>
      <w:r w:rsidR="00E66996">
        <w:rPr>
          <w:sz w:val="24"/>
          <w:szCs w:val="24"/>
        </w:rPr>
        <w:t>7</w:t>
      </w:r>
      <w:r w:rsidRPr="004F2D64" w:rsidR="00E66996">
        <w:rPr>
          <w:sz w:val="24"/>
          <w:szCs w:val="24"/>
        </w:rPr>
        <w:t>,</w:t>
      </w:r>
      <w:r w:rsidR="00E66996">
        <w:rPr>
          <w:sz w:val="24"/>
          <w:szCs w:val="24"/>
        </w:rPr>
        <w:t>838</w:t>
      </w:r>
      <w:r w:rsidRPr="004F2D64" w:rsidR="00E66996">
        <w:rPr>
          <w:sz w:val="24"/>
          <w:szCs w:val="24"/>
        </w:rPr>
        <w:t xml:space="preserve"> </w:t>
      </w:r>
      <w:r w:rsidRPr="00063875">
        <w:rPr>
          <w:sz w:val="24"/>
          <w:szCs w:val="24"/>
        </w:rPr>
        <w:t>hours. Three-year total cost is between $</w:t>
      </w:r>
      <w:r w:rsidR="00E66996">
        <w:rPr>
          <w:sz w:val="24"/>
          <w:szCs w:val="24"/>
        </w:rPr>
        <w:t>20.1</w:t>
      </w:r>
      <w:r w:rsidRPr="00063875">
        <w:rPr>
          <w:sz w:val="24"/>
          <w:szCs w:val="24"/>
        </w:rPr>
        <w:t xml:space="preserve"> and $3</w:t>
      </w:r>
      <w:r w:rsidR="00E66996">
        <w:rPr>
          <w:sz w:val="24"/>
          <w:szCs w:val="24"/>
        </w:rPr>
        <w:t>4</w:t>
      </w:r>
      <w:r w:rsidRPr="00063875">
        <w:rPr>
          <w:sz w:val="24"/>
          <w:szCs w:val="24"/>
        </w:rPr>
        <w:t>.</w:t>
      </w:r>
      <w:r w:rsidR="00E66996">
        <w:rPr>
          <w:sz w:val="24"/>
          <w:szCs w:val="24"/>
        </w:rPr>
        <w:t>7</w:t>
      </w:r>
      <w:r w:rsidRPr="00063875">
        <w:rPr>
          <w:sz w:val="24"/>
          <w:szCs w:val="24"/>
        </w:rPr>
        <w:t xml:space="preserve"> million.</w:t>
      </w:r>
    </w:p>
    <w:p w:rsidR="00063875" w:rsidP="006046B0" w:rsidRDefault="00063875" w14:paraId="46868F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P="006046B0" w:rsidRDefault="006046B0" w14:paraId="3330A6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715D6">
        <w:rPr>
          <w:b/>
          <w:sz w:val="24"/>
          <w:szCs w:val="24"/>
        </w:rPr>
        <w:t>6(e) Bottom Line Burden Hours and Cost Tables</w:t>
      </w:r>
    </w:p>
    <w:p w:rsidRPr="006715D6" w:rsidR="00405717" w:rsidP="006046B0" w:rsidRDefault="00405717" w14:paraId="6C789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862470" w:rsidR="00862470" w:rsidP="00EC17F4" w:rsidRDefault="00063875" w14:paraId="698877D4" w14:textId="77777777">
      <w:pPr>
        <w:widowControl w:val="0"/>
        <w:tabs>
          <w:tab w:val="left" w:pos="0"/>
        </w:tabs>
        <w:autoSpaceDE/>
        <w:autoSpaceDN/>
        <w:adjustRightInd/>
        <w:rPr>
          <w:rFonts w:eastAsia="Calibri"/>
          <w:b/>
          <w:bCs/>
          <w:sz w:val="24"/>
          <w:szCs w:val="24"/>
        </w:rPr>
      </w:pPr>
      <w:bookmarkStart w:name="_Hlk10716537" w:id="13"/>
      <w:r w:rsidRPr="00063875">
        <w:rPr>
          <w:b/>
          <w:bCs/>
          <w:snapToGrid w:val="0"/>
          <w:sz w:val="24"/>
        </w:rPr>
        <w:t xml:space="preserve">Table </w:t>
      </w:r>
      <w:r w:rsidR="006E711F">
        <w:rPr>
          <w:b/>
          <w:bCs/>
          <w:snapToGrid w:val="0"/>
          <w:sz w:val="24"/>
        </w:rPr>
        <w:t>1</w:t>
      </w:r>
      <w:r w:rsidR="008B74A8">
        <w:rPr>
          <w:b/>
          <w:bCs/>
          <w:snapToGrid w:val="0"/>
          <w:sz w:val="24"/>
        </w:rPr>
        <w:t>1</w:t>
      </w:r>
      <w:r w:rsidRPr="00063875">
        <w:rPr>
          <w:b/>
          <w:bCs/>
          <w:snapToGrid w:val="0"/>
          <w:sz w:val="24"/>
        </w:rPr>
        <w:t xml:space="preserve">: </w:t>
      </w:r>
      <w:r w:rsidRPr="00405717" w:rsidR="00405717">
        <w:rPr>
          <w:b/>
          <w:snapToGrid w:val="0"/>
          <w:sz w:val="24"/>
        </w:rPr>
        <w:t xml:space="preserve">Summary </w:t>
      </w:r>
      <w:bookmarkEnd w:id="13"/>
      <w:r w:rsidRPr="00405717" w:rsidR="00405717">
        <w:rPr>
          <w:b/>
          <w:snapToGrid w:val="0"/>
          <w:sz w:val="24"/>
        </w:rPr>
        <w:t xml:space="preserve">of Burden for 3 Year ICR Period (Range of Lower Bound to Upper Bound) </w:t>
      </w:r>
      <w:r w:rsidR="00EC17F4">
        <w:rPr>
          <w:rFonts w:eastAsia="Calibri"/>
          <w:b/>
          <w:bCs/>
          <w:sz w:val="24"/>
          <w:szCs w:val="24"/>
        </w:rPr>
        <w:t>T</w:t>
      </w:r>
      <w:r w:rsidRPr="00862470" w:rsidR="00862470">
        <w:rPr>
          <w:rFonts w:eastAsia="Calibri"/>
          <w:b/>
          <w:bCs/>
          <w:sz w:val="24"/>
          <w:szCs w:val="24"/>
        </w:rPr>
        <w:t xml:space="preserve">otal Burden Hours and Labor and Non-Labor Costs to </w:t>
      </w:r>
      <w:r w:rsidR="00862470">
        <w:rPr>
          <w:rFonts w:eastAsia="Calibri"/>
          <w:b/>
          <w:bCs/>
          <w:sz w:val="24"/>
          <w:szCs w:val="24"/>
        </w:rPr>
        <w:t xml:space="preserve">Respondents </w:t>
      </w:r>
      <w:r w:rsidRPr="00862470" w:rsidR="00862470">
        <w:rPr>
          <w:rFonts w:eastAsia="Calibri"/>
          <w:b/>
          <w:bCs/>
          <w:sz w:val="24"/>
          <w:szCs w:val="24"/>
        </w:rPr>
        <w:t>Across All Employee Size Categories for the Information Collection Request</w:t>
      </w:r>
    </w:p>
    <w:tbl>
      <w:tblPr>
        <w:tblW w:w="0" w:type="auto"/>
        <w:jc w:val="center"/>
        <w:tblCellMar>
          <w:left w:w="0" w:type="dxa"/>
          <w:right w:w="0" w:type="dxa"/>
        </w:tblCellMar>
        <w:tblLook w:val="04A0" w:firstRow="1" w:lastRow="0" w:firstColumn="1" w:lastColumn="0" w:noHBand="0" w:noVBand="1"/>
      </w:tblPr>
      <w:tblGrid>
        <w:gridCol w:w="1790"/>
        <w:gridCol w:w="1800"/>
        <w:gridCol w:w="1350"/>
        <w:gridCol w:w="1530"/>
        <w:gridCol w:w="1350"/>
        <w:gridCol w:w="1520"/>
      </w:tblGrid>
      <w:tr w:rsidRPr="00862470" w:rsidR="00862470" w:rsidTr="001E6D7B" w14:paraId="013D84F4" w14:textId="77777777">
        <w:trPr>
          <w:jc w:val="center"/>
        </w:trPr>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862470" w:rsidR="00862470" w:rsidP="00862470" w:rsidRDefault="00862470" w14:paraId="3369F2E2" w14:textId="77777777">
            <w:pPr>
              <w:autoSpaceDE/>
              <w:autoSpaceDN/>
              <w:adjustRightInd/>
              <w:rPr>
                <w:rFonts w:eastAsia="Calibri"/>
              </w:rPr>
            </w:pP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62470" w:rsidR="00862470" w:rsidP="00862470" w:rsidRDefault="00862470" w14:paraId="02978D0A" w14:textId="77777777">
            <w:pPr>
              <w:autoSpaceDE/>
              <w:autoSpaceDN/>
              <w:adjustRightInd/>
              <w:jc w:val="center"/>
              <w:rPr>
                <w:rFonts w:eastAsia="Calibri"/>
                <w:color w:val="000000"/>
              </w:rPr>
            </w:pPr>
            <w:r w:rsidRPr="00862470">
              <w:rPr>
                <w:rFonts w:eastAsia="Calibri"/>
                <w:color w:val="000000"/>
              </w:rPr>
              <w:t>Total Burden (Hours)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62470" w:rsidR="00862470" w:rsidP="00862470" w:rsidRDefault="00862470" w14:paraId="0B0A704F" w14:textId="77777777">
            <w:pPr>
              <w:autoSpaceDE/>
              <w:autoSpaceDN/>
              <w:adjustRightInd/>
              <w:jc w:val="center"/>
              <w:rPr>
                <w:rFonts w:eastAsia="Calibri"/>
                <w:color w:val="000000"/>
              </w:rPr>
            </w:pPr>
            <w:r w:rsidRPr="00862470">
              <w:rPr>
                <w:rFonts w:eastAsia="Calibri"/>
                <w:color w:val="000000"/>
              </w:rPr>
              <w:t>Total Labor Costs</w:t>
            </w:r>
          </w:p>
          <w:p w:rsidRPr="00862470" w:rsidR="00862470" w:rsidP="00862470" w:rsidRDefault="00862470" w14:paraId="2A83389B" w14:textId="77777777">
            <w:pPr>
              <w:autoSpaceDE/>
              <w:autoSpaceDN/>
              <w:adjustRightInd/>
              <w:jc w:val="center"/>
              <w:rPr>
                <w:rFonts w:eastAsia="Calibri"/>
              </w:rPr>
            </w:pPr>
            <w:r w:rsidRPr="00862470">
              <w:rPr>
                <w:rFonts w:eastAsia="Calibri"/>
                <w:color w:val="000000"/>
              </w:rPr>
              <w:t>(in millions)</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62470" w:rsidR="00862470" w:rsidP="00862470" w:rsidRDefault="00862470" w14:paraId="071F5BBC" w14:textId="77777777">
            <w:pPr>
              <w:autoSpaceDE/>
              <w:autoSpaceDN/>
              <w:adjustRightInd/>
              <w:jc w:val="center"/>
              <w:rPr>
                <w:rFonts w:eastAsia="Calibri"/>
              </w:rPr>
            </w:pPr>
            <w:r w:rsidRPr="00862470">
              <w:rPr>
                <w:rFonts w:eastAsia="Calibri"/>
                <w:color w:val="000000"/>
              </w:rPr>
              <w:t>Total Initial Certification Costs (O&amp;M, in millions)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62470" w:rsidR="00862470" w:rsidP="00862470" w:rsidRDefault="00862470" w14:paraId="590EDFD3" w14:textId="77777777">
            <w:pPr>
              <w:autoSpaceDE/>
              <w:autoSpaceDN/>
              <w:adjustRightInd/>
              <w:jc w:val="center"/>
              <w:rPr>
                <w:rFonts w:eastAsia="Calibri"/>
              </w:rPr>
            </w:pPr>
            <w:r w:rsidRPr="00862470">
              <w:rPr>
                <w:rFonts w:eastAsia="Calibri"/>
              </w:rPr>
              <w:t>Total Renewal Costs (O&amp;M, in millions</w:t>
            </w:r>
          </w:p>
        </w:tc>
        <w:tc>
          <w:tcPr>
            <w:tcW w:w="1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62470" w:rsidR="00862470" w:rsidP="00862470" w:rsidRDefault="00862470" w14:paraId="2AAD7D67" w14:textId="77777777">
            <w:pPr>
              <w:autoSpaceDE/>
              <w:autoSpaceDN/>
              <w:adjustRightInd/>
              <w:jc w:val="center"/>
              <w:rPr>
                <w:rFonts w:eastAsia="Calibri"/>
                <w:color w:val="000000"/>
              </w:rPr>
            </w:pPr>
            <w:r w:rsidRPr="00862470">
              <w:rPr>
                <w:rFonts w:eastAsia="Calibri"/>
                <w:color w:val="000000"/>
              </w:rPr>
              <w:t>Total Costs</w:t>
            </w:r>
          </w:p>
          <w:p w:rsidRPr="00862470" w:rsidR="00862470" w:rsidP="00862470" w:rsidRDefault="00862470" w14:paraId="5CB0AF2F" w14:textId="77777777">
            <w:pPr>
              <w:autoSpaceDE/>
              <w:autoSpaceDN/>
              <w:adjustRightInd/>
              <w:jc w:val="center"/>
              <w:rPr>
                <w:rFonts w:eastAsia="Calibri"/>
              </w:rPr>
            </w:pPr>
            <w:r w:rsidRPr="00862470">
              <w:rPr>
                <w:rFonts w:eastAsia="Calibri"/>
                <w:color w:val="000000"/>
              </w:rPr>
              <w:t>(in millions)</w:t>
            </w:r>
          </w:p>
        </w:tc>
      </w:tr>
      <w:tr w:rsidRPr="00862470" w:rsidR="00862470" w:rsidTr="001E6D7B" w14:paraId="7E7E8432" w14:textId="77777777">
        <w:trPr>
          <w:jc w:val="center"/>
        </w:trPr>
        <w:tc>
          <w:tcPr>
            <w:tcW w:w="179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862470" w:rsidR="00862470" w:rsidP="00862470" w:rsidRDefault="00862470" w14:paraId="3022472E" w14:textId="77777777">
            <w:pPr>
              <w:autoSpaceDE/>
              <w:autoSpaceDN/>
              <w:adjustRightInd/>
              <w:rPr>
                <w:rFonts w:eastAsia="Calibri"/>
              </w:rPr>
            </w:pPr>
            <w:r>
              <w:rPr>
                <w:rFonts w:eastAsia="Calibri"/>
              </w:rPr>
              <w:t xml:space="preserve">Respondents </w:t>
            </w:r>
            <w:r w:rsidRPr="00862470">
              <w:rPr>
                <w:rFonts w:eastAsia="Calibri"/>
              </w:rPr>
              <w:t>– All size categories</w:t>
            </w:r>
          </w:p>
        </w:tc>
        <w:tc>
          <w:tcPr>
            <w:tcW w:w="1800" w:type="dxa"/>
            <w:tcBorders>
              <w:top w:val="nil"/>
              <w:left w:val="nil"/>
              <w:bottom w:val="single" w:color="auto" w:sz="4" w:space="0"/>
              <w:right w:val="single" w:color="auto" w:sz="8" w:space="0"/>
            </w:tcBorders>
            <w:tcMar>
              <w:top w:w="0" w:type="dxa"/>
              <w:left w:w="108" w:type="dxa"/>
              <w:bottom w:w="0" w:type="dxa"/>
              <w:right w:w="108" w:type="dxa"/>
            </w:tcMar>
            <w:vAlign w:val="center"/>
          </w:tcPr>
          <w:p w:rsidRPr="00862470" w:rsidR="00862470" w:rsidP="00862470" w:rsidRDefault="00862470" w14:paraId="2E116E94" w14:textId="77777777">
            <w:pPr>
              <w:autoSpaceDE/>
              <w:autoSpaceDN/>
              <w:adjustRightInd/>
              <w:jc w:val="center"/>
              <w:rPr>
                <w:rFonts w:eastAsia="Calibri"/>
              </w:rPr>
            </w:pPr>
            <w:r w:rsidRPr="00862470">
              <w:rPr>
                <w:rFonts w:eastAsia="Calibri"/>
              </w:rPr>
              <w:t>1</w:t>
            </w:r>
            <w:r w:rsidR="00F70471">
              <w:rPr>
                <w:rFonts w:eastAsia="Calibri"/>
              </w:rPr>
              <w:t>28</w:t>
            </w:r>
            <w:r w:rsidRPr="00862470">
              <w:rPr>
                <w:rFonts w:eastAsia="Calibri"/>
              </w:rPr>
              <w:t>,</w:t>
            </w:r>
            <w:r w:rsidR="00F70471">
              <w:rPr>
                <w:rFonts w:eastAsia="Calibri"/>
              </w:rPr>
              <w:t>969</w:t>
            </w:r>
            <w:r w:rsidRPr="00862470">
              <w:rPr>
                <w:rFonts w:eastAsia="Calibri"/>
              </w:rPr>
              <w:t xml:space="preserve"> – 2</w:t>
            </w:r>
            <w:r w:rsidR="00F70471">
              <w:rPr>
                <w:rFonts w:eastAsia="Calibri"/>
              </w:rPr>
              <w:t>33,513</w:t>
            </w:r>
          </w:p>
        </w:tc>
        <w:tc>
          <w:tcPr>
            <w:tcW w:w="13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862470" w:rsidR="00862470" w:rsidP="00862470" w:rsidRDefault="00862470" w14:paraId="6DCBF1F3" w14:textId="77777777">
            <w:pPr>
              <w:autoSpaceDE/>
              <w:autoSpaceDN/>
              <w:adjustRightInd/>
              <w:jc w:val="center"/>
              <w:rPr>
                <w:rFonts w:eastAsia="Calibri"/>
              </w:rPr>
            </w:pPr>
            <w:r w:rsidRPr="00862470">
              <w:rPr>
                <w:rFonts w:eastAsia="Calibri"/>
                <w:color w:val="000000"/>
              </w:rPr>
              <w:t>$</w:t>
            </w:r>
            <w:r w:rsidR="006E711F">
              <w:rPr>
                <w:rFonts w:eastAsia="Calibri"/>
                <w:color w:val="000000"/>
              </w:rPr>
              <w:t>4</w:t>
            </w:r>
            <w:r w:rsidRPr="00862470">
              <w:rPr>
                <w:rFonts w:eastAsia="Calibri"/>
                <w:color w:val="000000"/>
              </w:rPr>
              <w:t>.3</w:t>
            </w:r>
            <w:r w:rsidR="006E711F">
              <w:rPr>
                <w:rFonts w:eastAsia="Calibri"/>
                <w:color w:val="000000"/>
              </w:rPr>
              <w:t>9</w:t>
            </w:r>
            <w:r w:rsidRPr="00862470">
              <w:rPr>
                <w:rFonts w:eastAsia="Calibri"/>
                <w:color w:val="000000"/>
              </w:rPr>
              <w:t xml:space="preserve"> - $</w:t>
            </w:r>
            <w:r w:rsidR="006E711F">
              <w:rPr>
                <w:rFonts w:eastAsia="Calibri"/>
                <w:color w:val="000000"/>
              </w:rPr>
              <w:t>7</w:t>
            </w:r>
            <w:r w:rsidRPr="00862470">
              <w:rPr>
                <w:rFonts w:eastAsia="Calibri"/>
                <w:color w:val="000000"/>
              </w:rPr>
              <w:t>.</w:t>
            </w:r>
            <w:r w:rsidR="006E711F">
              <w:rPr>
                <w:rFonts w:eastAsia="Calibri"/>
                <w:color w:val="000000"/>
              </w:rPr>
              <w:t>32</w:t>
            </w:r>
          </w:p>
        </w:tc>
        <w:tc>
          <w:tcPr>
            <w:tcW w:w="1530" w:type="dxa"/>
            <w:tcBorders>
              <w:top w:val="nil"/>
              <w:left w:val="nil"/>
              <w:bottom w:val="single" w:color="auto" w:sz="4" w:space="0"/>
              <w:right w:val="single" w:color="auto" w:sz="8" w:space="0"/>
            </w:tcBorders>
            <w:tcMar>
              <w:top w:w="0" w:type="dxa"/>
              <w:left w:w="108" w:type="dxa"/>
              <w:bottom w:w="0" w:type="dxa"/>
              <w:right w:w="108" w:type="dxa"/>
            </w:tcMar>
            <w:vAlign w:val="center"/>
          </w:tcPr>
          <w:p w:rsidRPr="00862470" w:rsidR="00862470" w:rsidP="00862470" w:rsidRDefault="00862470" w14:paraId="440DF917" w14:textId="77777777">
            <w:pPr>
              <w:autoSpaceDE/>
              <w:autoSpaceDN/>
              <w:adjustRightInd/>
              <w:jc w:val="center"/>
              <w:rPr>
                <w:rFonts w:eastAsia="Calibri"/>
              </w:rPr>
            </w:pPr>
            <w:r w:rsidRPr="00862470">
              <w:rPr>
                <w:rFonts w:eastAsia="Calibri"/>
              </w:rPr>
              <w:t>$10.23 - $17.88</w:t>
            </w:r>
          </w:p>
        </w:tc>
        <w:tc>
          <w:tcPr>
            <w:tcW w:w="13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862470" w:rsidR="00862470" w:rsidP="00862470" w:rsidRDefault="00862470" w14:paraId="6719C8AF" w14:textId="77777777">
            <w:pPr>
              <w:autoSpaceDE/>
              <w:autoSpaceDN/>
              <w:adjustRightInd/>
              <w:jc w:val="center"/>
              <w:rPr>
                <w:rFonts w:eastAsia="Calibri"/>
                <w:color w:val="000000"/>
              </w:rPr>
            </w:pPr>
            <w:r w:rsidRPr="00862470">
              <w:rPr>
                <w:rFonts w:eastAsia="Calibri"/>
                <w:color w:val="000000"/>
              </w:rPr>
              <w:t xml:space="preserve">$5.46 -$9.54 </w:t>
            </w:r>
          </w:p>
        </w:tc>
        <w:tc>
          <w:tcPr>
            <w:tcW w:w="1520" w:type="dxa"/>
            <w:tcBorders>
              <w:top w:val="nil"/>
              <w:left w:val="nil"/>
              <w:bottom w:val="single" w:color="auto" w:sz="4" w:space="0"/>
              <w:right w:val="single" w:color="auto" w:sz="8" w:space="0"/>
            </w:tcBorders>
            <w:tcMar>
              <w:top w:w="0" w:type="dxa"/>
              <w:left w:w="108" w:type="dxa"/>
              <w:bottom w:w="0" w:type="dxa"/>
              <w:right w:w="108" w:type="dxa"/>
            </w:tcMar>
            <w:vAlign w:val="center"/>
          </w:tcPr>
          <w:p w:rsidRPr="00862470" w:rsidR="00862470" w:rsidP="00862470" w:rsidRDefault="00862470" w14:paraId="6334DFE7" w14:textId="77777777">
            <w:pPr>
              <w:autoSpaceDE/>
              <w:autoSpaceDN/>
              <w:adjustRightInd/>
              <w:jc w:val="center"/>
              <w:rPr>
                <w:rFonts w:eastAsia="Calibri"/>
                <w:color w:val="000000"/>
              </w:rPr>
            </w:pPr>
            <w:r w:rsidRPr="00862470">
              <w:rPr>
                <w:rFonts w:eastAsia="Calibri"/>
                <w:color w:val="000000"/>
              </w:rPr>
              <w:t>$</w:t>
            </w:r>
            <w:r w:rsidR="006E711F">
              <w:rPr>
                <w:rFonts w:eastAsia="Calibri"/>
                <w:color w:val="000000"/>
              </w:rPr>
              <w:t>20</w:t>
            </w:r>
            <w:r w:rsidRPr="00862470">
              <w:rPr>
                <w:rFonts w:eastAsia="Calibri"/>
                <w:color w:val="000000"/>
              </w:rPr>
              <w:t>.</w:t>
            </w:r>
            <w:r w:rsidR="006E711F">
              <w:rPr>
                <w:rFonts w:eastAsia="Calibri"/>
                <w:color w:val="000000"/>
              </w:rPr>
              <w:t>0</w:t>
            </w:r>
            <w:r w:rsidRPr="00862470">
              <w:rPr>
                <w:rFonts w:eastAsia="Calibri"/>
                <w:color w:val="000000"/>
              </w:rPr>
              <w:t>8 - $</w:t>
            </w:r>
            <w:r w:rsidR="0061568F">
              <w:rPr>
                <w:rFonts w:eastAsia="Calibri"/>
                <w:color w:val="000000"/>
              </w:rPr>
              <w:t>34</w:t>
            </w:r>
            <w:r w:rsidRPr="00862470">
              <w:rPr>
                <w:rFonts w:eastAsia="Calibri"/>
                <w:color w:val="000000"/>
              </w:rPr>
              <w:t>.7</w:t>
            </w:r>
            <w:r w:rsidR="006E711F">
              <w:rPr>
                <w:rFonts w:eastAsia="Calibri"/>
                <w:color w:val="000000"/>
              </w:rPr>
              <w:t>4</w:t>
            </w:r>
            <w:r w:rsidRPr="00862470">
              <w:rPr>
                <w:rFonts w:eastAsia="Calibri"/>
                <w:color w:val="000000"/>
              </w:rPr>
              <w:t xml:space="preserve"> </w:t>
            </w:r>
          </w:p>
        </w:tc>
      </w:tr>
    </w:tbl>
    <w:p w:rsidR="00B257E6" w:rsidP="006046B0" w:rsidRDefault="00B257E6" w14:paraId="56A265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62470" w:rsidP="006046B0" w:rsidRDefault="00862470" w14:paraId="2F2A4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715D6" w:rsidR="006046B0" w:rsidP="006046B0" w:rsidRDefault="006046B0" w14:paraId="0402AA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715D6">
        <w:rPr>
          <w:b/>
          <w:sz w:val="24"/>
          <w:szCs w:val="24"/>
        </w:rPr>
        <w:t>6(f) Reasons for Change in Burden</w:t>
      </w:r>
    </w:p>
    <w:p w:rsidR="00B257E6" w:rsidP="006046B0" w:rsidRDefault="00B257E6" w14:paraId="756495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046B0" w:rsidR="00B257E6" w:rsidP="006046B0" w:rsidRDefault="00B257E6" w14:paraId="2ECB00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This </w:t>
      </w:r>
      <w:r w:rsidR="00483405">
        <w:rPr>
          <w:sz w:val="24"/>
          <w:szCs w:val="24"/>
        </w:rPr>
        <w:t>is a new information collection activity, and therefore</w:t>
      </w:r>
      <w:r w:rsidR="00CC342E">
        <w:rPr>
          <w:sz w:val="24"/>
          <w:szCs w:val="24"/>
        </w:rPr>
        <w:t>,</w:t>
      </w:r>
      <w:r w:rsidR="00483405">
        <w:rPr>
          <w:sz w:val="24"/>
          <w:szCs w:val="24"/>
        </w:rPr>
        <w:t xml:space="preserve"> there is no prior rule or related burden that is modified as a result of this ICR.</w:t>
      </w:r>
    </w:p>
    <w:p w:rsidR="00483405" w:rsidP="006046B0" w:rsidRDefault="00483405" w14:paraId="3CEB38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715D6" w:rsidR="006046B0" w:rsidP="006046B0" w:rsidRDefault="006046B0" w14:paraId="26E93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715D6">
        <w:rPr>
          <w:b/>
          <w:sz w:val="24"/>
          <w:szCs w:val="24"/>
        </w:rPr>
        <w:t>6(g) Burden Statement</w:t>
      </w:r>
    </w:p>
    <w:bookmarkEnd w:id="12"/>
    <w:p w:rsidR="00621848" w:rsidP="006046B0" w:rsidRDefault="00621848" w14:paraId="5C54C2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21848" w:rsidR="00621848" w:rsidP="00621848" w:rsidRDefault="008468AF" w14:paraId="1F245D5E" w14:textId="29B3BB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Pr>
          <w:sz w:val="24"/>
          <w:szCs w:val="24"/>
        </w:rPr>
        <w:t xml:space="preserve">The estimated average annual burden per-response for this ICR is 19.5 hours.  </w:t>
      </w:r>
      <w:r w:rsidRPr="00621848" w:rsidR="00621848">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w:t>
      </w:r>
      <w:r w:rsidR="002A4C2D">
        <w:rPr>
          <w:sz w:val="24"/>
          <w:szCs w:val="24"/>
        </w:rPr>
        <w:t>;</w:t>
      </w:r>
      <w:r w:rsidRPr="00621848" w:rsidR="00621848">
        <w:rPr>
          <w:sz w:val="24"/>
          <w:szCs w:val="24"/>
        </w:rPr>
        <w:t xml:space="preserve"> processing and maintaining information</w:t>
      </w:r>
      <w:r w:rsidR="00CC342E">
        <w:rPr>
          <w:sz w:val="24"/>
          <w:szCs w:val="24"/>
        </w:rPr>
        <w:t>;</w:t>
      </w:r>
      <w:r w:rsidRPr="00621848" w:rsidR="00621848">
        <w:rPr>
          <w:sz w:val="24"/>
          <w:szCs w:val="24"/>
        </w:rPr>
        <w:t xml:space="preserve">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00ED7716">
        <w:rPr>
          <w:sz w:val="24"/>
          <w:szCs w:val="24"/>
        </w:rPr>
        <w:t>EPA</w:t>
      </w:r>
      <w:r w:rsidRPr="00621848" w:rsidR="00621848">
        <w:rPr>
          <w:sz w:val="24"/>
          <w:szCs w:val="24"/>
        </w:rPr>
        <w:t xml:space="preserve">'s regulations are listed in 40 CFR Part 9 and 48 CFR Chapter 15.  </w:t>
      </w:r>
    </w:p>
    <w:p w:rsidR="008D0EED" w:rsidP="00621848" w:rsidRDefault="008D0EED" w14:paraId="511EA8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sz w:val="24"/>
          <w:szCs w:val="24"/>
        </w:rPr>
      </w:pPr>
    </w:p>
    <w:p w:rsidRPr="00533061" w:rsidR="00621848" w:rsidP="00621848" w:rsidRDefault="00621848" w14:paraId="20446F43" w14:textId="62C009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D636BE">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D636BE">
        <w:rPr>
          <w:sz w:val="24"/>
          <w:szCs w:val="24"/>
        </w:rPr>
        <w:t>Number EPA-HQ</w:t>
      </w:r>
      <w:r w:rsidRPr="00D636BE" w:rsidR="006412E9">
        <w:rPr>
          <w:sz w:val="24"/>
          <w:szCs w:val="24"/>
        </w:rPr>
        <w:t>-OW-</w:t>
      </w:r>
      <w:r w:rsidRPr="00D636BE" w:rsidR="00120F4A">
        <w:rPr>
          <w:sz w:val="24"/>
          <w:szCs w:val="24"/>
        </w:rPr>
        <w:t>2015-0680</w:t>
      </w:r>
      <w:r w:rsidRPr="00D636BE">
        <w:rPr>
          <w:sz w:val="24"/>
          <w:szCs w:val="24"/>
        </w:rPr>
        <w:t xml:space="preserve">, which is available for online viewing at </w:t>
      </w:r>
      <w:bookmarkStart w:name="_GoBack" w:id="14"/>
      <w:bookmarkEnd w:id="14"/>
      <w:r xmlns:w="http://schemas.openxmlformats.org/wordprocessingml/2006/main" w:rsidR="00D636BE">
        <w:rPr>
          <w:sz w:val="24"/>
          <w:szCs w:val="24"/>
          <w:u w:val="single"/>
        </w:rPr>
        <w:fldChar w:fldCharType="begin"/>
      </w:r>
      <w:r xmlns:w="http://schemas.openxmlformats.org/wordprocessingml/2006/main" w:rsidR="00D636BE">
        <w:rPr>
          <w:sz w:val="24"/>
          <w:szCs w:val="24"/>
          <w:u w:val="single"/>
        </w:rPr>
        <w:instrText xml:space="preserve"> HYPERLINK "http://</w:instrText>
      </w:r>
      <w:r w:rsidRPr="00D636BE" w:rsidR="00D636BE">
        <w:rPr>
          <w:sz w:val="24"/>
          <w:szCs w:val="24"/>
          <w:u w:val="single"/>
        </w:rPr>
        <w:instrText>www.regulations.gov</w:instrText>
      </w:r>
      <w:r xmlns:w="http://schemas.openxmlformats.org/wordprocessingml/2006/main" w:rsidR="00D636BE">
        <w:rPr>
          <w:sz w:val="24"/>
          <w:szCs w:val="24"/>
          <w:u w:val="single"/>
        </w:rPr>
        <w:instrText xml:space="preserve">" </w:instrText>
      </w:r>
      <w:r xmlns:w="http://schemas.openxmlformats.org/wordprocessingml/2006/main" w:rsidR="00D636BE">
        <w:rPr>
          <w:sz w:val="24"/>
          <w:szCs w:val="24"/>
          <w:u w:val="single"/>
        </w:rPr>
        <w:fldChar w:fldCharType="separate"/>
      </w:r>
      <w:r w:rsidRPr="00F33C82" w:rsidR="00D636BE">
        <w:rPr>
          <w:rStyle w:val="Hyperlink"/>
          <w:sz w:val="24"/>
          <w:szCs w:val="24"/>
        </w:rPr>
        <w:t>www.regulations.gov</w:t>
      </w:r>
      <w:r xmlns:w="http://schemas.openxmlformats.org/wordprocessingml/2006/main" w:rsidR="00D636BE">
        <w:rPr>
          <w:sz w:val="24"/>
          <w:szCs w:val="24"/>
          <w:u w:val="single"/>
        </w:rPr>
        <w:fldChar w:fldCharType="end"/>
      </w:r>
      <w:r w:rsidRPr="00D636BE">
        <w:rPr>
          <w:sz w:val="24"/>
          <w:szCs w:val="24"/>
        </w:rPr>
        <w:t xml:space="preserve">, or in </w:t>
      </w:r>
      <w:r w:rsidRPr="00D636BE">
        <w:rPr>
          <w:color w:val="0F0F0F"/>
          <w:sz w:val="24"/>
          <w:szCs w:val="24"/>
        </w:rPr>
        <w:t xml:space="preserve">person viewing at the </w:t>
      </w:r>
      <w:r w:rsidRPr="00D636BE" w:rsidR="00483405">
        <w:rPr>
          <w:color w:val="0F0F0F"/>
          <w:sz w:val="24"/>
          <w:szCs w:val="24"/>
        </w:rPr>
        <w:t xml:space="preserve">Water Docket </w:t>
      </w:r>
      <w:r w:rsidRPr="00D636BE">
        <w:rPr>
          <w:color w:val="0F0F0F"/>
          <w:sz w:val="24"/>
          <w:szCs w:val="24"/>
        </w:rPr>
        <w:t xml:space="preserve">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Pr="00D636BE" w:rsidR="00120F4A">
        <w:rPr>
          <w:color w:val="0F0F0F"/>
          <w:sz w:val="24"/>
          <w:szCs w:val="24"/>
        </w:rPr>
        <w:t xml:space="preserve">Water Docket </w:t>
      </w:r>
      <w:r w:rsidRPr="00D636BE">
        <w:rPr>
          <w:color w:val="0F0F0F"/>
          <w:sz w:val="24"/>
          <w:szCs w:val="24"/>
        </w:rPr>
        <w:t>is (202) 566-</w:t>
      </w:r>
      <w:r w:rsidRPr="00D636BE" w:rsidR="00120F4A">
        <w:rPr>
          <w:color w:val="0F0F0F"/>
          <w:sz w:val="24"/>
          <w:szCs w:val="24"/>
        </w:rPr>
        <w:t>2426</w:t>
      </w:r>
      <w:r w:rsidRPr="00D636BE">
        <w:rPr>
          <w:color w:val="0F0F0F"/>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D636BE">
            <w:rPr>
              <w:color w:val="0F0F0F"/>
              <w:sz w:val="24"/>
              <w:szCs w:val="24"/>
            </w:rPr>
            <w:t>725 17th Street, NW</w:t>
          </w:r>
        </w:smartTag>
        <w:r w:rsidRPr="00D636BE">
          <w:rPr>
            <w:color w:val="0F0F0F"/>
            <w:sz w:val="24"/>
            <w:szCs w:val="24"/>
          </w:rPr>
          <w:t xml:space="preserve">, </w:t>
        </w:r>
        <w:smartTag w:uri="urn:schemas-microsoft-com:office:smarttags" w:element="City">
          <w:r w:rsidRPr="00D636BE">
            <w:rPr>
              <w:color w:val="0F0F0F"/>
              <w:sz w:val="24"/>
              <w:szCs w:val="24"/>
            </w:rPr>
            <w:t>Washington</w:t>
          </w:r>
        </w:smartTag>
        <w:r w:rsidRPr="00D636BE">
          <w:rPr>
            <w:color w:val="0F0F0F"/>
            <w:sz w:val="24"/>
            <w:szCs w:val="24"/>
          </w:rPr>
          <w:t xml:space="preserve">, </w:t>
        </w:r>
        <w:smartTag w:uri="urn:schemas-microsoft-com:office:smarttags" w:element="State">
          <w:r w:rsidRPr="00D636BE">
            <w:rPr>
              <w:color w:val="0F0F0F"/>
              <w:sz w:val="24"/>
              <w:szCs w:val="24"/>
            </w:rPr>
            <w:t>D.C.</w:t>
          </w:r>
        </w:smartTag>
        <w:r w:rsidRPr="00D636BE">
          <w:rPr>
            <w:color w:val="0F0F0F"/>
            <w:sz w:val="24"/>
            <w:szCs w:val="24"/>
          </w:rPr>
          <w:t xml:space="preserve"> </w:t>
        </w:r>
        <w:smartTag w:uri="urn:schemas-microsoft-com:office:smarttags" w:element="PostalCode">
          <w:r w:rsidRPr="00D636BE">
            <w:rPr>
              <w:color w:val="0F0F0F"/>
              <w:sz w:val="24"/>
              <w:szCs w:val="24"/>
            </w:rPr>
            <w:t>20503</w:t>
          </w:r>
        </w:smartTag>
      </w:smartTag>
      <w:r w:rsidRPr="00D636BE">
        <w:rPr>
          <w:color w:val="0F0F0F"/>
          <w:sz w:val="24"/>
          <w:szCs w:val="24"/>
        </w:rPr>
        <w:t>, Attention: Desk Officer for EPA. Please include the EPA Docket ID</w:t>
      </w:r>
      <w:r w:rsidRPr="00D636BE">
        <w:rPr>
          <w:rFonts w:ascii="Courier New" w:hAnsi="Courier New" w:cs="Courier New"/>
          <w:color w:val="0F0F0F"/>
          <w:sz w:val="24"/>
          <w:szCs w:val="24"/>
        </w:rPr>
        <w:t xml:space="preserve"> </w:t>
      </w:r>
      <w:r w:rsidRPr="00D636BE">
        <w:rPr>
          <w:sz w:val="24"/>
          <w:szCs w:val="24"/>
        </w:rPr>
        <w:t>Number EPA-HQ</w:t>
      </w:r>
      <w:r w:rsidRPr="00D636BE" w:rsidR="006715D6">
        <w:rPr>
          <w:sz w:val="24"/>
          <w:szCs w:val="24"/>
        </w:rPr>
        <w:t xml:space="preserve">-OW-2015-0680 </w:t>
      </w:r>
      <w:r w:rsidRPr="00D636BE">
        <w:rPr>
          <w:sz w:val="24"/>
          <w:szCs w:val="24"/>
        </w:rPr>
        <w:t xml:space="preserve">and OMB Control Number </w:t>
      </w:r>
      <w:r w:rsidRPr="00D636BE" w:rsidR="00120F4A">
        <w:rPr>
          <w:sz w:val="24"/>
          <w:szCs w:val="24"/>
        </w:rPr>
        <w:t>2040</w:t>
      </w:r>
      <w:r w:rsidRPr="00D636BE">
        <w:rPr>
          <w:sz w:val="24"/>
          <w:szCs w:val="24"/>
        </w:rPr>
        <w:t>-</w:t>
      </w:r>
      <w:r w:rsidRPr="00D636BE" w:rsidR="00CC342E">
        <w:rPr>
          <w:sz w:val="24"/>
          <w:szCs w:val="24"/>
        </w:rPr>
        <w:t>New</w:t>
      </w:r>
      <w:r w:rsidRPr="00D636BE">
        <w:rPr>
          <w:sz w:val="24"/>
          <w:szCs w:val="24"/>
        </w:rPr>
        <w:t xml:space="preserve"> in any correspondence.</w:t>
      </w:r>
    </w:p>
    <w:p w:rsidR="00945087" w:rsidRDefault="00945087" w14:paraId="7C6D0FEA" w14:textId="77777777">
      <w:pPr>
        <w:autoSpaceDE/>
        <w:autoSpaceDN/>
        <w:adjustRightInd/>
        <w:rPr>
          <w:sz w:val="24"/>
          <w:szCs w:val="24"/>
        </w:rPr>
      </w:pPr>
    </w:p>
    <w:sectPr w:rsidR="00945087" w:rsidSect="00425984">
      <w:footerReference w:type="default" r:id="rId10"/>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00079" w14:textId="77777777" w:rsidR="00587B8B" w:rsidRDefault="00587B8B" w:rsidP="00425984">
      <w:r>
        <w:separator/>
      </w:r>
    </w:p>
  </w:endnote>
  <w:endnote w:type="continuationSeparator" w:id="0">
    <w:p w14:paraId="4EF15372" w14:textId="77777777" w:rsidR="00587B8B" w:rsidRDefault="00587B8B" w:rsidP="0042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11580"/>
      <w:docPartObj>
        <w:docPartGallery w:val="Page Numbers (Bottom of Page)"/>
        <w:docPartUnique/>
      </w:docPartObj>
    </w:sdtPr>
    <w:sdtEndPr>
      <w:rPr>
        <w:noProof/>
      </w:rPr>
    </w:sdtEndPr>
    <w:sdtContent>
      <w:p w14:paraId="3E3B5CAD" w14:textId="77777777" w:rsidR="001C25EF" w:rsidRDefault="001C25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5F3217" w14:textId="77777777" w:rsidR="001C25EF" w:rsidRDefault="001C2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E1F21" w14:textId="77777777" w:rsidR="00587B8B" w:rsidRDefault="00587B8B" w:rsidP="00425984">
      <w:r>
        <w:separator/>
      </w:r>
    </w:p>
  </w:footnote>
  <w:footnote w:type="continuationSeparator" w:id="0">
    <w:p w14:paraId="5A93F00C" w14:textId="77777777" w:rsidR="00587B8B" w:rsidRDefault="00587B8B" w:rsidP="00425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166"/>
    <w:multiLevelType w:val="hybridMultilevel"/>
    <w:tmpl w:val="DA1C1B66"/>
    <w:lvl w:ilvl="0" w:tplc="0E38E2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82CB9"/>
    <w:multiLevelType w:val="hybridMultilevel"/>
    <w:tmpl w:val="DD8A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56A4A"/>
    <w:multiLevelType w:val="hybridMultilevel"/>
    <w:tmpl w:val="B698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35EB8"/>
    <w:multiLevelType w:val="hybridMultilevel"/>
    <w:tmpl w:val="611E47F4"/>
    <w:lvl w:ilvl="0" w:tplc="ED78DB5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F768CF"/>
    <w:multiLevelType w:val="hybridMultilevel"/>
    <w:tmpl w:val="C82606E2"/>
    <w:lvl w:ilvl="0" w:tplc="805EF7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234EE5"/>
    <w:multiLevelType w:val="hybridMultilevel"/>
    <w:tmpl w:val="E7204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E1A1A"/>
    <w:multiLevelType w:val="hybridMultilevel"/>
    <w:tmpl w:val="EAAA1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972DAB"/>
    <w:multiLevelType w:val="hybridMultilevel"/>
    <w:tmpl w:val="5AEE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421F6"/>
    <w:multiLevelType w:val="hybridMultilevel"/>
    <w:tmpl w:val="45A4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41E78"/>
    <w:multiLevelType w:val="hybridMultilevel"/>
    <w:tmpl w:val="8EF84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9E7740"/>
    <w:multiLevelType w:val="hybridMultilevel"/>
    <w:tmpl w:val="4B8E0CDC"/>
    <w:lvl w:ilvl="0" w:tplc="72AA5EE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0B251E2"/>
    <w:multiLevelType w:val="hybridMultilevel"/>
    <w:tmpl w:val="04AC90D4"/>
    <w:lvl w:ilvl="0" w:tplc="1B4235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6A589C"/>
    <w:multiLevelType w:val="hybridMultilevel"/>
    <w:tmpl w:val="31B6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C4136"/>
    <w:multiLevelType w:val="hybridMultilevel"/>
    <w:tmpl w:val="DA56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3"/>
  </w:num>
  <w:num w:numId="5">
    <w:abstractNumId w:val="10"/>
  </w:num>
  <w:num w:numId="6">
    <w:abstractNumId w:val="5"/>
  </w:num>
  <w:num w:numId="7">
    <w:abstractNumId w:val="8"/>
  </w:num>
  <w:num w:numId="8">
    <w:abstractNumId w:val="12"/>
  </w:num>
  <w:num w:numId="9">
    <w:abstractNumId w:val="0"/>
  </w:num>
  <w:num w:numId="10">
    <w:abstractNumId w:val="11"/>
  </w:num>
  <w:num w:numId="11">
    <w:abstractNumId w:val="4"/>
  </w:num>
  <w:num w:numId="12">
    <w:abstractNumId w:val="1"/>
  </w:num>
  <w:num w:numId="13">
    <w:abstractNumId w:val="7"/>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W">
    <w15:presenceInfo w15:providerId="None" w15:userId="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95"/>
    <w:rsid w:val="00001C34"/>
    <w:rsid w:val="00010115"/>
    <w:rsid w:val="00011E9F"/>
    <w:rsid w:val="0003005C"/>
    <w:rsid w:val="000439ED"/>
    <w:rsid w:val="00063875"/>
    <w:rsid w:val="0006581B"/>
    <w:rsid w:val="0008448C"/>
    <w:rsid w:val="00091083"/>
    <w:rsid w:val="000954BB"/>
    <w:rsid w:val="000A11E0"/>
    <w:rsid w:val="000B28DC"/>
    <w:rsid w:val="000B2BA7"/>
    <w:rsid w:val="000B337F"/>
    <w:rsid w:val="000B78B9"/>
    <w:rsid w:val="000C59DF"/>
    <w:rsid w:val="000F2E08"/>
    <w:rsid w:val="00120395"/>
    <w:rsid w:val="00120F4A"/>
    <w:rsid w:val="00123E02"/>
    <w:rsid w:val="0013037E"/>
    <w:rsid w:val="00162743"/>
    <w:rsid w:val="00171B56"/>
    <w:rsid w:val="0017694F"/>
    <w:rsid w:val="001802BD"/>
    <w:rsid w:val="001900DC"/>
    <w:rsid w:val="001C25EF"/>
    <w:rsid w:val="001D7498"/>
    <w:rsid w:val="001E6D7B"/>
    <w:rsid w:val="001E7738"/>
    <w:rsid w:val="00210748"/>
    <w:rsid w:val="00210DAF"/>
    <w:rsid w:val="00213B35"/>
    <w:rsid w:val="002214F8"/>
    <w:rsid w:val="00225420"/>
    <w:rsid w:val="00245C4D"/>
    <w:rsid w:val="00253BBB"/>
    <w:rsid w:val="0027283D"/>
    <w:rsid w:val="00274EDB"/>
    <w:rsid w:val="002A4673"/>
    <w:rsid w:val="002A4C2D"/>
    <w:rsid w:val="002B46D6"/>
    <w:rsid w:val="002B7824"/>
    <w:rsid w:val="002C5745"/>
    <w:rsid w:val="002F1F1E"/>
    <w:rsid w:val="002F2A6D"/>
    <w:rsid w:val="002F71A0"/>
    <w:rsid w:val="00314BAD"/>
    <w:rsid w:val="003239FC"/>
    <w:rsid w:val="00324DC8"/>
    <w:rsid w:val="00327C60"/>
    <w:rsid w:val="003457B5"/>
    <w:rsid w:val="00352DB5"/>
    <w:rsid w:val="003849AE"/>
    <w:rsid w:val="003976EB"/>
    <w:rsid w:val="003C4924"/>
    <w:rsid w:val="003C4F5F"/>
    <w:rsid w:val="003D6FAC"/>
    <w:rsid w:val="003F015E"/>
    <w:rsid w:val="00405717"/>
    <w:rsid w:val="00411250"/>
    <w:rsid w:val="004227B4"/>
    <w:rsid w:val="00425984"/>
    <w:rsid w:val="00442CE3"/>
    <w:rsid w:val="004463A2"/>
    <w:rsid w:val="00452063"/>
    <w:rsid w:val="004668ED"/>
    <w:rsid w:val="00483405"/>
    <w:rsid w:val="00483A13"/>
    <w:rsid w:val="00484D5C"/>
    <w:rsid w:val="0049558D"/>
    <w:rsid w:val="004F2D64"/>
    <w:rsid w:val="00504548"/>
    <w:rsid w:val="00505DD6"/>
    <w:rsid w:val="0050709A"/>
    <w:rsid w:val="00515523"/>
    <w:rsid w:val="00533061"/>
    <w:rsid w:val="00553625"/>
    <w:rsid w:val="00587B8B"/>
    <w:rsid w:val="0059692C"/>
    <w:rsid w:val="005A07D9"/>
    <w:rsid w:val="005B1758"/>
    <w:rsid w:val="005B3331"/>
    <w:rsid w:val="005B3C72"/>
    <w:rsid w:val="005C2EA0"/>
    <w:rsid w:val="005D25D7"/>
    <w:rsid w:val="005E3E26"/>
    <w:rsid w:val="005F6080"/>
    <w:rsid w:val="006046B0"/>
    <w:rsid w:val="0061568F"/>
    <w:rsid w:val="00621848"/>
    <w:rsid w:val="00622388"/>
    <w:rsid w:val="00623247"/>
    <w:rsid w:val="00625D93"/>
    <w:rsid w:val="006412E9"/>
    <w:rsid w:val="006421C8"/>
    <w:rsid w:val="006562CD"/>
    <w:rsid w:val="006665EE"/>
    <w:rsid w:val="006715D6"/>
    <w:rsid w:val="00692DCB"/>
    <w:rsid w:val="0069555A"/>
    <w:rsid w:val="0069608A"/>
    <w:rsid w:val="006B1D69"/>
    <w:rsid w:val="006B497E"/>
    <w:rsid w:val="006B61F5"/>
    <w:rsid w:val="006B7C64"/>
    <w:rsid w:val="006C140E"/>
    <w:rsid w:val="006C63CC"/>
    <w:rsid w:val="006D4C86"/>
    <w:rsid w:val="006E12F6"/>
    <w:rsid w:val="006E4D15"/>
    <w:rsid w:val="006E711F"/>
    <w:rsid w:val="006F00B0"/>
    <w:rsid w:val="006F6BB8"/>
    <w:rsid w:val="0070559F"/>
    <w:rsid w:val="007060F9"/>
    <w:rsid w:val="00717B42"/>
    <w:rsid w:val="00733B57"/>
    <w:rsid w:val="00772C7E"/>
    <w:rsid w:val="007858BE"/>
    <w:rsid w:val="00785A13"/>
    <w:rsid w:val="00795299"/>
    <w:rsid w:val="007B62E8"/>
    <w:rsid w:val="007E1A87"/>
    <w:rsid w:val="007F3566"/>
    <w:rsid w:val="00810521"/>
    <w:rsid w:val="00817964"/>
    <w:rsid w:val="00835B8B"/>
    <w:rsid w:val="00845985"/>
    <w:rsid w:val="008468AF"/>
    <w:rsid w:val="0085147A"/>
    <w:rsid w:val="00862470"/>
    <w:rsid w:val="0086250D"/>
    <w:rsid w:val="008649E5"/>
    <w:rsid w:val="00883E34"/>
    <w:rsid w:val="008A5A2C"/>
    <w:rsid w:val="008B01F8"/>
    <w:rsid w:val="008B59AA"/>
    <w:rsid w:val="008B74A8"/>
    <w:rsid w:val="008C6B90"/>
    <w:rsid w:val="008D0EED"/>
    <w:rsid w:val="008F34A8"/>
    <w:rsid w:val="00905CAE"/>
    <w:rsid w:val="00906D3D"/>
    <w:rsid w:val="00917F0D"/>
    <w:rsid w:val="00925270"/>
    <w:rsid w:val="00933C8A"/>
    <w:rsid w:val="00945087"/>
    <w:rsid w:val="009479D4"/>
    <w:rsid w:val="0095658E"/>
    <w:rsid w:val="00960377"/>
    <w:rsid w:val="00960CE8"/>
    <w:rsid w:val="0096552C"/>
    <w:rsid w:val="009660B3"/>
    <w:rsid w:val="00982778"/>
    <w:rsid w:val="00995F7D"/>
    <w:rsid w:val="009C6DD1"/>
    <w:rsid w:val="009E33C6"/>
    <w:rsid w:val="009E552E"/>
    <w:rsid w:val="00A25E7C"/>
    <w:rsid w:val="00A34244"/>
    <w:rsid w:val="00A36134"/>
    <w:rsid w:val="00A418F7"/>
    <w:rsid w:val="00A514ED"/>
    <w:rsid w:val="00A53919"/>
    <w:rsid w:val="00A8373F"/>
    <w:rsid w:val="00AA2F93"/>
    <w:rsid w:val="00AA5088"/>
    <w:rsid w:val="00AA5286"/>
    <w:rsid w:val="00AB2DF5"/>
    <w:rsid w:val="00AC1B58"/>
    <w:rsid w:val="00AF6226"/>
    <w:rsid w:val="00B03504"/>
    <w:rsid w:val="00B12361"/>
    <w:rsid w:val="00B23109"/>
    <w:rsid w:val="00B257E6"/>
    <w:rsid w:val="00B2585A"/>
    <w:rsid w:val="00B30078"/>
    <w:rsid w:val="00B40995"/>
    <w:rsid w:val="00B53F53"/>
    <w:rsid w:val="00B745B5"/>
    <w:rsid w:val="00B803B3"/>
    <w:rsid w:val="00BA6C4A"/>
    <w:rsid w:val="00BB262A"/>
    <w:rsid w:val="00BC0332"/>
    <w:rsid w:val="00BC133B"/>
    <w:rsid w:val="00BC25A3"/>
    <w:rsid w:val="00BE064B"/>
    <w:rsid w:val="00BE0CCD"/>
    <w:rsid w:val="00BF1D92"/>
    <w:rsid w:val="00C16C7F"/>
    <w:rsid w:val="00C27E3B"/>
    <w:rsid w:val="00C3349E"/>
    <w:rsid w:val="00C410E1"/>
    <w:rsid w:val="00C459FA"/>
    <w:rsid w:val="00C50EEB"/>
    <w:rsid w:val="00C53DC0"/>
    <w:rsid w:val="00C5700D"/>
    <w:rsid w:val="00C605AD"/>
    <w:rsid w:val="00C619F9"/>
    <w:rsid w:val="00C724C6"/>
    <w:rsid w:val="00C866F5"/>
    <w:rsid w:val="00CB38AD"/>
    <w:rsid w:val="00CB49B1"/>
    <w:rsid w:val="00CB573D"/>
    <w:rsid w:val="00CC2ECA"/>
    <w:rsid w:val="00CC342E"/>
    <w:rsid w:val="00CC6692"/>
    <w:rsid w:val="00CD57DF"/>
    <w:rsid w:val="00CD7D2E"/>
    <w:rsid w:val="00CE60CA"/>
    <w:rsid w:val="00D301C8"/>
    <w:rsid w:val="00D34D6A"/>
    <w:rsid w:val="00D42E60"/>
    <w:rsid w:val="00D43083"/>
    <w:rsid w:val="00D47F42"/>
    <w:rsid w:val="00D5034F"/>
    <w:rsid w:val="00D514C1"/>
    <w:rsid w:val="00D57444"/>
    <w:rsid w:val="00D636BE"/>
    <w:rsid w:val="00D74178"/>
    <w:rsid w:val="00D76215"/>
    <w:rsid w:val="00D800E5"/>
    <w:rsid w:val="00D877D2"/>
    <w:rsid w:val="00D927AB"/>
    <w:rsid w:val="00DA2F87"/>
    <w:rsid w:val="00DA3373"/>
    <w:rsid w:val="00DA4F64"/>
    <w:rsid w:val="00DD277D"/>
    <w:rsid w:val="00DD6249"/>
    <w:rsid w:val="00DE52FA"/>
    <w:rsid w:val="00DE535B"/>
    <w:rsid w:val="00DF06F6"/>
    <w:rsid w:val="00E03481"/>
    <w:rsid w:val="00E04E2F"/>
    <w:rsid w:val="00E20134"/>
    <w:rsid w:val="00E2746C"/>
    <w:rsid w:val="00E66996"/>
    <w:rsid w:val="00E704BC"/>
    <w:rsid w:val="00E823E7"/>
    <w:rsid w:val="00E94D95"/>
    <w:rsid w:val="00EA6E4C"/>
    <w:rsid w:val="00EC17F4"/>
    <w:rsid w:val="00EC522A"/>
    <w:rsid w:val="00EC597C"/>
    <w:rsid w:val="00EC5DD1"/>
    <w:rsid w:val="00ED0A32"/>
    <w:rsid w:val="00ED7716"/>
    <w:rsid w:val="00EF29C7"/>
    <w:rsid w:val="00EF7D20"/>
    <w:rsid w:val="00F059E1"/>
    <w:rsid w:val="00F1474B"/>
    <w:rsid w:val="00F16619"/>
    <w:rsid w:val="00F47BF1"/>
    <w:rsid w:val="00F47E6E"/>
    <w:rsid w:val="00F54A9B"/>
    <w:rsid w:val="00F70471"/>
    <w:rsid w:val="00F80EC9"/>
    <w:rsid w:val="00F96811"/>
    <w:rsid w:val="00FC7F0C"/>
    <w:rsid w:val="00FD5E01"/>
    <w:rsid w:val="00FE3296"/>
    <w:rsid w:val="00FE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136430E3"/>
  <w15:docId w15:val="{0576D177-96F4-4F7D-BEE7-7B9DFED4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555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995"/>
    <w:pPr>
      <w:ind w:left="720"/>
      <w:contextualSpacing/>
    </w:pPr>
  </w:style>
  <w:style w:type="table" w:styleId="TableGrid">
    <w:name w:val="Table Grid"/>
    <w:basedOn w:val="TableNormal"/>
    <w:uiPriority w:val="39"/>
    <w:rsid w:val="00B409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AA5088"/>
    <w:rPr>
      <w:rFonts w:ascii="Segoe UI" w:hAnsi="Segoe UI" w:cs="Segoe UI"/>
      <w:sz w:val="18"/>
      <w:szCs w:val="18"/>
    </w:rPr>
  </w:style>
  <w:style w:type="character" w:customStyle="1" w:styleId="BalloonTextChar">
    <w:name w:val="Balloon Text Char"/>
    <w:basedOn w:val="DefaultParagraphFont"/>
    <w:link w:val="BalloonText"/>
    <w:semiHidden/>
    <w:rsid w:val="00AA5088"/>
    <w:rPr>
      <w:rFonts w:ascii="Segoe UI" w:hAnsi="Segoe UI" w:cs="Segoe UI"/>
      <w:sz w:val="18"/>
      <w:szCs w:val="18"/>
    </w:rPr>
  </w:style>
  <w:style w:type="paragraph" w:styleId="Header">
    <w:name w:val="header"/>
    <w:basedOn w:val="Normal"/>
    <w:link w:val="HeaderChar"/>
    <w:unhideWhenUsed/>
    <w:rsid w:val="00425984"/>
    <w:pPr>
      <w:tabs>
        <w:tab w:val="center" w:pos="4680"/>
        <w:tab w:val="right" w:pos="9360"/>
      </w:tabs>
    </w:pPr>
  </w:style>
  <w:style w:type="character" w:customStyle="1" w:styleId="HeaderChar">
    <w:name w:val="Header Char"/>
    <w:basedOn w:val="DefaultParagraphFont"/>
    <w:link w:val="Header"/>
    <w:rsid w:val="00425984"/>
  </w:style>
  <w:style w:type="paragraph" w:styleId="Footer">
    <w:name w:val="footer"/>
    <w:basedOn w:val="Normal"/>
    <w:link w:val="FooterChar"/>
    <w:uiPriority w:val="99"/>
    <w:unhideWhenUsed/>
    <w:rsid w:val="00425984"/>
    <w:pPr>
      <w:tabs>
        <w:tab w:val="center" w:pos="4680"/>
        <w:tab w:val="right" w:pos="9360"/>
      </w:tabs>
    </w:pPr>
  </w:style>
  <w:style w:type="character" w:customStyle="1" w:styleId="FooterChar">
    <w:name w:val="Footer Char"/>
    <w:basedOn w:val="DefaultParagraphFont"/>
    <w:link w:val="Footer"/>
    <w:uiPriority w:val="99"/>
    <w:rsid w:val="00425984"/>
  </w:style>
  <w:style w:type="character" w:styleId="CommentReference">
    <w:name w:val="annotation reference"/>
    <w:basedOn w:val="DefaultParagraphFont"/>
    <w:semiHidden/>
    <w:unhideWhenUsed/>
    <w:rsid w:val="00533061"/>
    <w:rPr>
      <w:sz w:val="16"/>
      <w:szCs w:val="16"/>
    </w:rPr>
  </w:style>
  <w:style w:type="paragraph" w:styleId="CommentText">
    <w:name w:val="annotation text"/>
    <w:basedOn w:val="Normal"/>
    <w:link w:val="CommentTextChar"/>
    <w:semiHidden/>
    <w:unhideWhenUsed/>
    <w:rsid w:val="00533061"/>
  </w:style>
  <w:style w:type="character" w:customStyle="1" w:styleId="CommentTextChar">
    <w:name w:val="Comment Text Char"/>
    <w:basedOn w:val="DefaultParagraphFont"/>
    <w:link w:val="CommentText"/>
    <w:semiHidden/>
    <w:rsid w:val="00533061"/>
  </w:style>
  <w:style w:type="paragraph" w:styleId="CommentSubject">
    <w:name w:val="annotation subject"/>
    <w:basedOn w:val="CommentText"/>
    <w:next w:val="CommentText"/>
    <w:link w:val="CommentSubjectChar"/>
    <w:semiHidden/>
    <w:unhideWhenUsed/>
    <w:rsid w:val="00533061"/>
    <w:rPr>
      <w:b/>
      <w:bCs/>
    </w:rPr>
  </w:style>
  <w:style w:type="character" w:customStyle="1" w:styleId="CommentSubjectChar">
    <w:name w:val="Comment Subject Char"/>
    <w:basedOn w:val="CommentTextChar"/>
    <w:link w:val="CommentSubject"/>
    <w:semiHidden/>
    <w:rsid w:val="00533061"/>
    <w:rPr>
      <w:b/>
      <w:bCs/>
    </w:rPr>
  </w:style>
  <w:style w:type="paragraph" w:styleId="Revision">
    <w:name w:val="Revision"/>
    <w:hidden/>
    <w:uiPriority w:val="99"/>
    <w:semiHidden/>
    <w:rsid w:val="00533061"/>
  </w:style>
  <w:style w:type="character" w:styleId="Hyperlink">
    <w:name w:val="Hyperlink"/>
    <w:basedOn w:val="DefaultParagraphFont"/>
    <w:unhideWhenUsed/>
    <w:rsid w:val="00CC2ECA"/>
    <w:rPr>
      <w:color w:val="0000FF" w:themeColor="hyperlink"/>
      <w:u w:val="single"/>
    </w:rPr>
  </w:style>
  <w:style w:type="character" w:styleId="UnresolvedMention">
    <w:name w:val="Unresolved Mention"/>
    <w:basedOn w:val="DefaultParagraphFont"/>
    <w:uiPriority w:val="99"/>
    <w:semiHidden/>
    <w:unhideWhenUsed/>
    <w:rsid w:val="00CC2ECA"/>
    <w:rPr>
      <w:color w:val="605E5C"/>
      <w:shd w:val="clear" w:color="auto" w:fill="E1DFDD"/>
    </w:rPr>
  </w:style>
  <w:style w:type="paragraph" w:customStyle="1" w:styleId="psection-2">
    <w:name w:val="psection-2"/>
    <w:basedOn w:val="Normal"/>
    <w:rsid w:val="00BB262A"/>
    <w:pPr>
      <w:autoSpaceDE/>
      <w:autoSpaceDN/>
      <w:adjustRightInd/>
      <w:spacing w:before="100" w:beforeAutospacing="1" w:after="100" w:afterAutospacing="1"/>
    </w:pPr>
    <w:rPr>
      <w:sz w:val="24"/>
      <w:szCs w:val="24"/>
    </w:rPr>
  </w:style>
  <w:style w:type="character" w:customStyle="1" w:styleId="enumxml">
    <w:name w:val="enumxml"/>
    <w:basedOn w:val="DefaultParagraphFont"/>
    <w:rsid w:val="00BB262A"/>
  </w:style>
  <w:style w:type="paragraph" w:customStyle="1" w:styleId="psection-3">
    <w:name w:val="psection-3"/>
    <w:basedOn w:val="Normal"/>
    <w:rsid w:val="00BB262A"/>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5829">
      <w:bodyDiv w:val="1"/>
      <w:marLeft w:val="0"/>
      <w:marRight w:val="0"/>
      <w:marTop w:val="0"/>
      <w:marBottom w:val="0"/>
      <w:divBdr>
        <w:top w:val="none" w:sz="0" w:space="0" w:color="auto"/>
        <w:left w:val="none" w:sz="0" w:space="0" w:color="auto"/>
        <w:bottom w:val="none" w:sz="0" w:space="0" w:color="auto"/>
        <w:right w:val="none" w:sz="0" w:space="0" w:color="auto"/>
      </w:divBdr>
    </w:div>
    <w:div w:id="966275811">
      <w:bodyDiv w:val="1"/>
      <w:marLeft w:val="0"/>
      <w:marRight w:val="0"/>
      <w:marTop w:val="0"/>
      <w:marBottom w:val="0"/>
      <w:divBdr>
        <w:top w:val="none" w:sz="0" w:space="0" w:color="auto"/>
        <w:left w:val="none" w:sz="0" w:space="0" w:color="auto"/>
        <w:bottom w:val="none" w:sz="0" w:space="0" w:color="auto"/>
        <w:right w:val="none" w:sz="0" w:space="0" w:color="auto"/>
      </w:divBdr>
    </w:div>
    <w:div w:id="977152438">
      <w:bodyDiv w:val="1"/>
      <w:marLeft w:val="0"/>
      <w:marRight w:val="0"/>
      <w:marTop w:val="0"/>
      <w:marBottom w:val="0"/>
      <w:divBdr>
        <w:top w:val="none" w:sz="0" w:space="0" w:color="auto"/>
        <w:left w:val="none" w:sz="0" w:space="0" w:color="auto"/>
        <w:bottom w:val="none" w:sz="0" w:space="0" w:color="auto"/>
        <w:right w:val="none" w:sz="0" w:space="0" w:color="auto"/>
      </w:divBdr>
    </w:div>
    <w:div w:id="1846167735">
      <w:bodyDiv w:val="1"/>
      <w:marLeft w:val="0"/>
      <w:marRight w:val="0"/>
      <w:marTop w:val="0"/>
      <w:marBottom w:val="0"/>
      <w:divBdr>
        <w:top w:val="none" w:sz="0" w:space="0" w:color="auto"/>
        <w:left w:val="none" w:sz="0" w:space="0" w:color="auto"/>
        <w:bottom w:val="none" w:sz="0" w:space="0" w:color="auto"/>
        <w:right w:val="none" w:sz="0" w:space="0" w:color="auto"/>
      </w:divBdr>
    </w:div>
    <w:div w:id="193616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61CA-52EE-4698-831D-7200F97F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6850</Words>
  <Characters>39046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JUMBERGE</dc:creator>
  <cp:keywords/>
  <dc:description/>
  <cp:lastModifiedBy>OW</cp:lastModifiedBy>
  <cp:revision>4</cp:revision>
  <cp:lastPrinted>2020-02-12T19:57:00Z</cp:lastPrinted>
  <dcterms:created xsi:type="dcterms:W3CDTF">2020-06-30T12:19:00Z</dcterms:created>
  <dcterms:modified xsi:type="dcterms:W3CDTF">2020-07-09T19:22:00Z</dcterms:modified>
</cp:coreProperties>
</file>