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D7" w:rsidP="00A76FD7" w:rsidRDefault="00A76FD7" w14:paraId="580BB73B" w14:textId="55E28A1A">
      <w:pPr>
        <w:spacing w:line="480" w:lineRule="auto"/>
        <w:ind w:firstLine="720"/>
      </w:pPr>
      <w:r>
        <w:rPr>
          <w:rFonts w:eastAsia="Calibri"/>
        </w:rPr>
        <w:t xml:space="preserve">The OCC </w:t>
      </w:r>
      <w:r w:rsidR="00081F60">
        <w:rPr>
          <w:rFonts w:eastAsia="Calibri"/>
        </w:rPr>
        <w:t>is seeking</w:t>
      </w:r>
      <w:r>
        <w:rPr>
          <w:rFonts w:eastAsia="Calibri"/>
        </w:rPr>
        <w:t xml:space="preserve"> </w:t>
      </w:r>
      <w:r w:rsidR="00291B96">
        <w:t>information</w:t>
      </w:r>
      <w:r>
        <w:t xml:space="preserve"> to assist </w:t>
      </w:r>
      <w:r w:rsidR="00BA6AA5">
        <w:t xml:space="preserve">it </w:t>
      </w:r>
      <w:r>
        <w:t xml:space="preserve">in determining </w:t>
      </w:r>
      <w:r w:rsidR="00570B5F">
        <w:t>the CRA evaluation measure</w:t>
      </w:r>
      <w:r w:rsidR="00BA6AA5">
        <w:t xml:space="preserve"> benchmarks</w:t>
      </w:r>
      <w:r w:rsidR="00570B5F">
        <w:t>, retail lending distribution test</w:t>
      </w:r>
      <w:r w:rsidR="00BA6AA5">
        <w:t xml:space="preserve"> thresholds</w:t>
      </w:r>
      <w:r w:rsidR="00570B5F">
        <w:t xml:space="preserve">, and </w:t>
      </w:r>
      <w:r w:rsidR="00B944BE">
        <w:t xml:space="preserve">CD </w:t>
      </w:r>
      <w:r w:rsidR="00570B5F">
        <w:t>minimum</w:t>
      </w:r>
      <w:r w:rsidR="00BA6AA5">
        <w:t>s</w:t>
      </w:r>
      <w:r w:rsidR="00570B5F">
        <w:t xml:space="preserve"> under</w:t>
      </w:r>
      <w:r w:rsidR="005C198F">
        <w:t xml:space="preserve"> </w:t>
      </w:r>
      <w:r>
        <w:rPr>
          <w:color w:val="000000" w:themeColor="text1"/>
        </w:rPr>
        <w:t xml:space="preserve">the final rule </w:t>
      </w:r>
      <w:r w:rsidR="00570B5F">
        <w:rPr>
          <w:color w:val="000000" w:themeColor="text1"/>
        </w:rPr>
        <w:t>that will correspond to the presumptive ratings</w:t>
      </w:r>
      <w:r>
        <w:t xml:space="preserve">. </w:t>
      </w:r>
      <w:r w:rsidR="008962BB">
        <w:t xml:space="preserve"> </w:t>
      </w:r>
      <w:r>
        <w:t xml:space="preserve">As discussed in the </w:t>
      </w:r>
      <w:r w:rsidR="000B033C">
        <w:t xml:space="preserve">preamble to the final </w:t>
      </w:r>
      <w:r>
        <w:t xml:space="preserve">rule, the </w:t>
      </w:r>
      <w:r w:rsidR="000B033C">
        <w:t xml:space="preserve">OCC </w:t>
      </w:r>
      <w:r>
        <w:t>analyzed</w:t>
      </w:r>
      <w:r w:rsidR="000B033C">
        <w:t xml:space="preserve"> </w:t>
      </w:r>
      <w:r>
        <w:t>currently</w:t>
      </w:r>
      <w:r w:rsidR="00804452">
        <w:t xml:space="preserve"> </w:t>
      </w:r>
      <w:r>
        <w:t xml:space="preserve">available data to </w:t>
      </w:r>
      <w:r w:rsidRPr="000B033C" w:rsidR="000B033C">
        <w:t xml:space="preserve">estimate how banks would have performed under the </w:t>
      </w:r>
      <w:r w:rsidR="000B033C">
        <w:t>proposed rule’s</w:t>
      </w:r>
      <w:r w:rsidRPr="000B033C" w:rsidR="000B033C">
        <w:t xml:space="preserve"> framewor</w:t>
      </w:r>
      <w:r w:rsidR="000B033C">
        <w:t>k</w:t>
      </w:r>
      <w:r>
        <w:t>.</w:t>
      </w:r>
      <w:r w:rsidRPr="00ED30A5" w:rsidR="000B033C">
        <w:rPr>
          <w:rStyle w:val="FootnoteReference"/>
        </w:rPr>
        <w:footnoteReference w:id="2"/>
      </w:r>
      <w:r>
        <w:t xml:space="preserve"> </w:t>
      </w:r>
      <w:r w:rsidR="00B944BE">
        <w:t xml:space="preserve"> </w:t>
      </w:r>
      <w:r w:rsidR="00510520">
        <w:t>The final rule did</w:t>
      </w:r>
      <w:r w:rsidR="006A51E2">
        <w:t xml:space="preserve"> not</w:t>
      </w:r>
      <w:r w:rsidR="00510520">
        <w:t xml:space="preserve"> </w:t>
      </w:r>
      <w:r w:rsidR="007B5B5D">
        <w:t xml:space="preserve">finalize the benchmarks, thresholds, or minimums as proposed. </w:t>
      </w:r>
      <w:r w:rsidR="008962BB">
        <w:t xml:space="preserve"> </w:t>
      </w:r>
      <w:r w:rsidR="007B5B5D">
        <w:t xml:space="preserve">Instead, as </w:t>
      </w:r>
      <w:r w:rsidR="001952C4">
        <w:t xml:space="preserve">explained in the preamble to the final rule, the OCC </w:t>
      </w:r>
      <w:r w:rsidR="00BA6AA5">
        <w:t>plans to</w:t>
      </w:r>
      <w:r w:rsidR="00E5391A">
        <w:t xml:space="preserve"> issue</w:t>
      </w:r>
      <w:r w:rsidR="001952C4">
        <w:t xml:space="preserve"> a separate notice of proposed rulemaking to determine the benchmarks, thresholds, and minimums that will correspond to the presumptive ratings in the final rule.</w:t>
      </w:r>
    </w:p>
    <w:p w:rsidR="00D224DC" w:rsidP="00D224DC" w:rsidRDefault="00A76FD7" w14:paraId="7A188B89" w14:textId="77777777">
      <w:pPr>
        <w:spacing w:line="480" w:lineRule="auto"/>
        <w:ind w:firstLine="720"/>
      </w:pPr>
      <w:r>
        <w:t xml:space="preserve">This </w:t>
      </w:r>
      <w:r w:rsidR="00CA1F2A">
        <w:t>information collection</w:t>
      </w:r>
      <w:r>
        <w:t xml:space="preserve"> </w:t>
      </w:r>
      <w:r w:rsidR="00D224DC">
        <w:rPr>
          <w:rFonts w:eastAsia="Calibri"/>
        </w:rPr>
        <w:t xml:space="preserve">seeks </w:t>
      </w:r>
      <w:r w:rsidR="00D224DC">
        <w:t xml:space="preserve">information to assist in determining the CRA evaluation measure benchmarks, retail lending distribution test thresholds, and CD minimums under </w:t>
      </w:r>
      <w:r w:rsidR="00D224DC">
        <w:rPr>
          <w:color w:val="000000" w:themeColor="text1"/>
        </w:rPr>
        <w:t>the final rule that will correspond to the presumptive ratings</w:t>
      </w:r>
      <w:r w:rsidR="00D224DC">
        <w:t xml:space="preserve">.  As discussed in the preamble to the final rule, the OCC analyzed currently available data to </w:t>
      </w:r>
      <w:r w:rsidRPr="000B033C" w:rsidR="00D224DC">
        <w:t xml:space="preserve">estimate how banks would have performed under the </w:t>
      </w:r>
      <w:r w:rsidR="00D224DC">
        <w:t>proposed rule’s</w:t>
      </w:r>
      <w:r w:rsidRPr="000B033C" w:rsidR="00D224DC">
        <w:t xml:space="preserve"> framewor</w:t>
      </w:r>
      <w:r w:rsidR="00D224DC">
        <w:t>k.</w:t>
      </w:r>
      <w:r w:rsidRPr="00ED30A5" w:rsidR="00D224DC">
        <w:rPr>
          <w:rStyle w:val="FootnoteReference"/>
        </w:rPr>
        <w:footnoteReference w:id="3"/>
      </w:r>
      <w:r w:rsidR="00D224DC">
        <w:t xml:space="preserve">  The final rule did not finalize the benchmarks, thresholds, or minimums as proposed.  Instead, as explained in the preamble to the final rule, the OCC plans to issue a separate notice of proposed rulemaking to determine the benchmarks, thresholds, and minimums that will correspond to the presumptive ratings in the final rule.</w:t>
      </w:r>
    </w:p>
    <w:p w:rsidR="00D224DC" w:rsidP="00D224DC" w:rsidRDefault="00D224DC" w14:paraId="1AADF12C" w14:textId="77777777">
      <w:pPr>
        <w:spacing w:line="480" w:lineRule="auto"/>
        <w:ind w:firstLine="720"/>
      </w:pPr>
      <w:r>
        <w:t xml:space="preserve">This information collection seeks bank-specific data and information to supplement the agency’s analyses and currently available data.  Specifically, it requests four types of bank data or </w:t>
      </w:r>
      <w:r w:rsidRPr="00524471">
        <w:t xml:space="preserve">information: (1) retail domestic deposit and assessment area data; (2) qualifying </w:t>
      </w:r>
      <w:r>
        <w:t>activities</w:t>
      </w:r>
      <w:r w:rsidRPr="00524471">
        <w:t xml:space="preserve"> data; (3) branch information; and (4) retail loan application </w:t>
      </w:r>
      <w:r w:rsidRPr="00524471">
        <w:lastRenderedPageBreak/>
        <w:t xml:space="preserve">and origination data. </w:t>
      </w:r>
      <w:r>
        <w:t xml:space="preserve"> </w:t>
      </w:r>
      <w:r w:rsidRPr="00524471">
        <w:t xml:space="preserve">The data should contain information from </w:t>
      </w:r>
      <w:r w:rsidRPr="006F747C">
        <w:t>Jan</w:t>
      </w:r>
      <w:r>
        <w:t>uary</w:t>
      </w:r>
      <w:r w:rsidRPr="006F747C">
        <w:t xml:space="preserve"> 1,</w:t>
      </w:r>
      <w:r>
        <w:t xml:space="preserve"> </w:t>
      </w:r>
      <w:r w:rsidRPr="006F747C">
        <w:t>2017</w:t>
      </w:r>
      <w:r>
        <w:t>, to</w:t>
      </w:r>
      <w:r w:rsidRPr="006F747C">
        <w:t xml:space="preserve"> </w:t>
      </w:r>
      <w:bookmarkStart w:name="_GoBack" w:id="0"/>
      <w:r w:rsidRPr="006F747C">
        <w:t>Dec</w:t>
      </w:r>
      <w:r>
        <w:t>ember</w:t>
      </w:r>
      <w:bookmarkEnd w:id="0"/>
      <w:r w:rsidRPr="006F747C">
        <w:t xml:space="preserve"> 31, 2019</w:t>
      </w:r>
      <w:r w:rsidRPr="00524471">
        <w:t>.  The final rule provides additional information (</w:t>
      </w:r>
      <w:r w:rsidRPr="00524471">
        <w:rPr>
          <w:i/>
        </w:rPr>
        <w:t>e.g.</w:t>
      </w:r>
      <w:r w:rsidRPr="00524471">
        <w:t>, definitions, qualifying activities criteria, etc.) t</w:t>
      </w:r>
      <w:r>
        <w:t>o</w:t>
      </w:r>
      <w:r w:rsidRPr="00524471">
        <w:t xml:space="preserve"> inform what is requested below</w:t>
      </w:r>
      <w:r>
        <w:t xml:space="preserve">. </w:t>
      </w:r>
    </w:p>
    <w:p w:rsidR="00D224DC" w:rsidP="00D224DC" w:rsidRDefault="00D224DC" w14:paraId="1E09D5C4" w14:textId="77777777">
      <w:pPr>
        <w:spacing w:line="480" w:lineRule="auto"/>
        <w:ind w:firstLine="720"/>
      </w:pPr>
      <w:r>
        <w:t xml:space="preserve">Respondents must answer </w:t>
      </w:r>
      <w:proofErr w:type="gramStart"/>
      <w:r>
        <w:t>all of</w:t>
      </w:r>
      <w:proofErr w:type="gramEnd"/>
      <w:r>
        <w:t xml:space="preserve"> the questions below.  If a respondent does not have the data available, the respondent must submit a separate statement that explains the reason(s) the respondent does not have the data requested.  If a respondent has significant difficulty in submitting any of the data requested, the OCC will work with the respondent through the appropriate supervisory channels in order to help the respondent comply with this information collection to the extent possible. </w:t>
      </w:r>
    </w:p>
    <w:p w:rsidRPr="004A121F" w:rsidR="00D224DC" w:rsidP="00D224DC" w:rsidRDefault="00D224DC" w14:paraId="7A5A7D31" w14:textId="77777777">
      <w:pPr>
        <w:spacing w:line="480" w:lineRule="auto"/>
        <w:ind w:firstLine="720"/>
      </w:pPr>
      <w:bookmarkStart w:name="_Hlk48364938" w:id="1"/>
      <w:r>
        <w:t>All information should be in a comma delimited file, using the same nomenclature as in the data name field, and dollar values should be in 1000s</w:t>
      </w:r>
      <w:bookmarkEnd w:id="1"/>
      <w:r>
        <w:t xml:space="preserve"> without any comma separators (</w:t>
      </w:r>
      <w:r w:rsidRPr="003962DC">
        <w:rPr>
          <w:i/>
        </w:rPr>
        <w:t>e.g.</w:t>
      </w:r>
      <w:r>
        <w:t xml:space="preserve">, $5,000,000 should be reported as 5000, not 5,000).  </w:t>
      </w:r>
    </w:p>
    <w:p w:rsidR="00D224DC" w:rsidP="00D224DC" w:rsidRDefault="00D224DC" w14:paraId="7C81BB74" w14:textId="77777777">
      <w:pPr>
        <w:spacing w:line="480" w:lineRule="auto"/>
        <w:ind w:firstLine="720"/>
      </w:pPr>
      <w:r>
        <w:t xml:space="preserve"> Standard </w:t>
      </w:r>
      <w:bookmarkStart w:name="_Hlk49257209" w:id="2"/>
      <w:r>
        <w:t xml:space="preserve">Federal Information Processing Standards (FIPS) codes </w:t>
      </w:r>
      <w:bookmarkEnd w:id="2"/>
      <w:r>
        <w:t xml:space="preserve">should be used for geographic data, and the following codes should be used, unless otherwise instructed: </w:t>
      </w:r>
    </w:p>
    <w:p w:rsidR="00D224DC" w:rsidP="00D224DC" w:rsidRDefault="00D224DC" w14:paraId="18015EAF" w14:textId="77777777">
      <w:pPr>
        <w:ind w:left="1440" w:hanging="360"/>
      </w:pPr>
      <w:bookmarkStart w:name="_Hlk48915858" w:id="3"/>
      <w:r>
        <w:rPr>
          <w:rFonts w:ascii="Symbol" w:hAnsi="Symbol"/>
        </w:rPr>
        <w:t></w:t>
      </w:r>
      <w:r>
        <w:rPr>
          <w:rFonts w:ascii="Symbol" w:hAnsi="Symbol"/>
        </w:rPr>
        <w:tab/>
      </w:r>
      <w:r>
        <w:t>-99 – Information not available</w:t>
      </w:r>
    </w:p>
    <w:p w:rsidR="00D224DC" w:rsidP="00D224DC" w:rsidRDefault="00D224DC" w14:paraId="079A17B3" w14:textId="77777777">
      <w:pPr>
        <w:ind w:left="1440" w:hanging="360"/>
      </w:pPr>
      <w:r>
        <w:rPr>
          <w:rFonts w:ascii="Symbol" w:hAnsi="Symbol"/>
        </w:rPr>
        <w:t></w:t>
      </w:r>
      <w:r>
        <w:rPr>
          <w:rFonts w:ascii="Symbol" w:hAnsi="Symbol"/>
        </w:rPr>
        <w:tab/>
      </w:r>
      <w:r>
        <w:t>-98 – Not applicable (</w:t>
      </w:r>
      <w:r>
        <w:rPr>
          <w:i/>
        </w:rPr>
        <w:t>e.g.</w:t>
      </w:r>
      <w:r>
        <w:t>, geographic area is not part of a facility-based assessment area)</w:t>
      </w:r>
    </w:p>
    <w:p w:rsidR="00D224DC" w:rsidP="00D224DC" w:rsidRDefault="00D224DC" w14:paraId="3D8BE360" w14:textId="77777777">
      <w:pPr>
        <w:ind w:left="1440" w:hanging="360"/>
      </w:pPr>
      <w:r w:rsidRPr="002C2473">
        <w:rPr>
          <w:rFonts w:ascii="Symbol" w:hAnsi="Symbol"/>
        </w:rPr>
        <w:t></w:t>
      </w:r>
      <w:r w:rsidRPr="002C2473">
        <w:rPr>
          <w:rFonts w:ascii="Symbol" w:hAnsi="Symbol"/>
        </w:rPr>
        <w:tab/>
      </w:r>
      <w:r w:rsidRPr="002C2473">
        <w:t>-99999 – Not part of a metropolitan statistical area</w:t>
      </w:r>
      <w:r>
        <w:t xml:space="preserve"> (MSA)</w:t>
      </w:r>
      <w:bookmarkEnd w:id="3"/>
    </w:p>
    <w:p w:rsidR="00D224DC" w:rsidP="00D224DC" w:rsidRDefault="00D224DC" w14:paraId="3A9EC04D" w14:textId="77777777">
      <w:pPr>
        <w:spacing w:line="480" w:lineRule="auto"/>
      </w:pPr>
      <w:r w:rsidRPr="002C2473">
        <w:t>For each subsection of th</w:t>
      </w:r>
      <w:r>
        <w:t>is</w:t>
      </w:r>
      <w:r w:rsidRPr="002C2473">
        <w:t xml:space="preserve"> </w:t>
      </w:r>
      <w:r>
        <w:t>i</w:t>
      </w:r>
      <w:r w:rsidRPr="002C2473">
        <w:t xml:space="preserve">nformation </w:t>
      </w:r>
      <w:r>
        <w:t>c</w:t>
      </w:r>
      <w:r w:rsidRPr="002C2473">
        <w:t>ollection, we first describe the data elements requested and then illustrate how the data should be formatted in a table immediately following the text.</w:t>
      </w:r>
    </w:p>
    <w:p w:rsidR="00D224DC" w:rsidP="00D224DC" w:rsidRDefault="00D224DC" w14:paraId="77442F6C" w14:textId="77777777">
      <w:pPr>
        <w:spacing w:line="480" w:lineRule="auto"/>
        <w:rPr>
          <w:i/>
        </w:rPr>
      </w:pPr>
      <w:bookmarkStart w:name="_Hlk47806332" w:id="4"/>
      <w:r>
        <w:t xml:space="preserve">    </w:t>
      </w:r>
      <w:bookmarkStart w:name="_Hlk49257215" w:id="5"/>
      <w:bookmarkEnd w:id="4"/>
      <w:r>
        <w:rPr>
          <w:i/>
        </w:rPr>
        <w:t xml:space="preserve">Retail Domestic Deposit and Assessment Area Data </w:t>
      </w:r>
    </w:p>
    <w:p w:rsidRPr="00520B2E" w:rsidR="00D224DC" w:rsidP="00D224DC" w:rsidRDefault="00D224DC" w14:paraId="0DDC4031" w14:textId="77777777">
      <w:pPr>
        <w:spacing w:line="480" w:lineRule="auto"/>
        <w:ind w:firstLine="720"/>
      </w:pPr>
      <w:r>
        <w:t xml:space="preserve">A bank’s main office, branch, and deposit-taking facility locations and retail domestic deposit data are required to determine its assessment area delineations, performance under the general performance standards, and presumptive ratings in </w:t>
      </w:r>
      <w:r>
        <w:lastRenderedPageBreak/>
        <w:t xml:space="preserve">§§ 25.09 through 25.13 of the final </w:t>
      </w:r>
      <w:proofErr w:type="gramStart"/>
      <w:r>
        <w:t>rule</w:t>
      </w:r>
      <w:proofErr w:type="gramEnd"/>
      <w:r>
        <w:t xml:space="preserve">. The following data will supplement existing data </w:t>
      </w:r>
      <w:r w:rsidRPr="00520B2E">
        <w:t xml:space="preserve">and assist the OCC. </w:t>
      </w:r>
    </w:p>
    <w:p w:rsidRPr="00A71FA3" w:rsidR="00D224DC" w:rsidP="00D224DC" w:rsidRDefault="00D224DC" w14:paraId="55975850" w14:textId="77777777">
      <w:pPr>
        <w:keepNext/>
        <w:spacing w:line="480" w:lineRule="auto"/>
      </w:pPr>
      <w:r>
        <w:t xml:space="preserve">1. </w:t>
      </w:r>
      <w:r>
        <w:tab/>
      </w:r>
      <w:r w:rsidRPr="00A71FA3">
        <w:t xml:space="preserve">What is the bank’s total amount of retail domestic deposits received, by county, for each quarter-end?  As defined in </w:t>
      </w:r>
      <w:bookmarkStart w:name="_Hlk43982938" w:id="6"/>
      <w:r w:rsidRPr="00A71FA3">
        <w:t>§</w:t>
      </w:r>
      <w:bookmarkEnd w:id="6"/>
      <w:r w:rsidRPr="00A71FA3">
        <w:t xml:space="preserve"> 25.03 of the final rule, retail domestic deposits include deposits, as that term is defined in section 3(I) of the Federal Deposit Insurance Act (12 U.S.C. 1813(I)) that are reported on Schedule RC-E, item 1 or item 3, of the Call Report or that are non-brokered “reciprocal deposits” as defined in 12 U.S.C. 1831(f)(i)(2)(E) for the institution sending the non-brokered “reciprocal deposits.”  However, retail domestic deposits do not include deposits that are: (1) obtained, directly or indirectly, from or through the mediation or assistance of a “deposit broker” as that term is defined in section 29 of the Federal Deposit Insurance Act (12 U.S.C. 1831f(g)); (2) originated from an affiliated or non-affiliated broker-dealer sweep transaction; (3) held in a Health Savings Account established in accordance with 26 U.S.C. 223; (4) held in a prepaid card account established in accordance with 12 CFR 1005.1 </w:t>
      </w:r>
      <w:r w:rsidRPr="00A71FA3">
        <w:rPr>
          <w:i/>
        </w:rPr>
        <w:t>et seq.</w:t>
      </w:r>
      <w:r w:rsidRPr="00A71FA3">
        <w:t>; or (5) non-brokered reciprocal deposits as defined in 12 U.S.C. 1831(f)(i)(2)(E) for the institution receiving a non-brokered “reciprocal deposit.”  The county should be assigned based on the accountholder’s physical address, not the location of the branch that accepted the deposit.</w:t>
      </w:r>
    </w:p>
    <w:p w:rsidRPr="00A71FA3" w:rsidR="00D224DC" w:rsidP="00D224DC" w:rsidRDefault="00D224DC" w14:paraId="2A23DDF7" w14:textId="77777777">
      <w:pPr>
        <w:keepNext/>
        <w:spacing w:line="480" w:lineRule="auto"/>
      </w:pPr>
      <w:r>
        <w:t xml:space="preserve">2. </w:t>
      </w:r>
      <w:r>
        <w:tab/>
      </w:r>
      <w:r w:rsidRPr="00A71FA3">
        <w:t xml:space="preserve">Assign and provide a unique numerical identification (ID) to each facility-based or deposit-based assessment area, as defined in the final rule.  As discussed in § 25.09(b) of the final rule, a bank must delineate facility-based assessment areas encompassing the location where the bank maintains its main office, branches, or non-branch deposit-taking </w:t>
      </w:r>
      <w:r w:rsidRPr="00A71FA3">
        <w:lastRenderedPageBreak/>
        <w:t>facilities, other than deposit-taking automated teller machines (ATMs),</w:t>
      </w:r>
      <w:r w:rsidRPr="007C0C1C">
        <w:rPr>
          <w:rStyle w:val="FootnoteReference"/>
        </w:rPr>
        <w:footnoteReference w:id="4"/>
      </w:r>
      <w:r w:rsidRPr="00A71FA3">
        <w:t xml:space="preserve"> as well as the surrounding locations in which the bank has originated or purchased a substantial portion of its loans.  A bank also may, but is not required to, delineate facility-based assessment areas based on its deposit-taking ATMs.</w:t>
      </w:r>
      <w:r w:rsidRPr="00520B2E">
        <w:rPr>
          <w:rStyle w:val="FootnoteReference"/>
        </w:rPr>
        <w:footnoteReference w:id="5"/>
      </w:r>
      <w:r w:rsidRPr="00A71FA3">
        <w:t xml:space="preserve">  Branch, ATM, and non-branch deposit-taking facility are defined in § 25.03 of the final rule.  Facility-based assessment areas will be comprised of one of the following: (1) a whole MSA; (2) the whole nonmetropolitan area of a state; (3) one or more whole, contiguous metropolitan divisions (MD) in a single MSA; or (4) one or more whole, contiguous counties or county equivalents in a single MSA or nonmetropolitan area.  Under § 25.09(c) of the final rule, a bank that receives 50 percent or more of its retail domestic deposits from geographic areas outside of its facility-based assessment areas must delineate separate, non-overlapping assessment areas where it receives five percent or more of its retail domestic deposits. Deposit-based assessment areas will be comprised of one of the following: (1) a whole state; (2) one whole MSA; (3) the whole nonmetropolitan area of a state; (4) one or more whole, contiguous MDs in a single MSA; (5) the remaining geographic area of a state, MSA, nonmetropolitan area, or MD other than where it has a facility-based assessment area; or </w:t>
      </w:r>
      <w:r w:rsidRPr="00A71FA3">
        <w:lastRenderedPageBreak/>
        <w:t xml:space="preserve">(6) one or more whole, contiguous counties or county equivalents in a single MSA or nonmetropolitan area.  </w:t>
      </w:r>
    </w:p>
    <w:p w:rsidRPr="00A71FA3" w:rsidR="00D224DC" w:rsidP="00D224DC" w:rsidRDefault="00D224DC" w14:paraId="3D070B99" w14:textId="77777777">
      <w:pPr>
        <w:keepNext/>
        <w:spacing w:line="480" w:lineRule="auto"/>
      </w:pPr>
      <w:r>
        <w:t xml:space="preserve">3. </w:t>
      </w:r>
      <w:r>
        <w:tab/>
      </w:r>
      <w:r w:rsidRPr="00A71FA3">
        <w:t xml:space="preserve">For the data above, provide county, MD/MSA, and state FIPS codes.  </w:t>
      </w:r>
    </w:p>
    <w:p w:rsidRPr="00A71FA3" w:rsidR="00D224DC" w:rsidP="00D224DC" w:rsidRDefault="00D224DC" w14:paraId="5254AF44" w14:textId="77777777">
      <w:pPr>
        <w:keepNext/>
        <w:spacing w:line="480" w:lineRule="auto"/>
      </w:pPr>
      <w:r>
        <w:t xml:space="preserve">4. </w:t>
      </w:r>
      <w:r>
        <w:tab/>
      </w:r>
      <w:r w:rsidRPr="00A71FA3">
        <w:t>For the data above, report whether there is a main office, branch, deposit-taking ATM, and/or non-branch deposit-taking facility other than an ATM, as detailed in Table</w:t>
      </w:r>
      <w:r>
        <w:t> </w:t>
      </w:r>
      <w:r w:rsidRPr="00A71FA3">
        <w:t xml:space="preserve">1, Columns 5-8. </w:t>
      </w:r>
    </w:p>
    <w:p w:rsidRPr="00A71FA3" w:rsidR="00D224DC" w:rsidP="00D224DC" w:rsidRDefault="00D224DC" w14:paraId="15D4B6DF" w14:textId="77777777">
      <w:pPr>
        <w:keepNext/>
        <w:spacing w:line="480" w:lineRule="auto"/>
      </w:pPr>
      <w:r>
        <w:t xml:space="preserve">5. </w:t>
      </w:r>
      <w:r>
        <w:tab/>
      </w:r>
      <w:r w:rsidRPr="00A71FA3">
        <w:t xml:space="preserve">Are there burdens associated with collecting or reporting the data described in this section of this information collection? </w:t>
      </w:r>
    </w:p>
    <w:bookmarkEnd w:id="5"/>
    <w:p w:rsidR="00D224DC" w:rsidP="00D224DC" w:rsidRDefault="00D224DC" w14:paraId="1C784375" w14:textId="77777777">
      <w:pPr>
        <w:rPr>
          <w:rFonts w:eastAsia="Calibri"/>
          <w:b/>
        </w:rPr>
        <w:sectPr w:rsidR="00D224DC">
          <w:headerReference w:type="default" r:id="rId12"/>
          <w:footerReference w:type="default" r:id="rId13"/>
          <w:pgSz w:w="12240" w:h="15840"/>
          <w:pgMar w:top="1440" w:right="1800" w:bottom="1440" w:left="1800" w:header="720" w:footer="720" w:gutter="0"/>
          <w:cols w:space="720"/>
          <w:docGrid w:linePitch="360"/>
        </w:sectPr>
      </w:pPr>
    </w:p>
    <w:p w:rsidR="00D224DC" w:rsidP="00D224DC" w:rsidRDefault="00D224DC" w14:paraId="4CC0AD0E" w14:textId="77777777">
      <w:pPr>
        <w:rPr>
          <w:rFonts w:eastAsia="Calibri"/>
        </w:rPr>
      </w:pPr>
      <w:r>
        <w:rPr>
          <w:rFonts w:eastAsia="Calibri"/>
          <w:b/>
        </w:rPr>
        <w:lastRenderedPageBreak/>
        <w:t>Table 1, Columns 1-10: Deposit and Assessment Area Data by County, Quarter</w:t>
      </w:r>
      <w:r>
        <w:rPr>
          <w:rFonts w:eastAsia="Calibri"/>
        </w:rPr>
        <w:t xml:space="preserve"> </w:t>
      </w:r>
    </w:p>
    <w:p w:rsidR="00D224DC" w:rsidP="00D224DC" w:rsidRDefault="00D224DC" w14:paraId="16BBCBDA" w14:textId="77777777">
      <w:pPr>
        <w:rPr>
          <w:rFonts w:eastAsia="Calibri"/>
        </w:rPr>
      </w:pPr>
    </w:p>
    <w:p w:rsidR="00D224DC" w:rsidP="00D224DC" w:rsidRDefault="00D224DC" w14:paraId="3D8834E6" w14:textId="77777777"/>
    <w:tbl>
      <w:tblPr>
        <w:tblW w:w="4247" w:type="pct"/>
        <w:tblLook w:val="04A0" w:firstRow="1" w:lastRow="0" w:firstColumn="1" w:lastColumn="0" w:noHBand="0" w:noVBand="1"/>
      </w:tblPr>
      <w:tblGrid>
        <w:gridCol w:w="975"/>
        <w:gridCol w:w="3271"/>
        <w:gridCol w:w="1597"/>
        <w:gridCol w:w="3067"/>
        <w:gridCol w:w="2090"/>
      </w:tblGrid>
      <w:tr w:rsidR="00D224DC" w:rsidTr="00DE5A36" w14:paraId="4BB65DEC" w14:textId="77777777">
        <w:trPr>
          <w:trHeight w:val="285"/>
        </w:trPr>
        <w:tc>
          <w:tcPr>
            <w:tcW w:w="443" w:type="pct"/>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00D224DC" w:rsidP="00DE5A36" w:rsidRDefault="00D224DC" w14:paraId="2D623911" w14:textId="77777777">
            <w:pPr>
              <w:rPr>
                <w:b/>
                <w:bCs/>
                <w:sz w:val="22"/>
                <w:szCs w:val="22"/>
              </w:rPr>
            </w:pPr>
            <w:r>
              <w:rPr>
                <w:b/>
                <w:bCs/>
                <w:sz w:val="22"/>
                <w:szCs w:val="22"/>
              </w:rPr>
              <w:t>Column</w:t>
            </w:r>
          </w:p>
        </w:tc>
        <w:tc>
          <w:tcPr>
            <w:tcW w:w="1487" w:type="pct"/>
            <w:tcBorders>
              <w:top w:val="single" w:color="auto" w:sz="4" w:space="0"/>
              <w:left w:val="nil"/>
              <w:bottom w:val="single" w:color="auto" w:sz="4" w:space="0"/>
              <w:right w:val="single" w:color="auto" w:sz="4" w:space="0"/>
            </w:tcBorders>
            <w:shd w:val="clear" w:color="000000" w:fill="D6DCE4"/>
            <w:noWrap/>
            <w:vAlign w:val="bottom"/>
            <w:hideMark/>
          </w:tcPr>
          <w:p w:rsidR="00D224DC" w:rsidP="00DE5A36" w:rsidRDefault="00D224DC" w14:paraId="2C340F07" w14:textId="77777777">
            <w:pPr>
              <w:rPr>
                <w:b/>
                <w:bCs/>
                <w:sz w:val="22"/>
                <w:szCs w:val="22"/>
              </w:rPr>
            </w:pPr>
            <w:r>
              <w:rPr>
                <w:b/>
                <w:bCs/>
                <w:sz w:val="22"/>
                <w:szCs w:val="22"/>
              </w:rPr>
              <w:t>Data Name</w:t>
            </w:r>
          </w:p>
        </w:tc>
        <w:tc>
          <w:tcPr>
            <w:tcW w:w="726" w:type="pct"/>
            <w:tcBorders>
              <w:top w:val="single" w:color="auto" w:sz="4" w:space="0"/>
              <w:left w:val="nil"/>
              <w:bottom w:val="single" w:color="auto" w:sz="4" w:space="0"/>
              <w:right w:val="single" w:color="auto" w:sz="4" w:space="0"/>
            </w:tcBorders>
            <w:shd w:val="clear" w:color="000000" w:fill="D6DCE4"/>
            <w:noWrap/>
            <w:vAlign w:val="bottom"/>
            <w:hideMark/>
          </w:tcPr>
          <w:p w:rsidR="00D224DC" w:rsidP="00DE5A36" w:rsidRDefault="00D224DC" w14:paraId="64314ED1" w14:textId="77777777">
            <w:pPr>
              <w:rPr>
                <w:b/>
                <w:bCs/>
                <w:sz w:val="22"/>
                <w:szCs w:val="22"/>
              </w:rPr>
            </w:pPr>
            <w:r>
              <w:rPr>
                <w:b/>
                <w:bCs/>
                <w:sz w:val="22"/>
                <w:szCs w:val="22"/>
              </w:rPr>
              <w:t>Format</w:t>
            </w:r>
          </w:p>
        </w:tc>
        <w:tc>
          <w:tcPr>
            <w:tcW w:w="1394" w:type="pct"/>
            <w:tcBorders>
              <w:top w:val="single" w:color="auto" w:sz="4" w:space="0"/>
              <w:left w:val="nil"/>
              <w:bottom w:val="single" w:color="auto" w:sz="4" w:space="0"/>
              <w:right w:val="single" w:color="auto" w:sz="4" w:space="0"/>
            </w:tcBorders>
            <w:shd w:val="clear" w:color="000000" w:fill="D6DCE4"/>
            <w:vAlign w:val="bottom"/>
            <w:hideMark/>
          </w:tcPr>
          <w:p w:rsidR="00D224DC" w:rsidP="00DE5A36" w:rsidRDefault="00D224DC" w14:paraId="52A98882" w14:textId="77777777">
            <w:pPr>
              <w:rPr>
                <w:b/>
                <w:bCs/>
                <w:sz w:val="22"/>
                <w:szCs w:val="22"/>
              </w:rPr>
            </w:pPr>
            <w:r>
              <w:rPr>
                <w:b/>
                <w:bCs/>
                <w:sz w:val="22"/>
                <w:szCs w:val="22"/>
              </w:rPr>
              <w:t>Data Definition</w:t>
            </w:r>
          </w:p>
        </w:tc>
        <w:tc>
          <w:tcPr>
            <w:tcW w:w="950" w:type="pct"/>
            <w:tcBorders>
              <w:top w:val="single" w:color="auto" w:sz="4" w:space="0"/>
              <w:left w:val="nil"/>
              <w:bottom w:val="single" w:color="auto" w:sz="4" w:space="0"/>
              <w:right w:val="single" w:color="auto" w:sz="4" w:space="0"/>
            </w:tcBorders>
            <w:shd w:val="clear" w:color="000000" w:fill="D6DCE4"/>
            <w:vAlign w:val="bottom"/>
            <w:hideMark/>
          </w:tcPr>
          <w:p w:rsidR="00D224DC" w:rsidP="00DE5A36" w:rsidRDefault="00D224DC" w14:paraId="4CE6C23C" w14:textId="77777777">
            <w:pPr>
              <w:rPr>
                <w:b/>
                <w:bCs/>
                <w:sz w:val="22"/>
                <w:szCs w:val="22"/>
              </w:rPr>
            </w:pPr>
            <w:r>
              <w:rPr>
                <w:b/>
                <w:bCs/>
                <w:sz w:val="22"/>
                <w:szCs w:val="22"/>
              </w:rPr>
              <w:t>Comments</w:t>
            </w:r>
          </w:p>
        </w:tc>
      </w:tr>
      <w:tr w:rsidR="00D224DC" w:rsidTr="00DE5A36" w14:paraId="55A0F42A" w14:textId="77777777">
        <w:trPr>
          <w:trHeight w:val="6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E3E16AE" w14:textId="77777777">
            <w:pPr>
              <w:jc w:val="right"/>
              <w:rPr>
                <w:sz w:val="22"/>
                <w:szCs w:val="22"/>
              </w:rPr>
            </w:pPr>
            <w:r>
              <w:rPr>
                <w:sz w:val="22"/>
                <w:szCs w:val="22"/>
              </w:rPr>
              <w:t>1</w:t>
            </w:r>
          </w:p>
        </w:tc>
        <w:tc>
          <w:tcPr>
            <w:tcW w:w="1487"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EF8D2ED" w14:textId="77777777">
            <w:pPr>
              <w:spacing w:line="276" w:lineRule="auto"/>
              <w:rPr>
                <w:sz w:val="22"/>
                <w:szCs w:val="22"/>
              </w:rPr>
            </w:pPr>
            <w:r>
              <w:rPr>
                <w:sz w:val="22"/>
                <w:szCs w:val="22"/>
              </w:rPr>
              <w:t>COUNTY</w:t>
            </w:r>
          </w:p>
        </w:tc>
        <w:tc>
          <w:tcPr>
            <w:tcW w:w="72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AC08D09" w14:textId="77777777">
            <w:pPr>
              <w:rPr>
                <w:sz w:val="22"/>
                <w:szCs w:val="22"/>
              </w:rPr>
            </w:pPr>
            <w:r>
              <w:rPr>
                <w:sz w:val="22"/>
                <w:szCs w:val="22"/>
              </w:rPr>
              <w:t>String</w:t>
            </w:r>
          </w:p>
        </w:tc>
        <w:tc>
          <w:tcPr>
            <w:tcW w:w="1394"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7EF8249" w14:textId="77777777">
            <w:pPr>
              <w:rPr>
                <w:sz w:val="22"/>
                <w:szCs w:val="22"/>
              </w:rPr>
            </w:pPr>
            <w:r>
              <w:rPr>
                <w:sz w:val="22"/>
                <w:szCs w:val="22"/>
              </w:rPr>
              <w:t>County FIPS</w:t>
            </w:r>
          </w:p>
        </w:tc>
        <w:tc>
          <w:tcPr>
            <w:tcW w:w="950"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A661991" w14:textId="77777777">
            <w:pPr>
              <w:rPr>
                <w:sz w:val="22"/>
                <w:szCs w:val="22"/>
              </w:rPr>
            </w:pPr>
            <w:r>
              <w:rPr>
                <w:sz w:val="22"/>
                <w:szCs w:val="22"/>
              </w:rPr>
              <w:t xml:space="preserve">County FIPS code (3-digit), </w:t>
            </w:r>
            <w:r w:rsidRPr="003962DC">
              <w:rPr>
                <w:i/>
                <w:sz w:val="22"/>
              </w:rPr>
              <w:t>e.g.</w:t>
            </w:r>
            <w:r>
              <w:rPr>
                <w:sz w:val="22"/>
                <w:szCs w:val="22"/>
              </w:rPr>
              <w:t>, report 201 if Harris County, TX.</w:t>
            </w:r>
          </w:p>
          <w:p w:rsidR="00D224DC" w:rsidP="00DE5A36" w:rsidRDefault="00D224DC" w14:paraId="59EF8A7E" w14:textId="77777777">
            <w:pPr>
              <w:rPr>
                <w:sz w:val="22"/>
                <w:szCs w:val="22"/>
              </w:rPr>
            </w:pPr>
            <w:r>
              <w:rPr>
                <w:sz w:val="22"/>
                <w:szCs w:val="22"/>
              </w:rPr>
              <w:t>Use leading zeros if the FIPS code is less than 3-digit number.</w:t>
            </w:r>
          </w:p>
        </w:tc>
      </w:tr>
      <w:tr w:rsidR="00D224DC" w:rsidTr="00DE5A36" w14:paraId="328F2B12" w14:textId="77777777">
        <w:trPr>
          <w:trHeight w:val="6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AC3DAC8" w14:textId="77777777">
            <w:pPr>
              <w:jc w:val="right"/>
              <w:rPr>
                <w:sz w:val="22"/>
                <w:szCs w:val="22"/>
              </w:rPr>
            </w:pPr>
            <w:r>
              <w:rPr>
                <w:sz w:val="22"/>
                <w:szCs w:val="22"/>
              </w:rPr>
              <w:t>2</w:t>
            </w:r>
          </w:p>
        </w:tc>
        <w:tc>
          <w:tcPr>
            <w:tcW w:w="1487"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6ACF73B" w14:textId="77777777">
            <w:pPr>
              <w:spacing w:line="276" w:lineRule="auto"/>
              <w:rPr>
                <w:sz w:val="22"/>
                <w:szCs w:val="22"/>
              </w:rPr>
            </w:pPr>
            <w:r>
              <w:rPr>
                <w:sz w:val="22"/>
                <w:szCs w:val="22"/>
              </w:rPr>
              <w:t>MD_MSA</w:t>
            </w:r>
          </w:p>
        </w:tc>
        <w:tc>
          <w:tcPr>
            <w:tcW w:w="72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49584B4" w14:textId="77777777">
            <w:pPr>
              <w:rPr>
                <w:sz w:val="22"/>
                <w:szCs w:val="22"/>
              </w:rPr>
            </w:pPr>
            <w:r>
              <w:rPr>
                <w:sz w:val="22"/>
                <w:szCs w:val="22"/>
              </w:rPr>
              <w:t>String</w:t>
            </w:r>
          </w:p>
        </w:tc>
        <w:tc>
          <w:tcPr>
            <w:tcW w:w="1394"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710A0F1" w14:textId="77777777">
            <w:pPr>
              <w:rPr>
                <w:sz w:val="22"/>
                <w:szCs w:val="22"/>
              </w:rPr>
            </w:pPr>
            <w:r>
              <w:rPr>
                <w:sz w:val="22"/>
                <w:szCs w:val="22"/>
              </w:rPr>
              <w:t>MD/MSA</w:t>
            </w:r>
          </w:p>
        </w:tc>
        <w:tc>
          <w:tcPr>
            <w:tcW w:w="950"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3FB1630" w14:textId="77777777">
            <w:pPr>
              <w:rPr>
                <w:sz w:val="22"/>
                <w:szCs w:val="22"/>
              </w:rPr>
            </w:pPr>
            <w:r>
              <w:rPr>
                <w:sz w:val="22"/>
                <w:szCs w:val="22"/>
              </w:rPr>
              <w:t xml:space="preserve">MD/MSA code (5-digit), </w:t>
            </w:r>
            <w:r w:rsidRPr="003962DC">
              <w:rPr>
                <w:i/>
                <w:sz w:val="22"/>
              </w:rPr>
              <w:t>e.g.</w:t>
            </w:r>
            <w:r>
              <w:rPr>
                <w:sz w:val="22"/>
                <w:szCs w:val="22"/>
              </w:rPr>
              <w:t>, report 26420 if Houston-The Woodlands-Sugar Land, TX.</w:t>
            </w:r>
          </w:p>
        </w:tc>
      </w:tr>
      <w:tr w:rsidR="00D224DC" w:rsidTr="00DE5A36" w14:paraId="0EC625D8" w14:textId="77777777">
        <w:trPr>
          <w:trHeight w:val="6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39742024" w14:textId="77777777">
            <w:pPr>
              <w:jc w:val="right"/>
              <w:rPr>
                <w:sz w:val="22"/>
                <w:szCs w:val="22"/>
              </w:rPr>
            </w:pPr>
            <w:r>
              <w:rPr>
                <w:sz w:val="22"/>
                <w:szCs w:val="22"/>
              </w:rPr>
              <w:t>3</w:t>
            </w:r>
          </w:p>
        </w:tc>
        <w:tc>
          <w:tcPr>
            <w:tcW w:w="1487"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701CD4F" w14:textId="77777777">
            <w:pPr>
              <w:spacing w:line="276" w:lineRule="auto"/>
              <w:rPr>
                <w:sz w:val="22"/>
                <w:szCs w:val="22"/>
              </w:rPr>
            </w:pPr>
            <w:r>
              <w:rPr>
                <w:sz w:val="22"/>
                <w:szCs w:val="22"/>
              </w:rPr>
              <w:t>STATE</w:t>
            </w:r>
          </w:p>
        </w:tc>
        <w:tc>
          <w:tcPr>
            <w:tcW w:w="72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B2E2D6F" w14:textId="77777777">
            <w:pPr>
              <w:rPr>
                <w:sz w:val="22"/>
                <w:szCs w:val="22"/>
              </w:rPr>
            </w:pPr>
            <w:r>
              <w:rPr>
                <w:sz w:val="22"/>
                <w:szCs w:val="22"/>
              </w:rPr>
              <w:t>String</w:t>
            </w:r>
          </w:p>
        </w:tc>
        <w:tc>
          <w:tcPr>
            <w:tcW w:w="1394"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591DE15" w14:textId="77777777">
            <w:pPr>
              <w:rPr>
                <w:sz w:val="22"/>
                <w:szCs w:val="22"/>
              </w:rPr>
            </w:pPr>
            <w:r>
              <w:rPr>
                <w:sz w:val="22"/>
                <w:szCs w:val="22"/>
              </w:rPr>
              <w:t>State FIPS</w:t>
            </w:r>
          </w:p>
        </w:tc>
        <w:tc>
          <w:tcPr>
            <w:tcW w:w="950"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8018E8B" w14:textId="77777777">
            <w:pPr>
              <w:rPr>
                <w:sz w:val="22"/>
                <w:szCs w:val="22"/>
              </w:rPr>
            </w:pPr>
            <w:r>
              <w:rPr>
                <w:sz w:val="22"/>
                <w:szCs w:val="22"/>
              </w:rPr>
              <w:t xml:space="preserve">State FIPS code (2-digit), </w:t>
            </w:r>
            <w:r w:rsidRPr="003962DC">
              <w:rPr>
                <w:i/>
                <w:sz w:val="22"/>
              </w:rPr>
              <w:t>e.g.</w:t>
            </w:r>
            <w:r>
              <w:rPr>
                <w:sz w:val="22"/>
                <w:szCs w:val="22"/>
              </w:rPr>
              <w:t>, report 48 if Harris County, TX. Use leading zeros if the State FIPS code is less than a 2-digit number.</w:t>
            </w:r>
          </w:p>
        </w:tc>
      </w:tr>
      <w:tr w:rsidR="00D224DC" w:rsidTr="00DE5A36" w14:paraId="0F6615C9" w14:textId="77777777">
        <w:trPr>
          <w:trHeight w:val="12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62A67D8C" w14:textId="77777777">
            <w:pPr>
              <w:jc w:val="right"/>
              <w:rPr>
                <w:sz w:val="22"/>
                <w:szCs w:val="22"/>
              </w:rPr>
            </w:pPr>
            <w:r>
              <w:rPr>
                <w:sz w:val="22"/>
                <w:szCs w:val="22"/>
              </w:rPr>
              <w:t>4</w:t>
            </w:r>
          </w:p>
        </w:tc>
        <w:tc>
          <w:tcPr>
            <w:tcW w:w="1487"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82B58E6" w14:textId="77777777">
            <w:pPr>
              <w:spacing w:line="276" w:lineRule="auto"/>
              <w:rPr>
                <w:sz w:val="22"/>
                <w:szCs w:val="22"/>
              </w:rPr>
            </w:pPr>
            <w:r>
              <w:rPr>
                <w:sz w:val="22"/>
                <w:szCs w:val="22"/>
              </w:rPr>
              <w:t>AA_ID</w:t>
            </w:r>
          </w:p>
        </w:tc>
        <w:tc>
          <w:tcPr>
            <w:tcW w:w="72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1FE3EC2" w14:textId="77777777">
            <w:pPr>
              <w:rPr>
                <w:sz w:val="22"/>
                <w:szCs w:val="22"/>
              </w:rPr>
            </w:pPr>
            <w:r>
              <w:rPr>
                <w:sz w:val="22"/>
                <w:szCs w:val="22"/>
              </w:rPr>
              <w:t>String</w:t>
            </w:r>
          </w:p>
        </w:tc>
        <w:tc>
          <w:tcPr>
            <w:tcW w:w="1394"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1BA4BBB" w14:textId="77777777">
            <w:pPr>
              <w:rPr>
                <w:sz w:val="22"/>
                <w:szCs w:val="22"/>
              </w:rPr>
            </w:pPr>
            <w:r>
              <w:rPr>
                <w:sz w:val="22"/>
                <w:szCs w:val="22"/>
              </w:rPr>
              <w:t>Facility-based or deposit-based assessment area number</w:t>
            </w:r>
          </w:p>
        </w:tc>
        <w:tc>
          <w:tcPr>
            <w:tcW w:w="950"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2F801B3" w14:textId="77777777">
            <w:pPr>
              <w:rPr>
                <w:sz w:val="22"/>
                <w:szCs w:val="22"/>
              </w:rPr>
            </w:pPr>
            <w:r>
              <w:rPr>
                <w:sz w:val="22"/>
                <w:szCs w:val="22"/>
              </w:rPr>
              <w:t xml:space="preserve">Numeric indicator, created by the bank, that uniquely identifies each facility-based or deposit-based assessment area. Use leading zeros if the assessment area is </w:t>
            </w:r>
            <w:r>
              <w:rPr>
                <w:sz w:val="22"/>
                <w:szCs w:val="22"/>
              </w:rPr>
              <w:lastRenderedPageBreak/>
              <w:t>less than a 3-digit number.  Use code -98 if a county is not in a facility-based assessment area.</w:t>
            </w:r>
          </w:p>
        </w:tc>
      </w:tr>
      <w:tr w:rsidR="00D224DC" w:rsidTr="00DE5A36" w14:paraId="7D51013E" w14:textId="77777777">
        <w:trPr>
          <w:trHeight w:val="6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A5E66C2" w14:textId="77777777">
            <w:pPr>
              <w:jc w:val="right"/>
              <w:rPr>
                <w:sz w:val="22"/>
                <w:szCs w:val="22"/>
              </w:rPr>
            </w:pPr>
            <w:r>
              <w:rPr>
                <w:sz w:val="22"/>
                <w:szCs w:val="22"/>
              </w:rPr>
              <w:lastRenderedPageBreak/>
              <w:t>5</w:t>
            </w:r>
          </w:p>
        </w:tc>
        <w:tc>
          <w:tcPr>
            <w:tcW w:w="1487"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298F6CB" w14:textId="77777777">
            <w:pPr>
              <w:spacing w:line="276" w:lineRule="auto"/>
              <w:rPr>
                <w:sz w:val="22"/>
                <w:szCs w:val="22"/>
              </w:rPr>
            </w:pPr>
            <w:r>
              <w:rPr>
                <w:sz w:val="22"/>
                <w:szCs w:val="22"/>
              </w:rPr>
              <w:t xml:space="preserve">BRANCH_IND  </w:t>
            </w:r>
          </w:p>
        </w:tc>
        <w:tc>
          <w:tcPr>
            <w:tcW w:w="72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140AD2C" w14:textId="77777777">
            <w:pPr>
              <w:rPr>
                <w:sz w:val="22"/>
                <w:szCs w:val="22"/>
              </w:rPr>
            </w:pPr>
            <w:r>
              <w:rPr>
                <w:sz w:val="22"/>
                <w:szCs w:val="22"/>
              </w:rPr>
              <w:t>String</w:t>
            </w:r>
          </w:p>
        </w:tc>
        <w:tc>
          <w:tcPr>
            <w:tcW w:w="1394"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94072AF" w14:textId="77777777">
            <w:pPr>
              <w:rPr>
                <w:sz w:val="22"/>
                <w:szCs w:val="22"/>
              </w:rPr>
            </w:pPr>
            <w:r>
              <w:rPr>
                <w:sz w:val="22"/>
                <w:szCs w:val="22"/>
              </w:rPr>
              <w:t>Branch indicator</w:t>
            </w:r>
          </w:p>
        </w:tc>
        <w:tc>
          <w:tcPr>
            <w:tcW w:w="950"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87C8D9A" w14:textId="77777777">
            <w:pPr>
              <w:rPr>
                <w:sz w:val="22"/>
                <w:szCs w:val="22"/>
              </w:rPr>
            </w:pPr>
            <w:r>
              <w:rPr>
                <w:sz w:val="22"/>
                <w:szCs w:val="22"/>
              </w:rPr>
              <w:t>1 if there is a branch in this facility-based assessment area; 0 if otherwise.</w:t>
            </w:r>
          </w:p>
        </w:tc>
      </w:tr>
      <w:tr w:rsidR="00D224DC" w:rsidTr="00DE5A36" w14:paraId="51B4EBDC" w14:textId="77777777">
        <w:trPr>
          <w:trHeight w:val="6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7A99F7C" w14:textId="77777777">
            <w:pPr>
              <w:jc w:val="right"/>
              <w:rPr>
                <w:sz w:val="22"/>
                <w:szCs w:val="22"/>
              </w:rPr>
            </w:pPr>
            <w:r>
              <w:rPr>
                <w:sz w:val="22"/>
                <w:szCs w:val="22"/>
              </w:rPr>
              <w:t>6</w:t>
            </w:r>
          </w:p>
        </w:tc>
        <w:tc>
          <w:tcPr>
            <w:tcW w:w="1487"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1582A8B" w14:textId="77777777">
            <w:pPr>
              <w:spacing w:line="276" w:lineRule="auto"/>
              <w:rPr>
                <w:sz w:val="22"/>
                <w:szCs w:val="22"/>
              </w:rPr>
            </w:pPr>
            <w:r>
              <w:rPr>
                <w:sz w:val="22"/>
                <w:szCs w:val="22"/>
              </w:rPr>
              <w:t>MO_IND</w:t>
            </w:r>
          </w:p>
        </w:tc>
        <w:tc>
          <w:tcPr>
            <w:tcW w:w="72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E64EFD0" w14:textId="77777777">
            <w:pPr>
              <w:rPr>
                <w:sz w:val="22"/>
                <w:szCs w:val="22"/>
              </w:rPr>
            </w:pPr>
            <w:r>
              <w:rPr>
                <w:sz w:val="22"/>
                <w:szCs w:val="22"/>
              </w:rPr>
              <w:t>String</w:t>
            </w:r>
          </w:p>
        </w:tc>
        <w:tc>
          <w:tcPr>
            <w:tcW w:w="1394"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150C5D2" w14:textId="77777777">
            <w:pPr>
              <w:rPr>
                <w:sz w:val="22"/>
                <w:szCs w:val="22"/>
              </w:rPr>
            </w:pPr>
            <w:r>
              <w:rPr>
                <w:sz w:val="22"/>
                <w:szCs w:val="22"/>
              </w:rPr>
              <w:t>Main office indicator</w:t>
            </w:r>
          </w:p>
        </w:tc>
        <w:tc>
          <w:tcPr>
            <w:tcW w:w="950"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2C1D92A" w14:textId="77777777">
            <w:pPr>
              <w:rPr>
                <w:sz w:val="22"/>
                <w:szCs w:val="22"/>
              </w:rPr>
            </w:pPr>
            <w:r>
              <w:rPr>
                <w:sz w:val="22"/>
                <w:szCs w:val="22"/>
              </w:rPr>
              <w:t>1 if the main office is in this facility-based assessment area; 0 if otherwise.</w:t>
            </w:r>
          </w:p>
        </w:tc>
      </w:tr>
      <w:tr w:rsidR="00D224DC" w:rsidTr="00DE5A36" w14:paraId="334A2757" w14:textId="77777777">
        <w:trPr>
          <w:trHeight w:val="6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4C93B54" w14:textId="77777777">
            <w:pPr>
              <w:jc w:val="right"/>
              <w:rPr>
                <w:sz w:val="22"/>
                <w:szCs w:val="22"/>
              </w:rPr>
            </w:pPr>
            <w:r>
              <w:rPr>
                <w:sz w:val="22"/>
                <w:szCs w:val="22"/>
              </w:rPr>
              <w:t>7</w:t>
            </w:r>
          </w:p>
        </w:tc>
        <w:tc>
          <w:tcPr>
            <w:tcW w:w="1487"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6F5C847" w14:textId="77777777">
            <w:pPr>
              <w:spacing w:line="276" w:lineRule="auto"/>
              <w:rPr>
                <w:sz w:val="22"/>
                <w:szCs w:val="22"/>
              </w:rPr>
            </w:pPr>
            <w:r>
              <w:rPr>
                <w:sz w:val="22"/>
                <w:szCs w:val="22"/>
              </w:rPr>
              <w:t>DEPOSITATM_IND</w:t>
            </w:r>
          </w:p>
        </w:tc>
        <w:tc>
          <w:tcPr>
            <w:tcW w:w="72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E111F90" w14:textId="77777777">
            <w:pPr>
              <w:rPr>
                <w:sz w:val="22"/>
                <w:szCs w:val="22"/>
              </w:rPr>
            </w:pPr>
            <w:r>
              <w:rPr>
                <w:sz w:val="22"/>
                <w:szCs w:val="22"/>
              </w:rPr>
              <w:t>String</w:t>
            </w:r>
          </w:p>
        </w:tc>
        <w:tc>
          <w:tcPr>
            <w:tcW w:w="1394"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1F4B3FF" w14:textId="77777777">
            <w:pPr>
              <w:rPr>
                <w:sz w:val="22"/>
                <w:szCs w:val="22"/>
              </w:rPr>
            </w:pPr>
            <w:r>
              <w:rPr>
                <w:sz w:val="22"/>
                <w:szCs w:val="22"/>
              </w:rPr>
              <w:t>Deposit-taking ATM indicator</w:t>
            </w:r>
          </w:p>
        </w:tc>
        <w:tc>
          <w:tcPr>
            <w:tcW w:w="950"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3AA31EE" w14:textId="77777777">
            <w:pPr>
              <w:rPr>
                <w:sz w:val="22"/>
                <w:szCs w:val="22"/>
              </w:rPr>
            </w:pPr>
            <w:r>
              <w:rPr>
                <w:sz w:val="22"/>
                <w:szCs w:val="22"/>
              </w:rPr>
              <w:t>1 if there is a deposit-taking ATM in this facility-based assessment area; 0 if otherwise.</w:t>
            </w:r>
          </w:p>
        </w:tc>
      </w:tr>
      <w:tr w:rsidR="00D224DC" w:rsidTr="00DE5A36" w14:paraId="6BC0326B" w14:textId="77777777">
        <w:trPr>
          <w:trHeight w:val="6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3ED41111" w14:textId="77777777">
            <w:pPr>
              <w:jc w:val="right"/>
              <w:rPr>
                <w:sz w:val="22"/>
                <w:szCs w:val="22"/>
              </w:rPr>
            </w:pPr>
            <w:r>
              <w:rPr>
                <w:sz w:val="22"/>
                <w:szCs w:val="22"/>
              </w:rPr>
              <w:t>8</w:t>
            </w:r>
          </w:p>
        </w:tc>
        <w:tc>
          <w:tcPr>
            <w:tcW w:w="1487"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89F988F" w14:textId="77777777">
            <w:pPr>
              <w:spacing w:line="276" w:lineRule="auto"/>
              <w:rPr>
                <w:sz w:val="22"/>
                <w:szCs w:val="22"/>
              </w:rPr>
            </w:pPr>
            <w:r>
              <w:rPr>
                <w:sz w:val="22"/>
                <w:szCs w:val="22"/>
              </w:rPr>
              <w:t>NONBRANCH_DEPFAC_IND</w:t>
            </w:r>
          </w:p>
        </w:tc>
        <w:tc>
          <w:tcPr>
            <w:tcW w:w="72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DAC888E" w14:textId="77777777">
            <w:pPr>
              <w:rPr>
                <w:sz w:val="22"/>
                <w:szCs w:val="22"/>
              </w:rPr>
            </w:pPr>
            <w:r>
              <w:rPr>
                <w:sz w:val="22"/>
                <w:szCs w:val="22"/>
              </w:rPr>
              <w:t>String</w:t>
            </w:r>
          </w:p>
        </w:tc>
        <w:tc>
          <w:tcPr>
            <w:tcW w:w="1394"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EFF8AEC" w14:textId="77777777">
            <w:pPr>
              <w:rPr>
                <w:sz w:val="22"/>
                <w:szCs w:val="22"/>
              </w:rPr>
            </w:pPr>
            <w:r>
              <w:rPr>
                <w:sz w:val="22"/>
                <w:szCs w:val="22"/>
              </w:rPr>
              <w:t xml:space="preserve">Indicator for non-branch deposit-taking facility other than ATM </w:t>
            </w:r>
          </w:p>
        </w:tc>
        <w:tc>
          <w:tcPr>
            <w:tcW w:w="950"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C8169AE" w14:textId="77777777">
            <w:pPr>
              <w:rPr>
                <w:sz w:val="22"/>
                <w:szCs w:val="22"/>
              </w:rPr>
            </w:pPr>
            <w:r>
              <w:rPr>
                <w:sz w:val="22"/>
                <w:szCs w:val="22"/>
              </w:rPr>
              <w:t>1 if there is a non-branch deposit-taking facility that is not an ATM; 0 if otherwise.</w:t>
            </w:r>
          </w:p>
        </w:tc>
      </w:tr>
      <w:tr w:rsidR="00D224DC" w:rsidTr="00DE5A36" w14:paraId="3D464CFB" w14:textId="77777777">
        <w:trPr>
          <w:trHeight w:val="18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475B1687" w14:textId="77777777">
            <w:pPr>
              <w:jc w:val="right"/>
              <w:rPr>
                <w:sz w:val="22"/>
                <w:szCs w:val="22"/>
              </w:rPr>
            </w:pPr>
            <w:r>
              <w:rPr>
                <w:sz w:val="22"/>
                <w:szCs w:val="22"/>
              </w:rPr>
              <w:t>9</w:t>
            </w:r>
          </w:p>
        </w:tc>
        <w:tc>
          <w:tcPr>
            <w:tcW w:w="1487"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C7C0300" w14:textId="77777777">
            <w:pPr>
              <w:spacing w:line="276" w:lineRule="auto"/>
              <w:rPr>
                <w:sz w:val="22"/>
                <w:szCs w:val="22"/>
              </w:rPr>
            </w:pPr>
            <w:r>
              <w:rPr>
                <w:sz w:val="22"/>
                <w:szCs w:val="22"/>
              </w:rPr>
              <w:t>QUARTERYEAR</w:t>
            </w:r>
          </w:p>
        </w:tc>
        <w:tc>
          <w:tcPr>
            <w:tcW w:w="72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C8BD532" w14:textId="77777777">
            <w:pPr>
              <w:rPr>
                <w:sz w:val="22"/>
                <w:szCs w:val="22"/>
              </w:rPr>
            </w:pPr>
            <w:r>
              <w:rPr>
                <w:sz w:val="22"/>
                <w:szCs w:val="22"/>
              </w:rPr>
              <w:t xml:space="preserve">Alpha-numeric </w:t>
            </w:r>
          </w:p>
        </w:tc>
        <w:tc>
          <w:tcPr>
            <w:tcW w:w="1394"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B7E897F" w14:textId="77777777">
            <w:pPr>
              <w:rPr>
                <w:sz w:val="22"/>
                <w:szCs w:val="22"/>
              </w:rPr>
            </w:pPr>
            <w:r>
              <w:rPr>
                <w:sz w:val="22"/>
                <w:szCs w:val="22"/>
              </w:rPr>
              <w:t xml:space="preserve">Quarter-end/year </w:t>
            </w:r>
          </w:p>
        </w:tc>
        <w:tc>
          <w:tcPr>
            <w:tcW w:w="950"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06DBF06" w14:textId="77777777">
            <w:pPr>
              <w:rPr>
                <w:sz w:val="22"/>
                <w:szCs w:val="22"/>
              </w:rPr>
            </w:pPr>
            <w:r>
              <w:rPr>
                <w:sz w:val="22"/>
                <w:szCs w:val="22"/>
              </w:rPr>
              <w:t xml:space="preserve">Specify date of data snapshot, </w:t>
            </w:r>
            <w:r w:rsidRPr="003962DC">
              <w:rPr>
                <w:i/>
                <w:sz w:val="22"/>
              </w:rPr>
              <w:t>e.g.</w:t>
            </w:r>
            <w:r>
              <w:rPr>
                <w:sz w:val="22"/>
                <w:szCs w:val="22"/>
              </w:rPr>
              <w:t>, as reported on Q4 call report.                                 Q1YYYY if Jan1–March30 of YYYY;</w:t>
            </w:r>
            <w:r>
              <w:rPr>
                <w:sz w:val="22"/>
                <w:szCs w:val="22"/>
              </w:rPr>
              <w:br/>
              <w:t>Q2YYYY if April 1–June 30 of YYYY;</w:t>
            </w:r>
            <w:r>
              <w:rPr>
                <w:sz w:val="22"/>
                <w:szCs w:val="22"/>
              </w:rPr>
              <w:br/>
              <w:t>Q3YYYY if July1–</w:t>
            </w:r>
            <w:r>
              <w:rPr>
                <w:sz w:val="22"/>
                <w:szCs w:val="22"/>
              </w:rPr>
              <w:lastRenderedPageBreak/>
              <w:t>Sept 30 of YYYY; or</w:t>
            </w:r>
            <w:r>
              <w:rPr>
                <w:sz w:val="22"/>
                <w:szCs w:val="22"/>
              </w:rPr>
              <w:br/>
              <w:t>Q4YYYY if Oct1–Dec 31 of YYYY.</w:t>
            </w:r>
          </w:p>
        </w:tc>
      </w:tr>
      <w:tr w:rsidR="00D224DC" w:rsidTr="00DE5A36" w14:paraId="57841D23" w14:textId="77777777">
        <w:trPr>
          <w:trHeight w:val="9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4D040024" w14:textId="77777777">
            <w:pPr>
              <w:jc w:val="right"/>
              <w:rPr>
                <w:sz w:val="22"/>
                <w:szCs w:val="22"/>
              </w:rPr>
            </w:pPr>
            <w:r>
              <w:rPr>
                <w:sz w:val="22"/>
                <w:szCs w:val="22"/>
              </w:rPr>
              <w:lastRenderedPageBreak/>
              <w:t>10</w:t>
            </w:r>
          </w:p>
        </w:tc>
        <w:tc>
          <w:tcPr>
            <w:tcW w:w="1487"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D863F71" w14:textId="77777777">
            <w:pPr>
              <w:spacing w:line="276" w:lineRule="auto"/>
              <w:rPr>
                <w:sz w:val="22"/>
                <w:szCs w:val="22"/>
              </w:rPr>
            </w:pPr>
            <w:r>
              <w:rPr>
                <w:sz w:val="22"/>
                <w:szCs w:val="22"/>
              </w:rPr>
              <w:t>DEPOSITS</w:t>
            </w:r>
          </w:p>
        </w:tc>
        <w:tc>
          <w:tcPr>
            <w:tcW w:w="72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23CAE24" w14:textId="77777777">
            <w:pPr>
              <w:rPr>
                <w:sz w:val="22"/>
                <w:szCs w:val="22"/>
              </w:rPr>
            </w:pPr>
            <w:r>
              <w:rPr>
                <w:sz w:val="22"/>
                <w:szCs w:val="22"/>
              </w:rPr>
              <w:t>Numeric</w:t>
            </w:r>
          </w:p>
        </w:tc>
        <w:tc>
          <w:tcPr>
            <w:tcW w:w="1394"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CF1579F" w14:textId="77777777">
            <w:pPr>
              <w:rPr>
                <w:sz w:val="22"/>
                <w:szCs w:val="22"/>
              </w:rPr>
            </w:pPr>
            <w:r>
              <w:rPr>
                <w:sz w:val="22"/>
                <w:szCs w:val="22"/>
              </w:rPr>
              <w:t xml:space="preserve">Quarter-end total retail domestic deposits received from the county in dollars. </w:t>
            </w:r>
          </w:p>
        </w:tc>
        <w:tc>
          <w:tcPr>
            <w:tcW w:w="950"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1BB3F9D" w14:textId="77777777">
            <w:pPr>
              <w:rPr>
                <w:sz w:val="22"/>
                <w:szCs w:val="22"/>
              </w:rPr>
            </w:pPr>
            <w:r>
              <w:rPr>
                <w:sz w:val="22"/>
                <w:szCs w:val="22"/>
              </w:rPr>
              <w:t xml:space="preserve">County should be assigned based on the depositor's physical home address; Reported in thousands of dollars. </w:t>
            </w:r>
          </w:p>
        </w:tc>
      </w:tr>
    </w:tbl>
    <w:p w:rsidR="00D224DC" w:rsidP="00D224DC" w:rsidRDefault="00D224DC" w14:paraId="025E9CEA" w14:textId="77777777">
      <w:pPr>
        <w:spacing w:line="480" w:lineRule="auto"/>
        <w:rPr>
          <w:i/>
        </w:rPr>
        <w:sectPr w:rsidR="00D224DC" w:rsidSect="006C3FF9">
          <w:pgSz w:w="15840" w:h="12240" w:orient="landscape"/>
          <w:pgMar w:top="1800" w:right="1440" w:bottom="1800" w:left="1440" w:header="720" w:footer="720" w:gutter="0"/>
          <w:cols w:space="720"/>
          <w:docGrid w:linePitch="360"/>
        </w:sectPr>
      </w:pPr>
    </w:p>
    <w:p w:rsidRPr="00DA4B20" w:rsidR="00D224DC" w:rsidP="00D224DC" w:rsidRDefault="00D224DC" w14:paraId="02B65E48" w14:textId="77777777">
      <w:pPr>
        <w:spacing w:line="480" w:lineRule="auto"/>
        <w:rPr>
          <w:rFonts w:eastAsiaTheme="minorHAnsi"/>
          <w:i/>
        </w:rPr>
      </w:pPr>
      <w:r w:rsidRPr="00DA4B20">
        <w:rPr>
          <w:i/>
        </w:rPr>
        <w:lastRenderedPageBreak/>
        <w:t xml:space="preserve">Total Qualifying Activities </w:t>
      </w:r>
    </w:p>
    <w:p w:rsidRPr="00DA4B20" w:rsidR="00D224DC" w:rsidP="00D224DC" w:rsidRDefault="00D224DC" w14:paraId="294B9626" w14:textId="77777777">
      <w:pPr>
        <w:spacing w:line="480" w:lineRule="auto"/>
        <w:ind w:firstLine="720"/>
      </w:pPr>
      <w:r w:rsidRPr="00DA4B20">
        <w:t>As discussed in the final rule and this information collection, the dollar value of a bank’s qualifying activities is required to determine the CRA evaluation measure under §</w:t>
      </w:r>
      <w:r>
        <w:t> </w:t>
      </w:r>
      <w:r w:rsidRPr="00DA4B20">
        <w:t>25.11</w:t>
      </w:r>
      <w:r>
        <w:t xml:space="preserve"> of the final rule</w:t>
      </w:r>
      <w:r w:rsidRPr="00DA4B20">
        <w:t>, which in turn determines a bank’s presumptive ratings under § 25.13</w:t>
      </w:r>
      <w:r>
        <w:t xml:space="preserve"> of the final rule</w:t>
      </w:r>
      <w:r w:rsidRPr="00DA4B20">
        <w:t xml:space="preserve">. </w:t>
      </w:r>
      <w:r>
        <w:t xml:space="preserve"> </w:t>
      </w:r>
      <w:r w:rsidRPr="00DA4B20">
        <w:t xml:space="preserve">The following data will supplement existing data and assist the OCC. </w:t>
      </w:r>
      <w:r w:rsidRPr="00DA4B20">
        <w:rPr>
          <w:b/>
        </w:rPr>
        <w:t xml:space="preserve">  </w:t>
      </w:r>
    </w:p>
    <w:p w:rsidRPr="00A71FA3" w:rsidR="00D224DC" w:rsidP="00D224DC" w:rsidRDefault="00D224DC" w14:paraId="53CBFDCD" w14:textId="77777777">
      <w:pPr>
        <w:spacing w:line="480" w:lineRule="auto"/>
      </w:pPr>
      <w:r>
        <w:rPr>
          <w:color w:val="000000" w:themeColor="text1"/>
        </w:rPr>
        <w:t xml:space="preserve">6. </w:t>
      </w:r>
      <w:r>
        <w:rPr>
          <w:color w:val="000000" w:themeColor="text1"/>
        </w:rPr>
        <w:tab/>
      </w:r>
      <w:r w:rsidRPr="00A71FA3">
        <w:rPr>
          <w:color w:val="000000" w:themeColor="text1"/>
        </w:rPr>
        <w:t xml:space="preserve">Calculate and report the sum, at the county level, </w:t>
      </w:r>
      <w:r w:rsidRPr="00A71FA3">
        <w:t xml:space="preserve">of the quantified dollar value </w:t>
      </w:r>
      <w:r w:rsidRPr="00A71FA3">
        <w:rPr>
          <w:color w:val="000000" w:themeColor="text1"/>
        </w:rPr>
        <w:t>of all quarter-end balances for each type of qualifying loan or CD investment held on the balance sheet.  Calculate and report the sum of the quantified dollar value, at the county level, for other CD investments (</w:t>
      </w:r>
      <w:r w:rsidRPr="00A71FA3">
        <w:rPr>
          <w:i/>
          <w:color w:val="000000" w:themeColor="text1"/>
        </w:rPr>
        <w:t>i.e.</w:t>
      </w:r>
      <w:r w:rsidRPr="00A71FA3">
        <w:rPr>
          <w:color w:val="000000" w:themeColor="text1"/>
        </w:rPr>
        <w:t xml:space="preserve">, CD investment funds that are quantified under </w:t>
      </w:r>
      <w:r w:rsidRPr="00A71FA3">
        <w:t xml:space="preserve">§ 25.07(d)(3) of the final rule and </w:t>
      </w:r>
      <w:r w:rsidRPr="00A71FA3">
        <w:rPr>
          <w:color w:val="000000" w:themeColor="text1"/>
        </w:rPr>
        <w:t xml:space="preserve">monetary and in-kind donations) and CD services made or provided in each quarter.  </w:t>
      </w:r>
      <w:r w:rsidRPr="00A71FA3">
        <w:t xml:space="preserve">For each activity, determine the county pursuant to § 25.24 of the final rule.  Note that the quantified dollar value does not include multipliers. The OCC will apply the multipliers, where feasible and as applicable. </w:t>
      </w:r>
      <w:r w:rsidRPr="00A71FA3">
        <w:rPr>
          <w:color w:val="000000" w:themeColor="text1"/>
        </w:rPr>
        <w:t xml:space="preserve">Exclude any retail loans sold within 365 days of origination by the bank. </w:t>
      </w:r>
      <w:r w:rsidRPr="00A71FA3">
        <w:t>Qualifying activity</w:t>
      </w:r>
      <w:r w:rsidRPr="00A71FA3">
        <w:rPr>
          <w:i/>
        </w:rPr>
        <w:t xml:space="preserve"> </w:t>
      </w:r>
      <w:r w:rsidRPr="00A71FA3">
        <w:t xml:space="preserve">means an activity that meets the criteria in § 25.04 of the final rule. Qualifying activities include qualifying loans, CD investments, and CD services. Qualifying loan means a retail loan, as defined in § 25.03 of the final rule, that meets the criteria in § 25.04(b) of the final rule or a CD loan, as defined in § 25.03 of the final rule.  Section 25.03 of the final rule defines a retail loan as a home mortgage loan, small loan to a business, small loan to a farm, or consumer loan; each of these loans is defined in § 25.03 of the final rule.  In particular, “consumer loan” means a loan reported on the Call Report, Schedule RC-C, Loans and Lease Financing Receivables, Part 1, Item 6, Loans to individuals for household, family, and </w:t>
      </w:r>
      <w:r w:rsidRPr="00A71FA3">
        <w:lastRenderedPageBreak/>
        <w:t>other personal expenditures other than overdraft plans, that is an automobile loan, other revolving credit plan, or other consumer loan; credit cards are not included.  CD investments and CD services are also defined in § 25.03 of the final rule.  Section 25.07 of the final rule provides information on how to calculate the quantified dollar value of qualifying activities.  The quantified dollar value of a partially qualifying activity includes only the portion of the activity that is qualifying.  Qualifying activities should be attributed to locations based on § 25.24 of the final rule, which provides information on how to determine a qualifying activity’s location.  For example, § 25.24(b) of the final rule requires banks to allocate credit for CD activities in two ways: (1) to an assessment area within a broader area served by an activity if the bank can document the services or funding it provided was allocated to a particular project that is within or serves the assessment area; or if that cannot be documented (2) across all of the areas served by the activity, according to the share of the bank’s deposits in those areas, treating the bank’s deposits in the region served by the activity as if they were all of the bank’s deposits.</w:t>
      </w:r>
    </w:p>
    <w:p w:rsidRPr="00A71FA3" w:rsidR="00D224DC" w:rsidP="00D224DC" w:rsidRDefault="00D224DC" w14:paraId="53D4770A" w14:textId="77777777">
      <w:pPr>
        <w:spacing w:line="480" w:lineRule="auto"/>
      </w:pPr>
      <w:r>
        <w:t xml:space="preserve">7. </w:t>
      </w:r>
      <w:r>
        <w:tab/>
      </w:r>
      <w:r w:rsidRPr="00A71FA3">
        <w:t>Calculate and report the sum, at the county level, of the quantified dollar value of all quarter-end balances for each type of retail loan generated by branches in LMI tracts.</w:t>
      </w:r>
      <w:r>
        <w:rPr>
          <w:rStyle w:val="FootnoteReference"/>
        </w:rPr>
        <w:footnoteReference w:id="6"/>
      </w:r>
      <w:r w:rsidRPr="00A71FA3">
        <w:t xml:space="preserve"> </w:t>
      </w:r>
    </w:p>
    <w:p w:rsidRPr="00A71FA3" w:rsidR="00D224DC" w:rsidP="00D224DC" w:rsidRDefault="00D224DC" w14:paraId="18E7A51C" w14:textId="77777777">
      <w:pPr>
        <w:spacing w:line="480" w:lineRule="auto"/>
      </w:pPr>
      <w:r>
        <w:rPr>
          <w:rFonts w:eastAsia="Calibri"/>
        </w:rPr>
        <w:t xml:space="preserve">8. </w:t>
      </w:r>
      <w:r>
        <w:rPr>
          <w:rFonts w:eastAsia="Calibri"/>
        </w:rPr>
        <w:tab/>
      </w:r>
      <w:r w:rsidRPr="00A71FA3">
        <w:rPr>
          <w:rFonts w:eastAsia="Calibri"/>
        </w:rPr>
        <w:t xml:space="preserve">For Table 1, Columns 11-14 and 27-30, </w:t>
      </w:r>
      <w:bookmarkStart w:name="_Hlk46394216" w:id="7"/>
      <w:r w:rsidRPr="00A71FA3">
        <w:rPr>
          <w:rFonts w:eastAsia="Calibri"/>
        </w:rPr>
        <w:t>please include the mortgage and consumer loans only if the borrower income status is available</w:t>
      </w:r>
      <w:bookmarkEnd w:id="7"/>
      <w:r w:rsidRPr="00A71FA3">
        <w:rPr>
          <w:rFonts w:eastAsia="Calibri"/>
        </w:rPr>
        <w:t xml:space="preserve"> or the loan </w:t>
      </w:r>
      <w:proofErr w:type="gramStart"/>
      <w:r w:rsidRPr="00A71FA3">
        <w:rPr>
          <w:rFonts w:eastAsia="Calibri"/>
        </w:rPr>
        <w:t>is located in</w:t>
      </w:r>
      <w:proofErr w:type="gramEnd"/>
      <w:r w:rsidRPr="00A71FA3">
        <w:rPr>
          <w:rFonts w:eastAsia="Calibri"/>
        </w:rPr>
        <w:t xml:space="preserve"> Indian country or other tribal and native lands. </w:t>
      </w:r>
    </w:p>
    <w:p w:rsidRPr="00A71FA3" w:rsidR="00D224DC" w:rsidP="00D224DC" w:rsidRDefault="00D224DC" w14:paraId="09B5DAEC" w14:textId="77777777">
      <w:pPr>
        <w:spacing w:line="480" w:lineRule="auto"/>
      </w:pPr>
      <w:r>
        <w:t xml:space="preserve">9. </w:t>
      </w:r>
      <w:r>
        <w:tab/>
      </w:r>
      <w:r w:rsidRPr="00A71FA3">
        <w:t>Are there burdens associated with collecting or reporting the data described in this section of this information collection?</w:t>
      </w:r>
    </w:p>
    <w:p w:rsidR="00D224DC" w:rsidP="00D224DC" w:rsidRDefault="00D224DC" w14:paraId="209C489B" w14:textId="77777777">
      <w:pPr>
        <w:rPr>
          <w:b/>
          <w:bCs/>
        </w:rPr>
        <w:sectPr w:rsidR="00D224DC">
          <w:pgSz w:w="12240" w:h="15840"/>
          <w:pgMar w:top="1440" w:right="1800" w:bottom="1440" w:left="1800" w:header="720" w:footer="720" w:gutter="0"/>
          <w:cols w:space="720"/>
          <w:docGrid w:linePitch="360"/>
        </w:sectPr>
      </w:pPr>
    </w:p>
    <w:p w:rsidR="00D224DC" w:rsidP="00D224DC" w:rsidRDefault="00D224DC" w14:paraId="269A36FB" w14:textId="77777777">
      <w:pPr>
        <w:rPr>
          <w:rFonts w:eastAsia="Calibri"/>
        </w:rPr>
      </w:pPr>
      <w:r>
        <w:rPr>
          <w:b/>
          <w:bCs/>
        </w:rPr>
        <w:lastRenderedPageBreak/>
        <w:t>Table 1, Columns 11</w:t>
      </w:r>
      <w:r w:rsidRPr="00C27EA4">
        <w:rPr>
          <w:b/>
          <w:bCs/>
        </w:rPr>
        <w:t>-</w:t>
      </w:r>
      <w:r>
        <w:rPr>
          <w:b/>
          <w:bCs/>
        </w:rPr>
        <w:t xml:space="preserve">51: The Quarter-End Quantified Dollar Value of Qualifying Activities </w:t>
      </w:r>
      <w:r>
        <w:rPr>
          <w:rFonts w:eastAsia="Calibri"/>
          <w:b/>
        </w:rPr>
        <w:t>by County, Quarter</w:t>
      </w:r>
      <w:r>
        <w:rPr>
          <w:rFonts w:eastAsia="Calibri"/>
        </w:rPr>
        <w:t xml:space="preserve"> </w:t>
      </w:r>
    </w:p>
    <w:p w:rsidR="00D224DC" w:rsidP="00D224DC" w:rsidRDefault="00D224DC" w14:paraId="053BF867" w14:textId="77777777">
      <w:pPr>
        <w:rPr>
          <w:rFonts w:eastAsia="Calibri"/>
        </w:rPr>
      </w:pPr>
    </w:p>
    <w:p w:rsidRPr="00417D2E" w:rsidR="00D224DC" w:rsidP="00D224DC" w:rsidRDefault="00D224DC" w14:paraId="68B54A40" w14:textId="77777777">
      <w:pPr>
        <w:rPr>
          <w:rFonts w:eastAsia="Calibri"/>
        </w:rPr>
      </w:pPr>
      <w:r>
        <w:rPr>
          <w:rFonts w:eastAsia="Calibri"/>
        </w:rPr>
        <w:t xml:space="preserve">Note: </w:t>
      </w:r>
      <w:r>
        <w:t xml:space="preserve">For the qualifying activities, report the county-level quantified dollar value of the balances for </w:t>
      </w:r>
      <w:r w:rsidRPr="002C2473">
        <w:t>each</w:t>
      </w:r>
      <w:r>
        <w:t xml:space="preserve"> type of activity below.</w:t>
      </w:r>
    </w:p>
    <w:p w:rsidR="00D224DC" w:rsidP="00D224DC" w:rsidRDefault="00D224DC" w14:paraId="0DEE7A5B" w14:textId="77777777">
      <w:pPr>
        <w:rPr>
          <w:rFonts w:eastAsia="Calibri"/>
        </w:rPr>
      </w:pPr>
      <w:r>
        <w:rPr>
          <w:rFonts w:eastAsia="Calibri"/>
        </w:rPr>
        <w:t xml:space="preserve">Only calculate the dollar value of qualifying retail loans not originated and sold within 365 days. </w:t>
      </w:r>
    </w:p>
    <w:p w:rsidR="00D224DC" w:rsidP="00D224DC" w:rsidRDefault="00D224DC" w14:paraId="10D8A744" w14:textId="77777777"/>
    <w:tbl>
      <w:tblPr>
        <w:tblW w:w="4493" w:type="pct"/>
        <w:tblLook w:val="04A0" w:firstRow="1" w:lastRow="0" w:firstColumn="1" w:lastColumn="0" w:noHBand="0" w:noVBand="1"/>
      </w:tblPr>
      <w:tblGrid>
        <w:gridCol w:w="974"/>
        <w:gridCol w:w="4361"/>
        <w:gridCol w:w="1115"/>
        <w:gridCol w:w="3912"/>
        <w:gridCol w:w="1275"/>
      </w:tblGrid>
      <w:tr w:rsidR="00D224DC" w:rsidTr="00DE5A36" w14:paraId="68B70AFF" w14:textId="77777777">
        <w:trPr>
          <w:trHeight w:val="285"/>
        </w:trPr>
        <w:tc>
          <w:tcPr>
            <w:tcW w:w="418" w:type="pct"/>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00D224DC" w:rsidP="00DE5A36" w:rsidRDefault="00D224DC" w14:paraId="629583A3" w14:textId="77777777">
            <w:pPr>
              <w:rPr>
                <w:b/>
                <w:bCs/>
                <w:sz w:val="22"/>
                <w:szCs w:val="22"/>
              </w:rPr>
            </w:pPr>
            <w:r>
              <w:rPr>
                <w:b/>
                <w:bCs/>
                <w:sz w:val="22"/>
                <w:szCs w:val="22"/>
              </w:rPr>
              <w:t>Column</w:t>
            </w:r>
          </w:p>
        </w:tc>
        <w:tc>
          <w:tcPr>
            <w:tcW w:w="1874" w:type="pct"/>
            <w:tcBorders>
              <w:top w:val="single" w:color="auto" w:sz="4" w:space="0"/>
              <w:left w:val="nil"/>
              <w:bottom w:val="single" w:color="auto" w:sz="4" w:space="0"/>
              <w:right w:val="single" w:color="auto" w:sz="4" w:space="0"/>
            </w:tcBorders>
            <w:shd w:val="clear" w:color="000000" w:fill="D6DCE4"/>
            <w:noWrap/>
            <w:vAlign w:val="bottom"/>
            <w:hideMark/>
          </w:tcPr>
          <w:p w:rsidR="00D224DC" w:rsidP="00DE5A36" w:rsidRDefault="00D224DC" w14:paraId="1CE7FD4D" w14:textId="77777777">
            <w:pPr>
              <w:rPr>
                <w:b/>
                <w:bCs/>
                <w:sz w:val="22"/>
                <w:szCs w:val="22"/>
              </w:rPr>
            </w:pPr>
            <w:r>
              <w:rPr>
                <w:b/>
                <w:bCs/>
                <w:sz w:val="22"/>
                <w:szCs w:val="22"/>
              </w:rPr>
              <w:t>Data Name</w:t>
            </w:r>
          </w:p>
        </w:tc>
        <w:tc>
          <w:tcPr>
            <w:tcW w:w="479" w:type="pct"/>
            <w:tcBorders>
              <w:top w:val="single" w:color="auto" w:sz="4" w:space="0"/>
              <w:left w:val="nil"/>
              <w:bottom w:val="single" w:color="auto" w:sz="4" w:space="0"/>
              <w:right w:val="single" w:color="auto" w:sz="4" w:space="0"/>
            </w:tcBorders>
            <w:shd w:val="clear" w:color="000000" w:fill="D6DCE4"/>
            <w:noWrap/>
            <w:vAlign w:val="bottom"/>
            <w:hideMark/>
          </w:tcPr>
          <w:p w:rsidR="00D224DC" w:rsidP="00DE5A36" w:rsidRDefault="00D224DC" w14:paraId="0AED3AD5" w14:textId="77777777">
            <w:pPr>
              <w:rPr>
                <w:b/>
                <w:bCs/>
                <w:sz w:val="22"/>
                <w:szCs w:val="22"/>
              </w:rPr>
            </w:pPr>
            <w:r>
              <w:rPr>
                <w:b/>
                <w:bCs/>
                <w:sz w:val="22"/>
                <w:szCs w:val="22"/>
              </w:rPr>
              <w:t>Format</w:t>
            </w:r>
          </w:p>
        </w:tc>
        <w:tc>
          <w:tcPr>
            <w:tcW w:w="1681" w:type="pct"/>
            <w:tcBorders>
              <w:top w:val="single" w:color="auto" w:sz="4" w:space="0"/>
              <w:left w:val="nil"/>
              <w:bottom w:val="single" w:color="auto" w:sz="4" w:space="0"/>
              <w:right w:val="single" w:color="auto" w:sz="4" w:space="0"/>
            </w:tcBorders>
            <w:shd w:val="clear" w:color="000000" w:fill="D6DCE4"/>
            <w:vAlign w:val="bottom"/>
            <w:hideMark/>
          </w:tcPr>
          <w:p w:rsidR="00D224DC" w:rsidP="00DE5A36" w:rsidRDefault="00D224DC" w14:paraId="49F6B846" w14:textId="77777777">
            <w:pPr>
              <w:rPr>
                <w:b/>
                <w:bCs/>
                <w:sz w:val="22"/>
                <w:szCs w:val="22"/>
              </w:rPr>
            </w:pPr>
            <w:r>
              <w:rPr>
                <w:b/>
                <w:bCs/>
                <w:sz w:val="22"/>
                <w:szCs w:val="22"/>
              </w:rPr>
              <w:t>Data Definition</w:t>
            </w:r>
          </w:p>
        </w:tc>
        <w:tc>
          <w:tcPr>
            <w:tcW w:w="548" w:type="pct"/>
            <w:tcBorders>
              <w:top w:val="single" w:color="auto" w:sz="4" w:space="0"/>
              <w:left w:val="nil"/>
              <w:bottom w:val="single" w:color="auto" w:sz="4" w:space="0"/>
              <w:right w:val="single" w:color="auto" w:sz="4" w:space="0"/>
            </w:tcBorders>
            <w:shd w:val="clear" w:color="000000" w:fill="D6DCE4"/>
            <w:vAlign w:val="bottom"/>
            <w:hideMark/>
          </w:tcPr>
          <w:p w:rsidR="00D224DC" w:rsidP="00DE5A36" w:rsidRDefault="00D224DC" w14:paraId="1908266E" w14:textId="77777777">
            <w:pPr>
              <w:rPr>
                <w:b/>
                <w:bCs/>
                <w:sz w:val="22"/>
                <w:szCs w:val="22"/>
              </w:rPr>
            </w:pPr>
            <w:r>
              <w:rPr>
                <w:b/>
                <w:bCs/>
                <w:sz w:val="22"/>
                <w:szCs w:val="22"/>
              </w:rPr>
              <w:t>Comments</w:t>
            </w:r>
          </w:p>
        </w:tc>
      </w:tr>
      <w:tr w:rsidR="00D224DC" w:rsidTr="00DE5A36" w14:paraId="0478A425"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12DCBF3" w14:textId="77777777">
            <w:pPr>
              <w:jc w:val="right"/>
              <w:rPr>
                <w:sz w:val="22"/>
                <w:szCs w:val="22"/>
              </w:rPr>
            </w:pPr>
            <w:r>
              <w:rPr>
                <w:sz w:val="22"/>
                <w:szCs w:val="22"/>
              </w:rPr>
              <w:t>11</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4F61805" w14:textId="77777777">
            <w:pPr>
              <w:spacing w:line="276" w:lineRule="auto"/>
              <w:rPr>
                <w:sz w:val="22"/>
                <w:szCs w:val="22"/>
              </w:rPr>
            </w:pPr>
            <w:r>
              <w:rPr>
                <w:sz w:val="22"/>
                <w:szCs w:val="22"/>
              </w:rPr>
              <w:t>MTG_BAL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004637D"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3698CEC" w14:textId="77777777">
            <w:pPr>
              <w:rPr>
                <w:sz w:val="22"/>
                <w:szCs w:val="22"/>
              </w:rPr>
            </w:pPr>
            <w:r>
              <w:rPr>
                <w:sz w:val="22"/>
                <w:szCs w:val="22"/>
              </w:rPr>
              <w:t>Quarter-end, county-level sum of the quantified dollar value of balances of qualifying home mortgages, excluding those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35023C3" w14:textId="77777777">
            <w:pPr>
              <w:rPr>
                <w:sz w:val="22"/>
                <w:szCs w:val="22"/>
              </w:rPr>
            </w:pPr>
            <w:r>
              <w:rPr>
                <w:sz w:val="22"/>
                <w:szCs w:val="22"/>
              </w:rPr>
              <w:t xml:space="preserve">Reported in thousands of dollars. </w:t>
            </w:r>
          </w:p>
        </w:tc>
      </w:tr>
      <w:tr w:rsidR="00D224DC" w:rsidTr="00DE5A36" w14:paraId="4F460CDB"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33DCAAD" w14:textId="77777777">
            <w:pPr>
              <w:jc w:val="right"/>
              <w:rPr>
                <w:sz w:val="22"/>
                <w:szCs w:val="22"/>
              </w:rPr>
            </w:pPr>
            <w:r>
              <w:rPr>
                <w:sz w:val="22"/>
                <w:szCs w:val="22"/>
              </w:rPr>
              <w:t>12</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4952146" w14:textId="77777777">
            <w:pPr>
              <w:spacing w:line="276" w:lineRule="auto"/>
              <w:rPr>
                <w:sz w:val="22"/>
                <w:szCs w:val="22"/>
              </w:rPr>
            </w:pPr>
            <w:r>
              <w:rPr>
                <w:sz w:val="22"/>
                <w:szCs w:val="22"/>
              </w:rPr>
              <w:t>AUTO_BAL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82A266A"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4107BE3" w14:textId="77777777">
            <w:pPr>
              <w:rPr>
                <w:sz w:val="22"/>
                <w:szCs w:val="22"/>
              </w:rPr>
            </w:pPr>
            <w:r>
              <w:rPr>
                <w:sz w:val="22"/>
                <w:szCs w:val="22"/>
              </w:rPr>
              <w:t>Quarter-end, county-level sum of the quantified dollar value of balances of qualifying auto loans, excluding those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76D82F7" w14:textId="77777777">
            <w:pPr>
              <w:rPr>
                <w:sz w:val="22"/>
                <w:szCs w:val="22"/>
              </w:rPr>
            </w:pPr>
            <w:r>
              <w:rPr>
                <w:sz w:val="22"/>
                <w:szCs w:val="22"/>
              </w:rPr>
              <w:t xml:space="preserve">Reported in thousands of dollars. </w:t>
            </w:r>
          </w:p>
        </w:tc>
      </w:tr>
      <w:tr w:rsidR="00D224DC" w:rsidTr="00DE5A36" w14:paraId="33149F6B" w14:textId="77777777">
        <w:trPr>
          <w:trHeight w:val="18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4D680034" w14:textId="77777777">
            <w:pPr>
              <w:jc w:val="right"/>
              <w:rPr>
                <w:sz w:val="22"/>
                <w:szCs w:val="22"/>
              </w:rPr>
            </w:pPr>
            <w:r>
              <w:rPr>
                <w:sz w:val="22"/>
                <w:szCs w:val="22"/>
              </w:rPr>
              <w:t>13</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9DCB225" w14:textId="77777777">
            <w:pPr>
              <w:spacing w:line="276" w:lineRule="auto"/>
              <w:rPr>
                <w:sz w:val="22"/>
                <w:szCs w:val="22"/>
              </w:rPr>
            </w:pPr>
            <w:r>
              <w:rPr>
                <w:sz w:val="22"/>
                <w:szCs w:val="22"/>
              </w:rPr>
              <w:t>OTHER_RCP_BAL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2AAF476"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370FD20" w14:textId="77777777">
            <w:pPr>
              <w:rPr>
                <w:sz w:val="22"/>
                <w:szCs w:val="22"/>
              </w:rPr>
            </w:pPr>
            <w:r>
              <w:rPr>
                <w:sz w:val="22"/>
                <w:szCs w:val="22"/>
              </w:rPr>
              <w:t>Quarter-end, county-level sum of the quantified dollar value of balances of qualifying other revolving credit plans, excluding other revolving credit plans sold within 365 days of origination by the bank and any overdraft plans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0AB9F8C" w14:textId="77777777">
            <w:pPr>
              <w:rPr>
                <w:sz w:val="22"/>
                <w:szCs w:val="22"/>
              </w:rPr>
            </w:pPr>
            <w:r>
              <w:rPr>
                <w:sz w:val="22"/>
                <w:szCs w:val="22"/>
              </w:rPr>
              <w:t xml:space="preserve">Reported in thousands of dollars. </w:t>
            </w:r>
          </w:p>
        </w:tc>
      </w:tr>
      <w:tr w:rsidR="00D224DC" w:rsidTr="00DE5A36" w14:paraId="5D6F98A2" w14:textId="77777777">
        <w:trPr>
          <w:trHeight w:val="18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39349261" w14:textId="77777777">
            <w:pPr>
              <w:jc w:val="right"/>
              <w:rPr>
                <w:sz w:val="22"/>
                <w:szCs w:val="22"/>
              </w:rPr>
            </w:pPr>
            <w:r>
              <w:rPr>
                <w:sz w:val="22"/>
                <w:szCs w:val="22"/>
              </w:rPr>
              <w:t>14</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0E06A28" w14:textId="77777777">
            <w:pPr>
              <w:spacing w:line="276" w:lineRule="auto"/>
              <w:rPr>
                <w:sz w:val="22"/>
                <w:szCs w:val="22"/>
              </w:rPr>
            </w:pPr>
            <w:r>
              <w:rPr>
                <w:sz w:val="22"/>
                <w:szCs w:val="22"/>
              </w:rPr>
              <w:t>OTHER_CONS_BAL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C554EFC"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FC3D3D7" w14:textId="77777777">
            <w:pPr>
              <w:rPr>
                <w:sz w:val="22"/>
                <w:szCs w:val="22"/>
              </w:rPr>
            </w:pPr>
            <w:r>
              <w:rPr>
                <w:sz w:val="22"/>
                <w:szCs w:val="22"/>
              </w:rPr>
              <w:t>Quarter-end, county-level sum of the quantified dollar value of balances of qualifying other consumer loans, excluding other consumer loans sold within 365 days of origination by the bank and any credit cards or overdrafts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6A2C514" w14:textId="77777777">
            <w:pPr>
              <w:rPr>
                <w:sz w:val="22"/>
                <w:szCs w:val="22"/>
              </w:rPr>
            </w:pPr>
            <w:r>
              <w:rPr>
                <w:sz w:val="22"/>
                <w:szCs w:val="22"/>
              </w:rPr>
              <w:t xml:space="preserve">Reported in thousands of dollars. </w:t>
            </w:r>
          </w:p>
        </w:tc>
      </w:tr>
      <w:tr w:rsidR="00D224DC" w:rsidTr="00DE5A36" w14:paraId="074774CE" w14:textId="77777777">
        <w:trPr>
          <w:trHeight w:val="21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D3F6F2C" w14:textId="77777777">
            <w:pPr>
              <w:jc w:val="right"/>
              <w:rPr>
                <w:sz w:val="22"/>
                <w:szCs w:val="22"/>
              </w:rPr>
            </w:pPr>
            <w:r>
              <w:rPr>
                <w:sz w:val="22"/>
                <w:szCs w:val="22"/>
              </w:rPr>
              <w:lastRenderedPageBreak/>
              <w:t>15</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598A92D" w14:textId="77777777">
            <w:pPr>
              <w:spacing w:line="276" w:lineRule="auto"/>
              <w:rPr>
                <w:sz w:val="22"/>
                <w:szCs w:val="22"/>
              </w:rPr>
            </w:pPr>
            <w:r>
              <w:rPr>
                <w:sz w:val="22"/>
                <w:szCs w:val="22"/>
              </w:rPr>
              <w:t>BUS_BAL1_LMITRACT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C9EF40B"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9053BE4" w14:textId="77777777">
            <w:pPr>
              <w:rPr>
                <w:sz w:val="22"/>
                <w:szCs w:val="22"/>
              </w:rPr>
            </w:pPr>
            <w:r>
              <w:rPr>
                <w:sz w:val="22"/>
                <w:szCs w:val="22"/>
              </w:rPr>
              <w:t xml:space="preserve">Quarter-end, county-level sum of the quantified dollar value of balances of qualifying loans up to $1 million to businesses in LMI census tracts, Indian country, or </w:t>
            </w:r>
            <w:r w:rsidRPr="0099784E">
              <w:rPr>
                <w:sz w:val="22"/>
                <w:szCs w:val="22"/>
              </w:rPr>
              <w:t>other tribal and native lands</w:t>
            </w:r>
            <w:r>
              <w:rPr>
                <w:sz w:val="22"/>
                <w:szCs w:val="22"/>
              </w:rPr>
              <w:t xml:space="preserve"> 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8D750E6" w14:textId="77777777">
            <w:pPr>
              <w:rPr>
                <w:sz w:val="22"/>
                <w:szCs w:val="22"/>
              </w:rPr>
            </w:pPr>
            <w:r>
              <w:rPr>
                <w:sz w:val="22"/>
                <w:szCs w:val="22"/>
              </w:rPr>
              <w:t xml:space="preserve">Reported in thousands of dollars. </w:t>
            </w:r>
          </w:p>
        </w:tc>
      </w:tr>
      <w:tr w:rsidR="00D224DC" w:rsidTr="00DE5A36" w14:paraId="6AAB6D00" w14:textId="77777777">
        <w:trPr>
          <w:trHeight w:val="21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B58AFDE" w14:textId="77777777">
            <w:pPr>
              <w:jc w:val="right"/>
              <w:rPr>
                <w:sz w:val="22"/>
                <w:szCs w:val="22"/>
              </w:rPr>
            </w:pPr>
            <w:r>
              <w:rPr>
                <w:sz w:val="22"/>
                <w:szCs w:val="22"/>
              </w:rPr>
              <w:t>16</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45FB7DA" w14:textId="77777777">
            <w:pPr>
              <w:spacing w:line="276" w:lineRule="auto"/>
              <w:rPr>
                <w:sz w:val="22"/>
                <w:szCs w:val="22"/>
              </w:rPr>
            </w:pPr>
            <w:r>
              <w:rPr>
                <w:sz w:val="22"/>
                <w:szCs w:val="22"/>
              </w:rPr>
              <w:t>BUS_BAL2_LMITRACT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71D2F18"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5A459CC" w14:textId="77777777">
            <w:pPr>
              <w:rPr>
                <w:sz w:val="22"/>
                <w:szCs w:val="22"/>
              </w:rPr>
            </w:pPr>
            <w:r>
              <w:rPr>
                <w:sz w:val="22"/>
                <w:szCs w:val="22"/>
              </w:rPr>
              <w:t xml:space="preserve">Quarter-end, county-level sum of the quantified dollar value of balances of qualifying loans above $1 million and up to $1.6 million to businesses in LMI census tracts, Indian country, or </w:t>
            </w:r>
            <w:r w:rsidRPr="0099784E">
              <w:rPr>
                <w:sz w:val="22"/>
                <w:szCs w:val="22"/>
              </w:rPr>
              <w:t>other tribal and native lands</w:t>
            </w:r>
            <w:r w:rsidRPr="0099784E" w:rsidDel="0099784E">
              <w:rPr>
                <w:sz w:val="22"/>
                <w:szCs w:val="22"/>
              </w:rPr>
              <w:t xml:space="preserve"> </w:t>
            </w:r>
            <w:r>
              <w:rPr>
                <w:sz w:val="22"/>
                <w:szCs w:val="22"/>
              </w:rPr>
              <w:t>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D15DC26" w14:textId="77777777">
            <w:pPr>
              <w:rPr>
                <w:sz w:val="22"/>
                <w:szCs w:val="22"/>
              </w:rPr>
            </w:pPr>
            <w:r>
              <w:rPr>
                <w:sz w:val="22"/>
                <w:szCs w:val="22"/>
              </w:rPr>
              <w:t xml:space="preserve">Reported in thousands of dollars. </w:t>
            </w:r>
          </w:p>
        </w:tc>
      </w:tr>
      <w:tr w:rsidR="00D224DC" w:rsidTr="00DE5A36" w14:paraId="238B0536" w14:textId="77777777">
        <w:trPr>
          <w:trHeight w:val="21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4D8198FA" w14:textId="77777777">
            <w:pPr>
              <w:jc w:val="right"/>
              <w:rPr>
                <w:sz w:val="22"/>
                <w:szCs w:val="22"/>
              </w:rPr>
            </w:pPr>
            <w:r>
              <w:rPr>
                <w:sz w:val="22"/>
                <w:szCs w:val="22"/>
              </w:rPr>
              <w:t>17</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FD691F2" w14:textId="77777777">
            <w:pPr>
              <w:spacing w:line="276" w:lineRule="auto"/>
              <w:rPr>
                <w:sz w:val="22"/>
                <w:szCs w:val="22"/>
              </w:rPr>
            </w:pPr>
            <w:r>
              <w:rPr>
                <w:sz w:val="22"/>
                <w:szCs w:val="22"/>
              </w:rPr>
              <w:t>FARM_BAL1_LMITRACT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5A9FD07"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55CE928" w14:textId="77777777">
            <w:pPr>
              <w:rPr>
                <w:sz w:val="22"/>
                <w:szCs w:val="22"/>
              </w:rPr>
            </w:pPr>
            <w:r>
              <w:rPr>
                <w:sz w:val="22"/>
                <w:szCs w:val="22"/>
              </w:rPr>
              <w:t xml:space="preserve">Quarter-end, county-level sum of the quantified dollar value of balances of qualifying loans up to $500,000 to farms in LMI census tracts, Indian country, or </w:t>
            </w:r>
            <w:r w:rsidRPr="0099784E">
              <w:rPr>
                <w:sz w:val="22"/>
                <w:szCs w:val="22"/>
              </w:rPr>
              <w:t>other tribal and native lands</w:t>
            </w:r>
            <w:r w:rsidRPr="0099784E" w:rsidDel="0099784E">
              <w:rPr>
                <w:sz w:val="22"/>
                <w:szCs w:val="22"/>
              </w:rPr>
              <w:t xml:space="preserve"> </w:t>
            </w:r>
            <w:r>
              <w:rPr>
                <w:sz w:val="22"/>
                <w:szCs w:val="22"/>
              </w:rPr>
              <w:t>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86987CA" w14:textId="77777777">
            <w:pPr>
              <w:rPr>
                <w:sz w:val="22"/>
                <w:szCs w:val="22"/>
              </w:rPr>
            </w:pPr>
            <w:r>
              <w:rPr>
                <w:sz w:val="22"/>
                <w:szCs w:val="22"/>
              </w:rPr>
              <w:t xml:space="preserve">Reported in thousands of dollars. </w:t>
            </w:r>
          </w:p>
        </w:tc>
      </w:tr>
      <w:tr w:rsidR="00D224DC" w:rsidTr="00DE5A36" w14:paraId="104AAB83" w14:textId="77777777">
        <w:trPr>
          <w:trHeight w:val="21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7539E45" w14:textId="77777777">
            <w:pPr>
              <w:jc w:val="right"/>
              <w:rPr>
                <w:sz w:val="22"/>
                <w:szCs w:val="22"/>
              </w:rPr>
            </w:pPr>
            <w:r>
              <w:rPr>
                <w:sz w:val="22"/>
                <w:szCs w:val="22"/>
              </w:rPr>
              <w:t>18</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DEB72A4" w14:textId="77777777">
            <w:pPr>
              <w:spacing w:line="276" w:lineRule="auto"/>
              <w:rPr>
                <w:sz w:val="22"/>
                <w:szCs w:val="22"/>
              </w:rPr>
            </w:pPr>
            <w:r>
              <w:rPr>
                <w:sz w:val="22"/>
                <w:szCs w:val="22"/>
              </w:rPr>
              <w:t>FARM_BAL2_LMITRACT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C99D28C"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42F1DF4" w14:textId="77777777">
            <w:pPr>
              <w:rPr>
                <w:sz w:val="22"/>
                <w:szCs w:val="22"/>
              </w:rPr>
            </w:pPr>
            <w:r>
              <w:rPr>
                <w:sz w:val="22"/>
                <w:szCs w:val="22"/>
              </w:rPr>
              <w:t xml:space="preserve">Quarter-end, county-level sum of the quantified dollar value of balances of qualifying loans above $500,000 and up to $1.6 million to farms in LMI census tracts, Indian country, or </w:t>
            </w:r>
            <w:r w:rsidRPr="0099784E">
              <w:rPr>
                <w:sz w:val="22"/>
                <w:szCs w:val="22"/>
              </w:rPr>
              <w:t>other tribal and native lands</w:t>
            </w:r>
            <w:r w:rsidRPr="0099784E" w:rsidDel="0099784E">
              <w:rPr>
                <w:sz w:val="22"/>
                <w:szCs w:val="22"/>
              </w:rPr>
              <w:t xml:space="preserve"> </w:t>
            </w:r>
            <w:r>
              <w:rPr>
                <w:sz w:val="22"/>
                <w:szCs w:val="22"/>
              </w:rPr>
              <w:t>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E9CCBFD" w14:textId="77777777">
            <w:pPr>
              <w:rPr>
                <w:sz w:val="22"/>
                <w:szCs w:val="22"/>
              </w:rPr>
            </w:pPr>
            <w:r>
              <w:rPr>
                <w:sz w:val="22"/>
                <w:szCs w:val="22"/>
              </w:rPr>
              <w:t xml:space="preserve">Reported in thousands of dollars. </w:t>
            </w:r>
          </w:p>
        </w:tc>
      </w:tr>
      <w:tr w:rsidR="00D224DC" w:rsidTr="00DE5A36" w14:paraId="0F9463EE" w14:textId="77777777">
        <w:trPr>
          <w:trHeight w:val="8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BA28B25" w14:textId="77777777">
            <w:pPr>
              <w:jc w:val="right"/>
              <w:rPr>
                <w:sz w:val="22"/>
                <w:szCs w:val="22"/>
              </w:rPr>
            </w:pPr>
            <w:r>
              <w:rPr>
                <w:sz w:val="22"/>
                <w:szCs w:val="22"/>
              </w:rPr>
              <w:lastRenderedPageBreak/>
              <w:t>19</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5C0DA04" w14:textId="77777777">
            <w:pPr>
              <w:spacing w:line="276" w:lineRule="auto"/>
              <w:rPr>
                <w:sz w:val="22"/>
                <w:szCs w:val="22"/>
              </w:rPr>
            </w:pPr>
            <w:r>
              <w:rPr>
                <w:sz w:val="22"/>
                <w:szCs w:val="22"/>
              </w:rPr>
              <w:t>SBUS1_BAL1_NON_LMITRACT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278A18D"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8DA4663" w14:textId="77777777">
            <w:pPr>
              <w:rPr>
                <w:sz w:val="22"/>
                <w:szCs w:val="22"/>
              </w:rPr>
            </w:pPr>
            <w:r>
              <w:rPr>
                <w:sz w:val="22"/>
                <w:szCs w:val="22"/>
              </w:rPr>
              <w:t xml:space="preserve">Quarter-end, county-level sum of the quantified dollar value of balances of qualifying loans up to $1 million to businesses with revenues of up to $1 million in non-LMI census tracts and not in Indian country and not in </w:t>
            </w:r>
            <w:r w:rsidRPr="0099784E">
              <w:rPr>
                <w:sz w:val="22"/>
                <w:szCs w:val="22"/>
              </w:rPr>
              <w:t>other tribal and native lands</w:t>
            </w:r>
            <w:r w:rsidRPr="0099784E" w:rsidDel="0099784E">
              <w:rPr>
                <w:sz w:val="22"/>
                <w:szCs w:val="22"/>
              </w:rPr>
              <w:t xml:space="preserve"> </w:t>
            </w:r>
            <w:r>
              <w:rPr>
                <w:sz w:val="22"/>
                <w:szCs w:val="22"/>
              </w:rPr>
              <w:t>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8CB053B" w14:textId="77777777">
            <w:pPr>
              <w:rPr>
                <w:sz w:val="22"/>
                <w:szCs w:val="22"/>
              </w:rPr>
            </w:pPr>
            <w:r>
              <w:rPr>
                <w:sz w:val="22"/>
                <w:szCs w:val="22"/>
              </w:rPr>
              <w:t xml:space="preserve">Reported in thousands of dollars. </w:t>
            </w:r>
          </w:p>
        </w:tc>
      </w:tr>
      <w:tr w:rsidR="00D224DC" w:rsidTr="00DE5A36" w14:paraId="19B6A287" w14:textId="77777777">
        <w:trPr>
          <w:trHeight w:val="24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4ACA5D7A" w14:textId="77777777">
            <w:pPr>
              <w:jc w:val="right"/>
              <w:rPr>
                <w:sz w:val="22"/>
                <w:szCs w:val="22"/>
              </w:rPr>
            </w:pPr>
            <w:r>
              <w:rPr>
                <w:sz w:val="22"/>
                <w:szCs w:val="22"/>
              </w:rPr>
              <w:t>20</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070FE1E" w14:textId="77777777">
            <w:pPr>
              <w:spacing w:line="276" w:lineRule="auto"/>
              <w:rPr>
                <w:sz w:val="22"/>
                <w:szCs w:val="22"/>
              </w:rPr>
            </w:pPr>
            <w:r>
              <w:rPr>
                <w:sz w:val="22"/>
                <w:szCs w:val="22"/>
              </w:rPr>
              <w:t>SBUS2_BAL1_NON_LMITRACT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9D194D9"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8481B68" w14:textId="77777777">
            <w:pPr>
              <w:rPr>
                <w:sz w:val="22"/>
                <w:szCs w:val="22"/>
              </w:rPr>
            </w:pPr>
            <w:r>
              <w:rPr>
                <w:sz w:val="22"/>
                <w:szCs w:val="22"/>
              </w:rPr>
              <w:t xml:space="preserve">Quarter-end, county-level sum of the quantified dollar value of balances of qualifying loans up to $1 million to businesses with revenues above $1 million and up to $1.6 million in non-LMI census tracts and not in Indian country and not in </w:t>
            </w:r>
            <w:r w:rsidRPr="0099784E">
              <w:rPr>
                <w:sz w:val="22"/>
                <w:szCs w:val="22"/>
              </w:rPr>
              <w:t>other tribal and native lands</w:t>
            </w:r>
            <w:r w:rsidRPr="0099784E" w:rsidDel="0099784E">
              <w:rPr>
                <w:sz w:val="22"/>
                <w:szCs w:val="22"/>
              </w:rPr>
              <w:t xml:space="preserve"> </w:t>
            </w:r>
            <w:r>
              <w:rPr>
                <w:sz w:val="22"/>
                <w:szCs w:val="22"/>
              </w:rPr>
              <w:t>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1501EB4" w14:textId="77777777">
            <w:pPr>
              <w:rPr>
                <w:sz w:val="22"/>
                <w:szCs w:val="22"/>
              </w:rPr>
            </w:pPr>
            <w:r>
              <w:rPr>
                <w:sz w:val="22"/>
                <w:szCs w:val="22"/>
              </w:rPr>
              <w:t xml:space="preserve">Reported in thousands of dollars. </w:t>
            </w:r>
          </w:p>
        </w:tc>
      </w:tr>
      <w:tr w:rsidR="00D224DC" w:rsidTr="00DE5A36" w14:paraId="3742A035" w14:textId="77777777">
        <w:trPr>
          <w:trHeight w:val="15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0E85E54B" w14:textId="77777777">
            <w:pPr>
              <w:jc w:val="right"/>
              <w:rPr>
                <w:sz w:val="22"/>
                <w:szCs w:val="22"/>
              </w:rPr>
            </w:pPr>
            <w:r>
              <w:rPr>
                <w:sz w:val="22"/>
                <w:szCs w:val="22"/>
              </w:rPr>
              <w:t>21</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1BA3654" w14:textId="77777777">
            <w:pPr>
              <w:spacing w:line="276" w:lineRule="auto"/>
              <w:rPr>
                <w:sz w:val="22"/>
                <w:szCs w:val="22"/>
              </w:rPr>
            </w:pPr>
            <w:r>
              <w:rPr>
                <w:sz w:val="22"/>
                <w:szCs w:val="22"/>
              </w:rPr>
              <w:t>SBUS1_BAL2_NON_LMITRACT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FC30451"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7895C10" w14:textId="77777777">
            <w:pPr>
              <w:rPr>
                <w:sz w:val="22"/>
                <w:szCs w:val="22"/>
              </w:rPr>
            </w:pPr>
            <w:r>
              <w:rPr>
                <w:sz w:val="22"/>
                <w:szCs w:val="22"/>
              </w:rPr>
              <w:t xml:space="preserve">Quarter-end, county-level sum of the quantified dollar value of balances of qualifying loans above $1 million and up to $1.6 million to businesses with revenues of up to $1 million in non-LMI census tracts and not in Indian country and not in </w:t>
            </w:r>
            <w:r w:rsidRPr="0099784E">
              <w:rPr>
                <w:sz w:val="22"/>
                <w:szCs w:val="22"/>
              </w:rPr>
              <w:t>other tribal and native lands</w:t>
            </w:r>
            <w:r>
              <w:rPr>
                <w:sz w:val="22"/>
                <w:szCs w:val="22"/>
              </w:rPr>
              <w:t xml:space="preserve"> 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B9D93FA" w14:textId="77777777">
            <w:pPr>
              <w:rPr>
                <w:sz w:val="22"/>
                <w:szCs w:val="22"/>
              </w:rPr>
            </w:pPr>
            <w:r>
              <w:rPr>
                <w:sz w:val="22"/>
                <w:szCs w:val="22"/>
              </w:rPr>
              <w:t xml:space="preserve">Reported in thousands of dollars. </w:t>
            </w:r>
          </w:p>
        </w:tc>
      </w:tr>
      <w:tr w:rsidR="00D224DC" w:rsidTr="00DE5A36" w14:paraId="4F44C14B" w14:textId="77777777">
        <w:trPr>
          <w:trHeight w:val="27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208E88C" w14:textId="77777777">
            <w:pPr>
              <w:jc w:val="right"/>
              <w:rPr>
                <w:sz w:val="22"/>
                <w:szCs w:val="22"/>
              </w:rPr>
            </w:pPr>
            <w:r>
              <w:rPr>
                <w:sz w:val="22"/>
                <w:szCs w:val="22"/>
              </w:rPr>
              <w:lastRenderedPageBreak/>
              <w:t>22</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ACE0DC9" w14:textId="77777777">
            <w:pPr>
              <w:spacing w:line="276" w:lineRule="auto"/>
              <w:rPr>
                <w:sz w:val="22"/>
                <w:szCs w:val="22"/>
              </w:rPr>
            </w:pPr>
            <w:r>
              <w:rPr>
                <w:sz w:val="22"/>
                <w:szCs w:val="22"/>
              </w:rPr>
              <w:t>SBUS2_BAL2_NON_LMITRACT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DF3CA6F"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CA9EC41" w14:textId="77777777">
            <w:pPr>
              <w:rPr>
                <w:sz w:val="22"/>
                <w:szCs w:val="22"/>
              </w:rPr>
            </w:pPr>
            <w:r>
              <w:rPr>
                <w:sz w:val="22"/>
                <w:szCs w:val="22"/>
              </w:rPr>
              <w:t xml:space="preserve">Quarter-end, county-level sum of the quantified dollar value of balances of qualifying loans of above $1 million and up to $1.6 million to businesses with revenues above $1 million and up $1.6 million in non-LMI census tracts  and not in Indian country and not in </w:t>
            </w:r>
            <w:r w:rsidRPr="0099784E">
              <w:rPr>
                <w:sz w:val="22"/>
                <w:szCs w:val="22"/>
              </w:rPr>
              <w:t>other tribal and native lands</w:t>
            </w:r>
            <w:r w:rsidRPr="0099784E" w:rsidDel="0099784E">
              <w:rPr>
                <w:sz w:val="22"/>
                <w:szCs w:val="22"/>
              </w:rPr>
              <w:t xml:space="preserve"> </w:t>
            </w:r>
            <w:r>
              <w:rPr>
                <w:sz w:val="22"/>
                <w:szCs w:val="22"/>
              </w:rPr>
              <w:t>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DD92A9E" w14:textId="77777777">
            <w:pPr>
              <w:rPr>
                <w:sz w:val="22"/>
                <w:szCs w:val="22"/>
              </w:rPr>
            </w:pPr>
            <w:r>
              <w:rPr>
                <w:sz w:val="22"/>
                <w:szCs w:val="22"/>
              </w:rPr>
              <w:t xml:space="preserve">Reported in thousands of dollars. </w:t>
            </w:r>
          </w:p>
        </w:tc>
      </w:tr>
      <w:tr w:rsidR="00D224DC" w:rsidTr="00DE5A36" w14:paraId="7F288EB3" w14:textId="77777777">
        <w:trPr>
          <w:trHeight w:val="24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BB8488B" w14:textId="77777777">
            <w:pPr>
              <w:jc w:val="right"/>
              <w:rPr>
                <w:sz w:val="22"/>
                <w:szCs w:val="22"/>
              </w:rPr>
            </w:pPr>
            <w:r>
              <w:rPr>
                <w:sz w:val="22"/>
                <w:szCs w:val="22"/>
              </w:rPr>
              <w:t>23</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7C3BE5D" w14:textId="77777777">
            <w:pPr>
              <w:spacing w:line="276" w:lineRule="auto"/>
              <w:rPr>
                <w:sz w:val="22"/>
                <w:szCs w:val="22"/>
              </w:rPr>
            </w:pPr>
            <w:r>
              <w:rPr>
                <w:sz w:val="22"/>
                <w:szCs w:val="22"/>
              </w:rPr>
              <w:t>SFARM1_BAL1_NON_LMITRACT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B6A9C4C"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3FAF763" w14:textId="77777777">
            <w:pPr>
              <w:rPr>
                <w:sz w:val="22"/>
                <w:szCs w:val="22"/>
              </w:rPr>
            </w:pPr>
            <w:r>
              <w:rPr>
                <w:sz w:val="22"/>
                <w:szCs w:val="22"/>
              </w:rPr>
              <w:t xml:space="preserve">Quarter-end, county-level sum of the quantified dollar value of balances of qualifying loans up to $500,000 to farms with revenues up to $1 million in non-LMI census tracts and not in Indian country and not in </w:t>
            </w:r>
            <w:r w:rsidRPr="0099784E">
              <w:rPr>
                <w:sz w:val="22"/>
                <w:szCs w:val="22"/>
              </w:rPr>
              <w:t>other tribal and native lands</w:t>
            </w:r>
            <w:r w:rsidRPr="0099784E" w:rsidDel="0099784E">
              <w:rPr>
                <w:sz w:val="22"/>
                <w:szCs w:val="22"/>
              </w:rPr>
              <w:t xml:space="preserve"> </w:t>
            </w:r>
            <w:r>
              <w:rPr>
                <w:sz w:val="22"/>
                <w:szCs w:val="22"/>
              </w:rPr>
              <w:t>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DF15A79" w14:textId="77777777">
            <w:pPr>
              <w:rPr>
                <w:sz w:val="22"/>
                <w:szCs w:val="22"/>
              </w:rPr>
            </w:pPr>
            <w:r>
              <w:rPr>
                <w:sz w:val="22"/>
                <w:szCs w:val="22"/>
              </w:rPr>
              <w:t xml:space="preserve">Reported in thousands of dollars. </w:t>
            </w:r>
          </w:p>
        </w:tc>
      </w:tr>
      <w:tr w:rsidR="00D224DC" w:rsidTr="00DE5A36" w14:paraId="7EFB186F" w14:textId="77777777">
        <w:trPr>
          <w:trHeight w:val="24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1F75273" w14:textId="77777777">
            <w:pPr>
              <w:jc w:val="right"/>
              <w:rPr>
                <w:sz w:val="22"/>
                <w:szCs w:val="22"/>
              </w:rPr>
            </w:pPr>
            <w:r>
              <w:rPr>
                <w:sz w:val="22"/>
                <w:szCs w:val="22"/>
              </w:rPr>
              <w:t>24</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822F580" w14:textId="77777777">
            <w:pPr>
              <w:spacing w:line="276" w:lineRule="auto"/>
              <w:rPr>
                <w:sz w:val="22"/>
                <w:szCs w:val="22"/>
              </w:rPr>
            </w:pPr>
            <w:r>
              <w:rPr>
                <w:sz w:val="22"/>
                <w:szCs w:val="22"/>
              </w:rPr>
              <w:t>SFARM2_BAL1_NON_LMITRACT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030DC4F"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D808E01" w14:textId="77777777">
            <w:pPr>
              <w:rPr>
                <w:sz w:val="22"/>
                <w:szCs w:val="22"/>
              </w:rPr>
            </w:pPr>
            <w:r>
              <w:rPr>
                <w:sz w:val="22"/>
                <w:szCs w:val="22"/>
              </w:rPr>
              <w:t xml:space="preserve">Quarter-end, county-level sum of the quantified dollar value of balances of qualifying loans up to $500,000 to farms with revenues above $1 million and up to $1.6 million in non-LMI census tracts and not in Indian country and not in </w:t>
            </w:r>
            <w:r w:rsidRPr="0099784E">
              <w:rPr>
                <w:sz w:val="22"/>
                <w:szCs w:val="22"/>
              </w:rPr>
              <w:t>other tribal and native lands</w:t>
            </w:r>
            <w:r w:rsidRPr="0099784E" w:rsidDel="0099784E">
              <w:rPr>
                <w:sz w:val="22"/>
                <w:szCs w:val="22"/>
              </w:rPr>
              <w:t xml:space="preserve"> </w:t>
            </w:r>
            <w:r>
              <w:rPr>
                <w:sz w:val="22"/>
                <w:szCs w:val="22"/>
              </w:rPr>
              <w:t>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7D484E6" w14:textId="77777777">
            <w:pPr>
              <w:rPr>
                <w:sz w:val="22"/>
                <w:szCs w:val="22"/>
              </w:rPr>
            </w:pPr>
            <w:r>
              <w:rPr>
                <w:sz w:val="22"/>
                <w:szCs w:val="22"/>
              </w:rPr>
              <w:t xml:space="preserve">Reported in thousands of dollars. </w:t>
            </w:r>
          </w:p>
        </w:tc>
      </w:tr>
      <w:tr w:rsidR="00D224DC" w:rsidTr="00DE5A36" w14:paraId="17482D9C" w14:textId="77777777">
        <w:trPr>
          <w:trHeight w:val="24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01E552F7" w14:textId="77777777">
            <w:pPr>
              <w:jc w:val="right"/>
              <w:rPr>
                <w:sz w:val="22"/>
                <w:szCs w:val="22"/>
              </w:rPr>
            </w:pPr>
            <w:r>
              <w:rPr>
                <w:sz w:val="22"/>
                <w:szCs w:val="22"/>
              </w:rPr>
              <w:lastRenderedPageBreak/>
              <w:t>25</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5AC6BED" w14:textId="77777777">
            <w:pPr>
              <w:spacing w:line="276" w:lineRule="auto"/>
              <w:rPr>
                <w:sz w:val="22"/>
                <w:szCs w:val="22"/>
              </w:rPr>
            </w:pPr>
            <w:r>
              <w:rPr>
                <w:sz w:val="22"/>
                <w:szCs w:val="22"/>
              </w:rPr>
              <w:t>SFARM1_BAL2_NON_LMITRACT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2B544A8"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F17BE8C" w14:textId="77777777">
            <w:pPr>
              <w:rPr>
                <w:sz w:val="22"/>
                <w:szCs w:val="22"/>
              </w:rPr>
            </w:pPr>
            <w:r>
              <w:rPr>
                <w:sz w:val="22"/>
                <w:szCs w:val="22"/>
              </w:rPr>
              <w:t xml:space="preserve">Quarter-end, county-level sum of the quantified dollar value of balances of qualifying loans above $500,000 and up to $1.6 million to farms with revenues up to $1 million in non-LMI census tracts and not in Indian country and not in </w:t>
            </w:r>
            <w:r w:rsidRPr="0099784E">
              <w:rPr>
                <w:sz w:val="22"/>
                <w:szCs w:val="22"/>
              </w:rPr>
              <w:t>other tribal and native lands</w:t>
            </w:r>
            <w:r w:rsidRPr="0099784E" w:rsidDel="0099784E">
              <w:rPr>
                <w:sz w:val="22"/>
                <w:szCs w:val="22"/>
              </w:rPr>
              <w:t xml:space="preserve"> </w:t>
            </w:r>
            <w:r>
              <w:rPr>
                <w:sz w:val="22"/>
                <w:szCs w:val="22"/>
              </w:rPr>
              <w:t>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CF5A859" w14:textId="77777777">
            <w:pPr>
              <w:rPr>
                <w:sz w:val="22"/>
                <w:szCs w:val="22"/>
              </w:rPr>
            </w:pPr>
            <w:r>
              <w:rPr>
                <w:sz w:val="22"/>
                <w:szCs w:val="22"/>
              </w:rPr>
              <w:t xml:space="preserve">Reported in thousands of dollars. </w:t>
            </w:r>
          </w:p>
        </w:tc>
      </w:tr>
      <w:tr w:rsidR="00D224DC" w:rsidTr="00DE5A36" w14:paraId="0238D8A9" w14:textId="77777777">
        <w:trPr>
          <w:trHeight w:val="27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470A73E4" w14:textId="77777777">
            <w:pPr>
              <w:jc w:val="right"/>
              <w:rPr>
                <w:sz w:val="22"/>
                <w:szCs w:val="22"/>
              </w:rPr>
            </w:pPr>
            <w:r>
              <w:rPr>
                <w:sz w:val="22"/>
                <w:szCs w:val="22"/>
              </w:rPr>
              <w:t>26</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70CD0D6" w14:textId="77777777">
            <w:pPr>
              <w:spacing w:line="276" w:lineRule="auto"/>
              <w:rPr>
                <w:sz w:val="22"/>
                <w:szCs w:val="22"/>
              </w:rPr>
            </w:pPr>
            <w:r>
              <w:rPr>
                <w:sz w:val="22"/>
                <w:szCs w:val="22"/>
              </w:rPr>
              <w:t>SFARM2_BAL2_NON_LMITRACT</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1B487DF"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5CD3FAB" w14:textId="77777777">
            <w:pPr>
              <w:rPr>
                <w:sz w:val="22"/>
                <w:szCs w:val="22"/>
              </w:rPr>
            </w:pPr>
            <w:r>
              <w:rPr>
                <w:sz w:val="22"/>
                <w:szCs w:val="22"/>
              </w:rPr>
              <w:t xml:space="preserve">Quarter-end, county-level sum of the quantified dollar value of balances of qualifying loans above $500,000  and up to $1.6 million to farms with revenues above $1 million and up to $1.6 million in non-LMI census tracts  and not in Indian country and not in </w:t>
            </w:r>
            <w:r w:rsidRPr="0099784E">
              <w:rPr>
                <w:sz w:val="22"/>
                <w:szCs w:val="22"/>
              </w:rPr>
              <w:t>other tribal and native lands</w:t>
            </w:r>
            <w:r w:rsidRPr="0099784E" w:rsidDel="0099784E">
              <w:rPr>
                <w:sz w:val="22"/>
                <w:szCs w:val="22"/>
              </w:rPr>
              <w:t xml:space="preserve"> </w:t>
            </w:r>
            <w:r>
              <w:rPr>
                <w:sz w:val="22"/>
                <w:szCs w:val="22"/>
              </w:rPr>
              <w:t>that are not counted as CD loans and not sold within 365 days of origination by the bank</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E104BCD" w14:textId="77777777">
            <w:pPr>
              <w:rPr>
                <w:sz w:val="22"/>
                <w:szCs w:val="22"/>
              </w:rPr>
            </w:pPr>
            <w:r>
              <w:rPr>
                <w:sz w:val="22"/>
                <w:szCs w:val="22"/>
              </w:rPr>
              <w:t xml:space="preserve">Reported in thousands of dollars. </w:t>
            </w:r>
          </w:p>
        </w:tc>
      </w:tr>
      <w:tr w:rsidR="00D224DC" w:rsidTr="00DE5A36" w14:paraId="43694D22"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9DC6F22" w14:textId="77777777">
            <w:pPr>
              <w:jc w:val="right"/>
              <w:rPr>
                <w:sz w:val="22"/>
                <w:szCs w:val="22"/>
              </w:rPr>
            </w:pPr>
            <w:r>
              <w:rPr>
                <w:sz w:val="22"/>
                <w:szCs w:val="22"/>
              </w:rPr>
              <w:t>27</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8A05DD7" w14:textId="77777777">
            <w:pPr>
              <w:spacing w:line="276" w:lineRule="auto"/>
              <w:rPr>
                <w:sz w:val="22"/>
                <w:szCs w:val="22"/>
              </w:rPr>
            </w:pPr>
            <w:r>
              <w:rPr>
                <w:sz w:val="22"/>
                <w:szCs w:val="22"/>
              </w:rPr>
              <w:t>MTG_BAL_LMIBR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B3D06EE"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F3F9BD3" w14:textId="77777777">
            <w:pPr>
              <w:rPr>
                <w:sz w:val="22"/>
                <w:szCs w:val="22"/>
              </w:rPr>
            </w:pPr>
            <w:r>
              <w:rPr>
                <w:sz w:val="22"/>
                <w:szCs w:val="22"/>
              </w:rPr>
              <w:t>Quarter-end, county-level sum of the quantified dollar value of retail loan balances reported in column 11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649AC71" w14:textId="77777777">
            <w:pPr>
              <w:rPr>
                <w:sz w:val="22"/>
                <w:szCs w:val="22"/>
              </w:rPr>
            </w:pPr>
            <w:r>
              <w:rPr>
                <w:sz w:val="22"/>
                <w:szCs w:val="22"/>
              </w:rPr>
              <w:t xml:space="preserve">Reported in thousands of dollars. </w:t>
            </w:r>
          </w:p>
        </w:tc>
      </w:tr>
      <w:tr w:rsidR="00D224DC" w:rsidTr="00DE5A36" w14:paraId="26729381"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39C0E246" w14:textId="77777777">
            <w:pPr>
              <w:jc w:val="right"/>
              <w:rPr>
                <w:sz w:val="22"/>
                <w:szCs w:val="22"/>
              </w:rPr>
            </w:pPr>
            <w:r>
              <w:rPr>
                <w:sz w:val="22"/>
                <w:szCs w:val="22"/>
              </w:rPr>
              <w:t>28</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7B577DD" w14:textId="77777777">
            <w:pPr>
              <w:spacing w:line="276" w:lineRule="auto"/>
              <w:rPr>
                <w:sz w:val="22"/>
                <w:szCs w:val="22"/>
              </w:rPr>
            </w:pPr>
            <w:r>
              <w:rPr>
                <w:sz w:val="22"/>
                <w:szCs w:val="22"/>
              </w:rPr>
              <w:t>AUTO_BAL_LMIBR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7C42A5B"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B99D36D" w14:textId="77777777">
            <w:pPr>
              <w:rPr>
                <w:sz w:val="22"/>
                <w:szCs w:val="22"/>
              </w:rPr>
            </w:pPr>
            <w:r>
              <w:rPr>
                <w:sz w:val="22"/>
                <w:szCs w:val="22"/>
              </w:rPr>
              <w:t>Quarter-end, county-level sum of the quantified dollar value of retail loan balances reported in column 12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750EBCA" w14:textId="77777777">
            <w:pPr>
              <w:rPr>
                <w:sz w:val="22"/>
                <w:szCs w:val="22"/>
              </w:rPr>
            </w:pPr>
            <w:r>
              <w:rPr>
                <w:sz w:val="22"/>
                <w:szCs w:val="22"/>
              </w:rPr>
              <w:t xml:space="preserve">Reported in thousands of dollars. </w:t>
            </w:r>
          </w:p>
        </w:tc>
      </w:tr>
      <w:tr w:rsidR="00D224DC" w:rsidTr="00DE5A36" w14:paraId="7E31D7AD"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4917DA7" w14:textId="77777777">
            <w:pPr>
              <w:jc w:val="right"/>
              <w:rPr>
                <w:sz w:val="22"/>
                <w:szCs w:val="22"/>
              </w:rPr>
            </w:pPr>
            <w:r>
              <w:rPr>
                <w:sz w:val="22"/>
                <w:szCs w:val="22"/>
              </w:rPr>
              <w:lastRenderedPageBreak/>
              <w:t>29</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C8E3594" w14:textId="77777777">
            <w:pPr>
              <w:spacing w:line="276" w:lineRule="auto"/>
              <w:rPr>
                <w:sz w:val="22"/>
                <w:szCs w:val="22"/>
              </w:rPr>
            </w:pPr>
            <w:r>
              <w:rPr>
                <w:sz w:val="22"/>
                <w:szCs w:val="22"/>
              </w:rPr>
              <w:t>OTHER_RCP_BAL_LMIBR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6AA344C"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AA53708" w14:textId="77777777">
            <w:pPr>
              <w:rPr>
                <w:sz w:val="22"/>
                <w:szCs w:val="22"/>
              </w:rPr>
            </w:pPr>
            <w:r>
              <w:rPr>
                <w:sz w:val="22"/>
                <w:szCs w:val="22"/>
              </w:rPr>
              <w:t>Quarter-end, county-level sum of the quantified dollar value of retail loan balances reported in column 13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F3CE535" w14:textId="77777777">
            <w:pPr>
              <w:rPr>
                <w:sz w:val="22"/>
                <w:szCs w:val="22"/>
              </w:rPr>
            </w:pPr>
            <w:r>
              <w:rPr>
                <w:sz w:val="22"/>
                <w:szCs w:val="22"/>
              </w:rPr>
              <w:t xml:space="preserve">Reported in thousands of dollars. </w:t>
            </w:r>
          </w:p>
        </w:tc>
      </w:tr>
      <w:tr w:rsidR="00D224DC" w:rsidTr="00DE5A36" w14:paraId="0A9E3B79"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92BF53E" w14:textId="77777777">
            <w:pPr>
              <w:jc w:val="right"/>
              <w:rPr>
                <w:sz w:val="22"/>
                <w:szCs w:val="22"/>
              </w:rPr>
            </w:pPr>
            <w:r>
              <w:rPr>
                <w:sz w:val="22"/>
                <w:szCs w:val="22"/>
              </w:rPr>
              <w:t>30</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66C2CDC" w14:textId="77777777">
            <w:pPr>
              <w:spacing w:line="276" w:lineRule="auto"/>
              <w:rPr>
                <w:sz w:val="22"/>
                <w:szCs w:val="22"/>
              </w:rPr>
            </w:pPr>
            <w:r>
              <w:rPr>
                <w:sz w:val="22"/>
                <w:szCs w:val="22"/>
              </w:rPr>
              <w:t>OTHER_CONS_BAL_LMIBR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F01A585"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D37E8F5" w14:textId="77777777">
            <w:pPr>
              <w:rPr>
                <w:sz w:val="22"/>
                <w:szCs w:val="22"/>
              </w:rPr>
            </w:pPr>
            <w:r>
              <w:rPr>
                <w:sz w:val="22"/>
                <w:szCs w:val="22"/>
              </w:rPr>
              <w:t>Quarter-end, county-level sum of the quantified dollar value of retail loan balances reported in column 14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4F0F2C4" w14:textId="77777777">
            <w:pPr>
              <w:rPr>
                <w:sz w:val="22"/>
                <w:szCs w:val="22"/>
              </w:rPr>
            </w:pPr>
            <w:r>
              <w:rPr>
                <w:sz w:val="22"/>
                <w:szCs w:val="22"/>
              </w:rPr>
              <w:t xml:space="preserve">Reported in thousands of dollars. </w:t>
            </w:r>
          </w:p>
        </w:tc>
      </w:tr>
      <w:tr w:rsidR="00D224DC" w:rsidTr="00DE5A36" w14:paraId="6A2D66E0"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735C4481" w14:textId="77777777">
            <w:pPr>
              <w:jc w:val="right"/>
              <w:rPr>
                <w:sz w:val="22"/>
                <w:szCs w:val="22"/>
              </w:rPr>
            </w:pPr>
            <w:r>
              <w:rPr>
                <w:sz w:val="22"/>
                <w:szCs w:val="22"/>
              </w:rPr>
              <w:t>31</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5BD07DE" w14:textId="77777777">
            <w:pPr>
              <w:spacing w:line="276" w:lineRule="auto"/>
              <w:rPr>
                <w:sz w:val="22"/>
                <w:szCs w:val="22"/>
              </w:rPr>
            </w:pPr>
            <w:r>
              <w:rPr>
                <w:sz w:val="22"/>
                <w:szCs w:val="22"/>
              </w:rPr>
              <w:t>BUS_BAL1_LMITRACT_LMIBR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FE3A4FE"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B3D79D7" w14:textId="77777777">
            <w:pPr>
              <w:rPr>
                <w:sz w:val="22"/>
                <w:szCs w:val="22"/>
              </w:rPr>
            </w:pPr>
            <w:r>
              <w:rPr>
                <w:sz w:val="22"/>
                <w:szCs w:val="22"/>
              </w:rPr>
              <w:t>Quarter-end, county-level sum of the quantified dollar value of retail loan balances reported in column 15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0781795" w14:textId="77777777">
            <w:pPr>
              <w:rPr>
                <w:sz w:val="22"/>
                <w:szCs w:val="22"/>
              </w:rPr>
            </w:pPr>
            <w:r>
              <w:rPr>
                <w:sz w:val="22"/>
                <w:szCs w:val="22"/>
              </w:rPr>
              <w:t xml:space="preserve">Reported in thousands of dollars. </w:t>
            </w:r>
          </w:p>
        </w:tc>
      </w:tr>
      <w:tr w:rsidR="00D224DC" w:rsidTr="00DE5A36" w14:paraId="171E0298"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6AD07E9B" w14:textId="77777777">
            <w:pPr>
              <w:jc w:val="right"/>
              <w:rPr>
                <w:sz w:val="22"/>
                <w:szCs w:val="22"/>
              </w:rPr>
            </w:pPr>
            <w:r>
              <w:rPr>
                <w:sz w:val="22"/>
                <w:szCs w:val="22"/>
              </w:rPr>
              <w:t>32</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B95FB57" w14:textId="77777777">
            <w:pPr>
              <w:spacing w:line="276" w:lineRule="auto"/>
              <w:rPr>
                <w:sz w:val="22"/>
                <w:szCs w:val="22"/>
              </w:rPr>
            </w:pPr>
            <w:r>
              <w:rPr>
                <w:sz w:val="22"/>
                <w:szCs w:val="22"/>
              </w:rPr>
              <w:t>BUS_BAL2_LMITRACT_LMIBR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3D81C56"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4C3E004" w14:textId="77777777">
            <w:pPr>
              <w:rPr>
                <w:sz w:val="22"/>
                <w:szCs w:val="22"/>
              </w:rPr>
            </w:pPr>
            <w:r>
              <w:rPr>
                <w:sz w:val="22"/>
                <w:szCs w:val="22"/>
              </w:rPr>
              <w:t>Quarter-end, county-level sum of the quantified dollar value of retail loan balances reported in column 16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975CBF3" w14:textId="77777777">
            <w:pPr>
              <w:rPr>
                <w:sz w:val="22"/>
                <w:szCs w:val="22"/>
              </w:rPr>
            </w:pPr>
            <w:r>
              <w:rPr>
                <w:sz w:val="22"/>
                <w:szCs w:val="22"/>
              </w:rPr>
              <w:t xml:space="preserve">Reported in thousands of dollars. </w:t>
            </w:r>
          </w:p>
        </w:tc>
      </w:tr>
      <w:tr w:rsidR="00D224DC" w:rsidTr="00DE5A36" w14:paraId="7FE7157F"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75564879" w14:textId="77777777">
            <w:pPr>
              <w:jc w:val="right"/>
              <w:rPr>
                <w:sz w:val="22"/>
                <w:szCs w:val="22"/>
              </w:rPr>
            </w:pPr>
            <w:r>
              <w:rPr>
                <w:sz w:val="22"/>
                <w:szCs w:val="22"/>
              </w:rPr>
              <w:t>33</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A274033" w14:textId="77777777">
            <w:pPr>
              <w:spacing w:line="276" w:lineRule="auto"/>
              <w:rPr>
                <w:sz w:val="22"/>
                <w:szCs w:val="22"/>
              </w:rPr>
            </w:pPr>
            <w:r>
              <w:rPr>
                <w:sz w:val="22"/>
                <w:szCs w:val="22"/>
              </w:rPr>
              <w:t>FARM_BAL1_LMITRACT_LMIBR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ED689EB"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775C85A" w14:textId="77777777">
            <w:pPr>
              <w:rPr>
                <w:sz w:val="22"/>
                <w:szCs w:val="22"/>
              </w:rPr>
            </w:pPr>
            <w:r>
              <w:rPr>
                <w:sz w:val="22"/>
                <w:szCs w:val="22"/>
              </w:rPr>
              <w:t xml:space="preserve">Quarter-end, county-level sum of the quantified dollar value of retail loan balances reported in column 17 where the loan originations were generated by branches in LMI census tracts. </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C93DF36" w14:textId="77777777">
            <w:pPr>
              <w:rPr>
                <w:sz w:val="22"/>
                <w:szCs w:val="22"/>
              </w:rPr>
            </w:pPr>
            <w:r>
              <w:rPr>
                <w:sz w:val="22"/>
                <w:szCs w:val="22"/>
              </w:rPr>
              <w:t xml:space="preserve">Reported in thousands of dollars. </w:t>
            </w:r>
          </w:p>
        </w:tc>
      </w:tr>
      <w:tr w:rsidR="00D224DC" w:rsidTr="00DE5A36" w14:paraId="1A2BB307" w14:textId="77777777">
        <w:trPr>
          <w:trHeight w:val="945"/>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F30A524" w14:textId="77777777">
            <w:pPr>
              <w:jc w:val="right"/>
              <w:rPr>
                <w:sz w:val="22"/>
                <w:szCs w:val="22"/>
              </w:rPr>
            </w:pPr>
            <w:r>
              <w:rPr>
                <w:sz w:val="22"/>
                <w:szCs w:val="22"/>
              </w:rPr>
              <w:t>34</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83C4798" w14:textId="77777777">
            <w:pPr>
              <w:spacing w:line="276" w:lineRule="auto"/>
              <w:rPr>
                <w:sz w:val="22"/>
                <w:szCs w:val="22"/>
              </w:rPr>
            </w:pPr>
            <w:r>
              <w:rPr>
                <w:sz w:val="22"/>
                <w:szCs w:val="22"/>
              </w:rPr>
              <w:t>FARM_BAL2_LMITRACT_LMIBR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B93732C"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2B660D7" w14:textId="77777777">
            <w:pPr>
              <w:rPr>
                <w:sz w:val="22"/>
                <w:szCs w:val="22"/>
              </w:rPr>
            </w:pPr>
            <w:r>
              <w:rPr>
                <w:sz w:val="22"/>
                <w:szCs w:val="22"/>
              </w:rPr>
              <w:t>Quarter-end, county-level sum of the quantified dollar value of retail loan balances reported in column 18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9ADC356" w14:textId="77777777">
            <w:pPr>
              <w:rPr>
                <w:sz w:val="22"/>
                <w:szCs w:val="22"/>
              </w:rPr>
            </w:pPr>
            <w:r>
              <w:rPr>
                <w:sz w:val="22"/>
                <w:szCs w:val="22"/>
              </w:rPr>
              <w:t xml:space="preserve">Reported in thousands of dollars. </w:t>
            </w:r>
          </w:p>
        </w:tc>
      </w:tr>
      <w:tr w:rsidR="00D224DC" w:rsidTr="00DE5A36" w14:paraId="5DC88E16"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97FE5E4" w14:textId="77777777">
            <w:pPr>
              <w:jc w:val="right"/>
              <w:rPr>
                <w:sz w:val="22"/>
                <w:szCs w:val="22"/>
              </w:rPr>
            </w:pPr>
            <w:r>
              <w:rPr>
                <w:sz w:val="22"/>
                <w:szCs w:val="22"/>
              </w:rPr>
              <w:lastRenderedPageBreak/>
              <w:t>35</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AA32734" w14:textId="77777777">
            <w:pPr>
              <w:spacing w:line="276" w:lineRule="auto"/>
              <w:rPr>
                <w:sz w:val="22"/>
                <w:szCs w:val="22"/>
              </w:rPr>
            </w:pPr>
            <w:r>
              <w:rPr>
                <w:sz w:val="22"/>
                <w:szCs w:val="22"/>
              </w:rPr>
              <w:t>SBUS1_BAL1_NON_LMITRACT_LMIBR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023EBC1"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D181A3D" w14:textId="77777777">
            <w:pPr>
              <w:rPr>
                <w:sz w:val="22"/>
                <w:szCs w:val="22"/>
              </w:rPr>
            </w:pPr>
            <w:r>
              <w:rPr>
                <w:sz w:val="22"/>
                <w:szCs w:val="22"/>
              </w:rPr>
              <w:t>Quarter-end, county-level sum of the quantified dollar value of retail loan balances reported in column 19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0B368CE" w14:textId="77777777">
            <w:pPr>
              <w:rPr>
                <w:sz w:val="22"/>
                <w:szCs w:val="22"/>
              </w:rPr>
            </w:pPr>
            <w:r>
              <w:rPr>
                <w:sz w:val="22"/>
                <w:szCs w:val="22"/>
              </w:rPr>
              <w:t xml:space="preserve">Reported in thousands of dollars. </w:t>
            </w:r>
          </w:p>
        </w:tc>
      </w:tr>
      <w:tr w:rsidR="00D224DC" w:rsidTr="00DE5A36" w14:paraId="709DEEAD"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71FFC75E" w14:textId="77777777">
            <w:pPr>
              <w:jc w:val="right"/>
              <w:rPr>
                <w:sz w:val="22"/>
                <w:szCs w:val="22"/>
              </w:rPr>
            </w:pPr>
            <w:r>
              <w:rPr>
                <w:sz w:val="22"/>
                <w:szCs w:val="22"/>
              </w:rPr>
              <w:t>36</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C905822" w14:textId="77777777">
            <w:pPr>
              <w:spacing w:line="276" w:lineRule="auto"/>
              <w:rPr>
                <w:sz w:val="22"/>
                <w:szCs w:val="22"/>
              </w:rPr>
            </w:pPr>
            <w:r>
              <w:rPr>
                <w:sz w:val="22"/>
                <w:szCs w:val="22"/>
              </w:rPr>
              <w:t>SBUS2_BAL1_NON_LMITRACT_LMIBR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891FB46"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3618E10" w14:textId="77777777">
            <w:pPr>
              <w:rPr>
                <w:sz w:val="22"/>
                <w:szCs w:val="22"/>
              </w:rPr>
            </w:pPr>
            <w:r>
              <w:rPr>
                <w:sz w:val="22"/>
                <w:szCs w:val="22"/>
              </w:rPr>
              <w:t>Quarter-end, county-level sum of the quantified dollar value of retail loan balances reported in column 20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093C949" w14:textId="77777777">
            <w:pPr>
              <w:rPr>
                <w:sz w:val="22"/>
                <w:szCs w:val="22"/>
              </w:rPr>
            </w:pPr>
            <w:r>
              <w:rPr>
                <w:sz w:val="22"/>
                <w:szCs w:val="22"/>
              </w:rPr>
              <w:t xml:space="preserve">Reported in thousands of dollars. </w:t>
            </w:r>
          </w:p>
        </w:tc>
      </w:tr>
      <w:tr w:rsidR="00D224DC" w:rsidTr="00DE5A36" w14:paraId="38B83346"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75DA581C" w14:textId="77777777">
            <w:pPr>
              <w:jc w:val="right"/>
              <w:rPr>
                <w:sz w:val="22"/>
                <w:szCs w:val="22"/>
              </w:rPr>
            </w:pPr>
            <w:r>
              <w:rPr>
                <w:sz w:val="22"/>
                <w:szCs w:val="22"/>
              </w:rPr>
              <w:t>37</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4730E5A" w14:textId="77777777">
            <w:pPr>
              <w:spacing w:line="276" w:lineRule="auto"/>
              <w:rPr>
                <w:sz w:val="22"/>
                <w:szCs w:val="22"/>
              </w:rPr>
            </w:pPr>
            <w:r>
              <w:rPr>
                <w:sz w:val="22"/>
                <w:szCs w:val="22"/>
              </w:rPr>
              <w:t>SBUS1_BAL2_NON_LMITRACT_LMIBR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CFA66FD"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D4DDF04" w14:textId="77777777">
            <w:pPr>
              <w:rPr>
                <w:sz w:val="22"/>
                <w:szCs w:val="22"/>
              </w:rPr>
            </w:pPr>
            <w:r>
              <w:rPr>
                <w:sz w:val="22"/>
                <w:szCs w:val="22"/>
              </w:rPr>
              <w:t>Quarter-end, county-level sum of the quantified dollar value of retail loan balances reported in column 21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F714D87" w14:textId="77777777">
            <w:pPr>
              <w:rPr>
                <w:sz w:val="22"/>
                <w:szCs w:val="22"/>
              </w:rPr>
            </w:pPr>
            <w:r>
              <w:rPr>
                <w:sz w:val="22"/>
                <w:szCs w:val="22"/>
              </w:rPr>
              <w:t xml:space="preserve">Reported in thousands of dollars. </w:t>
            </w:r>
          </w:p>
        </w:tc>
      </w:tr>
      <w:tr w:rsidR="00D224DC" w:rsidTr="00DE5A36" w14:paraId="78038017"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0D93C865" w14:textId="77777777">
            <w:pPr>
              <w:jc w:val="right"/>
              <w:rPr>
                <w:sz w:val="22"/>
                <w:szCs w:val="22"/>
              </w:rPr>
            </w:pPr>
            <w:r>
              <w:rPr>
                <w:sz w:val="22"/>
                <w:szCs w:val="22"/>
              </w:rPr>
              <w:t>38</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97B7480" w14:textId="77777777">
            <w:pPr>
              <w:spacing w:line="276" w:lineRule="auto"/>
              <w:rPr>
                <w:sz w:val="22"/>
                <w:szCs w:val="22"/>
              </w:rPr>
            </w:pPr>
            <w:r>
              <w:rPr>
                <w:sz w:val="22"/>
                <w:szCs w:val="22"/>
              </w:rPr>
              <w:t>SBUS2_BAL2_NON_LMITRACT_LMIBR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03139FB"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B89FFD1" w14:textId="77777777">
            <w:pPr>
              <w:rPr>
                <w:sz w:val="22"/>
                <w:szCs w:val="22"/>
              </w:rPr>
            </w:pPr>
            <w:r>
              <w:rPr>
                <w:sz w:val="22"/>
                <w:szCs w:val="22"/>
              </w:rPr>
              <w:t>Quarter-end, county-level sum of the quantified dollar value of retail loan balances reported in column 22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827C028" w14:textId="77777777">
            <w:pPr>
              <w:rPr>
                <w:sz w:val="22"/>
                <w:szCs w:val="22"/>
              </w:rPr>
            </w:pPr>
            <w:r>
              <w:rPr>
                <w:sz w:val="22"/>
                <w:szCs w:val="22"/>
              </w:rPr>
              <w:t xml:space="preserve">Reported in thousands of dollars. </w:t>
            </w:r>
          </w:p>
        </w:tc>
      </w:tr>
      <w:tr w:rsidR="00D224DC" w:rsidTr="00DE5A36" w14:paraId="74539637"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3955F016" w14:textId="77777777">
            <w:pPr>
              <w:jc w:val="right"/>
              <w:rPr>
                <w:sz w:val="22"/>
                <w:szCs w:val="22"/>
              </w:rPr>
            </w:pPr>
            <w:r>
              <w:rPr>
                <w:sz w:val="22"/>
                <w:szCs w:val="22"/>
              </w:rPr>
              <w:t>39</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0E84E0A" w14:textId="77777777">
            <w:pPr>
              <w:spacing w:line="276" w:lineRule="auto"/>
              <w:rPr>
                <w:sz w:val="22"/>
                <w:szCs w:val="22"/>
              </w:rPr>
            </w:pPr>
            <w:r>
              <w:rPr>
                <w:sz w:val="22"/>
                <w:szCs w:val="22"/>
              </w:rPr>
              <w:t>SFARM1_BAL1_NON_LMITRACT_LMIBR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B06AB80"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9EE2D7C" w14:textId="77777777">
            <w:pPr>
              <w:rPr>
                <w:sz w:val="22"/>
                <w:szCs w:val="22"/>
              </w:rPr>
            </w:pPr>
            <w:r>
              <w:rPr>
                <w:sz w:val="22"/>
                <w:szCs w:val="22"/>
              </w:rPr>
              <w:t>Quarter-end, county-level sum of the quantified dollar value of retail loan balances reported in column 23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153BBAC" w14:textId="77777777">
            <w:pPr>
              <w:rPr>
                <w:sz w:val="22"/>
                <w:szCs w:val="22"/>
              </w:rPr>
            </w:pPr>
            <w:r>
              <w:rPr>
                <w:sz w:val="22"/>
                <w:szCs w:val="22"/>
              </w:rPr>
              <w:t xml:space="preserve">Reported in thousands of dollars. </w:t>
            </w:r>
          </w:p>
        </w:tc>
      </w:tr>
      <w:tr w:rsidR="00D224DC" w:rsidTr="00DE5A36" w14:paraId="4F45344C"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45B6A8ED" w14:textId="77777777">
            <w:pPr>
              <w:jc w:val="right"/>
              <w:rPr>
                <w:sz w:val="22"/>
                <w:szCs w:val="22"/>
              </w:rPr>
            </w:pPr>
            <w:r>
              <w:rPr>
                <w:sz w:val="22"/>
                <w:szCs w:val="22"/>
              </w:rPr>
              <w:t>40</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B7B6A23" w14:textId="77777777">
            <w:pPr>
              <w:spacing w:line="276" w:lineRule="auto"/>
              <w:rPr>
                <w:sz w:val="22"/>
                <w:szCs w:val="22"/>
              </w:rPr>
            </w:pPr>
            <w:r>
              <w:rPr>
                <w:sz w:val="22"/>
                <w:szCs w:val="22"/>
              </w:rPr>
              <w:t>SFARM2_BAL1_NON_LMITRACT_LMIBR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8A3729F"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170F030" w14:textId="77777777">
            <w:pPr>
              <w:rPr>
                <w:sz w:val="22"/>
                <w:szCs w:val="22"/>
              </w:rPr>
            </w:pPr>
            <w:r>
              <w:rPr>
                <w:sz w:val="22"/>
                <w:szCs w:val="22"/>
              </w:rPr>
              <w:t>Quarter-end, county-level sum of the quantified dollar value of retail loan balances reported in column 24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4BB44A4" w14:textId="77777777">
            <w:pPr>
              <w:rPr>
                <w:sz w:val="22"/>
                <w:szCs w:val="22"/>
              </w:rPr>
            </w:pPr>
            <w:r>
              <w:rPr>
                <w:sz w:val="22"/>
                <w:szCs w:val="22"/>
              </w:rPr>
              <w:t xml:space="preserve">Reported in thousands of dollars. </w:t>
            </w:r>
          </w:p>
        </w:tc>
      </w:tr>
      <w:tr w:rsidR="00D224DC" w:rsidTr="00DE5A36" w14:paraId="2624A587"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CF43707" w14:textId="77777777">
            <w:pPr>
              <w:jc w:val="right"/>
              <w:rPr>
                <w:sz w:val="22"/>
                <w:szCs w:val="22"/>
              </w:rPr>
            </w:pPr>
            <w:r>
              <w:rPr>
                <w:sz w:val="22"/>
                <w:szCs w:val="22"/>
              </w:rPr>
              <w:lastRenderedPageBreak/>
              <w:t>41</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FEFE534" w14:textId="77777777">
            <w:pPr>
              <w:spacing w:line="276" w:lineRule="auto"/>
              <w:rPr>
                <w:sz w:val="22"/>
                <w:szCs w:val="22"/>
              </w:rPr>
            </w:pPr>
            <w:r>
              <w:rPr>
                <w:sz w:val="22"/>
                <w:szCs w:val="22"/>
              </w:rPr>
              <w:t>SFARM1_BAL2_NON_LMITRACT_LMIBR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138D7AE"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CB6F53F" w14:textId="77777777">
            <w:pPr>
              <w:rPr>
                <w:sz w:val="22"/>
                <w:szCs w:val="22"/>
              </w:rPr>
            </w:pPr>
            <w:r>
              <w:rPr>
                <w:sz w:val="22"/>
                <w:szCs w:val="22"/>
              </w:rPr>
              <w:t>Quarter-end, county-level sum of the quantified dollar value of retail loan balances reported in column 25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1EB2CDB" w14:textId="77777777">
            <w:pPr>
              <w:rPr>
                <w:sz w:val="22"/>
                <w:szCs w:val="22"/>
              </w:rPr>
            </w:pPr>
            <w:r>
              <w:rPr>
                <w:sz w:val="22"/>
                <w:szCs w:val="22"/>
              </w:rPr>
              <w:t xml:space="preserve">Reported in thousands of dollars. </w:t>
            </w:r>
          </w:p>
        </w:tc>
      </w:tr>
      <w:tr w:rsidR="00D224DC" w:rsidTr="00DE5A36" w14:paraId="56A7E73C" w14:textId="77777777">
        <w:trPr>
          <w:trHeight w:val="12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66EEE8F5" w14:textId="77777777">
            <w:pPr>
              <w:jc w:val="right"/>
              <w:rPr>
                <w:sz w:val="22"/>
                <w:szCs w:val="22"/>
              </w:rPr>
            </w:pPr>
            <w:r>
              <w:rPr>
                <w:sz w:val="22"/>
                <w:szCs w:val="22"/>
              </w:rPr>
              <w:t>42</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66BF2B1" w14:textId="77777777">
            <w:pPr>
              <w:spacing w:line="276" w:lineRule="auto"/>
              <w:rPr>
                <w:sz w:val="22"/>
                <w:szCs w:val="22"/>
              </w:rPr>
            </w:pPr>
            <w:r>
              <w:rPr>
                <w:sz w:val="22"/>
                <w:szCs w:val="22"/>
              </w:rPr>
              <w:t>SFARM2_BAL2_NON_LMITRACT_LMIBR</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64A5B86"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DA5FAD3" w14:textId="77777777">
            <w:pPr>
              <w:rPr>
                <w:sz w:val="22"/>
                <w:szCs w:val="22"/>
              </w:rPr>
            </w:pPr>
            <w:r>
              <w:rPr>
                <w:sz w:val="22"/>
                <w:szCs w:val="22"/>
              </w:rPr>
              <w:t>Quarter-end, county-level sum of the quantified dollar value of retail loan balances reported in column 26 where the loan originations were generated by branches in LMI census tracts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3942DA5" w14:textId="77777777">
            <w:pPr>
              <w:rPr>
                <w:sz w:val="22"/>
                <w:szCs w:val="22"/>
              </w:rPr>
            </w:pPr>
            <w:r>
              <w:rPr>
                <w:sz w:val="22"/>
                <w:szCs w:val="22"/>
              </w:rPr>
              <w:t xml:space="preserve">Reported in thousands of dollars. </w:t>
            </w:r>
          </w:p>
        </w:tc>
      </w:tr>
      <w:tr w:rsidR="00D224DC" w:rsidTr="00DE5A36" w14:paraId="132B3799" w14:textId="77777777">
        <w:trPr>
          <w:trHeight w:val="18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025ECFE7" w14:textId="77777777">
            <w:pPr>
              <w:jc w:val="right"/>
              <w:rPr>
                <w:sz w:val="22"/>
                <w:szCs w:val="22"/>
              </w:rPr>
            </w:pPr>
            <w:r>
              <w:rPr>
                <w:sz w:val="22"/>
                <w:szCs w:val="22"/>
              </w:rPr>
              <w:t>43</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A5A8200" w14:textId="77777777">
            <w:pPr>
              <w:spacing w:line="276" w:lineRule="auto"/>
              <w:rPr>
                <w:sz w:val="22"/>
                <w:szCs w:val="22"/>
              </w:rPr>
            </w:pPr>
            <w:r>
              <w:rPr>
                <w:sz w:val="22"/>
                <w:szCs w:val="22"/>
              </w:rPr>
              <w:t>CDLOAN_MINORITY_BAL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D39EC81"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232EBAB" w14:textId="77777777">
            <w:pPr>
              <w:rPr>
                <w:sz w:val="22"/>
                <w:szCs w:val="22"/>
              </w:rPr>
            </w:pPr>
            <w:r>
              <w:rPr>
                <w:sz w:val="22"/>
                <w:szCs w:val="22"/>
              </w:rPr>
              <w:t>Quarter-end, county-level sum of the quantified dollar value of balances of CD loans provided to or that support minority depository institutions, women's depository institutions, CDFIs, low-income credit unions and other affordable housing-related CD loans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687CF5F" w14:textId="77777777">
            <w:pPr>
              <w:rPr>
                <w:sz w:val="22"/>
                <w:szCs w:val="22"/>
              </w:rPr>
            </w:pPr>
            <w:r>
              <w:rPr>
                <w:sz w:val="22"/>
                <w:szCs w:val="22"/>
              </w:rPr>
              <w:t xml:space="preserve">Reported in thousands of dollars. </w:t>
            </w:r>
          </w:p>
        </w:tc>
      </w:tr>
      <w:tr w:rsidR="00D224DC" w:rsidTr="00DE5A36" w14:paraId="18326D6E" w14:textId="77777777">
        <w:trPr>
          <w:trHeight w:val="9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7C009204" w14:textId="77777777">
            <w:pPr>
              <w:jc w:val="right"/>
              <w:rPr>
                <w:sz w:val="22"/>
                <w:szCs w:val="22"/>
              </w:rPr>
            </w:pPr>
            <w:r>
              <w:rPr>
                <w:sz w:val="22"/>
                <w:szCs w:val="22"/>
              </w:rPr>
              <w:t>44</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CEE8E74" w14:textId="77777777">
            <w:pPr>
              <w:spacing w:line="276" w:lineRule="auto"/>
              <w:rPr>
                <w:sz w:val="22"/>
                <w:szCs w:val="22"/>
              </w:rPr>
            </w:pPr>
            <w:r>
              <w:rPr>
                <w:sz w:val="22"/>
                <w:szCs w:val="22"/>
              </w:rPr>
              <w:t>CDLOAN_OTHER_BAL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6DBBA4E"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68704B9" w14:textId="77777777">
            <w:pPr>
              <w:rPr>
                <w:sz w:val="22"/>
                <w:szCs w:val="22"/>
              </w:rPr>
            </w:pPr>
            <w:r>
              <w:rPr>
                <w:sz w:val="22"/>
                <w:szCs w:val="22"/>
              </w:rPr>
              <w:t>Quarter-end, county-level sum of the quantified dollar value of balances of CD loans other than those captured in column 43</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4CD0480" w14:textId="77777777">
            <w:pPr>
              <w:rPr>
                <w:sz w:val="22"/>
                <w:szCs w:val="22"/>
              </w:rPr>
            </w:pPr>
            <w:r>
              <w:rPr>
                <w:sz w:val="22"/>
                <w:szCs w:val="22"/>
              </w:rPr>
              <w:t xml:space="preserve">Reported in thousands of dollars. </w:t>
            </w:r>
          </w:p>
        </w:tc>
      </w:tr>
      <w:tr w:rsidR="00D224DC" w:rsidTr="00DE5A36" w14:paraId="4DD97E01" w14:textId="77777777">
        <w:trPr>
          <w:trHeight w:val="15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619CE103" w14:textId="77777777">
            <w:pPr>
              <w:jc w:val="right"/>
              <w:rPr>
                <w:sz w:val="22"/>
                <w:szCs w:val="22"/>
              </w:rPr>
            </w:pPr>
            <w:r>
              <w:rPr>
                <w:sz w:val="22"/>
                <w:szCs w:val="22"/>
              </w:rPr>
              <w:t>45</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A7117F0" w14:textId="77777777">
            <w:pPr>
              <w:spacing w:line="276" w:lineRule="auto"/>
              <w:rPr>
                <w:sz w:val="22"/>
                <w:szCs w:val="22"/>
              </w:rPr>
            </w:pPr>
            <w:r>
              <w:rPr>
                <w:sz w:val="22"/>
                <w:szCs w:val="22"/>
              </w:rPr>
              <w:t>CDINVT_BAL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FB048F3"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8EB684B" w14:textId="77777777">
            <w:pPr>
              <w:rPr>
                <w:sz w:val="22"/>
                <w:szCs w:val="22"/>
              </w:rPr>
            </w:pPr>
            <w:r>
              <w:rPr>
                <w:sz w:val="22"/>
                <w:szCs w:val="22"/>
              </w:rPr>
              <w:t>Quarter-end, county-level sum of the quantified dollar value of balances of CD investments held on balance sheet, excluding mortgage-backed securities and municipal bonds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A0CF32B" w14:textId="77777777">
            <w:pPr>
              <w:rPr>
                <w:sz w:val="22"/>
                <w:szCs w:val="22"/>
              </w:rPr>
            </w:pPr>
            <w:r>
              <w:rPr>
                <w:sz w:val="22"/>
                <w:szCs w:val="22"/>
              </w:rPr>
              <w:t xml:space="preserve">Reported in thousands of dollars. </w:t>
            </w:r>
          </w:p>
        </w:tc>
      </w:tr>
      <w:tr w:rsidR="00D224DC" w:rsidTr="00DE5A36" w14:paraId="6B3F4B9A" w14:textId="77777777">
        <w:trPr>
          <w:trHeight w:val="9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BC3CDD9" w14:textId="77777777">
            <w:pPr>
              <w:jc w:val="right"/>
              <w:rPr>
                <w:sz w:val="22"/>
                <w:szCs w:val="22"/>
              </w:rPr>
            </w:pPr>
            <w:r>
              <w:rPr>
                <w:sz w:val="22"/>
                <w:szCs w:val="22"/>
              </w:rPr>
              <w:t>46</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1BCBD60" w14:textId="77777777">
            <w:pPr>
              <w:spacing w:line="276" w:lineRule="auto"/>
              <w:rPr>
                <w:sz w:val="22"/>
                <w:szCs w:val="22"/>
              </w:rPr>
            </w:pPr>
            <w:r>
              <w:rPr>
                <w:sz w:val="22"/>
                <w:szCs w:val="22"/>
              </w:rPr>
              <w:t>MBS_BAL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0B9C08E"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11CAF4C" w14:textId="77777777">
            <w:pPr>
              <w:rPr>
                <w:sz w:val="22"/>
                <w:szCs w:val="22"/>
              </w:rPr>
            </w:pPr>
            <w:r>
              <w:rPr>
                <w:sz w:val="22"/>
                <w:szCs w:val="22"/>
              </w:rPr>
              <w:t>Quarter-end, county-level sum of the quantified dollar value of balances of qualifying mortgage backed securities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47DDACB" w14:textId="77777777">
            <w:pPr>
              <w:rPr>
                <w:sz w:val="22"/>
                <w:szCs w:val="22"/>
              </w:rPr>
            </w:pPr>
            <w:r>
              <w:rPr>
                <w:sz w:val="22"/>
                <w:szCs w:val="22"/>
              </w:rPr>
              <w:t xml:space="preserve">Reported in thousands of dollars. </w:t>
            </w:r>
          </w:p>
        </w:tc>
      </w:tr>
      <w:tr w:rsidR="00D224DC" w:rsidTr="00DE5A36" w14:paraId="307622CD" w14:textId="77777777">
        <w:trPr>
          <w:trHeight w:val="9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76443313" w14:textId="77777777">
            <w:pPr>
              <w:jc w:val="right"/>
              <w:rPr>
                <w:sz w:val="22"/>
                <w:szCs w:val="22"/>
              </w:rPr>
            </w:pPr>
            <w:r>
              <w:rPr>
                <w:sz w:val="22"/>
                <w:szCs w:val="22"/>
              </w:rPr>
              <w:lastRenderedPageBreak/>
              <w:t>47</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16861E7" w14:textId="77777777">
            <w:pPr>
              <w:spacing w:line="276" w:lineRule="auto"/>
              <w:rPr>
                <w:sz w:val="22"/>
                <w:szCs w:val="22"/>
              </w:rPr>
            </w:pPr>
            <w:r>
              <w:rPr>
                <w:sz w:val="22"/>
                <w:szCs w:val="22"/>
              </w:rPr>
              <w:t>MUNI_BAL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C80BA74"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17DBE52" w14:textId="77777777">
            <w:pPr>
              <w:rPr>
                <w:sz w:val="22"/>
                <w:szCs w:val="22"/>
              </w:rPr>
            </w:pPr>
            <w:r>
              <w:rPr>
                <w:sz w:val="22"/>
                <w:szCs w:val="22"/>
              </w:rPr>
              <w:t>Quarter-end, county-level sum of the quantified dollar value of balances of qualifying municipal bonds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FFB22E3" w14:textId="77777777">
            <w:pPr>
              <w:rPr>
                <w:sz w:val="22"/>
                <w:szCs w:val="22"/>
              </w:rPr>
            </w:pPr>
            <w:r>
              <w:rPr>
                <w:sz w:val="22"/>
                <w:szCs w:val="22"/>
              </w:rPr>
              <w:t xml:space="preserve">Reported in thousands of dollars. </w:t>
            </w:r>
          </w:p>
        </w:tc>
      </w:tr>
      <w:tr w:rsidR="00D224DC" w:rsidTr="00DE5A36" w14:paraId="61609289" w14:textId="77777777">
        <w:trPr>
          <w:trHeight w:val="24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3F21DF20" w14:textId="77777777">
            <w:pPr>
              <w:jc w:val="right"/>
              <w:rPr>
                <w:sz w:val="22"/>
                <w:szCs w:val="22"/>
              </w:rPr>
            </w:pPr>
            <w:r>
              <w:rPr>
                <w:sz w:val="22"/>
                <w:szCs w:val="22"/>
              </w:rPr>
              <w:t>48</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179A180" w14:textId="77777777">
            <w:pPr>
              <w:spacing w:line="276" w:lineRule="auto"/>
              <w:rPr>
                <w:sz w:val="22"/>
                <w:szCs w:val="22"/>
              </w:rPr>
            </w:pPr>
            <w:r>
              <w:rPr>
                <w:sz w:val="22"/>
                <w:szCs w:val="22"/>
              </w:rPr>
              <w:t>CDINVTFUND_BAL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2355AEF"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3EE357A" w14:textId="77777777">
            <w:pPr>
              <w:rPr>
                <w:sz w:val="22"/>
                <w:szCs w:val="22"/>
              </w:rPr>
            </w:pPr>
            <w:r>
              <w:rPr>
                <w:sz w:val="22"/>
                <w:szCs w:val="22"/>
              </w:rPr>
              <w:t>Quarter-end, county-level sum of the quantified dollar value of community development investment funds that are syndicated or sponsored by the bank for the purpose of obtaining financing from other investors and support one or more projects that are eligible for low-income housing tax credits or new markets tax credits (exclude the portion of the syndication on the bank’s balance sheet and report in the appropriate column above)</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4865B11" w14:textId="77777777">
            <w:pPr>
              <w:rPr>
                <w:sz w:val="22"/>
                <w:szCs w:val="22"/>
              </w:rPr>
            </w:pPr>
            <w:r>
              <w:rPr>
                <w:sz w:val="22"/>
                <w:szCs w:val="22"/>
              </w:rPr>
              <w:t xml:space="preserve">Reported in thousands of dollars. </w:t>
            </w:r>
          </w:p>
        </w:tc>
      </w:tr>
      <w:tr w:rsidR="00D224DC" w:rsidTr="00DE5A36" w14:paraId="3EBBB566" w14:textId="77777777">
        <w:trPr>
          <w:trHeight w:val="6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0E2793F" w14:textId="77777777">
            <w:pPr>
              <w:jc w:val="right"/>
              <w:rPr>
                <w:sz w:val="22"/>
                <w:szCs w:val="22"/>
              </w:rPr>
            </w:pPr>
            <w:r>
              <w:rPr>
                <w:sz w:val="22"/>
                <w:szCs w:val="22"/>
              </w:rPr>
              <w:t>49</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B5239CF" w14:textId="77777777">
            <w:pPr>
              <w:spacing w:line="276" w:lineRule="auto"/>
              <w:rPr>
                <w:sz w:val="22"/>
                <w:szCs w:val="22"/>
              </w:rPr>
            </w:pPr>
            <w:r>
              <w:rPr>
                <w:sz w:val="22"/>
                <w:szCs w:val="22"/>
              </w:rPr>
              <w:t>CDSERV_BAL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C807E76"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8803A8D" w14:textId="77777777">
            <w:pPr>
              <w:rPr>
                <w:sz w:val="22"/>
                <w:szCs w:val="22"/>
              </w:rPr>
            </w:pPr>
            <w:r>
              <w:rPr>
                <w:sz w:val="22"/>
                <w:szCs w:val="22"/>
              </w:rPr>
              <w:t>County-level sum of CD services performed during the quarter</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A530A37" w14:textId="77777777">
            <w:pPr>
              <w:rPr>
                <w:sz w:val="22"/>
                <w:szCs w:val="22"/>
              </w:rPr>
            </w:pPr>
            <w:r>
              <w:rPr>
                <w:sz w:val="22"/>
                <w:szCs w:val="22"/>
              </w:rPr>
              <w:t xml:space="preserve">Reported in thousands of dollars. </w:t>
            </w:r>
          </w:p>
        </w:tc>
      </w:tr>
      <w:tr w:rsidR="00D224DC" w:rsidTr="00DE5A36" w14:paraId="5AE9DCCF" w14:textId="77777777">
        <w:trPr>
          <w:trHeight w:val="15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422AE697" w14:textId="77777777">
            <w:pPr>
              <w:jc w:val="right"/>
              <w:rPr>
                <w:sz w:val="22"/>
                <w:szCs w:val="22"/>
              </w:rPr>
            </w:pPr>
            <w:r>
              <w:rPr>
                <w:sz w:val="22"/>
                <w:szCs w:val="22"/>
              </w:rPr>
              <w:t>50</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2DD1536" w14:textId="77777777">
            <w:pPr>
              <w:spacing w:line="276" w:lineRule="auto"/>
              <w:rPr>
                <w:sz w:val="22"/>
                <w:szCs w:val="22"/>
              </w:rPr>
            </w:pPr>
            <w:r>
              <w:rPr>
                <w:sz w:val="22"/>
                <w:szCs w:val="22"/>
              </w:rPr>
              <w:t>DONATION_MINORITY_BAL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68370BC"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B88DE60" w14:textId="77777777">
            <w:pPr>
              <w:rPr>
                <w:sz w:val="22"/>
                <w:szCs w:val="22"/>
              </w:rPr>
            </w:pPr>
            <w:r>
              <w:rPr>
                <w:sz w:val="22"/>
                <w:szCs w:val="22"/>
              </w:rPr>
              <w:t>County-level sum of qualifying monetary or in-kind donations provided to or that support minority depository institutions, women's depository institutions, CDFIs, low-income credit unions</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CC7E004" w14:textId="77777777">
            <w:pPr>
              <w:rPr>
                <w:sz w:val="22"/>
                <w:szCs w:val="22"/>
              </w:rPr>
            </w:pPr>
            <w:r>
              <w:rPr>
                <w:sz w:val="22"/>
                <w:szCs w:val="22"/>
              </w:rPr>
              <w:t xml:space="preserve">Reported in thousands of dollars. </w:t>
            </w:r>
          </w:p>
        </w:tc>
      </w:tr>
      <w:tr w:rsidR="00D224DC" w:rsidTr="00DE5A36" w14:paraId="2197EE30" w14:textId="77777777">
        <w:trPr>
          <w:trHeight w:val="900"/>
        </w:trPr>
        <w:tc>
          <w:tcPr>
            <w:tcW w:w="418"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8C8C57E" w14:textId="77777777">
            <w:pPr>
              <w:jc w:val="right"/>
              <w:rPr>
                <w:sz w:val="22"/>
                <w:szCs w:val="22"/>
              </w:rPr>
            </w:pPr>
            <w:r>
              <w:rPr>
                <w:sz w:val="22"/>
                <w:szCs w:val="22"/>
              </w:rPr>
              <w:t>51</w:t>
            </w:r>
          </w:p>
        </w:tc>
        <w:tc>
          <w:tcPr>
            <w:tcW w:w="187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94D59E0" w14:textId="77777777">
            <w:pPr>
              <w:spacing w:line="276" w:lineRule="auto"/>
              <w:rPr>
                <w:sz w:val="22"/>
                <w:szCs w:val="22"/>
              </w:rPr>
            </w:pPr>
            <w:r>
              <w:rPr>
                <w:sz w:val="22"/>
                <w:szCs w:val="22"/>
              </w:rPr>
              <w:t>DONATION_OTHER_BAL</w:t>
            </w:r>
          </w:p>
        </w:tc>
        <w:tc>
          <w:tcPr>
            <w:tcW w:w="479"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77DBDD2" w14:textId="77777777">
            <w:pPr>
              <w:rPr>
                <w:sz w:val="22"/>
                <w:szCs w:val="22"/>
              </w:rPr>
            </w:pPr>
            <w:r>
              <w:rPr>
                <w:sz w:val="22"/>
                <w:szCs w:val="22"/>
              </w:rPr>
              <w:t>Numeric</w:t>
            </w:r>
          </w:p>
        </w:tc>
        <w:tc>
          <w:tcPr>
            <w:tcW w:w="1681"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DE7D3CA" w14:textId="77777777">
            <w:pPr>
              <w:rPr>
                <w:sz w:val="22"/>
                <w:szCs w:val="22"/>
              </w:rPr>
            </w:pPr>
            <w:r>
              <w:rPr>
                <w:sz w:val="22"/>
                <w:szCs w:val="22"/>
              </w:rPr>
              <w:t>County-level sum of qualifying monetary or in-kind donations other than those captured in column 50</w:t>
            </w:r>
          </w:p>
        </w:tc>
        <w:tc>
          <w:tcPr>
            <w:tcW w:w="548"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1B4D68E" w14:textId="77777777">
            <w:pPr>
              <w:rPr>
                <w:sz w:val="22"/>
                <w:szCs w:val="22"/>
              </w:rPr>
            </w:pPr>
            <w:r>
              <w:rPr>
                <w:sz w:val="22"/>
                <w:szCs w:val="22"/>
              </w:rPr>
              <w:t xml:space="preserve">Reported in thousands of dollars. </w:t>
            </w:r>
          </w:p>
        </w:tc>
      </w:tr>
    </w:tbl>
    <w:p w:rsidR="00D224DC" w:rsidP="00D224DC" w:rsidRDefault="00D224DC" w14:paraId="5C9970CA" w14:textId="77777777">
      <w:pPr>
        <w:pStyle w:val="ListParagraph"/>
        <w:spacing w:line="480" w:lineRule="auto"/>
        <w:sectPr w:rsidR="00D224DC" w:rsidSect="005A5991">
          <w:pgSz w:w="15840" w:h="12240" w:orient="landscape"/>
          <w:pgMar w:top="1800" w:right="1440" w:bottom="1800" w:left="1440" w:header="720" w:footer="720" w:gutter="0"/>
          <w:cols w:space="720"/>
          <w:docGrid w:linePitch="360"/>
        </w:sectPr>
      </w:pPr>
    </w:p>
    <w:p w:rsidRPr="00A71FA3" w:rsidR="00D224DC" w:rsidP="00D224DC" w:rsidRDefault="00D224DC" w14:paraId="0588EEEC" w14:textId="77777777">
      <w:pPr>
        <w:spacing w:line="480" w:lineRule="auto"/>
      </w:pPr>
      <w:r>
        <w:lastRenderedPageBreak/>
        <w:t xml:space="preserve">10. </w:t>
      </w:r>
      <w:r>
        <w:tab/>
      </w:r>
      <w:r w:rsidRPr="00A71FA3">
        <w:t>For Table 1, Columns 52 -59, please include the mortgage and consumer loans only if the borrower income status is not available and the loan is not located in Indian country or other tribal and native lands.  For these loans, use the tract income level as a proxy to determine whether the retail loan is qualifying.</w:t>
      </w:r>
    </w:p>
    <w:p w:rsidRPr="00A71FA3" w:rsidR="00D224DC" w:rsidP="00D224DC" w:rsidRDefault="00D224DC" w14:paraId="714278AC" w14:textId="77777777">
      <w:pPr>
        <w:spacing w:line="480" w:lineRule="auto"/>
      </w:pPr>
      <w:r>
        <w:t xml:space="preserve">11. </w:t>
      </w:r>
      <w:r>
        <w:tab/>
      </w:r>
      <w:r w:rsidRPr="00A71FA3">
        <w:t xml:space="preserve">Calculate and report the sum, at the county level, of the quantified dollar value of all quarter-end balances for these mortgage and consumer loans that are generated by branches in LMI tracts. </w:t>
      </w:r>
    </w:p>
    <w:p w:rsidRPr="00843FAE" w:rsidR="00D224DC" w:rsidP="00D224DC" w:rsidRDefault="00D224DC" w14:paraId="1E1C4D61" w14:textId="77777777">
      <w:pPr>
        <w:spacing w:line="480" w:lineRule="auto"/>
      </w:pPr>
    </w:p>
    <w:p w:rsidR="00D224DC" w:rsidP="00D224DC" w:rsidRDefault="00D224DC" w14:paraId="3ED1557C" w14:textId="77777777">
      <w:pPr>
        <w:spacing w:line="480" w:lineRule="auto"/>
      </w:pPr>
    </w:p>
    <w:p w:rsidR="00D224DC" w:rsidP="00D224DC" w:rsidRDefault="00D224DC" w14:paraId="7FC94851" w14:textId="77777777">
      <w:pPr>
        <w:spacing w:line="480" w:lineRule="auto"/>
      </w:pPr>
    </w:p>
    <w:p w:rsidR="00D224DC" w:rsidP="00D224DC" w:rsidRDefault="00D224DC" w14:paraId="67E83632" w14:textId="77777777">
      <w:pPr>
        <w:spacing w:line="480" w:lineRule="auto"/>
      </w:pPr>
    </w:p>
    <w:p w:rsidR="00D224DC" w:rsidP="00D224DC" w:rsidRDefault="00D224DC" w14:paraId="52741639" w14:textId="77777777">
      <w:pPr>
        <w:spacing w:line="480" w:lineRule="auto"/>
      </w:pPr>
    </w:p>
    <w:p w:rsidR="00D224DC" w:rsidP="00D224DC" w:rsidRDefault="00D224DC" w14:paraId="4A855E6D" w14:textId="77777777">
      <w:pPr>
        <w:spacing w:line="480" w:lineRule="auto"/>
      </w:pPr>
    </w:p>
    <w:p w:rsidRPr="0089679A" w:rsidR="00D224DC" w:rsidP="00D224DC" w:rsidRDefault="00D224DC" w14:paraId="79844DA4" w14:textId="77777777">
      <w:pPr>
        <w:spacing w:line="480" w:lineRule="auto"/>
      </w:pPr>
    </w:p>
    <w:p w:rsidR="00D224DC" w:rsidP="00D224DC" w:rsidRDefault="00D224DC" w14:paraId="63A388CF" w14:textId="77777777">
      <w:pPr>
        <w:spacing w:line="480" w:lineRule="auto"/>
        <w:ind w:left="360" w:hanging="360"/>
        <w:rPr>
          <w:i/>
        </w:rPr>
        <w:sectPr w:rsidR="00D224DC" w:rsidSect="008E6536">
          <w:pgSz w:w="12240" w:h="15840"/>
          <w:pgMar w:top="1440" w:right="1800" w:bottom="1440" w:left="1800" w:header="720" w:footer="720" w:gutter="0"/>
          <w:cols w:space="720"/>
          <w:docGrid w:linePitch="360"/>
        </w:sectPr>
      </w:pPr>
    </w:p>
    <w:p w:rsidR="00D224DC" w:rsidP="00D224DC" w:rsidRDefault="00D224DC" w14:paraId="13C44D56" w14:textId="77777777">
      <w:pPr>
        <w:spacing w:before="240" w:line="480" w:lineRule="auto"/>
      </w:pPr>
      <w:bookmarkStart w:name="_Hlk44062718" w:id="8"/>
      <w:r>
        <w:rPr>
          <w:b/>
          <w:bCs/>
        </w:rPr>
        <w:lastRenderedPageBreak/>
        <w:t>Table 1, Columns 52</w:t>
      </w:r>
      <w:r w:rsidRPr="00C27EA4">
        <w:rPr>
          <w:b/>
          <w:bCs/>
        </w:rPr>
        <w:t>-</w:t>
      </w:r>
      <w:r>
        <w:rPr>
          <w:b/>
          <w:bCs/>
        </w:rPr>
        <w:t xml:space="preserve">59: The Quarter-End Quantified Dollar Value of Qualifying Activities </w:t>
      </w:r>
      <w:r>
        <w:rPr>
          <w:rFonts w:eastAsia="Calibri"/>
          <w:b/>
        </w:rPr>
        <w:t>by County, Quarter</w:t>
      </w:r>
      <w:r>
        <w:rPr>
          <w:rFonts w:eastAsia="Calibri"/>
        </w:rPr>
        <w:t xml:space="preserve"> </w:t>
      </w:r>
      <w:bookmarkEnd w:id="8"/>
    </w:p>
    <w:tbl>
      <w:tblPr>
        <w:tblW w:w="4247" w:type="pct"/>
        <w:tblLook w:val="04A0" w:firstRow="1" w:lastRow="0" w:firstColumn="1" w:lastColumn="0" w:noHBand="0" w:noVBand="1"/>
      </w:tblPr>
      <w:tblGrid>
        <w:gridCol w:w="975"/>
        <w:gridCol w:w="3423"/>
        <w:gridCol w:w="1144"/>
        <w:gridCol w:w="3216"/>
        <w:gridCol w:w="2242"/>
      </w:tblGrid>
      <w:tr w:rsidR="00D224DC" w:rsidTr="00DE5A36" w14:paraId="5A037566" w14:textId="77777777">
        <w:trPr>
          <w:trHeight w:val="285"/>
        </w:trPr>
        <w:tc>
          <w:tcPr>
            <w:tcW w:w="443" w:type="pct"/>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00D224DC" w:rsidP="00DE5A36" w:rsidRDefault="00D224DC" w14:paraId="6CD79170" w14:textId="77777777">
            <w:pPr>
              <w:rPr>
                <w:b/>
                <w:bCs/>
                <w:sz w:val="22"/>
                <w:szCs w:val="22"/>
              </w:rPr>
            </w:pPr>
            <w:r>
              <w:rPr>
                <w:b/>
                <w:bCs/>
                <w:sz w:val="22"/>
                <w:szCs w:val="22"/>
              </w:rPr>
              <w:t>Column</w:t>
            </w:r>
          </w:p>
        </w:tc>
        <w:tc>
          <w:tcPr>
            <w:tcW w:w="1556" w:type="pct"/>
            <w:tcBorders>
              <w:top w:val="single" w:color="auto" w:sz="4" w:space="0"/>
              <w:left w:val="nil"/>
              <w:bottom w:val="single" w:color="auto" w:sz="4" w:space="0"/>
              <w:right w:val="single" w:color="auto" w:sz="4" w:space="0"/>
            </w:tcBorders>
            <w:shd w:val="clear" w:color="000000" w:fill="D6DCE4"/>
            <w:noWrap/>
            <w:vAlign w:val="bottom"/>
            <w:hideMark/>
          </w:tcPr>
          <w:p w:rsidR="00D224DC" w:rsidP="00DE5A36" w:rsidRDefault="00D224DC" w14:paraId="24F3748B" w14:textId="77777777">
            <w:pPr>
              <w:rPr>
                <w:b/>
                <w:bCs/>
                <w:sz w:val="22"/>
                <w:szCs w:val="22"/>
              </w:rPr>
            </w:pPr>
            <w:r>
              <w:rPr>
                <w:b/>
                <w:bCs/>
                <w:sz w:val="22"/>
                <w:szCs w:val="22"/>
              </w:rPr>
              <w:t>Data Name</w:t>
            </w:r>
          </w:p>
        </w:tc>
        <w:tc>
          <w:tcPr>
            <w:tcW w:w="520" w:type="pct"/>
            <w:tcBorders>
              <w:top w:val="single" w:color="auto" w:sz="4" w:space="0"/>
              <w:left w:val="nil"/>
              <w:bottom w:val="single" w:color="auto" w:sz="4" w:space="0"/>
              <w:right w:val="single" w:color="auto" w:sz="4" w:space="0"/>
            </w:tcBorders>
            <w:shd w:val="clear" w:color="000000" w:fill="D6DCE4"/>
            <w:noWrap/>
            <w:vAlign w:val="bottom"/>
            <w:hideMark/>
          </w:tcPr>
          <w:p w:rsidR="00D224DC" w:rsidP="00DE5A36" w:rsidRDefault="00D224DC" w14:paraId="2ACABFE8" w14:textId="77777777">
            <w:pPr>
              <w:rPr>
                <w:b/>
                <w:bCs/>
                <w:sz w:val="22"/>
                <w:szCs w:val="22"/>
              </w:rPr>
            </w:pPr>
            <w:r>
              <w:rPr>
                <w:b/>
                <w:bCs/>
                <w:sz w:val="22"/>
                <w:szCs w:val="22"/>
              </w:rPr>
              <w:t>Format</w:t>
            </w:r>
          </w:p>
        </w:tc>
        <w:tc>
          <w:tcPr>
            <w:tcW w:w="1462" w:type="pct"/>
            <w:tcBorders>
              <w:top w:val="single" w:color="auto" w:sz="4" w:space="0"/>
              <w:left w:val="nil"/>
              <w:bottom w:val="single" w:color="auto" w:sz="4" w:space="0"/>
              <w:right w:val="single" w:color="auto" w:sz="4" w:space="0"/>
            </w:tcBorders>
            <w:shd w:val="clear" w:color="000000" w:fill="D6DCE4"/>
            <w:vAlign w:val="bottom"/>
            <w:hideMark/>
          </w:tcPr>
          <w:p w:rsidR="00D224DC" w:rsidP="00DE5A36" w:rsidRDefault="00D224DC" w14:paraId="3F30DEBB" w14:textId="77777777">
            <w:pPr>
              <w:rPr>
                <w:b/>
                <w:bCs/>
                <w:sz w:val="22"/>
                <w:szCs w:val="22"/>
              </w:rPr>
            </w:pPr>
            <w:r>
              <w:rPr>
                <w:b/>
                <w:bCs/>
                <w:sz w:val="22"/>
                <w:szCs w:val="22"/>
              </w:rPr>
              <w:t>Data Definition</w:t>
            </w:r>
          </w:p>
        </w:tc>
        <w:tc>
          <w:tcPr>
            <w:tcW w:w="1019" w:type="pct"/>
            <w:tcBorders>
              <w:top w:val="single" w:color="auto" w:sz="4" w:space="0"/>
              <w:left w:val="nil"/>
              <w:bottom w:val="single" w:color="auto" w:sz="4" w:space="0"/>
              <w:right w:val="single" w:color="auto" w:sz="4" w:space="0"/>
            </w:tcBorders>
            <w:shd w:val="clear" w:color="000000" w:fill="D6DCE4"/>
            <w:vAlign w:val="bottom"/>
            <w:hideMark/>
          </w:tcPr>
          <w:p w:rsidR="00D224DC" w:rsidP="00DE5A36" w:rsidRDefault="00D224DC" w14:paraId="50DD6F4B" w14:textId="77777777">
            <w:pPr>
              <w:rPr>
                <w:b/>
                <w:bCs/>
                <w:sz w:val="22"/>
                <w:szCs w:val="22"/>
              </w:rPr>
            </w:pPr>
            <w:r>
              <w:rPr>
                <w:b/>
                <w:bCs/>
                <w:sz w:val="22"/>
                <w:szCs w:val="22"/>
              </w:rPr>
              <w:t>Comments</w:t>
            </w:r>
          </w:p>
        </w:tc>
      </w:tr>
      <w:tr w:rsidR="00D224DC" w:rsidTr="00DE5A36" w14:paraId="7B059BB7" w14:textId="77777777">
        <w:trPr>
          <w:trHeight w:val="123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1BBAC23" w14:textId="77777777">
            <w:pPr>
              <w:jc w:val="right"/>
              <w:rPr>
                <w:sz w:val="22"/>
                <w:szCs w:val="22"/>
              </w:rPr>
            </w:pPr>
            <w:r>
              <w:rPr>
                <w:sz w:val="22"/>
                <w:szCs w:val="22"/>
              </w:rPr>
              <w:t>52</w:t>
            </w:r>
          </w:p>
        </w:tc>
        <w:tc>
          <w:tcPr>
            <w:tcW w:w="155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7C78BA4" w14:textId="77777777">
            <w:pPr>
              <w:spacing w:line="276" w:lineRule="auto"/>
              <w:rPr>
                <w:sz w:val="22"/>
                <w:szCs w:val="22"/>
              </w:rPr>
            </w:pPr>
            <w:r>
              <w:rPr>
                <w:sz w:val="22"/>
                <w:szCs w:val="22"/>
              </w:rPr>
              <w:t>MTG_TI_BAL</w:t>
            </w:r>
          </w:p>
        </w:tc>
        <w:tc>
          <w:tcPr>
            <w:tcW w:w="52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D44CCA6" w14:textId="77777777">
            <w:pPr>
              <w:rPr>
                <w:sz w:val="22"/>
                <w:szCs w:val="22"/>
              </w:rPr>
            </w:pPr>
            <w:r>
              <w:rPr>
                <w:sz w:val="22"/>
                <w:szCs w:val="22"/>
              </w:rPr>
              <w:t>Numeric</w:t>
            </w:r>
          </w:p>
        </w:tc>
        <w:tc>
          <w:tcPr>
            <w:tcW w:w="146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36BCD61" w14:textId="77777777">
            <w:pPr>
              <w:rPr>
                <w:sz w:val="22"/>
                <w:szCs w:val="22"/>
              </w:rPr>
            </w:pPr>
            <w:r>
              <w:rPr>
                <w:sz w:val="22"/>
                <w:szCs w:val="22"/>
              </w:rPr>
              <w:t>Quarter-end, county-level sum of the quantified dollar value of balances of qualifying home mortgages, where mortgages are assumed to qualify based on tract income, excluding those sold within 365 days of origination by the bank</w:t>
            </w:r>
          </w:p>
        </w:tc>
        <w:tc>
          <w:tcPr>
            <w:tcW w:w="1019"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9B2CA3F" w14:textId="77777777">
            <w:pPr>
              <w:rPr>
                <w:sz w:val="22"/>
                <w:szCs w:val="22"/>
              </w:rPr>
            </w:pPr>
            <w:r>
              <w:rPr>
                <w:sz w:val="22"/>
                <w:szCs w:val="22"/>
              </w:rPr>
              <w:t xml:space="preserve">Reported in thousands of dollars. </w:t>
            </w:r>
          </w:p>
        </w:tc>
      </w:tr>
      <w:tr w:rsidR="00D224DC" w:rsidTr="00DE5A36" w14:paraId="23947AB8" w14:textId="77777777">
        <w:trPr>
          <w:trHeight w:val="147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133AA9A" w14:textId="77777777">
            <w:pPr>
              <w:jc w:val="right"/>
              <w:rPr>
                <w:sz w:val="22"/>
                <w:szCs w:val="22"/>
              </w:rPr>
            </w:pPr>
            <w:r>
              <w:rPr>
                <w:sz w:val="22"/>
                <w:szCs w:val="22"/>
              </w:rPr>
              <w:t>53</w:t>
            </w:r>
          </w:p>
        </w:tc>
        <w:tc>
          <w:tcPr>
            <w:tcW w:w="155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62497CE" w14:textId="77777777">
            <w:pPr>
              <w:spacing w:line="276" w:lineRule="auto"/>
              <w:rPr>
                <w:sz w:val="22"/>
                <w:szCs w:val="22"/>
              </w:rPr>
            </w:pPr>
            <w:r>
              <w:rPr>
                <w:sz w:val="22"/>
                <w:szCs w:val="22"/>
              </w:rPr>
              <w:t>AUTO_TI_BAL</w:t>
            </w:r>
          </w:p>
        </w:tc>
        <w:tc>
          <w:tcPr>
            <w:tcW w:w="52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4E0AD13" w14:textId="77777777">
            <w:pPr>
              <w:rPr>
                <w:sz w:val="22"/>
                <w:szCs w:val="22"/>
              </w:rPr>
            </w:pPr>
            <w:r>
              <w:rPr>
                <w:sz w:val="22"/>
                <w:szCs w:val="22"/>
              </w:rPr>
              <w:t>Numeric</w:t>
            </w:r>
          </w:p>
        </w:tc>
        <w:tc>
          <w:tcPr>
            <w:tcW w:w="146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A5C99AD" w14:textId="77777777">
            <w:pPr>
              <w:rPr>
                <w:sz w:val="22"/>
                <w:szCs w:val="22"/>
              </w:rPr>
            </w:pPr>
            <w:r>
              <w:rPr>
                <w:sz w:val="22"/>
                <w:szCs w:val="22"/>
              </w:rPr>
              <w:t>Quarter-end, county-level sum of the quantified dollar value of balances of qualifying auto loans, where auto loans are assumed to qualify based on tract income, excluding those sold within 365 days of origination by the bank</w:t>
            </w:r>
          </w:p>
        </w:tc>
        <w:tc>
          <w:tcPr>
            <w:tcW w:w="1019"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D8071A4" w14:textId="77777777">
            <w:pPr>
              <w:rPr>
                <w:sz w:val="22"/>
                <w:szCs w:val="22"/>
              </w:rPr>
            </w:pPr>
            <w:r>
              <w:rPr>
                <w:sz w:val="22"/>
                <w:szCs w:val="22"/>
              </w:rPr>
              <w:t xml:space="preserve">Reported in thousands of dollars. </w:t>
            </w:r>
          </w:p>
        </w:tc>
      </w:tr>
      <w:tr w:rsidR="00D224DC" w:rsidTr="00DE5A36" w14:paraId="12B6CD30" w14:textId="77777777">
        <w:trPr>
          <w:trHeight w:val="24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234AC07" w14:textId="77777777">
            <w:pPr>
              <w:jc w:val="right"/>
              <w:rPr>
                <w:sz w:val="22"/>
                <w:szCs w:val="22"/>
              </w:rPr>
            </w:pPr>
            <w:r>
              <w:rPr>
                <w:sz w:val="22"/>
                <w:szCs w:val="22"/>
              </w:rPr>
              <w:t>54</w:t>
            </w:r>
          </w:p>
        </w:tc>
        <w:tc>
          <w:tcPr>
            <w:tcW w:w="155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9B85174" w14:textId="77777777">
            <w:pPr>
              <w:spacing w:line="276" w:lineRule="auto"/>
              <w:rPr>
                <w:sz w:val="22"/>
                <w:szCs w:val="22"/>
              </w:rPr>
            </w:pPr>
            <w:r>
              <w:rPr>
                <w:sz w:val="22"/>
                <w:szCs w:val="22"/>
              </w:rPr>
              <w:t>OTHER_RCP_TI_BAL</w:t>
            </w:r>
          </w:p>
        </w:tc>
        <w:tc>
          <w:tcPr>
            <w:tcW w:w="52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F19787F" w14:textId="77777777">
            <w:pPr>
              <w:rPr>
                <w:sz w:val="22"/>
                <w:szCs w:val="22"/>
              </w:rPr>
            </w:pPr>
            <w:r>
              <w:rPr>
                <w:sz w:val="22"/>
                <w:szCs w:val="22"/>
              </w:rPr>
              <w:t>Numeric</w:t>
            </w:r>
          </w:p>
        </w:tc>
        <w:tc>
          <w:tcPr>
            <w:tcW w:w="146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F30AA88" w14:textId="77777777">
            <w:pPr>
              <w:rPr>
                <w:sz w:val="22"/>
                <w:szCs w:val="22"/>
              </w:rPr>
            </w:pPr>
            <w:r>
              <w:rPr>
                <w:sz w:val="22"/>
                <w:szCs w:val="22"/>
              </w:rPr>
              <w:t>Quarter-end, county-level sum of the quantified dollar value of balances of qualifying other revolving credit plans, where other revolving credit plans are assumed to qualify based on tract income, excluding other revolving credit plans sold within 365 days of origination by the bank and any overdraft plans</w:t>
            </w:r>
          </w:p>
        </w:tc>
        <w:tc>
          <w:tcPr>
            <w:tcW w:w="1019"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90AE9C3" w14:textId="77777777">
            <w:pPr>
              <w:rPr>
                <w:sz w:val="22"/>
                <w:szCs w:val="22"/>
              </w:rPr>
            </w:pPr>
            <w:r>
              <w:rPr>
                <w:sz w:val="22"/>
                <w:szCs w:val="22"/>
              </w:rPr>
              <w:t xml:space="preserve">Reported in thousands of dollars. </w:t>
            </w:r>
          </w:p>
        </w:tc>
      </w:tr>
      <w:tr w:rsidR="00D224DC" w:rsidTr="00DE5A36" w14:paraId="74D82E9B" w14:textId="77777777">
        <w:trPr>
          <w:trHeight w:val="156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09EA5AC5" w14:textId="77777777">
            <w:pPr>
              <w:jc w:val="right"/>
              <w:rPr>
                <w:sz w:val="22"/>
                <w:szCs w:val="22"/>
              </w:rPr>
            </w:pPr>
            <w:r>
              <w:rPr>
                <w:sz w:val="22"/>
                <w:szCs w:val="22"/>
              </w:rPr>
              <w:lastRenderedPageBreak/>
              <w:t>55</w:t>
            </w:r>
          </w:p>
        </w:tc>
        <w:tc>
          <w:tcPr>
            <w:tcW w:w="155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EA8F11C" w14:textId="77777777">
            <w:pPr>
              <w:spacing w:line="276" w:lineRule="auto"/>
              <w:rPr>
                <w:sz w:val="22"/>
                <w:szCs w:val="22"/>
              </w:rPr>
            </w:pPr>
            <w:r>
              <w:rPr>
                <w:sz w:val="22"/>
                <w:szCs w:val="22"/>
              </w:rPr>
              <w:t>OTHER_CONS_TI_BAL</w:t>
            </w:r>
          </w:p>
        </w:tc>
        <w:tc>
          <w:tcPr>
            <w:tcW w:w="52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236AC32" w14:textId="77777777">
            <w:pPr>
              <w:rPr>
                <w:sz w:val="22"/>
                <w:szCs w:val="22"/>
              </w:rPr>
            </w:pPr>
            <w:r>
              <w:rPr>
                <w:sz w:val="22"/>
                <w:szCs w:val="22"/>
              </w:rPr>
              <w:t>Numeric</w:t>
            </w:r>
          </w:p>
        </w:tc>
        <w:tc>
          <w:tcPr>
            <w:tcW w:w="146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678B8BA" w14:textId="77777777">
            <w:pPr>
              <w:rPr>
                <w:sz w:val="22"/>
                <w:szCs w:val="22"/>
              </w:rPr>
            </w:pPr>
            <w:r>
              <w:rPr>
                <w:sz w:val="22"/>
                <w:szCs w:val="22"/>
              </w:rPr>
              <w:t>Quarter-end, county-level sum of the quantified dollar value of balances of qualifying other consumer loans, where other consumer loans are assumed to qualify based on tract income, excluding other consumer loans sold within 365 days of origination by bank and any credit cards or overdrafts</w:t>
            </w:r>
          </w:p>
        </w:tc>
        <w:tc>
          <w:tcPr>
            <w:tcW w:w="1019"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053AB1D" w14:textId="77777777">
            <w:pPr>
              <w:rPr>
                <w:sz w:val="22"/>
                <w:szCs w:val="22"/>
              </w:rPr>
            </w:pPr>
            <w:r>
              <w:rPr>
                <w:sz w:val="22"/>
                <w:szCs w:val="22"/>
              </w:rPr>
              <w:t xml:space="preserve">Reported in thousands of dollars. </w:t>
            </w:r>
          </w:p>
        </w:tc>
      </w:tr>
      <w:tr w:rsidR="00D224DC" w:rsidTr="00DE5A36" w14:paraId="72233578" w14:textId="77777777">
        <w:trPr>
          <w:trHeight w:val="93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480DD8E" w14:textId="77777777">
            <w:pPr>
              <w:jc w:val="right"/>
              <w:rPr>
                <w:sz w:val="22"/>
                <w:szCs w:val="22"/>
              </w:rPr>
            </w:pPr>
            <w:r>
              <w:rPr>
                <w:sz w:val="22"/>
                <w:szCs w:val="22"/>
              </w:rPr>
              <w:t>56</w:t>
            </w:r>
          </w:p>
        </w:tc>
        <w:tc>
          <w:tcPr>
            <w:tcW w:w="155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EC06421" w14:textId="77777777">
            <w:pPr>
              <w:spacing w:line="276" w:lineRule="auto"/>
              <w:rPr>
                <w:sz w:val="22"/>
                <w:szCs w:val="22"/>
              </w:rPr>
            </w:pPr>
            <w:r>
              <w:rPr>
                <w:sz w:val="22"/>
                <w:szCs w:val="22"/>
              </w:rPr>
              <w:t>MTG_TI_BAL_LMIBR</w:t>
            </w:r>
          </w:p>
        </w:tc>
        <w:tc>
          <w:tcPr>
            <w:tcW w:w="52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5CE3422" w14:textId="77777777">
            <w:pPr>
              <w:rPr>
                <w:sz w:val="22"/>
                <w:szCs w:val="22"/>
              </w:rPr>
            </w:pPr>
            <w:r>
              <w:rPr>
                <w:sz w:val="22"/>
                <w:szCs w:val="22"/>
              </w:rPr>
              <w:t>Numeric</w:t>
            </w:r>
          </w:p>
        </w:tc>
        <w:tc>
          <w:tcPr>
            <w:tcW w:w="146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2B2D6CA" w14:textId="77777777">
            <w:pPr>
              <w:rPr>
                <w:sz w:val="22"/>
                <w:szCs w:val="22"/>
              </w:rPr>
            </w:pPr>
            <w:r>
              <w:rPr>
                <w:sz w:val="22"/>
                <w:szCs w:val="22"/>
              </w:rPr>
              <w:t>Quarter-end, county-level sum of the quantified dollar value of retail loan balances reported in column 52 that are generated by branches in LMI census tracts</w:t>
            </w:r>
          </w:p>
        </w:tc>
        <w:tc>
          <w:tcPr>
            <w:tcW w:w="1019"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1E6E670" w14:textId="77777777">
            <w:pPr>
              <w:rPr>
                <w:sz w:val="22"/>
                <w:szCs w:val="22"/>
              </w:rPr>
            </w:pPr>
            <w:r>
              <w:rPr>
                <w:sz w:val="22"/>
                <w:szCs w:val="22"/>
              </w:rPr>
              <w:t xml:space="preserve">Reported in thousands of dollars. </w:t>
            </w:r>
          </w:p>
        </w:tc>
      </w:tr>
      <w:tr w:rsidR="00D224DC" w:rsidTr="00DE5A36" w14:paraId="6E2CFF9F" w14:textId="77777777">
        <w:trPr>
          <w:trHeight w:val="12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4BC7342E" w14:textId="77777777">
            <w:pPr>
              <w:jc w:val="right"/>
              <w:rPr>
                <w:sz w:val="22"/>
                <w:szCs w:val="22"/>
              </w:rPr>
            </w:pPr>
            <w:r>
              <w:rPr>
                <w:sz w:val="22"/>
                <w:szCs w:val="22"/>
              </w:rPr>
              <w:t>57</w:t>
            </w:r>
          </w:p>
        </w:tc>
        <w:tc>
          <w:tcPr>
            <w:tcW w:w="155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4299EA8" w14:textId="77777777">
            <w:pPr>
              <w:spacing w:line="276" w:lineRule="auto"/>
              <w:rPr>
                <w:sz w:val="22"/>
                <w:szCs w:val="22"/>
              </w:rPr>
            </w:pPr>
            <w:r>
              <w:rPr>
                <w:sz w:val="22"/>
                <w:szCs w:val="22"/>
              </w:rPr>
              <w:t>AUTO_TI_BAL_LMIBR</w:t>
            </w:r>
          </w:p>
        </w:tc>
        <w:tc>
          <w:tcPr>
            <w:tcW w:w="52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BB8539F" w14:textId="77777777">
            <w:pPr>
              <w:rPr>
                <w:sz w:val="22"/>
                <w:szCs w:val="22"/>
              </w:rPr>
            </w:pPr>
            <w:r>
              <w:rPr>
                <w:sz w:val="22"/>
                <w:szCs w:val="22"/>
              </w:rPr>
              <w:t>Numeric</w:t>
            </w:r>
          </w:p>
        </w:tc>
        <w:tc>
          <w:tcPr>
            <w:tcW w:w="146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96CC445" w14:textId="77777777">
            <w:pPr>
              <w:rPr>
                <w:sz w:val="22"/>
                <w:szCs w:val="22"/>
              </w:rPr>
            </w:pPr>
            <w:r>
              <w:rPr>
                <w:sz w:val="22"/>
                <w:szCs w:val="22"/>
              </w:rPr>
              <w:t>Quarter-end, county-level sum of the quantified dollar value of retail loan balances reported in column 53 that are generated by branches in LMI census tracts</w:t>
            </w:r>
          </w:p>
        </w:tc>
        <w:tc>
          <w:tcPr>
            <w:tcW w:w="1019"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CB245CF" w14:textId="77777777">
            <w:pPr>
              <w:rPr>
                <w:sz w:val="22"/>
                <w:szCs w:val="22"/>
              </w:rPr>
            </w:pPr>
            <w:r>
              <w:rPr>
                <w:sz w:val="22"/>
                <w:szCs w:val="22"/>
              </w:rPr>
              <w:t xml:space="preserve">Reported in thousands of dollars </w:t>
            </w:r>
          </w:p>
        </w:tc>
      </w:tr>
      <w:tr w:rsidR="00D224DC" w:rsidTr="00DE5A36" w14:paraId="2C8E6817" w14:textId="77777777">
        <w:trPr>
          <w:trHeight w:val="12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4F576667" w14:textId="77777777">
            <w:pPr>
              <w:jc w:val="right"/>
              <w:rPr>
                <w:sz w:val="22"/>
                <w:szCs w:val="22"/>
              </w:rPr>
            </w:pPr>
            <w:r>
              <w:rPr>
                <w:sz w:val="22"/>
                <w:szCs w:val="22"/>
              </w:rPr>
              <w:t>58</w:t>
            </w:r>
          </w:p>
        </w:tc>
        <w:tc>
          <w:tcPr>
            <w:tcW w:w="155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7007022" w14:textId="77777777">
            <w:pPr>
              <w:spacing w:line="276" w:lineRule="auto"/>
              <w:rPr>
                <w:sz w:val="22"/>
                <w:szCs w:val="22"/>
              </w:rPr>
            </w:pPr>
            <w:r>
              <w:rPr>
                <w:sz w:val="22"/>
                <w:szCs w:val="22"/>
              </w:rPr>
              <w:t>OTHER_RCP_TI_BAL_LMIBR</w:t>
            </w:r>
          </w:p>
        </w:tc>
        <w:tc>
          <w:tcPr>
            <w:tcW w:w="52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6DAA5B7" w14:textId="77777777">
            <w:pPr>
              <w:rPr>
                <w:sz w:val="22"/>
                <w:szCs w:val="22"/>
              </w:rPr>
            </w:pPr>
            <w:r>
              <w:rPr>
                <w:sz w:val="22"/>
                <w:szCs w:val="22"/>
              </w:rPr>
              <w:t>Numeric</w:t>
            </w:r>
          </w:p>
        </w:tc>
        <w:tc>
          <w:tcPr>
            <w:tcW w:w="146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D141D65" w14:textId="77777777">
            <w:pPr>
              <w:rPr>
                <w:sz w:val="22"/>
                <w:szCs w:val="22"/>
              </w:rPr>
            </w:pPr>
            <w:r>
              <w:rPr>
                <w:sz w:val="22"/>
                <w:szCs w:val="22"/>
              </w:rPr>
              <w:t>Quarter-end, county-level sum of the quantified dollar value of retail loan balances reported in column 54 that are generated by branches in LMI census tracts</w:t>
            </w:r>
          </w:p>
        </w:tc>
        <w:tc>
          <w:tcPr>
            <w:tcW w:w="1019"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7B88335" w14:textId="77777777">
            <w:pPr>
              <w:rPr>
                <w:sz w:val="22"/>
                <w:szCs w:val="22"/>
              </w:rPr>
            </w:pPr>
            <w:r>
              <w:rPr>
                <w:sz w:val="22"/>
                <w:szCs w:val="22"/>
              </w:rPr>
              <w:t xml:space="preserve">Reported in thousands of dollars. </w:t>
            </w:r>
          </w:p>
        </w:tc>
      </w:tr>
      <w:tr w:rsidR="00D224DC" w:rsidTr="00DE5A36" w14:paraId="45AE7939" w14:textId="77777777">
        <w:trPr>
          <w:trHeight w:val="1200"/>
        </w:trPr>
        <w:tc>
          <w:tcPr>
            <w:tcW w:w="443"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6E3BFA0B" w14:textId="77777777">
            <w:pPr>
              <w:jc w:val="right"/>
              <w:rPr>
                <w:sz w:val="22"/>
                <w:szCs w:val="22"/>
              </w:rPr>
            </w:pPr>
            <w:r>
              <w:rPr>
                <w:sz w:val="22"/>
                <w:szCs w:val="22"/>
              </w:rPr>
              <w:t>59</w:t>
            </w:r>
          </w:p>
        </w:tc>
        <w:tc>
          <w:tcPr>
            <w:tcW w:w="155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DF460F9" w14:textId="77777777">
            <w:pPr>
              <w:spacing w:line="276" w:lineRule="auto"/>
              <w:rPr>
                <w:sz w:val="22"/>
                <w:szCs w:val="22"/>
              </w:rPr>
            </w:pPr>
            <w:r>
              <w:rPr>
                <w:sz w:val="22"/>
                <w:szCs w:val="22"/>
              </w:rPr>
              <w:t>OTHER_CONS_TI_BAL_LMIBR</w:t>
            </w:r>
          </w:p>
        </w:tc>
        <w:tc>
          <w:tcPr>
            <w:tcW w:w="52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338F65D" w14:textId="77777777">
            <w:pPr>
              <w:rPr>
                <w:sz w:val="22"/>
                <w:szCs w:val="22"/>
              </w:rPr>
            </w:pPr>
            <w:r>
              <w:rPr>
                <w:sz w:val="22"/>
                <w:szCs w:val="22"/>
              </w:rPr>
              <w:t>Numeric</w:t>
            </w:r>
          </w:p>
        </w:tc>
        <w:tc>
          <w:tcPr>
            <w:tcW w:w="146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6B5039AE" w14:textId="77777777">
            <w:pPr>
              <w:rPr>
                <w:sz w:val="22"/>
                <w:szCs w:val="22"/>
              </w:rPr>
            </w:pPr>
            <w:r>
              <w:rPr>
                <w:sz w:val="22"/>
                <w:szCs w:val="22"/>
              </w:rPr>
              <w:t>Quarter-end, county-level sum of the quantified dollar value of retail loan balances reported in column 55 that are generated by branches in LMI census tracts</w:t>
            </w:r>
          </w:p>
        </w:tc>
        <w:tc>
          <w:tcPr>
            <w:tcW w:w="1019"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FC1B7A0" w14:textId="77777777">
            <w:pPr>
              <w:rPr>
                <w:sz w:val="22"/>
                <w:szCs w:val="22"/>
              </w:rPr>
            </w:pPr>
            <w:r>
              <w:rPr>
                <w:sz w:val="22"/>
                <w:szCs w:val="22"/>
              </w:rPr>
              <w:t xml:space="preserve">Reported in thousands of dollars. </w:t>
            </w:r>
          </w:p>
        </w:tc>
      </w:tr>
    </w:tbl>
    <w:p w:rsidR="00D224DC" w:rsidP="00D224DC" w:rsidRDefault="00D224DC" w14:paraId="516D6289" w14:textId="77777777">
      <w:pPr>
        <w:spacing w:before="240" w:line="480" w:lineRule="auto"/>
        <w:ind w:left="360"/>
      </w:pPr>
    </w:p>
    <w:p w:rsidR="00D224DC" w:rsidP="00D224DC" w:rsidRDefault="00D224DC" w14:paraId="6C6A1202" w14:textId="77777777">
      <w:pPr>
        <w:spacing w:before="240" w:line="480" w:lineRule="auto"/>
        <w:rPr>
          <w:i/>
        </w:rPr>
        <w:sectPr w:rsidR="00D224DC" w:rsidSect="005A5991">
          <w:pgSz w:w="15840" w:h="12240" w:orient="landscape"/>
          <w:pgMar w:top="1800" w:right="1440" w:bottom="1800" w:left="1440" w:header="720" w:footer="720" w:gutter="0"/>
          <w:cols w:space="720"/>
          <w:docGrid w:linePitch="360"/>
        </w:sectPr>
      </w:pPr>
    </w:p>
    <w:p w:rsidRPr="00555459" w:rsidR="00D224DC" w:rsidP="00D224DC" w:rsidRDefault="00D224DC" w14:paraId="3C41DAAD" w14:textId="77777777">
      <w:pPr>
        <w:spacing w:before="240" w:line="480" w:lineRule="auto"/>
        <w:ind w:left="360" w:hanging="360"/>
        <w:rPr>
          <w:i/>
        </w:rPr>
      </w:pPr>
      <w:r>
        <w:rPr>
          <w:i/>
        </w:rPr>
        <w:lastRenderedPageBreak/>
        <w:t>Applications</w:t>
      </w:r>
      <w:r w:rsidRPr="00555459">
        <w:rPr>
          <w:i/>
        </w:rPr>
        <w:t xml:space="preserve"> </w:t>
      </w:r>
      <w:r>
        <w:rPr>
          <w:i/>
        </w:rPr>
        <w:t>and Loan Originations</w:t>
      </w:r>
      <w:r w:rsidRPr="00555459">
        <w:rPr>
          <w:i/>
        </w:rPr>
        <w:t xml:space="preserve"> </w:t>
      </w:r>
      <w:r>
        <w:rPr>
          <w:i/>
        </w:rPr>
        <w:t>for each Retail Lending Product Line</w:t>
      </w:r>
    </w:p>
    <w:p w:rsidR="00D224DC" w:rsidP="00D224DC" w:rsidRDefault="00D224DC" w14:paraId="456EF3BE" w14:textId="77777777">
      <w:pPr>
        <w:spacing w:line="480" w:lineRule="auto"/>
        <w:ind w:firstLine="720"/>
      </w:pPr>
      <w:r w:rsidRPr="00812E31">
        <w:t xml:space="preserve"> </w:t>
      </w:r>
      <w:r>
        <w:t xml:space="preserve">As discussed in the final rule, the quantified dollar value is required to determine the CRA evaluation measure under </w:t>
      </w:r>
      <w:r w:rsidRPr="00555459">
        <w:t>§ 25.11</w:t>
      </w:r>
      <w:r>
        <w:t xml:space="preserve"> of the final rule.  Additionally, the loan volume of a bank’s qualifying activities is required for the retail lending distribution tests under </w:t>
      </w:r>
      <w:r w:rsidRPr="00555459">
        <w:t>§ 25.</w:t>
      </w:r>
      <w:r>
        <w:t xml:space="preserve">12 of the final rule.  Both the CRA evaluation measure and the retail lending distribution tests will in turn help determine a bank’s presumptive ratings under </w:t>
      </w:r>
      <w:r w:rsidRPr="00555459">
        <w:t>§ 25.13</w:t>
      </w:r>
      <w:r>
        <w:t xml:space="preserve"> of the final rule. </w:t>
      </w:r>
      <w:bookmarkStart w:name="_Hlk47960743" w:id="9"/>
      <w:r>
        <w:t xml:space="preserve"> Obtaining information on retail loan applications and originations will, in the near term, </w:t>
      </w:r>
      <w:r w:rsidRPr="007C19C8">
        <w:t>help inform</w:t>
      </w:r>
      <w:r>
        <w:t xml:space="preserve"> the OCC about </w:t>
      </w:r>
      <w:r w:rsidRPr="007C19C8">
        <w:t>banks</w:t>
      </w:r>
      <w:r>
        <w:t>’</w:t>
      </w:r>
      <w:r w:rsidRPr="007C19C8">
        <w:t xml:space="preserve"> credit supply decisions across</w:t>
      </w:r>
      <w:r>
        <w:t xml:space="preserve"> </w:t>
      </w:r>
      <w:r w:rsidRPr="007C19C8">
        <w:t>geographies</w:t>
      </w:r>
      <w:r>
        <w:t xml:space="preserve">, </w:t>
      </w:r>
      <w:r w:rsidRPr="00246168">
        <w:t>supplement existing data</w:t>
      </w:r>
      <w:r>
        <w:t>,</w:t>
      </w:r>
      <w:r w:rsidRPr="00246168">
        <w:t xml:space="preserve"> and assist the OCC in assessing the CRA evaluation measure under § 25.11 </w:t>
      </w:r>
      <w:r>
        <w:t xml:space="preserve">of the final rule </w:t>
      </w:r>
      <w:r w:rsidRPr="00246168">
        <w:t>and the retail lending distribution tests under § 25.12</w:t>
      </w:r>
      <w:r>
        <w:t xml:space="preserve"> of the final rule.  Over time,</w:t>
      </w:r>
      <w:r w:rsidRPr="007C19C8">
        <w:t xml:space="preserve"> </w:t>
      </w:r>
      <w:r>
        <w:t>it will assist the OCC in further developing its thinking on how to refine and improve the CRA framework</w:t>
      </w:r>
      <w:r w:rsidRPr="007C19C8">
        <w:t>.</w:t>
      </w:r>
      <w:r>
        <w:rPr>
          <w:rStyle w:val="FootnoteReference"/>
        </w:rPr>
        <w:footnoteReference w:id="7"/>
      </w:r>
      <w:r>
        <w:t xml:space="preserve"> </w:t>
      </w:r>
      <w:bookmarkEnd w:id="9"/>
      <w:r>
        <w:t xml:space="preserve"> </w:t>
      </w:r>
    </w:p>
    <w:p w:rsidRPr="00A71FA3" w:rsidR="00D224DC" w:rsidP="00D224DC" w:rsidRDefault="00D224DC" w14:paraId="4C899225" w14:textId="77777777">
      <w:pPr>
        <w:spacing w:line="480" w:lineRule="auto"/>
      </w:pPr>
      <w:r>
        <w:t xml:space="preserve">12. </w:t>
      </w:r>
      <w:r>
        <w:tab/>
      </w:r>
      <w:r w:rsidRPr="00A71FA3">
        <w:t>Report all retail loans applications.</w:t>
      </w:r>
    </w:p>
    <w:p w:rsidRPr="00A71FA3" w:rsidR="00D224DC" w:rsidP="00D224DC" w:rsidRDefault="00D224DC" w14:paraId="54B87247" w14:textId="77777777">
      <w:pPr>
        <w:spacing w:line="480" w:lineRule="auto"/>
      </w:pPr>
      <w:r>
        <w:t xml:space="preserve">13. </w:t>
      </w:r>
      <w:r>
        <w:tab/>
      </w:r>
      <w:r w:rsidRPr="00A71FA3">
        <w:t>For each retail loan origination, provide the unique loan identification number.</w:t>
      </w:r>
    </w:p>
    <w:p w:rsidRPr="00A71FA3" w:rsidR="00D224DC" w:rsidP="00D224DC" w:rsidRDefault="00D224DC" w14:paraId="4304E9A8" w14:textId="77777777">
      <w:pPr>
        <w:spacing w:line="480" w:lineRule="auto"/>
      </w:pPr>
      <w:r>
        <w:t xml:space="preserve">14. </w:t>
      </w:r>
      <w:r>
        <w:tab/>
      </w:r>
      <w:r w:rsidRPr="00A71FA3">
        <w:t xml:space="preserve">For each retail loan application, provide the following geographic information for the location of the loan application at the time of submission: county, MD/MSA, state, census tract, and the facility-based or deposit-based assessment area number (using the same set of unique assessment area identification numbers as in Table 1).  The location of </w:t>
      </w:r>
      <w:r w:rsidRPr="00A71FA3">
        <w:lastRenderedPageBreak/>
        <w:t>a loan application should be determined in a manner consistent with § 25.24 of the final rule.  For example, the location of an application for a home mortgage loan would be determined by the address of the property to which the loan relates.</w:t>
      </w:r>
    </w:p>
    <w:p w:rsidRPr="00A71FA3" w:rsidR="00D224DC" w:rsidP="00D224DC" w:rsidRDefault="00D224DC" w14:paraId="2E84A008" w14:textId="77777777">
      <w:pPr>
        <w:spacing w:line="480" w:lineRule="auto"/>
      </w:pPr>
      <w:r>
        <w:t xml:space="preserve">15. </w:t>
      </w:r>
      <w:r>
        <w:tab/>
      </w:r>
      <w:r w:rsidRPr="00A71FA3">
        <w:t>For each retail loan application, provide the loan type, and if the loan was originated, provide balance at origination, origination date, and sell date.</w:t>
      </w:r>
    </w:p>
    <w:p w:rsidRPr="00A71FA3" w:rsidR="00D224DC" w:rsidP="00D224DC" w:rsidRDefault="00D224DC" w14:paraId="30FC301E" w14:textId="77777777">
      <w:pPr>
        <w:spacing w:line="480" w:lineRule="auto"/>
      </w:pPr>
      <w:r>
        <w:t xml:space="preserve">16. </w:t>
      </w:r>
      <w:r>
        <w:tab/>
      </w:r>
      <w:r w:rsidRPr="00A71FA3">
        <w:t>For each mortgage and consumer loan application, provide the income of the applicant(s).  For each loan application for a home mortgage or consumer loan, indicate the LMI status of the applicant. For each loan application from a business or farm, provide the revenue of the business or farm at the time of submission; additionally, for these loan applications, provide an indicator of the business or farm’s revenue category.</w:t>
      </w:r>
    </w:p>
    <w:p w:rsidRPr="00A71FA3" w:rsidR="00D224DC" w:rsidP="00D224DC" w:rsidRDefault="00D224DC" w14:paraId="55CEC73D" w14:textId="77777777">
      <w:pPr>
        <w:spacing w:line="480" w:lineRule="auto"/>
      </w:pPr>
      <w:bookmarkStart w:name="_Hlk56089478" w:id="10"/>
      <w:r>
        <w:t xml:space="preserve">17. </w:t>
      </w:r>
      <w:r>
        <w:tab/>
      </w:r>
      <w:r w:rsidRPr="00A71FA3">
        <w:t>For each retail loan origination, indicate whether the loan was generated by a branch located in an LMI census tract.</w:t>
      </w:r>
    </w:p>
    <w:bookmarkEnd w:id="10"/>
    <w:p w:rsidRPr="00A71FA3" w:rsidR="00D224DC" w:rsidP="00D224DC" w:rsidRDefault="00D224DC" w14:paraId="78BE4EEA" w14:textId="77777777">
      <w:pPr>
        <w:spacing w:line="480" w:lineRule="auto"/>
      </w:pPr>
      <w:r>
        <w:t xml:space="preserve">18. </w:t>
      </w:r>
      <w:r>
        <w:tab/>
      </w:r>
      <w:r w:rsidRPr="00A71FA3">
        <w:t xml:space="preserve">Are there burdens associated with collecting or reporting the data described in this section of this information collection? </w:t>
      </w:r>
    </w:p>
    <w:p w:rsidR="00D224DC" w:rsidP="00D224DC" w:rsidRDefault="00D224DC" w14:paraId="37E66C75" w14:textId="77777777">
      <w:pPr>
        <w:rPr>
          <w:b/>
          <w:bCs/>
          <w:color w:val="000000" w:themeColor="text1"/>
        </w:rPr>
      </w:pPr>
    </w:p>
    <w:p w:rsidR="00D224DC" w:rsidP="00D224DC" w:rsidRDefault="00D224DC" w14:paraId="1DDB8B50" w14:textId="77777777">
      <w:pPr>
        <w:rPr>
          <w:b/>
          <w:bCs/>
          <w:color w:val="000000" w:themeColor="text1"/>
        </w:rPr>
        <w:sectPr w:rsidR="00D224DC">
          <w:pgSz w:w="12240" w:h="15840"/>
          <w:pgMar w:top="1440" w:right="1800" w:bottom="1440" w:left="1800" w:header="720" w:footer="720" w:gutter="0"/>
          <w:cols w:space="720"/>
          <w:docGrid w:linePitch="360"/>
        </w:sectPr>
      </w:pPr>
    </w:p>
    <w:p w:rsidR="00D224DC" w:rsidP="00D224DC" w:rsidRDefault="00D224DC" w14:paraId="0A7C487E" w14:textId="77777777">
      <w:pPr>
        <w:rPr>
          <w:b/>
          <w:bCs/>
          <w:color w:val="000000" w:themeColor="text1"/>
        </w:rPr>
      </w:pPr>
      <w:r>
        <w:rPr>
          <w:b/>
          <w:bCs/>
          <w:color w:val="000000" w:themeColor="text1"/>
        </w:rPr>
        <w:lastRenderedPageBreak/>
        <w:t>Table 2: Full List of Retail Loan Applications and Originations</w:t>
      </w:r>
    </w:p>
    <w:p w:rsidR="00D224DC" w:rsidP="00D224DC" w:rsidRDefault="00D224DC" w14:paraId="5CF5C7BD" w14:textId="77777777">
      <w:pPr>
        <w:spacing w:after="240"/>
      </w:pPr>
    </w:p>
    <w:tbl>
      <w:tblPr>
        <w:tblW w:w="5000" w:type="pct"/>
        <w:tblLook w:val="04A0" w:firstRow="1" w:lastRow="0" w:firstColumn="1" w:lastColumn="0" w:noHBand="0" w:noVBand="1"/>
      </w:tblPr>
      <w:tblGrid>
        <w:gridCol w:w="974"/>
        <w:gridCol w:w="1957"/>
        <w:gridCol w:w="1247"/>
        <w:gridCol w:w="5914"/>
        <w:gridCol w:w="2858"/>
      </w:tblGrid>
      <w:tr w:rsidR="00D224DC" w:rsidTr="00DE5A36" w14:paraId="0CED2514" w14:textId="77777777">
        <w:trPr>
          <w:trHeight w:val="280"/>
        </w:trPr>
        <w:tc>
          <w:tcPr>
            <w:tcW w:w="342" w:type="pct"/>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00D224DC" w:rsidP="00DE5A36" w:rsidRDefault="00D224DC" w14:paraId="5BFC7FD1" w14:textId="77777777">
            <w:pPr>
              <w:rPr>
                <w:b/>
                <w:bCs/>
                <w:color w:val="000000"/>
                <w:sz w:val="22"/>
                <w:szCs w:val="22"/>
              </w:rPr>
            </w:pPr>
            <w:r>
              <w:rPr>
                <w:b/>
                <w:bCs/>
                <w:color w:val="000000"/>
                <w:sz w:val="22"/>
                <w:szCs w:val="22"/>
              </w:rPr>
              <w:t>Column</w:t>
            </w:r>
          </w:p>
        </w:tc>
        <w:tc>
          <w:tcPr>
            <w:tcW w:w="764" w:type="pct"/>
            <w:tcBorders>
              <w:top w:val="single" w:color="auto" w:sz="4" w:space="0"/>
              <w:left w:val="nil"/>
              <w:bottom w:val="single" w:color="auto" w:sz="4" w:space="0"/>
              <w:right w:val="single" w:color="auto" w:sz="4" w:space="0"/>
            </w:tcBorders>
            <w:shd w:val="clear" w:color="000000" w:fill="D6DCE4"/>
            <w:noWrap/>
            <w:vAlign w:val="bottom"/>
            <w:hideMark/>
          </w:tcPr>
          <w:p w:rsidR="00D224DC" w:rsidP="00DE5A36" w:rsidRDefault="00D224DC" w14:paraId="00C04CD2" w14:textId="77777777">
            <w:pPr>
              <w:rPr>
                <w:b/>
                <w:bCs/>
                <w:color w:val="000000"/>
                <w:sz w:val="22"/>
                <w:szCs w:val="22"/>
              </w:rPr>
            </w:pPr>
            <w:r>
              <w:rPr>
                <w:b/>
                <w:bCs/>
                <w:color w:val="000000"/>
                <w:sz w:val="22"/>
                <w:szCs w:val="22"/>
              </w:rPr>
              <w:t>Data Name</w:t>
            </w:r>
          </w:p>
        </w:tc>
        <w:tc>
          <w:tcPr>
            <w:tcW w:w="490" w:type="pct"/>
            <w:tcBorders>
              <w:top w:val="single" w:color="auto" w:sz="4" w:space="0"/>
              <w:left w:val="nil"/>
              <w:bottom w:val="single" w:color="auto" w:sz="4" w:space="0"/>
              <w:right w:val="single" w:color="auto" w:sz="4" w:space="0"/>
            </w:tcBorders>
            <w:shd w:val="clear" w:color="000000" w:fill="D6DCE4"/>
            <w:noWrap/>
            <w:vAlign w:val="bottom"/>
            <w:hideMark/>
          </w:tcPr>
          <w:p w:rsidR="00D224DC" w:rsidP="00DE5A36" w:rsidRDefault="00D224DC" w14:paraId="6C4FCA3C" w14:textId="77777777">
            <w:pPr>
              <w:rPr>
                <w:b/>
                <w:bCs/>
                <w:color w:val="000000"/>
                <w:sz w:val="22"/>
                <w:szCs w:val="22"/>
              </w:rPr>
            </w:pPr>
            <w:r>
              <w:rPr>
                <w:b/>
                <w:bCs/>
                <w:color w:val="000000"/>
                <w:sz w:val="22"/>
                <w:szCs w:val="22"/>
              </w:rPr>
              <w:t>Format</w:t>
            </w:r>
          </w:p>
        </w:tc>
        <w:tc>
          <w:tcPr>
            <w:tcW w:w="2292" w:type="pct"/>
            <w:tcBorders>
              <w:top w:val="single" w:color="auto" w:sz="4" w:space="0"/>
              <w:left w:val="nil"/>
              <w:bottom w:val="single" w:color="auto" w:sz="4" w:space="0"/>
              <w:right w:val="single" w:color="auto" w:sz="4" w:space="0"/>
            </w:tcBorders>
            <w:shd w:val="clear" w:color="000000" w:fill="D6DCE4"/>
            <w:hideMark/>
          </w:tcPr>
          <w:p w:rsidR="00D224DC" w:rsidP="00DE5A36" w:rsidRDefault="00D224DC" w14:paraId="4C0E579C" w14:textId="77777777">
            <w:pPr>
              <w:tabs>
                <w:tab w:val="left" w:pos="4845"/>
              </w:tabs>
              <w:rPr>
                <w:b/>
                <w:bCs/>
                <w:color w:val="000000"/>
                <w:sz w:val="22"/>
                <w:szCs w:val="22"/>
              </w:rPr>
            </w:pPr>
            <w:r>
              <w:rPr>
                <w:b/>
                <w:bCs/>
                <w:color w:val="000000"/>
                <w:sz w:val="22"/>
                <w:szCs w:val="22"/>
              </w:rPr>
              <w:t>Data Definition</w:t>
            </w:r>
            <w:r>
              <w:rPr>
                <w:b/>
                <w:bCs/>
                <w:color w:val="000000"/>
                <w:sz w:val="22"/>
                <w:szCs w:val="22"/>
              </w:rPr>
              <w:tab/>
            </w:r>
          </w:p>
        </w:tc>
        <w:tc>
          <w:tcPr>
            <w:tcW w:w="1112" w:type="pct"/>
            <w:tcBorders>
              <w:top w:val="single" w:color="auto" w:sz="4" w:space="0"/>
              <w:left w:val="nil"/>
              <w:bottom w:val="single" w:color="auto" w:sz="4" w:space="0"/>
              <w:right w:val="single" w:color="auto" w:sz="4" w:space="0"/>
            </w:tcBorders>
            <w:shd w:val="clear" w:color="000000" w:fill="D6DCE4"/>
            <w:vAlign w:val="bottom"/>
            <w:hideMark/>
          </w:tcPr>
          <w:p w:rsidR="00D224DC" w:rsidP="00DE5A36" w:rsidRDefault="00D224DC" w14:paraId="5D43CBC5" w14:textId="77777777">
            <w:pPr>
              <w:rPr>
                <w:b/>
                <w:bCs/>
                <w:color w:val="000000"/>
                <w:sz w:val="22"/>
                <w:szCs w:val="22"/>
              </w:rPr>
            </w:pPr>
            <w:r>
              <w:rPr>
                <w:b/>
                <w:bCs/>
                <w:color w:val="000000"/>
                <w:sz w:val="22"/>
                <w:szCs w:val="22"/>
              </w:rPr>
              <w:t>Comments</w:t>
            </w:r>
          </w:p>
        </w:tc>
      </w:tr>
      <w:tr w:rsidR="00D224DC" w:rsidTr="00DE5A36" w14:paraId="2D283C4D" w14:textId="77777777">
        <w:trPr>
          <w:trHeight w:val="295"/>
        </w:trPr>
        <w:tc>
          <w:tcPr>
            <w:tcW w:w="342"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00B421F3" w14:textId="77777777">
            <w:pPr>
              <w:jc w:val="right"/>
              <w:rPr>
                <w:color w:val="000000"/>
                <w:sz w:val="22"/>
                <w:szCs w:val="22"/>
              </w:rPr>
            </w:pPr>
            <w:r>
              <w:rPr>
                <w:color w:val="000000"/>
                <w:sz w:val="22"/>
                <w:szCs w:val="22"/>
              </w:rPr>
              <w:t>1</w:t>
            </w:r>
          </w:p>
        </w:tc>
        <w:tc>
          <w:tcPr>
            <w:tcW w:w="76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98704CD" w14:textId="77777777">
            <w:pPr>
              <w:spacing w:line="276" w:lineRule="auto"/>
              <w:rPr>
                <w:color w:val="000000"/>
                <w:sz w:val="22"/>
                <w:szCs w:val="22"/>
              </w:rPr>
            </w:pPr>
            <w:r>
              <w:rPr>
                <w:color w:val="000000"/>
                <w:sz w:val="22"/>
                <w:szCs w:val="22"/>
              </w:rPr>
              <w:t>LOAN_ID</w:t>
            </w:r>
          </w:p>
        </w:tc>
        <w:tc>
          <w:tcPr>
            <w:tcW w:w="49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BCFF5AD"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410E4F3" w14:textId="77777777">
            <w:pPr>
              <w:rPr>
                <w:color w:val="000000"/>
                <w:sz w:val="22"/>
                <w:szCs w:val="22"/>
              </w:rPr>
            </w:pPr>
            <w:r>
              <w:rPr>
                <w:color w:val="000000"/>
                <w:sz w:val="22"/>
                <w:szCs w:val="22"/>
              </w:rPr>
              <w:t>Loan ID</w:t>
            </w:r>
          </w:p>
        </w:tc>
        <w:tc>
          <w:tcPr>
            <w:tcW w:w="111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72BFA25" w14:textId="77777777">
            <w:pPr>
              <w:rPr>
                <w:color w:val="000000"/>
                <w:sz w:val="22"/>
                <w:szCs w:val="22"/>
              </w:rPr>
            </w:pPr>
            <w:r>
              <w:rPr>
                <w:color w:val="000000"/>
                <w:sz w:val="22"/>
                <w:szCs w:val="22"/>
              </w:rPr>
              <w:t xml:space="preserve">Provide Universal Loan Identifier (ULI) if the loan was originated, and where available.  </w:t>
            </w:r>
          </w:p>
        </w:tc>
      </w:tr>
      <w:tr w:rsidR="00D224DC" w:rsidTr="00DE5A36" w14:paraId="39F8EA42" w14:textId="77777777">
        <w:trPr>
          <w:trHeight w:val="295"/>
        </w:trPr>
        <w:tc>
          <w:tcPr>
            <w:tcW w:w="342"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7B9E2E29" w14:textId="77777777">
            <w:pPr>
              <w:jc w:val="right"/>
              <w:rPr>
                <w:color w:val="000000"/>
                <w:sz w:val="22"/>
                <w:szCs w:val="22"/>
              </w:rPr>
            </w:pPr>
            <w:r>
              <w:rPr>
                <w:color w:val="000000"/>
                <w:sz w:val="22"/>
                <w:szCs w:val="22"/>
              </w:rPr>
              <w:t>2</w:t>
            </w:r>
          </w:p>
        </w:tc>
        <w:tc>
          <w:tcPr>
            <w:tcW w:w="76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E5DD313" w14:textId="77777777">
            <w:pPr>
              <w:spacing w:line="276" w:lineRule="auto"/>
              <w:rPr>
                <w:color w:val="000000"/>
                <w:sz w:val="22"/>
                <w:szCs w:val="22"/>
              </w:rPr>
            </w:pPr>
            <w:r>
              <w:rPr>
                <w:color w:val="000000"/>
                <w:sz w:val="22"/>
                <w:szCs w:val="22"/>
              </w:rPr>
              <w:t>COUNTY</w:t>
            </w:r>
          </w:p>
        </w:tc>
        <w:tc>
          <w:tcPr>
            <w:tcW w:w="49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0778D97"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57FC647" w14:textId="77777777">
            <w:pPr>
              <w:rPr>
                <w:color w:val="000000"/>
                <w:sz w:val="22"/>
                <w:szCs w:val="22"/>
              </w:rPr>
            </w:pPr>
            <w:r>
              <w:rPr>
                <w:color w:val="000000"/>
                <w:sz w:val="22"/>
                <w:szCs w:val="22"/>
              </w:rPr>
              <w:t>County FIPS</w:t>
            </w:r>
          </w:p>
        </w:tc>
        <w:tc>
          <w:tcPr>
            <w:tcW w:w="111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01E66558" w14:textId="77777777">
            <w:pPr>
              <w:rPr>
                <w:sz w:val="22"/>
                <w:szCs w:val="22"/>
              </w:rPr>
            </w:pPr>
            <w:r>
              <w:rPr>
                <w:color w:val="000000"/>
                <w:sz w:val="22"/>
                <w:szCs w:val="22"/>
              </w:rPr>
              <w:t xml:space="preserve">County FIPS code (3-digit), </w:t>
            </w:r>
            <w:r w:rsidRPr="003962DC">
              <w:rPr>
                <w:i/>
                <w:color w:val="000000"/>
                <w:sz w:val="22"/>
              </w:rPr>
              <w:t>e.g.</w:t>
            </w:r>
            <w:r>
              <w:rPr>
                <w:color w:val="000000"/>
                <w:sz w:val="22"/>
                <w:szCs w:val="22"/>
              </w:rPr>
              <w:t>, report 201 if Harris County, TX</w:t>
            </w:r>
            <w:r>
              <w:rPr>
                <w:sz w:val="22"/>
                <w:szCs w:val="22"/>
              </w:rPr>
              <w:t xml:space="preserve"> </w:t>
            </w:r>
          </w:p>
          <w:p w:rsidR="00D224DC" w:rsidP="00DE5A36" w:rsidRDefault="00D224DC" w14:paraId="7ECA8262" w14:textId="77777777">
            <w:pPr>
              <w:rPr>
                <w:color w:val="000000"/>
                <w:sz w:val="22"/>
                <w:szCs w:val="22"/>
              </w:rPr>
            </w:pPr>
          </w:p>
        </w:tc>
      </w:tr>
      <w:tr w:rsidR="00D224DC" w:rsidTr="00DE5A36" w14:paraId="683DFA91" w14:textId="77777777">
        <w:trPr>
          <w:trHeight w:val="590"/>
        </w:trPr>
        <w:tc>
          <w:tcPr>
            <w:tcW w:w="342"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D3FABBD" w14:textId="77777777">
            <w:pPr>
              <w:jc w:val="right"/>
              <w:rPr>
                <w:color w:val="000000"/>
                <w:sz w:val="22"/>
                <w:szCs w:val="22"/>
              </w:rPr>
            </w:pPr>
            <w:r>
              <w:rPr>
                <w:color w:val="000000"/>
                <w:sz w:val="22"/>
                <w:szCs w:val="22"/>
              </w:rPr>
              <w:t>3</w:t>
            </w:r>
          </w:p>
        </w:tc>
        <w:tc>
          <w:tcPr>
            <w:tcW w:w="76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EAC2942" w14:textId="77777777">
            <w:pPr>
              <w:spacing w:line="276" w:lineRule="auto"/>
              <w:rPr>
                <w:color w:val="000000"/>
                <w:sz w:val="22"/>
                <w:szCs w:val="22"/>
              </w:rPr>
            </w:pPr>
            <w:r>
              <w:rPr>
                <w:color w:val="000000"/>
                <w:sz w:val="22"/>
                <w:szCs w:val="22"/>
              </w:rPr>
              <w:t>MD_MSA</w:t>
            </w:r>
          </w:p>
        </w:tc>
        <w:tc>
          <w:tcPr>
            <w:tcW w:w="49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DB79A47"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7A64C58" w14:textId="77777777">
            <w:pPr>
              <w:rPr>
                <w:color w:val="000000"/>
                <w:sz w:val="22"/>
                <w:szCs w:val="22"/>
              </w:rPr>
            </w:pPr>
            <w:r>
              <w:rPr>
                <w:color w:val="000000"/>
                <w:sz w:val="22"/>
                <w:szCs w:val="22"/>
              </w:rPr>
              <w:t>MD/MSA</w:t>
            </w:r>
          </w:p>
        </w:tc>
        <w:tc>
          <w:tcPr>
            <w:tcW w:w="111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1CB8870" w14:textId="77777777">
            <w:pPr>
              <w:rPr>
                <w:color w:val="000000"/>
                <w:sz w:val="22"/>
                <w:szCs w:val="22"/>
              </w:rPr>
            </w:pPr>
            <w:r>
              <w:rPr>
                <w:color w:val="000000"/>
                <w:sz w:val="22"/>
                <w:szCs w:val="22"/>
              </w:rPr>
              <w:t xml:space="preserve">MD/MSA code (5-digit), </w:t>
            </w:r>
            <w:r w:rsidRPr="003962DC">
              <w:rPr>
                <w:i/>
                <w:color w:val="000000"/>
                <w:sz w:val="22"/>
              </w:rPr>
              <w:t>e.g.</w:t>
            </w:r>
            <w:r>
              <w:rPr>
                <w:color w:val="000000"/>
                <w:sz w:val="22"/>
                <w:szCs w:val="22"/>
              </w:rPr>
              <w:t>, report 26420 if Houston-The Woodlands-Sugar Land, TX</w:t>
            </w:r>
          </w:p>
        </w:tc>
      </w:tr>
      <w:tr w:rsidR="00D224DC" w:rsidTr="00DE5A36" w14:paraId="664EDE87" w14:textId="77777777">
        <w:trPr>
          <w:trHeight w:val="295"/>
        </w:trPr>
        <w:tc>
          <w:tcPr>
            <w:tcW w:w="342"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CC26A43" w14:textId="77777777">
            <w:pPr>
              <w:jc w:val="right"/>
              <w:rPr>
                <w:color w:val="000000"/>
                <w:sz w:val="22"/>
                <w:szCs w:val="22"/>
              </w:rPr>
            </w:pPr>
            <w:r>
              <w:rPr>
                <w:color w:val="000000"/>
                <w:sz w:val="22"/>
                <w:szCs w:val="22"/>
              </w:rPr>
              <w:t>4</w:t>
            </w:r>
          </w:p>
        </w:tc>
        <w:tc>
          <w:tcPr>
            <w:tcW w:w="76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9736129" w14:textId="77777777">
            <w:pPr>
              <w:spacing w:line="276" w:lineRule="auto"/>
              <w:rPr>
                <w:color w:val="000000"/>
                <w:sz w:val="22"/>
                <w:szCs w:val="22"/>
              </w:rPr>
            </w:pPr>
            <w:r>
              <w:rPr>
                <w:color w:val="000000"/>
                <w:sz w:val="22"/>
                <w:szCs w:val="22"/>
              </w:rPr>
              <w:t>STATE</w:t>
            </w:r>
          </w:p>
        </w:tc>
        <w:tc>
          <w:tcPr>
            <w:tcW w:w="49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A632D0D"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9C40650" w14:textId="77777777">
            <w:pPr>
              <w:rPr>
                <w:color w:val="000000"/>
                <w:sz w:val="22"/>
                <w:szCs w:val="22"/>
              </w:rPr>
            </w:pPr>
            <w:r>
              <w:rPr>
                <w:color w:val="000000"/>
                <w:sz w:val="22"/>
                <w:szCs w:val="22"/>
              </w:rPr>
              <w:t>State FIPS</w:t>
            </w:r>
          </w:p>
        </w:tc>
        <w:tc>
          <w:tcPr>
            <w:tcW w:w="1112" w:type="pct"/>
            <w:tcBorders>
              <w:top w:val="nil"/>
              <w:left w:val="nil"/>
              <w:bottom w:val="single" w:color="auto" w:sz="4" w:space="0"/>
              <w:right w:val="single" w:color="auto" w:sz="4" w:space="0"/>
            </w:tcBorders>
            <w:shd w:val="clear" w:color="auto" w:fill="auto"/>
            <w:vAlign w:val="bottom"/>
            <w:hideMark/>
          </w:tcPr>
          <w:p w:rsidRPr="00F503CD" w:rsidR="00D224DC" w:rsidP="00DE5A36" w:rsidRDefault="00D224DC" w14:paraId="20332CEA" w14:textId="77777777">
            <w:pPr>
              <w:rPr>
                <w:sz w:val="22"/>
              </w:rPr>
            </w:pPr>
            <w:r>
              <w:rPr>
                <w:color w:val="000000"/>
                <w:sz w:val="22"/>
                <w:szCs w:val="22"/>
              </w:rPr>
              <w:t xml:space="preserve">State FIPS code (2-digit), </w:t>
            </w:r>
            <w:r w:rsidRPr="003962DC">
              <w:rPr>
                <w:i/>
                <w:color w:val="000000"/>
                <w:sz w:val="22"/>
              </w:rPr>
              <w:t>e.g.</w:t>
            </w:r>
            <w:r>
              <w:rPr>
                <w:color w:val="000000"/>
                <w:sz w:val="22"/>
                <w:szCs w:val="22"/>
              </w:rPr>
              <w:t>, report 48 if Harris County, TX</w:t>
            </w:r>
          </w:p>
        </w:tc>
      </w:tr>
      <w:tr w:rsidR="00D224DC" w:rsidTr="00DE5A36" w14:paraId="4873F270" w14:textId="77777777">
        <w:trPr>
          <w:trHeight w:val="295"/>
        </w:trPr>
        <w:tc>
          <w:tcPr>
            <w:tcW w:w="342" w:type="pct"/>
            <w:tcBorders>
              <w:top w:val="nil"/>
              <w:left w:val="single" w:color="auto" w:sz="4" w:space="0"/>
              <w:bottom w:val="single" w:color="auto" w:sz="4" w:space="0"/>
              <w:right w:val="single" w:color="auto" w:sz="4" w:space="0"/>
            </w:tcBorders>
            <w:shd w:val="clear" w:color="auto" w:fill="auto"/>
            <w:noWrap/>
            <w:vAlign w:val="bottom"/>
          </w:tcPr>
          <w:p w:rsidR="00D224DC" w:rsidP="00DE5A36" w:rsidRDefault="00D224DC" w14:paraId="7ABBD2DB" w14:textId="77777777">
            <w:pPr>
              <w:jc w:val="right"/>
              <w:rPr>
                <w:color w:val="000000"/>
                <w:sz w:val="22"/>
                <w:szCs w:val="22"/>
              </w:rPr>
            </w:pPr>
            <w:r>
              <w:rPr>
                <w:color w:val="000000"/>
                <w:sz w:val="22"/>
                <w:szCs w:val="22"/>
              </w:rPr>
              <w:t>5</w:t>
            </w:r>
          </w:p>
        </w:tc>
        <w:tc>
          <w:tcPr>
            <w:tcW w:w="764" w:type="pct"/>
            <w:tcBorders>
              <w:top w:val="nil"/>
              <w:left w:val="nil"/>
              <w:bottom w:val="single" w:color="auto" w:sz="4" w:space="0"/>
              <w:right w:val="single" w:color="auto" w:sz="4" w:space="0"/>
            </w:tcBorders>
            <w:shd w:val="clear" w:color="auto" w:fill="auto"/>
            <w:noWrap/>
            <w:vAlign w:val="bottom"/>
          </w:tcPr>
          <w:p w:rsidR="00D224DC" w:rsidP="00DE5A36" w:rsidRDefault="00D224DC" w14:paraId="12951864" w14:textId="77777777">
            <w:pPr>
              <w:spacing w:line="276" w:lineRule="auto"/>
              <w:rPr>
                <w:color w:val="000000"/>
                <w:sz w:val="22"/>
                <w:szCs w:val="22"/>
              </w:rPr>
            </w:pPr>
            <w:r>
              <w:rPr>
                <w:color w:val="000000"/>
                <w:sz w:val="22"/>
                <w:szCs w:val="22"/>
              </w:rPr>
              <w:t>TRACT</w:t>
            </w:r>
          </w:p>
        </w:tc>
        <w:tc>
          <w:tcPr>
            <w:tcW w:w="490" w:type="pct"/>
            <w:tcBorders>
              <w:top w:val="nil"/>
              <w:left w:val="nil"/>
              <w:bottom w:val="single" w:color="auto" w:sz="4" w:space="0"/>
              <w:right w:val="single" w:color="auto" w:sz="4" w:space="0"/>
            </w:tcBorders>
            <w:shd w:val="clear" w:color="auto" w:fill="auto"/>
            <w:noWrap/>
            <w:vAlign w:val="bottom"/>
          </w:tcPr>
          <w:p w:rsidR="00D224DC" w:rsidP="00DE5A36" w:rsidRDefault="00D224DC" w14:paraId="7CD57F7A"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tcPr>
          <w:p w:rsidR="00D224DC" w:rsidP="00DE5A36" w:rsidRDefault="00D224DC" w14:paraId="258872A5" w14:textId="77777777">
            <w:pPr>
              <w:rPr>
                <w:color w:val="000000"/>
                <w:sz w:val="22"/>
                <w:szCs w:val="22"/>
              </w:rPr>
            </w:pPr>
            <w:r>
              <w:rPr>
                <w:color w:val="000000"/>
                <w:sz w:val="22"/>
                <w:szCs w:val="22"/>
              </w:rPr>
              <w:t>Census tract</w:t>
            </w:r>
          </w:p>
        </w:tc>
        <w:tc>
          <w:tcPr>
            <w:tcW w:w="1112" w:type="pct"/>
            <w:tcBorders>
              <w:top w:val="nil"/>
              <w:left w:val="nil"/>
              <w:bottom w:val="single" w:color="auto" w:sz="4" w:space="0"/>
              <w:right w:val="single" w:color="auto" w:sz="4" w:space="0"/>
            </w:tcBorders>
            <w:shd w:val="clear" w:color="auto" w:fill="auto"/>
            <w:vAlign w:val="bottom"/>
          </w:tcPr>
          <w:p w:rsidRPr="00F503CD" w:rsidR="00D224DC" w:rsidP="00DE5A36" w:rsidRDefault="00D224DC" w14:paraId="7EA2D936" w14:textId="77777777">
            <w:pPr>
              <w:rPr>
                <w:sz w:val="22"/>
              </w:rPr>
            </w:pPr>
            <w:r>
              <w:rPr>
                <w:color w:val="000000"/>
                <w:sz w:val="22"/>
                <w:szCs w:val="22"/>
              </w:rPr>
              <w:t xml:space="preserve">Tract FIPS code (6-digit), </w:t>
            </w:r>
            <w:r w:rsidRPr="003962DC">
              <w:rPr>
                <w:i/>
                <w:color w:val="000000"/>
                <w:sz w:val="22"/>
              </w:rPr>
              <w:t>e.g.</w:t>
            </w:r>
            <w:r>
              <w:rPr>
                <w:color w:val="000000"/>
                <w:sz w:val="22"/>
                <w:szCs w:val="22"/>
              </w:rPr>
              <w:t xml:space="preserve">, report 223100 if Census Tract 2231 in Harris County, TX </w:t>
            </w:r>
          </w:p>
        </w:tc>
      </w:tr>
      <w:tr w:rsidR="00D224DC" w:rsidTr="00DE5A36" w14:paraId="708A9A26" w14:textId="77777777">
        <w:trPr>
          <w:trHeight w:val="887"/>
        </w:trPr>
        <w:tc>
          <w:tcPr>
            <w:tcW w:w="342"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3289C6A" w14:textId="77777777">
            <w:pPr>
              <w:jc w:val="right"/>
              <w:rPr>
                <w:color w:val="000000"/>
                <w:sz w:val="22"/>
                <w:szCs w:val="22"/>
              </w:rPr>
            </w:pPr>
            <w:r>
              <w:rPr>
                <w:color w:val="000000"/>
                <w:sz w:val="22"/>
                <w:szCs w:val="22"/>
              </w:rPr>
              <w:t>6</w:t>
            </w:r>
          </w:p>
        </w:tc>
        <w:tc>
          <w:tcPr>
            <w:tcW w:w="76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8054D4C" w14:textId="77777777">
            <w:pPr>
              <w:spacing w:line="276" w:lineRule="auto"/>
              <w:rPr>
                <w:color w:val="000000"/>
                <w:sz w:val="22"/>
                <w:szCs w:val="22"/>
              </w:rPr>
            </w:pPr>
            <w:r>
              <w:rPr>
                <w:color w:val="000000"/>
                <w:sz w:val="22"/>
                <w:szCs w:val="22"/>
              </w:rPr>
              <w:t>AA_ID</w:t>
            </w:r>
          </w:p>
        </w:tc>
        <w:tc>
          <w:tcPr>
            <w:tcW w:w="49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E733EB1"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638DD3A" w14:textId="77777777">
            <w:pPr>
              <w:rPr>
                <w:color w:val="000000"/>
                <w:sz w:val="22"/>
                <w:szCs w:val="22"/>
              </w:rPr>
            </w:pPr>
            <w:r>
              <w:rPr>
                <w:color w:val="000000"/>
                <w:sz w:val="22"/>
                <w:szCs w:val="22"/>
              </w:rPr>
              <w:t>Facility-based or deposit-based assessment area number</w:t>
            </w:r>
          </w:p>
        </w:tc>
        <w:tc>
          <w:tcPr>
            <w:tcW w:w="111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E8BB424" w14:textId="77777777">
            <w:pPr>
              <w:rPr>
                <w:color w:val="000000"/>
                <w:sz w:val="22"/>
                <w:szCs w:val="22"/>
              </w:rPr>
            </w:pPr>
            <w:r>
              <w:rPr>
                <w:color w:val="000000"/>
                <w:sz w:val="22"/>
                <w:szCs w:val="22"/>
              </w:rPr>
              <w:t>Numeric indicator, created by the bank, that uniquely identifies each facility-based or deposit-based assessment area. Use code -98 if a loan is not within a facility-based or deposit-based assessment area.</w:t>
            </w:r>
          </w:p>
        </w:tc>
      </w:tr>
      <w:tr w:rsidR="00D224DC" w:rsidTr="00DE5A36" w14:paraId="7BF7E67D" w14:textId="77777777">
        <w:trPr>
          <w:trHeight w:val="590"/>
        </w:trPr>
        <w:tc>
          <w:tcPr>
            <w:tcW w:w="342"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048922D" w14:textId="77777777">
            <w:pPr>
              <w:jc w:val="right"/>
              <w:rPr>
                <w:color w:val="000000"/>
                <w:sz w:val="22"/>
                <w:szCs w:val="22"/>
              </w:rPr>
            </w:pPr>
            <w:r>
              <w:rPr>
                <w:color w:val="000000"/>
                <w:sz w:val="22"/>
                <w:szCs w:val="22"/>
              </w:rPr>
              <w:t>7</w:t>
            </w:r>
          </w:p>
        </w:tc>
        <w:tc>
          <w:tcPr>
            <w:tcW w:w="76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B1C9141" w14:textId="77777777">
            <w:pPr>
              <w:spacing w:line="276" w:lineRule="auto"/>
              <w:rPr>
                <w:color w:val="000000"/>
                <w:sz w:val="22"/>
                <w:szCs w:val="22"/>
              </w:rPr>
            </w:pPr>
            <w:r>
              <w:rPr>
                <w:color w:val="000000"/>
                <w:sz w:val="22"/>
                <w:szCs w:val="22"/>
              </w:rPr>
              <w:t>LOAN_TYPE</w:t>
            </w:r>
          </w:p>
        </w:tc>
        <w:tc>
          <w:tcPr>
            <w:tcW w:w="49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1FD3A57"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AB3D946" w14:textId="77777777">
            <w:pPr>
              <w:rPr>
                <w:color w:val="000000"/>
                <w:sz w:val="22"/>
                <w:szCs w:val="22"/>
              </w:rPr>
            </w:pPr>
            <w:r>
              <w:rPr>
                <w:color w:val="000000"/>
                <w:sz w:val="22"/>
                <w:szCs w:val="22"/>
              </w:rPr>
              <w:t>Loan type</w:t>
            </w:r>
          </w:p>
        </w:tc>
        <w:tc>
          <w:tcPr>
            <w:tcW w:w="111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0A318B7" w14:textId="77777777">
            <w:pPr>
              <w:rPr>
                <w:color w:val="000000"/>
                <w:sz w:val="22"/>
                <w:szCs w:val="22"/>
              </w:rPr>
            </w:pPr>
            <w:r>
              <w:rPr>
                <w:color w:val="000000"/>
                <w:sz w:val="22"/>
                <w:szCs w:val="22"/>
              </w:rPr>
              <w:t xml:space="preserve">1: Mortgage; 2: other revolving credit plan; 3: auto; 4: other consumer loan; 5: </w:t>
            </w:r>
            <w:r>
              <w:rPr>
                <w:color w:val="000000"/>
                <w:sz w:val="22"/>
                <w:szCs w:val="22"/>
              </w:rPr>
              <w:lastRenderedPageBreak/>
              <w:t>small loan to a business; 6: small loan to a farm</w:t>
            </w:r>
          </w:p>
        </w:tc>
      </w:tr>
      <w:tr w:rsidR="00D224DC" w:rsidTr="00DE5A36" w14:paraId="20EB61F5" w14:textId="77777777">
        <w:trPr>
          <w:trHeight w:val="295"/>
        </w:trPr>
        <w:tc>
          <w:tcPr>
            <w:tcW w:w="342" w:type="pct"/>
            <w:tcBorders>
              <w:top w:val="nil"/>
              <w:left w:val="single" w:color="auto" w:sz="4" w:space="0"/>
              <w:bottom w:val="single" w:color="auto" w:sz="4" w:space="0"/>
              <w:right w:val="single" w:color="auto" w:sz="4" w:space="0"/>
            </w:tcBorders>
            <w:shd w:val="clear" w:color="auto" w:fill="auto"/>
            <w:noWrap/>
            <w:vAlign w:val="bottom"/>
          </w:tcPr>
          <w:p w:rsidR="00D224DC" w:rsidP="00DE5A36" w:rsidRDefault="00D224DC" w14:paraId="70524A95" w14:textId="77777777">
            <w:pPr>
              <w:jc w:val="right"/>
              <w:rPr>
                <w:color w:val="000000"/>
                <w:sz w:val="22"/>
                <w:szCs w:val="22"/>
              </w:rPr>
            </w:pPr>
            <w:r>
              <w:rPr>
                <w:color w:val="000000"/>
                <w:sz w:val="22"/>
                <w:szCs w:val="22"/>
              </w:rPr>
              <w:lastRenderedPageBreak/>
              <w:t>8</w:t>
            </w:r>
          </w:p>
        </w:tc>
        <w:tc>
          <w:tcPr>
            <w:tcW w:w="764" w:type="pct"/>
            <w:tcBorders>
              <w:top w:val="nil"/>
              <w:left w:val="nil"/>
              <w:bottom w:val="single" w:color="auto" w:sz="4" w:space="0"/>
              <w:right w:val="single" w:color="auto" w:sz="4" w:space="0"/>
            </w:tcBorders>
            <w:shd w:val="clear" w:color="auto" w:fill="auto"/>
            <w:noWrap/>
            <w:vAlign w:val="bottom"/>
          </w:tcPr>
          <w:p w:rsidR="00D224DC" w:rsidP="00DE5A36" w:rsidRDefault="00D224DC" w14:paraId="20043C07" w14:textId="77777777">
            <w:pPr>
              <w:spacing w:line="276" w:lineRule="auto"/>
              <w:rPr>
                <w:color w:val="000000"/>
                <w:sz w:val="22"/>
                <w:szCs w:val="22"/>
              </w:rPr>
            </w:pPr>
            <w:r>
              <w:rPr>
                <w:color w:val="000000"/>
                <w:sz w:val="22"/>
                <w:szCs w:val="22"/>
              </w:rPr>
              <w:t>ACTION_TYPE</w:t>
            </w:r>
          </w:p>
        </w:tc>
        <w:tc>
          <w:tcPr>
            <w:tcW w:w="490" w:type="pct"/>
            <w:tcBorders>
              <w:top w:val="nil"/>
              <w:left w:val="nil"/>
              <w:bottom w:val="single" w:color="auto" w:sz="4" w:space="0"/>
              <w:right w:val="single" w:color="auto" w:sz="4" w:space="0"/>
            </w:tcBorders>
            <w:shd w:val="clear" w:color="auto" w:fill="auto"/>
            <w:noWrap/>
            <w:vAlign w:val="bottom"/>
          </w:tcPr>
          <w:p w:rsidR="00D224DC" w:rsidP="00DE5A36" w:rsidRDefault="00D224DC" w14:paraId="5D7FA2CC"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tcPr>
          <w:p w:rsidR="00D224DC" w:rsidP="00DE5A36" w:rsidRDefault="00D224DC" w14:paraId="0495462D" w14:textId="77777777">
            <w:pPr>
              <w:rPr>
                <w:color w:val="000000"/>
                <w:sz w:val="22"/>
                <w:szCs w:val="22"/>
              </w:rPr>
            </w:pPr>
            <w:r>
              <w:rPr>
                <w:color w:val="000000"/>
                <w:sz w:val="22"/>
                <w:szCs w:val="22"/>
              </w:rPr>
              <w:t>Loan decision</w:t>
            </w:r>
          </w:p>
        </w:tc>
        <w:tc>
          <w:tcPr>
            <w:tcW w:w="1112" w:type="pct"/>
            <w:tcBorders>
              <w:top w:val="nil"/>
              <w:left w:val="nil"/>
              <w:bottom w:val="single" w:color="auto" w:sz="4" w:space="0"/>
              <w:right w:val="single" w:color="auto" w:sz="4" w:space="0"/>
            </w:tcBorders>
            <w:shd w:val="clear" w:color="auto" w:fill="auto"/>
            <w:vAlign w:val="bottom"/>
          </w:tcPr>
          <w:p w:rsidR="00D224DC" w:rsidP="00DE5A36" w:rsidRDefault="00D224DC" w14:paraId="6DB1EC8F" w14:textId="77777777">
            <w:pPr>
              <w:rPr>
                <w:color w:val="000000"/>
                <w:sz w:val="22"/>
                <w:szCs w:val="22"/>
              </w:rPr>
            </w:pPr>
            <w:r>
              <w:rPr>
                <w:color w:val="000000"/>
                <w:sz w:val="22"/>
                <w:szCs w:val="22"/>
              </w:rPr>
              <w:t>0: Loan not originated</w:t>
            </w:r>
          </w:p>
          <w:p w:rsidR="00D224DC" w:rsidP="00DE5A36" w:rsidRDefault="00D224DC" w14:paraId="5DCD1D56" w14:textId="77777777">
            <w:pPr>
              <w:rPr>
                <w:color w:val="000000"/>
                <w:sz w:val="22"/>
                <w:szCs w:val="22"/>
              </w:rPr>
            </w:pPr>
            <w:r>
              <w:rPr>
                <w:color w:val="000000"/>
                <w:sz w:val="22"/>
                <w:szCs w:val="22"/>
              </w:rPr>
              <w:t>1: Loan originated</w:t>
            </w:r>
          </w:p>
        </w:tc>
      </w:tr>
      <w:tr w:rsidR="00D224DC" w:rsidTr="00DE5A36" w14:paraId="72E37306" w14:textId="77777777">
        <w:trPr>
          <w:trHeight w:val="295"/>
        </w:trPr>
        <w:tc>
          <w:tcPr>
            <w:tcW w:w="342"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0119B532" w14:textId="77777777">
            <w:pPr>
              <w:jc w:val="right"/>
              <w:rPr>
                <w:color w:val="000000"/>
                <w:sz w:val="22"/>
                <w:szCs w:val="22"/>
              </w:rPr>
            </w:pPr>
            <w:r>
              <w:rPr>
                <w:color w:val="000000"/>
                <w:sz w:val="22"/>
                <w:szCs w:val="22"/>
              </w:rPr>
              <w:t>9</w:t>
            </w:r>
          </w:p>
        </w:tc>
        <w:tc>
          <w:tcPr>
            <w:tcW w:w="76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248F3B0" w14:textId="77777777">
            <w:pPr>
              <w:spacing w:line="276" w:lineRule="auto"/>
              <w:rPr>
                <w:color w:val="000000"/>
                <w:sz w:val="22"/>
                <w:szCs w:val="22"/>
              </w:rPr>
            </w:pPr>
            <w:r>
              <w:rPr>
                <w:color w:val="000000"/>
                <w:sz w:val="22"/>
                <w:szCs w:val="22"/>
              </w:rPr>
              <w:t>ORIG_BAL</w:t>
            </w:r>
          </w:p>
        </w:tc>
        <w:tc>
          <w:tcPr>
            <w:tcW w:w="49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3B98D71" w14:textId="77777777">
            <w:pPr>
              <w:rPr>
                <w:color w:val="000000"/>
                <w:sz w:val="22"/>
                <w:szCs w:val="22"/>
              </w:rPr>
            </w:pPr>
            <w:r>
              <w:rPr>
                <w:color w:val="000000"/>
                <w:sz w:val="22"/>
                <w:szCs w:val="22"/>
              </w:rPr>
              <w:t>Numeric</w:t>
            </w:r>
          </w:p>
        </w:tc>
        <w:tc>
          <w:tcPr>
            <w:tcW w:w="2292"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073F993" w14:textId="77777777">
            <w:pPr>
              <w:rPr>
                <w:color w:val="000000"/>
                <w:sz w:val="22"/>
                <w:szCs w:val="22"/>
              </w:rPr>
            </w:pPr>
            <w:r>
              <w:rPr>
                <w:color w:val="000000"/>
                <w:sz w:val="22"/>
                <w:szCs w:val="22"/>
              </w:rPr>
              <w:t>Balance at origination</w:t>
            </w:r>
          </w:p>
        </w:tc>
        <w:tc>
          <w:tcPr>
            <w:tcW w:w="111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C3A47DB" w14:textId="77777777">
            <w:pPr>
              <w:rPr>
                <w:color w:val="000000"/>
                <w:sz w:val="22"/>
                <w:szCs w:val="22"/>
              </w:rPr>
            </w:pPr>
            <w:r>
              <w:rPr>
                <w:color w:val="000000"/>
                <w:sz w:val="22"/>
                <w:szCs w:val="22"/>
              </w:rPr>
              <w:t>Reported in thousands of dollars.  Use code -98 if the loan was not originated.</w:t>
            </w:r>
          </w:p>
        </w:tc>
      </w:tr>
      <w:tr w:rsidR="00D224DC" w:rsidTr="00DE5A36" w14:paraId="633588A0" w14:textId="77777777">
        <w:trPr>
          <w:trHeight w:val="295"/>
        </w:trPr>
        <w:tc>
          <w:tcPr>
            <w:tcW w:w="342" w:type="pct"/>
            <w:tcBorders>
              <w:top w:val="nil"/>
              <w:left w:val="single" w:color="auto" w:sz="4" w:space="0"/>
              <w:bottom w:val="single" w:color="auto" w:sz="4" w:space="0"/>
              <w:right w:val="single" w:color="auto" w:sz="4" w:space="0"/>
            </w:tcBorders>
            <w:shd w:val="clear" w:color="auto" w:fill="auto"/>
            <w:noWrap/>
            <w:vAlign w:val="bottom"/>
          </w:tcPr>
          <w:p w:rsidR="00D224DC" w:rsidP="00DE5A36" w:rsidRDefault="00D224DC" w14:paraId="1AC09E8C" w14:textId="77777777">
            <w:pPr>
              <w:jc w:val="right"/>
              <w:rPr>
                <w:color w:val="000000"/>
                <w:sz w:val="22"/>
                <w:szCs w:val="22"/>
              </w:rPr>
            </w:pPr>
            <w:r>
              <w:rPr>
                <w:color w:val="000000"/>
                <w:sz w:val="22"/>
                <w:szCs w:val="22"/>
              </w:rPr>
              <w:t>10</w:t>
            </w:r>
          </w:p>
        </w:tc>
        <w:tc>
          <w:tcPr>
            <w:tcW w:w="764" w:type="pct"/>
            <w:tcBorders>
              <w:top w:val="nil"/>
              <w:left w:val="nil"/>
              <w:bottom w:val="single" w:color="auto" w:sz="4" w:space="0"/>
              <w:right w:val="single" w:color="auto" w:sz="4" w:space="0"/>
            </w:tcBorders>
            <w:shd w:val="clear" w:color="auto" w:fill="auto"/>
            <w:noWrap/>
            <w:vAlign w:val="bottom"/>
          </w:tcPr>
          <w:p w:rsidR="00D224DC" w:rsidP="00DE5A36" w:rsidRDefault="00D224DC" w14:paraId="6A8F33F4" w14:textId="77777777">
            <w:pPr>
              <w:spacing w:line="276" w:lineRule="auto"/>
              <w:rPr>
                <w:color w:val="000000"/>
                <w:sz w:val="22"/>
                <w:szCs w:val="22"/>
              </w:rPr>
            </w:pPr>
            <w:r>
              <w:rPr>
                <w:color w:val="000000"/>
                <w:sz w:val="22"/>
                <w:szCs w:val="22"/>
              </w:rPr>
              <w:t>APPL_DATE</w:t>
            </w:r>
          </w:p>
        </w:tc>
        <w:tc>
          <w:tcPr>
            <w:tcW w:w="490" w:type="pct"/>
            <w:tcBorders>
              <w:top w:val="nil"/>
              <w:left w:val="nil"/>
              <w:bottom w:val="single" w:color="auto" w:sz="4" w:space="0"/>
              <w:right w:val="single" w:color="auto" w:sz="4" w:space="0"/>
            </w:tcBorders>
            <w:shd w:val="clear" w:color="auto" w:fill="auto"/>
            <w:noWrap/>
            <w:vAlign w:val="bottom"/>
          </w:tcPr>
          <w:p w:rsidR="00D224DC" w:rsidP="00DE5A36" w:rsidRDefault="00D224DC" w14:paraId="12C90257"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tcPr>
          <w:p w:rsidR="00D224DC" w:rsidP="00DE5A36" w:rsidRDefault="00D224DC" w14:paraId="446B9042" w14:textId="77777777">
            <w:pPr>
              <w:rPr>
                <w:color w:val="000000"/>
                <w:sz w:val="22"/>
                <w:szCs w:val="22"/>
              </w:rPr>
            </w:pPr>
            <w:r>
              <w:rPr>
                <w:color w:val="000000"/>
                <w:sz w:val="22"/>
                <w:szCs w:val="22"/>
              </w:rPr>
              <w:t>Application Date</w:t>
            </w:r>
          </w:p>
        </w:tc>
        <w:tc>
          <w:tcPr>
            <w:tcW w:w="1112" w:type="pct"/>
            <w:tcBorders>
              <w:top w:val="nil"/>
              <w:left w:val="nil"/>
              <w:bottom w:val="single" w:color="auto" w:sz="4" w:space="0"/>
              <w:right w:val="single" w:color="auto" w:sz="4" w:space="0"/>
            </w:tcBorders>
            <w:shd w:val="clear" w:color="auto" w:fill="auto"/>
            <w:vAlign w:val="bottom"/>
          </w:tcPr>
          <w:p w:rsidR="00D224DC" w:rsidP="00DE5A36" w:rsidRDefault="00D224DC" w14:paraId="6D8A06D8" w14:textId="77777777">
            <w:pPr>
              <w:rPr>
                <w:color w:val="000000"/>
                <w:sz w:val="22"/>
                <w:szCs w:val="22"/>
              </w:rPr>
            </w:pPr>
            <w:r>
              <w:rPr>
                <w:color w:val="000000"/>
                <w:sz w:val="22"/>
                <w:szCs w:val="22"/>
              </w:rPr>
              <w:t>MMDDYYYY</w:t>
            </w:r>
          </w:p>
        </w:tc>
      </w:tr>
      <w:tr w:rsidR="00D224DC" w:rsidTr="00DE5A36" w14:paraId="55BB3F9B" w14:textId="77777777">
        <w:trPr>
          <w:trHeight w:val="295"/>
        </w:trPr>
        <w:tc>
          <w:tcPr>
            <w:tcW w:w="342"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7C73B38" w14:textId="77777777">
            <w:pPr>
              <w:jc w:val="right"/>
              <w:rPr>
                <w:color w:val="000000"/>
                <w:sz w:val="22"/>
                <w:szCs w:val="22"/>
              </w:rPr>
            </w:pPr>
            <w:r>
              <w:rPr>
                <w:color w:val="000000"/>
                <w:sz w:val="22"/>
                <w:szCs w:val="22"/>
              </w:rPr>
              <w:t>11</w:t>
            </w:r>
          </w:p>
        </w:tc>
        <w:tc>
          <w:tcPr>
            <w:tcW w:w="76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13785B2" w14:textId="77777777">
            <w:pPr>
              <w:spacing w:line="276" w:lineRule="auto"/>
              <w:rPr>
                <w:color w:val="000000"/>
                <w:sz w:val="22"/>
                <w:szCs w:val="22"/>
              </w:rPr>
            </w:pPr>
            <w:r>
              <w:rPr>
                <w:color w:val="000000"/>
                <w:sz w:val="22"/>
                <w:szCs w:val="22"/>
              </w:rPr>
              <w:t>ORIG_DATE</w:t>
            </w:r>
          </w:p>
        </w:tc>
        <w:tc>
          <w:tcPr>
            <w:tcW w:w="49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A10D9E6"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3843D65" w14:textId="77777777">
            <w:pPr>
              <w:rPr>
                <w:color w:val="000000"/>
                <w:sz w:val="22"/>
                <w:szCs w:val="22"/>
              </w:rPr>
            </w:pPr>
            <w:r>
              <w:rPr>
                <w:color w:val="000000"/>
                <w:sz w:val="22"/>
                <w:szCs w:val="22"/>
              </w:rPr>
              <w:t>Origination date</w:t>
            </w:r>
          </w:p>
        </w:tc>
        <w:tc>
          <w:tcPr>
            <w:tcW w:w="111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13343AAA" w14:textId="77777777">
            <w:pPr>
              <w:rPr>
                <w:color w:val="000000"/>
                <w:sz w:val="22"/>
                <w:szCs w:val="22"/>
              </w:rPr>
            </w:pPr>
            <w:r>
              <w:rPr>
                <w:color w:val="000000"/>
                <w:sz w:val="22"/>
                <w:szCs w:val="22"/>
              </w:rPr>
              <w:t>MMDDYYYY.  Use code -98 if the loan was not originated.</w:t>
            </w:r>
          </w:p>
        </w:tc>
      </w:tr>
      <w:tr w:rsidR="00D224DC" w:rsidTr="00DE5A36" w14:paraId="4010B5E1" w14:textId="77777777">
        <w:trPr>
          <w:trHeight w:val="295"/>
        </w:trPr>
        <w:tc>
          <w:tcPr>
            <w:tcW w:w="342"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0B8411D3" w14:textId="77777777">
            <w:pPr>
              <w:jc w:val="right"/>
              <w:rPr>
                <w:color w:val="000000"/>
                <w:sz w:val="22"/>
                <w:szCs w:val="22"/>
              </w:rPr>
            </w:pPr>
            <w:r>
              <w:rPr>
                <w:color w:val="000000"/>
                <w:sz w:val="22"/>
                <w:szCs w:val="22"/>
              </w:rPr>
              <w:t>12</w:t>
            </w:r>
          </w:p>
        </w:tc>
        <w:tc>
          <w:tcPr>
            <w:tcW w:w="76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4AC906F" w14:textId="77777777">
            <w:pPr>
              <w:spacing w:line="276" w:lineRule="auto"/>
              <w:rPr>
                <w:color w:val="000000"/>
                <w:sz w:val="22"/>
                <w:szCs w:val="22"/>
              </w:rPr>
            </w:pPr>
            <w:r>
              <w:rPr>
                <w:color w:val="000000"/>
                <w:sz w:val="22"/>
                <w:szCs w:val="22"/>
              </w:rPr>
              <w:t>SELL_DATE</w:t>
            </w:r>
          </w:p>
        </w:tc>
        <w:tc>
          <w:tcPr>
            <w:tcW w:w="49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B2DE8C9" w14:textId="77777777">
            <w:pPr>
              <w:rPr>
                <w:color w:val="000000"/>
                <w:sz w:val="22"/>
                <w:szCs w:val="22"/>
              </w:rPr>
            </w:pPr>
            <w:r>
              <w:rPr>
                <w:color w:val="000000"/>
                <w:sz w:val="22"/>
                <w:szCs w:val="22"/>
              </w:rPr>
              <w:t>String</w:t>
            </w:r>
          </w:p>
        </w:tc>
        <w:tc>
          <w:tcPr>
            <w:tcW w:w="2292"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B484787" w14:textId="77777777">
            <w:pPr>
              <w:rPr>
                <w:color w:val="000000"/>
                <w:sz w:val="22"/>
                <w:szCs w:val="22"/>
              </w:rPr>
            </w:pPr>
            <w:r>
              <w:rPr>
                <w:color w:val="000000"/>
                <w:sz w:val="22"/>
                <w:szCs w:val="22"/>
              </w:rPr>
              <w:t>Sell date</w:t>
            </w:r>
          </w:p>
        </w:tc>
        <w:tc>
          <w:tcPr>
            <w:tcW w:w="111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EECDE15" w14:textId="77777777">
            <w:pPr>
              <w:rPr>
                <w:color w:val="000000"/>
                <w:sz w:val="22"/>
                <w:szCs w:val="22"/>
              </w:rPr>
            </w:pPr>
            <w:r>
              <w:rPr>
                <w:color w:val="000000"/>
                <w:sz w:val="22"/>
                <w:szCs w:val="22"/>
              </w:rPr>
              <w:t>MMDDYYYY.  Use code -98 if the loan was not originated or if the loan was not sold.</w:t>
            </w:r>
          </w:p>
        </w:tc>
      </w:tr>
      <w:tr w:rsidR="00D224DC" w:rsidTr="00DE5A36" w14:paraId="45566A10" w14:textId="77777777">
        <w:trPr>
          <w:trHeight w:val="590"/>
        </w:trPr>
        <w:tc>
          <w:tcPr>
            <w:tcW w:w="342"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C1E41F1" w14:textId="77777777">
            <w:pPr>
              <w:jc w:val="right"/>
              <w:rPr>
                <w:color w:val="000000"/>
                <w:sz w:val="22"/>
                <w:szCs w:val="22"/>
              </w:rPr>
            </w:pPr>
            <w:r>
              <w:rPr>
                <w:color w:val="000000"/>
                <w:sz w:val="22"/>
                <w:szCs w:val="22"/>
              </w:rPr>
              <w:t>12</w:t>
            </w:r>
          </w:p>
        </w:tc>
        <w:tc>
          <w:tcPr>
            <w:tcW w:w="76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FD4A627" w14:textId="77777777">
            <w:pPr>
              <w:spacing w:line="276" w:lineRule="auto"/>
              <w:rPr>
                <w:color w:val="000000"/>
                <w:sz w:val="22"/>
                <w:szCs w:val="22"/>
              </w:rPr>
            </w:pPr>
            <w:r>
              <w:rPr>
                <w:color w:val="000000"/>
                <w:sz w:val="22"/>
                <w:szCs w:val="22"/>
              </w:rPr>
              <w:t>INCOME</w:t>
            </w:r>
          </w:p>
        </w:tc>
        <w:tc>
          <w:tcPr>
            <w:tcW w:w="490"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BF6D359" w14:textId="77777777">
            <w:pPr>
              <w:rPr>
                <w:color w:val="000000"/>
                <w:sz w:val="22"/>
                <w:szCs w:val="22"/>
              </w:rPr>
            </w:pPr>
            <w:r>
              <w:rPr>
                <w:color w:val="000000"/>
                <w:sz w:val="22"/>
                <w:szCs w:val="22"/>
              </w:rPr>
              <w:t>Numeric</w:t>
            </w:r>
          </w:p>
        </w:tc>
        <w:tc>
          <w:tcPr>
            <w:tcW w:w="2292"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716EB79" w14:textId="77777777">
            <w:pPr>
              <w:rPr>
                <w:color w:val="000000"/>
                <w:sz w:val="22"/>
                <w:szCs w:val="22"/>
              </w:rPr>
            </w:pPr>
            <w:r>
              <w:rPr>
                <w:color w:val="000000"/>
                <w:sz w:val="22"/>
                <w:szCs w:val="22"/>
              </w:rPr>
              <w:t>Income of the applicant(s)</w:t>
            </w:r>
          </w:p>
        </w:tc>
        <w:tc>
          <w:tcPr>
            <w:tcW w:w="1112"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55481C2" w14:textId="77777777">
            <w:pPr>
              <w:rPr>
                <w:color w:val="000000"/>
                <w:sz w:val="22"/>
                <w:szCs w:val="22"/>
              </w:rPr>
            </w:pPr>
            <w:r>
              <w:rPr>
                <w:color w:val="000000"/>
                <w:sz w:val="22"/>
                <w:szCs w:val="22"/>
              </w:rPr>
              <w:t>Use income of the applicant(s) that would be used to determine LMI status. Reported in thousands of dollars.</w:t>
            </w:r>
          </w:p>
          <w:p w:rsidR="00D224DC" w:rsidP="00DE5A36" w:rsidRDefault="00D224DC" w14:paraId="5602D29B" w14:textId="77777777">
            <w:pPr>
              <w:rPr>
                <w:color w:val="000000"/>
                <w:sz w:val="22"/>
                <w:szCs w:val="22"/>
              </w:rPr>
            </w:pPr>
            <w:r>
              <w:rPr>
                <w:color w:val="000000"/>
                <w:sz w:val="22"/>
                <w:szCs w:val="22"/>
              </w:rPr>
              <w:t xml:space="preserve"> </w:t>
            </w:r>
            <w:r w:rsidRPr="00F503CD">
              <w:rPr>
                <w:sz w:val="22"/>
              </w:rPr>
              <w:t xml:space="preserve">Use code -98 if the bank does not have the </w:t>
            </w:r>
            <w:r>
              <w:rPr>
                <w:sz w:val="22"/>
                <w:szCs w:val="22"/>
              </w:rPr>
              <w:t>applicant’s</w:t>
            </w:r>
            <w:r w:rsidRPr="00F503CD">
              <w:rPr>
                <w:sz w:val="22"/>
              </w:rPr>
              <w:t xml:space="preserve"> income, or not applicable. </w:t>
            </w:r>
          </w:p>
        </w:tc>
      </w:tr>
      <w:tr w:rsidR="00D224DC" w:rsidTr="00DE5A36" w14:paraId="41627284" w14:textId="77777777">
        <w:trPr>
          <w:trHeight w:val="590"/>
        </w:trPr>
        <w:tc>
          <w:tcPr>
            <w:tcW w:w="34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F2FB4EB" w14:textId="77777777">
            <w:pPr>
              <w:jc w:val="right"/>
              <w:rPr>
                <w:color w:val="000000"/>
                <w:sz w:val="22"/>
                <w:szCs w:val="22"/>
              </w:rPr>
            </w:pPr>
            <w:r>
              <w:rPr>
                <w:color w:val="000000"/>
                <w:sz w:val="22"/>
                <w:szCs w:val="22"/>
              </w:rPr>
              <w:t>13</w:t>
            </w:r>
          </w:p>
        </w:tc>
        <w:tc>
          <w:tcPr>
            <w:tcW w:w="764" w:type="pct"/>
            <w:tcBorders>
              <w:top w:val="single" w:color="auto" w:sz="4" w:space="0"/>
              <w:left w:val="nil"/>
              <w:bottom w:val="single" w:color="auto" w:sz="4" w:space="0"/>
              <w:right w:val="single" w:color="auto" w:sz="4" w:space="0"/>
            </w:tcBorders>
            <w:shd w:val="clear" w:color="auto" w:fill="auto"/>
            <w:noWrap/>
            <w:vAlign w:val="bottom"/>
            <w:hideMark/>
          </w:tcPr>
          <w:p w:rsidR="00D224DC" w:rsidP="00DE5A36" w:rsidRDefault="00D224DC" w14:paraId="043C4B54" w14:textId="77777777">
            <w:pPr>
              <w:spacing w:line="276" w:lineRule="auto"/>
              <w:rPr>
                <w:color w:val="000000"/>
                <w:sz w:val="22"/>
                <w:szCs w:val="22"/>
              </w:rPr>
            </w:pPr>
            <w:r>
              <w:rPr>
                <w:color w:val="000000"/>
                <w:sz w:val="22"/>
                <w:szCs w:val="22"/>
              </w:rPr>
              <w:t>LMIBR_IND</w:t>
            </w:r>
          </w:p>
        </w:tc>
        <w:tc>
          <w:tcPr>
            <w:tcW w:w="490" w:type="pct"/>
            <w:tcBorders>
              <w:top w:val="single" w:color="auto" w:sz="4" w:space="0"/>
              <w:left w:val="nil"/>
              <w:bottom w:val="single" w:color="auto" w:sz="4" w:space="0"/>
              <w:right w:val="single" w:color="auto" w:sz="4" w:space="0"/>
            </w:tcBorders>
            <w:shd w:val="clear" w:color="auto" w:fill="auto"/>
            <w:noWrap/>
            <w:vAlign w:val="bottom"/>
            <w:hideMark/>
          </w:tcPr>
          <w:p w:rsidR="00D224DC" w:rsidP="00DE5A36" w:rsidRDefault="00D224DC" w14:paraId="18229296" w14:textId="77777777">
            <w:pPr>
              <w:rPr>
                <w:color w:val="000000"/>
                <w:sz w:val="22"/>
                <w:szCs w:val="22"/>
              </w:rPr>
            </w:pPr>
            <w:r>
              <w:rPr>
                <w:color w:val="000000"/>
                <w:sz w:val="22"/>
                <w:szCs w:val="22"/>
              </w:rPr>
              <w:t>String</w:t>
            </w:r>
          </w:p>
        </w:tc>
        <w:tc>
          <w:tcPr>
            <w:tcW w:w="2292" w:type="pct"/>
            <w:tcBorders>
              <w:top w:val="single" w:color="auto" w:sz="4" w:space="0"/>
              <w:left w:val="nil"/>
              <w:bottom w:val="single" w:color="auto" w:sz="4" w:space="0"/>
              <w:right w:val="single" w:color="auto" w:sz="4" w:space="0"/>
            </w:tcBorders>
            <w:shd w:val="clear" w:color="auto" w:fill="auto"/>
            <w:noWrap/>
            <w:vAlign w:val="bottom"/>
            <w:hideMark/>
          </w:tcPr>
          <w:p w:rsidR="00D224DC" w:rsidP="00DE5A36" w:rsidRDefault="00D224DC" w14:paraId="015E3965" w14:textId="77777777">
            <w:pPr>
              <w:rPr>
                <w:color w:val="000000"/>
                <w:sz w:val="22"/>
                <w:szCs w:val="22"/>
              </w:rPr>
            </w:pPr>
            <w:r>
              <w:rPr>
                <w:color w:val="000000"/>
                <w:sz w:val="22"/>
                <w:szCs w:val="22"/>
              </w:rPr>
              <w:t>LMI branch indicator</w:t>
            </w:r>
          </w:p>
        </w:tc>
        <w:tc>
          <w:tcPr>
            <w:tcW w:w="1112" w:type="pct"/>
            <w:tcBorders>
              <w:top w:val="single" w:color="auto" w:sz="4" w:space="0"/>
              <w:left w:val="nil"/>
              <w:bottom w:val="single" w:color="auto" w:sz="4" w:space="0"/>
              <w:right w:val="single" w:color="auto" w:sz="4" w:space="0"/>
            </w:tcBorders>
            <w:shd w:val="clear" w:color="auto" w:fill="auto"/>
            <w:vAlign w:val="bottom"/>
            <w:hideMark/>
          </w:tcPr>
          <w:p w:rsidR="00D224DC" w:rsidP="00DE5A36" w:rsidRDefault="00D224DC" w14:paraId="16CC9450" w14:textId="77777777">
            <w:pPr>
              <w:rPr>
                <w:color w:val="000000"/>
                <w:sz w:val="22"/>
                <w:szCs w:val="22"/>
              </w:rPr>
            </w:pPr>
            <w:r>
              <w:rPr>
                <w:color w:val="000000"/>
                <w:sz w:val="22"/>
                <w:szCs w:val="22"/>
              </w:rPr>
              <w:t xml:space="preserve">1 if the loan origination or application was generated by a branch that </w:t>
            </w:r>
            <w:proofErr w:type="gramStart"/>
            <w:r>
              <w:rPr>
                <w:color w:val="000000"/>
                <w:sz w:val="22"/>
                <w:szCs w:val="22"/>
              </w:rPr>
              <w:t>is located in</w:t>
            </w:r>
            <w:proofErr w:type="gramEnd"/>
            <w:r>
              <w:rPr>
                <w:color w:val="000000"/>
                <w:sz w:val="22"/>
                <w:szCs w:val="22"/>
              </w:rPr>
              <w:t xml:space="preserve"> an LMI census tract; 0 otherwise.</w:t>
            </w:r>
          </w:p>
        </w:tc>
      </w:tr>
      <w:tr w:rsidR="00D224DC" w:rsidTr="00DE5A36" w14:paraId="57B55842" w14:textId="77777777">
        <w:trPr>
          <w:trHeight w:val="590"/>
        </w:trPr>
        <w:tc>
          <w:tcPr>
            <w:tcW w:w="342" w:type="pct"/>
            <w:tcBorders>
              <w:top w:val="single" w:color="auto" w:sz="4" w:space="0"/>
              <w:left w:val="single" w:color="auto" w:sz="4" w:space="0"/>
              <w:bottom w:val="single" w:color="auto" w:sz="4" w:space="0"/>
              <w:right w:val="single" w:color="auto" w:sz="4" w:space="0"/>
            </w:tcBorders>
            <w:shd w:val="clear" w:color="auto" w:fill="auto"/>
            <w:noWrap/>
            <w:vAlign w:val="bottom"/>
          </w:tcPr>
          <w:p w:rsidR="00D224DC" w:rsidP="00DE5A36" w:rsidRDefault="00D224DC" w14:paraId="78D012CB" w14:textId="77777777">
            <w:pPr>
              <w:jc w:val="right"/>
              <w:rPr>
                <w:color w:val="000000"/>
                <w:sz w:val="22"/>
                <w:szCs w:val="22"/>
              </w:rPr>
            </w:pPr>
            <w:r>
              <w:rPr>
                <w:color w:val="000000"/>
                <w:sz w:val="22"/>
                <w:szCs w:val="22"/>
              </w:rPr>
              <w:t>14</w:t>
            </w:r>
          </w:p>
        </w:tc>
        <w:tc>
          <w:tcPr>
            <w:tcW w:w="764"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616E005D" w14:textId="77777777">
            <w:pPr>
              <w:spacing w:line="276" w:lineRule="auto"/>
              <w:rPr>
                <w:color w:val="000000"/>
                <w:sz w:val="22"/>
                <w:szCs w:val="22"/>
              </w:rPr>
            </w:pPr>
            <w:r>
              <w:rPr>
                <w:color w:val="000000"/>
                <w:sz w:val="22"/>
                <w:szCs w:val="22"/>
              </w:rPr>
              <w:t xml:space="preserve">REVENUE </w:t>
            </w:r>
          </w:p>
        </w:tc>
        <w:tc>
          <w:tcPr>
            <w:tcW w:w="490"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5410CB1F" w14:textId="77777777">
            <w:pPr>
              <w:rPr>
                <w:color w:val="000000"/>
                <w:sz w:val="22"/>
                <w:szCs w:val="22"/>
              </w:rPr>
            </w:pPr>
            <w:r>
              <w:rPr>
                <w:color w:val="000000"/>
                <w:sz w:val="22"/>
                <w:szCs w:val="22"/>
              </w:rPr>
              <w:t>Numeric</w:t>
            </w:r>
          </w:p>
        </w:tc>
        <w:tc>
          <w:tcPr>
            <w:tcW w:w="2292"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234D4E36" w14:textId="77777777">
            <w:pPr>
              <w:rPr>
                <w:color w:val="000000"/>
                <w:sz w:val="22"/>
                <w:szCs w:val="22"/>
              </w:rPr>
            </w:pPr>
            <w:r>
              <w:rPr>
                <w:color w:val="000000"/>
                <w:sz w:val="22"/>
                <w:szCs w:val="22"/>
              </w:rPr>
              <w:t>Revenue of business or farm</w:t>
            </w:r>
          </w:p>
        </w:tc>
        <w:tc>
          <w:tcPr>
            <w:tcW w:w="1112" w:type="pct"/>
            <w:tcBorders>
              <w:top w:val="single" w:color="auto" w:sz="4" w:space="0"/>
              <w:left w:val="nil"/>
              <w:bottom w:val="single" w:color="auto" w:sz="4" w:space="0"/>
              <w:right w:val="single" w:color="auto" w:sz="4" w:space="0"/>
            </w:tcBorders>
            <w:shd w:val="clear" w:color="auto" w:fill="auto"/>
            <w:vAlign w:val="bottom"/>
          </w:tcPr>
          <w:p w:rsidR="00D224DC" w:rsidP="00DE5A36" w:rsidRDefault="00D224DC" w14:paraId="67BE414F" w14:textId="77777777">
            <w:pPr>
              <w:rPr>
                <w:color w:val="000000"/>
                <w:sz w:val="22"/>
                <w:szCs w:val="22"/>
              </w:rPr>
            </w:pPr>
            <w:r>
              <w:rPr>
                <w:color w:val="000000"/>
                <w:sz w:val="22"/>
                <w:szCs w:val="22"/>
              </w:rPr>
              <w:t xml:space="preserve">Use code </w:t>
            </w:r>
            <w:r w:rsidRPr="00F503CD">
              <w:rPr>
                <w:sz w:val="22"/>
              </w:rPr>
              <w:t xml:space="preserve">-98 </w:t>
            </w:r>
            <w:r>
              <w:rPr>
                <w:color w:val="000000"/>
                <w:sz w:val="22"/>
                <w:szCs w:val="22"/>
              </w:rPr>
              <w:t>if not applicable (</w:t>
            </w:r>
            <w:r w:rsidRPr="003962DC">
              <w:rPr>
                <w:i/>
                <w:color w:val="000000"/>
                <w:sz w:val="22"/>
              </w:rPr>
              <w:t>i.e.</w:t>
            </w:r>
            <w:r>
              <w:rPr>
                <w:color w:val="000000"/>
                <w:sz w:val="22"/>
                <w:szCs w:val="22"/>
              </w:rPr>
              <w:t>, not a business or farm).</w:t>
            </w:r>
          </w:p>
          <w:p w:rsidR="00D224DC" w:rsidP="00DE5A36" w:rsidRDefault="00D224DC" w14:paraId="08DC6FC9" w14:textId="77777777">
            <w:pPr>
              <w:rPr>
                <w:color w:val="000000"/>
                <w:sz w:val="22"/>
                <w:szCs w:val="22"/>
              </w:rPr>
            </w:pPr>
            <w:r>
              <w:rPr>
                <w:color w:val="000000"/>
                <w:sz w:val="22"/>
                <w:szCs w:val="22"/>
              </w:rPr>
              <w:t xml:space="preserve">Use code </w:t>
            </w:r>
            <w:r w:rsidRPr="00F503CD">
              <w:rPr>
                <w:sz w:val="22"/>
              </w:rPr>
              <w:t>-</w:t>
            </w:r>
            <w:r w:rsidRPr="00E319C7">
              <w:rPr>
                <w:sz w:val="22"/>
                <w:szCs w:val="22"/>
              </w:rPr>
              <w:t>98</w:t>
            </w:r>
            <w:r w:rsidRPr="00F503CD">
              <w:rPr>
                <w:sz w:val="22"/>
              </w:rPr>
              <w:t xml:space="preserve"> </w:t>
            </w:r>
            <w:r>
              <w:rPr>
                <w:color w:val="000000"/>
                <w:sz w:val="22"/>
                <w:szCs w:val="22"/>
              </w:rPr>
              <w:t xml:space="preserve">if the bank does not have the revenue of the </w:t>
            </w:r>
            <w:r>
              <w:rPr>
                <w:color w:val="000000"/>
                <w:sz w:val="22"/>
                <w:szCs w:val="22"/>
              </w:rPr>
              <w:lastRenderedPageBreak/>
              <w:t>business or farm. Reported in thousands of dollars.</w:t>
            </w:r>
          </w:p>
          <w:p w:rsidR="00D224DC" w:rsidP="00DE5A36" w:rsidRDefault="00D224DC" w14:paraId="0BB91DB5" w14:textId="77777777">
            <w:pPr>
              <w:rPr>
                <w:color w:val="000000"/>
                <w:sz w:val="22"/>
                <w:szCs w:val="22"/>
              </w:rPr>
            </w:pPr>
          </w:p>
        </w:tc>
      </w:tr>
      <w:tr w:rsidR="00D224DC" w:rsidTr="00DE5A36" w14:paraId="32AE51E4" w14:textId="77777777">
        <w:trPr>
          <w:trHeight w:val="590"/>
        </w:trPr>
        <w:tc>
          <w:tcPr>
            <w:tcW w:w="342" w:type="pct"/>
            <w:tcBorders>
              <w:top w:val="single" w:color="auto" w:sz="4" w:space="0"/>
              <w:left w:val="single" w:color="auto" w:sz="4" w:space="0"/>
              <w:bottom w:val="single" w:color="auto" w:sz="4" w:space="0"/>
              <w:right w:val="single" w:color="auto" w:sz="4" w:space="0"/>
            </w:tcBorders>
            <w:shd w:val="clear" w:color="auto" w:fill="auto"/>
            <w:noWrap/>
            <w:vAlign w:val="bottom"/>
          </w:tcPr>
          <w:p w:rsidR="00D224DC" w:rsidP="00DE5A36" w:rsidRDefault="00D224DC" w14:paraId="6307BBF5" w14:textId="77777777">
            <w:pPr>
              <w:jc w:val="right"/>
              <w:rPr>
                <w:color w:val="000000"/>
                <w:sz w:val="22"/>
                <w:szCs w:val="22"/>
              </w:rPr>
            </w:pPr>
            <w:r>
              <w:rPr>
                <w:color w:val="000000"/>
                <w:sz w:val="22"/>
                <w:szCs w:val="22"/>
              </w:rPr>
              <w:lastRenderedPageBreak/>
              <w:t>15</w:t>
            </w:r>
          </w:p>
        </w:tc>
        <w:tc>
          <w:tcPr>
            <w:tcW w:w="764"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3AC299FE" w14:textId="77777777">
            <w:pPr>
              <w:spacing w:line="276" w:lineRule="auto"/>
              <w:rPr>
                <w:color w:val="000000"/>
                <w:sz w:val="22"/>
                <w:szCs w:val="22"/>
              </w:rPr>
            </w:pPr>
            <w:r>
              <w:rPr>
                <w:color w:val="000000"/>
                <w:sz w:val="22"/>
                <w:szCs w:val="22"/>
              </w:rPr>
              <w:t xml:space="preserve">REVENUE_IND </w:t>
            </w:r>
          </w:p>
        </w:tc>
        <w:tc>
          <w:tcPr>
            <w:tcW w:w="490"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569A8601" w14:textId="77777777">
            <w:pPr>
              <w:rPr>
                <w:color w:val="000000"/>
                <w:sz w:val="22"/>
                <w:szCs w:val="22"/>
              </w:rPr>
            </w:pPr>
            <w:r>
              <w:rPr>
                <w:color w:val="000000"/>
                <w:sz w:val="22"/>
                <w:szCs w:val="22"/>
              </w:rPr>
              <w:t>String</w:t>
            </w:r>
          </w:p>
        </w:tc>
        <w:tc>
          <w:tcPr>
            <w:tcW w:w="2292"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0113C150" w14:textId="77777777">
            <w:pPr>
              <w:rPr>
                <w:color w:val="000000"/>
                <w:sz w:val="22"/>
                <w:szCs w:val="22"/>
              </w:rPr>
            </w:pPr>
            <w:r>
              <w:rPr>
                <w:color w:val="000000"/>
                <w:sz w:val="22"/>
                <w:szCs w:val="22"/>
              </w:rPr>
              <w:t>Revenue indicators of the business or farm</w:t>
            </w:r>
          </w:p>
        </w:tc>
        <w:tc>
          <w:tcPr>
            <w:tcW w:w="1112" w:type="pct"/>
            <w:tcBorders>
              <w:top w:val="single" w:color="auto" w:sz="4" w:space="0"/>
              <w:left w:val="nil"/>
              <w:bottom w:val="single" w:color="auto" w:sz="4" w:space="0"/>
              <w:right w:val="single" w:color="auto" w:sz="4" w:space="0"/>
            </w:tcBorders>
            <w:shd w:val="clear" w:color="auto" w:fill="auto"/>
            <w:vAlign w:val="bottom"/>
          </w:tcPr>
          <w:p w:rsidR="00D224DC" w:rsidP="00DE5A36" w:rsidRDefault="00D224DC" w14:paraId="6DEBD195" w14:textId="77777777">
            <w:pPr>
              <w:rPr>
                <w:color w:val="000000"/>
                <w:sz w:val="22"/>
                <w:szCs w:val="22"/>
              </w:rPr>
            </w:pPr>
            <w:r>
              <w:rPr>
                <w:color w:val="000000"/>
                <w:sz w:val="22"/>
                <w:szCs w:val="22"/>
              </w:rPr>
              <w:t xml:space="preserve">1 if revenue of the business or farm is less than $500,000. </w:t>
            </w:r>
          </w:p>
          <w:p w:rsidR="00D224DC" w:rsidP="00DE5A36" w:rsidRDefault="00D224DC" w14:paraId="0AD431D3" w14:textId="77777777">
            <w:pPr>
              <w:rPr>
                <w:color w:val="000000"/>
                <w:sz w:val="22"/>
                <w:szCs w:val="22"/>
              </w:rPr>
            </w:pPr>
            <w:r>
              <w:rPr>
                <w:color w:val="000000"/>
                <w:sz w:val="22"/>
                <w:szCs w:val="22"/>
              </w:rPr>
              <w:t>2 if the revenue of the business or farm is between $500,000 and $1,000,000.</w:t>
            </w:r>
          </w:p>
          <w:p w:rsidR="00D224DC" w:rsidP="00DE5A36" w:rsidRDefault="00D224DC" w14:paraId="098831DD" w14:textId="77777777">
            <w:pPr>
              <w:rPr>
                <w:color w:val="000000"/>
                <w:sz w:val="22"/>
                <w:szCs w:val="22"/>
              </w:rPr>
            </w:pPr>
            <w:r>
              <w:rPr>
                <w:color w:val="000000"/>
                <w:sz w:val="22"/>
                <w:szCs w:val="22"/>
              </w:rPr>
              <w:t>3 if the revenue of the business or farm is greater than $1,000,000 and less than or equal to $1,600,000.</w:t>
            </w:r>
          </w:p>
          <w:p w:rsidR="00D224DC" w:rsidP="00DE5A36" w:rsidRDefault="00D224DC" w14:paraId="48EDA654" w14:textId="77777777">
            <w:pPr>
              <w:rPr>
                <w:color w:val="000000"/>
                <w:sz w:val="22"/>
                <w:szCs w:val="22"/>
              </w:rPr>
            </w:pPr>
            <w:r>
              <w:rPr>
                <w:color w:val="000000"/>
                <w:sz w:val="22"/>
                <w:szCs w:val="22"/>
              </w:rPr>
              <w:t>4 if the revenue of the business or farm is over $1,600,000.</w:t>
            </w:r>
          </w:p>
          <w:p w:rsidR="00D224DC" w:rsidP="00DE5A36" w:rsidRDefault="00D224DC" w14:paraId="6012C373" w14:textId="77777777">
            <w:pPr>
              <w:rPr>
                <w:color w:val="000000"/>
                <w:sz w:val="22"/>
                <w:szCs w:val="22"/>
              </w:rPr>
            </w:pPr>
            <w:r>
              <w:rPr>
                <w:color w:val="000000"/>
                <w:sz w:val="22"/>
                <w:szCs w:val="22"/>
              </w:rPr>
              <w:t xml:space="preserve">Use code -99 if unknown </w:t>
            </w:r>
          </w:p>
          <w:p w:rsidR="00D224DC" w:rsidP="00DE5A36" w:rsidRDefault="00D224DC" w14:paraId="4AE0F1F0" w14:textId="77777777">
            <w:pPr>
              <w:rPr>
                <w:color w:val="000000"/>
                <w:sz w:val="22"/>
                <w:szCs w:val="22"/>
              </w:rPr>
            </w:pPr>
            <w:r>
              <w:rPr>
                <w:color w:val="000000"/>
                <w:sz w:val="22"/>
                <w:szCs w:val="22"/>
              </w:rPr>
              <w:t>Use code -98 if not applicable (</w:t>
            </w:r>
            <w:r w:rsidRPr="00F503CD">
              <w:rPr>
                <w:color w:val="000000"/>
                <w:sz w:val="22"/>
              </w:rPr>
              <w:t>i.e.</w:t>
            </w:r>
            <w:r>
              <w:rPr>
                <w:color w:val="000000"/>
                <w:sz w:val="22"/>
                <w:szCs w:val="22"/>
              </w:rPr>
              <w:t xml:space="preserve">, not a business or farm). </w:t>
            </w:r>
          </w:p>
        </w:tc>
      </w:tr>
      <w:tr w:rsidR="00D224DC" w:rsidTr="00DE5A36" w14:paraId="628C0127" w14:textId="77777777">
        <w:trPr>
          <w:trHeight w:val="590"/>
        </w:trPr>
        <w:tc>
          <w:tcPr>
            <w:tcW w:w="342" w:type="pct"/>
            <w:tcBorders>
              <w:top w:val="single" w:color="auto" w:sz="4" w:space="0"/>
              <w:left w:val="single" w:color="auto" w:sz="4" w:space="0"/>
              <w:bottom w:val="single" w:color="auto" w:sz="4" w:space="0"/>
              <w:right w:val="single" w:color="auto" w:sz="4" w:space="0"/>
            </w:tcBorders>
            <w:shd w:val="clear" w:color="auto" w:fill="auto"/>
            <w:noWrap/>
            <w:vAlign w:val="bottom"/>
          </w:tcPr>
          <w:p w:rsidR="00D224DC" w:rsidP="00DE5A36" w:rsidRDefault="00D224DC" w14:paraId="6488592A" w14:textId="77777777">
            <w:pPr>
              <w:jc w:val="right"/>
              <w:rPr>
                <w:color w:val="000000"/>
                <w:sz w:val="22"/>
                <w:szCs w:val="22"/>
              </w:rPr>
            </w:pPr>
            <w:r>
              <w:rPr>
                <w:color w:val="000000"/>
                <w:sz w:val="22"/>
                <w:szCs w:val="22"/>
              </w:rPr>
              <w:t>16</w:t>
            </w:r>
          </w:p>
        </w:tc>
        <w:tc>
          <w:tcPr>
            <w:tcW w:w="764"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5DD18915" w14:textId="77777777">
            <w:pPr>
              <w:spacing w:line="276" w:lineRule="auto"/>
              <w:rPr>
                <w:color w:val="000000"/>
                <w:sz w:val="22"/>
                <w:szCs w:val="22"/>
              </w:rPr>
            </w:pPr>
            <w:r>
              <w:rPr>
                <w:color w:val="000000"/>
                <w:sz w:val="22"/>
                <w:szCs w:val="22"/>
              </w:rPr>
              <w:t xml:space="preserve">LMI_IND </w:t>
            </w:r>
          </w:p>
        </w:tc>
        <w:tc>
          <w:tcPr>
            <w:tcW w:w="490"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4A84C8E3" w14:textId="77777777">
            <w:pPr>
              <w:rPr>
                <w:color w:val="000000"/>
                <w:sz w:val="22"/>
                <w:szCs w:val="22"/>
              </w:rPr>
            </w:pPr>
            <w:r>
              <w:rPr>
                <w:color w:val="000000"/>
                <w:sz w:val="22"/>
                <w:szCs w:val="22"/>
              </w:rPr>
              <w:t>String</w:t>
            </w:r>
          </w:p>
        </w:tc>
        <w:tc>
          <w:tcPr>
            <w:tcW w:w="2292"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631B99A2" w14:textId="77777777">
            <w:pPr>
              <w:rPr>
                <w:color w:val="000000"/>
                <w:sz w:val="22"/>
                <w:szCs w:val="22"/>
              </w:rPr>
            </w:pPr>
            <w:r>
              <w:rPr>
                <w:color w:val="000000"/>
                <w:sz w:val="22"/>
                <w:szCs w:val="22"/>
              </w:rPr>
              <w:t>LMI indicator for the applicant</w:t>
            </w:r>
          </w:p>
        </w:tc>
        <w:tc>
          <w:tcPr>
            <w:tcW w:w="1112" w:type="pct"/>
            <w:tcBorders>
              <w:top w:val="single" w:color="auto" w:sz="4" w:space="0"/>
              <w:left w:val="nil"/>
              <w:bottom w:val="single" w:color="auto" w:sz="4" w:space="0"/>
              <w:right w:val="single" w:color="auto" w:sz="4" w:space="0"/>
            </w:tcBorders>
            <w:shd w:val="clear" w:color="auto" w:fill="auto"/>
            <w:vAlign w:val="bottom"/>
          </w:tcPr>
          <w:p w:rsidR="00D224DC" w:rsidP="00DE5A36" w:rsidRDefault="00D224DC" w14:paraId="34E1CEA5" w14:textId="77777777">
            <w:pPr>
              <w:rPr>
                <w:color w:val="000000"/>
                <w:sz w:val="22"/>
                <w:szCs w:val="22"/>
              </w:rPr>
            </w:pPr>
            <w:r>
              <w:rPr>
                <w:color w:val="000000"/>
                <w:sz w:val="22"/>
                <w:szCs w:val="22"/>
              </w:rPr>
              <w:t>0 if the applicant is not LMI.</w:t>
            </w:r>
          </w:p>
          <w:p w:rsidR="00D224DC" w:rsidP="00DE5A36" w:rsidRDefault="00D224DC" w14:paraId="55C14DE8" w14:textId="77777777">
            <w:pPr>
              <w:rPr>
                <w:color w:val="000000"/>
                <w:sz w:val="22"/>
                <w:szCs w:val="22"/>
              </w:rPr>
            </w:pPr>
            <w:r>
              <w:rPr>
                <w:color w:val="000000"/>
                <w:sz w:val="22"/>
                <w:szCs w:val="22"/>
              </w:rPr>
              <w:t>1 if the applicant is LMI.</w:t>
            </w:r>
          </w:p>
          <w:p w:rsidR="00D224DC" w:rsidP="00DE5A36" w:rsidRDefault="00D224DC" w14:paraId="73D69F6F" w14:textId="77777777">
            <w:pPr>
              <w:rPr>
                <w:color w:val="000000"/>
                <w:sz w:val="22"/>
                <w:szCs w:val="22"/>
              </w:rPr>
            </w:pPr>
            <w:r>
              <w:rPr>
                <w:color w:val="000000"/>
                <w:sz w:val="22"/>
                <w:szCs w:val="22"/>
              </w:rPr>
              <w:t xml:space="preserve">Use code -99 if unknown. </w:t>
            </w:r>
          </w:p>
          <w:p w:rsidR="00D224DC" w:rsidP="00DE5A36" w:rsidRDefault="00D224DC" w14:paraId="0BAF6395" w14:textId="77777777">
            <w:pPr>
              <w:rPr>
                <w:color w:val="000000"/>
                <w:sz w:val="22"/>
                <w:szCs w:val="22"/>
              </w:rPr>
            </w:pPr>
            <w:r>
              <w:rPr>
                <w:color w:val="000000"/>
                <w:sz w:val="22"/>
                <w:szCs w:val="22"/>
              </w:rPr>
              <w:t>Use code -98 if not applicable (</w:t>
            </w:r>
            <w:r w:rsidRPr="003962DC">
              <w:rPr>
                <w:i/>
                <w:color w:val="000000"/>
                <w:sz w:val="22"/>
              </w:rPr>
              <w:t>i.e.</w:t>
            </w:r>
            <w:r>
              <w:rPr>
                <w:color w:val="000000"/>
                <w:sz w:val="22"/>
                <w:szCs w:val="22"/>
              </w:rPr>
              <w:t xml:space="preserve">, not an application for a home mortgage or consumer loan). </w:t>
            </w:r>
          </w:p>
        </w:tc>
      </w:tr>
    </w:tbl>
    <w:p w:rsidR="00D224DC" w:rsidP="00D224DC" w:rsidRDefault="00D224DC" w14:paraId="30150D96" w14:textId="77777777">
      <w:pPr>
        <w:rPr>
          <w:b/>
          <w:bCs/>
          <w:color w:val="000000" w:themeColor="text1"/>
        </w:rPr>
        <w:sectPr w:rsidR="00D224DC" w:rsidSect="005A5991">
          <w:pgSz w:w="15840" w:h="12240" w:orient="landscape"/>
          <w:pgMar w:top="1800" w:right="1440" w:bottom="1800" w:left="1440" w:header="720" w:footer="720" w:gutter="0"/>
          <w:cols w:space="720"/>
          <w:docGrid w:linePitch="360"/>
        </w:sectPr>
      </w:pPr>
    </w:p>
    <w:p w:rsidR="00D224DC" w:rsidP="00D224DC" w:rsidRDefault="00D224DC" w14:paraId="32B6F3DB" w14:textId="77777777">
      <w:pPr>
        <w:spacing w:line="480" w:lineRule="auto"/>
        <w:rPr>
          <w:i/>
        </w:rPr>
      </w:pPr>
    </w:p>
    <w:p w:rsidRPr="00450212" w:rsidR="00D224DC" w:rsidP="00D224DC" w:rsidRDefault="00D224DC" w14:paraId="2FB5F386" w14:textId="77777777">
      <w:pPr>
        <w:spacing w:line="480" w:lineRule="auto"/>
        <w:rPr>
          <w:i/>
        </w:rPr>
      </w:pPr>
      <w:r w:rsidRPr="00450212">
        <w:rPr>
          <w:i/>
        </w:rPr>
        <w:t>Branch Locations</w:t>
      </w:r>
    </w:p>
    <w:p w:rsidRPr="00450212" w:rsidR="00D224DC" w:rsidP="00D224DC" w:rsidRDefault="00D224DC" w14:paraId="724C22C9" w14:textId="77777777">
      <w:pPr>
        <w:spacing w:line="480" w:lineRule="auto"/>
        <w:ind w:firstLine="720"/>
      </w:pPr>
      <w:r>
        <w:t xml:space="preserve">As discussed in the final rule, the percentage of a bank’s </w:t>
      </w:r>
      <w:r w:rsidRPr="00450212">
        <w:t xml:space="preserve">branches located in or that serve </w:t>
      </w:r>
      <w:r>
        <w:t>LMI</w:t>
      </w:r>
      <w:r w:rsidRPr="00450212">
        <w:t xml:space="preserve"> census tracts, distressed areas, underserved areas, and Indian country or other tribal and native lands </w:t>
      </w:r>
      <w:r>
        <w:t>is required to determine the CRA evaluation measure under § 25.11 of the final rule, which is considered in determining a bank’s presumptive ratings under § 25.13 of the final rule.</w:t>
      </w:r>
    </w:p>
    <w:p w:rsidRPr="00A71FA3" w:rsidR="00D224DC" w:rsidP="00D224DC" w:rsidRDefault="00D224DC" w14:paraId="6DDF6151" w14:textId="77777777">
      <w:pPr>
        <w:tabs>
          <w:tab w:val="left" w:pos="540"/>
        </w:tabs>
        <w:spacing w:line="480" w:lineRule="auto"/>
      </w:pPr>
      <w:r>
        <w:t xml:space="preserve">19. </w:t>
      </w:r>
      <w:r>
        <w:tab/>
      </w:r>
      <w:r w:rsidRPr="00A71FA3">
        <w:t xml:space="preserve">Report the unique number of the branch, as used in the Summary of Deposits file, for the full list of branches on the last day of each year. </w:t>
      </w:r>
    </w:p>
    <w:p w:rsidRPr="00A71FA3" w:rsidR="00D224DC" w:rsidP="00D224DC" w:rsidRDefault="00D224DC" w14:paraId="2DA55AA3" w14:textId="77777777">
      <w:pPr>
        <w:tabs>
          <w:tab w:val="left" w:pos="540"/>
        </w:tabs>
        <w:spacing w:line="480" w:lineRule="auto"/>
      </w:pPr>
      <w:r>
        <w:rPr>
          <w:color w:val="000000" w:themeColor="text1"/>
        </w:rPr>
        <w:t xml:space="preserve">20. </w:t>
      </w:r>
      <w:r>
        <w:rPr>
          <w:color w:val="000000" w:themeColor="text1"/>
        </w:rPr>
        <w:tab/>
      </w:r>
      <w:r w:rsidRPr="00A71FA3">
        <w:rPr>
          <w:color w:val="000000" w:themeColor="text1"/>
        </w:rPr>
        <w:t xml:space="preserve">Using the same set of unique assessment area IDs as in Table 1, identify the facility-based assessment area for each branch. </w:t>
      </w:r>
    </w:p>
    <w:p w:rsidRPr="00A65345" w:rsidR="00D224DC" w:rsidP="00D224DC" w:rsidRDefault="00D224DC" w14:paraId="3B92DC95" w14:textId="77777777">
      <w:pPr>
        <w:tabs>
          <w:tab w:val="left" w:pos="540"/>
        </w:tabs>
        <w:spacing w:line="480" w:lineRule="auto"/>
      </w:pPr>
      <w:r>
        <w:rPr>
          <w:color w:val="000000" w:themeColor="text1"/>
        </w:rPr>
        <w:t xml:space="preserve">21. </w:t>
      </w:r>
      <w:r>
        <w:rPr>
          <w:color w:val="000000" w:themeColor="text1"/>
        </w:rPr>
        <w:tab/>
      </w:r>
      <w:r w:rsidRPr="00A71FA3">
        <w:rPr>
          <w:color w:val="000000" w:themeColor="text1"/>
        </w:rPr>
        <w:t xml:space="preserve">Report the address, as well as the census tract, county, MSA/MD, and state FIPS codes, for each branch. </w:t>
      </w:r>
    </w:p>
    <w:p w:rsidRPr="00A71FA3" w:rsidR="00D224DC" w:rsidP="00D224DC" w:rsidRDefault="00D224DC" w14:paraId="0C2510E8" w14:textId="77777777">
      <w:pPr>
        <w:tabs>
          <w:tab w:val="left" w:pos="540"/>
        </w:tabs>
        <w:spacing w:line="480" w:lineRule="auto"/>
      </w:pPr>
      <w:r>
        <w:rPr>
          <w:color w:val="000000" w:themeColor="text1"/>
        </w:rPr>
        <w:t xml:space="preserve">22. </w:t>
      </w:r>
      <w:r>
        <w:rPr>
          <w:color w:val="000000" w:themeColor="text1"/>
        </w:rPr>
        <w:tab/>
      </w:r>
      <w:r w:rsidRPr="00A71FA3">
        <w:rPr>
          <w:color w:val="000000" w:themeColor="text1"/>
        </w:rPr>
        <w:t>Report the year that the branch is associated with, as mentioned in Question 19. Note that the same branch will have an entry for each year for which it is open on the last day of the year.</w:t>
      </w:r>
    </w:p>
    <w:p w:rsidRPr="00A71FA3" w:rsidR="00D224DC" w:rsidP="00D224DC" w:rsidRDefault="00D224DC" w14:paraId="0506406B" w14:textId="77777777">
      <w:pPr>
        <w:tabs>
          <w:tab w:val="left" w:pos="540"/>
        </w:tabs>
        <w:spacing w:line="480" w:lineRule="auto"/>
      </w:pPr>
      <w:r>
        <w:t xml:space="preserve">23. </w:t>
      </w:r>
      <w:r>
        <w:tab/>
      </w:r>
      <w:r w:rsidRPr="00A71FA3">
        <w:t>Are there burdens associated with collecting or reporting the data described in this section of this information collection?</w:t>
      </w:r>
    </w:p>
    <w:p w:rsidR="00D224DC" w:rsidP="00D224DC" w:rsidRDefault="00D224DC" w14:paraId="5BE1FBD2" w14:textId="77777777">
      <w:pPr>
        <w:rPr>
          <w:b/>
        </w:rPr>
        <w:sectPr w:rsidR="00D224DC">
          <w:pgSz w:w="12240" w:h="15840"/>
          <w:pgMar w:top="1440" w:right="1800" w:bottom="1440" w:left="1800" w:header="720" w:footer="720" w:gutter="0"/>
          <w:cols w:space="720"/>
          <w:docGrid w:linePitch="360"/>
        </w:sectPr>
      </w:pPr>
    </w:p>
    <w:p w:rsidR="00D224DC" w:rsidP="00D224DC" w:rsidRDefault="00D224DC" w14:paraId="078694EA" w14:textId="77777777">
      <w:pPr>
        <w:rPr>
          <w:b/>
        </w:rPr>
      </w:pPr>
      <w:r>
        <w:rPr>
          <w:b/>
        </w:rPr>
        <w:lastRenderedPageBreak/>
        <w:t>Table 3: Full List of Branches at Year-End</w:t>
      </w:r>
    </w:p>
    <w:tbl>
      <w:tblPr>
        <w:tblW w:w="4098" w:type="pct"/>
        <w:tblLayout w:type="fixed"/>
        <w:tblLook w:val="04A0" w:firstRow="1" w:lastRow="0" w:firstColumn="1" w:lastColumn="0" w:noHBand="0" w:noVBand="1"/>
      </w:tblPr>
      <w:tblGrid>
        <w:gridCol w:w="988"/>
        <w:gridCol w:w="1800"/>
        <w:gridCol w:w="1350"/>
        <w:gridCol w:w="2322"/>
        <w:gridCol w:w="4154"/>
      </w:tblGrid>
      <w:tr w:rsidR="00D224DC" w:rsidTr="00DE5A36" w14:paraId="006E7D1F" w14:textId="77777777">
        <w:trPr>
          <w:trHeight w:val="285"/>
        </w:trPr>
        <w:tc>
          <w:tcPr>
            <w:tcW w:w="465" w:type="pct"/>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00D224DC" w:rsidP="00DE5A36" w:rsidRDefault="00D224DC" w14:paraId="510B7E84" w14:textId="77777777">
            <w:pPr>
              <w:rPr>
                <w:b/>
                <w:bCs/>
                <w:color w:val="000000"/>
                <w:sz w:val="22"/>
                <w:szCs w:val="22"/>
              </w:rPr>
            </w:pPr>
            <w:r>
              <w:rPr>
                <w:b/>
                <w:bCs/>
                <w:color w:val="000000"/>
                <w:sz w:val="22"/>
                <w:szCs w:val="22"/>
              </w:rPr>
              <w:t>Column</w:t>
            </w:r>
          </w:p>
        </w:tc>
        <w:tc>
          <w:tcPr>
            <w:tcW w:w="848" w:type="pct"/>
            <w:tcBorders>
              <w:top w:val="single" w:color="auto" w:sz="4" w:space="0"/>
              <w:left w:val="nil"/>
              <w:bottom w:val="single" w:color="auto" w:sz="4" w:space="0"/>
              <w:right w:val="single" w:color="auto" w:sz="4" w:space="0"/>
            </w:tcBorders>
            <w:shd w:val="clear" w:color="000000" w:fill="D6DCE4"/>
            <w:noWrap/>
            <w:vAlign w:val="bottom"/>
            <w:hideMark/>
          </w:tcPr>
          <w:p w:rsidR="00D224DC" w:rsidP="00DE5A36" w:rsidRDefault="00D224DC" w14:paraId="41017FEB" w14:textId="77777777">
            <w:pPr>
              <w:rPr>
                <w:b/>
                <w:bCs/>
                <w:color w:val="000000"/>
                <w:sz w:val="22"/>
                <w:szCs w:val="22"/>
              </w:rPr>
            </w:pPr>
            <w:r>
              <w:rPr>
                <w:b/>
                <w:bCs/>
                <w:color w:val="000000"/>
                <w:sz w:val="22"/>
                <w:szCs w:val="22"/>
              </w:rPr>
              <w:t>Data Name</w:t>
            </w:r>
          </w:p>
        </w:tc>
        <w:tc>
          <w:tcPr>
            <w:tcW w:w="636" w:type="pct"/>
            <w:tcBorders>
              <w:top w:val="single" w:color="auto" w:sz="4" w:space="0"/>
              <w:left w:val="nil"/>
              <w:bottom w:val="single" w:color="auto" w:sz="4" w:space="0"/>
              <w:right w:val="single" w:color="auto" w:sz="4" w:space="0"/>
            </w:tcBorders>
            <w:shd w:val="clear" w:color="000000" w:fill="D6DCE4"/>
            <w:noWrap/>
            <w:vAlign w:val="bottom"/>
            <w:hideMark/>
          </w:tcPr>
          <w:p w:rsidR="00D224DC" w:rsidP="00DE5A36" w:rsidRDefault="00D224DC" w14:paraId="71953EC6" w14:textId="77777777">
            <w:pPr>
              <w:rPr>
                <w:b/>
                <w:bCs/>
                <w:color w:val="000000"/>
                <w:sz w:val="22"/>
                <w:szCs w:val="22"/>
              </w:rPr>
            </w:pPr>
            <w:r>
              <w:rPr>
                <w:b/>
                <w:bCs/>
                <w:color w:val="000000"/>
                <w:sz w:val="22"/>
                <w:szCs w:val="22"/>
              </w:rPr>
              <w:t>Format</w:t>
            </w:r>
          </w:p>
        </w:tc>
        <w:tc>
          <w:tcPr>
            <w:tcW w:w="1094" w:type="pct"/>
            <w:tcBorders>
              <w:top w:val="single" w:color="auto" w:sz="4" w:space="0"/>
              <w:left w:val="nil"/>
              <w:bottom w:val="single" w:color="auto" w:sz="4" w:space="0"/>
              <w:right w:val="single" w:color="auto" w:sz="4" w:space="0"/>
            </w:tcBorders>
            <w:shd w:val="clear" w:color="000000" w:fill="D6DCE4"/>
            <w:hideMark/>
          </w:tcPr>
          <w:p w:rsidR="00D224DC" w:rsidP="00DE5A36" w:rsidRDefault="00D224DC" w14:paraId="05961B0F" w14:textId="77777777">
            <w:pPr>
              <w:rPr>
                <w:b/>
                <w:bCs/>
                <w:color w:val="000000"/>
                <w:sz w:val="22"/>
                <w:szCs w:val="22"/>
              </w:rPr>
            </w:pPr>
            <w:r>
              <w:rPr>
                <w:b/>
                <w:bCs/>
                <w:color w:val="000000"/>
                <w:sz w:val="22"/>
                <w:szCs w:val="22"/>
              </w:rPr>
              <w:t>Data Definition</w:t>
            </w:r>
          </w:p>
        </w:tc>
        <w:tc>
          <w:tcPr>
            <w:tcW w:w="1957" w:type="pct"/>
            <w:tcBorders>
              <w:top w:val="single" w:color="auto" w:sz="4" w:space="0"/>
              <w:left w:val="nil"/>
              <w:bottom w:val="single" w:color="auto" w:sz="4" w:space="0"/>
              <w:right w:val="single" w:color="auto" w:sz="4" w:space="0"/>
            </w:tcBorders>
            <w:shd w:val="clear" w:color="000000" w:fill="D6DCE4"/>
            <w:vAlign w:val="bottom"/>
            <w:hideMark/>
          </w:tcPr>
          <w:p w:rsidR="00D224DC" w:rsidP="00DE5A36" w:rsidRDefault="00D224DC" w14:paraId="6A98BBEE" w14:textId="77777777">
            <w:pPr>
              <w:rPr>
                <w:b/>
                <w:bCs/>
                <w:color w:val="000000"/>
                <w:sz w:val="22"/>
                <w:szCs w:val="22"/>
              </w:rPr>
            </w:pPr>
            <w:r>
              <w:rPr>
                <w:b/>
                <w:bCs/>
                <w:color w:val="000000"/>
                <w:sz w:val="22"/>
                <w:szCs w:val="22"/>
              </w:rPr>
              <w:t>Comments</w:t>
            </w:r>
          </w:p>
        </w:tc>
      </w:tr>
      <w:tr w:rsidR="00D224DC" w:rsidTr="00DE5A36" w14:paraId="6D2DB60E" w14:textId="77777777">
        <w:trPr>
          <w:trHeight w:val="300"/>
        </w:trPr>
        <w:tc>
          <w:tcPr>
            <w:tcW w:w="465"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9C2B1B4" w14:textId="77777777">
            <w:pPr>
              <w:jc w:val="right"/>
              <w:rPr>
                <w:color w:val="000000"/>
                <w:sz w:val="22"/>
                <w:szCs w:val="22"/>
              </w:rPr>
            </w:pPr>
            <w:r>
              <w:rPr>
                <w:color w:val="000000"/>
                <w:sz w:val="22"/>
                <w:szCs w:val="22"/>
              </w:rPr>
              <w:t>1</w:t>
            </w:r>
          </w:p>
        </w:tc>
        <w:tc>
          <w:tcPr>
            <w:tcW w:w="848"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D281D03" w14:textId="77777777">
            <w:pPr>
              <w:spacing w:line="276" w:lineRule="auto"/>
              <w:rPr>
                <w:color w:val="000000"/>
                <w:sz w:val="22"/>
                <w:szCs w:val="22"/>
              </w:rPr>
            </w:pPr>
            <w:r>
              <w:rPr>
                <w:color w:val="000000"/>
                <w:sz w:val="22"/>
                <w:szCs w:val="22"/>
              </w:rPr>
              <w:t>UNINUMBR</w:t>
            </w:r>
          </w:p>
        </w:tc>
        <w:tc>
          <w:tcPr>
            <w:tcW w:w="63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6EDBA2A" w14:textId="77777777">
            <w:pPr>
              <w:rPr>
                <w:color w:val="000000"/>
                <w:sz w:val="22"/>
                <w:szCs w:val="22"/>
              </w:rPr>
            </w:pPr>
            <w:r>
              <w:rPr>
                <w:color w:val="000000"/>
                <w:sz w:val="22"/>
                <w:szCs w:val="22"/>
              </w:rPr>
              <w:t>String</w:t>
            </w:r>
          </w:p>
        </w:tc>
        <w:tc>
          <w:tcPr>
            <w:tcW w:w="109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90BDD0D" w14:textId="77777777">
            <w:pPr>
              <w:rPr>
                <w:color w:val="000000"/>
                <w:sz w:val="22"/>
                <w:szCs w:val="22"/>
              </w:rPr>
            </w:pPr>
            <w:r>
              <w:rPr>
                <w:color w:val="000000"/>
                <w:sz w:val="22"/>
                <w:szCs w:val="22"/>
              </w:rPr>
              <w:t>Unique number</w:t>
            </w:r>
          </w:p>
        </w:tc>
        <w:tc>
          <w:tcPr>
            <w:tcW w:w="1957"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72BFA49" w14:textId="77777777">
            <w:pPr>
              <w:rPr>
                <w:color w:val="000000"/>
                <w:sz w:val="22"/>
                <w:szCs w:val="22"/>
              </w:rPr>
            </w:pPr>
            <w:r>
              <w:rPr>
                <w:color w:val="000000"/>
                <w:sz w:val="22"/>
                <w:szCs w:val="22"/>
              </w:rPr>
              <w:t>Unique number used in the Summary of Deposits file</w:t>
            </w:r>
          </w:p>
        </w:tc>
      </w:tr>
      <w:tr w:rsidR="00D224DC" w:rsidTr="00DE5A36" w14:paraId="4CE5B32C" w14:textId="77777777">
        <w:trPr>
          <w:trHeight w:val="900"/>
        </w:trPr>
        <w:tc>
          <w:tcPr>
            <w:tcW w:w="465"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0DAE3AE3" w14:textId="77777777">
            <w:pPr>
              <w:jc w:val="right"/>
              <w:rPr>
                <w:color w:val="000000"/>
                <w:sz w:val="22"/>
                <w:szCs w:val="22"/>
              </w:rPr>
            </w:pPr>
            <w:r>
              <w:rPr>
                <w:color w:val="000000"/>
                <w:sz w:val="22"/>
                <w:szCs w:val="22"/>
              </w:rPr>
              <w:t>2</w:t>
            </w:r>
          </w:p>
        </w:tc>
        <w:tc>
          <w:tcPr>
            <w:tcW w:w="848"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015DD6B" w14:textId="77777777">
            <w:pPr>
              <w:spacing w:line="276" w:lineRule="auto"/>
              <w:rPr>
                <w:color w:val="000000"/>
                <w:sz w:val="22"/>
                <w:szCs w:val="22"/>
              </w:rPr>
            </w:pPr>
            <w:r>
              <w:rPr>
                <w:color w:val="000000"/>
                <w:sz w:val="22"/>
                <w:szCs w:val="22"/>
              </w:rPr>
              <w:t>AA_ID</w:t>
            </w:r>
          </w:p>
        </w:tc>
        <w:tc>
          <w:tcPr>
            <w:tcW w:w="63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1DC529A" w14:textId="77777777">
            <w:pPr>
              <w:rPr>
                <w:color w:val="000000"/>
                <w:sz w:val="22"/>
                <w:szCs w:val="22"/>
              </w:rPr>
            </w:pPr>
            <w:r>
              <w:rPr>
                <w:color w:val="000000"/>
                <w:sz w:val="22"/>
                <w:szCs w:val="22"/>
              </w:rPr>
              <w:t>String</w:t>
            </w:r>
          </w:p>
        </w:tc>
        <w:tc>
          <w:tcPr>
            <w:tcW w:w="109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C5993D1" w14:textId="77777777">
            <w:pPr>
              <w:rPr>
                <w:color w:val="000000"/>
                <w:sz w:val="22"/>
                <w:szCs w:val="22"/>
              </w:rPr>
            </w:pPr>
            <w:r>
              <w:rPr>
                <w:color w:val="000000"/>
                <w:sz w:val="22"/>
                <w:szCs w:val="22"/>
              </w:rPr>
              <w:t>Facility-based assessment area number</w:t>
            </w:r>
          </w:p>
        </w:tc>
        <w:tc>
          <w:tcPr>
            <w:tcW w:w="1957"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388A9C5" w14:textId="77777777">
            <w:pPr>
              <w:rPr>
                <w:color w:val="000000"/>
                <w:sz w:val="22"/>
                <w:szCs w:val="22"/>
              </w:rPr>
            </w:pPr>
            <w:r>
              <w:rPr>
                <w:color w:val="000000"/>
                <w:sz w:val="22"/>
                <w:szCs w:val="22"/>
              </w:rPr>
              <w:t>Numeric indicator, created by the bank, that uniquely identifies each facility-based assessment area.  Use code -98 if the loan is not within a facility-based assessment area.</w:t>
            </w:r>
          </w:p>
        </w:tc>
      </w:tr>
      <w:tr w:rsidR="00D224DC" w:rsidTr="00DE5A36" w14:paraId="333B12E1" w14:textId="77777777">
        <w:trPr>
          <w:trHeight w:val="600"/>
        </w:trPr>
        <w:tc>
          <w:tcPr>
            <w:tcW w:w="465"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23177933" w14:textId="77777777">
            <w:pPr>
              <w:jc w:val="right"/>
              <w:rPr>
                <w:color w:val="000000"/>
                <w:sz w:val="22"/>
                <w:szCs w:val="22"/>
              </w:rPr>
            </w:pPr>
            <w:r>
              <w:rPr>
                <w:color w:val="000000"/>
                <w:sz w:val="22"/>
                <w:szCs w:val="22"/>
              </w:rPr>
              <w:t>3</w:t>
            </w:r>
          </w:p>
        </w:tc>
        <w:tc>
          <w:tcPr>
            <w:tcW w:w="848"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69167AD" w14:textId="77777777">
            <w:pPr>
              <w:spacing w:line="276" w:lineRule="auto"/>
              <w:rPr>
                <w:color w:val="000000"/>
                <w:sz w:val="22"/>
                <w:szCs w:val="22"/>
              </w:rPr>
            </w:pPr>
            <w:r>
              <w:rPr>
                <w:color w:val="000000"/>
                <w:sz w:val="22"/>
                <w:szCs w:val="22"/>
              </w:rPr>
              <w:t>BR_STREET</w:t>
            </w:r>
          </w:p>
        </w:tc>
        <w:tc>
          <w:tcPr>
            <w:tcW w:w="63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34342FF" w14:textId="77777777">
            <w:pPr>
              <w:rPr>
                <w:color w:val="000000"/>
                <w:sz w:val="22"/>
                <w:szCs w:val="22"/>
              </w:rPr>
            </w:pPr>
            <w:r>
              <w:rPr>
                <w:color w:val="000000"/>
                <w:sz w:val="22"/>
                <w:szCs w:val="22"/>
              </w:rPr>
              <w:t>String</w:t>
            </w:r>
          </w:p>
        </w:tc>
        <w:tc>
          <w:tcPr>
            <w:tcW w:w="109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666E00BC" w14:textId="77777777">
            <w:pPr>
              <w:rPr>
                <w:color w:val="000000"/>
                <w:sz w:val="22"/>
                <w:szCs w:val="22"/>
              </w:rPr>
            </w:pPr>
            <w:r>
              <w:rPr>
                <w:color w:val="000000"/>
                <w:sz w:val="22"/>
                <w:szCs w:val="22"/>
              </w:rPr>
              <w:t>Street</w:t>
            </w:r>
          </w:p>
        </w:tc>
        <w:tc>
          <w:tcPr>
            <w:tcW w:w="1957" w:type="pct"/>
            <w:tcBorders>
              <w:top w:val="nil"/>
              <w:left w:val="nil"/>
              <w:bottom w:val="single" w:color="auto" w:sz="4" w:space="0"/>
              <w:right w:val="single" w:color="auto" w:sz="4" w:space="0"/>
            </w:tcBorders>
            <w:shd w:val="clear" w:color="auto" w:fill="auto"/>
            <w:vAlign w:val="bottom"/>
            <w:hideMark/>
          </w:tcPr>
          <w:p w:rsidR="00D224DC" w:rsidP="00DE5A36" w:rsidRDefault="00D224DC" w14:paraId="251F0CCE" w14:textId="77777777">
            <w:pPr>
              <w:rPr>
                <w:color w:val="000000"/>
                <w:sz w:val="22"/>
                <w:szCs w:val="22"/>
              </w:rPr>
            </w:pPr>
            <w:r>
              <w:rPr>
                <w:color w:val="000000"/>
                <w:sz w:val="22"/>
                <w:szCs w:val="22"/>
              </w:rPr>
              <w:t xml:space="preserve">Street should be based on branch’s physical location, </w:t>
            </w:r>
            <w:r w:rsidRPr="003962DC">
              <w:rPr>
                <w:i/>
                <w:color w:val="000000"/>
                <w:sz w:val="22"/>
              </w:rPr>
              <w:t>e.g.</w:t>
            </w:r>
            <w:r>
              <w:rPr>
                <w:color w:val="000000"/>
                <w:sz w:val="22"/>
                <w:szCs w:val="22"/>
              </w:rPr>
              <w:t>, report 400 7th St SW if 400 7th St SW, Washington, DC 20219</w:t>
            </w:r>
          </w:p>
        </w:tc>
      </w:tr>
      <w:tr w:rsidR="00D224DC" w:rsidTr="00DE5A36" w14:paraId="409FE9A3" w14:textId="77777777">
        <w:trPr>
          <w:trHeight w:val="600"/>
        </w:trPr>
        <w:tc>
          <w:tcPr>
            <w:tcW w:w="465"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7C50059F" w14:textId="77777777">
            <w:pPr>
              <w:jc w:val="right"/>
              <w:rPr>
                <w:color w:val="000000"/>
                <w:sz w:val="22"/>
                <w:szCs w:val="22"/>
              </w:rPr>
            </w:pPr>
            <w:r>
              <w:rPr>
                <w:color w:val="000000"/>
                <w:sz w:val="22"/>
                <w:szCs w:val="22"/>
              </w:rPr>
              <w:t>4</w:t>
            </w:r>
          </w:p>
        </w:tc>
        <w:tc>
          <w:tcPr>
            <w:tcW w:w="848"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4F49455" w14:textId="77777777">
            <w:pPr>
              <w:spacing w:line="276" w:lineRule="auto"/>
              <w:rPr>
                <w:color w:val="000000"/>
                <w:sz w:val="22"/>
                <w:szCs w:val="22"/>
              </w:rPr>
            </w:pPr>
            <w:r>
              <w:rPr>
                <w:color w:val="000000"/>
                <w:sz w:val="22"/>
                <w:szCs w:val="22"/>
              </w:rPr>
              <w:t>BR_CITY</w:t>
            </w:r>
          </w:p>
        </w:tc>
        <w:tc>
          <w:tcPr>
            <w:tcW w:w="63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55EB4630" w14:textId="77777777">
            <w:pPr>
              <w:rPr>
                <w:color w:val="000000"/>
                <w:sz w:val="22"/>
                <w:szCs w:val="22"/>
              </w:rPr>
            </w:pPr>
            <w:r>
              <w:rPr>
                <w:color w:val="000000"/>
                <w:sz w:val="22"/>
                <w:szCs w:val="22"/>
              </w:rPr>
              <w:t>String</w:t>
            </w:r>
          </w:p>
        </w:tc>
        <w:tc>
          <w:tcPr>
            <w:tcW w:w="109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3DF079F4" w14:textId="77777777">
            <w:pPr>
              <w:rPr>
                <w:color w:val="000000"/>
                <w:sz w:val="22"/>
                <w:szCs w:val="22"/>
              </w:rPr>
            </w:pPr>
            <w:r>
              <w:rPr>
                <w:color w:val="000000"/>
                <w:sz w:val="22"/>
                <w:szCs w:val="22"/>
              </w:rPr>
              <w:t>City</w:t>
            </w:r>
          </w:p>
        </w:tc>
        <w:tc>
          <w:tcPr>
            <w:tcW w:w="1957"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D83494D" w14:textId="77777777">
            <w:pPr>
              <w:rPr>
                <w:color w:val="000000"/>
                <w:sz w:val="22"/>
                <w:szCs w:val="22"/>
              </w:rPr>
            </w:pPr>
            <w:r>
              <w:rPr>
                <w:color w:val="000000"/>
                <w:sz w:val="22"/>
                <w:szCs w:val="22"/>
              </w:rPr>
              <w:t xml:space="preserve">City should be based on branch’s physical location, </w:t>
            </w:r>
            <w:r w:rsidRPr="003962DC">
              <w:rPr>
                <w:i/>
                <w:color w:val="000000"/>
                <w:sz w:val="22"/>
              </w:rPr>
              <w:t>e.g.</w:t>
            </w:r>
            <w:r>
              <w:rPr>
                <w:color w:val="000000"/>
                <w:sz w:val="22"/>
                <w:szCs w:val="22"/>
              </w:rPr>
              <w:t>, report Washington if 400 7th St SW, Washington, DC 20219</w:t>
            </w:r>
          </w:p>
        </w:tc>
      </w:tr>
      <w:tr w:rsidR="00D224DC" w:rsidTr="00DE5A36" w14:paraId="668E0641" w14:textId="77777777">
        <w:trPr>
          <w:trHeight w:val="600"/>
        </w:trPr>
        <w:tc>
          <w:tcPr>
            <w:tcW w:w="465"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1D2E3D0" w14:textId="77777777">
            <w:pPr>
              <w:jc w:val="right"/>
              <w:rPr>
                <w:color w:val="000000"/>
                <w:sz w:val="22"/>
                <w:szCs w:val="22"/>
              </w:rPr>
            </w:pPr>
            <w:r>
              <w:rPr>
                <w:color w:val="000000"/>
                <w:sz w:val="22"/>
                <w:szCs w:val="22"/>
              </w:rPr>
              <w:t>5</w:t>
            </w:r>
          </w:p>
        </w:tc>
        <w:tc>
          <w:tcPr>
            <w:tcW w:w="848"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27A74FC" w14:textId="77777777">
            <w:pPr>
              <w:spacing w:line="276" w:lineRule="auto"/>
              <w:rPr>
                <w:color w:val="000000"/>
                <w:sz w:val="22"/>
                <w:szCs w:val="22"/>
              </w:rPr>
            </w:pPr>
            <w:r>
              <w:rPr>
                <w:color w:val="000000"/>
                <w:sz w:val="22"/>
                <w:szCs w:val="22"/>
              </w:rPr>
              <w:t>BR_STATE</w:t>
            </w:r>
          </w:p>
        </w:tc>
        <w:tc>
          <w:tcPr>
            <w:tcW w:w="63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EE6B9E4" w14:textId="77777777">
            <w:pPr>
              <w:rPr>
                <w:color w:val="000000"/>
                <w:sz w:val="22"/>
                <w:szCs w:val="22"/>
              </w:rPr>
            </w:pPr>
            <w:r>
              <w:rPr>
                <w:color w:val="000000"/>
                <w:sz w:val="22"/>
                <w:szCs w:val="22"/>
              </w:rPr>
              <w:t>String</w:t>
            </w:r>
          </w:p>
        </w:tc>
        <w:tc>
          <w:tcPr>
            <w:tcW w:w="109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4765193" w14:textId="77777777">
            <w:pPr>
              <w:rPr>
                <w:color w:val="000000"/>
                <w:sz w:val="22"/>
                <w:szCs w:val="22"/>
              </w:rPr>
            </w:pPr>
            <w:r>
              <w:rPr>
                <w:color w:val="000000"/>
                <w:sz w:val="22"/>
                <w:szCs w:val="22"/>
              </w:rPr>
              <w:t>State abbreviation</w:t>
            </w:r>
          </w:p>
        </w:tc>
        <w:tc>
          <w:tcPr>
            <w:tcW w:w="1957" w:type="pct"/>
            <w:tcBorders>
              <w:top w:val="nil"/>
              <w:left w:val="nil"/>
              <w:bottom w:val="single" w:color="auto" w:sz="4" w:space="0"/>
              <w:right w:val="single" w:color="auto" w:sz="4" w:space="0"/>
            </w:tcBorders>
            <w:shd w:val="clear" w:color="auto" w:fill="auto"/>
            <w:vAlign w:val="bottom"/>
            <w:hideMark/>
          </w:tcPr>
          <w:p w:rsidR="00D224DC" w:rsidP="00DE5A36" w:rsidRDefault="00D224DC" w14:paraId="4A241D8A" w14:textId="77777777">
            <w:pPr>
              <w:rPr>
                <w:color w:val="000000"/>
                <w:sz w:val="22"/>
                <w:szCs w:val="22"/>
              </w:rPr>
            </w:pPr>
            <w:r>
              <w:rPr>
                <w:color w:val="000000"/>
                <w:sz w:val="22"/>
                <w:szCs w:val="22"/>
              </w:rPr>
              <w:t xml:space="preserve">State abbreviation (2-letter) should be based on branch’s physical location, </w:t>
            </w:r>
            <w:r w:rsidRPr="003962DC">
              <w:rPr>
                <w:i/>
                <w:color w:val="000000"/>
                <w:sz w:val="22"/>
              </w:rPr>
              <w:t>e.g.</w:t>
            </w:r>
            <w:r>
              <w:rPr>
                <w:color w:val="000000"/>
                <w:sz w:val="22"/>
                <w:szCs w:val="22"/>
              </w:rPr>
              <w:t>, report DC if 400 7th St SW, Washington, DC 20219</w:t>
            </w:r>
          </w:p>
        </w:tc>
      </w:tr>
      <w:tr w:rsidR="00D224DC" w:rsidTr="00DE5A36" w14:paraId="20DB4AE2" w14:textId="77777777">
        <w:trPr>
          <w:trHeight w:val="600"/>
        </w:trPr>
        <w:tc>
          <w:tcPr>
            <w:tcW w:w="465"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7192E49F" w14:textId="77777777">
            <w:pPr>
              <w:jc w:val="right"/>
              <w:rPr>
                <w:color w:val="000000"/>
                <w:sz w:val="22"/>
                <w:szCs w:val="22"/>
              </w:rPr>
            </w:pPr>
            <w:r>
              <w:rPr>
                <w:color w:val="000000"/>
                <w:sz w:val="22"/>
                <w:szCs w:val="22"/>
              </w:rPr>
              <w:t>6</w:t>
            </w:r>
          </w:p>
        </w:tc>
        <w:tc>
          <w:tcPr>
            <w:tcW w:w="848"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B598F04" w14:textId="77777777">
            <w:pPr>
              <w:spacing w:line="276" w:lineRule="auto"/>
              <w:rPr>
                <w:color w:val="000000"/>
                <w:sz w:val="22"/>
                <w:szCs w:val="22"/>
              </w:rPr>
            </w:pPr>
            <w:r>
              <w:rPr>
                <w:color w:val="000000"/>
                <w:sz w:val="22"/>
                <w:szCs w:val="22"/>
              </w:rPr>
              <w:t>BR_ZIP</w:t>
            </w:r>
          </w:p>
        </w:tc>
        <w:tc>
          <w:tcPr>
            <w:tcW w:w="63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5D04B9F" w14:textId="77777777">
            <w:pPr>
              <w:rPr>
                <w:color w:val="000000"/>
                <w:sz w:val="22"/>
                <w:szCs w:val="22"/>
              </w:rPr>
            </w:pPr>
            <w:r>
              <w:rPr>
                <w:color w:val="000000"/>
                <w:sz w:val="22"/>
                <w:szCs w:val="22"/>
              </w:rPr>
              <w:t>String</w:t>
            </w:r>
          </w:p>
        </w:tc>
        <w:tc>
          <w:tcPr>
            <w:tcW w:w="109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2F1CAF5" w14:textId="77777777">
            <w:pPr>
              <w:rPr>
                <w:color w:val="000000"/>
                <w:sz w:val="22"/>
                <w:szCs w:val="22"/>
              </w:rPr>
            </w:pPr>
            <w:r>
              <w:rPr>
                <w:color w:val="000000"/>
                <w:sz w:val="22"/>
                <w:szCs w:val="22"/>
              </w:rPr>
              <w:t>Zip code</w:t>
            </w:r>
          </w:p>
        </w:tc>
        <w:tc>
          <w:tcPr>
            <w:tcW w:w="1957"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103FBAF" w14:textId="77777777">
            <w:pPr>
              <w:rPr>
                <w:color w:val="000000"/>
                <w:sz w:val="22"/>
                <w:szCs w:val="22"/>
              </w:rPr>
            </w:pPr>
            <w:r>
              <w:rPr>
                <w:color w:val="000000"/>
                <w:sz w:val="22"/>
                <w:szCs w:val="22"/>
              </w:rPr>
              <w:t xml:space="preserve">Zip code (5-digit) should be based on branch’s physical location, </w:t>
            </w:r>
            <w:r w:rsidRPr="003962DC">
              <w:rPr>
                <w:i/>
                <w:color w:val="000000"/>
                <w:sz w:val="22"/>
              </w:rPr>
              <w:t>e.g.</w:t>
            </w:r>
            <w:r>
              <w:rPr>
                <w:color w:val="000000"/>
                <w:sz w:val="22"/>
                <w:szCs w:val="22"/>
              </w:rPr>
              <w:t>, report 20219 if 400 7th St SW, Washington, DC 20219</w:t>
            </w:r>
          </w:p>
        </w:tc>
      </w:tr>
      <w:tr w:rsidR="00D224DC" w:rsidTr="00DE5A36" w14:paraId="546D760D" w14:textId="77777777">
        <w:trPr>
          <w:trHeight w:val="600"/>
        </w:trPr>
        <w:tc>
          <w:tcPr>
            <w:tcW w:w="465"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7D47F92" w14:textId="77777777">
            <w:pPr>
              <w:jc w:val="right"/>
              <w:rPr>
                <w:color w:val="000000"/>
                <w:sz w:val="22"/>
                <w:szCs w:val="22"/>
              </w:rPr>
            </w:pPr>
            <w:r>
              <w:rPr>
                <w:color w:val="000000"/>
                <w:sz w:val="22"/>
                <w:szCs w:val="22"/>
              </w:rPr>
              <w:t>7</w:t>
            </w:r>
          </w:p>
        </w:tc>
        <w:tc>
          <w:tcPr>
            <w:tcW w:w="848"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E2EB1BF" w14:textId="77777777">
            <w:pPr>
              <w:spacing w:line="276" w:lineRule="auto"/>
              <w:rPr>
                <w:color w:val="000000"/>
                <w:sz w:val="22"/>
                <w:szCs w:val="22"/>
              </w:rPr>
            </w:pPr>
            <w:r>
              <w:rPr>
                <w:color w:val="000000"/>
                <w:sz w:val="22"/>
                <w:szCs w:val="22"/>
              </w:rPr>
              <w:t>TRACT</w:t>
            </w:r>
          </w:p>
        </w:tc>
        <w:tc>
          <w:tcPr>
            <w:tcW w:w="63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065BE95" w14:textId="77777777">
            <w:pPr>
              <w:rPr>
                <w:color w:val="000000"/>
                <w:sz w:val="22"/>
                <w:szCs w:val="22"/>
              </w:rPr>
            </w:pPr>
            <w:r>
              <w:rPr>
                <w:color w:val="000000"/>
                <w:sz w:val="22"/>
                <w:szCs w:val="22"/>
              </w:rPr>
              <w:t>String</w:t>
            </w:r>
          </w:p>
        </w:tc>
        <w:tc>
          <w:tcPr>
            <w:tcW w:w="109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A4D3DF0" w14:textId="77777777">
            <w:pPr>
              <w:rPr>
                <w:color w:val="000000"/>
                <w:sz w:val="22"/>
                <w:szCs w:val="22"/>
              </w:rPr>
            </w:pPr>
            <w:r>
              <w:rPr>
                <w:color w:val="000000"/>
                <w:sz w:val="22"/>
                <w:szCs w:val="22"/>
              </w:rPr>
              <w:t>Census tract</w:t>
            </w:r>
          </w:p>
        </w:tc>
        <w:tc>
          <w:tcPr>
            <w:tcW w:w="1957" w:type="pct"/>
            <w:tcBorders>
              <w:top w:val="nil"/>
              <w:left w:val="nil"/>
              <w:bottom w:val="single" w:color="auto" w:sz="4" w:space="0"/>
              <w:right w:val="single" w:color="auto" w:sz="4" w:space="0"/>
            </w:tcBorders>
            <w:shd w:val="clear" w:color="auto" w:fill="auto"/>
            <w:vAlign w:val="bottom"/>
            <w:hideMark/>
          </w:tcPr>
          <w:p w:rsidR="00D224DC" w:rsidP="00DE5A36" w:rsidRDefault="00D224DC" w14:paraId="504DD191" w14:textId="77777777">
            <w:pPr>
              <w:rPr>
                <w:color w:val="000000"/>
                <w:sz w:val="22"/>
                <w:szCs w:val="22"/>
              </w:rPr>
            </w:pPr>
            <w:r>
              <w:rPr>
                <w:color w:val="000000"/>
                <w:sz w:val="22"/>
                <w:szCs w:val="22"/>
              </w:rPr>
              <w:t xml:space="preserve">Tract FIPS code (6-digit), </w:t>
            </w:r>
            <w:r w:rsidRPr="003962DC">
              <w:rPr>
                <w:i/>
                <w:color w:val="000000"/>
                <w:sz w:val="22"/>
              </w:rPr>
              <w:t>e.g.</w:t>
            </w:r>
            <w:r>
              <w:rPr>
                <w:color w:val="000000"/>
                <w:sz w:val="22"/>
                <w:szCs w:val="22"/>
              </w:rPr>
              <w:t>, report 223100 if Census Tract 2231 in Harris County, TX</w:t>
            </w:r>
          </w:p>
        </w:tc>
      </w:tr>
      <w:tr w:rsidR="00D224DC" w:rsidTr="00DE5A36" w14:paraId="4DED221E" w14:textId="77777777">
        <w:trPr>
          <w:trHeight w:val="300"/>
        </w:trPr>
        <w:tc>
          <w:tcPr>
            <w:tcW w:w="465"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0656AA6A" w14:textId="77777777">
            <w:pPr>
              <w:jc w:val="right"/>
              <w:rPr>
                <w:color w:val="000000"/>
                <w:sz w:val="22"/>
                <w:szCs w:val="22"/>
              </w:rPr>
            </w:pPr>
            <w:r>
              <w:rPr>
                <w:color w:val="000000"/>
                <w:sz w:val="22"/>
                <w:szCs w:val="22"/>
              </w:rPr>
              <w:t>8</w:t>
            </w:r>
          </w:p>
        </w:tc>
        <w:tc>
          <w:tcPr>
            <w:tcW w:w="848"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5D4683E" w14:textId="77777777">
            <w:pPr>
              <w:spacing w:line="276" w:lineRule="auto"/>
              <w:rPr>
                <w:color w:val="000000"/>
                <w:sz w:val="22"/>
                <w:szCs w:val="22"/>
              </w:rPr>
            </w:pPr>
            <w:r>
              <w:rPr>
                <w:color w:val="000000"/>
                <w:sz w:val="22"/>
                <w:szCs w:val="22"/>
              </w:rPr>
              <w:t>COUNTY</w:t>
            </w:r>
          </w:p>
        </w:tc>
        <w:tc>
          <w:tcPr>
            <w:tcW w:w="63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00AFF429" w14:textId="77777777">
            <w:pPr>
              <w:rPr>
                <w:color w:val="000000"/>
                <w:sz w:val="22"/>
                <w:szCs w:val="22"/>
              </w:rPr>
            </w:pPr>
            <w:r>
              <w:rPr>
                <w:color w:val="000000"/>
                <w:sz w:val="22"/>
                <w:szCs w:val="22"/>
              </w:rPr>
              <w:t>String</w:t>
            </w:r>
          </w:p>
        </w:tc>
        <w:tc>
          <w:tcPr>
            <w:tcW w:w="109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79367001" w14:textId="77777777">
            <w:pPr>
              <w:rPr>
                <w:color w:val="000000"/>
                <w:sz w:val="22"/>
                <w:szCs w:val="22"/>
              </w:rPr>
            </w:pPr>
            <w:r>
              <w:rPr>
                <w:color w:val="000000"/>
                <w:sz w:val="22"/>
                <w:szCs w:val="22"/>
              </w:rPr>
              <w:t>County</w:t>
            </w:r>
          </w:p>
        </w:tc>
        <w:tc>
          <w:tcPr>
            <w:tcW w:w="1957" w:type="pct"/>
            <w:tcBorders>
              <w:top w:val="nil"/>
              <w:left w:val="nil"/>
              <w:bottom w:val="single" w:color="auto" w:sz="4" w:space="0"/>
              <w:right w:val="single" w:color="auto" w:sz="4" w:space="0"/>
            </w:tcBorders>
            <w:shd w:val="clear" w:color="auto" w:fill="auto"/>
            <w:vAlign w:val="bottom"/>
            <w:hideMark/>
          </w:tcPr>
          <w:p w:rsidR="00D224DC" w:rsidP="00DE5A36" w:rsidRDefault="00D224DC" w14:paraId="3873CF86" w14:textId="77777777">
            <w:pPr>
              <w:rPr>
                <w:color w:val="000000"/>
                <w:sz w:val="22"/>
                <w:szCs w:val="22"/>
              </w:rPr>
            </w:pPr>
            <w:r>
              <w:rPr>
                <w:color w:val="000000"/>
                <w:sz w:val="22"/>
                <w:szCs w:val="22"/>
              </w:rPr>
              <w:t xml:space="preserve">County FIPS code (3-digit), </w:t>
            </w:r>
            <w:r w:rsidRPr="003962DC">
              <w:rPr>
                <w:i/>
                <w:color w:val="000000"/>
                <w:sz w:val="22"/>
              </w:rPr>
              <w:t>e.g.</w:t>
            </w:r>
            <w:r>
              <w:rPr>
                <w:color w:val="000000"/>
                <w:sz w:val="22"/>
                <w:szCs w:val="22"/>
              </w:rPr>
              <w:t>, report 201 if Harris County, TX</w:t>
            </w:r>
          </w:p>
        </w:tc>
      </w:tr>
      <w:tr w:rsidR="00D224DC" w:rsidTr="00DE5A36" w14:paraId="31F65F78" w14:textId="77777777">
        <w:trPr>
          <w:trHeight w:val="600"/>
        </w:trPr>
        <w:tc>
          <w:tcPr>
            <w:tcW w:w="465" w:type="pct"/>
            <w:tcBorders>
              <w:top w:val="nil"/>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1D42BBF5" w14:textId="77777777">
            <w:pPr>
              <w:jc w:val="right"/>
              <w:rPr>
                <w:color w:val="000000"/>
                <w:sz w:val="22"/>
                <w:szCs w:val="22"/>
              </w:rPr>
            </w:pPr>
            <w:r>
              <w:rPr>
                <w:color w:val="000000"/>
                <w:sz w:val="22"/>
                <w:szCs w:val="22"/>
              </w:rPr>
              <w:t>9</w:t>
            </w:r>
          </w:p>
        </w:tc>
        <w:tc>
          <w:tcPr>
            <w:tcW w:w="848"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24315E6D" w14:textId="77777777">
            <w:pPr>
              <w:spacing w:line="276" w:lineRule="auto"/>
              <w:rPr>
                <w:color w:val="000000"/>
                <w:sz w:val="22"/>
                <w:szCs w:val="22"/>
              </w:rPr>
            </w:pPr>
            <w:r>
              <w:rPr>
                <w:color w:val="000000"/>
                <w:sz w:val="22"/>
                <w:szCs w:val="22"/>
              </w:rPr>
              <w:t>MD_MSA</w:t>
            </w:r>
          </w:p>
        </w:tc>
        <w:tc>
          <w:tcPr>
            <w:tcW w:w="636"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15004CD3" w14:textId="77777777">
            <w:pPr>
              <w:rPr>
                <w:color w:val="000000"/>
                <w:sz w:val="22"/>
                <w:szCs w:val="22"/>
              </w:rPr>
            </w:pPr>
            <w:r>
              <w:rPr>
                <w:color w:val="000000"/>
                <w:sz w:val="22"/>
                <w:szCs w:val="22"/>
              </w:rPr>
              <w:t>String</w:t>
            </w:r>
          </w:p>
        </w:tc>
        <w:tc>
          <w:tcPr>
            <w:tcW w:w="1094" w:type="pct"/>
            <w:tcBorders>
              <w:top w:val="nil"/>
              <w:left w:val="nil"/>
              <w:bottom w:val="single" w:color="auto" w:sz="4" w:space="0"/>
              <w:right w:val="single" w:color="auto" w:sz="4" w:space="0"/>
            </w:tcBorders>
            <w:shd w:val="clear" w:color="auto" w:fill="auto"/>
            <w:noWrap/>
            <w:vAlign w:val="bottom"/>
            <w:hideMark/>
          </w:tcPr>
          <w:p w:rsidR="00D224DC" w:rsidP="00DE5A36" w:rsidRDefault="00D224DC" w14:paraId="478FEA3B" w14:textId="77777777">
            <w:pPr>
              <w:rPr>
                <w:color w:val="000000"/>
                <w:sz w:val="22"/>
                <w:szCs w:val="22"/>
              </w:rPr>
            </w:pPr>
            <w:r>
              <w:rPr>
                <w:color w:val="000000"/>
                <w:sz w:val="22"/>
                <w:szCs w:val="22"/>
              </w:rPr>
              <w:t>MD/MSA</w:t>
            </w:r>
          </w:p>
        </w:tc>
        <w:tc>
          <w:tcPr>
            <w:tcW w:w="1957" w:type="pct"/>
            <w:tcBorders>
              <w:top w:val="nil"/>
              <w:left w:val="nil"/>
              <w:bottom w:val="single" w:color="auto" w:sz="4" w:space="0"/>
              <w:right w:val="single" w:color="auto" w:sz="4" w:space="0"/>
            </w:tcBorders>
            <w:shd w:val="clear" w:color="auto" w:fill="auto"/>
            <w:vAlign w:val="bottom"/>
            <w:hideMark/>
          </w:tcPr>
          <w:p w:rsidR="00D224DC" w:rsidP="00DE5A36" w:rsidRDefault="00D224DC" w14:paraId="7719C062" w14:textId="77777777">
            <w:pPr>
              <w:rPr>
                <w:color w:val="000000"/>
                <w:sz w:val="22"/>
                <w:szCs w:val="22"/>
              </w:rPr>
            </w:pPr>
            <w:r>
              <w:rPr>
                <w:color w:val="000000"/>
                <w:sz w:val="22"/>
                <w:szCs w:val="22"/>
              </w:rPr>
              <w:t xml:space="preserve">MD/MSA code (5-digit), </w:t>
            </w:r>
            <w:r w:rsidRPr="003962DC">
              <w:rPr>
                <w:i/>
                <w:color w:val="000000"/>
                <w:sz w:val="22"/>
              </w:rPr>
              <w:t>e.g.</w:t>
            </w:r>
            <w:r>
              <w:rPr>
                <w:color w:val="000000"/>
                <w:sz w:val="22"/>
                <w:szCs w:val="22"/>
              </w:rPr>
              <w:t>, report 26420 if Houston-The Woodlands-Sugar Land, TX</w:t>
            </w:r>
          </w:p>
        </w:tc>
      </w:tr>
      <w:tr w:rsidR="00D224DC" w:rsidTr="00DE5A36" w14:paraId="7E7BF498" w14:textId="77777777">
        <w:trPr>
          <w:trHeight w:val="300"/>
        </w:trPr>
        <w:tc>
          <w:tcPr>
            <w:tcW w:w="46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00D224DC" w:rsidP="00DE5A36" w:rsidRDefault="00D224DC" w14:paraId="53B95FC6" w14:textId="77777777">
            <w:pPr>
              <w:jc w:val="right"/>
              <w:rPr>
                <w:color w:val="000000"/>
                <w:sz w:val="22"/>
                <w:szCs w:val="22"/>
              </w:rPr>
            </w:pPr>
            <w:r>
              <w:rPr>
                <w:color w:val="000000"/>
                <w:sz w:val="22"/>
                <w:szCs w:val="22"/>
              </w:rPr>
              <w:t>10</w:t>
            </w:r>
          </w:p>
        </w:tc>
        <w:tc>
          <w:tcPr>
            <w:tcW w:w="848" w:type="pct"/>
            <w:tcBorders>
              <w:top w:val="single" w:color="auto" w:sz="4" w:space="0"/>
              <w:left w:val="nil"/>
              <w:bottom w:val="single" w:color="auto" w:sz="4" w:space="0"/>
              <w:right w:val="single" w:color="auto" w:sz="4" w:space="0"/>
            </w:tcBorders>
            <w:shd w:val="clear" w:color="auto" w:fill="auto"/>
            <w:noWrap/>
            <w:vAlign w:val="bottom"/>
            <w:hideMark/>
          </w:tcPr>
          <w:p w:rsidR="00D224DC" w:rsidP="00DE5A36" w:rsidRDefault="00D224DC" w14:paraId="099C1F53" w14:textId="77777777">
            <w:pPr>
              <w:spacing w:line="276" w:lineRule="auto"/>
              <w:rPr>
                <w:color w:val="000000"/>
                <w:sz w:val="22"/>
                <w:szCs w:val="22"/>
              </w:rPr>
            </w:pPr>
            <w:r>
              <w:rPr>
                <w:color w:val="000000"/>
                <w:sz w:val="22"/>
                <w:szCs w:val="22"/>
              </w:rPr>
              <w:t>STATE</w:t>
            </w:r>
          </w:p>
        </w:tc>
        <w:tc>
          <w:tcPr>
            <w:tcW w:w="636" w:type="pct"/>
            <w:tcBorders>
              <w:top w:val="single" w:color="auto" w:sz="4" w:space="0"/>
              <w:left w:val="nil"/>
              <w:bottom w:val="single" w:color="auto" w:sz="4" w:space="0"/>
              <w:right w:val="single" w:color="auto" w:sz="4" w:space="0"/>
            </w:tcBorders>
            <w:shd w:val="clear" w:color="auto" w:fill="auto"/>
            <w:noWrap/>
            <w:vAlign w:val="bottom"/>
            <w:hideMark/>
          </w:tcPr>
          <w:p w:rsidR="00D224DC" w:rsidP="00DE5A36" w:rsidRDefault="00D224DC" w14:paraId="456A7850" w14:textId="77777777">
            <w:pPr>
              <w:rPr>
                <w:color w:val="000000"/>
                <w:sz w:val="22"/>
                <w:szCs w:val="22"/>
              </w:rPr>
            </w:pPr>
            <w:r>
              <w:rPr>
                <w:color w:val="000000"/>
                <w:sz w:val="22"/>
                <w:szCs w:val="22"/>
              </w:rPr>
              <w:t>String</w:t>
            </w:r>
          </w:p>
        </w:tc>
        <w:tc>
          <w:tcPr>
            <w:tcW w:w="1094" w:type="pct"/>
            <w:tcBorders>
              <w:top w:val="single" w:color="auto" w:sz="4" w:space="0"/>
              <w:left w:val="nil"/>
              <w:bottom w:val="single" w:color="auto" w:sz="4" w:space="0"/>
              <w:right w:val="single" w:color="auto" w:sz="4" w:space="0"/>
            </w:tcBorders>
            <w:shd w:val="clear" w:color="auto" w:fill="auto"/>
            <w:noWrap/>
            <w:vAlign w:val="bottom"/>
            <w:hideMark/>
          </w:tcPr>
          <w:p w:rsidR="00D224DC" w:rsidP="00DE5A36" w:rsidRDefault="00D224DC" w14:paraId="209661A4" w14:textId="77777777">
            <w:pPr>
              <w:rPr>
                <w:color w:val="000000"/>
                <w:sz w:val="22"/>
                <w:szCs w:val="22"/>
              </w:rPr>
            </w:pPr>
            <w:r>
              <w:rPr>
                <w:color w:val="000000"/>
                <w:sz w:val="22"/>
                <w:szCs w:val="22"/>
              </w:rPr>
              <w:t>State</w:t>
            </w:r>
          </w:p>
        </w:tc>
        <w:tc>
          <w:tcPr>
            <w:tcW w:w="1957" w:type="pct"/>
            <w:tcBorders>
              <w:top w:val="single" w:color="auto" w:sz="4" w:space="0"/>
              <w:left w:val="nil"/>
              <w:bottom w:val="single" w:color="auto" w:sz="4" w:space="0"/>
              <w:right w:val="single" w:color="auto" w:sz="4" w:space="0"/>
            </w:tcBorders>
            <w:shd w:val="clear" w:color="auto" w:fill="auto"/>
            <w:vAlign w:val="bottom"/>
            <w:hideMark/>
          </w:tcPr>
          <w:p w:rsidR="00D224DC" w:rsidP="00DE5A36" w:rsidRDefault="00D224DC" w14:paraId="442C9C7B" w14:textId="77777777">
            <w:pPr>
              <w:rPr>
                <w:color w:val="000000"/>
                <w:sz w:val="22"/>
                <w:szCs w:val="22"/>
              </w:rPr>
            </w:pPr>
            <w:r>
              <w:rPr>
                <w:color w:val="000000"/>
                <w:sz w:val="22"/>
                <w:szCs w:val="22"/>
              </w:rPr>
              <w:t xml:space="preserve">State FIPS code (2-digit), </w:t>
            </w:r>
            <w:r w:rsidRPr="003962DC">
              <w:rPr>
                <w:i/>
                <w:color w:val="000000"/>
                <w:sz w:val="22"/>
              </w:rPr>
              <w:t>e.g.</w:t>
            </w:r>
            <w:r>
              <w:rPr>
                <w:color w:val="000000"/>
                <w:sz w:val="22"/>
                <w:szCs w:val="22"/>
              </w:rPr>
              <w:t>, report 48 if Harris County, TX</w:t>
            </w:r>
          </w:p>
        </w:tc>
      </w:tr>
      <w:tr w:rsidR="00D224DC" w:rsidTr="00DE5A36" w14:paraId="134070CD" w14:textId="77777777">
        <w:trPr>
          <w:trHeight w:val="300"/>
        </w:trPr>
        <w:tc>
          <w:tcPr>
            <w:tcW w:w="465" w:type="pct"/>
            <w:tcBorders>
              <w:top w:val="single" w:color="auto" w:sz="4" w:space="0"/>
              <w:left w:val="single" w:color="auto" w:sz="4" w:space="0"/>
              <w:bottom w:val="single" w:color="auto" w:sz="4" w:space="0"/>
              <w:right w:val="single" w:color="auto" w:sz="4" w:space="0"/>
            </w:tcBorders>
            <w:shd w:val="clear" w:color="auto" w:fill="auto"/>
            <w:noWrap/>
            <w:vAlign w:val="bottom"/>
          </w:tcPr>
          <w:p w:rsidR="00D224DC" w:rsidP="00DE5A36" w:rsidRDefault="00D224DC" w14:paraId="74636A38" w14:textId="77777777">
            <w:pPr>
              <w:jc w:val="right"/>
              <w:rPr>
                <w:color w:val="000000"/>
                <w:sz w:val="22"/>
                <w:szCs w:val="22"/>
              </w:rPr>
            </w:pPr>
            <w:r>
              <w:rPr>
                <w:color w:val="000000"/>
                <w:sz w:val="22"/>
                <w:szCs w:val="22"/>
              </w:rPr>
              <w:t>11</w:t>
            </w:r>
          </w:p>
        </w:tc>
        <w:tc>
          <w:tcPr>
            <w:tcW w:w="848"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24EEE20D" w14:textId="77777777">
            <w:pPr>
              <w:spacing w:line="276" w:lineRule="auto"/>
              <w:rPr>
                <w:color w:val="000000"/>
                <w:sz w:val="22"/>
                <w:szCs w:val="22"/>
              </w:rPr>
            </w:pPr>
            <w:r>
              <w:rPr>
                <w:color w:val="000000"/>
                <w:sz w:val="22"/>
                <w:szCs w:val="22"/>
              </w:rPr>
              <w:t>YEAR</w:t>
            </w:r>
          </w:p>
        </w:tc>
        <w:tc>
          <w:tcPr>
            <w:tcW w:w="636"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7B62E25D" w14:textId="77777777">
            <w:pPr>
              <w:rPr>
                <w:color w:val="000000"/>
                <w:sz w:val="22"/>
                <w:szCs w:val="22"/>
              </w:rPr>
            </w:pPr>
            <w:r>
              <w:rPr>
                <w:color w:val="000000"/>
                <w:sz w:val="22"/>
                <w:szCs w:val="22"/>
              </w:rPr>
              <w:t>String</w:t>
            </w:r>
          </w:p>
        </w:tc>
        <w:tc>
          <w:tcPr>
            <w:tcW w:w="1094" w:type="pct"/>
            <w:tcBorders>
              <w:top w:val="single" w:color="auto" w:sz="4" w:space="0"/>
              <w:left w:val="nil"/>
              <w:bottom w:val="single" w:color="auto" w:sz="4" w:space="0"/>
              <w:right w:val="single" w:color="auto" w:sz="4" w:space="0"/>
            </w:tcBorders>
            <w:shd w:val="clear" w:color="auto" w:fill="auto"/>
            <w:noWrap/>
            <w:vAlign w:val="bottom"/>
          </w:tcPr>
          <w:p w:rsidR="00D224DC" w:rsidP="00DE5A36" w:rsidRDefault="00D224DC" w14:paraId="1B92FB3B" w14:textId="77777777">
            <w:pPr>
              <w:rPr>
                <w:color w:val="000000"/>
                <w:sz w:val="22"/>
                <w:szCs w:val="22"/>
              </w:rPr>
            </w:pPr>
            <w:r>
              <w:rPr>
                <w:color w:val="000000"/>
                <w:sz w:val="22"/>
                <w:szCs w:val="22"/>
              </w:rPr>
              <w:t>Year</w:t>
            </w:r>
          </w:p>
        </w:tc>
        <w:tc>
          <w:tcPr>
            <w:tcW w:w="1957" w:type="pct"/>
            <w:tcBorders>
              <w:top w:val="single" w:color="auto" w:sz="4" w:space="0"/>
              <w:left w:val="nil"/>
              <w:bottom w:val="single" w:color="auto" w:sz="4" w:space="0"/>
              <w:right w:val="single" w:color="auto" w:sz="4" w:space="0"/>
            </w:tcBorders>
            <w:shd w:val="clear" w:color="auto" w:fill="auto"/>
            <w:vAlign w:val="bottom"/>
          </w:tcPr>
          <w:p w:rsidR="00D224DC" w:rsidP="00DE5A36" w:rsidRDefault="00D224DC" w14:paraId="70BCBA35" w14:textId="77777777">
            <w:pPr>
              <w:rPr>
                <w:color w:val="000000"/>
                <w:sz w:val="22"/>
                <w:szCs w:val="22"/>
              </w:rPr>
            </w:pPr>
            <w:r>
              <w:rPr>
                <w:color w:val="000000"/>
                <w:sz w:val="22"/>
                <w:szCs w:val="22"/>
              </w:rPr>
              <w:t>20XX</w:t>
            </w:r>
          </w:p>
        </w:tc>
      </w:tr>
    </w:tbl>
    <w:p w:rsidR="00D224DC" w:rsidP="00D224DC" w:rsidRDefault="00D224DC" w14:paraId="2A343188" w14:textId="77777777">
      <w:pPr>
        <w:rPr>
          <w:bCs/>
        </w:rPr>
        <w:sectPr w:rsidR="00D224DC" w:rsidSect="00DE6881">
          <w:pgSz w:w="15840" w:h="12240" w:orient="landscape"/>
          <w:pgMar w:top="1800" w:right="1440" w:bottom="1800" w:left="1440" w:header="720" w:footer="720" w:gutter="0"/>
          <w:cols w:space="720"/>
          <w:docGrid w:linePitch="360"/>
        </w:sectPr>
      </w:pPr>
    </w:p>
    <w:p w:rsidRPr="00ED30A5" w:rsidR="00F92AC6" w:rsidP="00D224DC" w:rsidRDefault="00F92AC6" w14:paraId="20E81CF5" w14:textId="461A4D69">
      <w:pPr>
        <w:spacing w:line="480" w:lineRule="auto"/>
        <w:ind w:firstLine="720"/>
        <w:rPr>
          <w:i/>
        </w:rPr>
      </w:pPr>
    </w:p>
    <w:sectPr w:rsidRPr="00ED30A5" w:rsidR="00F92AC6">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5D267" w14:textId="77777777" w:rsidR="00A47FA3" w:rsidRDefault="00A47FA3" w:rsidP="00ED30A5">
      <w:r>
        <w:separator/>
      </w:r>
    </w:p>
  </w:endnote>
  <w:endnote w:type="continuationSeparator" w:id="0">
    <w:p w14:paraId="3A8CAEC1" w14:textId="77777777" w:rsidR="00A47FA3" w:rsidRDefault="00A47FA3" w:rsidP="00ED30A5">
      <w:r>
        <w:continuationSeparator/>
      </w:r>
    </w:p>
  </w:endnote>
  <w:endnote w:type="continuationNotice" w:id="1">
    <w:p w14:paraId="53AECF80" w14:textId="77777777" w:rsidR="00A47FA3" w:rsidRDefault="00A47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019884"/>
      <w:docPartObj>
        <w:docPartGallery w:val="Page Numbers (Bottom of Page)"/>
        <w:docPartUnique/>
      </w:docPartObj>
    </w:sdtPr>
    <w:sdtEndPr>
      <w:rPr>
        <w:noProof/>
      </w:rPr>
    </w:sdtEndPr>
    <w:sdtContent>
      <w:p w14:paraId="287F32DC" w14:textId="77777777" w:rsidR="00D224DC" w:rsidRDefault="00D224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CEDBB1" w14:textId="77777777" w:rsidR="00D224DC" w:rsidRDefault="00D22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078967"/>
      <w:docPartObj>
        <w:docPartGallery w:val="Page Numbers (Bottom of Page)"/>
        <w:docPartUnique/>
      </w:docPartObj>
    </w:sdtPr>
    <w:sdtEndPr>
      <w:rPr>
        <w:noProof/>
      </w:rPr>
    </w:sdtEndPr>
    <w:sdtContent>
      <w:p w14:paraId="40F22A0D" w14:textId="3E26450A" w:rsidR="00A47FA3" w:rsidRDefault="00A47F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C0EF2" w14:textId="77777777" w:rsidR="00A47FA3" w:rsidRDefault="00A47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53385" w14:textId="77777777" w:rsidR="00A47FA3" w:rsidRDefault="00A47FA3" w:rsidP="00ED30A5">
      <w:r>
        <w:separator/>
      </w:r>
    </w:p>
  </w:footnote>
  <w:footnote w:type="continuationSeparator" w:id="0">
    <w:p w14:paraId="2028F417" w14:textId="77777777" w:rsidR="00A47FA3" w:rsidRDefault="00A47FA3" w:rsidP="00ED30A5">
      <w:r>
        <w:continuationSeparator/>
      </w:r>
    </w:p>
  </w:footnote>
  <w:footnote w:type="continuationNotice" w:id="1">
    <w:p w14:paraId="613D9ABC" w14:textId="77777777" w:rsidR="00A47FA3" w:rsidRDefault="00A47FA3"/>
  </w:footnote>
  <w:footnote w:id="2">
    <w:p w14:paraId="64C575BE" w14:textId="6F96431D" w:rsidR="00A47FA3" w:rsidRPr="001D64DC" w:rsidRDefault="00A47FA3" w:rsidP="000B033C">
      <w:pPr>
        <w:pStyle w:val="FootnoteText"/>
        <w:rPr>
          <w:rFonts w:ascii="Times New Roman" w:hAnsi="Times New Roman" w:cs="Times New Roman"/>
        </w:rPr>
      </w:pPr>
      <w:r w:rsidRPr="001D64DC">
        <w:rPr>
          <w:rStyle w:val="FootnoteReference"/>
          <w:rFonts w:ascii="Times New Roman" w:hAnsi="Times New Roman" w:cs="Times New Roman"/>
        </w:rPr>
        <w:footnoteRef/>
      </w:r>
      <w:r w:rsidRPr="001D64DC">
        <w:rPr>
          <w:rFonts w:ascii="Times New Roman" w:hAnsi="Times New Roman" w:cs="Times New Roman"/>
        </w:rPr>
        <w:t xml:space="preserve"> 85 FR 34734, 34773.</w:t>
      </w:r>
    </w:p>
  </w:footnote>
  <w:footnote w:id="3">
    <w:p w14:paraId="2F5CE5B4" w14:textId="77777777" w:rsidR="00D224DC" w:rsidRPr="001D64DC" w:rsidRDefault="00D224DC" w:rsidP="00D224DC">
      <w:pPr>
        <w:pStyle w:val="FootnoteText"/>
        <w:rPr>
          <w:rFonts w:ascii="Times New Roman" w:hAnsi="Times New Roman" w:cs="Times New Roman"/>
        </w:rPr>
      </w:pPr>
      <w:r w:rsidRPr="001D64DC">
        <w:rPr>
          <w:rStyle w:val="FootnoteReference"/>
          <w:rFonts w:ascii="Times New Roman" w:hAnsi="Times New Roman" w:cs="Times New Roman"/>
        </w:rPr>
        <w:footnoteRef/>
      </w:r>
      <w:r w:rsidRPr="001D64DC">
        <w:rPr>
          <w:rFonts w:ascii="Times New Roman" w:hAnsi="Times New Roman" w:cs="Times New Roman"/>
        </w:rPr>
        <w:t xml:space="preserve"> 85 FR 34734, 34773.</w:t>
      </w:r>
    </w:p>
  </w:footnote>
  <w:footnote w:id="4">
    <w:p w14:paraId="19E5062E" w14:textId="77777777" w:rsidR="00D224DC" w:rsidRPr="001D64DC" w:rsidRDefault="00D224DC" w:rsidP="00D224DC">
      <w:pPr>
        <w:pStyle w:val="FootnoteText"/>
        <w:rPr>
          <w:rFonts w:ascii="Times New Roman" w:hAnsi="Times New Roman" w:cs="Times New Roman"/>
        </w:rPr>
      </w:pPr>
      <w:r w:rsidRPr="001D64DC">
        <w:rPr>
          <w:rStyle w:val="FootnoteReference"/>
          <w:rFonts w:ascii="Times New Roman" w:hAnsi="Times New Roman" w:cs="Times New Roman"/>
        </w:rPr>
        <w:footnoteRef/>
      </w:r>
      <w:r w:rsidRPr="001D64DC">
        <w:rPr>
          <w:rFonts w:ascii="Times New Roman" w:hAnsi="Times New Roman" w:cs="Times New Roman"/>
        </w:rPr>
        <w:t xml:space="preserve"> </w:t>
      </w:r>
      <w:r>
        <w:rPr>
          <w:rFonts w:ascii="Times New Roman" w:hAnsi="Times New Roman" w:cs="Times New Roman"/>
        </w:rPr>
        <w:t>Section 25.09(b)(1) of the final rule allows these assessment areas to include one or more of these facilities, as well as deposit-taking ATMs</w:t>
      </w:r>
      <w:r w:rsidRPr="00405996">
        <w:rPr>
          <w:rFonts w:ascii="Times New Roman" w:hAnsi="Times New Roman" w:cs="Times New Roman"/>
        </w:rPr>
        <w:t>.</w:t>
      </w:r>
      <w:r w:rsidRPr="001D64DC">
        <w:rPr>
          <w:rFonts w:ascii="Times New Roman" w:hAnsi="Times New Roman" w:cs="Times New Roman"/>
        </w:rPr>
        <w:t xml:space="preserve">  </w:t>
      </w:r>
    </w:p>
  </w:footnote>
  <w:footnote w:id="5">
    <w:p w14:paraId="022AD9BF" w14:textId="77777777" w:rsidR="00D224DC" w:rsidRPr="001D64DC" w:rsidRDefault="00D224DC" w:rsidP="00D224DC">
      <w:pPr>
        <w:pStyle w:val="FootnoteText"/>
        <w:rPr>
          <w:rFonts w:ascii="Times New Roman" w:hAnsi="Times New Roman" w:cs="Times New Roman"/>
        </w:rPr>
      </w:pPr>
      <w:r w:rsidRPr="001D64DC">
        <w:rPr>
          <w:rStyle w:val="FootnoteReference"/>
          <w:rFonts w:ascii="Times New Roman" w:hAnsi="Times New Roman" w:cs="Times New Roman"/>
        </w:rPr>
        <w:footnoteRef/>
      </w:r>
      <w:r w:rsidRPr="001D64DC">
        <w:rPr>
          <w:rFonts w:ascii="Times New Roman" w:hAnsi="Times New Roman" w:cs="Times New Roman"/>
        </w:rPr>
        <w:t xml:space="preserve"> </w:t>
      </w:r>
      <w:r w:rsidRPr="00AB75C5">
        <w:rPr>
          <w:rFonts w:ascii="Times New Roman" w:hAnsi="Times New Roman" w:cs="Times New Roman"/>
        </w:rPr>
        <w:t xml:space="preserve">Assessment areas delineated </w:t>
      </w:r>
      <w:r>
        <w:rPr>
          <w:rFonts w:ascii="Times New Roman" w:hAnsi="Times New Roman" w:cs="Times New Roman"/>
        </w:rPr>
        <w:t xml:space="preserve">based on the location of a deposit-taking ATM </w:t>
      </w:r>
      <w:r w:rsidRPr="00AB75C5">
        <w:rPr>
          <w:rFonts w:ascii="Times New Roman" w:hAnsi="Times New Roman" w:cs="Times New Roman"/>
        </w:rPr>
        <w:t xml:space="preserve">under </w:t>
      </w:r>
      <w:r w:rsidRPr="00405996">
        <w:rPr>
          <w:rFonts w:ascii="Times New Roman" w:hAnsi="Times New Roman" w:cs="Times New Roman"/>
        </w:rPr>
        <w:t>§ 25.09(b)(2)</w:t>
      </w:r>
      <w:r>
        <w:rPr>
          <w:rFonts w:ascii="Times New Roman" w:hAnsi="Times New Roman" w:cs="Times New Roman"/>
        </w:rPr>
        <w:t xml:space="preserve"> of the final rule</w:t>
      </w:r>
      <w:r w:rsidRPr="00405996">
        <w:rPr>
          <w:rFonts w:ascii="Times New Roman" w:hAnsi="Times New Roman" w:cs="Times New Roman"/>
        </w:rPr>
        <w:t xml:space="preserve"> may contain the bank’s main office, branches, or other non-branch deposit taking facilities.</w:t>
      </w:r>
      <w:r w:rsidRPr="001D64DC">
        <w:rPr>
          <w:rFonts w:ascii="Times New Roman" w:hAnsi="Times New Roman" w:cs="Times New Roman"/>
        </w:rPr>
        <w:t xml:space="preserve">  </w:t>
      </w:r>
    </w:p>
  </w:footnote>
  <w:footnote w:id="6">
    <w:p w14:paraId="40F02F5B" w14:textId="77777777" w:rsidR="00D224DC" w:rsidRPr="0057529C" w:rsidRDefault="00D224DC" w:rsidP="00D224DC">
      <w:pPr>
        <w:rPr>
          <w:sz w:val="20"/>
          <w:szCs w:val="20"/>
        </w:rPr>
      </w:pPr>
      <w:r w:rsidRPr="0057529C">
        <w:rPr>
          <w:rStyle w:val="FootnoteReference"/>
          <w:sz w:val="20"/>
          <w:szCs w:val="20"/>
        </w:rPr>
        <w:footnoteRef/>
      </w:r>
      <w:r w:rsidRPr="0057529C">
        <w:rPr>
          <w:sz w:val="20"/>
          <w:szCs w:val="20"/>
        </w:rPr>
        <w:t xml:space="preserve"> For purposes of this information collection, a retail loan is “generated by [a] branch” if that loan is originated by employees of the bank or reasonably assigned to that branch according a bank’s internal procedures.</w:t>
      </w:r>
    </w:p>
    <w:p w14:paraId="59558E07" w14:textId="77777777" w:rsidR="00D224DC" w:rsidRDefault="00D224DC" w:rsidP="00D224DC">
      <w:pPr>
        <w:pStyle w:val="FootnoteText"/>
      </w:pPr>
    </w:p>
  </w:footnote>
  <w:footnote w:id="7">
    <w:p w14:paraId="42367676" w14:textId="77777777" w:rsidR="00D224DC" w:rsidRPr="00650047" w:rsidRDefault="00D224DC" w:rsidP="00D224DC">
      <w:pPr>
        <w:pStyle w:val="Heading1"/>
        <w:keepNext w:val="0"/>
        <w:keepLines w:val="0"/>
        <w:numPr>
          <w:ilvl w:val="0"/>
          <w:numId w:val="0"/>
        </w:numPr>
        <w:spacing w:before="0" w:after="0" w:line="240" w:lineRule="auto"/>
        <w:textAlignment w:val="baseline"/>
        <w:rPr>
          <w:b w:val="0"/>
          <w:sz w:val="20"/>
          <w:szCs w:val="20"/>
        </w:rPr>
      </w:pPr>
      <w:r w:rsidRPr="00926F50">
        <w:rPr>
          <w:rStyle w:val="FootnoteReference"/>
          <w:b w:val="0"/>
          <w:sz w:val="20"/>
          <w:szCs w:val="20"/>
        </w:rPr>
        <w:footnoteRef/>
      </w:r>
      <w:r w:rsidRPr="00926F50">
        <w:rPr>
          <w:b w:val="0"/>
          <w:sz w:val="20"/>
          <w:szCs w:val="20"/>
        </w:rPr>
        <w:t xml:space="preserve"> See various studies using application information </w:t>
      </w:r>
      <w:r>
        <w:rPr>
          <w:b w:val="0"/>
          <w:sz w:val="20"/>
          <w:szCs w:val="20"/>
        </w:rPr>
        <w:t>to understand credit supply</w:t>
      </w:r>
      <w:r w:rsidRPr="00926F50">
        <w:rPr>
          <w:b w:val="0"/>
          <w:sz w:val="20"/>
          <w:szCs w:val="20"/>
        </w:rPr>
        <w:t xml:space="preserve"> such as: </w:t>
      </w:r>
      <w:proofErr w:type="spellStart"/>
      <w:r w:rsidRPr="00926F50">
        <w:rPr>
          <w:rFonts w:eastAsia="Times New Roman"/>
          <w:b w:val="0"/>
          <w:color w:val="181817"/>
          <w:sz w:val="20"/>
          <w:szCs w:val="20"/>
        </w:rPr>
        <w:t>Antoniades</w:t>
      </w:r>
      <w:proofErr w:type="spellEnd"/>
      <w:r w:rsidRPr="00926F50">
        <w:rPr>
          <w:rFonts w:eastAsia="Times New Roman"/>
          <w:b w:val="0"/>
          <w:color w:val="181817"/>
          <w:sz w:val="20"/>
          <w:szCs w:val="20"/>
        </w:rPr>
        <w:t xml:space="preserve">, A. (2016. </w:t>
      </w:r>
      <w:r>
        <w:rPr>
          <w:rFonts w:eastAsia="Times New Roman"/>
          <w:b w:val="0"/>
          <w:color w:val="181817"/>
          <w:sz w:val="20"/>
          <w:szCs w:val="20"/>
        </w:rPr>
        <w:t>“</w:t>
      </w:r>
      <w:r w:rsidRPr="00926F50">
        <w:rPr>
          <w:rFonts w:eastAsia="Times New Roman"/>
          <w:b w:val="0"/>
          <w:color w:val="181817"/>
          <w:sz w:val="20"/>
          <w:szCs w:val="20"/>
        </w:rPr>
        <w:t>). Liquidity Risk and the Credit Crunch of 2007–2008: Evidence from Micro-Level Data on Mortgage Loan Applications</w:t>
      </w:r>
      <w:r>
        <w:rPr>
          <w:rFonts w:eastAsia="Times New Roman"/>
          <w:b w:val="0"/>
          <w:color w:val="181817"/>
          <w:sz w:val="20"/>
          <w:szCs w:val="20"/>
        </w:rPr>
        <w:t>.”</w:t>
      </w:r>
      <w:r w:rsidRPr="00926F50">
        <w:rPr>
          <w:rFonts w:eastAsia="Times New Roman"/>
          <w:b w:val="0"/>
          <w:color w:val="181817"/>
          <w:sz w:val="20"/>
          <w:szCs w:val="20"/>
        </w:rPr>
        <w:t xml:space="preserve">. </w:t>
      </w:r>
      <w:r w:rsidRPr="00926F50">
        <w:rPr>
          <w:rFonts w:eastAsia="Times New Roman"/>
          <w:b w:val="0"/>
          <w:i/>
          <w:iCs/>
          <w:color w:val="181817"/>
          <w:sz w:val="20"/>
          <w:szCs w:val="20"/>
          <w:bdr w:val="none" w:sz="0" w:space="0" w:color="auto" w:frame="1"/>
        </w:rPr>
        <w:t>Journal of Financial and Quantitative Analysis,</w:t>
      </w:r>
      <w:r w:rsidRPr="00926F50">
        <w:rPr>
          <w:rFonts w:eastAsia="Times New Roman"/>
          <w:b w:val="0"/>
          <w:color w:val="181817"/>
          <w:sz w:val="20"/>
          <w:szCs w:val="20"/>
        </w:rPr>
        <w:t xml:space="preserve"> </w:t>
      </w:r>
      <w:r w:rsidRPr="00F503CD">
        <w:rPr>
          <w:b w:val="0"/>
          <w:i/>
          <w:color w:val="181817"/>
          <w:sz w:val="20"/>
          <w:bdr w:val="none" w:sz="0" w:space="0" w:color="auto" w:frame="1"/>
        </w:rPr>
        <w:t>51</w:t>
      </w:r>
      <w:r w:rsidRPr="00926F50">
        <w:rPr>
          <w:rFonts w:eastAsia="Times New Roman"/>
          <w:b w:val="0"/>
          <w:color w:val="181817"/>
          <w:sz w:val="20"/>
          <w:szCs w:val="20"/>
        </w:rPr>
        <w:t>(</w:t>
      </w:r>
      <w:proofErr w:type="gramStart"/>
      <w:r w:rsidRPr="00926F50">
        <w:rPr>
          <w:rFonts w:eastAsia="Times New Roman"/>
          <w:b w:val="0"/>
          <w:color w:val="181817"/>
          <w:sz w:val="20"/>
          <w:szCs w:val="20"/>
        </w:rPr>
        <w:t>6)</w:t>
      </w:r>
      <w:r>
        <w:rPr>
          <w:rFonts w:eastAsia="Times New Roman"/>
          <w:b w:val="0"/>
          <w:color w:val="181817"/>
          <w:sz w:val="20"/>
          <w:szCs w:val="20"/>
        </w:rPr>
        <w:t>:</w:t>
      </w:r>
      <w:r w:rsidRPr="00926F50">
        <w:rPr>
          <w:rFonts w:eastAsia="Times New Roman"/>
          <w:b w:val="0"/>
          <w:color w:val="181817"/>
          <w:sz w:val="20"/>
          <w:szCs w:val="20"/>
        </w:rPr>
        <w:t>)</w:t>
      </w:r>
      <w:proofErr w:type="gramEnd"/>
      <w:r w:rsidRPr="00926F50">
        <w:rPr>
          <w:rFonts w:eastAsia="Times New Roman"/>
          <w:b w:val="0"/>
          <w:color w:val="181817"/>
          <w:sz w:val="20"/>
          <w:szCs w:val="20"/>
        </w:rPr>
        <w:t>, 1795-1822</w:t>
      </w:r>
      <w:r>
        <w:rPr>
          <w:rFonts w:eastAsia="Times New Roman"/>
          <w:b w:val="0"/>
          <w:color w:val="181817"/>
          <w:sz w:val="20"/>
          <w:szCs w:val="20"/>
        </w:rPr>
        <w:t>;</w:t>
      </w:r>
      <w:r w:rsidRPr="00926F50">
        <w:rPr>
          <w:rFonts w:eastAsia="Times New Roman"/>
          <w:b w:val="0"/>
          <w:color w:val="181817"/>
          <w:sz w:val="20"/>
          <w:szCs w:val="20"/>
        </w:rPr>
        <w:t xml:space="preserve"> and </w:t>
      </w:r>
      <w:proofErr w:type="spellStart"/>
      <w:r w:rsidRPr="00926F50">
        <w:rPr>
          <w:b w:val="0"/>
          <w:sz w:val="20"/>
          <w:szCs w:val="20"/>
        </w:rPr>
        <w:t>Mian</w:t>
      </w:r>
      <w:proofErr w:type="spellEnd"/>
      <w:r w:rsidRPr="00926F50">
        <w:rPr>
          <w:rStyle w:val="delimiter"/>
          <w:rFonts w:eastAsia="Times New Roman"/>
          <w:b w:val="0"/>
          <w:bCs/>
          <w:color w:val="2A2A2A"/>
          <w:sz w:val="20"/>
          <w:szCs w:val="20"/>
          <w:bdr w:val="none" w:sz="0" w:space="0" w:color="auto" w:frame="1"/>
        </w:rPr>
        <w:t xml:space="preserve">, Atif, </w:t>
      </w:r>
      <w:r>
        <w:rPr>
          <w:rStyle w:val="delimiter"/>
          <w:rFonts w:eastAsia="Times New Roman"/>
          <w:b w:val="0"/>
          <w:bCs/>
          <w:color w:val="2A2A2A"/>
          <w:sz w:val="20"/>
          <w:szCs w:val="20"/>
          <w:bdr w:val="none" w:sz="0" w:space="0" w:color="auto" w:frame="1"/>
        </w:rPr>
        <w:t>and</w:t>
      </w:r>
      <w:r w:rsidRPr="00926F50">
        <w:rPr>
          <w:rStyle w:val="delimiter"/>
          <w:rFonts w:eastAsia="Times New Roman"/>
          <w:b w:val="0"/>
          <w:bCs/>
          <w:color w:val="2A2A2A"/>
          <w:sz w:val="20"/>
          <w:szCs w:val="20"/>
          <w:bdr w:val="none" w:sz="0" w:space="0" w:color="auto" w:frame="1"/>
        </w:rPr>
        <w:t> </w:t>
      </w:r>
      <w:r w:rsidRPr="00926F50">
        <w:rPr>
          <w:b w:val="0"/>
          <w:sz w:val="20"/>
          <w:szCs w:val="20"/>
        </w:rPr>
        <w:t>Amir Sufi</w:t>
      </w:r>
      <w:r>
        <w:rPr>
          <w:b w:val="0"/>
          <w:sz w:val="20"/>
          <w:szCs w:val="20"/>
        </w:rPr>
        <w:t>.</w:t>
      </w:r>
      <w:r w:rsidRPr="00926F50">
        <w:rPr>
          <w:rStyle w:val="al-author-name-more"/>
          <w:rFonts w:eastAsia="Times New Roman"/>
          <w:b w:val="0"/>
          <w:bCs/>
          <w:color w:val="2A2A2A"/>
          <w:sz w:val="20"/>
          <w:szCs w:val="20"/>
          <w:bdr w:val="none" w:sz="0" w:space="0" w:color="auto" w:frame="1"/>
        </w:rPr>
        <w:t xml:space="preserve"> </w:t>
      </w:r>
      <w:r>
        <w:rPr>
          <w:rStyle w:val="al-author-name-more"/>
          <w:rFonts w:eastAsia="Times New Roman"/>
          <w:b w:val="0"/>
          <w:bCs/>
          <w:color w:val="2A2A2A"/>
          <w:sz w:val="20"/>
          <w:szCs w:val="20"/>
          <w:bdr w:val="none" w:sz="0" w:space="0" w:color="auto" w:frame="1"/>
        </w:rPr>
        <w:t>2009.</w:t>
      </w:r>
      <w:r w:rsidRPr="00926F50">
        <w:rPr>
          <w:rStyle w:val="al-author-name-more"/>
          <w:rFonts w:eastAsia="Times New Roman"/>
          <w:b w:val="0"/>
          <w:bCs/>
          <w:color w:val="2A2A2A"/>
          <w:sz w:val="20"/>
          <w:szCs w:val="20"/>
          <w:bdr w:val="none" w:sz="0" w:space="0" w:color="auto" w:frame="1"/>
        </w:rPr>
        <w:t xml:space="preserve"> “</w:t>
      </w:r>
      <w:r w:rsidRPr="00926F50">
        <w:rPr>
          <w:rFonts w:eastAsia="Times New Roman"/>
          <w:b w:val="0"/>
          <w:bCs/>
          <w:color w:val="2A2A2A"/>
          <w:sz w:val="20"/>
          <w:szCs w:val="20"/>
        </w:rPr>
        <w:t>The Consequences of Mortgage Credit Expansion: Evidence from the U.S. Mortgage Default Crisis</w:t>
      </w:r>
      <w:r>
        <w:rPr>
          <w:rFonts w:eastAsia="Times New Roman"/>
          <w:b w:val="0"/>
          <w:bCs/>
          <w:color w:val="2A2A2A"/>
          <w:sz w:val="20"/>
          <w:szCs w:val="20"/>
        </w:rPr>
        <w:t>.</w:t>
      </w:r>
      <w:r w:rsidRPr="00926F50">
        <w:rPr>
          <w:rFonts w:eastAsia="Times New Roman"/>
          <w:b w:val="0"/>
          <w:bCs/>
          <w:color w:val="2A2A2A"/>
          <w:sz w:val="20"/>
          <w:szCs w:val="20"/>
        </w:rPr>
        <w:t xml:space="preserve">”,” </w:t>
      </w:r>
      <w:r w:rsidRPr="00926F50">
        <w:rPr>
          <w:rStyle w:val="Emphasis"/>
          <w:rFonts w:eastAsia="Times New Roman"/>
          <w:b w:val="0"/>
          <w:bCs/>
          <w:color w:val="2A2A2A"/>
          <w:sz w:val="20"/>
          <w:szCs w:val="20"/>
          <w:bdr w:val="none" w:sz="0" w:space="0" w:color="auto" w:frame="1"/>
        </w:rPr>
        <w:t>The Quarterly Journal of Economics</w:t>
      </w:r>
      <w:r w:rsidRPr="00926F50">
        <w:rPr>
          <w:rFonts w:eastAsia="Times New Roman"/>
          <w:b w:val="0"/>
          <w:bCs/>
          <w:color w:val="2A2A2A"/>
          <w:sz w:val="20"/>
          <w:szCs w:val="20"/>
        </w:rPr>
        <w:t>, Volume 124</w:t>
      </w:r>
      <w:r>
        <w:rPr>
          <w:rFonts w:eastAsia="Times New Roman"/>
          <w:b w:val="0"/>
          <w:bCs/>
          <w:color w:val="2A2A2A"/>
          <w:sz w:val="20"/>
          <w:szCs w:val="20"/>
        </w:rPr>
        <w:t>(</w:t>
      </w:r>
      <w:r w:rsidRPr="00926F50">
        <w:rPr>
          <w:rFonts w:eastAsia="Times New Roman"/>
          <w:b w:val="0"/>
          <w:bCs/>
          <w:color w:val="2A2A2A"/>
          <w:sz w:val="20"/>
          <w:szCs w:val="20"/>
        </w:rPr>
        <w:t>, Issue 4</w:t>
      </w:r>
      <w:proofErr w:type="gramStart"/>
      <w:r>
        <w:rPr>
          <w:rFonts w:eastAsia="Times New Roman"/>
          <w:b w:val="0"/>
          <w:bCs/>
          <w:color w:val="2A2A2A"/>
          <w:sz w:val="20"/>
          <w:szCs w:val="20"/>
        </w:rPr>
        <w:t>):</w:t>
      </w:r>
      <w:r w:rsidRPr="00926F50">
        <w:rPr>
          <w:rFonts w:eastAsia="Times New Roman"/>
          <w:b w:val="0"/>
          <w:bCs/>
          <w:color w:val="2A2A2A"/>
          <w:sz w:val="20"/>
          <w:szCs w:val="20"/>
        </w:rPr>
        <w:t>,</w:t>
      </w:r>
      <w:proofErr w:type="gramEnd"/>
      <w:r w:rsidRPr="00926F50">
        <w:rPr>
          <w:rFonts w:eastAsia="Times New Roman"/>
          <w:b w:val="0"/>
          <w:bCs/>
          <w:color w:val="2A2A2A"/>
          <w:sz w:val="20"/>
          <w:szCs w:val="20"/>
        </w:rPr>
        <w:t xml:space="preserve"> November 2009, Pages 1449–1496; </w:t>
      </w:r>
      <w:proofErr w:type="spellStart"/>
      <w:r w:rsidRPr="00926F50">
        <w:rPr>
          <w:rFonts w:eastAsia="Times New Roman"/>
          <w:b w:val="0"/>
          <w:bCs/>
          <w:color w:val="2A2A2A"/>
          <w:sz w:val="20"/>
          <w:szCs w:val="20"/>
        </w:rPr>
        <w:t>Puri</w:t>
      </w:r>
      <w:proofErr w:type="spellEnd"/>
      <w:r w:rsidRPr="00926F50">
        <w:rPr>
          <w:rFonts w:eastAsia="Times New Roman"/>
          <w:b w:val="0"/>
          <w:bCs/>
          <w:color w:val="2A2A2A"/>
          <w:sz w:val="20"/>
          <w:szCs w:val="20"/>
        </w:rPr>
        <w:t xml:space="preserve">, Manju, </w:t>
      </w:r>
      <w:proofErr w:type="spellStart"/>
      <w:r w:rsidRPr="00926F50">
        <w:rPr>
          <w:rFonts w:eastAsia="Times New Roman"/>
          <w:b w:val="0"/>
          <w:bCs/>
          <w:color w:val="2A2A2A"/>
          <w:sz w:val="20"/>
          <w:szCs w:val="20"/>
        </w:rPr>
        <w:t>Jorg</w:t>
      </w:r>
      <w:proofErr w:type="spellEnd"/>
      <w:r w:rsidRPr="00926F50">
        <w:rPr>
          <w:rFonts w:eastAsia="Times New Roman"/>
          <w:b w:val="0"/>
          <w:bCs/>
          <w:color w:val="2A2A2A"/>
          <w:sz w:val="20"/>
          <w:szCs w:val="20"/>
        </w:rPr>
        <w:t xml:space="preserve"> </w:t>
      </w:r>
      <w:proofErr w:type="spellStart"/>
      <w:r w:rsidRPr="00926F50">
        <w:rPr>
          <w:rFonts w:eastAsia="Times New Roman"/>
          <w:b w:val="0"/>
          <w:bCs/>
          <w:color w:val="2A2A2A"/>
          <w:sz w:val="20"/>
          <w:szCs w:val="20"/>
        </w:rPr>
        <w:t>Rocholl</w:t>
      </w:r>
      <w:proofErr w:type="spellEnd"/>
      <w:r w:rsidRPr="00926F50">
        <w:rPr>
          <w:rFonts w:eastAsia="Times New Roman"/>
          <w:b w:val="0"/>
          <w:bCs/>
          <w:color w:val="2A2A2A"/>
          <w:sz w:val="20"/>
          <w:szCs w:val="20"/>
        </w:rPr>
        <w:t>, and Sascha Steffen</w:t>
      </w:r>
      <w:r>
        <w:rPr>
          <w:rFonts w:eastAsia="Times New Roman"/>
          <w:b w:val="0"/>
          <w:bCs/>
          <w:color w:val="2A2A2A"/>
          <w:sz w:val="20"/>
          <w:szCs w:val="20"/>
        </w:rPr>
        <w:t>.</w:t>
      </w:r>
      <w:r w:rsidRPr="00926F50">
        <w:rPr>
          <w:rFonts w:eastAsia="Times New Roman"/>
          <w:b w:val="0"/>
          <w:bCs/>
          <w:color w:val="2A2A2A"/>
          <w:sz w:val="20"/>
          <w:szCs w:val="20"/>
        </w:rPr>
        <w:t xml:space="preserve"> (2011</w:t>
      </w:r>
      <w:r>
        <w:rPr>
          <w:rFonts w:eastAsia="Times New Roman"/>
          <w:b w:val="0"/>
          <w:bCs/>
          <w:color w:val="2A2A2A"/>
          <w:sz w:val="20"/>
          <w:szCs w:val="20"/>
        </w:rPr>
        <w:t>.</w:t>
      </w:r>
      <w:r w:rsidRPr="00926F50">
        <w:rPr>
          <w:rFonts w:eastAsia="Times New Roman"/>
          <w:b w:val="0"/>
          <w:bCs/>
          <w:color w:val="2A2A2A"/>
          <w:sz w:val="20"/>
          <w:szCs w:val="20"/>
        </w:rPr>
        <w:t xml:space="preserve"> </w:t>
      </w:r>
      <w:r>
        <w:rPr>
          <w:rFonts w:eastAsia="Times New Roman"/>
          <w:b w:val="0"/>
          <w:bCs/>
          <w:color w:val="2A2A2A"/>
          <w:sz w:val="20"/>
          <w:szCs w:val="20"/>
        </w:rPr>
        <w:t>“</w:t>
      </w:r>
      <w:r w:rsidRPr="00926F50">
        <w:rPr>
          <w:rFonts w:eastAsia="Times New Roman"/>
          <w:b w:val="0"/>
          <w:bCs/>
          <w:color w:val="2A2A2A"/>
          <w:sz w:val="20"/>
          <w:szCs w:val="20"/>
        </w:rPr>
        <w:t>) Global retail lending in the aftermath of the US financial crisis: Distinguishing between supply and demand effects</w:t>
      </w:r>
      <w:r>
        <w:rPr>
          <w:rFonts w:eastAsia="Times New Roman"/>
          <w:b w:val="0"/>
          <w:bCs/>
          <w:color w:val="2A2A2A"/>
          <w:sz w:val="20"/>
          <w:szCs w:val="20"/>
        </w:rPr>
        <w:t>.”</w:t>
      </w:r>
      <w:r w:rsidRPr="00926F50">
        <w:rPr>
          <w:rFonts w:eastAsia="Times New Roman"/>
          <w:b w:val="0"/>
          <w:bCs/>
          <w:color w:val="2A2A2A"/>
          <w:sz w:val="20"/>
          <w:szCs w:val="20"/>
        </w:rPr>
        <w:t xml:space="preserve">, </w:t>
      </w:r>
      <w:r w:rsidRPr="00926F50">
        <w:rPr>
          <w:rFonts w:eastAsia="Times New Roman"/>
          <w:b w:val="0"/>
          <w:bCs/>
          <w:i/>
          <w:color w:val="2A2A2A"/>
          <w:sz w:val="20"/>
          <w:szCs w:val="20"/>
        </w:rPr>
        <w:t xml:space="preserve">Journal of Financial Economics </w:t>
      </w:r>
      <w:r w:rsidRPr="00926F50">
        <w:rPr>
          <w:rFonts w:eastAsia="Times New Roman"/>
          <w:b w:val="0"/>
          <w:bCs/>
          <w:color w:val="2A2A2A"/>
          <w:sz w:val="20"/>
          <w:szCs w:val="20"/>
        </w:rPr>
        <w:t>100(</w:t>
      </w:r>
      <w:proofErr w:type="gramStart"/>
      <w:r w:rsidRPr="00926F50">
        <w:rPr>
          <w:rFonts w:eastAsia="Times New Roman"/>
          <w:b w:val="0"/>
          <w:bCs/>
          <w:color w:val="2A2A2A"/>
          <w:sz w:val="20"/>
          <w:szCs w:val="20"/>
        </w:rPr>
        <w:t>3)</w:t>
      </w:r>
      <w:r>
        <w:rPr>
          <w:rFonts w:eastAsia="Times New Roman"/>
          <w:b w:val="0"/>
          <w:bCs/>
          <w:color w:val="2A2A2A"/>
          <w:sz w:val="20"/>
          <w:szCs w:val="20"/>
        </w:rPr>
        <w:t>:</w:t>
      </w:r>
      <w:r w:rsidRPr="00926F50">
        <w:rPr>
          <w:rFonts w:eastAsia="Times New Roman"/>
          <w:b w:val="0"/>
          <w:bCs/>
          <w:color w:val="2A2A2A"/>
          <w:sz w:val="20"/>
          <w:szCs w:val="20"/>
        </w:rPr>
        <w:t>)</w:t>
      </w:r>
      <w:proofErr w:type="gramEnd"/>
      <w:r w:rsidRPr="00926F50">
        <w:rPr>
          <w:rFonts w:eastAsia="Times New Roman"/>
          <w:b w:val="0"/>
          <w:bCs/>
          <w:color w:val="2A2A2A"/>
          <w:sz w:val="20"/>
          <w:szCs w:val="20"/>
        </w:rPr>
        <w:t xml:space="preserve"> 556-578</w:t>
      </w:r>
      <w:r w:rsidRPr="00926F50">
        <w:rPr>
          <w:rFonts w:eastAsia="Times New Roman"/>
          <w:b w:val="0"/>
          <w:bCs/>
          <w:i/>
          <w:color w:val="2A2A2A"/>
          <w:sz w:val="20"/>
          <w:szCs w:val="20"/>
        </w:rPr>
        <w:t>.</w:t>
      </w:r>
    </w:p>
    <w:p w14:paraId="3E6B777E" w14:textId="77777777" w:rsidR="00D224DC" w:rsidRPr="00926F50" w:rsidRDefault="00D224DC" w:rsidP="00D224DC">
      <w:pPr>
        <w:pStyle w:val="Heading1"/>
        <w:keepNext w:val="0"/>
        <w:keepLines w:val="0"/>
        <w:numPr>
          <w:ilvl w:val="0"/>
          <w:numId w:val="0"/>
        </w:numPr>
        <w:spacing w:before="0" w:after="0" w:line="240" w:lineRule="auto"/>
        <w:textAlignment w:val="baseline"/>
        <w:rPr>
          <w:rFonts w:eastAsia="Times New Roman"/>
          <w:b w:val="0"/>
          <w:i/>
          <w:color w:val="2A2A2A"/>
          <w:sz w:val="20"/>
          <w:szCs w:val="20"/>
        </w:rPr>
      </w:pPr>
    </w:p>
    <w:p w14:paraId="3BD3E275" w14:textId="77777777" w:rsidR="00D224DC" w:rsidRPr="005F385A" w:rsidRDefault="00D224DC" w:rsidP="00D224DC">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E906" w14:textId="77777777" w:rsidR="00D224DC" w:rsidRDefault="00D22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91340"/>
    <w:multiLevelType w:val="hybridMultilevel"/>
    <w:tmpl w:val="4ABC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33496"/>
    <w:multiLevelType w:val="hybridMultilevel"/>
    <w:tmpl w:val="975E882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6198D"/>
    <w:multiLevelType w:val="hybridMultilevel"/>
    <w:tmpl w:val="9B70B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F55CF"/>
    <w:multiLevelType w:val="hybridMultilevel"/>
    <w:tmpl w:val="54BC4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D21A0"/>
    <w:multiLevelType w:val="hybridMultilevel"/>
    <w:tmpl w:val="42064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D3D8F"/>
    <w:multiLevelType w:val="hybridMultilevel"/>
    <w:tmpl w:val="AECA2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71FCC"/>
    <w:multiLevelType w:val="hybridMultilevel"/>
    <w:tmpl w:val="4E22FD7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D669E"/>
    <w:multiLevelType w:val="hybridMultilevel"/>
    <w:tmpl w:val="8D72D99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F16258"/>
    <w:multiLevelType w:val="hybridMultilevel"/>
    <w:tmpl w:val="42726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72AA6"/>
    <w:multiLevelType w:val="hybridMultilevel"/>
    <w:tmpl w:val="A4607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24C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DE77AB"/>
    <w:multiLevelType w:val="hybridMultilevel"/>
    <w:tmpl w:val="02EEBD4C"/>
    <w:lvl w:ilvl="0" w:tplc="A9DCE10E">
      <w:start w:val="1"/>
      <w:numFmt w:val="upperRoman"/>
      <w:pStyle w:val="Heading1"/>
      <w:lvlText w:val="%1."/>
      <w:lvlJc w:val="righ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0"/>
  </w:num>
  <w:num w:numId="2">
    <w:abstractNumId w:val="4"/>
  </w:num>
  <w:num w:numId="3">
    <w:abstractNumId w:val="9"/>
  </w:num>
  <w:num w:numId="4">
    <w:abstractNumId w:val="5"/>
  </w:num>
  <w:num w:numId="5">
    <w:abstractNumId w:val="3"/>
  </w:num>
  <w:num w:numId="6">
    <w:abstractNumId w:val="0"/>
  </w:num>
  <w:num w:numId="7">
    <w:abstractNumId w:val="8"/>
  </w:num>
  <w:num w:numId="8">
    <w:abstractNumId w:val="2"/>
  </w:num>
  <w:num w:numId="9">
    <w:abstractNumId w:val="11"/>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A4"/>
    <w:rsid w:val="00004279"/>
    <w:rsid w:val="00006600"/>
    <w:rsid w:val="00007133"/>
    <w:rsid w:val="00015995"/>
    <w:rsid w:val="000164A4"/>
    <w:rsid w:val="00031028"/>
    <w:rsid w:val="000316F6"/>
    <w:rsid w:val="00036C8A"/>
    <w:rsid w:val="000374D9"/>
    <w:rsid w:val="000376BB"/>
    <w:rsid w:val="00044F5C"/>
    <w:rsid w:val="00050512"/>
    <w:rsid w:val="000514B5"/>
    <w:rsid w:val="00051505"/>
    <w:rsid w:val="000524FC"/>
    <w:rsid w:val="00054E1B"/>
    <w:rsid w:val="00057096"/>
    <w:rsid w:val="00060C67"/>
    <w:rsid w:val="000640DA"/>
    <w:rsid w:val="0006544A"/>
    <w:rsid w:val="00066B96"/>
    <w:rsid w:val="000705A5"/>
    <w:rsid w:val="00071E06"/>
    <w:rsid w:val="0007547E"/>
    <w:rsid w:val="00081F60"/>
    <w:rsid w:val="00084DAF"/>
    <w:rsid w:val="00085C5E"/>
    <w:rsid w:val="0009570B"/>
    <w:rsid w:val="0009686E"/>
    <w:rsid w:val="000972A8"/>
    <w:rsid w:val="000B033C"/>
    <w:rsid w:val="000B09E0"/>
    <w:rsid w:val="000B41E1"/>
    <w:rsid w:val="000B6474"/>
    <w:rsid w:val="000B7E14"/>
    <w:rsid w:val="000E30C2"/>
    <w:rsid w:val="000F1E89"/>
    <w:rsid w:val="000F5D91"/>
    <w:rsid w:val="00100BB5"/>
    <w:rsid w:val="001033F1"/>
    <w:rsid w:val="00113EDE"/>
    <w:rsid w:val="0011777E"/>
    <w:rsid w:val="00122840"/>
    <w:rsid w:val="00131D66"/>
    <w:rsid w:val="00133046"/>
    <w:rsid w:val="00133CA4"/>
    <w:rsid w:val="00137109"/>
    <w:rsid w:val="00153238"/>
    <w:rsid w:val="001654E4"/>
    <w:rsid w:val="00177B39"/>
    <w:rsid w:val="001834AC"/>
    <w:rsid w:val="00185989"/>
    <w:rsid w:val="0019073A"/>
    <w:rsid w:val="00192008"/>
    <w:rsid w:val="001952C4"/>
    <w:rsid w:val="00195EA0"/>
    <w:rsid w:val="001A2B09"/>
    <w:rsid w:val="001A3EDF"/>
    <w:rsid w:val="001A609A"/>
    <w:rsid w:val="001A65F8"/>
    <w:rsid w:val="001B73C4"/>
    <w:rsid w:val="001C0425"/>
    <w:rsid w:val="001C6BAE"/>
    <w:rsid w:val="001C724A"/>
    <w:rsid w:val="001D2893"/>
    <w:rsid w:val="001D4530"/>
    <w:rsid w:val="001D64DC"/>
    <w:rsid w:val="001E2125"/>
    <w:rsid w:val="001E2CB0"/>
    <w:rsid w:val="001E7B17"/>
    <w:rsid w:val="001F4FC0"/>
    <w:rsid w:val="001F663D"/>
    <w:rsid w:val="002026DA"/>
    <w:rsid w:val="0020281F"/>
    <w:rsid w:val="00203967"/>
    <w:rsid w:val="0020691A"/>
    <w:rsid w:val="00206ECE"/>
    <w:rsid w:val="00211707"/>
    <w:rsid w:val="00215305"/>
    <w:rsid w:val="00217117"/>
    <w:rsid w:val="00217D16"/>
    <w:rsid w:val="002216BB"/>
    <w:rsid w:val="00223E8E"/>
    <w:rsid w:val="0022573D"/>
    <w:rsid w:val="00226467"/>
    <w:rsid w:val="002350D4"/>
    <w:rsid w:val="00240708"/>
    <w:rsid w:val="00241B30"/>
    <w:rsid w:val="00246168"/>
    <w:rsid w:val="00250CDB"/>
    <w:rsid w:val="00253770"/>
    <w:rsid w:val="002539C4"/>
    <w:rsid w:val="00253F03"/>
    <w:rsid w:val="002627E2"/>
    <w:rsid w:val="00264695"/>
    <w:rsid w:val="0026495E"/>
    <w:rsid w:val="002660FB"/>
    <w:rsid w:val="00266D1D"/>
    <w:rsid w:val="00270D57"/>
    <w:rsid w:val="002738FF"/>
    <w:rsid w:val="00274DFD"/>
    <w:rsid w:val="00281420"/>
    <w:rsid w:val="00284A33"/>
    <w:rsid w:val="002918E8"/>
    <w:rsid w:val="00291B96"/>
    <w:rsid w:val="00293AC7"/>
    <w:rsid w:val="00297835"/>
    <w:rsid w:val="00297C5C"/>
    <w:rsid w:val="002A05EF"/>
    <w:rsid w:val="002A174B"/>
    <w:rsid w:val="002A53E6"/>
    <w:rsid w:val="002B11CB"/>
    <w:rsid w:val="002B1DA1"/>
    <w:rsid w:val="002B3EA2"/>
    <w:rsid w:val="002B6BF6"/>
    <w:rsid w:val="002C140F"/>
    <w:rsid w:val="002C2473"/>
    <w:rsid w:val="002C5664"/>
    <w:rsid w:val="002C7C5C"/>
    <w:rsid w:val="002D553F"/>
    <w:rsid w:val="002E3C40"/>
    <w:rsid w:val="002E54FB"/>
    <w:rsid w:val="002F2E1F"/>
    <w:rsid w:val="00305A7F"/>
    <w:rsid w:val="00305D0E"/>
    <w:rsid w:val="00307BD9"/>
    <w:rsid w:val="00313CA4"/>
    <w:rsid w:val="00317EDA"/>
    <w:rsid w:val="003264DF"/>
    <w:rsid w:val="0032693D"/>
    <w:rsid w:val="00327158"/>
    <w:rsid w:val="00330E33"/>
    <w:rsid w:val="00337424"/>
    <w:rsid w:val="00340BE3"/>
    <w:rsid w:val="00344060"/>
    <w:rsid w:val="00344790"/>
    <w:rsid w:val="00344C14"/>
    <w:rsid w:val="00353FA3"/>
    <w:rsid w:val="0036385B"/>
    <w:rsid w:val="003712BE"/>
    <w:rsid w:val="0037201A"/>
    <w:rsid w:val="00374C9C"/>
    <w:rsid w:val="00375AB0"/>
    <w:rsid w:val="00381998"/>
    <w:rsid w:val="00381B0B"/>
    <w:rsid w:val="003838DE"/>
    <w:rsid w:val="00386343"/>
    <w:rsid w:val="003921F6"/>
    <w:rsid w:val="003968C3"/>
    <w:rsid w:val="003A086D"/>
    <w:rsid w:val="003A4C79"/>
    <w:rsid w:val="003B0CAE"/>
    <w:rsid w:val="003B5B8B"/>
    <w:rsid w:val="003B6605"/>
    <w:rsid w:val="003B70C4"/>
    <w:rsid w:val="003B7FE5"/>
    <w:rsid w:val="003C23C0"/>
    <w:rsid w:val="003C327E"/>
    <w:rsid w:val="003C7DA5"/>
    <w:rsid w:val="003D5848"/>
    <w:rsid w:val="00405996"/>
    <w:rsid w:val="004074E6"/>
    <w:rsid w:val="00411AB3"/>
    <w:rsid w:val="004135A5"/>
    <w:rsid w:val="004141AF"/>
    <w:rsid w:val="00414814"/>
    <w:rsid w:val="00417479"/>
    <w:rsid w:val="00417D2E"/>
    <w:rsid w:val="00424C9F"/>
    <w:rsid w:val="00426D20"/>
    <w:rsid w:val="004368C8"/>
    <w:rsid w:val="0043786B"/>
    <w:rsid w:val="00440336"/>
    <w:rsid w:val="00443170"/>
    <w:rsid w:val="004460D0"/>
    <w:rsid w:val="00450212"/>
    <w:rsid w:val="0045658F"/>
    <w:rsid w:val="00456897"/>
    <w:rsid w:val="00465D85"/>
    <w:rsid w:val="0046666D"/>
    <w:rsid w:val="00467567"/>
    <w:rsid w:val="00476DF6"/>
    <w:rsid w:val="004834CE"/>
    <w:rsid w:val="00491ADA"/>
    <w:rsid w:val="004927FD"/>
    <w:rsid w:val="004967EE"/>
    <w:rsid w:val="00497CA2"/>
    <w:rsid w:val="004A121F"/>
    <w:rsid w:val="004A2BBD"/>
    <w:rsid w:val="004A5152"/>
    <w:rsid w:val="004B1454"/>
    <w:rsid w:val="004B7967"/>
    <w:rsid w:val="004C0487"/>
    <w:rsid w:val="004C2A57"/>
    <w:rsid w:val="004D1FA7"/>
    <w:rsid w:val="004D2EAC"/>
    <w:rsid w:val="004E07A8"/>
    <w:rsid w:val="004E1B36"/>
    <w:rsid w:val="004E4B79"/>
    <w:rsid w:val="004E598E"/>
    <w:rsid w:val="004F5FC0"/>
    <w:rsid w:val="004F749F"/>
    <w:rsid w:val="00507236"/>
    <w:rsid w:val="00510520"/>
    <w:rsid w:val="0051363D"/>
    <w:rsid w:val="005152E8"/>
    <w:rsid w:val="00520B2E"/>
    <w:rsid w:val="00520F78"/>
    <w:rsid w:val="0052280C"/>
    <w:rsid w:val="005239B9"/>
    <w:rsid w:val="00524471"/>
    <w:rsid w:val="00527E4C"/>
    <w:rsid w:val="005332FB"/>
    <w:rsid w:val="0053439C"/>
    <w:rsid w:val="00537364"/>
    <w:rsid w:val="00542187"/>
    <w:rsid w:val="00551B70"/>
    <w:rsid w:val="00555125"/>
    <w:rsid w:val="00555459"/>
    <w:rsid w:val="00560D7E"/>
    <w:rsid w:val="00561562"/>
    <w:rsid w:val="005641E1"/>
    <w:rsid w:val="00565654"/>
    <w:rsid w:val="00570B5F"/>
    <w:rsid w:val="0057529C"/>
    <w:rsid w:val="00575364"/>
    <w:rsid w:val="00576F6F"/>
    <w:rsid w:val="0059077E"/>
    <w:rsid w:val="005912E7"/>
    <w:rsid w:val="005A4BA6"/>
    <w:rsid w:val="005A5991"/>
    <w:rsid w:val="005A6CA4"/>
    <w:rsid w:val="005A7120"/>
    <w:rsid w:val="005A73D7"/>
    <w:rsid w:val="005B3536"/>
    <w:rsid w:val="005B7198"/>
    <w:rsid w:val="005B7B68"/>
    <w:rsid w:val="005C0B98"/>
    <w:rsid w:val="005C198F"/>
    <w:rsid w:val="005C4E3C"/>
    <w:rsid w:val="005C6782"/>
    <w:rsid w:val="005D1030"/>
    <w:rsid w:val="005D329A"/>
    <w:rsid w:val="005D355E"/>
    <w:rsid w:val="005D3F71"/>
    <w:rsid w:val="005D7F45"/>
    <w:rsid w:val="005E2C7F"/>
    <w:rsid w:val="005E7A28"/>
    <w:rsid w:val="005F63E3"/>
    <w:rsid w:val="005F6B56"/>
    <w:rsid w:val="00607AC0"/>
    <w:rsid w:val="00612C5A"/>
    <w:rsid w:val="006147BD"/>
    <w:rsid w:val="006203AE"/>
    <w:rsid w:val="00622DBF"/>
    <w:rsid w:val="00622E66"/>
    <w:rsid w:val="00627878"/>
    <w:rsid w:val="00627EA5"/>
    <w:rsid w:val="0063006D"/>
    <w:rsid w:val="00630E95"/>
    <w:rsid w:val="00632738"/>
    <w:rsid w:val="006414E0"/>
    <w:rsid w:val="00650047"/>
    <w:rsid w:val="0065026A"/>
    <w:rsid w:val="00661B47"/>
    <w:rsid w:val="006640FF"/>
    <w:rsid w:val="00664264"/>
    <w:rsid w:val="006675C3"/>
    <w:rsid w:val="00672A4B"/>
    <w:rsid w:val="0068027C"/>
    <w:rsid w:val="00680F4C"/>
    <w:rsid w:val="0068313D"/>
    <w:rsid w:val="00686458"/>
    <w:rsid w:val="00690429"/>
    <w:rsid w:val="00694D04"/>
    <w:rsid w:val="006A035A"/>
    <w:rsid w:val="006A29F1"/>
    <w:rsid w:val="006A51E2"/>
    <w:rsid w:val="006A5CD5"/>
    <w:rsid w:val="006B027B"/>
    <w:rsid w:val="006B35EA"/>
    <w:rsid w:val="006B70E5"/>
    <w:rsid w:val="006C365D"/>
    <w:rsid w:val="006C3FF9"/>
    <w:rsid w:val="006D214D"/>
    <w:rsid w:val="006E5F4A"/>
    <w:rsid w:val="006E77C3"/>
    <w:rsid w:val="006F2D31"/>
    <w:rsid w:val="006F4C98"/>
    <w:rsid w:val="007038FB"/>
    <w:rsid w:val="00716B22"/>
    <w:rsid w:val="00720C7A"/>
    <w:rsid w:val="00721E9A"/>
    <w:rsid w:val="00723C49"/>
    <w:rsid w:val="00727189"/>
    <w:rsid w:val="00730A5B"/>
    <w:rsid w:val="0073283F"/>
    <w:rsid w:val="00734875"/>
    <w:rsid w:val="0073557B"/>
    <w:rsid w:val="007377FE"/>
    <w:rsid w:val="00740860"/>
    <w:rsid w:val="007505A5"/>
    <w:rsid w:val="0075311A"/>
    <w:rsid w:val="007558FC"/>
    <w:rsid w:val="00761354"/>
    <w:rsid w:val="0076519A"/>
    <w:rsid w:val="00766918"/>
    <w:rsid w:val="0078082E"/>
    <w:rsid w:val="00780E78"/>
    <w:rsid w:val="0079218C"/>
    <w:rsid w:val="00795B3D"/>
    <w:rsid w:val="00796092"/>
    <w:rsid w:val="007A0827"/>
    <w:rsid w:val="007A2DFF"/>
    <w:rsid w:val="007A3244"/>
    <w:rsid w:val="007A41CF"/>
    <w:rsid w:val="007A7163"/>
    <w:rsid w:val="007A7999"/>
    <w:rsid w:val="007A7EC4"/>
    <w:rsid w:val="007B0F5C"/>
    <w:rsid w:val="007B18FD"/>
    <w:rsid w:val="007B2761"/>
    <w:rsid w:val="007B5B5D"/>
    <w:rsid w:val="007B674D"/>
    <w:rsid w:val="007B6C71"/>
    <w:rsid w:val="007B6E61"/>
    <w:rsid w:val="007B776A"/>
    <w:rsid w:val="007B7D3A"/>
    <w:rsid w:val="007C0C1C"/>
    <w:rsid w:val="007D25C4"/>
    <w:rsid w:val="007D3032"/>
    <w:rsid w:val="007D49A8"/>
    <w:rsid w:val="007F0B32"/>
    <w:rsid w:val="007F1442"/>
    <w:rsid w:val="007F71CA"/>
    <w:rsid w:val="00800B72"/>
    <w:rsid w:val="00801EDD"/>
    <w:rsid w:val="00804452"/>
    <w:rsid w:val="00804AB0"/>
    <w:rsid w:val="008077D6"/>
    <w:rsid w:val="00812C5C"/>
    <w:rsid w:val="00812E31"/>
    <w:rsid w:val="008140BB"/>
    <w:rsid w:val="0081436F"/>
    <w:rsid w:val="008144E2"/>
    <w:rsid w:val="008236E8"/>
    <w:rsid w:val="00827327"/>
    <w:rsid w:val="00835778"/>
    <w:rsid w:val="00836ECA"/>
    <w:rsid w:val="00841A2D"/>
    <w:rsid w:val="00843ACF"/>
    <w:rsid w:val="00843FAE"/>
    <w:rsid w:val="00846F3B"/>
    <w:rsid w:val="0085419D"/>
    <w:rsid w:val="00855145"/>
    <w:rsid w:val="00864D44"/>
    <w:rsid w:val="00872AA5"/>
    <w:rsid w:val="00876FC1"/>
    <w:rsid w:val="0087759E"/>
    <w:rsid w:val="008851CA"/>
    <w:rsid w:val="00894D3F"/>
    <w:rsid w:val="00895476"/>
    <w:rsid w:val="00895709"/>
    <w:rsid w:val="008962BB"/>
    <w:rsid w:val="0089679A"/>
    <w:rsid w:val="008B54F6"/>
    <w:rsid w:val="008C3A5B"/>
    <w:rsid w:val="008C462D"/>
    <w:rsid w:val="008C506C"/>
    <w:rsid w:val="008C7E52"/>
    <w:rsid w:val="008D537E"/>
    <w:rsid w:val="008E6536"/>
    <w:rsid w:val="008F126E"/>
    <w:rsid w:val="008F3586"/>
    <w:rsid w:val="008F5D9B"/>
    <w:rsid w:val="009049FB"/>
    <w:rsid w:val="00907940"/>
    <w:rsid w:val="00915D94"/>
    <w:rsid w:val="00922F43"/>
    <w:rsid w:val="00931305"/>
    <w:rsid w:val="0093130B"/>
    <w:rsid w:val="0093595E"/>
    <w:rsid w:val="00937F0D"/>
    <w:rsid w:val="00942B77"/>
    <w:rsid w:val="0094475E"/>
    <w:rsid w:val="00955947"/>
    <w:rsid w:val="00956EAB"/>
    <w:rsid w:val="00957A4C"/>
    <w:rsid w:val="00957EBD"/>
    <w:rsid w:val="009630CD"/>
    <w:rsid w:val="00967E2E"/>
    <w:rsid w:val="00975C72"/>
    <w:rsid w:val="009764C1"/>
    <w:rsid w:val="0098015A"/>
    <w:rsid w:val="00983E1E"/>
    <w:rsid w:val="00984E4C"/>
    <w:rsid w:val="00986E25"/>
    <w:rsid w:val="009876EA"/>
    <w:rsid w:val="00987AAE"/>
    <w:rsid w:val="009907CA"/>
    <w:rsid w:val="0099784E"/>
    <w:rsid w:val="009A230C"/>
    <w:rsid w:val="009A3C29"/>
    <w:rsid w:val="009A514E"/>
    <w:rsid w:val="009B4C9B"/>
    <w:rsid w:val="009B5131"/>
    <w:rsid w:val="009C55B1"/>
    <w:rsid w:val="009C5683"/>
    <w:rsid w:val="009D0BED"/>
    <w:rsid w:val="009D0D61"/>
    <w:rsid w:val="009D2A14"/>
    <w:rsid w:val="009D5219"/>
    <w:rsid w:val="009E09AA"/>
    <w:rsid w:val="009E4B15"/>
    <w:rsid w:val="009E7A40"/>
    <w:rsid w:val="009E7F5B"/>
    <w:rsid w:val="009F1DE0"/>
    <w:rsid w:val="009F7949"/>
    <w:rsid w:val="00A017A5"/>
    <w:rsid w:val="00A05D54"/>
    <w:rsid w:val="00A0602A"/>
    <w:rsid w:val="00A06464"/>
    <w:rsid w:val="00A06AB5"/>
    <w:rsid w:val="00A07B15"/>
    <w:rsid w:val="00A12D91"/>
    <w:rsid w:val="00A20147"/>
    <w:rsid w:val="00A230A9"/>
    <w:rsid w:val="00A23679"/>
    <w:rsid w:val="00A3058E"/>
    <w:rsid w:val="00A3089A"/>
    <w:rsid w:val="00A32693"/>
    <w:rsid w:val="00A34056"/>
    <w:rsid w:val="00A360F4"/>
    <w:rsid w:val="00A41D4A"/>
    <w:rsid w:val="00A44BBD"/>
    <w:rsid w:val="00A45C6D"/>
    <w:rsid w:val="00A467E0"/>
    <w:rsid w:val="00A46F88"/>
    <w:rsid w:val="00A479E2"/>
    <w:rsid w:val="00A47B9F"/>
    <w:rsid w:val="00A47FA3"/>
    <w:rsid w:val="00A531E8"/>
    <w:rsid w:val="00A612C3"/>
    <w:rsid w:val="00A626ED"/>
    <w:rsid w:val="00A71A5A"/>
    <w:rsid w:val="00A71E42"/>
    <w:rsid w:val="00A7307C"/>
    <w:rsid w:val="00A764F4"/>
    <w:rsid w:val="00A76FD7"/>
    <w:rsid w:val="00A823F1"/>
    <w:rsid w:val="00A8537A"/>
    <w:rsid w:val="00A85E44"/>
    <w:rsid w:val="00A9468D"/>
    <w:rsid w:val="00AA495E"/>
    <w:rsid w:val="00AA584A"/>
    <w:rsid w:val="00AA58FD"/>
    <w:rsid w:val="00AA7101"/>
    <w:rsid w:val="00AB17A1"/>
    <w:rsid w:val="00AB3D92"/>
    <w:rsid w:val="00AB75C5"/>
    <w:rsid w:val="00AB7FF8"/>
    <w:rsid w:val="00AC7445"/>
    <w:rsid w:val="00AC756F"/>
    <w:rsid w:val="00AE22C8"/>
    <w:rsid w:val="00AE39C2"/>
    <w:rsid w:val="00AF1A7E"/>
    <w:rsid w:val="00AF3952"/>
    <w:rsid w:val="00B02364"/>
    <w:rsid w:val="00B06F34"/>
    <w:rsid w:val="00B114C5"/>
    <w:rsid w:val="00B1386A"/>
    <w:rsid w:val="00B15C32"/>
    <w:rsid w:val="00B24AC4"/>
    <w:rsid w:val="00B24C4F"/>
    <w:rsid w:val="00B24D31"/>
    <w:rsid w:val="00B30C11"/>
    <w:rsid w:val="00B31BDD"/>
    <w:rsid w:val="00B32AB4"/>
    <w:rsid w:val="00B3367D"/>
    <w:rsid w:val="00B34F15"/>
    <w:rsid w:val="00B40E32"/>
    <w:rsid w:val="00B42944"/>
    <w:rsid w:val="00B45D65"/>
    <w:rsid w:val="00B614BF"/>
    <w:rsid w:val="00B61CD2"/>
    <w:rsid w:val="00B621BE"/>
    <w:rsid w:val="00B71281"/>
    <w:rsid w:val="00B87472"/>
    <w:rsid w:val="00B90D49"/>
    <w:rsid w:val="00B92192"/>
    <w:rsid w:val="00B93224"/>
    <w:rsid w:val="00B944BE"/>
    <w:rsid w:val="00B96C3A"/>
    <w:rsid w:val="00BA623D"/>
    <w:rsid w:val="00BA6AA5"/>
    <w:rsid w:val="00BB45D6"/>
    <w:rsid w:val="00BB789D"/>
    <w:rsid w:val="00BC06E1"/>
    <w:rsid w:val="00BC0A5D"/>
    <w:rsid w:val="00BC0B17"/>
    <w:rsid w:val="00BC19F9"/>
    <w:rsid w:val="00BC4BCC"/>
    <w:rsid w:val="00BC513D"/>
    <w:rsid w:val="00BD06A4"/>
    <w:rsid w:val="00BD2423"/>
    <w:rsid w:val="00BD3912"/>
    <w:rsid w:val="00BD5F49"/>
    <w:rsid w:val="00BE5E96"/>
    <w:rsid w:val="00BF1287"/>
    <w:rsid w:val="00BF5DD5"/>
    <w:rsid w:val="00C00CD7"/>
    <w:rsid w:val="00C057DC"/>
    <w:rsid w:val="00C0742A"/>
    <w:rsid w:val="00C0792A"/>
    <w:rsid w:val="00C11BA4"/>
    <w:rsid w:val="00C13069"/>
    <w:rsid w:val="00C13A37"/>
    <w:rsid w:val="00C143C5"/>
    <w:rsid w:val="00C2160A"/>
    <w:rsid w:val="00C24188"/>
    <w:rsid w:val="00C24C77"/>
    <w:rsid w:val="00C27EA4"/>
    <w:rsid w:val="00C343B6"/>
    <w:rsid w:val="00C40748"/>
    <w:rsid w:val="00C44722"/>
    <w:rsid w:val="00C463B5"/>
    <w:rsid w:val="00C5086C"/>
    <w:rsid w:val="00C5471F"/>
    <w:rsid w:val="00C5749F"/>
    <w:rsid w:val="00C6113C"/>
    <w:rsid w:val="00C66BF3"/>
    <w:rsid w:val="00C72EE6"/>
    <w:rsid w:val="00C80F56"/>
    <w:rsid w:val="00C901EF"/>
    <w:rsid w:val="00C902B6"/>
    <w:rsid w:val="00CA1F2A"/>
    <w:rsid w:val="00CA3503"/>
    <w:rsid w:val="00CB14FB"/>
    <w:rsid w:val="00CB3B53"/>
    <w:rsid w:val="00CB625E"/>
    <w:rsid w:val="00CB74B2"/>
    <w:rsid w:val="00CC4560"/>
    <w:rsid w:val="00CC60CD"/>
    <w:rsid w:val="00CC6781"/>
    <w:rsid w:val="00CD434C"/>
    <w:rsid w:val="00CD5EC0"/>
    <w:rsid w:val="00CE4627"/>
    <w:rsid w:val="00CE788B"/>
    <w:rsid w:val="00CF05EE"/>
    <w:rsid w:val="00CF1E9B"/>
    <w:rsid w:val="00CF3C4C"/>
    <w:rsid w:val="00CF76F1"/>
    <w:rsid w:val="00D0190A"/>
    <w:rsid w:val="00D019ED"/>
    <w:rsid w:val="00D01BF3"/>
    <w:rsid w:val="00D147D4"/>
    <w:rsid w:val="00D17ACF"/>
    <w:rsid w:val="00D20A82"/>
    <w:rsid w:val="00D224DC"/>
    <w:rsid w:val="00D23236"/>
    <w:rsid w:val="00D23A97"/>
    <w:rsid w:val="00D30118"/>
    <w:rsid w:val="00D3334D"/>
    <w:rsid w:val="00D3353C"/>
    <w:rsid w:val="00D3452C"/>
    <w:rsid w:val="00D352A2"/>
    <w:rsid w:val="00D402DE"/>
    <w:rsid w:val="00D41003"/>
    <w:rsid w:val="00D4705D"/>
    <w:rsid w:val="00D53865"/>
    <w:rsid w:val="00D60A08"/>
    <w:rsid w:val="00D65671"/>
    <w:rsid w:val="00D703B1"/>
    <w:rsid w:val="00D73B0B"/>
    <w:rsid w:val="00D75552"/>
    <w:rsid w:val="00D75D3B"/>
    <w:rsid w:val="00D77E98"/>
    <w:rsid w:val="00D85F61"/>
    <w:rsid w:val="00D92999"/>
    <w:rsid w:val="00D954E9"/>
    <w:rsid w:val="00DA4AB6"/>
    <w:rsid w:val="00DA4B20"/>
    <w:rsid w:val="00DA7FBB"/>
    <w:rsid w:val="00DB3BD1"/>
    <w:rsid w:val="00DC10C3"/>
    <w:rsid w:val="00DC13BE"/>
    <w:rsid w:val="00DC26A0"/>
    <w:rsid w:val="00DC3FF8"/>
    <w:rsid w:val="00DC7870"/>
    <w:rsid w:val="00DD3615"/>
    <w:rsid w:val="00DD629B"/>
    <w:rsid w:val="00DE1CBA"/>
    <w:rsid w:val="00DE3372"/>
    <w:rsid w:val="00DE53C6"/>
    <w:rsid w:val="00DE6881"/>
    <w:rsid w:val="00DF1C52"/>
    <w:rsid w:val="00E117D7"/>
    <w:rsid w:val="00E16823"/>
    <w:rsid w:val="00E2158E"/>
    <w:rsid w:val="00E319C7"/>
    <w:rsid w:val="00E33CC4"/>
    <w:rsid w:val="00E36704"/>
    <w:rsid w:val="00E45FB2"/>
    <w:rsid w:val="00E47FF5"/>
    <w:rsid w:val="00E50C66"/>
    <w:rsid w:val="00E5374E"/>
    <w:rsid w:val="00E5391A"/>
    <w:rsid w:val="00E56E8E"/>
    <w:rsid w:val="00E614ED"/>
    <w:rsid w:val="00E616C7"/>
    <w:rsid w:val="00E64381"/>
    <w:rsid w:val="00E66634"/>
    <w:rsid w:val="00E66DEE"/>
    <w:rsid w:val="00E7248A"/>
    <w:rsid w:val="00E72B11"/>
    <w:rsid w:val="00E74B85"/>
    <w:rsid w:val="00E82C7A"/>
    <w:rsid w:val="00E83C89"/>
    <w:rsid w:val="00E865E6"/>
    <w:rsid w:val="00E90A5B"/>
    <w:rsid w:val="00EA0D17"/>
    <w:rsid w:val="00EA3E9E"/>
    <w:rsid w:val="00EA784F"/>
    <w:rsid w:val="00EB59F2"/>
    <w:rsid w:val="00EB6155"/>
    <w:rsid w:val="00EB7B56"/>
    <w:rsid w:val="00EC0B9A"/>
    <w:rsid w:val="00EC0C77"/>
    <w:rsid w:val="00ED1AE6"/>
    <w:rsid w:val="00ED30A5"/>
    <w:rsid w:val="00ED4313"/>
    <w:rsid w:val="00ED4A6F"/>
    <w:rsid w:val="00ED5375"/>
    <w:rsid w:val="00EE5202"/>
    <w:rsid w:val="00EE7AFE"/>
    <w:rsid w:val="00EF26C6"/>
    <w:rsid w:val="00EF3762"/>
    <w:rsid w:val="00F033FB"/>
    <w:rsid w:val="00F14A72"/>
    <w:rsid w:val="00F16673"/>
    <w:rsid w:val="00F25379"/>
    <w:rsid w:val="00F27BCF"/>
    <w:rsid w:val="00F5268E"/>
    <w:rsid w:val="00F54333"/>
    <w:rsid w:val="00F61B23"/>
    <w:rsid w:val="00F631F5"/>
    <w:rsid w:val="00F74741"/>
    <w:rsid w:val="00F9136E"/>
    <w:rsid w:val="00F92AC6"/>
    <w:rsid w:val="00F9439B"/>
    <w:rsid w:val="00FA11EB"/>
    <w:rsid w:val="00FC7B2B"/>
    <w:rsid w:val="00FD0F62"/>
    <w:rsid w:val="00FD7C65"/>
    <w:rsid w:val="00FE4E10"/>
    <w:rsid w:val="00FE58BE"/>
    <w:rsid w:val="00FE7C8F"/>
    <w:rsid w:val="00FF1269"/>
    <w:rsid w:val="00FF52BF"/>
    <w:rsid w:val="00FF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54451"/>
  <w15:chartTrackingRefBased/>
  <w15:docId w15:val="{5C1F8AE1-B95C-4896-9922-3C0640D1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164A4"/>
    <w:rPr>
      <w:sz w:val="24"/>
      <w:szCs w:val="24"/>
    </w:rPr>
  </w:style>
  <w:style w:type="paragraph" w:styleId="Heading1">
    <w:name w:val="heading 1"/>
    <w:basedOn w:val="Normal"/>
    <w:next w:val="Normal"/>
    <w:link w:val="Heading1Char"/>
    <w:uiPriority w:val="9"/>
    <w:qFormat/>
    <w:rsid w:val="00246168"/>
    <w:pPr>
      <w:keepNext/>
      <w:keepLines/>
      <w:numPr>
        <w:numId w:val="9"/>
      </w:numPr>
      <w:spacing w:before="240" w:after="160" w:line="259" w:lineRule="auto"/>
      <w:outlineLvl w:val="0"/>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64A4"/>
    <w:rPr>
      <w:color w:val="0000FF"/>
      <w:u w:val="single"/>
    </w:rPr>
  </w:style>
  <w:style w:type="character" w:customStyle="1" w:styleId="documentbody1">
    <w:name w:val="documentbody1"/>
    <w:rsid w:val="000164A4"/>
    <w:rPr>
      <w:rFonts w:ascii="Verdana" w:hAnsi="Verdana" w:hint="default"/>
      <w:sz w:val="19"/>
      <w:szCs w:val="19"/>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unhideWhenUsed/>
    <w:qFormat/>
    <w:rsid w:val="00ED30A5"/>
    <w:rPr>
      <w:rFonts w:asciiTheme="minorHAnsi" w:eastAsiaTheme="minorHAnsi" w:hAnsiTheme="minorHAnsi" w:cstheme="minorBidi"/>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rsid w:val="00ED30A5"/>
    <w:rPr>
      <w:rFonts w:asciiTheme="minorHAnsi" w:eastAsiaTheme="minorHAnsi" w:hAnsiTheme="minorHAnsi" w:cstheme="minorBidi"/>
    </w:rPr>
  </w:style>
  <w:style w:type="character" w:styleId="FootnoteReference">
    <w:name w:val="footnote reference"/>
    <w:aliases w:val="fr,Style 19,Style 16,12,Nota,Footnote symbol,Footnote,Appel note de bas de p,BVI fnr,SUPERS,Footnote Reference Superscript,(Footnote Reference),Footnote reference number,note TESI,EN Footnote Reference,Voetnootverwijzing, BVI fnr"/>
    <w:basedOn w:val="DefaultParagraphFont"/>
    <w:uiPriority w:val="99"/>
    <w:unhideWhenUsed/>
    <w:qFormat/>
    <w:rsid w:val="00ED30A5"/>
    <w:rPr>
      <w:vertAlign w:val="superscript"/>
    </w:rPr>
  </w:style>
  <w:style w:type="character" w:styleId="CommentReference">
    <w:name w:val="annotation reference"/>
    <w:basedOn w:val="DefaultParagraphFont"/>
    <w:uiPriority w:val="99"/>
    <w:rsid w:val="00A07B15"/>
    <w:rPr>
      <w:sz w:val="16"/>
      <w:szCs w:val="16"/>
    </w:rPr>
  </w:style>
  <w:style w:type="paragraph" w:styleId="CommentText">
    <w:name w:val="annotation text"/>
    <w:basedOn w:val="Normal"/>
    <w:link w:val="CommentTextChar"/>
    <w:uiPriority w:val="99"/>
    <w:rsid w:val="00A07B15"/>
    <w:rPr>
      <w:sz w:val="20"/>
      <w:szCs w:val="20"/>
    </w:rPr>
  </w:style>
  <w:style w:type="character" w:customStyle="1" w:styleId="CommentTextChar">
    <w:name w:val="Comment Text Char"/>
    <w:basedOn w:val="DefaultParagraphFont"/>
    <w:link w:val="CommentText"/>
    <w:uiPriority w:val="99"/>
    <w:rsid w:val="00A07B15"/>
  </w:style>
  <w:style w:type="paragraph" w:styleId="CommentSubject">
    <w:name w:val="annotation subject"/>
    <w:basedOn w:val="CommentText"/>
    <w:next w:val="CommentText"/>
    <w:link w:val="CommentSubjectChar"/>
    <w:rsid w:val="00A07B15"/>
    <w:rPr>
      <w:b/>
      <w:bCs/>
    </w:rPr>
  </w:style>
  <w:style w:type="character" w:customStyle="1" w:styleId="CommentSubjectChar">
    <w:name w:val="Comment Subject Char"/>
    <w:basedOn w:val="CommentTextChar"/>
    <w:link w:val="CommentSubject"/>
    <w:rsid w:val="00A07B15"/>
    <w:rPr>
      <w:b/>
      <w:bCs/>
    </w:rPr>
  </w:style>
  <w:style w:type="paragraph" w:styleId="BalloonText">
    <w:name w:val="Balloon Text"/>
    <w:basedOn w:val="Normal"/>
    <w:link w:val="BalloonTextChar"/>
    <w:rsid w:val="00A07B15"/>
    <w:rPr>
      <w:rFonts w:ascii="Segoe UI" w:hAnsi="Segoe UI" w:cs="Segoe UI"/>
      <w:sz w:val="18"/>
      <w:szCs w:val="18"/>
    </w:rPr>
  </w:style>
  <w:style w:type="character" w:customStyle="1" w:styleId="BalloonTextChar">
    <w:name w:val="Balloon Text Char"/>
    <w:basedOn w:val="DefaultParagraphFont"/>
    <w:link w:val="BalloonText"/>
    <w:rsid w:val="00A07B15"/>
    <w:rPr>
      <w:rFonts w:ascii="Segoe UI" w:hAnsi="Segoe UI" w:cs="Segoe UI"/>
      <w:sz w:val="18"/>
      <w:szCs w:val="18"/>
    </w:rPr>
  </w:style>
  <w:style w:type="paragraph" w:styleId="ListParagraph">
    <w:name w:val="List Paragraph"/>
    <w:basedOn w:val="Normal"/>
    <w:link w:val="ListParagraphChar"/>
    <w:uiPriority w:val="34"/>
    <w:qFormat/>
    <w:rsid w:val="00A76FD7"/>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A76FD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76F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A6CA4"/>
    <w:rPr>
      <w:i/>
      <w:iCs/>
    </w:rPr>
  </w:style>
  <w:style w:type="character" w:styleId="UnresolvedMention">
    <w:name w:val="Unresolved Mention"/>
    <w:basedOn w:val="DefaultParagraphFont"/>
    <w:uiPriority w:val="99"/>
    <w:semiHidden/>
    <w:unhideWhenUsed/>
    <w:rsid w:val="009A3C29"/>
    <w:rPr>
      <w:color w:val="605E5C"/>
      <w:shd w:val="clear" w:color="auto" w:fill="E1DFDD"/>
    </w:rPr>
  </w:style>
  <w:style w:type="paragraph" w:styleId="Revision">
    <w:name w:val="Revision"/>
    <w:hidden/>
    <w:uiPriority w:val="99"/>
    <w:semiHidden/>
    <w:rsid w:val="00AB75C5"/>
    <w:rPr>
      <w:sz w:val="24"/>
      <w:szCs w:val="24"/>
    </w:rPr>
  </w:style>
  <w:style w:type="character" w:styleId="FollowedHyperlink">
    <w:name w:val="FollowedHyperlink"/>
    <w:basedOn w:val="DefaultParagraphFont"/>
    <w:rsid w:val="00B114C5"/>
    <w:rPr>
      <w:color w:val="954F72" w:themeColor="followedHyperlink"/>
      <w:u w:val="single"/>
    </w:rPr>
  </w:style>
  <w:style w:type="paragraph" w:styleId="Header">
    <w:name w:val="header"/>
    <w:basedOn w:val="Normal"/>
    <w:link w:val="HeaderChar"/>
    <w:rsid w:val="002C140F"/>
    <w:pPr>
      <w:tabs>
        <w:tab w:val="center" w:pos="4680"/>
        <w:tab w:val="right" w:pos="9360"/>
      </w:tabs>
    </w:pPr>
  </w:style>
  <w:style w:type="character" w:customStyle="1" w:styleId="HeaderChar">
    <w:name w:val="Header Char"/>
    <w:basedOn w:val="DefaultParagraphFont"/>
    <w:link w:val="Header"/>
    <w:rsid w:val="002C140F"/>
    <w:rPr>
      <w:sz w:val="24"/>
      <w:szCs w:val="24"/>
    </w:rPr>
  </w:style>
  <w:style w:type="paragraph" w:styleId="Footer">
    <w:name w:val="footer"/>
    <w:basedOn w:val="Normal"/>
    <w:link w:val="FooterChar"/>
    <w:uiPriority w:val="99"/>
    <w:rsid w:val="002C140F"/>
    <w:pPr>
      <w:tabs>
        <w:tab w:val="center" w:pos="4680"/>
        <w:tab w:val="right" w:pos="9360"/>
      </w:tabs>
    </w:pPr>
  </w:style>
  <w:style w:type="character" w:customStyle="1" w:styleId="FooterChar">
    <w:name w:val="Footer Char"/>
    <w:basedOn w:val="DefaultParagraphFont"/>
    <w:link w:val="Footer"/>
    <w:uiPriority w:val="99"/>
    <w:rsid w:val="002C140F"/>
    <w:rPr>
      <w:sz w:val="24"/>
      <w:szCs w:val="24"/>
    </w:rPr>
  </w:style>
  <w:style w:type="character" w:customStyle="1" w:styleId="Heading1Char">
    <w:name w:val="Heading 1 Char"/>
    <w:basedOn w:val="DefaultParagraphFont"/>
    <w:link w:val="Heading1"/>
    <w:uiPriority w:val="9"/>
    <w:rsid w:val="00246168"/>
    <w:rPr>
      <w:rFonts w:eastAsiaTheme="majorEastAsia"/>
      <w:b/>
      <w:sz w:val="24"/>
      <w:szCs w:val="24"/>
    </w:rPr>
  </w:style>
  <w:style w:type="character" w:customStyle="1" w:styleId="al-author-name-more">
    <w:name w:val="al-author-name-more"/>
    <w:basedOn w:val="DefaultParagraphFont"/>
    <w:rsid w:val="00246168"/>
  </w:style>
  <w:style w:type="character" w:customStyle="1" w:styleId="delimiter">
    <w:name w:val="delimiter"/>
    <w:basedOn w:val="DefaultParagraphFont"/>
    <w:rsid w:val="00246168"/>
  </w:style>
  <w:style w:type="character" w:customStyle="1" w:styleId="ListParagraphChar">
    <w:name w:val="List Paragraph Char"/>
    <w:basedOn w:val="DefaultParagraphFont"/>
    <w:link w:val="ListParagraph"/>
    <w:uiPriority w:val="34"/>
    <w:locked/>
    <w:rsid w:val="007B674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4180">
      <w:bodyDiv w:val="1"/>
      <w:marLeft w:val="0"/>
      <w:marRight w:val="0"/>
      <w:marTop w:val="0"/>
      <w:marBottom w:val="0"/>
      <w:divBdr>
        <w:top w:val="none" w:sz="0" w:space="0" w:color="auto"/>
        <w:left w:val="none" w:sz="0" w:space="0" w:color="auto"/>
        <w:bottom w:val="none" w:sz="0" w:space="0" w:color="auto"/>
        <w:right w:val="none" w:sz="0" w:space="0" w:color="auto"/>
      </w:divBdr>
    </w:div>
    <w:div w:id="32850378">
      <w:bodyDiv w:val="1"/>
      <w:marLeft w:val="0"/>
      <w:marRight w:val="0"/>
      <w:marTop w:val="0"/>
      <w:marBottom w:val="0"/>
      <w:divBdr>
        <w:top w:val="none" w:sz="0" w:space="0" w:color="auto"/>
        <w:left w:val="none" w:sz="0" w:space="0" w:color="auto"/>
        <w:bottom w:val="none" w:sz="0" w:space="0" w:color="auto"/>
        <w:right w:val="none" w:sz="0" w:space="0" w:color="auto"/>
      </w:divBdr>
    </w:div>
    <w:div w:id="57214254">
      <w:bodyDiv w:val="1"/>
      <w:marLeft w:val="0"/>
      <w:marRight w:val="0"/>
      <w:marTop w:val="0"/>
      <w:marBottom w:val="0"/>
      <w:divBdr>
        <w:top w:val="none" w:sz="0" w:space="0" w:color="auto"/>
        <w:left w:val="none" w:sz="0" w:space="0" w:color="auto"/>
        <w:bottom w:val="none" w:sz="0" w:space="0" w:color="auto"/>
        <w:right w:val="none" w:sz="0" w:space="0" w:color="auto"/>
      </w:divBdr>
    </w:div>
    <w:div w:id="100761416">
      <w:bodyDiv w:val="1"/>
      <w:marLeft w:val="0"/>
      <w:marRight w:val="0"/>
      <w:marTop w:val="0"/>
      <w:marBottom w:val="0"/>
      <w:divBdr>
        <w:top w:val="none" w:sz="0" w:space="0" w:color="auto"/>
        <w:left w:val="none" w:sz="0" w:space="0" w:color="auto"/>
        <w:bottom w:val="none" w:sz="0" w:space="0" w:color="auto"/>
        <w:right w:val="none" w:sz="0" w:space="0" w:color="auto"/>
      </w:divBdr>
    </w:div>
    <w:div w:id="144980321">
      <w:bodyDiv w:val="1"/>
      <w:marLeft w:val="0"/>
      <w:marRight w:val="0"/>
      <w:marTop w:val="0"/>
      <w:marBottom w:val="0"/>
      <w:divBdr>
        <w:top w:val="none" w:sz="0" w:space="0" w:color="auto"/>
        <w:left w:val="none" w:sz="0" w:space="0" w:color="auto"/>
        <w:bottom w:val="none" w:sz="0" w:space="0" w:color="auto"/>
        <w:right w:val="none" w:sz="0" w:space="0" w:color="auto"/>
      </w:divBdr>
    </w:div>
    <w:div w:id="185099809">
      <w:bodyDiv w:val="1"/>
      <w:marLeft w:val="0"/>
      <w:marRight w:val="0"/>
      <w:marTop w:val="0"/>
      <w:marBottom w:val="0"/>
      <w:divBdr>
        <w:top w:val="none" w:sz="0" w:space="0" w:color="auto"/>
        <w:left w:val="none" w:sz="0" w:space="0" w:color="auto"/>
        <w:bottom w:val="none" w:sz="0" w:space="0" w:color="auto"/>
        <w:right w:val="none" w:sz="0" w:space="0" w:color="auto"/>
      </w:divBdr>
    </w:div>
    <w:div w:id="259411244">
      <w:bodyDiv w:val="1"/>
      <w:marLeft w:val="0"/>
      <w:marRight w:val="0"/>
      <w:marTop w:val="0"/>
      <w:marBottom w:val="0"/>
      <w:divBdr>
        <w:top w:val="none" w:sz="0" w:space="0" w:color="auto"/>
        <w:left w:val="none" w:sz="0" w:space="0" w:color="auto"/>
        <w:bottom w:val="none" w:sz="0" w:space="0" w:color="auto"/>
        <w:right w:val="none" w:sz="0" w:space="0" w:color="auto"/>
      </w:divBdr>
    </w:div>
    <w:div w:id="264967045">
      <w:bodyDiv w:val="1"/>
      <w:marLeft w:val="0"/>
      <w:marRight w:val="0"/>
      <w:marTop w:val="0"/>
      <w:marBottom w:val="0"/>
      <w:divBdr>
        <w:top w:val="none" w:sz="0" w:space="0" w:color="auto"/>
        <w:left w:val="none" w:sz="0" w:space="0" w:color="auto"/>
        <w:bottom w:val="none" w:sz="0" w:space="0" w:color="auto"/>
        <w:right w:val="none" w:sz="0" w:space="0" w:color="auto"/>
      </w:divBdr>
    </w:div>
    <w:div w:id="271521250">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440999039">
      <w:bodyDiv w:val="1"/>
      <w:marLeft w:val="0"/>
      <w:marRight w:val="0"/>
      <w:marTop w:val="0"/>
      <w:marBottom w:val="0"/>
      <w:divBdr>
        <w:top w:val="none" w:sz="0" w:space="0" w:color="auto"/>
        <w:left w:val="none" w:sz="0" w:space="0" w:color="auto"/>
        <w:bottom w:val="none" w:sz="0" w:space="0" w:color="auto"/>
        <w:right w:val="none" w:sz="0" w:space="0" w:color="auto"/>
      </w:divBdr>
    </w:div>
    <w:div w:id="561597833">
      <w:bodyDiv w:val="1"/>
      <w:marLeft w:val="0"/>
      <w:marRight w:val="0"/>
      <w:marTop w:val="0"/>
      <w:marBottom w:val="0"/>
      <w:divBdr>
        <w:top w:val="none" w:sz="0" w:space="0" w:color="auto"/>
        <w:left w:val="none" w:sz="0" w:space="0" w:color="auto"/>
        <w:bottom w:val="none" w:sz="0" w:space="0" w:color="auto"/>
        <w:right w:val="none" w:sz="0" w:space="0" w:color="auto"/>
      </w:divBdr>
    </w:div>
    <w:div w:id="708644472">
      <w:bodyDiv w:val="1"/>
      <w:marLeft w:val="0"/>
      <w:marRight w:val="0"/>
      <w:marTop w:val="0"/>
      <w:marBottom w:val="0"/>
      <w:divBdr>
        <w:top w:val="none" w:sz="0" w:space="0" w:color="auto"/>
        <w:left w:val="none" w:sz="0" w:space="0" w:color="auto"/>
        <w:bottom w:val="none" w:sz="0" w:space="0" w:color="auto"/>
        <w:right w:val="none" w:sz="0" w:space="0" w:color="auto"/>
      </w:divBdr>
    </w:div>
    <w:div w:id="838882740">
      <w:bodyDiv w:val="1"/>
      <w:marLeft w:val="0"/>
      <w:marRight w:val="0"/>
      <w:marTop w:val="0"/>
      <w:marBottom w:val="0"/>
      <w:divBdr>
        <w:top w:val="none" w:sz="0" w:space="0" w:color="auto"/>
        <w:left w:val="none" w:sz="0" w:space="0" w:color="auto"/>
        <w:bottom w:val="none" w:sz="0" w:space="0" w:color="auto"/>
        <w:right w:val="none" w:sz="0" w:space="0" w:color="auto"/>
      </w:divBdr>
    </w:div>
    <w:div w:id="982463416">
      <w:bodyDiv w:val="1"/>
      <w:marLeft w:val="0"/>
      <w:marRight w:val="0"/>
      <w:marTop w:val="0"/>
      <w:marBottom w:val="0"/>
      <w:divBdr>
        <w:top w:val="none" w:sz="0" w:space="0" w:color="auto"/>
        <w:left w:val="none" w:sz="0" w:space="0" w:color="auto"/>
        <w:bottom w:val="none" w:sz="0" w:space="0" w:color="auto"/>
        <w:right w:val="none" w:sz="0" w:space="0" w:color="auto"/>
      </w:divBdr>
    </w:div>
    <w:div w:id="1033313290">
      <w:bodyDiv w:val="1"/>
      <w:marLeft w:val="0"/>
      <w:marRight w:val="0"/>
      <w:marTop w:val="0"/>
      <w:marBottom w:val="0"/>
      <w:divBdr>
        <w:top w:val="none" w:sz="0" w:space="0" w:color="auto"/>
        <w:left w:val="none" w:sz="0" w:space="0" w:color="auto"/>
        <w:bottom w:val="none" w:sz="0" w:space="0" w:color="auto"/>
        <w:right w:val="none" w:sz="0" w:space="0" w:color="auto"/>
      </w:divBdr>
    </w:div>
    <w:div w:id="1139416303">
      <w:bodyDiv w:val="1"/>
      <w:marLeft w:val="0"/>
      <w:marRight w:val="0"/>
      <w:marTop w:val="0"/>
      <w:marBottom w:val="0"/>
      <w:divBdr>
        <w:top w:val="none" w:sz="0" w:space="0" w:color="auto"/>
        <w:left w:val="none" w:sz="0" w:space="0" w:color="auto"/>
        <w:bottom w:val="none" w:sz="0" w:space="0" w:color="auto"/>
        <w:right w:val="none" w:sz="0" w:space="0" w:color="auto"/>
      </w:divBdr>
    </w:div>
    <w:div w:id="1148746688">
      <w:bodyDiv w:val="1"/>
      <w:marLeft w:val="0"/>
      <w:marRight w:val="0"/>
      <w:marTop w:val="0"/>
      <w:marBottom w:val="0"/>
      <w:divBdr>
        <w:top w:val="none" w:sz="0" w:space="0" w:color="auto"/>
        <w:left w:val="none" w:sz="0" w:space="0" w:color="auto"/>
        <w:bottom w:val="none" w:sz="0" w:space="0" w:color="auto"/>
        <w:right w:val="none" w:sz="0" w:space="0" w:color="auto"/>
      </w:divBdr>
      <w:divsChild>
        <w:div w:id="1050879754">
          <w:marLeft w:val="0"/>
          <w:marRight w:val="0"/>
          <w:marTop w:val="0"/>
          <w:marBottom w:val="0"/>
          <w:divBdr>
            <w:top w:val="none" w:sz="0" w:space="0" w:color="auto"/>
            <w:left w:val="none" w:sz="0" w:space="0" w:color="auto"/>
            <w:bottom w:val="none" w:sz="0" w:space="0" w:color="auto"/>
            <w:right w:val="none" w:sz="0" w:space="0" w:color="auto"/>
          </w:divBdr>
          <w:divsChild>
            <w:div w:id="14315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1945">
      <w:bodyDiv w:val="1"/>
      <w:marLeft w:val="0"/>
      <w:marRight w:val="0"/>
      <w:marTop w:val="0"/>
      <w:marBottom w:val="0"/>
      <w:divBdr>
        <w:top w:val="none" w:sz="0" w:space="0" w:color="auto"/>
        <w:left w:val="none" w:sz="0" w:space="0" w:color="auto"/>
        <w:bottom w:val="none" w:sz="0" w:space="0" w:color="auto"/>
        <w:right w:val="none" w:sz="0" w:space="0" w:color="auto"/>
      </w:divBdr>
    </w:div>
    <w:div w:id="1359888536">
      <w:bodyDiv w:val="1"/>
      <w:marLeft w:val="0"/>
      <w:marRight w:val="0"/>
      <w:marTop w:val="0"/>
      <w:marBottom w:val="0"/>
      <w:divBdr>
        <w:top w:val="none" w:sz="0" w:space="0" w:color="auto"/>
        <w:left w:val="none" w:sz="0" w:space="0" w:color="auto"/>
        <w:bottom w:val="none" w:sz="0" w:space="0" w:color="auto"/>
        <w:right w:val="none" w:sz="0" w:space="0" w:color="auto"/>
      </w:divBdr>
    </w:div>
    <w:div w:id="1649092224">
      <w:bodyDiv w:val="1"/>
      <w:marLeft w:val="0"/>
      <w:marRight w:val="0"/>
      <w:marTop w:val="0"/>
      <w:marBottom w:val="0"/>
      <w:divBdr>
        <w:top w:val="none" w:sz="0" w:space="0" w:color="auto"/>
        <w:left w:val="none" w:sz="0" w:space="0" w:color="auto"/>
        <w:bottom w:val="none" w:sz="0" w:space="0" w:color="auto"/>
        <w:right w:val="none" w:sz="0" w:space="0" w:color="auto"/>
      </w:divBdr>
    </w:div>
    <w:div w:id="1656030294">
      <w:bodyDiv w:val="1"/>
      <w:marLeft w:val="0"/>
      <w:marRight w:val="0"/>
      <w:marTop w:val="0"/>
      <w:marBottom w:val="0"/>
      <w:divBdr>
        <w:top w:val="none" w:sz="0" w:space="0" w:color="auto"/>
        <w:left w:val="none" w:sz="0" w:space="0" w:color="auto"/>
        <w:bottom w:val="none" w:sz="0" w:space="0" w:color="auto"/>
        <w:right w:val="none" w:sz="0" w:space="0" w:color="auto"/>
      </w:divBdr>
    </w:div>
    <w:div w:id="1918399884">
      <w:bodyDiv w:val="1"/>
      <w:marLeft w:val="0"/>
      <w:marRight w:val="0"/>
      <w:marTop w:val="0"/>
      <w:marBottom w:val="0"/>
      <w:divBdr>
        <w:top w:val="none" w:sz="0" w:space="0" w:color="auto"/>
        <w:left w:val="none" w:sz="0" w:space="0" w:color="auto"/>
        <w:bottom w:val="none" w:sz="0" w:space="0" w:color="auto"/>
        <w:right w:val="none" w:sz="0" w:space="0" w:color="auto"/>
      </w:divBdr>
    </w:div>
    <w:div w:id="1961447032">
      <w:bodyDiv w:val="1"/>
      <w:marLeft w:val="0"/>
      <w:marRight w:val="0"/>
      <w:marTop w:val="0"/>
      <w:marBottom w:val="0"/>
      <w:divBdr>
        <w:top w:val="none" w:sz="0" w:space="0" w:color="auto"/>
        <w:left w:val="none" w:sz="0" w:space="0" w:color="auto"/>
        <w:bottom w:val="none" w:sz="0" w:space="0" w:color="auto"/>
        <w:right w:val="none" w:sz="0" w:space="0" w:color="auto"/>
      </w:divBdr>
    </w:div>
    <w:div w:id="197193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Supervisory Sensitive Information</Value>
    </Sensitivity_x0020_Categorization>
    <Content_x0020_Manager xmlns="6f095830-e5d4-4888-b370-1bdc7e94aad0">
      <UserInfo>
        <DisplayName>Longo, Carolyn M</DisplayName>
        <AccountId>1189</AccountId>
        <AccountType/>
      </UserInfo>
    </Content_x0020_Manag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F0A96F3C10994988571CE2581F179C" ma:contentTypeVersion="0" ma:contentTypeDescription="Create a new document." ma:contentTypeScope="" ma:versionID="6767c97bbcd78b5d7fc3ccfbf10e6734">
  <xsd:schema xmlns:xsd="http://www.w3.org/2001/XMLSchema" xmlns:xs="http://www.w3.org/2001/XMLSchema" xmlns:p="http://schemas.microsoft.com/office/2006/metadata/properties" xmlns:ns2="6f095830-e5d4-4888-b370-1bdc7e94aad0" targetNamespace="http://schemas.microsoft.com/office/2006/metadata/properties" ma:root="true" ma:fieldsID="eb7d2968536cdd70206ada66b938d881" ns2:_="">
    <xsd:import namespace="6f095830-e5d4-4888-b370-1bdc7e94aad0"/>
    <xsd:element name="properties">
      <xsd:complexType>
        <xsd:sequence>
          <xsd:element name="documentManagement">
            <xsd:complexType>
              <xsd:all>
                <xsd:element ref="ns2:Sensitivity_x0020_Categorization" minOccurs="0"/>
                <xsd:element ref="ns2:Content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element name="Content_x0020_Manager" ma:index="2" nillable="true" ma:displayName="Content Manager" ma:list="UserInfo" ma:SharePointGroup="0" ma:internalName="Content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a48f0ae-7653-44c8-b127-2d83e9d522e5"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1231-38E4-4FB2-8AA6-03095507E30C}">
  <ds:schemaRefs>
    <ds:schemaRef ds:uri="http://schemas.microsoft.com/sharepoint/v3/contenttype/forms"/>
  </ds:schemaRefs>
</ds:datastoreItem>
</file>

<file path=customXml/itemProps2.xml><?xml version="1.0" encoding="utf-8"?>
<ds:datastoreItem xmlns:ds="http://schemas.openxmlformats.org/officeDocument/2006/customXml" ds:itemID="{9486A7A4-563D-48CE-8F48-0B7CBB628F33}">
  <ds:schemaRefs>
    <ds:schemaRef ds:uri="http://purl.org/dc/terms/"/>
    <ds:schemaRef ds:uri="http://schemas.microsoft.com/office/2006/documentManagement/types"/>
    <ds:schemaRef ds:uri="6f095830-e5d4-4888-b370-1bdc7e94aad0"/>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CCB4903-05E0-40A9-9FE7-71415BDFC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268B5-7870-4DB9-92D9-CCD801023C19}">
  <ds:schemaRefs>
    <ds:schemaRef ds:uri="Microsoft.SharePoint.Taxonomy.ContentTypeSync"/>
  </ds:schemaRefs>
</ds:datastoreItem>
</file>

<file path=customXml/itemProps5.xml><?xml version="1.0" encoding="utf-8"?>
<ds:datastoreItem xmlns:ds="http://schemas.openxmlformats.org/officeDocument/2006/customXml" ds:itemID="{56C50D05-8EA2-4E33-AE90-8D93B3D7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5687</Words>
  <Characters>30659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Mary</dc:creator>
  <cp:keywords/>
  <dc:description/>
  <cp:lastModifiedBy>Gottlieb, Mary</cp:lastModifiedBy>
  <cp:revision>3</cp:revision>
  <cp:lastPrinted>2020-08-25T12:30:00Z</cp:lastPrinted>
  <dcterms:created xsi:type="dcterms:W3CDTF">2020-11-23T20:05:00Z</dcterms:created>
  <dcterms:modified xsi:type="dcterms:W3CDTF">2020-11-23T20:08:00Z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0x0101000CF0A96F3C10994988571CE2581F179C</vt:lpwstr>
  </property>
</Properties>
</file>