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E5C73" w:rsidR="00542BA1" w:rsidP="00542BA1" w:rsidRDefault="00994761" w14:paraId="58787346" w14:textId="77777777">
      <w:pPr>
        <w:jc w:val="center"/>
        <w:rPr>
          <w:b/>
          <w:bCs/>
        </w:rPr>
      </w:pPr>
      <w:r w:rsidRPr="00542BA1">
        <w:rPr>
          <w:b/>
          <w:bCs/>
        </w:rPr>
        <w:t xml:space="preserve">FIDUCIARY DUTIES REGARDING PROXY VOTING </w:t>
      </w:r>
      <w:r>
        <w:rPr>
          <w:b/>
          <w:bCs/>
        </w:rPr>
        <w:t>A</w:t>
      </w:r>
      <w:r w:rsidRPr="00542BA1">
        <w:rPr>
          <w:b/>
          <w:bCs/>
        </w:rPr>
        <w:t>ND SHAREHOLDER RIGHTS</w:t>
      </w:r>
    </w:p>
    <w:p w:rsidR="004678A0" w:rsidP="00542BA1" w:rsidRDefault="004678A0" w14:paraId="1FEB21B8" w14:textId="77777777">
      <w:pPr>
        <w:jc w:val="center"/>
        <w:rPr>
          <w:b/>
          <w:bCs/>
        </w:rPr>
      </w:pPr>
    </w:p>
    <w:p w:rsidR="00542BA1" w:rsidP="00542BA1" w:rsidRDefault="00542BA1" w14:paraId="1A7948CB" w14:textId="77777777">
      <w:pPr>
        <w:jc w:val="center"/>
        <w:rPr>
          <w:b/>
          <w:bCs/>
        </w:rPr>
      </w:pPr>
      <w:r w:rsidRPr="00F23471">
        <w:rPr>
          <w:b/>
          <w:bCs/>
        </w:rPr>
        <w:t>OMB</w:t>
      </w:r>
      <w:r>
        <w:rPr>
          <w:b/>
          <w:bCs/>
        </w:rPr>
        <w:t xml:space="preserve"> CONTROL NUMBER 1210-0165</w:t>
      </w:r>
    </w:p>
    <w:p w:rsidR="00542BA1" w:rsidP="00542BA1" w:rsidRDefault="00542BA1" w14:paraId="39EA4905" w14:textId="77777777">
      <w:pPr>
        <w:rPr>
          <w:b/>
          <w:bCs/>
        </w:rPr>
      </w:pPr>
    </w:p>
    <w:p w:rsidR="00542BA1" w:rsidP="00542BA1" w:rsidRDefault="00542BA1" w14:paraId="6C002446" w14:textId="77777777">
      <w:pPr>
        <w:rPr>
          <w:b/>
          <w:bCs/>
        </w:rPr>
      </w:pPr>
      <w:r w:rsidRPr="00B514A6">
        <w:rPr>
          <w:b/>
          <w:bCs/>
        </w:rPr>
        <w:t>This ICR seeks</w:t>
      </w:r>
      <w:r>
        <w:rPr>
          <w:b/>
          <w:bCs/>
        </w:rPr>
        <w:t xml:space="preserve"> for an </w:t>
      </w:r>
      <w:r w:rsidRPr="00B514A6">
        <w:rPr>
          <w:b/>
          <w:bCs/>
        </w:rPr>
        <w:t xml:space="preserve">approval of a new collection of information under OMB </w:t>
      </w:r>
      <w:r>
        <w:rPr>
          <w:b/>
          <w:bCs/>
        </w:rPr>
        <w:t>Control Number 1210–0165</w:t>
      </w:r>
      <w:r w:rsidRPr="00B514A6">
        <w:rPr>
          <w:b/>
          <w:bCs/>
        </w:rPr>
        <w:t>.</w:t>
      </w:r>
    </w:p>
    <w:p w:rsidRPr="008823D6" w:rsidR="0031329A" w:rsidP="00CF1AC0" w:rsidRDefault="0031329A" w14:paraId="5C7C7B01" w14:textId="77777777"/>
    <w:p w:rsidRPr="00F752BF" w:rsidR="00F752BF" w:rsidP="00F752BF" w:rsidRDefault="00C06DA8" w14:paraId="2E87ACA8" w14:textId="77777777">
      <w:pPr>
        <w:widowControl w:val="0"/>
        <w:numPr>
          <w:ilvl w:val="0"/>
          <w:numId w:val="4"/>
        </w:numPr>
        <w:autoSpaceDE w:val="0"/>
        <w:autoSpaceDN w:val="0"/>
        <w:adjustRightInd w:val="0"/>
        <w:ind w:hanging="720"/>
      </w:pPr>
      <w:r w:rsidRPr="00F752BF">
        <w:rPr>
          <w:b/>
          <w:bCs/>
        </w:rPr>
        <w:t>JUSTIFICATION</w:t>
      </w:r>
    </w:p>
    <w:p w:rsidRPr="00F752BF" w:rsidR="00F752BF" w:rsidP="00F752BF" w:rsidRDefault="00F752BF" w14:paraId="25F773F6" w14:textId="77777777">
      <w:pPr>
        <w:widowControl w:val="0"/>
        <w:autoSpaceDE w:val="0"/>
        <w:autoSpaceDN w:val="0"/>
        <w:adjustRightInd w:val="0"/>
      </w:pPr>
    </w:p>
    <w:p w:rsidRPr="00C95CEB" w:rsidR="00F752BF" w:rsidP="008F643D" w:rsidRDefault="005653E4" w14:paraId="2128706C" w14:textId="77777777">
      <w:pPr>
        <w:widowControl w:val="0"/>
        <w:tabs>
          <w:tab w:val="left" w:pos="-1440"/>
          <w:tab w:val="num" w:pos="720"/>
        </w:tabs>
        <w:autoSpaceDE w:val="0"/>
        <w:autoSpaceDN w:val="0"/>
        <w:adjustRightInd w:val="0"/>
        <w:ind w:left="720" w:hanging="720"/>
        <w:rPr>
          <w:b/>
        </w:rPr>
      </w:pPr>
      <w:r w:rsidRPr="00C95CEB">
        <w:rPr>
          <w:b/>
          <w:iCs/>
        </w:rPr>
        <w:t>1.</w:t>
      </w:r>
      <w:r w:rsidR="00ED2FC9">
        <w:rPr>
          <w:b/>
          <w:iCs/>
        </w:rPr>
        <w:tab/>
      </w:r>
      <w:r w:rsidRPr="008F643D" w:rsidR="00F752BF">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823D6" w:rsidR="00F752BF" w:rsidP="00F752BF" w:rsidRDefault="00F752BF" w14:paraId="276DA0B9" w14:textId="77777777">
      <w:pPr>
        <w:ind w:left="360"/>
        <w:rPr>
          <w:b/>
          <w:i/>
          <w:iCs/>
        </w:rPr>
      </w:pPr>
    </w:p>
    <w:p w:rsidRPr="0073404A" w:rsidR="00A770B8" w:rsidP="00F752BF" w:rsidRDefault="0073404A" w14:paraId="33BBA99B" w14:textId="77777777">
      <w:pPr>
        <w:ind w:left="720"/>
        <w:rPr>
          <w:rFonts w:eastAsiaTheme="minorEastAsia"/>
          <w:color w:val="000000"/>
        </w:rPr>
      </w:pPr>
      <w:r w:rsidRPr="0073404A">
        <w:rPr>
          <w:rFonts w:eastAsiaTheme="minorEastAsia"/>
          <w:color w:val="000000"/>
        </w:rPr>
        <w:t xml:space="preserve">Title I of the Employee Retirement Income Security Act of 1974 (ERISA) establishes minimum standards for the operation of private-sector employee benefit plans and includes fiduciary responsibility rules governing the conduct of plan fiduciaries.  In connection with proxy voting, the Department’s longstanding position is that the fiduciary act of managing plan assets includes the management of voting rights (as well as other shareholder rights) appurtenant to </w:t>
      </w:r>
      <w:r w:rsidRPr="0073404A" w:rsidDel="00A86AB3">
        <w:rPr>
          <w:rFonts w:eastAsiaTheme="minorEastAsia"/>
          <w:color w:val="000000"/>
        </w:rPr>
        <w:t>shares of stock</w:t>
      </w:r>
      <w:r w:rsidRPr="0073404A">
        <w:rPr>
          <w:rFonts w:eastAsiaTheme="minorEastAsia"/>
          <w:color w:val="000000"/>
        </w:rPr>
        <w:t>, and that fiduciaries</w:t>
      </w:r>
      <w:r w:rsidRPr="005653E4" w:rsidR="005653E4">
        <w:rPr>
          <w:rFonts w:eastAsiaTheme="minorEastAsia"/>
          <w:color w:val="000000"/>
        </w:rPr>
        <w:t xml:space="preserve"> </w:t>
      </w:r>
      <w:r w:rsidRPr="0073404A" w:rsidR="005653E4">
        <w:rPr>
          <w:rFonts w:eastAsiaTheme="minorEastAsia"/>
          <w:color w:val="000000"/>
        </w:rPr>
        <w:t>must carry out their duties relating to the voting of proxies prudently and solely for the economic benefit of plan participants and beneficiaries.</w:t>
      </w:r>
      <w:r w:rsidRPr="0073404A">
        <w:rPr>
          <w:rFonts w:eastAsiaTheme="minorEastAsia"/>
          <w:color w:val="000000"/>
          <w:vertAlign w:val="superscript"/>
        </w:rPr>
        <w:footnoteReference w:id="2"/>
      </w:r>
      <w:r w:rsidRPr="0073404A">
        <w:rPr>
          <w:rFonts w:eastAsiaTheme="minorEastAsia"/>
          <w:color w:val="000000"/>
        </w:rPr>
        <w:t xml:space="preserve"> </w:t>
      </w:r>
    </w:p>
    <w:p w:rsidR="006E4F13" w:rsidP="00F752BF" w:rsidRDefault="006E4F13" w14:paraId="41667554" w14:textId="77777777">
      <w:pPr>
        <w:ind w:left="720"/>
        <w:rPr>
          <w:color w:val="000000"/>
        </w:rPr>
      </w:pPr>
    </w:p>
    <w:p w:rsidR="00EB039A" w:rsidP="00F752BF" w:rsidRDefault="006E4F13" w14:paraId="12AFDF13" w14:textId="56728315">
      <w:pPr>
        <w:ind w:left="720"/>
      </w:pPr>
      <w:r>
        <w:t xml:space="preserve">The Department is concerned that </w:t>
      </w:r>
      <w:r w:rsidR="003F4B09">
        <w:t>regulatory guidance in this area is</w:t>
      </w:r>
      <w:r w:rsidRPr="003F4B09" w:rsidR="003F4B09">
        <w:t xml:space="preserve"> appropriate, in part because the Department’s existing sub-regulatory guidance may have created a perception that ERISA fiduciaries must vote proxies on every proposal.  In the Department’s view, a regulation in this area will address the misunderstanding that exists on the part of some stakeholders that ERISA fiduciaries are required to vote all proxies and, to the extent that proxies are voted, direct fiduciaries to act in a manner consistent with the economic interests of plans and plan participants that does not subordinate their interests to any non-pecuniary objectives or promote goals unrelated to the financial interests of participants and beneficiaries</w:t>
      </w:r>
      <w:r w:rsidR="003F4B09">
        <w:t>.</w:t>
      </w:r>
      <w:r w:rsidR="00A67BE5">
        <w:t xml:space="preserve">  </w:t>
      </w:r>
      <w:r>
        <w:t xml:space="preserve">Moreover, the Department has reason to believe that </w:t>
      </w:r>
      <w:r w:rsidR="00AB723D">
        <w:t xml:space="preserve">plan </w:t>
      </w:r>
      <w:r>
        <w:t xml:space="preserve">fiduciaries may sometimes rely on </w:t>
      </w:r>
      <w:r w:rsidR="008425B7">
        <w:t xml:space="preserve">proxy voting advice from service providers </w:t>
      </w:r>
      <w:r>
        <w:t>without taking sufficient steps to ensure that the advice is impartial and rigorous</w:t>
      </w:r>
      <w:r w:rsidR="008425B7">
        <w:t xml:space="preserve">.  </w:t>
      </w:r>
      <w:r>
        <w:t xml:space="preserve">Both of these concerns point to the risk that a plan’s proxy voting activity </w:t>
      </w:r>
      <w:r w:rsidR="00ED2FFC">
        <w:t>may</w:t>
      </w:r>
      <w:r>
        <w:t xml:space="preserve"> impair</w:t>
      </w:r>
      <w:r w:rsidR="008425B7">
        <w:t>,</w:t>
      </w:r>
      <w:r>
        <w:t xml:space="preserve"> rather than advance</w:t>
      </w:r>
      <w:r w:rsidR="008425B7">
        <w:t>,</w:t>
      </w:r>
      <w:r>
        <w:t xml:space="preserve"> participants’ economic interest in their benefits.  </w:t>
      </w:r>
      <w:r w:rsidR="00A67BE5">
        <w:t xml:space="preserve">The Department </w:t>
      </w:r>
      <w:r w:rsidRPr="00A67BE5" w:rsidR="00A67BE5">
        <w:rPr>
          <w:bCs/>
        </w:rPr>
        <w:t xml:space="preserve">published </w:t>
      </w:r>
      <w:r w:rsidR="00A67BE5">
        <w:rPr>
          <w:bCs/>
        </w:rPr>
        <w:t>a</w:t>
      </w:r>
      <w:r w:rsidRPr="00A67BE5" w:rsidR="00A67BE5">
        <w:rPr>
          <w:iCs/>
        </w:rPr>
        <w:t xml:space="preserve"> Notice of Proposed Rulemaking in the Federal Register on </w:t>
      </w:r>
      <w:r w:rsidR="00793976">
        <w:rPr>
          <w:iCs/>
        </w:rPr>
        <w:t>September 4</w:t>
      </w:r>
      <w:r w:rsidRPr="00A67BE5" w:rsidR="00A67BE5">
        <w:rPr>
          <w:iCs/>
        </w:rPr>
        <w:t>, 2020 (85 FR 55219)</w:t>
      </w:r>
      <w:r w:rsidR="00A67BE5">
        <w:rPr>
          <w:iCs/>
        </w:rPr>
        <w:t xml:space="preserve">, and is adopting a final rule that includes </w:t>
      </w:r>
      <w:r w:rsidR="00030A0D">
        <w:rPr>
          <w:iCs/>
        </w:rPr>
        <w:t>an</w:t>
      </w:r>
      <w:r w:rsidR="00A67BE5">
        <w:rPr>
          <w:iCs/>
        </w:rPr>
        <w:t xml:space="preserve"> Information Collection (IC).</w:t>
      </w:r>
    </w:p>
    <w:p w:rsidR="00EB039A" w:rsidP="00F752BF" w:rsidRDefault="00EB039A" w14:paraId="000DA14A" w14:textId="77777777">
      <w:pPr>
        <w:ind w:left="720"/>
      </w:pPr>
    </w:p>
    <w:p w:rsidR="00EB039A" w:rsidP="00F752BF" w:rsidRDefault="00030A0D" w14:paraId="25F14F01" w14:textId="361CF9A6">
      <w:pPr>
        <w:ind w:left="720"/>
      </w:pPr>
      <w:r>
        <w:rPr>
          <w:color w:val="000000"/>
          <w:shd w:val="clear" w:color="auto" w:fill="FFFFFF"/>
        </w:rPr>
        <w:t>Specifically, i</w:t>
      </w:r>
      <w:r w:rsidRPr="00BE02F6" w:rsidR="00EB039A">
        <w:rPr>
          <w:color w:val="000000"/>
          <w:shd w:val="clear" w:color="auto" w:fill="FFFFFF"/>
        </w:rPr>
        <w:t xml:space="preserve">t </w:t>
      </w:r>
      <w:r w:rsidR="00EB039A">
        <w:rPr>
          <w:color w:val="000000"/>
          <w:shd w:val="clear" w:color="auto" w:fill="FFFFFF"/>
        </w:rPr>
        <w:t>has long been t</w:t>
      </w:r>
      <w:r w:rsidRPr="00BE02F6" w:rsidR="00EB039A">
        <w:rPr>
          <w:color w:val="000000"/>
          <w:shd w:val="clear" w:color="auto" w:fill="FFFFFF"/>
        </w:rPr>
        <w:t xml:space="preserve">he </w:t>
      </w:r>
      <w:r w:rsidR="008425B7">
        <w:rPr>
          <w:color w:val="000000"/>
          <w:shd w:val="clear" w:color="auto" w:fill="FFFFFF"/>
        </w:rPr>
        <w:t xml:space="preserve">Department’s </w:t>
      </w:r>
      <w:r w:rsidRPr="00BE02F6" w:rsidR="00EB039A">
        <w:rPr>
          <w:color w:val="000000"/>
          <w:shd w:val="clear" w:color="auto" w:fill="FFFFFF"/>
        </w:rPr>
        <w:t>view that the duty to monitor necessitates proper documentation of the activities that are subject to monitoring.</w:t>
      </w:r>
      <w:r w:rsidR="00EB039A">
        <w:rPr>
          <w:rStyle w:val="FootnoteReference"/>
          <w:color w:val="000000"/>
          <w:shd w:val="clear" w:color="auto" w:fill="FFFFFF"/>
        </w:rPr>
        <w:footnoteReference w:id="3"/>
      </w:r>
      <w:r w:rsidR="00EB039A">
        <w:t xml:space="preserve">  </w:t>
      </w:r>
      <w:r w:rsidR="00A31A67">
        <w:t xml:space="preserve">Accordingly, the </w:t>
      </w:r>
      <w:r w:rsidR="00AB723D">
        <w:lastRenderedPageBreak/>
        <w:t xml:space="preserve">IC in the </w:t>
      </w:r>
      <w:r w:rsidR="00A31A67">
        <w:t>Department’s</w:t>
      </w:r>
      <w:r w:rsidRPr="000477E6" w:rsidR="00A31A67">
        <w:t xml:space="preserve"> </w:t>
      </w:r>
      <w:r w:rsidR="00A31A67">
        <w:t xml:space="preserve">final rule </w:t>
      </w:r>
      <w:r w:rsidR="00AB723D">
        <w:t>requires</w:t>
      </w:r>
      <w:r w:rsidRPr="000477E6" w:rsidR="00A31A67">
        <w:t xml:space="preserve"> </w:t>
      </w:r>
      <w:r w:rsidR="00AB723D">
        <w:t xml:space="preserve">responsible </w:t>
      </w:r>
      <w:r w:rsidRPr="000477E6" w:rsidR="00A31A67">
        <w:t xml:space="preserve">plan fiduciaries </w:t>
      </w:r>
      <w:r w:rsidR="00AB723D">
        <w:t xml:space="preserve">to </w:t>
      </w:r>
      <w:r w:rsidRPr="000477E6" w:rsidR="00A31A67">
        <w:t xml:space="preserve">maintain records on proxy voting activities and other exercises of shareholder rights. </w:t>
      </w:r>
      <w:r w:rsidRPr="00B31479" w:rsidR="009D2D60">
        <w:t>Where the authority to vote proxies or exercise shareholder rights has been delegated to an investment manager pursuant to ERISA section 403(a</w:t>
      </w:r>
      <w:proofErr w:type="gramStart"/>
      <w:r w:rsidRPr="00B31479" w:rsidR="009D2D60">
        <w:t>)(</w:t>
      </w:r>
      <w:proofErr w:type="gramEnd"/>
      <w:r w:rsidRPr="00B31479" w:rsidR="009D2D60">
        <w:t xml:space="preserve">2), or a proxy voting firm or another person performs advisory services as to the voting of proxies, plan fiduciaries must prudently monitor the proxy voting activities of such investment manager or proxy advisory firm and determine whether such activities are consistent with </w:t>
      </w:r>
      <w:r w:rsidR="009D2D60">
        <w:t>applicable provisions of the final rule</w:t>
      </w:r>
      <w:r w:rsidRPr="00B31479" w:rsidR="009D2D60">
        <w:t>.</w:t>
      </w:r>
      <w:bookmarkStart w:name="_GoBack" w:id="0"/>
      <w:bookmarkEnd w:id="0"/>
      <w:r w:rsidRPr="000477E6" w:rsidR="00A31A67">
        <w:t xml:space="preserve"> This </w:t>
      </w:r>
      <w:r w:rsidR="00A31A67">
        <w:t xml:space="preserve">IC </w:t>
      </w:r>
      <w:r w:rsidRPr="000477E6" w:rsidR="00A31A67">
        <w:t xml:space="preserve">applies to all </w:t>
      </w:r>
      <w:r w:rsidR="008B0075">
        <w:t xml:space="preserve">employee benefit </w:t>
      </w:r>
      <w:r w:rsidRPr="000477E6" w:rsidR="00A31A67">
        <w:t xml:space="preserve">plans with </w:t>
      </w:r>
      <w:r w:rsidR="008B0075">
        <w:t xml:space="preserve">stock </w:t>
      </w:r>
      <w:r w:rsidRPr="000477E6" w:rsidR="00A31A67">
        <w:t>investments</w:t>
      </w:r>
      <w:r w:rsidR="00AC25D1">
        <w:t xml:space="preserve"> </w:t>
      </w:r>
      <w:r w:rsidRPr="000477E6" w:rsidR="00A31A67">
        <w:t>that have shareholder rights</w:t>
      </w:r>
      <w:r w:rsidR="00AB723D">
        <w:t xml:space="preserve"> that </w:t>
      </w:r>
      <w:r w:rsidR="00A31A67">
        <w:t xml:space="preserve">may need to </w:t>
      </w:r>
      <w:r w:rsidRPr="000477E6" w:rsidR="00A31A67">
        <w:t>be exercised</w:t>
      </w:r>
      <w:r w:rsidR="00A31A67">
        <w:t xml:space="preserve">, and </w:t>
      </w:r>
      <w:r w:rsidR="005B3D23">
        <w:t xml:space="preserve">the </w:t>
      </w:r>
      <w:r w:rsidR="00AB723D">
        <w:t xml:space="preserve">Department’s </w:t>
      </w:r>
      <w:r w:rsidR="00A31A67">
        <w:t>objective</w:t>
      </w:r>
      <w:r w:rsidR="00AB723D">
        <w:t xml:space="preserve"> in including the IC in the final ru</w:t>
      </w:r>
      <w:r w:rsidR="008B0075">
        <w:t>l</w:t>
      </w:r>
      <w:r w:rsidR="00AB723D">
        <w:t>e</w:t>
      </w:r>
      <w:r w:rsidR="00A31A67">
        <w:t xml:space="preserve"> is </w:t>
      </w:r>
      <w:r w:rsidRPr="00C15221" w:rsidR="001D3338">
        <w:t>to ensure that the costs plans incur to vote proxies and exercise other shareholder rights are economica</w:t>
      </w:r>
      <w:r w:rsidRPr="002E1AA8" w:rsidR="001D3338">
        <w:t>lly justified</w:t>
      </w:r>
      <w:r w:rsidR="00B20535">
        <w:t>.</w:t>
      </w:r>
      <w:r w:rsidRPr="002E1AA8" w:rsidR="001D3338">
        <w:t xml:space="preserve"> </w:t>
      </w:r>
    </w:p>
    <w:p w:rsidR="00EB039A" w:rsidP="00F752BF" w:rsidRDefault="00EB039A" w14:paraId="357098E8" w14:textId="77777777">
      <w:pPr>
        <w:ind w:left="720"/>
      </w:pPr>
    </w:p>
    <w:p w:rsidR="00EB039A" w:rsidP="00750800" w:rsidRDefault="00EC5413" w14:paraId="3BA6BE98" w14:textId="77777777">
      <w:pPr>
        <w:ind w:left="720" w:hanging="720"/>
        <w:rPr>
          <w:b/>
          <w:i/>
        </w:rPr>
      </w:pPr>
      <w:r w:rsidRPr="00420372">
        <w:rPr>
          <w:b/>
        </w:rPr>
        <w:t>2.</w:t>
      </w:r>
      <w:r w:rsidR="00750800">
        <w:rPr>
          <w:b/>
          <w:i/>
        </w:rPr>
        <w:tab/>
      </w:r>
      <w:r w:rsidRPr="00547868" w:rsidR="00EB039A">
        <w:rPr>
          <w:b/>
        </w:rPr>
        <w:t>Indicate how, by whom, and for what purpose the information is to be used.  Except for a new collection, indicate the actual use the agency has made of the information received from the current collection.</w:t>
      </w:r>
    </w:p>
    <w:p w:rsidR="00EC5413" w:rsidP="00EB039A" w:rsidRDefault="00EC5413" w14:paraId="06EA9D8C" w14:textId="77777777">
      <w:pPr>
        <w:ind w:left="720"/>
        <w:rPr>
          <w:b/>
          <w:i/>
        </w:rPr>
      </w:pPr>
    </w:p>
    <w:p w:rsidRPr="00E92E42" w:rsidR="00E92E42" w:rsidP="00E92E42" w:rsidRDefault="00A31A67" w14:paraId="71AAAC8B" w14:textId="76BC06BE">
      <w:pPr>
        <w:ind w:left="720"/>
      </w:pPr>
      <w:r w:rsidDel="00C35B7D">
        <w:t>As stated above, this</w:t>
      </w:r>
      <w:r w:rsidDel="00C35B7D" w:rsidR="00EC5413">
        <w:t xml:space="preserve"> </w:t>
      </w:r>
      <w:r w:rsidDel="00C35B7D" w:rsidR="003062E4">
        <w:t>IC</w:t>
      </w:r>
      <w:r w:rsidDel="00C35B7D" w:rsidR="00EC5413">
        <w:t xml:space="preserve"> requires </w:t>
      </w:r>
      <w:r w:rsidDel="00C35B7D">
        <w:t>responsible plan fiduciaries to</w:t>
      </w:r>
      <w:r w:rsidDel="00C35B7D" w:rsidR="00EC5413">
        <w:t xml:space="preserve"> </w:t>
      </w:r>
      <w:r w:rsidDel="00C35B7D" w:rsidR="00D719BE">
        <w:t>m</w:t>
      </w:r>
      <w:r w:rsidRPr="00105AF0" w:rsidDel="00C35B7D" w:rsidR="00D719BE">
        <w:t>aintain records on proxy voting activities and other exercises of shareholder rights</w:t>
      </w:r>
      <w:r w:rsidDel="00C35B7D" w:rsidR="00D719BE">
        <w:t>.</w:t>
      </w:r>
      <w:r w:rsidDel="00C35B7D" w:rsidR="00EC5413">
        <w:t xml:space="preserve">  </w:t>
      </w:r>
      <w:r w:rsidRPr="00A1026A" w:rsidR="00A1026A">
        <w:t>The final rule will help</w:t>
      </w:r>
      <w:r w:rsidR="00817C7D">
        <w:t xml:space="preserve"> fiduciaries </w:t>
      </w:r>
      <w:r w:rsidR="00A1026A">
        <w:t xml:space="preserve">who </w:t>
      </w:r>
      <w:r w:rsidRPr="00A1026A" w:rsidR="00A1026A">
        <w:t xml:space="preserve">manage retirement plans fulfill their duties of </w:t>
      </w:r>
      <w:r w:rsidRPr="00A70CFC" w:rsidR="00A70CFC">
        <w:t xml:space="preserve">prudence </w:t>
      </w:r>
      <w:r w:rsidRPr="00A1026A" w:rsidR="00A1026A">
        <w:t>and loyalty to American workers and retirees when voting proxies and exercising other shareholder rights</w:t>
      </w:r>
      <w:r w:rsidR="00A1026A">
        <w:t xml:space="preserve">.  </w:t>
      </w:r>
      <w:r w:rsidRPr="00A1026A" w:rsidR="00A1026A">
        <w:t>It has long been the view of the Department that compliance</w:t>
      </w:r>
      <w:r w:rsidRPr="00A70CFC" w:rsidR="00A70CFC">
        <w:t xml:space="preserve"> with </w:t>
      </w:r>
      <w:r w:rsidRPr="00A1026A" w:rsidR="00A1026A">
        <w:t>th</w:t>
      </w:r>
      <w:r w:rsidR="00A76E9C">
        <w:t xml:space="preserve">ese duties </w:t>
      </w:r>
      <w:r w:rsidRPr="00A1026A" w:rsidR="00A1026A">
        <w:t xml:space="preserve">necessitates proper documentation. </w:t>
      </w:r>
      <w:r w:rsidR="008E2018">
        <w:t>T</w:t>
      </w:r>
      <w:r w:rsidRPr="00A1026A" w:rsidR="00A1026A">
        <w:t xml:space="preserve">he </w:t>
      </w:r>
      <w:r w:rsidR="008E2018">
        <w:t>final rule includes such</w:t>
      </w:r>
      <w:r w:rsidRPr="00A70CFC" w:rsidR="00A70CFC">
        <w:t xml:space="preserve"> a </w:t>
      </w:r>
      <w:r w:rsidRPr="00A1026A" w:rsidR="00A1026A">
        <w:t>general recordkeeping requirement on proxy voting activities and other exercises of shareholder rights.</w:t>
      </w:r>
      <w:r w:rsidR="00A76E9C">
        <w:t xml:space="preserve"> </w:t>
      </w:r>
      <w:r w:rsidDel="00C35B7D" w:rsidR="00CC3E7D">
        <w:rPr>
          <w:bCs/>
          <w:iCs/>
        </w:rPr>
        <w:t xml:space="preserve">In general, </w:t>
      </w:r>
      <w:r w:rsidRPr="00974C4D" w:rsidDel="00C35B7D" w:rsidR="00CC3E7D">
        <w:rPr>
          <w:bCs/>
          <w:iCs/>
        </w:rPr>
        <w:t>th</w:t>
      </w:r>
      <w:r w:rsidDel="00C35B7D" w:rsidR="00CC3E7D">
        <w:rPr>
          <w:bCs/>
          <w:iCs/>
        </w:rPr>
        <w:t>e</w:t>
      </w:r>
      <w:r w:rsidRPr="00974C4D" w:rsidDel="00C35B7D" w:rsidR="00CC3E7D">
        <w:rPr>
          <w:bCs/>
          <w:iCs/>
        </w:rPr>
        <w:t xml:space="preserve"> extent of the documentation needed to satisfy the monitoring obligation will depend on</w:t>
      </w:r>
      <w:r w:rsidDel="00C35B7D" w:rsidR="00AB723D">
        <w:rPr>
          <w:bCs/>
          <w:iCs/>
        </w:rPr>
        <w:t xml:space="preserve"> the plan’s</w:t>
      </w:r>
      <w:r w:rsidRPr="00974C4D" w:rsidDel="00C35B7D" w:rsidR="00CC3E7D">
        <w:rPr>
          <w:bCs/>
          <w:iCs/>
        </w:rPr>
        <w:t xml:space="preserve"> individual circumstances, including the subject of the proxy voting and its potential economic impact on t</w:t>
      </w:r>
      <w:r w:rsidDel="00C35B7D" w:rsidR="00CC3E7D">
        <w:rPr>
          <w:bCs/>
          <w:iCs/>
        </w:rPr>
        <w:t>h</w:t>
      </w:r>
      <w:r w:rsidRPr="00974C4D" w:rsidDel="00C35B7D" w:rsidR="00CC3E7D">
        <w:rPr>
          <w:bCs/>
          <w:iCs/>
        </w:rPr>
        <w:t>e plan's investment</w:t>
      </w:r>
      <w:r w:rsidRPr="00974C4D" w:rsidR="00CC3E7D">
        <w:rPr>
          <w:bCs/>
          <w:iCs/>
        </w:rPr>
        <w:t xml:space="preserve">. </w:t>
      </w:r>
      <w:r w:rsidR="00CC3E7D">
        <w:rPr>
          <w:bCs/>
          <w:iCs/>
        </w:rPr>
        <w:t xml:space="preserve"> </w:t>
      </w:r>
      <w:r w:rsidRPr="00A76E9C" w:rsidR="00A76E9C">
        <w:rPr>
          <w:bCs/>
          <w:iCs/>
        </w:rPr>
        <w:t>For fiduciaries that are SEC-registered investment advisers, the Department intends that the recordkeeping obligations under paragraph (e</w:t>
      </w:r>
      <w:proofErr w:type="gramStart"/>
      <w:r w:rsidRPr="00A76E9C" w:rsidR="00A76E9C">
        <w:rPr>
          <w:bCs/>
          <w:iCs/>
        </w:rPr>
        <w:t>)(</w:t>
      </w:r>
      <w:proofErr w:type="gramEnd"/>
      <w:r w:rsidRPr="00A76E9C" w:rsidR="00A76E9C">
        <w:rPr>
          <w:bCs/>
          <w:iCs/>
        </w:rPr>
        <w:t xml:space="preserve">2)(ii)(E) </w:t>
      </w:r>
      <w:r w:rsidR="003005E8">
        <w:rPr>
          <w:bCs/>
          <w:iCs/>
        </w:rPr>
        <w:t xml:space="preserve">of the final rule </w:t>
      </w:r>
      <w:r w:rsidRPr="00A76E9C" w:rsidR="00A76E9C">
        <w:rPr>
          <w:bCs/>
          <w:iCs/>
        </w:rPr>
        <w:t xml:space="preserve">be applied in a manner that aligns to similar proxy voting recordkeeping obligations under the Advisers Act  </w:t>
      </w:r>
      <w:r w:rsidR="00771DA8">
        <w:t xml:space="preserve"> </w:t>
      </w:r>
      <w:r w:rsidRPr="00E92E42" w:rsidR="00E92E42">
        <w:t xml:space="preserve">  </w:t>
      </w:r>
    </w:p>
    <w:p w:rsidRPr="00EB039A" w:rsidR="00EB039A" w:rsidP="000264C2" w:rsidRDefault="00EB039A" w14:paraId="3BAA428A" w14:textId="77777777"/>
    <w:p w:rsidRPr="00547868" w:rsidR="00EB039A" w:rsidP="00A44174" w:rsidRDefault="00EC5413" w14:paraId="0DC76D4C" w14:textId="77777777">
      <w:pPr>
        <w:ind w:left="720" w:hanging="720"/>
        <w:rPr>
          <w:b/>
        </w:rPr>
      </w:pPr>
      <w:r w:rsidRPr="00547868">
        <w:rPr>
          <w:b/>
        </w:rPr>
        <w:t>3.</w:t>
      </w:r>
      <w:r w:rsidR="00565B0A">
        <w:rPr>
          <w:b/>
          <w:i/>
        </w:rPr>
        <w:tab/>
      </w:r>
      <w:r w:rsidRPr="00547868" w:rsidR="00EB039A">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547868" w:rsidR="00133A24" w:rsidP="00EF55F3" w:rsidRDefault="00133A24" w14:paraId="36B8A2D3" w14:textId="77777777">
      <w:pPr>
        <w:ind w:left="720"/>
        <w:rPr>
          <w:b/>
        </w:rPr>
      </w:pPr>
    </w:p>
    <w:p w:rsidR="0003538F" w:rsidP="0003538F" w:rsidRDefault="0003538F" w14:paraId="644B448E" w14:textId="77777777">
      <w:pPr>
        <w:ind w:left="720"/>
      </w:pPr>
      <w:r>
        <w:t xml:space="preserve">Use of electronic methods of compliance is neither required nor precluded by the terms of this </w:t>
      </w:r>
      <w:r w:rsidR="003062E4">
        <w:t>IC</w:t>
      </w:r>
      <w:r>
        <w:t xml:space="preserve">.  </w:t>
      </w:r>
      <w:r>
        <w:rPr>
          <w:iCs/>
        </w:rPr>
        <w:t>The Department has assumed that the</w:t>
      </w:r>
      <w:r w:rsidR="00D77847">
        <w:rPr>
          <w:iCs/>
        </w:rPr>
        <w:t xml:space="preserve"> tasks involved with meeting the </w:t>
      </w:r>
      <w:r>
        <w:rPr>
          <w:iCs/>
        </w:rPr>
        <w:t xml:space="preserve">requirements </w:t>
      </w:r>
      <w:r w:rsidR="00D77847">
        <w:rPr>
          <w:iCs/>
        </w:rPr>
        <w:t xml:space="preserve">of the IC </w:t>
      </w:r>
      <w:r w:rsidR="008B0075">
        <w:rPr>
          <w:iCs/>
        </w:rPr>
        <w:t xml:space="preserve">generally </w:t>
      </w:r>
      <w:r>
        <w:rPr>
          <w:iCs/>
        </w:rPr>
        <w:t xml:space="preserve">will be performed by </w:t>
      </w:r>
      <w:r w:rsidR="008B0075">
        <w:rPr>
          <w:iCs/>
        </w:rPr>
        <w:t xml:space="preserve">regulated </w:t>
      </w:r>
      <w:r>
        <w:rPr>
          <w:iCs/>
        </w:rPr>
        <w:t xml:space="preserve">financial </w:t>
      </w:r>
      <w:r w:rsidR="008B0075">
        <w:rPr>
          <w:iCs/>
        </w:rPr>
        <w:t xml:space="preserve">services </w:t>
      </w:r>
      <w:r>
        <w:rPr>
          <w:iCs/>
        </w:rPr>
        <w:t xml:space="preserve">entities </w:t>
      </w:r>
      <w:r w:rsidR="00771DA8">
        <w:rPr>
          <w:iCs/>
        </w:rPr>
        <w:t xml:space="preserve">acting </w:t>
      </w:r>
      <w:r>
        <w:rPr>
          <w:iCs/>
        </w:rPr>
        <w:t xml:space="preserve">on behalf of employee benefit plans in connection with the </w:t>
      </w:r>
      <w:r w:rsidR="00D60D7C">
        <w:rPr>
          <w:iCs/>
        </w:rPr>
        <w:t>proper management and voting</w:t>
      </w:r>
      <w:r>
        <w:rPr>
          <w:iCs/>
        </w:rPr>
        <w:t xml:space="preserve"> of securities</w:t>
      </w:r>
      <w:r w:rsidR="00771DA8">
        <w:rPr>
          <w:iCs/>
        </w:rPr>
        <w:t>,</w:t>
      </w:r>
      <w:r>
        <w:rPr>
          <w:iCs/>
        </w:rPr>
        <w:t xml:space="preserve"> and that </w:t>
      </w:r>
      <w:r w:rsidR="00D60D7C">
        <w:rPr>
          <w:iCs/>
        </w:rPr>
        <w:t xml:space="preserve">the plans and </w:t>
      </w:r>
      <w:r w:rsidR="008B0075">
        <w:rPr>
          <w:iCs/>
        </w:rPr>
        <w:t xml:space="preserve">financial services entities </w:t>
      </w:r>
      <w:r w:rsidR="00D60D7C">
        <w:rPr>
          <w:iCs/>
        </w:rPr>
        <w:t xml:space="preserve">involved </w:t>
      </w:r>
      <w:r>
        <w:rPr>
          <w:iCs/>
        </w:rPr>
        <w:t xml:space="preserve">will establish and maintain recordkeeping systems, and comply with </w:t>
      </w:r>
      <w:r w:rsidR="008B0075">
        <w:rPr>
          <w:iCs/>
        </w:rPr>
        <w:t>the IC requirements</w:t>
      </w:r>
      <w:r>
        <w:rPr>
          <w:iCs/>
        </w:rPr>
        <w:t xml:space="preserve">, by electronic means. </w:t>
      </w:r>
      <w:r w:rsidR="00D60D7C">
        <w:rPr>
          <w:iCs/>
        </w:rPr>
        <w:t xml:space="preserve"> </w:t>
      </w:r>
      <w:r>
        <w:rPr>
          <w:iCs/>
        </w:rPr>
        <w:t>The Department’s estimates</w:t>
      </w:r>
      <w:r w:rsidR="00771DA8">
        <w:rPr>
          <w:iCs/>
        </w:rPr>
        <w:t>,</w:t>
      </w:r>
      <w:r>
        <w:rPr>
          <w:iCs/>
        </w:rPr>
        <w:t xml:space="preserve"> therefore</w:t>
      </w:r>
      <w:r w:rsidR="00771DA8">
        <w:rPr>
          <w:iCs/>
        </w:rPr>
        <w:t>,</w:t>
      </w:r>
      <w:r>
        <w:rPr>
          <w:iCs/>
        </w:rPr>
        <w:t xml:space="preserve"> take account of the use of electronic recordkeeping in establishing the burden </w:t>
      </w:r>
      <w:r w:rsidR="00ED2770">
        <w:rPr>
          <w:iCs/>
        </w:rPr>
        <w:t>associated with this IC</w:t>
      </w:r>
      <w:r>
        <w:rPr>
          <w:iCs/>
        </w:rPr>
        <w:t>.</w:t>
      </w:r>
      <w:r w:rsidR="00D60D7C">
        <w:rPr>
          <w:iCs/>
        </w:rPr>
        <w:t xml:space="preserve"> </w:t>
      </w:r>
    </w:p>
    <w:p w:rsidRPr="00EB039A" w:rsidR="00EB039A" w:rsidP="000264C2" w:rsidRDefault="00EB039A" w14:paraId="3691D580" w14:textId="77777777"/>
    <w:p w:rsidR="00EB039A" w:rsidP="00793FFE" w:rsidRDefault="00A330F6" w14:paraId="13B86825" w14:textId="77777777">
      <w:pPr>
        <w:ind w:left="720" w:hanging="720"/>
        <w:rPr>
          <w:b/>
          <w:i/>
        </w:rPr>
      </w:pPr>
      <w:r w:rsidRPr="00547868">
        <w:rPr>
          <w:b/>
        </w:rPr>
        <w:t>4.</w:t>
      </w:r>
      <w:r w:rsidR="00793FFE">
        <w:rPr>
          <w:b/>
          <w:i/>
        </w:rPr>
        <w:tab/>
      </w:r>
      <w:r w:rsidRPr="00547868" w:rsidR="00EB039A">
        <w:rPr>
          <w:b/>
        </w:rPr>
        <w:t>Describe efforts to identify duplication.  Show specifically why any similar information already available cannot be used or modified for use for the purposes described in Item 2 above.</w:t>
      </w:r>
    </w:p>
    <w:p w:rsidR="0087117A" w:rsidP="00EB039A" w:rsidRDefault="0087117A" w14:paraId="24800259" w14:textId="77777777">
      <w:pPr>
        <w:ind w:left="720"/>
        <w:rPr>
          <w:b/>
          <w:i/>
        </w:rPr>
      </w:pPr>
    </w:p>
    <w:p w:rsidR="00277B3D" w:rsidP="0064117C" w:rsidRDefault="00277C5A" w14:paraId="5DE6DEEE" w14:textId="77777777">
      <w:pPr>
        <w:ind w:left="720"/>
      </w:pPr>
      <w:r w:rsidRPr="00277C5A">
        <w:t xml:space="preserve">The Department notes that </w:t>
      </w:r>
      <w:r w:rsidR="00030A0D">
        <w:rPr>
          <w:rFonts w:eastAsiaTheme="minorEastAsia"/>
          <w:color w:val="000000" w:themeColor="text1"/>
        </w:rPr>
        <w:t xml:space="preserve">the </w:t>
      </w:r>
      <w:r w:rsidRPr="00277C5A">
        <w:rPr>
          <w:rFonts w:eastAsiaTheme="minorEastAsia"/>
          <w:color w:val="000000" w:themeColor="text1"/>
        </w:rPr>
        <w:t>ongoing proxy reform initiative</w:t>
      </w:r>
      <w:r w:rsidR="00030A0D">
        <w:rPr>
          <w:rFonts w:eastAsiaTheme="minorEastAsia"/>
          <w:color w:val="000000" w:themeColor="text1"/>
        </w:rPr>
        <w:t xml:space="preserve"> being pursued by the Securities and Exchange Commission (SEC)</w:t>
      </w:r>
      <w:r w:rsidRPr="00277C5A">
        <w:rPr>
          <w:rFonts w:eastAsiaTheme="minorEastAsia"/>
          <w:color w:val="000000" w:themeColor="text1"/>
        </w:rPr>
        <w:t xml:space="preserve"> </w:t>
      </w:r>
      <w:r w:rsidRPr="003F4B09" w:rsidR="003F4B09">
        <w:rPr>
          <w:rFonts w:eastAsiaTheme="minorEastAsia"/>
          <w:color w:val="000000" w:themeColor="text1"/>
        </w:rPr>
        <w:t xml:space="preserve">may result in changes in practices among </w:t>
      </w:r>
      <w:r w:rsidRPr="003F4B09" w:rsidR="003F4B09">
        <w:rPr>
          <w:rFonts w:eastAsiaTheme="minorEastAsia"/>
          <w:color w:val="000000" w:themeColor="text1"/>
        </w:rPr>
        <w:lastRenderedPageBreak/>
        <w:t xml:space="preserve">investment advisers and proxy advisory firms that will help address some of the Department’s concerns about ERISA fiduciaries properly discharging their duties with respect to proxy voting activities and appropriately selecting and overseeing proxy advisory firms.  </w:t>
      </w:r>
    </w:p>
    <w:p w:rsidR="00277B3D" w:rsidP="0064117C" w:rsidRDefault="00277B3D" w14:paraId="7D033F0D" w14:textId="77777777">
      <w:pPr>
        <w:ind w:left="720"/>
      </w:pPr>
    </w:p>
    <w:p w:rsidRPr="00277B3D" w:rsidR="00277B3D" w:rsidP="00277B3D" w:rsidRDefault="00277B3D" w14:paraId="0096D9D3" w14:textId="77777777">
      <w:pPr>
        <w:ind w:left="720"/>
      </w:pPr>
      <w:r w:rsidRPr="00277B3D">
        <w:t xml:space="preserve">Pursuant to the 2019 SEC Guidance, where an investment adviser has the authority to vote on behalf of its client, the investment adviser, among other things, </w:t>
      </w:r>
      <w:r w:rsidRPr="00277B3D" w:rsidDel="00D226AE">
        <w:t xml:space="preserve">must </w:t>
      </w:r>
      <w:r w:rsidRPr="00277B3D">
        <w:t>have a reasonable understanding of the client’s objectives and must make voting determinations that are in the best interest of the client .  Under this guidance, for an investment adviser to form a reasonable belief that its voting determinations are in the best interest of the client, the investment adviser should conduct an investigation reasonably designed to ensure that the voting determination is not based on materially inaccurate or incomplete information.  The 2019 SEC Guidance also provides that investment advisers that retain proxy advisory firms to provide voting recommendations or voting execution services should consider additional steps to evaluate whether the voting determinations are consistent with the investment adviser’s voting policies and procedures, and in the client’s best interest before the votes are cast.  The 2019 SEC Guidance provides that investment advisers should consider whether the proxy advisory firm has the capacity and competency to adequately analyze the matters for which the investment adviser is responsible for voting.  The 2019 SEC Guidance also explains that an investment adviser’s decision regarding whether to retain a proxy advisory firm should also include a reasonable review of the proxy advisory firm’s policies and procedures regarding how it identifies and addresses conflicts of interest.  Further, as part of the investment adviser’s ongoing compliance program, the investment adviser must, no less frequently than annually, review and document the adequacy of its voting policies and procedures.</w:t>
      </w:r>
    </w:p>
    <w:p w:rsidRPr="00277B3D" w:rsidR="00277B3D" w:rsidP="00277B3D" w:rsidRDefault="00277B3D" w14:paraId="362F301F" w14:textId="77777777">
      <w:pPr>
        <w:ind w:left="720"/>
        <w:rPr>
          <w:i/>
        </w:rPr>
      </w:pPr>
      <w:r w:rsidRPr="00277B3D">
        <w:t>The SEC also adopted regulatory amendments that, among other things, require proxy advisory firms that are engaged in a solicitation to provide specified disclosures, adopt written policies and procedures reasonably designed to ensure that proxy voting advice is made available to securities issuers, and provide proxy advisory firm clients with a mechanism by which the clients can reasonably be expected to become aware of a securities issuer’s views about the proxy voting advice, so that the clients can take such views into account as they vote proxies.</w:t>
      </w:r>
      <w:r w:rsidRPr="00277B3D">
        <w:rPr>
          <w:vertAlign w:val="superscript"/>
        </w:rPr>
        <w:footnoteReference w:id="4"/>
      </w:r>
      <w:r w:rsidRPr="00277B3D">
        <w:t xml:space="preserve">  The SEC issued supplemental guidance to assist investment advisers in assessing how to consider the additional information that may become more readily available to them as a result of these amendments, including in circumstances when the investment adviser uses a proxy advisory firm’s electronic vote management system that “pre-populates” the adviser’s proxies with suggested voting recommendations and/or for voting execution services.</w:t>
      </w:r>
      <w:r w:rsidRPr="00277B3D">
        <w:rPr>
          <w:vertAlign w:val="superscript"/>
        </w:rPr>
        <w:footnoteReference w:id="5"/>
      </w:r>
      <w:r w:rsidRPr="00277B3D">
        <w:t xml:space="preserve">  </w:t>
      </w:r>
    </w:p>
    <w:p w:rsidR="00277B3D" w:rsidP="0064117C" w:rsidRDefault="00277B3D" w14:paraId="4B55DF24" w14:textId="77777777">
      <w:pPr>
        <w:ind w:left="720"/>
      </w:pPr>
    </w:p>
    <w:p w:rsidRPr="0054258B" w:rsidR="00A00679" w:rsidP="00545DB6" w:rsidRDefault="0064117C" w14:paraId="385E5121" w14:textId="2535261F">
      <w:pPr>
        <w:pStyle w:val="FootnoteText"/>
        <w:ind w:left="720"/>
        <w:rPr>
          <w:sz w:val="24"/>
          <w:szCs w:val="24"/>
        </w:rPr>
      </w:pPr>
      <w:r w:rsidRPr="0054258B">
        <w:rPr>
          <w:sz w:val="24"/>
          <w:szCs w:val="24"/>
        </w:rPr>
        <w:t>The Department believes that</w:t>
      </w:r>
      <w:r w:rsidRPr="0054258B" w:rsidR="00C11151">
        <w:rPr>
          <w:sz w:val="24"/>
          <w:szCs w:val="24"/>
        </w:rPr>
        <w:t xml:space="preserve"> investment advisers’ </w:t>
      </w:r>
      <w:r w:rsidRPr="0054258B" w:rsidR="00B31CAD">
        <w:rPr>
          <w:sz w:val="24"/>
          <w:szCs w:val="24"/>
        </w:rPr>
        <w:t>efforts to satisfy new SEC requirements</w:t>
      </w:r>
      <w:r w:rsidRPr="0054258B" w:rsidR="00277B3D">
        <w:rPr>
          <w:sz w:val="24"/>
          <w:szCs w:val="24"/>
        </w:rPr>
        <w:t xml:space="preserve"> will reduce burdens on </w:t>
      </w:r>
      <w:r w:rsidRPr="0054258B" w:rsidR="00B31CAD">
        <w:rPr>
          <w:sz w:val="24"/>
          <w:szCs w:val="24"/>
        </w:rPr>
        <w:t>responsible fiduciaries</w:t>
      </w:r>
      <w:r w:rsidRPr="0054258B" w:rsidR="00A00679">
        <w:rPr>
          <w:sz w:val="24"/>
          <w:szCs w:val="24"/>
        </w:rPr>
        <w:t xml:space="preserve"> </w:t>
      </w:r>
      <w:r w:rsidRPr="0054258B" w:rsidR="00277B3D">
        <w:rPr>
          <w:sz w:val="24"/>
          <w:szCs w:val="24"/>
        </w:rPr>
        <w:t xml:space="preserve">required </w:t>
      </w:r>
      <w:r w:rsidRPr="0054258B" w:rsidR="00A00679">
        <w:rPr>
          <w:sz w:val="24"/>
          <w:szCs w:val="24"/>
        </w:rPr>
        <w:t xml:space="preserve">to comply with the Department’s </w:t>
      </w:r>
      <w:r w:rsidRPr="0054258B" w:rsidR="00AB723D">
        <w:rPr>
          <w:sz w:val="24"/>
          <w:szCs w:val="24"/>
        </w:rPr>
        <w:t>IC contained in the final rule</w:t>
      </w:r>
      <w:r w:rsidRPr="0054258B" w:rsidR="00A00679">
        <w:rPr>
          <w:sz w:val="24"/>
          <w:szCs w:val="24"/>
        </w:rPr>
        <w:t>.</w:t>
      </w:r>
      <w:r w:rsidRPr="0054258B" w:rsidR="00B31CAD">
        <w:rPr>
          <w:sz w:val="24"/>
          <w:szCs w:val="24"/>
        </w:rPr>
        <w:t xml:space="preserve">  </w:t>
      </w:r>
      <w:r w:rsidRPr="0054258B" w:rsidR="00A00679">
        <w:rPr>
          <w:sz w:val="24"/>
          <w:szCs w:val="24"/>
        </w:rPr>
        <w:t xml:space="preserve">The requirements of this </w:t>
      </w:r>
      <w:r w:rsidRPr="0054258B" w:rsidR="003062E4">
        <w:rPr>
          <w:sz w:val="24"/>
          <w:szCs w:val="24"/>
        </w:rPr>
        <w:t xml:space="preserve">IC </w:t>
      </w:r>
      <w:r w:rsidRPr="0054258B" w:rsidR="00A00679">
        <w:rPr>
          <w:sz w:val="24"/>
          <w:szCs w:val="24"/>
        </w:rPr>
        <w:t>and the SEC’s initiatives are not duplicative</w:t>
      </w:r>
      <w:r w:rsidR="00545DB6">
        <w:rPr>
          <w:sz w:val="24"/>
          <w:szCs w:val="24"/>
        </w:rPr>
        <w:t>.</w:t>
      </w:r>
      <w:r w:rsidR="00127C47">
        <w:rPr>
          <w:sz w:val="24"/>
          <w:szCs w:val="24"/>
        </w:rPr>
        <w:t xml:space="preserve"> </w:t>
      </w:r>
      <w:r w:rsidRPr="00545DB6" w:rsidR="00F945E2">
        <w:rPr>
          <w:sz w:val="24"/>
          <w:szCs w:val="24"/>
        </w:rPr>
        <w:t xml:space="preserve">Title I </w:t>
      </w:r>
      <w:r w:rsidR="00545DB6">
        <w:rPr>
          <w:sz w:val="24"/>
          <w:szCs w:val="24"/>
        </w:rPr>
        <w:t xml:space="preserve">of ERISA </w:t>
      </w:r>
      <w:r w:rsidRPr="00545DB6" w:rsidR="00545DB6">
        <w:rPr>
          <w:sz w:val="24"/>
          <w:szCs w:val="24"/>
        </w:rPr>
        <w:t xml:space="preserve">governing </w:t>
      </w:r>
      <w:r w:rsidR="00545DB6">
        <w:rPr>
          <w:sz w:val="24"/>
          <w:szCs w:val="24"/>
        </w:rPr>
        <w:t xml:space="preserve">employee benefit plan </w:t>
      </w:r>
      <w:r w:rsidRPr="00545DB6" w:rsidR="00545DB6">
        <w:rPr>
          <w:sz w:val="24"/>
          <w:szCs w:val="24"/>
        </w:rPr>
        <w:t xml:space="preserve">fiduciaries </w:t>
      </w:r>
      <w:r w:rsidRPr="00545DB6" w:rsidR="00F945E2">
        <w:rPr>
          <w:sz w:val="24"/>
          <w:szCs w:val="24"/>
        </w:rPr>
        <w:t xml:space="preserve">and the federal securities laws and rules governing </w:t>
      </w:r>
      <w:r w:rsidRPr="00545DB6" w:rsidR="00545DB6">
        <w:rPr>
          <w:sz w:val="24"/>
          <w:szCs w:val="24"/>
        </w:rPr>
        <w:t xml:space="preserve">investment advisers may overlap in some respects. </w:t>
      </w:r>
      <w:r w:rsidRPr="00545DB6" w:rsidR="00F945E2">
        <w:rPr>
          <w:sz w:val="24"/>
          <w:szCs w:val="24"/>
        </w:rPr>
        <w:t xml:space="preserve"> </w:t>
      </w:r>
      <w:r w:rsidRPr="00545DB6" w:rsidR="00545DB6">
        <w:rPr>
          <w:sz w:val="24"/>
          <w:szCs w:val="24"/>
        </w:rPr>
        <w:t>I</w:t>
      </w:r>
      <w:r w:rsidRPr="00545DB6" w:rsidR="00F945E2">
        <w:rPr>
          <w:sz w:val="24"/>
          <w:szCs w:val="24"/>
        </w:rPr>
        <w:t xml:space="preserve">n developing the final </w:t>
      </w:r>
      <w:r w:rsidRPr="00545DB6" w:rsidR="00545DB6">
        <w:rPr>
          <w:sz w:val="24"/>
          <w:szCs w:val="24"/>
        </w:rPr>
        <w:t xml:space="preserve">rule, a goal of the Department was to </w:t>
      </w:r>
      <w:r w:rsidRPr="00545DB6" w:rsidR="00F945E2">
        <w:rPr>
          <w:sz w:val="24"/>
          <w:szCs w:val="24"/>
        </w:rPr>
        <w:t>avoiding overlapping or duplicative requirements.</w:t>
      </w:r>
      <w:r w:rsidRPr="00545DB6" w:rsidR="00545DB6">
        <w:rPr>
          <w:sz w:val="24"/>
          <w:szCs w:val="24"/>
        </w:rPr>
        <w:t xml:space="preserve"> </w:t>
      </w:r>
      <w:r w:rsidRPr="00545DB6" w:rsidR="00F945E2">
        <w:rPr>
          <w:sz w:val="24"/>
          <w:szCs w:val="24"/>
        </w:rPr>
        <w:t xml:space="preserve"> To the extent the requirements overlap, compliance with recordkeeping requirements </w:t>
      </w:r>
      <w:r w:rsidRPr="00545DB6" w:rsidR="00545DB6">
        <w:rPr>
          <w:sz w:val="24"/>
          <w:szCs w:val="24"/>
        </w:rPr>
        <w:t xml:space="preserve">applicable to investment advisers under federal securities law and rules </w:t>
      </w:r>
      <w:r w:rsidRPr="00545DB6" w:rsidR="00F945E2">
        <w:rPr>
          <w:sz w:val="24"/>
          <w:szCs w:val="24"/>
        </w:rPr>
        <w:t xml:space="preserve">can be used to satisfy </w:t>
      </w:r>
      <w:r w:rsidRPr="00545DB6" w:rsidR="00545DB6">
        <w:rPr>
          <w:sz w:val="24"/>
          <w:szCs w:val="24"/>
        </w:rPr>
        <w:t xml:space="preserve">recordkeeping requirements in the final rule. </w:t>
      </w:r>
      <w:r w:rsidRPr="00545DB6" w:rsidR="00F945E2">
        <w:rPr>
          <w:sz w:val="24"/>
          <w:szCs w:val="24"/>
        </w:rPr>
        <w:t xml:space="preserve">This will lead to overall regulatory efficiency. </w:t>
      </w:r>
    </w:p>
    <w:p w:rsidRPr="00EB039A" w:rsidR="00EB039A" w:rsidP="000264C2" w:rsidRDefault="00EB039A" w14:paraId="155B2BCB" w14:textId="77777777"/>
    <w:p w:rsidR="00EB039A" w:rsidP="00527974" w:rsidRDefault="00A330F6" w14:paraId="65ABC530" w14:textId="77777777">
      <w:pPr>
        <w:ind w:left="720" w:hanging="720"/>
        <w:rPr>
          <w:b/>
          <w:i/>
        </w:rPr>
      </w:pPr>
      <w:r w:rsidRPr="00547868">
        <w:rPr>
          <w:b/>
        </w:rPr>
        <w:t>5.</w:t>
      </w:r>
      <w:r w:rsidR="00527974">
        <w:rPr>
          <w:b/>
        </w:rPr>
        <w:tab/>
      </w:r>
      <w:r w:rsidRPr="00547868" w:rsidR="00EB039A">
        <w:rPr>
          <w:b/>
        </w:rPr>
        <w:t>If the collection of information impacts small businesses or other small entities describe any methods used to minimize burden.</w:t>
      </w:r>
    </w:p>
    <w:p w:rsidR="00723578" w:rsidP="00EB039A" w:rsidRDefault="00723578" w14:paraId="09B8B65B" w14:textId="77777777">
      <w:pPr>
        <w:ind w:left="720"/>
        <w:rPr>
          <w:b/>
          <w:i/>
        </w:rPr>
      </w:pPr>
    </w:p>
    <w:p w:rsidR="00EB039A" w:rsidP="00EB039A" w:rsidRDefault="00723578" w14:paraId="0E387476" w14:textId="77777777">
      <w:pPr>
        <w:ind w:left="720"/>
      </w:pPr>
      <w:r w:rsidRPr="00186848">
        <w:t xml:space="preserve">This </w:t>
      </w:r>
      <w:r w:rsidR="00ED2770">
        <w:t>IC</w:t>
      </w:r>
      <w:r w:rsidRPr="00186848">
        <w:t xml:space="preserve"> </w:t>
      </w:r>
      <w:r w:rsidR="00710639">
        <w:t xml:space="preserve">will impact small employee benefit plans. </w:t>
      </w:r>
      <w:r w:rsidR="00277B3D">
        <w:t xml:space="preserve"> </w:t>
      </w:r>
      <w:r w:rsidR="00710639">
        <w:t xml:space="preserve">Such plans </w:t>
      </w:r>
      <w:r w:rsidR="003062E4">
        <w:t>may rely on third-party service providers, such as asset managers, to act as responsible fiduciaries or otherwise assist with the exercise of plans’ shareholder rights</w:t>
      </w:r>
      <w:r w:rsidR="00D77847">
        <w:t>, including voting proxies</w:t>
      </w:r>
      <w:r w:rsidR="00710639">
        <w:t>.</w:t>
      </w:r>
      <w:r w:rsidR="00277B3D">
        <w:t xml:space="preserve">  Burdens on plans, including small plans, associated with the IC were substantially minimized by</w:t>
      </w:r>
      <w:r w:rsidR="002D2DD1">
        <w:t xml:space="preserve"> </w:t>
      </w:r>
      <w:r w:rsidR="00710639">
        <w:t>a revision the Department made in the final rule</w:t>
      </w:r>
      <w:r w:rsidR="002D2DD1">
        <w:t>,</w:t>
      </w:r>
      <w:r w:rsidR="00710639">
        <w:t xml:space="preserve"> remov</w:t>
      </w:r>
      <w:r w:rsidR="002D2DD1">
        <w:t>ing</w:t>
      </w:r>
      <w:r w:rsidR="00710639">
        <w:t xml:space="preserve"> a requirement in the proposal that required responsible plan fiduciaries to </w:t>
      </w:r>
      <w:r w:rsidRPr="00710639" w:rsidR="00710639">
        <w:t xml:space="preserve">maintain documents necessary to demonstrate the basis for </w:t>
      </w:r>
      <w:r w:rsidR="00277B3D">
        <w:t xml:space="preserve">each </w:t>
      </w:r>
      <w:r w:rsidRPr="00710639" w:rsidR="00710639">
        <w:t>vote</w:t>
      </w:r>
      <w:r w:rsidR="00277B3D">
        <w:t>.  The revision was made</w:t>
      </w:r>
      <w:r w:rsidR="00710639">
        <w:t xml:space="preserve"> in response to comments that the requirement was unnecessary and </w:t>
      </w:r>
      <w:r w:rsidR="00277B3D">
        <w:t xml:space="preserve">would be </w:t>
      </w:r>
      <w:r w:rsidR="00710639">
        <w:t>costly.</w:t>
      </w:r>
      <w:r w:rsidR="00030A0D">
        <w:t xml:space="preserve">  The final rule also includes optional safe harbors for proxy voting policies that the Department expects at least some plans will adopt</w:t>
      </w:r>
      <w:r w:rsidR="002D2DD1">
        <w:t>,</w:t>
      </w:r>
      <w:r w:rsidR="00030A0D">
        <w:t xml:space="preserve"> and burdens of the IC are </w:t>
      </w:r>
      <w:r w:rsidRPr="00030A0D" w:rsidR="00030A0D">
        <w:t xml:space="preserve">likely to reduce by the adoption of </w:t>
      </w:r>
      <w:r w:rsidR="00030A0D">
        <w:t xml:space="preserve">such </w:t>
      </w:r>
      <w:r w:rsidRPr="00030A0D" w:rsidR="00030A0D">
        <w:t>proxy voting policies</w:t>
      </w:r>
      <w:r w:rsidR="00030A0D">
        <w:t>.</w:t>
      </w:r>
    </w:p>
    <w:p w:rsidRPr="00EB039A" w:rsidR="00A457B7" w:rsidP="00EB039A" w:rsidRDefault="00A457B7" w14:paraId="26D89D93" w14:textId="77777777">
      <w:pPr>
        <w:ind w:left="720"/>
      </w:pPr>
    </w:p>
    <w:p w:rsidRPr="00547868" w:rsidR="00EB039A" w:rsidP="00BF5E85" w:rsidRDefault="006C4686" w14:paraId="5F21C78C" w14:textId="77777777">
      <w:pPr>
        <w:ind w:left="720" w:hanging="720"/>
        <w:rPr>
          <w:b/>
        </w:rPr>
      </w:pPr>
      <w:r w:rsidRPr="00547868">
        <w:rPr>
          <w:b/>
        </w:rPr>
        <w:t>6.</w:t>
      </w:r>
      <w:r w:rsidR="00BF5E85">
        <w:rPr>
          <w:b/>
          <w:i/>
        </w:rPr>
        <w:tab/>
      </w:r>
      <w:r w:rsidRPr="00547868" w:rsidR="00EB039A">
        <w:rPr>
          <w:b/>
        </w:rPr>
        <w:t>Describe the consequence to Federal program or policy activities if the collection is not conducted or is conducted less frequently, as well as any technical or legal obstacles to reducing burden.</w:t>
      </w:r>
    </w:p>
    <w:p w:rsidR="007C3733" w:rsidP="00117D58" w:rsidRDefault="007C3733" w14:paraId="2DF13A13" w14:textId="77777777">
      <w:pPr>
        <w:ind w:left="720"/>
      </w:pPr>
    </w:p>
    <w:p w:rsidR="00654D84" w:rsidP="00386E3F" w:rsidRDefault="00771DA8" w14:paraId="1A4DBA2E" w14:textId="77777777">
      <w:pPr>
        <w:ind w:left="720"/>
      </w:pPr>
      <w:r>
        <w:t xml:space="preserve">The final rule requires </w:t>
      </w:r>
      <w:r w:rsidR="00277B3D">
        <w:t xml:space="preserve">responsible plan </w:t>
      </w:r>
      <w:r w:rsidR="00654D84">
        <w:t xml:space="preserve">fiduciaries </w:t>
      </w:r>
      <w:r>
        <w:t xml:space="preserve">to </w:t>
      </w:r>
      <w:r w:rsidR="00654D84">
        <w:t xml:space="preserve">maintain </w:t>
      </w:r>
      <w:r w:rsidR="00AC5532">
        <w:t>records</w:t>
      </w:r>
      <w:r w:rsidR="00654D84">
        <w:t xml:space="preserve"> </w:t>
      </w:r>
      <w:r w:rsidRPr="00105AF0" w:rsidR="00386E3F">
        <w:t>on proxy voting activities and other exercises of shareholder rights</w:t>
      </w:r>
      <w:r w:rsidR="008405D0">
        <w:t xml:space="preserve">. </w:t>
      </w:r>
      <w:r w:rsidR="00386E3F">
        <w:t xml:space="preserve"> </w:t>
      </w:r>
      <w:r w:rsidR="00654D84">
        <w:t>This requirement</w:t>
      </w:r>
      <w:r>
        <w:t xml:space="preserve"> is essential to</w:t>
      </w:r>
      <w:r w:rsidR="00654D84">
        <w:t xml:space="preserve"> ensure that plan assets are protected, and that named fiduciaries</w:t>
      </w:r>
      <w:r w:rsidR="002D2DD1">
        <w:t>’</w:t>
      </w:r>
      <w:r w:rsidR="00654D84">
        <w:t xml:space="preserve"> compliance can be monitored by the Department</w:t>
      </w:r>
      <w:r>
        <w:t xml:space="preserve"> in performing its oversight responsibilities under ERISA</w:t>
      </w:r>
      <w:r w:rsidR="00654D84">
        <w:t>.</w:t>
      </w:r>
    </w:p>
    <w:p w:rsidRPr="00EB039A" w:rsidR="00EB039A" w:rsidP="00EB039A" w:rsidRDefault="00EB039A" w14:paraId="32EC30EE" w14:textId="77777777">
      <w:pPr>
        <w:ind w:left="720"/>
      </w:pPr>
    </w:p>
    <w:p w:rsidRPr="00547868" w:rsidR="00EB039A" w:rsidP="00477D42" w:rsidRDefault="009A0938" w14:paraId="2A1DF979" w14:textId="77777777">
      <w:pPr>
        <w:ind w:left="720" w:hanging="720"/>
        <w:rPr>
          <w:b/>
        </w:rPr>
      </w:pPr>
      <w:r w:rsidRPr="00547868">
        <w:rPr>
          <w:b/>
        </w:rPr>
        <w:t>7.</w:t>
      </w:r>
      <w:r w:rsidR="00477D42">
        <w:rPr>
          <w:b/>
          <w:i/>
        </w:rPr>
        <w:tab/>
      </w:r>
      <w:r w:rsidRPr="00547868" w:rsidR="00EB039A">
        <w:rPr>
          <w:b/>
        </w:rPr>
        <w:t>Explain any special circumstances that would cause an information collection to be conducted in a manner:</w:t>
      </w:r>
    </w:p>
    <w:p w:rsidRPr="00547868" w:rsidR="00DB6234" w:rsidP="00547868" w:rsidRDefault="00EB039A" w14:paraId="5AF856B8" w14:textId="77777777">
      <w:pPr>
        <w:pStyle w:val="ListParagraph"/>
        <w:numPr>
          <w:ilvl w:val="0"/>
          <w:numId w:val="8"/>
        </w:numPr>
        <w:rPr>
          <w:b/>
          <w:iCs/>
        </w:rPr>
      </w:pPr>
      <w:r w:rsidRPr="00547868">
        <w:rPr>
          <w:b/>
          <w:iCs/>
        </w:rPr>
        <w:t>requiring respondents to report information to the agency more often than quarterly;</w:t>
      </w:r>
    </w:p>
    <w:p w:rsidRPr="00547868" w:rsidR="00DB6234" w:rsidP="00547868" w:rsidRDefault="00EB039A" w14:paraId="0423C0CA" w14:textId="77777777">
      <w:pPr>
        <w:pStyle w:val="ListParagraph"/>
        <w:numPr>
          <w:ilvl w:val="0"/>
          <w:numId w:val="8"/>
        </w:numPr>
        <w:rPr>
          <w:b/>
          <w:iCs/>
        </w:rPr>
      </w:pPr>
      <w:r w:rsidRPr="00547868">
        <w:rPr>
          <w:b/>
          <w:iCs/>
        </w:rPr>
        <w:t>requiring respondents to prepare a written response to a collection of information in fewer than 30 days after receipt of it;</w:t>
      </w:r>
    </w:p>
    <w:p w:rsidRPr="00547868" w:rsidR="00DB6234" w:rsidP="00547868" w:rsidRDefault="00EB039A" w14:paraId="6AA7C718" w14:textId="77777777">
      <w:pPr>
        <w:pStyle w:val="ListParagraph"/>
        <w:numPr>
          <w:ilvl w:val="0"/>
          <w:numId w:val="8"/>
        </w:numPr>
        <w:rPr>
          <w:b/>
          <w:iCs/>
        </w:rPr>
      </w:pPr>
      <w:r w:rsidRPr="00547868">
        <w:rPr>
          <w:b/>
          <w:iCs/>
        </w:rPr>
        <w:t>requiring respondents to submit more than an original and two copies of any document;</w:t>
      </w:r>
    </w:p>
    <w:p w:rsidRPr="00547868" w:rsidR="00DB6234" w:rsidP="00547868" w:rsidRDefault="00EB039A" w14:paraId="418DC906" w14:textId="77777777">
      <w:pPr>
        <w:pStyle w:val="ListParagraph"/>
        <w:numPr>
          <w:ilvl w:val="0"/>
          <w:numId w:val="8"/>
        </w:numPr>
        <w:rPr>
          <w:b/>
          <w:iCs/>
        </w:rPr>
      </w:pPr>
      <w:r w:rsidRPr="00547868">
        <w:rPr>
          <w:b/>
          <w:iCs/>
        </w:rPr>
        <w:t>requiring respondents to retain records, other than health, medical, government contract, grant-in-aid, or tax records for more than three years;</w:t>
      </w:r>
    </w:p>
    <w:p w:rsidRPr="00547868" w:rsidR="00DB6234" w:rsidP="00547868" w:rsidRDefault="00EB039A" w14:paraId="7765B4D5" w14:textId="77777777">
      <w:pPr>
        <w:pStyle w:val="ListParagraph"/>
        <w:numPr>
          <w:ilvl w:val="0"/>
          <w:numId w:val="8"/>
        </w:numPr>
        <w:rPr>
          <w:b/>
          <w:iCs/>
        </w:rPr>
      </w:pPr>
      <w:r w:rsidRPr="00547868">
        <w:rPr>
          <w:b/>
          <w:iCs/>
        </w:rPr>
        <w:t>in connection with a statistical survey, that is not designed to produce valid and reliable results that can be generalized to the universe of study;</w:t>
      </w:r>
    </w:p>
    <w:p w:rsidRPr="00547868" w:rsidR="00DB6234" w:rsidP="00547868" w:rsidRDefault="00EB039A" w14:paraId="13D73E6D" w14:textId="77777777">
      <w:pPr>
        <w:pStyle w:val="ListParagraph"/>
        <w:numPr>
          <w:ilvl w:val="0"/>
          <w:numId w:val="8"/>
        </w:numPr>
        <w:rPr>
          <w:b/>
          <w:iCs/>
        </w:rPr>
      </w:pPr>
      <w:r w:rsidRPr="00547868">
        <w:rPr>
          <w:b/>
          <w:iCs/>
        </w:rPr>
        <w:t>requiring the use of a statistical data classification that has not been reviewed and approved by OMB;</w:t>
      </w:r>
    </w:p>
    <w:p w:rsidRPr="00547868" w:rsidR="00DB6234" w:rsidP="00547868" w:rsidRDefault="00EB039A" w14:paraId="43829691" w14:textId="77777777">
      <w:pPr>
        <w:pStyle w:val="ListParagraph"/>
        <w:numPr>
          <w:ilvl w:val="0"/>
          <w:numId w:val="8"/>
        </w:numPr>
        <w:rPr>
          <w:b/>
          <w:iCs/>
        </w:rPr>
      </w:pPr>
      <w:r w:rsidRPr="00547868">
        <w:rPr>
          <w:b/>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47868" w:rsidR="00EB039A" w:rsidP="00547868" w:rsidRDefault="00EB039A" w14:paraId="03D710A5" w14:textId="77777777">
      <w:pPr>
        <w:pStyle w:val="ListParagraph"/>
        <w:numPr>
          <w:ilvl w:val="0"/>
          <w:numId w:val="8"/>
        </w:numPr>
        <w:rPr>
          <w:b/>
          <w:iCs/>
        </w:rPr>
      </w:pPr>
      <w:r w:rsidRPr="00547868">
        <w:rPr>
          <w:b/>
          <w:iCs/>
        </w:rPr>
        <w:t>requiring respondents to submit proprietary trade secret, or other confidential information unless the agency can demonstrate that it has instituted procedures to protect the information’s confidentiality to the extent permitted by law.</w:t>
      </w:r>
    </w:p>
    <w:p w:rsidRPr="00EB039A" w:rsidR="00EB039A" w:rsidP="00EB039A" w:rsidRDefault="00EB039A" w14:paraId="6CA646DB" w14:textId="77777777">
      <w:pPr>
        <w:ind w:left="720"/>
      </w:pPr>
    </w:p>
    <w:p w:rsidRPr="00EB039A" w:rsidR="00EB039A" w:rsidP="00EB039A" w:rsidRDefault="00EB039A" w14:paraId="41F93340" w14:textId="77777777">
      <w:pPr>
        <w:ind w:left="720"/>
      </w:pPr>
      <w:r w:rsidRPr="00EB039A">
        <w:t>There are no special circumstances that require the collection to be conducted in a manner inconsistent with the guidelines in 5 CFR 1320.5.</w:t>
      </w:r>
    </w:p>
    <w:p w:rsidRPr="00EB039A" w:rsidR="00EB039A" w:rsidP="00EB039A" w:rsidRDefault="00EB039A" w14:paraId="102FE31D" w14:textId="77777777">
      <w:pPr>
        <w:ind w:left="720"/>
      </w:pPr>
    </w:p>
    <w:p w:rsidRPr="00547868" w:rsidR="00EB039A" w:rsidP="003B35E7" w:rsidRDefault="00501DF2" w14:paraId="1828803E" w14:textId="77777777">
      <w:pPr>
        <w:ind w:left="720" w:hanging="720"/>
        <w:rPr>
          <w:b/>
        </w:rPr>
      </w:pPr>
      <w:r w:rsidRPr="00547868">
        <w:rPr>
          <w:b/>
        </w:rPr>
        <w:t>8.</w:t>
      </w:r>
      <w:r w:rsidR="003B35E7">
        <w:rPr>
          <w:b/>
          <w:i/>
        </w:rPr>
        <w:tab/>
      </w:r>
      <w:r w:rsidRPr="00547868" w:rsidR="00EB039A">
        <w:rPr>
          <w:b/>
        </w:rPr>
        <w:t>If applicable, provide a copy and identify the date and page number of publication in the Federal Register of the agency’s notice, required by 5 C.F.R. §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547868" w:rsidR="00EB039A" w:rsidP="00EB039A" w:rsidRDefault="00EB039A" w14:paraId="64CC808B" w14:textId="77777777">
      <w:pPr>
        <w:ind w:left="720"/>
        <w:rPr>
          <w:iCs/>
        </w:rPr>
      </w:pPr>
    </w:p>
    <w:p w:rsidRPr="00547868" w:rsidR="00EB039A" w:rsidP="00EB039A" w:rsidRDefault="00EB039A" w14:paraId="146C5347" w14:textId="77777777">
      <w:pPr>
        <w:ind w:left="720"/>
        <w:rPr>
          <w:b/>
          <w:iCs/>
        </w:rPr>
      </w:pPr>
      <w:r w:rsidRPr="00547868">
        <w:rPr>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547868" w:rsidR="00EB039A" w:rsidP="00EB039A" w:rsidRDefault="00EB039A" w14:paraId="1AC38B29" w14:textId="77777777">
      <w:pPr>
        <w:ind w:left="720"/>
        <w:rPr>
          <w:b/>
          <w:iCs/>
        </w:rPr>
      </w:pPr>
    </w:p>
    <w:p w:rsidRPr="00547868" w:rsidR="00AA3FD1" w:rsidP="00AA3FD1" w:rsidRDefault="00EB039A" w14:paraId="5ABE587E" w14:textId="77777777">
      <w:pPr>
        <w:ind w:left="720"/>
        <w:rPr>
          <w:b/>
          <w:iCs/>
        </w:rPr>
      </w:pPr>
      <w:r w:rsidRPr="00547868">
        <w:rPr>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01DF2" w:rsidP="00EB039A" w:rsidRDefault="00501DF2" w14:paraId="5355C73E" w14:textId="77777777">
      <w:pPr>
        <w:ind w:left="720"/>
        <w:rPr>
          <w:b/>
          <w:i/>
          <w:iCs/>
        </w:rPr>
      </w:pPr>
    </w:p>
    <w:p w:rsidR="00AA3FD1" w:rsidP="00AA3FD1" w:rsidRDefault="00AA3FD1" w14:paraId="1CC97DD3" w14:textId="31206105">
      <w:pPr>
        <w:ind w:left="720"/>
        <w:rPr>
          <w:iCs/>
        </w:rPr>
      </w:pPr>
      <w:r w:rsidRPr="00B44ADF">
        <w:rPr>
          <w:bCs/>
        </w:rPr>
        <w:t xml:space="preserve">The Department published the required 60-day notice </w:t>
      </w:r>
      <w:r w:rsidRPr="00B44ADF">
        <w:rPr>
          <w:iCs/>
        </w:rPr>
        <w:t xml:space="preserve">soliciting comments on the IC in the preamble to the Notice of Proposed Rulemaking published in the Federal Register on </w:t>
      </w:r>
      <w:r w:rsidR="006211C3">
        <w:rPr>
          <w:iCs/>
        </w:rPr>
        <w:t>September 4</w:t>
      </w:r>
      <w:r w:rsidRPr="00B44ADF">
        <w:rPr>
          <w:iCs/>
        </w:rPr>
        <w:t>, 2020 (85 FR 55219</w:t>
      </w:r>
      <w:r>
        <w:rPr>
          <w:iCs/>
        </w:rPr>
        <w:t xml:space="preserve">).  </w:t>
      </w:r>
      <w:r w:rsidRPr="00552B7F">
        <w:rPr>
          <w:iCs/>
        </w:rPr>
        <w:t xml:space="preserve">In response, the Department received over </w:t>
      </w:r>
      <w:r w:rsidR="005907A9">
        <w:rPr>
          <w:iCs/>
        </w:rPr>
        <w:t>300</w:t>
      </w:r>
      <w:r>
        <w:rPr>
          <w:iCs/>
        </w:rPr>
        <w:t xml:space="preserve"> </w:t>
      </w:r>
      <w:r w:rsidRPr="00552B7F">
        <w:rPr>
          <w:iCs/>
        </w:rPr>
        <w:t xml:space="preserve">written comments during the open comment period from a variety of parties, including members of Congress, plan sponsors and fiduciaries, </w:t>
      </w:r>
      <w:r w:rsidR="005C20BA">
        <w:rPr>
          <w:iCs/>
        </w:rPr>
        <w:t xml:space="preserve">and </w:t>
      </w:r>
      <w:r w:rsidRPr="00552B7F">
        <w:rPr>
          <w:iCs/>
        </w:rPr>
        <w:t xml:space="preserve">plan service and investment providers.  </w:t>
      </w:r>
      <w:r w:rsidRPr="00354DB2">
        <w:rPr>
          <w:iCs/>
        </w:rPr>
        <w:t xml:space="preserve">Responses to </w:t>
      </w:r>
      <w:r w:rsidR="00771DA8">
        <w:rPr>
          <w:iCs/>
        </w:rPr>
        <w:t xml:space="preserve">the public comments are included in the </w:t>
      </w:r>
      <w:r w:rsidRPr="00354DB2">
        <w:rPr>
          <w:iCs/>
        </w:rPr>
        <w:t xml:space="preserve">preamble of the final rule. </w:t>
      </w:r>
      <w:r w:rsidR="00995E2C">
        <w:rPr>
          <w:iCs/>
        </w:rPr>
        <w:t xml:space="preserve"> </w:t>
      </w:r>
      <w:r w:rsidRPr="00491CB2" w:rsidR="00491CB2">
        <w:rPr>
          <w:iCs/>
        </w:rPr>
        <w:t xml:space="preserve">The Department also received over </w:t>
      </w:r>
      <w:r w:rsidR="00491CB2">
        <w:rPr>
          <w:iCs/>
        </w:rPr>
        <w:t>6,700</w:t>
      </w:r>
      <w:r w:rsidRPr="00491CB2" w:rsidR="00491CB2">
        <w:rPr>
          <w:iCs/>
        </w:rPr>
        <w:t xml:space="preserve"> submissions as part of </w:t>
      </w:r>
      <w:r w:rsidR="00491CB2">
        <w:rPr>
          <w:iCs/>
        </w:rPr>
        <w:t>two</w:t>
      </w:r>
      <w:r w:rsidRPr="00491CB2" w:rsidR="00491CB2">
        <w:rPr>
          <w:iCs/>
        </w:rPr>
        <w:t xml:space="preserve"> separate petitions (i.e., form letters). </w:t>
      </w:r>
      <w:r w:rsidRPr="00354DB2">
        <w:rPr>
          <w:iCs/>
        </w:rPr>
        <w:t xml:space="preserve"> The comments can be found at </w:t>
      </w:r>
      <w:hyperlink w:history="1" r:id="rId11">
        <w:r w:rsidRPr="003659A5">
          <w:rPr>
            <w:rStyle w:val="Hyperlink"/>
            <w:iCs/>
          </w:rPr>
          <w:t>https://www.dol.gov/agencies/ebsa/laws-and-regulations/rules-and-regulations/public-comments/1210-AB91</w:t>
        </w:r>
      </w:hyperlink>
      <w:r w:rsidRPr="00354DB2">
        <w:rPr>
          <w:iCs/>
        </w:rPr>
        <w:t>.</w:t>
      </w:r>
    </w:p>
    <w:p w:rsidR="00AA3FD1" w:rsidP="00AA3FD1" w:rsidRDefault="00AA3FD1" w14:paraId="78ECDB7E" w14:textId="77777777">
      <w:pPr>
        <w:ind w:left="720"/>
        <w:rPr>
          <w:iCs/>
        </w:rPr>
      </w:pPr>
    </w:p>
    <w:p w:rsidRPr="00197261" w:rsidR="00AA3FD1" w:rsidP="00AA3FD1" w:rsidRDefault="00AA3FD1" w14:paraId="31AD7ACB" w14:textId="77777777">
      <w:pPr>
        <w:ind w:left="720"/>
        <w:rPr>
          <w:iCs/>
        </w:rPr>
      </w:pPr>
      <w:r w:rsidRPr="00197261">
        <w:rPr>
          <w:iCs/>
        </w:rPr>
        <w:t>The Department received comments that specifically addressed the paperwork burden analysis of the IC contained in the prop</w:t>
      </w:r>
      <w:r w:rsidR="00771DA8">
        <w:rPr>
          <w:iCs/>
        </w:rPr>
        <w:t xml:space="preserve">osed rule.  The Department carefully considered such </w:t>
      </w:r>
      <w:r w:rsidRPr="00197261">
        <w:rPr>
          <w:iCs/>
        </w:rPr>
        <w:t>public comments in developing the revised paperwork burden analysis for the final rule discussed below.</w:t>
      </w:r>
    </w:p>
    <w:p w:rsidR="00AA3FD1" w:rsidP="00AA3FD1" w:rsidRDefault="00AA3FD1" w14:paraId="674C87B3" w14:textId="77777777">
      <w:pPr>
        <w:ind w:left="720"/>
        <w:rPr>
          <w:iCs/>
        </w:rPr>
      </w:pPr>
    </w:p>
    <w:p w:rsidR="00C72745" w:rsidP="00C72745" w:rsidRDefault="00C72745" w14:paraId="0CE9C901" w14:textId="78011722">
      <w:pPr>
        <w:keepNext/>
        <w:ind w:left="720"/>
      </w:pPr>
      <w:r w:rsidRPr="00940619">
        <w:t xml:space="preserve">Commenters expressed concerns that the </w:t>
      </w:r>
      <w:r>
        <w:t xml:space="preserve">proposed </w:t>
      </w:r>
      <w:r w:rsidRPr="00940619">
        <w:t xml:space="preserve">rule would be onerous </w:t>
      </w:r>
      <w:r>
        <w:t>because</w:t>
      </w:r>
      <w:r w:rsidRPr="00940619">
        <w:t xml:space="preserve"> it would not be feasible for plan fiduciaries to determine the economic impact of every proxy vote in a detailed way and document it.  Thus, commenters suggested that the Department underestimated the amount of time that fiduciaries and clerical staff would </w:t>
      </w:r>
      <w:r>
        <w:t xml:space="preserve">spend documenting and </w:t>
      </w:r>
      <w:r w:rsidRPr="00940619">
        <w:t>maintain</w:t>
      </w:r>
      <w:r>
        <w:t>ing</w:t>
      </w:r>
      <w:r w:rsidRPr="00940619">
        <w:t xml:space="preserve"> documentation</w:t>
      </w:r>
      <w:r>
        <w:t xml:space="preserve"> for votes</w:t>
      </w:r>
      <w:r w:rsidRPr="00940619">
        <w:t xml:space="preserve">. </w:t>
      </w:r>
      <w:r>
        <w:t>T</w:t>
      </w:r>
      <w:r w:rsidRPr="00940619">
        <w:t xml:space="preserve">he Department believes </w:t>
      </w:r>
      <w:r>
        <w:t xml:space="preserve">that with this revision, the final </w:t>
      </w:r>
      <w:r w:rsidRPr="00940619">
        <w:t xml:space="preserve">rule’s </w:t>
      </w:r>
      <w:r>
        <w:t xml:space="preserve">documentation and recordkeeping </w:t>
      </w:r>
      <w:r w:rsidRPr="00940619">
        <w:t>requirement</w:t>
      </w:r>
      <w:r>
        <w:t xml:space="preserve">s should result in less burden than the proposal’s requirements because the final rule requirements </w:t>
      </w:r>
      <w:r w:rsidRPr="00940619">
        <w:t xml:space="preserve">mirror previous guidance and align with </w:t>
      </w:r>
      <w:r>
        <w:t xml:space="preserve">the </w:t>
      </w:r>
      <w:r w:rsidRPr="00940619">
        <w:t>existing fiduciary dut</w:t>
      </w:r>
      <w:r>
        <w:t>y</w:t>
      </w:r>
      <w:r w:rsidRPr="00940619">
        <w:t xml:space="preserve"> of documentation. </w:t>
      </w:r>
      <w:r>
        <w:t xml:space="preserve"> </w:t>
      </w:r>
    </w:p>
    <w:p w:rsidR="00C72745" w:rsidP="00C72745" w:rsidRDefault="00C72745" w14:paraId="7FD0D937" w14:textId="77777777">
      <w:pPr>
        <w:keepNext/>
        <w:ind w:left="720"/>
      </w:pPr>
    </w:p>
    <w:p w:rsidR="001C42D2" w:rsidP="003C5255" w:rsidRDefault="00C72745" w14:paraId="7DFEC294" w14:textId="1E53FD4B">
      <w:pPr>
        <w:keepNext/>
        <w:ind w:left="720"/>
      </w:pPr>
      <w:r w:rsidRPr="00E078A5">
        <w:t xml:space="preserve">Although the final rule did not carry forward the proposal’s more burdensome documentation requirements, the Department is retaining the documentation time estimate from the proposal in light of the comments that argued the Department underestimated the recordkeeping burden and because of the uncertainty involved in determining which plans will need to change recordkeeping practices to comply with the final rule.  Retaining the estimate is responsive to the comments and is intended to avoid underestimating the average time required for plan fiduciaries to comply with the final rule. </w:t>
      </w:r>
    </w:p>
    <w:p w:rsidR="003C5255" w:rsidP="003C5255" w:rsidRDefault="003C5255" w14:paraId="1728E903" w14:textId="77777777">
      <w:pPr>
        <w:keepNext/>
        <w:ind w:left="720"/>
      </w:pPr>
    </w:p>
    <w:p w:rsidRPr="00547868" w:rsidR="00EB039A" w:rsidP="00F434CD" w:rsidRDefault="00501DF2" w14:paraId="6E88F69E" w14:textId="77777777">
      <w:pPr>
        <w:keepNext/>
        <w:ind w:left="720" w:hanging="720"/>
        <w:rPr>
          <w:b/>
        </w:rPr>
      </w:pPr>
      <w:r w:rsidRPr="00547868">
        <w:rPr>
          <w:b/>
        </w:rPr>
        <w:t>9.</w:t>
      </w:r>
      <w:r w:rsidR="00F434CD">
        <w:rPr>
          <w:b/>
        </w:rPr>
        <w:tab/>
      </w:r>
      <w:r w:rsidRPr="00547868" w:rsidR="00EB039A">
        <w:rPr>
          <w:b/>
        </w:rPr>
        <w:t>Explain any decision to provide any payment or gift to respondents, other than remuneration of contractors or grantees.</w:t>
      </w:r>
    </w:p>
    <w:p w:rsidRPr="00EB039A" w:rsidR="00EB039A" w:rsidP="007144B9" w:rsidRDefault="00EB039A" w14:paraId="1769EFCE" w14:textId="77777777">
      <w:pPr>
        <w:keepNext/>
        <w:ind w:left="720"/>
      </w:pPr>
    </w:p>
    <w:p w:rsidRPr="00EB039A" w:rsidR="00EB039A" w:rsidP="007144B9" w:rsidRDefault="00EB039A" w14:paraId="56217499" w14:textId="77777777">
      <w:pPr>
        <w:keepNext/>
        <w:ind w:left="720"/>
      </w:pPr>
      <w:r w:rsidRPr="00EB039A">
        <w:t>No payments or gifts are provided to respondents.</w:t>
      </w:r>
    </w:p>
    <w:p w:rsidRPr="00EB039A" w:rsidR="00EB039A" w:rsidP="007144B9" w:rsidRDefault="00EB039A" w14:paraId="5C82E55A" w14:textId="77777777">
      <w:pPr>
        <w:keepNext/>
        <w:ind w:left="720"/>
      </w:pPr>
    </w:p>
    <w:p w:rsidRPr="00547868" w:rsidR="00EB039A" w:rsidP="001F688C" w:rsidRDefault="00564EF1" w14:paraId="24A58A62" w14:textId="77777777">
      <w:pPr>
        <w:ind w:left="720" w:hanging="720"/>
        <w:rPr>
          <w:b/>
        </w:rPr>
      </w:pPr>
      <w:r w:rsidRPr="00547868">
        <w:rPr>
          <w:b/>
        </w:rPr>
        <w:t>10.</w:t>
      </w:r>
      <w:r w:rsidR="001F688C">
        <w:rPr>
          <w:b/>
          <w:i/>
        </w:rPr>
        <w:tab/>
      </w:r>
      <w:r w:rsidRPr="00547868" w:rsidR="00EB039A">
        <w:rPr>
          <w:b/>
        </w:rPr>
        <w:t>Describe any assurance of confidentiality provided to respondents and the basis for the assurance in statute, regulation, or agency policy.</w:t>
      </w:r>
    </w:p>
    <w:p w:rsidRPr="00EB039A" w:rsidR="00EB039A" w:rsidP="00EB039A" w:rsidRDefault="00EB039A" w14:paraId="7DBA9F86" w14:textId="77777777">
      <w:pPr>
        <w:ind w:left="720"/>
      </w:pPr>
    </w:p>
    <w:p w:rsidRPr="00EB039A" w:rsidR="00EB039A" w:rsidP="00EB039A" w:rsidRDefault="00EB039A" w14:paraId="7B86D448" w14:textId="77777777">
      <w:pPr>
        <w:ind w:left="720"/>
      </w:pPr>
      <w:r w:rsidRPr="00EB039A">
        <w:t>There is no assurance of confidentiality provided to respondents.</w:t>
      </w:r>
    </w:p>
    <w:p w:rsidRPr="00EB039A" w:rsidR="00EB039A" w:rsidP="00EB039A" w:rsidRDefault="00EB039A" w14:paraId="7E8AD10D" w14:textId="77777777">
      <w:pPr>
        <w:ind w:left="720"/>
      </w:pPr>
    </w:p>
    <w:p w:rsidRPr="00EB039A" w:rsidR="00EB039A" w:rsidP="001F688C" w:rsidRDefault="00564EF1" w14:paraId="2E82EC84" w14:textId="77777777">
      <w:pPr>
        <w:ind w:left="720" w:hanging="720"/>
        <w:rPr>
          <w:b/>
          <w:i/>
        </w:rPr>
      </w:pPr>
      <w:r w:rsidRPr="00547868">
        <w:rPr>
          <w:b/>
        </w:rPr>
        <w:t>11.</w:t>
      </w:r>
      <w:r w:rsidR="001F688C">
        <w:rPr>
          <w:b/>
        </w:rPr>
        <w:tab/>
      </w:r>
      <w:r w:rsidRPr="00547868" w:rsidR="00EB039A">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w:t>
      </w:r>
      <w:r w:rsidRPr="00EB039A" w:rsidR="00EB039A">
        <w:rPr>
          <w:b/>
          <w:i/>
        </w:rPr>
        <w:t xml:space="preserve"> the information is requested, and any steps to be taken to obtain their consent.</w:t>
      </w:r>
    </w:p>
    <w:p w:rsidRPr="00EB039A" w:rsidR="00EB039A" w:rsidP="00EB039A" w:rsidRDefault="00EB039A" w14:paraId="6FB8431D" w14:textId="77777777">
      <w:pPr>
        <w:ind w:left="720"/>
      </w:pPr>
    </w:p>
    <w:p w:rsidRPr="00EB039A" w:rsidR="00EB039A" w:rsidP="00EB039A" w:rsidRDefault="00EB039A" w14:paraId="0AF3B476" w14:textId="77777777">
      <w:pPr>
        <w:ind w:left="720"/>
      </w:pPr>
      <w:r w:rsidRPr="00EB039A">
        <w:t>There are no questions of a sensitive nature.</w:t>
      </w:r>
    </w:p>
    <w:p w:rsidRPr="00EB039A" w:rsidR="00EB039A" w:rsidP="00EB039A" w:rsidRDefault="00EB039A" w14:paraId="425ECF56" w14:textId="77777777">
      <w:pPr>
        <w:ind w:left="720"/>
      </w:pPr>
    </w:p>
    <w:p w:rsidRPr="00547868" w:rsidR="0051414D" w:rsidP="00ED21DD" w:rsidRDefault="00237776" w14:paraId="4A44E01F" w14:textId="77777777">
      <w:pPr>
        <w:ind w:left="720" w:hanging="720"/>
        <w:rPr>
          <w:b/>
        </w:rPr>
      </w:pPr>
      <w:r w:rsidRPr="00547868">
        <w:rPr>
          <w:b/>
        </w:rPr>
        <w:t>12.</w:t>
      </w:r>
      <w:r w:rsidR="00ED21DD">
        <w:rPr>
          <w:b/>
        </w:rPr>
        <w:tab/>
      </w:r>
      <w:r w:rsidRPr="00547868" w:rsidR="00EB039A">
        <w:rPr>
          <w:b/>
        </w:rPr>
        <w:t>Provide estimates of the hour burden of the collection of information.  The statement should:</w:t>
      </w:r>
    </w:p>
    <w:p w:rsidRPr="006A3CC3" w:rsidR="0051414D" w:rsidP="00547868" w:rsidRDefault="00EB039A" w14:paraId="4F56E2D9" w14:textId="77777777">
      <w:pPr>
        <w:pStyle w:val="ListParagraph"/>
        <w:numPr>
          <w:ilvl w:val="0"/>
          <w:numId w:val="11"/>
        </w:numPr>
        <w:rPr>
          <w:b/>
        </w:rPr>
      </w:pPr>
      <w:r w:rsidRPr="00547868">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3635B" w:rsidR="0051414D" w:rsidP="00547868" w:rsidRDefault="00EB039A" w14:paraId="534973A6" w14:textId="4D4C9E13">
      <w:pPr>
        <w:pStyle w:val="ListParagraph"/>
        <w:numPr>
          <w:ilvl w:val="0"/>
          <w:numId w:val="11"/>
        </w:numPr>
        <w:rPr>
          <w:b/>
        </w:rPr>
      </w:pPr>
      <w:r w:rsidRPr="00D3635B">
        <w:rPr>
          <w:b/>
        </w:rPr>
        <w:t xml:space="preserve">If this request for approval covers more than one form, provide separate hour burden estimates for each form and aggregate the hour burdens in Item </w:t>
      </w:r>
      <w:r w:rsidRPr="00D3635B" w:rsidR="001C42D2">
        <w:rPr>
          <w:b/>
        </w:rPr>
        <w:t>1</w:t>
      </w:r>
      <w:r w:rsidR="001C42D2">
        <w:rPr>
          <w:b/>
        </w:rPr>
        <w:t>2</w:t>
      </w:r>
      <w:r w:rsidRPr="00D3635B">
        <w:rPr>
          <w:b/>
        </w:rPr>
        <w:t>.</w:t>
      </w:r>
    </w:p>
    <w:p w:rsidRPr="006A3CC3" w:rsidR="00EB039A" w:rsidP="00547868" w:rsidRDefault="00237776" w14:paraId="43E698D2" w14:textId="2083609F">
      <w:pPr>
        <w:pStyle w:val="ListParagraph"/>
        <w:numPr>
          <w:ilvl w:val="0"/>
          <w:numId w:val="11"/>
        </w:numPr>
      </w:pPr>
      <w:r w:rsidRPr="006A3CC3">
        <w:rPr>
          <w:b/>
          <w:i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w:t>
      </w:r>
      <w:r w:rsidRPr="006A3CC3" w:rsidR="001C42D2">
        <w:rPr>
          <w:b/>
          <w:iCs/>
        </w:rPr>
        <w:t>1</w:t>
      </w:r>
      <w:r w:rsidR="001C42D2">
        <w:rPr>
          <w:b/>
          <w:iCs/>
        </w:rPr>
        <w:t>3</w:t>
      </w:r>
      <w:r w:rsidRPr="006A3CC3">
        <w:rPr>
          <w:b/>
          <w:iCs/>
        </w:rPr>
        <w:t>.</w:t>
      </w:r>
    </w:p>
    <w:p w:rsidR="00237776" w:rsidP="00EB039A" w:rsidRDefault="00237776" w14:paraId="00819140" w14:textId="41E64DD8">
      <w:pPr>
        <w:ind w:left="720"/>
        <w:rPr>
          <w:b/>
          <w:i/>
          <w:iCs/>
        </w:rPr>
      </w:pPr>
    </w:p>
    <w:p w:rsidR="00895AC6" w:rsidP="00EB039A" w:rsidRDefault="00895AC6" w14:paraId="3B452073" w14:textId="0D681288">
      <w:pPr>
        <w:ind w:left="720"/>
        <w:rPr>
          <w:b/>
          <w:i/>
          <w:iCs/>
        </w:rPr>
      </w:pPr>
    </w:p>
    <w:p w:rsidR="005D289D" w:rsidP="005D289D" w:rsidRDefault="005C2914" w14:paraId="5718FC64" w14:textId="139CDFD3">
      <w:pPr>
        <w:ind w:left="720"/>
        <w:rPr>
          <w:iCs/>
        </w:rPr>
      </w:pPr>
      <w:r>
        <w:rPr>
          <w:iCs/>
        </w:rPr>
        <w:t>For this information collection, the hour burden reported in Question 12 is zero hours.  The burden hours required for information collection activities required by the final rule are either: 1) employee benefit plan fiduciaries’ customary and usual business practices, or 2) costs associated with paying outside parties for the information collection activities discussed in the response to Question 13.</w:t>
      </w:r>
    </w:p>
    <w:p w:rsidR="009E5FD4" w:rsidP="005C2914" w:rsidRDefault="009E5FD4" w14:paraId="3071C319" w14:textId="1D70E2DD">
      <w:pPr>
        <w:ind w:left="720"/>
        <w:rPr>
          <w:iCs/>
        </w:rPr>
      </w:pPr>
    </w:p>
    <w:p w:rsidR="00F741A7" w:rsidP="00F741A7" w:rsidRDefault="005C2914" w14:paraId="1756613D" w14:textId="2F560431">
      <w:pPr>
        <w:ind w:left="720"/>
        <w:rPr>
          <w:iCs/>
        </w:rPr>
      </w:pPr>
      <w:r>
        <w:rPr>
          <w:iCs/>
        </w:rPr>
        <w:t>With regard to calculating the number of respondents, a</w:t>
      </w:r>
      <w:r w:rsidRPr="009E5FD4">
        <w:rPr>
          <w:iCs/>
        </w:rPr>
        <w:t xml:space="preserve">ccording </w:t>
      </w:r>
      <w:r w:rsidRPr="009E5FD4" w:rsidR="009E5FD4">
        <w:rPr>
          <w:iCs/>
        </w:rPr>
        <w:t>to the most recent Form 5500 data there are 721,876 pension plans (92,480 large plans and 629,396 small plans) and 8,475 health or welfare plans (5,626 large plans filing a schedule H, and 2,849 small plans filing a schedule I).</w:t>
      </w:r>
      <w:r w:rsidRPr="009E5FD4" w:rsidR="009E5FD4">
        <w:rPr>
          <w:iCs/>
          <w:vertAlign w:val="superscript"/>
        </w:rPr>
        <w:footnoteReference w:id="6"/>
      </w:r>
      <w:r w:rsidRPr="009E5FD4" w:rsidR="009E5FD4">
        <w:rPr>
          <w:iCs/>
        </w:rPr>
        <w:t xml:space="preserve">  While the Schedule H collects information on a plan’s stock holdings, Schedule I lacks the specificity to determine if small plans hold stocks.</w:t>
      </w:r>
      <w:r w:rsidRPr="00F741A7" w:rsidR="00F741A7">
        <w:rPr>
          <w:iCs/>
        </w:rPr>
        <w:t xml:space="preserve"> </w:t>
      </w:r>
    </w:p>
    <w:p w:rsidR="00F741A7" w:rsidP="00F741A7" w:rsidRDefault="00F741A7" w14:paraId="67DD1BC1" w14:textId="77777777">
      <w:pPr>
        <w:ind w:left="720"/>
        <w:rPr>
          <w:iCs/>
        </w:rPr>
      </w:pPr>
    </w:p>
    <w:p w:rsidR="00141442" w:rsidP="00B25B76" w:rsidRDefault="00F741A7" w14:paraId="22C9BD26" w14:textId="77777777">
      <w:pPr>
        <w:ind w:left="720"/>
        <w:rPr>
          <w:iCs/>
        </w:rPr>
      </w:pPr>
      <w:r w:rsidRPr="006967F6">
        <w:rPr>
          <w:iCs/>
        </w:rPr>
        <w:t xml:space="preserve">As shown in Table 1, </w:t>
      </w:r>
      <w:r w:rsidR="00700918">
        <w:rPr>
          <w:iCs/>
        </w:rPr>
        <w:t xml:space="preserve">the Department’s analysis estimates that </w:t>
      </w:r>
      <w:r w:rsidRPr="006967F6">
        <w:rPr>
          <w:iCs/>
        </w:rPr>
        <w:t xml:space="preserve">31,868 pension plans hold stocks and would have shareholder rights they may need to exercise. </w:t>
      </w:r>
    </w:p>
    <w:p w:rsidR="00141442" w:rsidP="00B25B76" w:rsidRDefault="00141442" w14:paraId="51390B23" w14:textId="77777777">
      <w:pPr>
        <w:ind w:left="720"/>
        <w:rPr>
          <w:iCs/>
        </w:rPr>
      </w:pPr>
    </w:p>
    <w:tbl>
      <w:tblPr>
        <w:tblpPr w:leftFromText="180" w:rightFromText="180" w:vertAnchor="text" w:horzAnchor="page" w:tblpX="2161" w:tblpY="332"/>
        <w:tblW w:w="9090" w:type="dxa"/>
        <w:tblLook w:val="04A0" w:firstRow="1" w:lastRow="0" w:firstColumn="1" w:lastColumn="0" w:noHBand="0" w:noVBand="1"/>
      </w:tblPr>
      <w:tblGrid>
        <w:gridCol w:w="222"/>
        <w:gridCol w:w="3128"/>
        <w:gridCol w:w="904"/>
        <w:gridCol w:w="1393"/>
        <w:gridCol w:w="1168"/>
        <w:gridCol w:w="1121"/>
        <w:gridCol w:w="1154"/>
      </w:tblGrid>
      <w:tr w:rsidRPr="00F741A7" w:rsidR="00141442" w:rsidDel="00B25B76" w:rsidTr="009230A3" w14:paraId="0F88F1DF" w14:textId="77777777">
        <w:trPr>
          <w:trHeight w:val="660"/>
        </w:trPr>
        <w:tc>
          <w:tcPr>
            <w:tcW w:w="9090" w:type="dxa"/>
            <w:gridSpan w:val="7"/>
            <w:tcBorders>
              <w:top w:val="nil"/>
              <w:left w:val="nil"/>
              <w:bottom w:val="single" w:color="auto" w:sz="8" w:space="0"/>
              <w:right w:val="nil"/>
            </w:tcBorders>
            <w:shd w:val="clear" w:color="auto" w:fill="auto"/>
            <w:vAlign w:val="center"/>
            <w:hideMark/>
          </w:tcPr>
          <w:p w:rsidRPr="00F741A7" w:rsidR="00141442" w:rsidDel="00B25B76" w:rsidP="009230A3" w:rsidRDefault="00141442" w14:paraId="0DD7168E" w14:textId="77777777">
            <w:pPr>
              <w:tabs>
                <w:tab w:val="left" w:pos="720"/>
              </w:tabs>
              <w:spacing w:after="160" w:line="259" w:lineRule="auto"/>
              <w:jc w:val="center"/>
              <w:rPr>
                <w:b/>
                <w:bCs/>
                <w:color w:val="000000"/>
                <w:sz w:val="20"/>
                <w:szCs w:val="20"/>
              </w:rPr>
            </w:pPr>
            <w:r w:rsidRPr="00F741A7" w:rsidDel="00B25B76">
              <w:rPr>
                <w:b/>
                <w:color w:val="000000"/>
                <w:sz w:val="20"/>
              </w:rPr>
              <w:t>Table 1.  Number of Pension and Welfare Plans Holding Common Stocks or E</w:t>
            </w:r>
            <w:r w:rsidRPr="00F741A7" w:rsidDel="00B25B76">
              <w:rPr>
                <w:b/>
                <w:bCs/>
                <w:color w:val="000000"/>
                <w:sz w:val="20"/>
              </w:rPr>
              <w:t xml:space="preserve">SOP by Type of Plan, 2018 </w:t>
            </w:r>
            <w:r w:rsidRPr="00F741A7" w:rsidDel="00B25B76">
              <w:rPr>
                <w:b/>
                <w:bCs/>
                <w:color w:val="000000"/>
                <w:sz w:val="20"/>
                <w:szCs w:val="20"/>
                <w:vertAlign w:val="superscript"/>
              </w:rPr>
              <w:t>a</w:t>
            </w:r>
          </w:p>
        </w:tc>
      </w:tr>
      <w:tr w:rsidRPr="00F741A7" w:rsidR="00141442" w:rsidDel="00B25B76" w:rsidTr="009230A3" w14:paraId="456E1CFE" w14:textId="77777777">
        <w:trPr>
          <w:trHeight w:val="750"/>
        </w:trPr>
        <w:tc>
          <w:tcPr>
            <w:tcW w:w="3350" w:type="dxa"/>
            <w:gridSpan w:val="2"/>
            <w:tcBorders>
              <w:top w:val="single" w:color="auto" w:sz="8" w:space="0"/>
              <w:left w:val="nil"/>
              <w:bottom w:val="nil"/>
              <w:right w:val="nil"/>
            </w:tcBorders>
            <w:shd w:val="clear" w:color="auto" w:fill="auto"/>
            <w:vAlign w:val="center"/>
            <w:hideMark/>
          </w:tcPr>
          <w:p w:rsidRPr="00F741A7" w:rsidR="00141442" w:rsidDel="00B25B76" w:rsidP="009230A3" w:rsidRDefault="00141442" w14:paraId="13B3B8E7" w14:textId="77777777">
            <w:pPr>
              <w:tabs>
                <w:tab w:val="left" w:pos="720"/>
              </w:tabs>
              <w:rPr>
                <w:b/>
                <w:bCs/>
                <w:color w:val="000000"/>
                <w:sz w:val="18"/>
                <w:szCs w:val="18"/>
              </w:rPr>
            </w:pPr>
            <w:r w:rsidRPr="00F741A7" w:rsidDel="00B25B76">
              <w:rPr>
                <w:b/>
                <w:bCs/>
                <w:color w:val="000000"/>
                <w:sz w:val="18"/>
              </w:rPr>
              <w:t xml:space="preserve">Common </w:t>
            </w:r>
            <w:r w:rsidRPr="00F741A7" w:rsidDel="00B25B76">
              <w:rPr>
                <w:b/>
                <w:bCs/>
                <w:color w:val="000000"/>
                <w:sz w:val="18"/>
                <w:szCs w:val="18"/>
              </w:rPr>
              <w:t>Stock</w:t>
            </w:r>
            <w:r w:rsidRPr="00F741A7" w:rsidDel="00B25B76">
              <w:rPr>
                <w:b/>
                <w:bCs/>
                <w:color w:val="000000"/>
                <w:sz w:val="18"/>
              </w:rPr>
              <w:t xml:space="preserve"> (No Employer Securities)</w:t>
            </w:r>
          </w:p>
        </w:tc>
        <w:tc>
          <w:tcPr>
            <w:tcW w:w="904" w:type="dxa"/>
            <w:tcBorders>
              <w:top w:val="nil"/>
              <w:left w:val="nil"/>
              <w:bottom w:val="nil"/>
              <w:right w:val="nil"/>
            </w:tcBorders>
            <w:shd w:val="clear" w:color="auto" w:fill="auto"/>
            <w:vAlign w:val="center"/>
            <w:hideMark/>
          </w:tcPr>
          <w:p w:rsidRPr="00F741A7" w:rsidR="00141442" w:rsidDel="00B25B76" w:rsidP="009230A3" w:rsidRDefault="00141442" w14:paraId="70C934EE" w14:textId="77777777">
            <w:pPr>
              <w:tabs>
                <w:tab w:val="left" w:pos="720"/>
              </w:tabs>
              <w:ind w:firstLine="54"/>
              <w:jc w:val="center"/>
              <w:rPr>
                <w:b/>
                <w:bCs/>
                <w:color w:val="000000"/>
                <w:sz w:val="18"/>
                <w:szCs w:val="18"/>
              </w:rPr>
            </w:pPr>
            <w:r w:rsidRPr="00F741A7" w:rsidDel="00B25B76">
              <w:rPr>
                <w:b/>
                <w:bCs/>
                <w:color w:val="000000"/>
                <w:sz w:val="18"/>
              </w:rPr>
              <w:t>Defined Benefit</w:t>
            </w:r>
          </w:p>
        </w:tc>
        <w:tc>
          <w:tcPr>
            <w:tcW w:w="1393" w:type="dxa"/>
            <w:tcBorders>
              <w:top w:val="nil"/>
              <w:left w:val="nil"/>
              <w:bottom w:val="nil"/>
              <w:right w:val="nil"/>
            </w:tcBorders>
            <w:shd w:val="clear" w:color="auto" w:fill="auto"/>
            <w:vAlign w:val="center"/>
            <w:hideMark/>
          </w:tcPr>
          <w:p w:rsidRPr="00F741A7" w:rsidR="00141442" w:rsidDel="00B25B76" w:rsidP="009230A3" w:rsidRDefault="00141442" w14:paraId="72008572" w14:textId="77777777">
            <w:pPr>
              <w:tabs>
                <w:tab w:val="left" w:pos="720"/>
              </w:tabs>
              <w:jc w:val="center"/>
              <w:rPr>
                <w:b/>
                <w:bCs/>
                <w:color w:val="000000"/>
                <w:sz w:val="18"/>
                <w:szCs w:val="18"/>
              </w:rPr>
            </w:pPr>
            <w:r w:rsidRPr="00F741A7" w:rsidDel="00B25B76">
              <w:rPr>
                <w:b/>
                <w:bCs/>
                <w:color w:val="000000"/>
                <w:sz w:val="18"/>
              </w:rPr>
              <w:t>Defined Contribution</w:t>
            </w:r>
          </w:p>
        </w:tc>
        <w:tc>
          <w:tcPr>
            <w:tcW w:w="1168" w:type="dxa"/>
            <w:tcBorders>
              <w:top w:val="nil"/>
              <w:left w:val="nil"/>
              <w:bottom w:val="nil"/>
              <w:right w:val="nil"/>
            </w:tcBorders>
            <w:shd w:val="clear" w:color="auto" w:fill="auto"/>
            <w:vAlign w:val="center"/>
            <w:hideMark/>
          </w:tcPr>
          <w:p w:rsidRPr="00F741A7" w:rsidR="00141442" w:rsidDel="00B25B76" w:rsidP="009230A3" w:rsidRDefault="00141442" w14:paraId="190C5157" w14:textId="77777777">
            <w:pPr>
              <w:tabs>
                <w:tab w:val="left" w:pos="720"/>
              </w:tabs>
              <w:jc w:val="center"/>
              <w:rPr>
                <w:b/>
                <w:bCs/>
                <w:color w:val="000000"/>
                <w:sz w:val="18"/>
                <w:szCs w:val="18"/>
              </w:rPr>
            </w:pPr>
            <w:r w:rsidRPr="00F741A7" w:rsidDel="00B25B76">
              <w:rPr>
                <w:b/>
                <w:bCs/>
                <w:color w:val="000000"/>
                <w:sz w:val="18"/>
                <w:szCs w:val="18"/>
              </w:rPr>
              <w:t>Total Pension Plans</w:t>
            </w:r>
          </w:p>
        </w:tc>
        <w:tc>
          <w:tcPr>
            <w:tcW w:w="1121" w:type="dxa"/>
            <w:tcBorders>
              <w:top w:val="nil"/>
              <w:left w:val="nil"/>
              <w:bottom w:val="nil"/>
              <w:right w:val="nil"/>
            </w:tcBorders>
            <w:shd w:val="clear" w:color="auto" w:fill="auto"/>
            <w:vAlign w:val="center"/>
            <w:hideMark/>
          </w:tcPr>
          <w:p w:rsidRPr="00F741A7" w:rsidR="00141442" w:rsidDel="00B25B76" w:rsidP="009230A3" w:rsidRDefault="00141442" w14:paraId="089931E1" w14:textId="77777777">
            <w:pPr>
              <w:tabs>
                <w:tab w:val="left" w:pos="720"/>
              </w:tabs>
              <w:jc w:val="center"/>
              <w:rPr>
                <w:b/>
                <w:bCs/>
                <w:color w:val="000000"/>
                <w:sz w:val="18"/>
                <w:szCs w:val="18"/>
              </w:rPr>
            </w:pPr>
            <w:r w:rsidRPr="00F741A7" w:rsidDel="00B25B76">
              <w:rPr>
                <w:b/>
                <w:bCs/>
                <w:color w:val="000000"/>
                <w:sz w:val="18"/>
                <w:szCs w:val="18"/>
              </w:rPr>
              <w:t>Welfare Plans</w:t>
            </w:r>
          </w:p>
        </w:tc>
        <w:tc>
          <w:tcPr>
            <w:tcW w:w="1154" w:type="dxa"/>
            <w:tcBorders>
              <w:top w:val="nil"/>
              <w:left w:val="nil"/>
              <w:bottom w:val="nil"/>
              <w:right w:val="nil"/>
            </w:tcBorders>
            <w:shd w:val="clear" w:color="auto" w:fill="auto"/>
            <w:vAlign w:val="center"/>
            <w:hideMark/>
          </w:tcPr>
          <w:p w:rsidRPr="00F741A7" w:rsidR="00141442" w:rsidDel="00B25B76" w:rsidP="009230A3" w:rsidRDefault="00141442" w14:paraId="781B2BD9" w14:textId="77777777">
            <w:pPr>
              <w:tabs>
                <w:tab w:val="left" w:pos="720"/>
              </w:tabs>
              <w:jc w:val="center"/>
              <w:rPr>
                <w:b/>
                <w:bCs/>
                <w:color w:val="000000"/>
                <w:sz w:val="18"/>
                <w:szCs w:val="18"/>
              </w:rPr>
            </w:pPr>
            <w:r w:rsidRPr="00F741A7" w:rsidDel="00B25B76">
              <w:rPr>
                <w:b/>
                <w:bCs/>
                <w:color w:val="000000"/>
                <w:sz w:val="18"/>
              </w:rPr>
              <w:t>Total All Plans</w:t>
            </w:r>
          </w:p>
        </w:tc>
      </w:tr>
      <w:tr w:rsidRPr="00F741A7" w:rsidR="00141442" w:rsidDel="00B25B76" w:rsidTr="009230A3" w14:paraId="7DCB5215" w14:textId="77777777">
        <w:trPr>
          <w:trHeight w:val="300"/>
        </w:trPr>
        <w:tc>
          <w:tcPr>
            <w:tcW w:w="222" w:type="dxa"/>
            <w:tcBorders>
              <w:top w:val="nil"/>
              <w:left w:val="nil"/>
              <w:bottom w:val="nil"/>
              <w:right w:val="nil"/>
            </w:tcBorders>
            <w:shd w:val="clear" w:color="auto" w:fill="auto"/>
            <w:noWrap/>
            <w:vAlign w:val="bottom"/>
            <w:hideMark/>
          </w:tcPr>
          <w:p w:rsidRPr="00F741A7" w:rsidR="00141442" w:rsidDel="00B25B76" w:rsidP="009230A3" w:rsidRDefault="00141442" w14:paraId="2C5B0B2D" w14:textId="77777777">
            <w:pPr>
              <w:tabs>
                <w:tab w:val="left" w:pos="720"/>
              </w:tabs>
              <w:jc w:val="center"/>
              <w:rPr>
                <w:b/>
                <w:color w:val="000000"/>
                <w:sz w:val="18"/>
                <w:szCs w:val="18"/>
              </w:rPr>
            </w:pPr>
          </w:p>
        </w:tc>
        <w:tc>
          <w:tcPr>
            <w:tcW w:w="3128" w:type="dxa"/>
            <w:tcBorders>
              <w:top w:val="nil"/>
              <w:left w:val="nil"/>
              <w:bottom w:val="nil"/>
              <w:right w:val="nil"/>
            </w:tcBorders>
            <w:shd w:val="clear" w:color="auto" w:fill="auto"/>
            <w:noWrap/>
            <w:vAlign w:val="center"/>
            <w:hideMark/>
          </w:tcPr>
          <w:p w:rsidRPr="00F741A7" w:rsidR="00141442" w:rsidDel="00B25B76" w:rsidP="009230A3" w:rsidRDefault="00141442" w14:paraId="3BC87B17" w14:textId="77777777">
            <w:pPr>
              <w:tabs>
                <w:tab w:val="left" w:pos="720"/>
              </w:tabs>
              <w:rPr>
                <w:rFonts w:eastAsiaTheme="minorHAnsi"/>
                <w:sz w:val="18"/>
                <w:szCs w:val="18"/>
              </w:rPr>
            </w:pPr>
            <w:r w:rsidRPr="00F741A7" w:rsidDel="00B25B76">
              <w:rPr>
                <w:rFonts w:eastAsiaTheme="minorHAnsi"/>
                <w:sz w:val="18"/>
                <w:szCs w:val="18"/>
              </w:rPr>
              <w:t>Direct Holdings Only</w:t>
            </w:r>
          </w:p>
        </w:tc>
        <w:tc>
          <w:tcPr>
            <w:tcW w:w="904" w:type="dxa"/>
            <w:tcBorders>
              <w:top w:val="nil"/>
              <w:left w:val="nil"/>
              <w:bottom w:val="nil"/>
              <w:right w:val="nil"/>
            </w:tcBorders>
            <w:shd w:val="clear" w:color="auto" w:fill="auto"/>
            <w:noWrap/>
            <w:vAlign w:val="center"/>
            <w:hideMark/>
          </w:tcPr>
          <w:p w:rsidRPr="00F741A7" w:rsidR="00141442" w:rsidDel="00B25B76" w:rsidP="009230A3" w:rsidRDefault="00141442" w14:paraId="1526EE9C" w14:textId="77777777">
            <w:pPr>
              <w:tabs>
                <w:tab w:val="left" w:pos="720"/>
              </w:tabs>
              <w:jc w:val="center"/>
              <w:rPr>
                <w:rFonts w:eastAsiaTheme="minorHAnsi"/>
                <w:sz w:val="18"/>
                <w:szCs w:val="18"/>
              </w:rPr>
            </w:pPr>
            <w:r w:rsidRPr="00F741A7" w:rsidDel="00B25B76">
              <w:rPr>
                <w:rFonts w:eastAsiaTheme="minorHAnsi"/>
                <w:sz w:val="18"/>
                <w:szCs w:val="18"/>
              </w:rPr>
              <w:t>1,272</w:t>
            </w:r>
          </w:p>
        </w:tc>
        <w:tc>
          <w:tcPr>
            <w:tcW w:w="1393" w:type="dxa"/>
            <w:tcBorders>
              <w:top w:val="nil"/>
              <w:left w:val="nil"/>
              <w:bottom w:val="nil"/>
              <w:right w:val="nil"/>
            </w:tcBorders>
            <w:shd w:val="clear" w:color="auto" w:fill="auto"/>
            <w:noWrap/>
            <w:vAlign w:val="center"/>
            <w:hideMark/>
          </w:tcPr>
          <w:p w:rsidRPr="00F741A7" w:rsidR="00141442" w:rsidDel="00B25B76" w:rsidP="009230A3" w:rsidRDefault="00141442" w14:paraId="119C9491" w14:textId="77777777">
            <w:pPr>
              <w:tabs>
                <w:tab w:val="left" w:pos="720"/>
              </w:tabs>
              <w:jc w:val="center"/>
              <w:rPr>
                <w:rFonts w:eastAsiaTheme="minorHAnsi"/>
                <w:sz w:val="18"/>
                <w:szCs w:val="18"/>
              </w:rPr>
            </w:pPr>
            <w:r w:rsidRPr="00F741A7" w:rsidDel="00B25B76">
              <w:rPr>
                <w:rFonts w:eastAsiaTheme="minorHAnsi"/>
                <w:sz w:val="18"/>
                <w:szCs w:val="18"/>
              </w:rPr>
              <w:t>2,286</w:t>
            </w:r>
          </w:p>
        </w:tc>
        <w:tc>
          <w:tcPr>
            <w:tcW w:w="1168" w:type="dxa"/>
            <w:tcBorders>
              <w:top w:val="nil"/>
              <w:left w:val="nil"/>
              <w:bottom w:val="nil"/>
              <w:right w:val="nil"/>
            </w:tcBorders>
            <w:shd w:val="clear" w:color="auto" w:fill="auto"/>
            <w:noWrap/>
            <w:vAlign w:val="center"/>
            <w:hideMark/>
          </w:tcPr>
          <w:p w:rsidRPr="00F741A7" w:rsidR="00141442" w:rsidDel="00B25B76" w:rsidP="009230A3" w:rsidRDefault="00141442" w14:paraId="3EFC3380" w14:textId="77777777">
            <w:pPr>
              <w:tabs>
                <w:tab w:val="left" w:pos="720"/>
              </w:tabs>
              <w:jc w:val="center"/>
              <w:rPr>
                <w:b/>
                <w:color w:val="000000"/>
                <w:sz w:val="18"/>
                <w:szCs w:val="18"/>
              </w:rPr>
            </w:pPr>
            <w:r w:rsidRPr="00F741A7" w:rsidDel="00B25B76">
              <w:rPr>
                <w:b/>
                <w:color w:val="000000"/>
                <w:sz w:val="18"/>
                <w:szCs w:val="18"/>
              </w:rPr>
              <w:t>3,558</w:t>
            </w:r>
          </w:p>
        </w:tc>
        <w:tc>
          <w:tcPr>
            <w:tcW w:w="1121" w:type="dxa"/>
            <w:tcBorders>
              <w:top w:val="nil"/>
              <w:left w:val="nil"/>
              <w:bottom w:val="nil"/>
              <w:right w:val="nil"/>
            </w:tcBorders>
            <w:shd w:val="clear" w:color="auto" w:fill="auto"/>
            <w:noWrap/>
            <w:vAlign w:val="center"/>
            <w:hideMark/>
          </w:tcPr>
          <w:p w:rsidRPr="00F741A7" w:rsidR="00141442" w:rsidDel="00B25B76" w:rsidP="009230A3" w:rsidRDefault="00141442" w14:paraId="6C509182" w14:textId="77777777">
            <w:pPr>
              <w:tabs>
                <w:tab w:val="left" w:pos="720"/>
              </w:tabs>
              <w:jc w:val="center"/>
              <w:rPr>
                <w:color w:val="000000"/>
                <w:sz w:val="18"/>
                <w:szCs w:val="18"/>
              </w:rPr>
            </w:pPr>
            <w:r w:rsidRPr="00F741A7" w:rsidDel="00B25B76">
              <w:rPr>
                <w:color w:val="000000"/>
                <w:sz w:val="18"/>
                <w:szCs w:val="18"/>
              </w:rPr>
              <w:t>569</w:t>
            </w:r>
          </w:p>
        </w:tc>
        <w:tc>
          <w:tcPr>
            <w:tcW w:w="1154" w:type="dxa"/>
            <w:tcBorders>
              <w:top w:val="nil"/>
              <w:left w:val="nil"/>
              <w:bottom w:val="nil"/>
              <w:right w:val="nil"/>
            </w:tcBorders>
            <w:shd w:val="clear" w:color="auto" w:fill="auto"/>
            <w:noWrap/>
            <w:vAlign w:val="center"/>
            <w:hideMark/>
          </w:tcPr>
          <w:p w:rsidRPr="00F741A7" w:rsidR="00141442" w:rsidDel="00B25B76" w:rsidP="009230A3" w:rsidRDefault="00141442" w14:paraId="69EB2A86" w14:textId="77777777">
            <w:pPr>
              <w:tabs>
                <w:tab w:val="left" w:pos="720"/>
              </w:tabs>
              <w:jc w:val="center"/>
              <w:rPr>
                <w:b/>
                <w:color w:val="000000"/>
                <w:sz w:val="18"/>
                <w:szCs w:val="18"/>
              </w:rPr>
            </w:pPr>
            <w:r w:rsidRPr="00F741A7" w:rsidDel="00B25B76">
              <w:rPr>
                <w:b/>
                <w:color w:val="000000"/>
                <w:sz w:val="18"/>
                <w:szCs w:val="18"/>
              </w:rPr>
              <w:t>4,127</w:t>
            </w:r>
          </w:p>
        </w:tc>
      </w:tr>
      <w:tr w:rsidRPr="00F741A7" w:rsidR="00141442" w:rsidDel="00B25B76" w:rsidTr="009230A3" w14:paraId="562368B6" w14:textId="77777777">
        <w:trPr>
          <w:trHeight w:val="300"/>
        </w:trPr>
        <w:tc>
          <w:tcPr>
            <w:tcW w:w="222" w:type="dxa"/>
            <w:tcBorders>
              <w:top w:val="nil"/>
              <w:left w:val="nil"/>
              <w:bottom w:val="nil"/>
              <w:right w:val="nil"/>
            </w:tcBorders>
            <w:shd w:val="clear" w:color="auto" w:fill="auto"/>
            <w:noWrap/>
            <w:vAlign w:val="bottom"/>
            <w:hideMark/>
          </w:tcPr>
          <w:p w:rsidRPr="00F741A7" w:rsidR="00141442" w:rsidDel="00B25B76" w:rsidP="009230A3" w:rsidRDefault="00141442" w14:paraId="7C18F60C" w14:textId="77777777">
            <w:pPr>
              <w:tabs>
                <w:tab w:val="left" w:pos="720"/>
              </w:tabs>
              <w:jc w:val="center"/>
              <w:rPr>
                <w:b/>
                <w:bCs/>
                <w:color w:val="000000"/>
                <w:sz w:val="18"/>
                <w:szCs w:val="18"/>
              </w:rPr>
            </w:pPr>
          </w:p>
        </w:tc>
        <w:tc>
          <w:tcPr>
            <w:tcW w:w="3128" w:type="dxa"/>
            <w:tcBorders>
              <w:top w:val="nil"/>
              <w:left w:val="nil"/>
              <w:bottom w:val="nil"/>
              <w:right w:val="nil"/>
            </w:tcBorders>
            <w:shd w:val="clear" w:color="auto" w:fill="auto"/>
            <w:noWrap/>
            <w:vAlign w:val="center"/>
            <w:hideMark/>
          </w:tcPr>
          <w:p w:rsidRPr="00F741A7" w:rsidR="00141442" w:rsidDel="00B25B76" w:rsidP="009230A3" w:rsidRDefault="00141442" w14:paraId="64A42577" w14:textId="77777777">
            <w:pPr>
              <w:tabs>
                <w:tab w:val="left" w:pos="720"/>
              </w:tabs>
              <w:rPr>
                <w:color w:val="000000"/>
                <w:sz w:val="18"/>
                <w:szCs w:val="18"/>
              </w:rPr>
            </w:pPr>
            <w:r w:rsidRPr="00F741A7" w:rsidDel="00B25B76">
              <w:rPr>
                <w:color w:val="000000"/>
                <w:sz w:val="18"/>
              </w:rPr>
              <w:t>Indirect Holdings Only</w:t>
            </w:r>
          </w:p>
        </w:tc>
        <w:tc>
          <w:tcPr>
            <w:tcW w:w="904" w:type="dxa"/>
            <w:tcBorders>
              <w:top w:val="nil"/>
              <w:left w:val="nil"/>
              <w:bottom w:val="nil"/>
              <w:right w:val="nil"/>
            </w:tcBorders>
            <w:shd w:val="clear" w:color="auto" w:fill="auto"/>
            <w:noWrap/>
            <w:vAlign w:val="center"/>
            <w:hideMark/>
          </w:tcPr>
          <w:p w:rsidRPr="00F741A7" w:rsidR="00141442" w:rsidDel="00B25B76" w:rsidP="009230A3" w:rsidRDefault="00141442" w14:paraId="083E30DB" w14:textId="77777777">
            <w:pPr>
              <w:tabs>
                <w:tab w:val="left" w:pos="720"/>
              </w:tabs>
              <w:jc w:val="center"/>
              <w:rPr>
                <w:color w:val="000000"/>
                <w:sz w:val="18"/>
                <w:szCs w:val="18"/>
              </w:rPr>
            </w:pPr>
            <w:r w:rsidRPr="00F741A7" w:rsidDel="00B25B76">
              <w:rPr>
                <w:color w:val="000000"/>
                <w:sz w:val="18"/>
                <w:szCs w:val="18"/>
              </w:rPr>
              <w:t>2,792</w:t>
            </w:r>
          </w:p>
        </w:tc>
        <w:tc>
          <w:tcPr>
            <w:tcW w:w="1393" w:type="dxa"/>
            <w:tcBorders>
              <w:top w:val="nil"/>
              <w:left w:val="nil"/>
              <w:bottom w:val="nil"/>
              <w:right w:val="nil"/>
            </w:tcBorders>
            <w:shd w:val="clear" w:color="auto" w:fill="auto"/>
            <w:noWrap/>
            <w:vAlign w:val="center"/>
            <w:hideMark/>
          </w:tcPr>
          <w:p w:rsidRPr="00F741A7" w:rsidR="00141442" w:rsidDel="00B25B76" w:rsidP="009230A3" w:rsidRDefault="00141442" w14:paraId="54E5073E" w14:textId="77777777">
            <w:pPr>
              <w:tabs>
                <w:tab w:val="left" w:pos="720"/>
              </w:tabs>
              <w:jc w:val="center"/>
              <w:rPr>
                <w:color w:val="000000"/>
                <w:sz w:val="18"/>
                <w:szCs w:val="18"/>
              </w:rPr>
            </w:pPr>
            <w:r w:rsidRPr="00F741A7" w:rsidDel="00B25B76">
              <w:rPr>
                <w:color w:val="000000"/>
                <w:sz w:val="18"/>
                <w:szCs w:val="18"/>
              </w:rPr>
              <w:t>17,591</w:t>
            </w:r>
          </w:p>
        </w:tc>
        <w:tc>
          <w:tcPr>
            <w:tcW w:w="1168" w:type="dxa"/>
            <w:tcBorders>
              <w:top w:val="nil"/>
              <w:left w:val="nil"/>
              <w:bottom w:val="nil"/>
              <w:right w:val="nil"/>
            </w:tcBorders>
            <w:shd w:val="clear" w:color="auto" w:fill="auto"/>
            <w:noWrap/>
            <w:vAlign w:val="center"/>
            <w:hideMark/>
          </w:tcPr>
          <w:p w:rsidRPr="00F741A7" w:rsidR="00141442" w:rsidDel="00B25B76" w:rsidP="009230A3" w:rsidRDefault="00141442" w14:paraId="7153AC83" w14:textId="77777777">
            <w:pPr>
              <w:tabs>
                <w:tab w:val="left" w:pos="720"/>
              </w:tabs>
              <w:jc w:val="center"/>
              <w:rPr>
                <w:b/>
                <w:bCs/>
                <w:color w:val="000000"/>
                <w:sz w:val="18"/>
                <w:szCs w:val="18"/>
              </w:rPr>
            </w:pPr>
            <w:r w:rsidRPr="00F741A7" w:rsidDel="00B25B76">
              <w:rPr>
                <w:b/>
                <w:bCs/>
                <w:color w:val="000000"/>
                <w:sz w:val="18"/>
                <w:szCs w:val="18"/>
              </w:rPr>
              <w:t>20,383</w:t>
            </w:r>
          </w:p>
        </w:tc>
        <w:tc>
          <w:tcPr>
            <w:tcW w:w="1121" w:type="dxa"/>
            <w:tcBorders>
              <w:top w:val="nil"/>
              <w:left w:val="nil"/>
              <w:bottom w:val="nil"/>
              <w:right w:val="nil"/>
            </w:tcBorders>
            <w:shd w:val="clear" w:color="auto" w:fill="auto"/>
            <w:noWrap/>
            <w:vAlign w:val="center"/>
            <w:hideMark/>
          </w:tcPr>
          <w:p w:rsidRPr="00F741A7" w:rsidR="00141442" w:rsidDel="00B25B76" w:rsidP="009230A3" w:rsidRDefault="00141442" w14:paraId="320E195F" w14:textId="77777777">
            <w:pPr>
              <w:tabs>
                <w:tab w:val="left" w:pos="720"/>
              </w:tabs>
              <w:jc w:val="center"/>
              <w:rPr>
                <w:color w:val="000000"/>
                <w:sz w:val="18"/>
                <w:szCs w:val="18"/>
              </w:rPr>
            </w:pPr>
            <w:r w:rsidRPr="00F741A7" w:rsidDel="00B25B76">
              <w:rPr>
                <w:color w:val="000000"/>
                <w:sz w:val="18"/>
                <w:szCs w:val="18"/>
              </w:rPr>
              <w:t>3</w:t>
            </w:r>
          </w:p>
        </w:tc>
        <w:tc>
          <w:tcPr>
            <w:tcW w:w="1154" w:type="dxa"/>
            <w:tcBorders>
              <w:top w:val="nil"/>
              <w:left w:val="nil"/>
              <w:bottom w:val="nil"/>
              <w:right w:val="nil"/>
            </w:tcBorders>
            <w:shd w:val="clear" w:color="auto" w:fill="auto"/>
            <w:noWrap/>
            <w:vAlign w:val="center"/>
            <w:hideMark/>
          </w:tcPr>
          <w:p w:rsidRPr="00F741A7" w:rsidR="00141442" w:rsidDel="00B25B76" w:rsidP="009230A3" w:rsidRDefault="00141442" w14:paraId="61F02E0C" w14:textId="77777777">
            <w:pPr>
              <w:tabs>
                <w:tab w:val="left" w:pos="720"/>
              </w:tabs>
              <w:jc w:val="center"/>
              <w:rPr>
                <w:b/>
                <w:bCs/>
                <w:color w:val="000000"/>
                <w:sz w:val="18"/>
                <w:szCs w:val="18"/>
              </w:rPr>
            </w:pPr>
            <w:r w:rsidRPr="00F741A7" w:rsidDel="00B25B76">
              <w:rPr>
                <w:b/>
                <w:bCs/>
                <w:color w:val="000000"/>
                <w:sz w:val="18"/>
                <w:szCs w:val="18"/>
              </w:rPr>
              <w:t>20,386</w:t>
            </w:r>
          </w:p>
        </w:tc>
      </w:tr>
      <w:tr w:rsidRPr="00F741A7" w:rsidR="00141442" w:rsidDel="00B25B76" w:rsidTr="009230A3" w14:paraId="0F67B0BD" w14:textId="77777777">
        <w:trPr>
          <w:trHeight w:val="315"/>
        </w:trPr>
        <w:tc>
          <w:tcPr>
            <w:tcW w:w="222" w:type="dxa"/>
            <w:tcBorders>
              <w:top w:val="nil"/>
              <w:left w:val="nil"/>
              <w:bottom w:val="nil"/>
              <w:right w:val="nil"/>
            </w:tcBorders>
            <w:shd w:val="clear" w:color="auto" w:fill="auto"/>
            <w:noWrap/>
            <w:vAlign w:val="bottom"/>
            <w:hideMark/>
          </w:tcPr>
          <w:p w:rsidRPr="00F741A7" w:rsidR="00141442" w:rsidDel="00B25B76" w:rsidP="009230A3" w:rsidRDefault="00141442" w14:paraId="2774EC9B" w14:textId="77777777">
            <w:pPr>
              <w:tabs>
                <w:tab w:val="left" w:pos="720"/>
              </w:tabs>
              <w:jc w:val="center"/>
              <w:rPr>
                <w:b/>
                <w:color w:val="000000"/>
                <w:sz w:val="18"/>
                <w:szCs w:val="18"/>
              </w:rPr>
            </w:pPr>
          </w:p>
        </w:tc>
        <w:tc>
          <w:tcPr>
            <w:tcW w:w="3128" w:type="dxa"/>
            <w:tcBorders>
              <w:top w:val="nil"/>
              <w:left w:val="nil"/>
              <w:bottom w:val="nil"/>
              <w:right w:val="nil"/>
            </w:tcBorders>
            <w:shd w:val="clear" w:color="auto" w:fill="auto"/>
            <w:noWrap/>
            <w:vAlign w:val="center"/>
            <w:hideMark/>
          </w:tcPr>
          <w:p w:rsidRPr="00F741A7" w:rsidR="00141442" w:rsidDel="00B25B76" w:rsidP="009230A3" w:rsidRDefault="00141442" w14:paraId="4BA5ABA8" w14:textId="77777777">
            <w:pPr>
              <w:tabs>
                <w:tab w:val="left" w:pos="720"/>
              </w:tabs>
              <w:rPr>
                <w:color w:val="000000"/>
                <w:sz w:val="18"/>
                <w:szCs w:val="18"/>
              </w:rPr>
            </w:pPr>
            <w:r w:rsidRPr="00F741A7" w:rsidDel="00B25B76">
              <w:rPr>
                <w:color w:val="000000"/>
                <w:sz w:val="18"/>
              </w:rPr>
              <w:t xml:space="preserve">Both Direct and Indirect </w:t>
            </w:r>
          </w:p>
        </w:tc>
        <w:tc>
          <w:tcPr>
            <w:tcW w:w="904" w:type="dxa"/>
            <w:tcBorders>
              <w:top w:val="nil"/>
              <w:left w:val="nil"/>
              <w:bottom w:val="nil"/>
              <w:right w:val="nil"/>
            </w:tcBorders>
            <w:shd w:val="clear" w:color="auto" w:fill="auto"/>
            <w:noWrap/>
            <w:vAlign w:val="center"/>
            <w:hideMark/>
          </w:tcPr>
          <w:p w:rsidRPr="00F741A7" w:rsidR="00141442" w:rsidDel="00B25B76" w:rsidP="009230A3" w:rsidRDefault="00141442" w14:paraId="2DB73276" w14:textId="77777777">
            <w:pPr>
              <w:tabs>
                <w:tab w:val="left" w:pos="720"/>
              </w:tabs>
              <w:jc w:val="center"/>
              <w:rPr>
                <w:color w:val="000000"/>
                <w:sz w:val="18"/>
                <w:szCs w:val="18"/>
              </w:rPr>
            </w:pPr>
            <w:r w:rsidRPr="00F741A7" w:rsidDel="00B25B76">
              <w:rPr>
                <w:color w:val="000000"/>
                <w:sz w:val="18"/>
                <w:szCs w:val="18"/>
              </w:rPr>
              <w:t>941</w:t>
            </w:r>
          </w:p>
        </w:tc>
        <w:tc>
          <w:tcPr>
            <w:tcW w:w="1393" w:type="dxa"/>
            <w:tcBorders>
              <w:top w:val="nil"/>
              <w:left w:val="nil"/>
              <w:bottom w:val="nil"/>
              <w:right w:val="nil"/>
            </w:tcBorders>
            <w:shd w:val="clear" w:color="auto" w:fill="auto"/>
            <w:noWrap/>
            <w:vAlign w:val="center"/>
            <w:hideMark/>
          </w:tcPr>
          <w:p w:rsidRPr="00F741A7" w:rsidR="00141442" w:rsidDel="00B25B76" w:rsidP="009230A3" w:rsidRDefault="00141442" w14:paraId="681797F4" w14:textId="77777777">
            <w:pPr>
              <w:tabs>
                <w:tab w:val="left" w:pos="720"/>
              </w:tabs>
              <w:jc w:val="center"/>
              <w:rPr>
                <w:color w:val="000000"/>
                <w:sz w:val="18"/>
                <w:szCs w:val="18"/>
              </w:rPr>
            </w:pPr>
            <w:r w:rsidRPr="00F741A7" w:rsidDel="00B25B76">
              <w:rPr>
                <w:color w:val="000000"/>
                <w:sz w:val="18"/>
                <w:szCs w:val="18"/>
              </w:rPr>
              <w:t>586</w:t>
            </w:r>
          </w:p>
        </w:tc>
        <w:tc>
          <w:tcPr>
            <w:tcW w:w="1168" w:type="dxa"/>
            <w:tcBorders>
              <w:top w:val="nil"/>
              <w:left w:val="nil"/>
              <w:bottom w:val="nil"/>
              <w:right w:val="nil"/>
            </w:tcBorders>
            <w:shd w:val="clear" w:color="auto" w:fill="auto"/>
            <w:noWrap/>
            <w:vAlign w:val="center"/>
            <w:hideMark/>
          </w:tcPr>
          <w:p w:rsidRPr="00F741A7" w:rsidR="00141442" w:rsidDel="00B25B76" w:rsidP="009230A3" w:rsidRDefault="00141442" w14:paraId="6C2D6998" w14:textId="77777777">
            <w:pPr>
              <w:tabs>
                <w:tab w:val="left" w:pos="720"/>
              </w:tabs>
              <w:jc w:val="center"/>
              <w:rPr>
                <w:b/>
                <w:color w:val="000000"/>
                <w:sz w:val="18"/>
                <w:szCs w:val="18"/>
              </w:rPr>
            </w:pPr>
            <w:r w:rsidRPr="00F741A7" w:rsidDel="00B25B76">
              <w:rPr>
                <w:b/>
                <w:color w:val="000000"/>
                <w:sz w:val="18"/>
                <w:szCs w:val="18"/>
              </w:rPr>
              <w:t>1,527</w:t>
            </w:r>
          </w:p>
        </w:tc>
        <w:tc>
          <w:tcPr>
            <w:tcW w:w="1121" w:type="dxa"/>
            <w:tcBorders>
              <w:top w:val="nil"/>
              <w:left w:val="nil"/>
              <w:bottom w:val="nil"/>
              <w:right w:val="nil"/>
            </w:tcBorders>
            <w:shd w:val="clear" w:color="auto" w:fill="auto"/>
            <w:noWrap/>
            <w:vAlign w:val="center"/>
            <w:hideMark/>
          </w:tcPr>
          <w:p w:rsidRPr="00F741A7" w:rsidR="00141442" w:rsidDel="00B25B76" w:rsidP="009230A3" w:rsidRDefault="00141442" w14:paraId="2538D306" w14:textId="77777777">
            <w:pPr>
              <w:tabs>
                <w:tab w:val="left" w:pos="720"/>
              </w:tabs>
              <w:jc w:val="center"/>
              <w:rPr>
                <w:color w:val="000000"/>
                <w:sz w:val="18"/>
                <w:szCs w:val="18"/>
              </w:rPr>
            </w:pPr>
            <w:r w:rsidRPr="00F741A7" w:rsidDel="00B25B76">
              <w:rPr>
                <w:color w:val="000000"/>
                <w:sz w:val="18"/>
                <w:szCs w:val="18"/>
              </w:rPr>
              <w:t>1</w:t>
            </w:r>
          </w:p>
        </w:tc>
        <w:tc>
          <w:tcPr>
            <w:tcW w:w="1154" w:type="dxa"/>
            <w:tcBorders>
              <w:top w:val="nil"/>
              <w:left w:val="nil"/>
              <w:bottom w:val="nil"/>
              <w:right w:val="nil"/>
            </w:tcBorders>
            <w:shd w:val="clear" w:color="auto" w:fill="auto"/>
            <w:noWrap/>
            <w:vAlign w:val="center"/>
            <w:hideMark/>
          </w:tcPr>
          <w:p w:rsidRPr="00F741A7" w:rsidR="00141442" w:rsidDel="00B25B76" w:rsidP="009230A3" w:rsidRDefault="00141442" w14:paraId="100448C0" w14:textId="77777777">
            <w:pPr>
              <w:tabs>
                <w:tab w:val="left" w:pos="720"/>
              </w:tabs>
              <w:jc w:val="center"/>
              <w:rPr>
                <w:b/>
                <w:color w:val="000000"/>
                <w:sz w:val="18"/>
                <w:szCs w:val="18"/>
              </w:rPr>
            </w:pPr>
            <w:r w:rsidRPr="00F741A7" w:rsidDel="00B25B76">
              <w:rPr>
                <w:b/>
                <w:color w:val="000000"/>
                <w:sz w:val="18"/>
                <w:szCs w:val="18"/>
              </w:rPr>
              <w:t>1,528</w:t>
            </w:r>
          </w:p>
        </w:tc>
      </w:tr>
      <w:tr w:rsidRPr="00F741A7" w:rsidR="00141442" w:rsidDel="00B25B76" w:rsidTr="009230A3" w14:paraId="42CE53F1" w14:textId="77777777">
        <w:trPr>
          <w:trHeight w:val="315"/>
        </w:trPr>
        <w:tc>
          <w:tcPr>
            <w:tcW w:w="222" w:type="dxa"/>
            <w:tcBorders>
              <w:top w:val="nil"/>
              <w:left w:val="nil"/>
              <w:bottom w:val="nil"/>
              <w:right w:val="nil"/>
            </w:tcBorders>
            <w:shd w:val="clear" w:color="auto" w:fill="auto"/>
            <w:noWrap/>
            <w:vAlign w:val="bottom"/>
            <w:hideMark/>
          </w:tcPr>
          <w:p w:rsidRPr="00F741A7" w:rsidR="00141442" w:rsidDel="00B25B76" w:rsidP="009230A3" w:rsidRDefault="00141442" w14:paraId="17F404F9" w14:textId="77777777">
            <w:pPr>
              <w:tabs>
                <w:tab w:val="left" w:pos="720"/>
              </w:tabs>
              <w:jc w:val="center"/>
              <w:rPr>
                <w:b/>
                <w:color w:val="000000"/>
                <w:sz w:val="18"/>
                <w:szCs w:val="18"/>
              </w:rPr>
            </w:pPr>
          </w:p>
        </w:tc>
        <w:tc>
          <w:tcPr>
            <w:tcW w:w="3128" w:type="dxa"/>
            <w:tcBorders>
              <w:top w:val="double" w:color="auto" w:sz="6" w:space="0"/>
              <w:left w:val="nil"/>
              <w:bottom w:val="nil"/>
              <w:right w:val="nil"/>
            </w:tcBorders>
            <w:shd w:val="clear" w:color="auto" w:fill="auto"/>
            <w:noWrap/>
            <w:vAlign w:val="center"/>
            <w:hideMark/>
          </w:tcPr>
          <w:p w:rsidRPr="00F741A7" w:rsidR="00141442" w:rsidDel="00B25B76" w:rsidP="009230A3" w:rsidRDefault="00141442" w14:paraId="076F94C9" w14:textId="77777777">
            <w:pPr>
              <w:tabs>
                <w:tab w:val="left" w:pos="720"/>
              </w:tabs>
              <w:rPr>
                <w:b/>
                <w:color w:val="000000"/>
                <w:sz w:val="18"/>
                <w:szCs w:val="18"/>
              </w:rPr>
            </w:pPr>
            <w:r w:rsidRPr="00F741A7" w:rsidDel="00B25B76">
              <w:rPr>
                <w:b/>
                <w:color w:val="000000"/>
                <w:sz w:val="18"/>
              </w:rPr>
              <w:t>Total</w:t>
            </w:r>
          </w:p>
        </w:tc>
        <w:tc>
          <w:tcPr>
            <w:tcW w:w="904" w:type="dxa"/>
            <w:tcBorders>
              <w:top w:val="double" w:color="auto" w:sz="6" w:space="0"/>
              <w:left w:val="nil"/>
              <w:bottom w:val="nil"/>
              <w:right w:val="nil"/>
            </w:tcBorders>
            <w:shd w:val="clear" w:color="auto" w:fill="auto"/>
            <w:noWrap/>
            <w:vAlign w:val="center"/>
            <w:hideMark/>
          </w:tcPr>
          <w:p w:rsidRPr="00F741A7" w:rsidR="00141442" w:rsidDel="00B25B76" w:rsidP="009230A3" w:rsidRDefault="00141442" w14:paraId="5EAB8BB4" w14:textId="77777777">
            <w:pPr>
              <w:tabs>
                <w:tab w:val="left" w:pos="720"/>
              </w:tabs>
              <w:jc w:val="center"/>
              <w:rPr>
                <w:b/>
                <w:color w:val="000000"/>
                <w:sz w:val="18"/>
                <w:szCs w:val="18"/>
              </w:rPr>
            </w:pPr>
            <w:r w:rsidRPr="00F741A7" w:rsidDel="00B25B76">
              <w:rPr>
                <w:b/>
                <w:color w:val="000000"/>
                <w:sz w:val="18"/>
                <w:szCs w:val="18"/>
              </w:rPr>
              <w:t>5,005</w:t>
            </w:r>
          </w:p>
        </w:tc>
        <w:tc>
          <w:tcPr>
            <w:tcW w:w="1393" w:type="dxa"/>
            <w:tcBorders>
              <w:top w:val="double" w:color="auto" w:sz="6" w:space="0"/>
              <w:left w:val="nil"/>
              <w:bottom w:val="nil"/>
              <w:right w:val="nil"/>
            </w:tcBorders>
            <w:shd w:val="clear" w:color="auto" w:fill="auto"/>
            <w:noWrap/>
            <w:vAlign w:val="center"/>
            <w:hideMark/>
          </w:tcPr>
          <w:p w:rsidRPr="00F741A7" w:rsidR="00141442" w:rsidDel="00B25B76" w:rsidP="009230A3" w:rsidRDefault="00141442" w14:paraId="761B6A6E" w14:textId="77777777">
            <w:pPr>
              <w:tabs>
                <w:tab w:val="left" w:pos="720"/>
              </w:tabs>
              <w:jc w:val="center"/>
              <w:rPr>
                <w:b/>
                <w:color w:val="000000"/>
                <w:sz w:val="18"/>
                <w:szCs w:val="18"/>
              </w:rPr>
            </w:pPr>
            <w:r w:rsidRPr="00F741A7" w:rsidDel="00B25B76">
              <w:rPr>
                <w:b/>
                <w:color w:val="000000"/>
                <w:sz w:val="18"/>
                <w:szCs w:val="18"/>
              </w:rPr>
              <w:t>20,463</w:t>
            </w:r>
          </w:p>
        </w:tc>
        <w:tc>
          <w:tcPr>
            <w:tcW w:w="1168" w:type="dxa"/>
            <w:tcBorders>
              <w:top w:val="double" w:color="auto" w:sz="6" w:space="0"/>
              <w:left w:val="nil"/>
              <w:bottom w:val="nil"/>
              <w:right w:val="nil"/>
            </w:tcBorders>
            <w:shd w:val="clear" w:color="auto" w:fill="auto"/>
            <w:noWrap/>
            <w:vAlign w:val="center"/>
            <w:hideMark/>
          </w:tcPr>
          <w:p w:rsidRPr="00F741A7" w:rsidR="00141442" w:rsidDel="00B25B76" w:rsidP="009230A3" w:rsidRDefault="00141442" w14:paraId="14CEE956" w14:textId="77777777">
            <w:pPr>
              <w:tabs>
                <w:tab w:val="left" w:pos="720"/>
              </w:tabs>
              <w:jc w:val="center"/>
              <w:rPr>
                <w:b/>
                <w:color w:val="000000"/>
                <w:sz w:val="18"/>
                <w:szCs w:val="18"/>
              </w:rPr>
            </w:pPr>
            <w:r w:rsidRPr="00F741A7" w:rsidDel="00B25B76">
              <w:rPr>
                <w:b/>
                <w:color w:val="000000"/>
                <w:sz w:val="18"/>
                <w:szCs w:val="18"/>
              </w:rPr>
              <w:t>25,468</w:t>
            </w:r>
          </w:p>
        </w:tc>
        <w:tc>
          <w:tcPr>
            <w:tcW w:w="1121" w:type="dxa"/>
            <w:tcBorders>
              <w:top w:val="double" w:color="auto" w:sz="6" w:space="0"/>
              <w:left w:val="nil"/>
              <w:bottom w:val="nil"/>
              <w:right w:val="nil"/>
            </w:tcBorders>
            <w:shd w:val="clear" w:color="auto" w:fill="auto"/>
            <w:noWrap/>
            <w:vAlign w:val="center"/>
            <w:hideMark/>
          </w:tcPr>
          <w:p w:rsidRPr="00F741A7" w:rsidR="00141442" w:rsidDel="00B25B76" w:rsidP="009230A3" w:rsidRDefault="00141442" w14:paraId="60DA46F5" w14:textId="77777777">
            <w:pPr>
              <w:tabs>
                <w:tab w:val="left" w:pos="720"/>
              </w:tabs>
              <w:jc w:val="center"/>
              <w:rPr>
                <w:b/>
                <w:color w:val="000000"/>
                <w:sz w:val="18"/>
                <w:szCs w:val="18"/>
              </w:rPr>
            </w:pPr>
            <w:r w:rsidRPr="00F741A7" w:rsidDel="00B25B76">
              <w:rPr>
                <w:b/>
                <w:color w:val="000000"/>
                <w:sz w:val="18"/>
                <w:szCs w:val="18"/>
              </w:rPr>
              <w:t>573</w:t>
            </w:r>
          </w:p>
        </w:tc>
        <w:tc>
          <w:tcPr>
            <w:tcW w:w="1154" w:type="dxa"/>
            <w:tcBorders>
              <w:top w:val="double" w:color="auto" w:sz="6" w:space="0"/>
              <w:left w:val="nil"/>
              <w:bottom w:val="nil"/>
              <w:right w:val="nil"/>
            </w:tcBorders>
            <w:shd w:val="clear" w:color="auto" w:fill="auto"/>
            <w:noWrap/>
            <w:vAlign w:val="center"/>
            <w:hideMark/>
          </w:tcPr>
          <w:p w:rsidRPr="00F741A7" w:rsidR="00141442" w:rsidDel="00B25B76" w:rsidP="009230A3" w:rsidRDefault="00141442" w14:paraId="30E1001E" w14:textId="77777777">
            <w:pPr>
              <w:tabs>
                <w:tab w:val="left" w:pos="720"/>
              </w:tabs>
              <w:jc w:val="center"/>
              <w:rPr>
                <w:b/>
                <w:color w:val="000000"/>
                <w:sz w:val="18"/>
                <w:szCs w:val="18"/>
              </w:rPr>
            </w:pPr>
            <w:r w:rsidRPr="00F741A7" w:rsidDel="00B25B76">
              <w:rPr>
                <w:b/>
                <w:color w:val="000000"/>
                <w:sz w:val="18"/>
                <w:szCs w:val="18"/>
              </w:rPr>
              <w:t>26,041</w:t>
            </w:r>
          </w:p>
        </w:tc>
      </w:tr>
      <w:tr w:rsidRPr="00F741A7" w:rsidR="00141442" w:rsidDel="00B25B76" w:rsidTr="009230A3" w14:paraId="2EF006ED" w14:textId="77777777">
        <w:trPr>
          <w:trHeight w:val="300"/>
        </w:trPr>
        <w:tc>
          <w:tcPr>
            <w:tcW w:w="222" w:type="dxa"/>
            <w:tcBorders>
              <w:top w:val="nil"/>
              <w:left w:val="nil"/>
              <w:bottom w:val="nil"/>
              <w:right w:val="nil"/>
            </w:tcBorders>
            <w:shd w:val="clear" w:color="auto" w:fill="auto"/>
            <w:noWrap/>
            <w:vAlign w:val="bottom"/>
            <w:hideMark/>
          </w:tcPr>
          <w:p w:rsidRPr="00F741A7" w:rsidR="00141442" w:rsidDel="00B25B76" w:rsidP="009230A3" w:rsidRDefault="00141442" w14:paraId="0077249D" w14:textId="77777777">
            <w:pPr>
              <w:tabs>
                <w:tab w:val="left" w:pos="720"/>
              </w:tabs>
              <w:jc w:val="center"/>
              <w:rPr>
                <w:b/>
                <w:color w:val="000000"/>
                <w:sz w:val="18"/>
                <w:szCs w:val="18"/>
              </w:rPr>
            </w:pPr>
          </w:p>
        </w:tc>
        <w:tc>
          <w:tcPr>
            <w:tcW w:w="3128" w:type="dxa"/>
            <w:tcBorders>
              <w:top w:val="nil"/>
              <w:left w:val="nil"/>
              <w:bottom w:val="nil"/>
              <w:right w:val="nil"/>
            </w:tcBorders>
            <w:shd w:val="clear" w:color="auto" w:fill="auto"/>
            <w:noWrap/>
            <w:vAlign w:val="bottom"/>
            <w:hideMark/>
          </w:tcPr>
          <w:p w:rsidRPr="00F741A7" w:rsidR="00141442" w:rsidDel="00B25B76" w:rsidP="009230A3" w:rsidRDefault="00141442" w14:paraId="75C44943" w14:textId="77777777">
            <w:pPr>
              <w:tabs>
                <w:tab w:val="left" w:pos="720"/>
              </w:tabs>
              <w:rPr>
                <w:sz w:val="20"/>
                <w:szCs w:val="20"/>
              </w:rPr>
            </w:pPr>
          </w:p>
        </w:tc>
        <w:tc>
          <w:tcPr>
            <w:tcW w:w="904" w:type="dxa"/>
            <w:tcBorders>
              <w:top w:val="nil"/>
              <w:left w:val="nil"/>
              <w:bottom w:val="nil"/>
              <w:right w:val="nil"/>
            </w:tcBorders>
            <w:shd w:val="clear" w:color="auto" w:fill="auto"/>
            <w:noWrap/>
            <w:vAlign w:val="bottom"/>
            <w:hideMark/>
          </w:tcPr>
          <w:p w:rsidRPr="00F741A7" w:rsidR="00141442" w:rsidDel="00B25B76" w:rsidP="009230A3" w:rsidRDefault="00141442" w14:paraId="063B9252" w14:textId="77777777">
            <w:pPr>
              <w:tabs>
                <w:tab w:val="left" w:pos="720"/>
              </w:tabs>
              <w:rPr>
                <w:sz w:val="20"/>
                <w:szCs w:val="20"/>
              </w:rPr>
            </w:pPr>
          </w:p>
        </w:tc>
        <w:tc>
          <w:tcPr>
            <w:tcW w:w="1393" w:type="dxa"/>
            <w:tcBorders>
              <w:top w:val="nil"/>
              <w:left w:val="nil"/>
              <w:bottom w:val="nil"/>
              <w:right w:val="nil"/>
            </w:tcBorders>
            <w:shd w:val="clear" w:color="auto" w:fill="auto"/>
            <w:noWrap/>
            <w:vAlign w:val="bottom"/>
            <w:hideMark/>
          </w:tcPr>
          <w:p w:rsidRPr="00F741A7" w:rsidR="00141442" w:rsidDel="00B25B76" w:rsidP="009230A3" w:rsidRDefault="00141442" w14:paraId="3668FFEC" w14:textId="77777777">
            <w:pPr>
              <w:tabs>
                <w:tab w:val="left" w:pos="720"/>
              </w:tabs>
              <w:rPr>
                <w:sz w:val="20"/>
                <w:szCs w:val="20"/>
              </w:rPr>
            </w:pPr>
          </w:p>
        </w:tc>
        <w:tc>
          <w:tcPr>
            <w:tcW w:w="1168" w:type="dxa"/>
            <w:tcBorders>
              <w:top w:val="nil"/>
              <w:left w:val="nil"/>
              <w:bottom w:val="nil"/>
              <w:right w:val="nil"/>
            </w:tcBorders>
            <w:shd w:val="clear" w:color="auto" w:fill="auto"/>
            <w:noWrap/>
            <w:vAlign w:val="bottom"/>
            <w:hideMark/>
          </w:tcPr>
          <w:p w:rsidRPr="00F741A7" w:rsidR="00141442" w:rsidDel="00B25B76" w:rsidP="009230A3" w:rsidRDefault="00141442" w14:paraId="752EDA0C" w14:textId="77777777">
            <w:pPr>
              <w:tabs>
                <w:tab w:val="left" w:pos="720"/>
              </w:tabs>
              <w:rPr>
                <w:sz w:val="20"/>
                <w:szCs w:val="20"/>
              </w:rPr>
            </w:pPr>
          </w:p>
        </w:tc>
        <w:tc>
          <w:tcPr>
            <w:tcW w:w="1121" w:type="dxa"/>
            <w:tcBorders>
              <w:top w:val="nil"/>
              <w:left w:val="nil"/>
              <w:bottom w:val="nil"/>
              <w:right w:val="nil"/>
            </w:tcBorders>
            <w:shd w:val="clear" w:color="auto" w:fill="auto"/>
            <w:noWrap/>
            <w:vAlign w:val="bottom"/>
            <w:hideMark/>
          </w:tcPr>
          <w:p w:rsidRPr="00F741A7" w:rsidR="00141442" w:rsidDel="00B25B76" w:rsidP="009230A3" w:rsidRDefault="00141442" w14:paraId="216FEBFB" w14:textId="77777777">
            <w:pPr>
              <w:tabs>
                <w:tab w:val="left" w:pos="720"/>
              </w:tabs>
              <w:rPr>
                <w:sz w:val="20"/>
                <w:szCs w:val="20"/>
              </w:rPr>
            </w:pPr>
          </w:p>
        </w:tc>
        <w:tc>
          <w:tcPr>
            <w:tcW w:w="1154" w:type="dxa"/>
            <w:tcBorders>
              <w:top w:val="nil"/>
              <w:left w:val="nil"/>
              <w:bottom w:val="nil"/>
              <w:right w:val="nil"/>
            </w:tcBorders>
            <w:shd w:val="clear" w:color="auto" w:fill="auto"/>
            <w:noWrap/>
            <w:vAlign w:val="bottom"/>
            <w:hideMark/>
          </w:tcPr>
          <w:p w:rsidRPr="00F741A7" w:rsidR="00141442" w:rsidDel="00B25B76" w:rsidP="009230A3" w:rsidRDefault="00141442" w14:paraId="5DBCCC21" w14:textId="77777777">
            <w:pPr>
              <w:tabs>
                <w:tab w:val="left" w:pos="720"/>
              </w:tabs>
              <w:rPr>
                <w:sz w:val="20"/>
                <w:szCs w:val="20"/>
              </w:rPr>
            </w:pPr>
          </w:p>
        </w:tc>
      </w:tr>
      <w:tr w:rsidRPr="00F741A7" w:rsidR="00141442" w:rsidDel="00B25B76" w:rsidTr="009230A3" w14:paraId="4894D0C1" w14:textId="77777777">
        <w:trPr>
          <w:trHeight w:val="300"/>
        </w:trPr>
        <w:tc>
          <w:tcPr>
            <w:tcW w:w="3350" w:type="dxa"/>
            <w:gridSpan w:val="2"/>
            <w:tcBorders>
              <w:top w:val="nil"/>
              <w:left w:val="nil"/>
              <w:bottom w:val="nil"/>
              <w:right w:val="nil"/>
            </w:tcBorders>
            <w:shd w:val="clear" w:color="auto" w:fill="auto"/>
            <w:noWrap/>
            <w:vAlign w:val="center"/>
            <w:hideMark/>
          </w:tcPr>
          <w:p w:rsidRPr="00F741A7" w:rsidR="00141442" w:rsidDel="00B25B76" w:rsidP="009230A3" w:rsidRDefault="00141442" w14:paraId="49466C04" w14:textId="77777777">
            <w:pPr>
              <w:tabs>
                <w:tab w:val="left" w:pos="720"/>
              </w:tabs>
              <w:rPr>
                <w:b/>
                <w:bCs/>
                <w:color w:val="000000"/>
                <w:sz w:val="18"/>
                <w:szCs w:val="18"/>
              </w:rPr>
            </w:pPr>
            <w:r w:rsidRPr="00F741A7" w:rsidDel="00B25B76">
              <w:rPr>
                <w:b/>
                <w:bCs/>
                <w:color w:val="000000"/>
                <w:sz w:val="18"/>
              </w:rPr>
              <w:t>ESOP (No Common Stock)</w:t>
            </w:r>
          </w:p>
        </w:tc>
        <w:tc>
          <w:tcPr>
            <w:tcW w:w="904" w:type="dxa"/>
            <w:tcBorders>
              <w:top w:val="nil"/>
              <w:left w:val="nil"/>
              <w:bottom w:val="nil"/>
              <w:right w:val="nil"/>
            </w:tcBorders>
            <w:shd w:val="clear" w:color="auto" w:fill="auto"/>
            <w:noWrap/>
            <w:vAlign w:val="center"/>
            <w:hideMark/>
          </w:tcPr>
          <w:p w:rsidRPr="00F741A7" w:rsidR="00141442" w:rsidDel="00B25B76" w:rsidP="009230A3" w:rsidRDefault="00141442" w14:paraId="2DAABEF4" w14:textId="77777777">
            <w:pPr>
              <w:tabs>
                <w:tab w:val="left" w:pos="720"/>
              </w:tabs>
              <w:jc w:val="center"/>
              <w:rPr>
                <w:color w:val="000000"/>
                <w:sz w:val="18"/>
                <w:szCs w:val="18"/>
              </w:rPr>
            </w:pPr>
            <w:r w:rsidRPr="00F741A7" w:rsidDel="00B25B76">
              <w:rPr>
                <w:color w:val="000000"/>
                <w:sz w:val="18"/>
                <w:szCs w:val="18"/>
              </w:rPr>
              <w:t>-</w:t>
            </w:r>
          </w:p>
        </w:tc>
        <w:tc>
          <w:tcPr>
            <w:tcW w:w="1393" w:type="dxa"/>
            <w:tcBorders>
              <w:top w:val="nil"/>
              <w:left w:val="nil"/>
              <w:bottom w:val="nil"/>
              <w:right w:val="nil"/>
            </w:tcBorders>
            <w:shd w:val="clear" w:color="auto" w:fill="auto"/>
            <w:noWrap/>
            <w:vAlign w:val="center"/>
            <w:hideMark/>
          </w:tcPr>
          <w:p w:rsidRPr="00F741A7" w:rsidR="00141442" w:rsidDel="00B25B76" w:rsidP="009230A3" w:rsidRDefault="00141442" w14:paraId="0A6C66E4" w14:textId="77777777">
            <w:pPr>
              <w:tabs>
                <w:tab w:val="left" w:pos="720"/>
              </w:tabs>
              <w:jc w:val="center"/>
              <w:rPr>
                <w:color w:val="000000"/>
                <w:sz w:val="18"/>
                <w:szCs w:val="18"/>
              </w:rPr>
            </w:pPr>
            <w:r w:rsidRPr="00F741A7" w:rsidDel="00B25B76">
              <w:rPr>
                <w:color w:val="000000"/>
                <w:sz w:val="18"/>
                <w:szCs w:val="18"/>
              </w:rPr>
              <w:t>5,809</w:t>
            </w:r>
          </w:p>
        </w:tc>
        <w:tc>
          <w:tcPr>
            <w:tcW w:w="1168" w:type="dxa"/>
            <w:tcBorders>
              <w:top w:val="nil"/>
              <w:left w:val="nil"/>
              <w:bottom w:val="nil"/>
              <w:right w:val="nil"/>
            </w:tcBorders>
            <w:shd w:val="clear" w:color="auto" w:fill="auto"/>
            <w:noWrap/>
            <w:vAlign w:val="center"/>
            <w:hideMark/>
          </w:tcPr>
          <w:p w:rsidRPr="00F741A7" w:rsidR="00141442" w:rsidDel="00B25B76" w:rsidP="009230A3" w:rsidRDefault="00141442" w14:paraId="7BB400E8" w14:textId="77777777">
            <w:pPr>
              <w:tabs>
                <w:tab w:val="left" w:pos="720"/>
              </w:tabs>
              <w:jc w:val="center"/>
              <w:rPr>
                <w:b/>
                <w:color w:val="000000"/>
                <w:sz w:val="18"/>
                <w:szCs w:val="18"/>
              </w:rPr>
            </w:pPr>
            <w:r w:rsidRPr="00F741A7" w:rsidDel="00B25B76">
              <w:rPr>
                <w:b/>
                <w:color w:val="000000"/>
                <w:sz w:val="18"/>
                <w:szCs w:val="18"/>
              </w:rPr>
              <w:t>5,809</w:t>
            </w:r>
          </w:p>
        </w:tc>
        <w:tc>
          <w:tcPr>
            <w:tcW w:w="1121" w:type="dxa"/>
            <w:tcBorders>
              <w:top w:val="nil"/>
              <w:left w:val="nil"/>
              <w:bottom w:val="nil"/>
              <w:right w:val="nil"/>
            </w:tcBorders>
            <w:shd w:val="clear" w:color="auto" w:fill="auto"/>
            <w:noWrap/>
            <w:vAlign w:val="center"/>
            <w:hideMark/>
          </w:tcPr>
          <w:p w:rsidRPr="00F741A7" w:rsidR="00141442" w:rsidDel="00B25B76" w:rsidP="009230A3" w:rsidRDefault="00141442" w14:paraId="4393BA71" w14:textId="77777777">
            <w:pPr>
              <w:tabs>
                <w:tab w:val="left" w:pos="720"/>
              </w:tabs>
              <w:jc w:val="center"/>
              <w:rPr>
                <w:color w:val="000000"/>
                <w:sz w:val="18"/>
                <w:szCs w:val="18"/>
              </w:rPr>
            </w:pPr>
            <w:r w:rsidRPr="00F741A7" w:rsidDel="00B25B76">
              <w:rPr>
                <w:color w:val="000000"/>
                <w:sz w:val="18"/>
                <w:szCs w:val="18"/>
              </w:rPr>
              <w:t>-</w:t>
            </w:r>
          </w:p>
        </w:tc>
        <w:tc>
          <w:tcPr>
            <w:tcW w:w="1154" w:type="dxa"/>
            <w:tcBorders>
              <w:top w:val="nil"/>
              <w:left w:val="nil"/>
              <w:bottom w:val="nil"/>
              <w:right w:val="nil"/>
            </w:tcBorders>
            <w:shd w:val="clear" w:color="auto" w:fill="auto"/>
            <w:noWrap/>
            <w:vAlign w:val="center"/>
            <w:hideMark/>
          </w:tcPr>
          <w:p w:rsidRPr="00F741A7" w:rsidR="00141442" w:rsidDel="00B25B76" w:rsidP="009230A3" w:rsidRDefault="00141442" w14:paraId="15646C20" w14:textId="77777777">
            <w:pPr>
              <w:tabs>
                <w:tab w:val="left" w:pos="720"/>
              </w:tabs>
              <w:jc w:val="center"/>
              <w:rPr>
                <w:b/>
                <w:color w:val="000000"/>
                <w:sz w:val="18"/>
                <w:szCs w:val="18"/>
              </w:rPr>
            </w:pPr>
            <w:r w:rsidRPr="00F741A7" w:rsidDel="00B25B76">
              <w:rPr>
                <w:b/>
                <w:color w:val="000000"/>
                <w:sz w:val="18"/>
                <w:szCs w:val="18"/>
              </w:rPr>
              <w:t>5,809</w:t>
            </w:r>
          </w:p>
        </w:tc>
      </w:tr>
      <w:tr w:rsidRPr="00F741A7" w:rsidR="00141442" w:rsidDel="00B25B76" w:rsidTr="009230A3" w14:paraId="445BCB6C" w14:textId="77777777">
        <w:trPr>
          <w:trHeight w:val="300"/>
        </w:trPr>
        <w:tc>
          <w:tcPr>
            <w:tcW w:w="222" w:type="dxa"/>
            <w:tcBorders>
              <w:top w:val="nil"/>
              <w:left w:val="nil"/>
              <w:bottom w:val="nil"/>
              <w:right w:val="nil"/>
            </w:tcBorders>
            <w:shd w:val="clear" w:color="auto" w:fill="auto"/>
            <w:noWrap/>
            <w:vAlign w:val="bottom"/>
            <w:hideMark/>
          </w:tcPr>
          <w:p w:rsidRPr="00F741A7" w:rsidR="00141442" w:rsidDel="00B25B76" w:rsidP="009230A3" w:rsidRDefault="00141442" w14:paraId="101960BF" w14:textId="77777777">
            <w:pPr>
              <w:tabs>
                <w:tab w:val="left" w:pos="720"/>
              </w:tabs>
              <w:jc w:val="center"/>
              <w:rPr>
                <w:b/>
                <w:color w:val="000000"/>
                <w:sz w:val="18"/>
                <w:szCs w:val="18"/>
              </w:rPr>
            </w:pPr>
          </w:p>
        </w:tc>
        <w:tc>
          <w:tcPr>
            <w:tcW w:w="3128" w:type="dxa"/>
            <w:tcBorders>
              <w:top w:val="nil"/>
              <w:left w:val="nil"/>
              <w:bottom w:val="nil"/>
              <w:right w:val="nil"/>
            </w:tcBorders>
            <w:shd w:val="clear" w:color="auto" w:fill="auto"/>
            <w:noWrap/>
            <w:vAlign w:val="bottom"/>
            <w:hideMark/>
          </w:tcPr>
          <w:p w:rsidRPr="00F741A7" w:rsidR="00141442" w:rsidDel="00B25B76" w:rsidP="009230A3" w:rsidRDefault="00141442" w14:paraId="38A130B1" w14:textId="77777777">
            <w:pPr>
              <w:tabs>
                <w:tab w:val="left" w:pos="720"/>
              </w:tabs>
              <w:rPr>
                <w:sz w:val="20"/>
                <w:szCs w:val="20"/>
              </w:rPr>
            </w:pPr>
          </w:p>
        </w:tc>
        <w:tc>
          <w:tcPr>
            <w:tcW w:w="904" w:type="dxa"/>
            <w:tcBorders>
              <w:top w:val="nil"/>
              <w:left w:val="nil"/>
              <w:bottom w:val="nil"/>
              <w:right w:val="nil"/>
            </w:tcBorders>
            <w:shd w:val="clear" w:color="auto" w:fill="auto"/>
            <w:noWrap/>
            <w:vAlign w:val="bottom"/>
            <w:hideMark/>
          </w:tcPr>
          <w:p w:rsidRPr="00F741A7" w:rsidR="00141442" w:rsidDel="00B25B76" w:rsidP="009230A3" w:rsidRDefault="00141442" w14:paraId="1AD5BDB6" w14:textId="77777777">
            <w:pPr>
              <w:tabs>
                <w:tab w:val="left" w:pos="720"/>
              </w:tabs>
              <w:rPr>
                <w:sz w:val="20"/>
                <w:szCs w:val="20"/>
              </w:rPr>
            </w:pPr>
          </w:p>
        </w:tc>
        <w:tc>
          <w:tcPr>
            <w:tcW w:w="1393" w:type="dxa"/>
            <w:tcBorders>
              <w:top w:val="nil"/>
              <w:left w:val="nil"/>
              <w:bottom w:val="nil"/>
              <w:right w:val="nil"/>
            </w:tcBorders>
            <w:shd w:val="clear" w:color="auto" w:fill="auto"/>
            <w:noWrap/>
            <w:vAlign w:val="bottom"/>
            <w:hideMark/>
          </w:tcPr>
          <w:p w:rsidRPr="00F741A7" w:rsidR="00141442" w:rsidDel="00B25B76" w:rsidP="009230A3" w:rsidRDefault="00141442" w14:paraId="14DBA691" w14:textId="77777777">
            <w:pPr>
              <w:tabs>
                <w:tab w:val="left" w:pos="720"/>
              </w:tabs>
              <w:rPr>
                <w:sz w:val="20"/>
                <w:szCs w:val="20"/>
              </w:rPr>
            </w:pPr>
          </w:p>
        </w:tc>
        <w:tc>
          <w:tcPr>
            <w:tcW w:w="1168" w:type="dxa"/>
            <w:tcBorders>
              <w:top w:val="nil"/>
              <w:left w:val="nil"/>
              <w:bottom w:val="nil"/>
              <w:right w:val="nil"/>
            </w:tcBorders>
            <w:shd w:val="clear" w:color="auto" w:fill="auto"/>
            <w:noWrap/>
            <w:vAlign w:val="bottom"/>
            <w:hideMark/>
          </w:tcPr>
          <w:p w:rsidRPr="00F741A7" w:rsidR="00141442" w:rsidDel="00B25B76" w:rsidP="009230A3" w:rsidRDefault="00141442" w14:paraId="4991CC09" w14:textId="77777777">
            <w:pPr>
              <w:tabs>
                <w:tab w:val="left" w:pos="720"/>
              </w:tabs>
              <w:rPr>
                <w:sz w:val="20"/>
                <w:szCs w:val="20"/>
              </w:rPr>
            </w:pPr>
          </w:p>
        </w:tc>
        <w:tc>
          <w:tcPr>
            <w:tcW w:w="1121" w:type="dxa"/>
            <w:tcBorders>
              <w:top w:val="nil"/>
              <w:left w:val="nil"/>
              <w:bottom w:val="nil"/>
              <w:right w:val="nil"/>
            </w:tcBorders>
            <w:shd w:val="clear" w:color="auto" w:fill="auto"/>
            <w:noWrap/>
            <w:vAlign w:val="bottom"/>
            <w:hideMark/>
          </w:tcPr>
          <w:p w:rsidRPr="00F741A7" w:rsidR="00141442" w:rsidDel="00B25B76" w:rsidP="009230A3" w:rsidRDefault="00141442" w14:paraId="794D5A6B" w14:textId="77777777">
            <w:pPr>
              <w:tabs>
                <w:tab w:val="left" w:pos="720"/>
              </w:tabs>
              <w:rPr>
                <w:sz w:val="20"/>
                <w:szCs w:val="20"/>
              </w:rPr>
            </w:pPr>
          </w:p>
        </w:tc>
        <w:tc>
          <w:tcPr>
            <w:tcW w:w="1154" w:type="dxa"/>
            <w:tcBorders>
              <w:top w:val="nil"/>
              <w:left w:val="nil"/>
              <w:bottom w:val="nil"/>
              <w:right w:val="nil"/>
            </w:tcBorders>
            <w:shd w:val="clear" w:color="auto" w:fill="auto"/>
            <w:noWrap/>
            <w:vAlign w:val="bottom"/>
            <w:hideMark/>
          </w:tcPr>
          <w:p w:rsidRPr="00F741A7" w:rsidR="00141442" w:rsidDel="00B25B76" w:rsidP="009230A3" w:rsidRDefault="00141442" w14:paraId="2792C351" w14:textId="77777777">
            <w:pPr>
              <w:tabs>
                <w:tab w:val="left" w:pos="720"/>
              </w:tabs>
              <w:rPr>
                <w:sz w:val="20"/>
                <w:szCs w:val="20"/>
              </w:rPr>
            </w:pPr>
          </w:p>
        </w:tc>
      </w:tr>
      <w:tr w:rsidRPr="00F741A7" w:rsidR="00141442" w:rsidDel="00B25B76" w:rsidTr="009230A3" w14:paraId="38BFDE0F" w14:textId="77777777">
        <w:trPr>
          <w:trHeight w:val="510"/>
        </w:trPr>
        <w:tc>
          <w:tcPr>
            <w:tcW w:w="3350" w:type="dxa"/>
            <w:gridSpan w:val="2"/>
            <w:tcBorders>
              <w:top w:val="nil"/>
              <w:left w:val="nil"/>
              <w:bottom w:val="nil"/>
              <w:right w:val="nil"/>
            </w:tcBorders>
            <w:shd w:val="clear" w:color="auto" w:fill="auto"/>
            <w:vAlign w:val="center"/>
            <w:hideMark/>
          </w:tcPr>
          <w:p w:rsidRPr="00F741A7" w:rsidR="00141442" w:rsidDel="00B25B76" w:rsidP="009230A3" w:rsidRDefault="00141442" w14:paraId="1097D5A3" w14:textId="77777777">
            <w:pPr>
              <w:tabs>
                <w:tab w:val="left" w:pos="720"/>
              </w:tabs>
              <w:rPr>
                <w:b/>
                <w:color w:val="000000"/>
                <w:sz w:val="18"/>
                <w:szCs w:val="18"/>
              </w:rPr>
            </w:pPr>
            <w:r w:rsidRPr="00F741A7" w:rsidDel="00B25B76">
              <w:rPr>
                <w:b/>
                <w:color w:val="000000"/>
                <w:sz w:val="18"/>
              </w:rPr>
              <w:t>Common Stock</w:t>
            </w:r>
            <w:r w:rsidRPr="00F741A7" w:rsidDel="00B25B76">
              <w:rPr>
                <w:b/>
                <w:bCs/>
                <w:color w:val="000000"/>
                <w:sz w:val="18"/>
              </w:rPr>
              <w:t xml:space="preserve"> and ESOP</w:t>
            </w:r>
          </w:p>
        </w:tc>
        <w:tc>
          <w:tcPr>
            <w:tcW w:w="904" w:type="dxa"/>
            <w:tcBorders>
              <w:top w:val="nil"/>
              <w:left w:val="nil"/>
              <w:bottom w:val="nil"/>
              <w:right w:val="nil"/>
            </w:tcBorders>
            <w:shd w:val="clear" w:color="auto" w:fill="auto"/>
            <w:noWrap/>
            <w:vAlign w:val="center"/>
            <w:hideMark/>
          </w:tcPr>
          <w:p w:rsidRPr="00F741A7" w:rsidR="00141442" w:rsidDel="00B25B76" w:rsidP="009230A3" w:rsidRDefault="00141442" w14:paraId="2BEB9B2B" w14:textId="77777777">
            <w:pPr>
              <w:tabs>
                <w:tab w:val="left" w:pos="720"/>
              </w:tabs>
              <w:jc w:val="center"/>
              <w:rPr>
                <w:color w:val="000000"/>
                <w:sz w:val="18"/>
                <w:szCs w:val="18"/>
              </w:rPr>
            </w:pPr>
            <w:r w:rsidRPr="00F741A7" w:rsidDel="00B25B76">
              <w:rPr>
                <w:color w:val="000000"/>
                <w:sz w:val="18"/>
                <w:szCs w:val="18"/>
              </w:rPr>
              <w:t>-</w:t>
            </w:r>
          </w:p>
        </w:tc>
        <w:tc>
          <w:tcPr>
            <w:tcW w:w="1393" w:type="dxa"/>
            <w:tcBorders>
              <w:top w:val="nil"/>
              <w:left w:val="nil"/>
              <w:bottom w:val="nil"/>
              <w:right w:val="nil"/>
            </w:tcBorders>
            <w:shd w:val="clear" w:color="auto" w:fill="auto"/>
            <w:noWrap/>
            <w:vAlign w:val="center"/>
            <w:hideMark/>
          </w:tcPr>
          <w:p w:rsidRPr="00F741A7" w:rsidR="00141442" w:rsidDel="00B25B76" w:rsidP="009230A3" w:rsidRDefault="00141442" w14:paraId="08AC8901" w14:textId="77777777">
            <w:pPr>
              <w:tabs>
                <w:tab w:val="left" w:pos="720"/>
              </w:tabs>
              <w:jc w:val="center"/>
              <w:rPr>
                <w:color w:val="000000"/>
                <w:sz w:val="18"/>
                <w:szCs w:val="18"/>
              </w:rPr>
            </w:pPr>
            <w:r w:rsidRPr="00F741A7" w:rsidDel="00B25B76">
              <w:rPr>
                <w:color w:val="000000"/>
                <w:sz w:val="18"/>
                <w:szCs w:val="18"/>
              </w:rPr>
              <w:t>591</w:t>
            </w:r>
          </w:p>
        </w:tc>
        <w:tc>
          <w:tcPr>
            <w:tcW w:w="1168" w:type="dxa"/>
            <w:tcBorders>
              <w:top w:val="nil"/>
              <w:left w:val="nil"/>
              <w:bottom w:val="nil"/>
              <w:right w:val="nil"/>
            </w:tcBorders>
            <w:shd w:val="clear" w:color="auto" w:fill="auto"/>
            <w:noWrap/>
            <w:vAlign w:val="center"/>
            <w:hideMark/>
          </w:tcPr>
          <w:p w:rsidRPr="00F741A7" w:rsidR="00141442" w:rsidDel="00B25B76" w:rsidP="009230A3" w:rsidRDefault="00141442" w14:paraId="5E10B0AC" w14:textId="77777777">
            <w:pPr>
              <w:tabs>
                <w:tab w:val="left" w:pos="720"/>
              </w:tabs>
              <w:jc w:val="center"/>
              <w:rPr>
                <w:b/>
                <w:color w:val="000000"/>
                <w:sz w:val="18"/>
                <w:szCs w:val="18"/>
              </w:rPr>
            </w:pPr>
            <w:r w:rsidRPr="00F741A7" w:rsidDel="00B25B76">
              <w:rPr>
                <w:b/>
                <w:color w:val="000000"/>
                <w:sz w:val="18"/>
                <w:szCs w:val="18"/>
              </w:rPr>
              <w:t>591</w:t>
            </w:r>
          </w:p>
        </w:tc>
        <w:tc>
          <w:tcPr>
            <w:tcW w:w="1121" w:type="dxa"/>
            <w:tcBorders>
              <w:top w:val="nil"/>
              <w:left w:val="nil"/>
              <w:bottom w:val="nil"/>
              <w:right w:val="nil"/>
            </w:tcBorders>
            <w:shd w:val="clear" w:color="auto" w:fill="auto"/>
            <w:noWrap/>
            <w:vAlign w:val="center"/>
            <w:hideMark/>
          </w:tcPr>
          <w:p w:rsidRPr="00F741A7" w:rsidR="00141442" w:rsidDel="00B25B76" w:rsidP="009230A3" w:rsidRDefault="00141442" w14:paraId="415690FF" w14:textId="77777777">
            <w:pPr>
              <w:tabs>
                <w:tab w:val="left" w:pos="720"/>
              </w:tabs>
              <w:jc w:val="center"/>
              <w:rPr>
                <w:color w:val="000000"/>
                <w:sz w:val="18"/>
                <w:szCs w:val="18"/>
              </w:rPr>
            </w:pPr>
            <w:r w:rsidRPr="00F741A7" w:rsidDel="00B25B76">
              <w:rPr>
                <w:color w:val="000000"/>
                <w:sz w:val="18"/>
                <w:szCs w:val="18"/>
              </w:rPr>
              <w:t>-</w:t>
            </w:r>
          </w:p>
        </w:tc>
        <w:tc>
          <w:tcPr>
            <w:tcW w:w="1154" w:type="dxa"/>
            <w:tcBorders>
              <w:top w:val="nil"/>
              <w:left w:val="nil"/>
              <w:bottom w:val="nil"/>
              <w:right w:val="nil"/>
            </w:tcBorders>
            <w:shd w:val="clear" w:color="auto" w:fill="auto"/>
            <w:noWrap/>
            <w:vAlign w:val="center"/>
            <w:hideMark/>
          </w:tcPr>
          <w:p w:rsidRPr="00F741A7" w:rsidR="00141442" w:rsidDel="00B25B76" w:rsidP="009230A3" w:rsidRDefault="00141442" w14:paraId="310570A9" w14:textId="77777777">
            <w:pPr>
              <w:tabs>
                <w:tab w:val="left" w:pos="720"/>
              </w:tabs>
              <w:jc w:val="center"/>
              <w:rPr>
                <w:b/>
                <w:color w:val="000000"/>
                <w:sz w:val="18"/>
                <w:szCs w:val="18"/>
              </w:rPr>
            </w:pPr>
            <w:r w:rsidRPr="00F741A7" w:rsidDel="00B25B76">
              <w:rPr>
                <w:b/>
                <w:color w:val="000000"/>
                <w:sz w:val="18"/>
                <w:szCs w:val="18"/>
              </w:rPr>
              <w:t>591</w:t>
            </w:r>
          </w:p>
        </w:tc>
      </w:tr>
      <w:tr w:rsidRPr="00F741A7" w:rsidR="00141442" w:rsidDel="00B25B76" w:rsidTr="009230A3" w14:paraId="3B3966EF" w14:textId="77777777">
        <w:trPr>
          <w:trHeight w:val="315"/>
        </w:trPr>
        <w:tc>
          <w:tcPr>
            <w:tcW w:w="222" w:type="dxa"/>
            <w:tcBorders>
              <w:top w:val="nil"/>
              <w:left w:val="nil"/>
              <w:bottom w:val="nil"/>
              <w:right w:val="nil"/>
            </w:tcBorders>
            <w:shd w:val="clear" w:color="auto" w:fill="auto"/>
            <w:noWrap/>
            <w:vAlign w:val="bottom"/>
            <w:hideMark/>
          </w:tcPr>
          <w:p w:rsidRPr="00F741A7" w:rsidR="00141442" w:rsidDel="00B25B76" w:rsidP="009230A3" w:rsidRDefault="00141442" w14:paraId="33B6B70C" w14:textId="77777777">
            <w:pPr>
              <w:tabs>
                <w:tab w:val="left" w:pos="720"/>
              </w:tabs>
              <w:jc w:val="center"/>
              <w:rPr>
                <w:b/>
                <w:color w:val="000000"/>
                <w:sz w:val="18"/>
                <w:szCs w:val="18"/>
              </w:rPr>
            </w:pPr>
          </w:p>
        </w:tc>
        <w:tc>
          <w:tcPr>
            <w:tcW w:w="3128" w:type="dxa"/>
            <w:tcBorders>
              <w:top w:val="nil"/>
              <w:left w:val="nil"/>
              <w:bottom w:val="nil"/>
              <w:right w:val="nil"/>
            </w:tcBorders>
            <w:shd w:val="clear" w:color="auto" w:fill="auto"/>
            <w:noWrap/>
            <w:vAlign w:val="bottom"/>
            <w:hideMark/>
          </w:tcPr>
          <w:p w:rsidRPr="00F741A7" w:rsidR="00141442" w:rsidDel="00B25B76" w:rsidP="009230A3" w:rsidRDefault="00141442" w14:paraId="039919C9" w14:textId="77777777">
            <w:pPr>
              <w:tabs>
                <w:tab w:val="left" w:pos="720"/>
              </w:tabs>
              <w:rPr>
                <w:sz w:val="20"/>
                <w:szCs w:val="20"/>
              </w:rPr>
            </w:pPr>
          </w:p>
        </w:tc>
        <w:tc>
          <w:tcPr>
            <w:tcW w:w="904" w:type="dxa"/>
            <w:tcBorders>
              <w:top w:val="nil"/>
              <w:left w:val="nil"/>
              <w:bottom w:val="nil"/>
              <w:right w:val="nil"/>
            </w:tcBorders>
            <w:shd w:val="clear" w:color="auto" w:fill="auto"/>
            <w:noWrap/>
            <w:vAlign w:val="bottom"/>
            <w:hideMark/>
          </w:tcPr>
          <w:p w:rsidRPr="00F741A7" w:rsidR="00141442" w:rsidDel="00B25B76" w:rsidP="009230A3" w:rsidRDefault="00141442" w14:paraId="237EE001" w14:textId="77777777">
            <w:pPr>
              <w:tabs>
                <w:tab w:val="left" w:pos="720"/>
              </w:tabs>
              <w:rPr>
                <w:sz w:val="20"/>
                <w:szCs w:val="20"/>
              </w:rPr>
            </w:pPr>
          </w:p>
        </w:tc>
        <w:tc>
          <w:tcPr>
            <w:tcW w:w="1393" w:type="dxa"/>
            <w:tcBorders>
              <w:top w:val="nil"/>
              <w:left w:val="nil"/>
              <w:bottom w:val="nil"/>
              <w:right w:val="nil"/>
            </w:tcBorders>
            <w:shd w:val="clear" w:color="auto" w:fill="auto"/>
            <w:noWrap/>
            <w:vAlign w:val="bottom"/>
            <w:hideMark/>
          </w:tcPr>
          <w:p w:rsidRPr="00F741A7" w:rsidR="00141442" w:rsidDel="00B25B76" w:rsidP="009230A3" w:rsidRDefault="00141442" w14:paraId="556451BD" w14:textId="77777777">
            <w:pPr>
              <w:tabs>
                <w:tab w:val="left" w:pos="720"/>
              </w:tabs>
              <w:rPr>
                <w:sz w:val="20"/>
                <w:szCs w:val="20"/>
              </w:rPr>
            </w:pPr>
          </w:p>
        </w:tc>
        <w:tc>
          <w:tcPr>
            <w:tcW w:w="1168" w:type="dxa"/>
            <w:tcBorders>
              <w:top w:val="nil"/>
              <w:left w:val="nil"/>
              <w:bottom w:val="nil"/>
              <w:right w:val="nil"/>
            </w:tcBorders>
            <w:shd w:val="clear" w:color="auto" w:fill="auto"/>
            <w:noWrap/>
            <w:vAlign w:val="bottom"/>
            <w:hideMark/>
          </w:tcPr>
          <w:p w:rsidRPr="00F741A7" w:rsidR="00141442" w:rsidDel="00B25B76" w:rsidP="009230A3" w:rsidRDefault="00141442" w14:paraId="04A0B587" w14:textId="77777777">
            <w:pPr>
              <w:tabs>
                <w:tab w:val="left" w:pos="720"/>
              </w:tabs>
              <w:rPr>
                <w:sz w:val="20"/>
                <w:szCs w:val="20"/>
              </w:rPr>
            </w:pPr>
          </w:p>
        </w:tc>
        <w:tc>
          <w:tcPr>
            <w:tcW w:w="1121" w:type="dxa"/>
            <w:tcBorders>
              <w:top w:val="nil"/>
              <w:left w:val="nil"/>
              <w:bottom w:val="nil"/>
              <w:right w:val="nil"/>
            </w:tcBorders>
            <w:shd w:val="clear" w:color="auto" w:fill="auto"/>
            <w:noWrap/>
            <w:vAlign w:val="bottom"/>
            <w:hideMark/>
          </w:tcPr>
          <w:p w:rsidRPr="00F741A7" w:rsidR="00141442" w:rsidDel="00B25B76" w:rsidP="009230A3" w:rsidRDefault="00141442" w14:paraId="2460A4CE" w14:textId="77777777">
            <w:pPr>
              <w:tabs>
                <w:tab w:val="left" w:pos="720"/>
              </w:tabs>
              <w:rPr>
                <w:sz w:val="20"/>
                <w:szCs w:val="20"/>
              </w:rPr>
            </w:pPr>
          </w:p>
        </w:tc>
        <w:tc>
          <w:tcPr>
            <w:tcW w:w="1154" w:type="dxa"/>
            <w:tcBorders>
              <w:top w:val="nil"/>
              <w:left w:val="nil"/>
              <w:bottom w:val="nil"/>
              <w:right w:val="nil"/>
            </w:tcBorders>
            <w:shd w:val="clear" w:color="auto" w:fill="auto"/>
            <w:noWrap/>
            <w:vAlign w:val="bottom"/>
            <w:hideMark/>
          </w:tcPr>
          <w:p w:rsidRPr="00F741A7" w:rsidR="00141442" w:rsidDel="00B25B76" w:rsidP="009230A3" w:rsidRDefault="00141442" w14:paraId="2A9F457C" w14:textId="77777777">
            <w:pPr>
              <w:tabs>
                <w:tab w:val="left" w:pos="720"/>
              </w:tabs>
              <w:rPr>
                <w:sz w:val="20"/>
                <w:szCs w:val="20"/>
              </w:rPr>
            </w:pPr>
          </w:p>
        </w:tc>
      </w:tr>
      <w:tr w:rsidRPr="00F741A7" w:rsidR="00141442" w:rsidDel="00B25B76" w:rsidTr="009230A3" w14:paraId="1D3AC8A3" w14:textId="77777777">
        <w:trPr>
          <w:trHeight w:val="330"/>
        </w:trPr>
        <w:tc>
          <w:tcPr>
            <w:tcW w:w="3350" w:type="dxa"/>
            <w:gridSpan w:val="2"/>
            <w:tcBorders>
              <w:top w:val="double" w:color="auto" w:sz="6" w:space="0"/>
              <w:left w:val="nil"/>
              <w:bottom w:val="single" w:color="auto" w:sz="8" w:space="0"/>
              <w:right w:val="nil"/>
            </w:tcBorders>
            <w:shd w:val="clear" w:color="auto" w:fill="auto"/>
            <w:noWrap/>
            <w:vAlign w:val="center"/>
            <w:hideMark/>
          </w:tcPr>
          <w:p w:rsidRPr="00F741A7" w:rsidR="00141442" w:rsidDel="00B25B76" w:rsidP="009230A3" w:rsidRDefault="00141442" w14:paraId="242EC434" w14:textId="77777777">
            <w:pPr>
              <w:tabs>
                <w:tab w:val="left" w:pos="720"/>
              </w:tabs>
              <w:rPr>
                <w:b/>
                <w:color w:val="000000"/>
                <w:sz w:val="18"/>
                <w:szCs w:val="18"/>
              </w:rPr>
            </w:pPr>
            <w:r w:rsidRPr="00F741A7" w:rsidDel="00B25B76">
              <w:rPr>
                <w:b/>
                <w:color w:val="000000"/>
                <w:sz w:val="18"/>
              </w:rPr>
              <w:t>Total All Plans Holding Stocks</w:t>
            </w:r>
          </w:p>
        </w:tc>
        <w:tc>
          <w:tcPr>
            <w:tcW w:w="904" w:type="dxa"/>
            <w:tcBorders>
              <w:top w:val="double" w:color="auto" w:sz="6" w:space="0"/>
              <w:left w:val="nil"/>
              <w:bottom w:val="single" w:color="auto" w:sz="8" w:space="0"/>
              <w:right w:val="nil"/>
            </w:tcBorders>
            <w:shd w:val="clear" w:color="auto" w:fill="auto"/>
            <w:noWrap/>
            <w:vAlign w:val="center"/>
            <w:hideMark/>
          </w:tcPr>
          <w:p w:rsidRPr="00F741A7" w:rsidR="00141442" w:rsidDel="00B25B76" w:rsidP="009230A3" w:rsidRDefault="00141442" w14:paraId="3129CF84" w14:textId="77777777">
            <w:pPr>
              <w:tabs>
                <w:tab w:val="left" w:pos="720"/>
              </w:tabs>
              <w:jc w:val="center"/>
              <w:rPr>
                <w:b/>
                <w:color w:val="000000"/>
                <w:sz w:val="18"/>
                <w:szCs w:val="18"/>
              </w:rPr>
            </w:pPr>
            <w:r w:rsidRPr="00F741A7" w:rsidDel="00B25B76">
              <w:rPr>
                <w:b/>
                <w:color w:val="000000"/>
                <w:sz w:val="18"/>
                <w:szCs w:val="18"/>
              </w:rPr>
              <w:t>5,005</w:t>
            </w:r>
          </w:p>
        </w:tc>
        <w:tc>
          <w:tcPr>
            <w:tcW w:w="1393" w:type="dxa"/>
            <w:tcBorders>
              <w:top w:val="double" w:color="auto" w:sz="6" w:space="0"/>
              <w:left w:val="nil"/>
              <w:bottom w:val="single" w:color="auto" w:sz="8" w:space="0"/>
              <w:right w:val="nil"/>
            </w:tcBorders>
            <w:shd w:val="clear" w:color="auto" w:fill="auto"/>
            <w:noWrap/>
            <w:vAlign w:val="center"/>
            <w:hideMark/>
          </w:tcPr>
          <w:p w:rsidRPr="00F741A7" w:rsidR="00141442" w:rsidDel="00B25B76" w:rsidP="009230A3" w:rsidRDefault="00141442" w14:paraId="2C0ABF84" w14:textId="77777777">
            <w:pPr>
              <w:tabs>
                <w:tab w:val="left" w:pos="720"/>
              </w:tabs>
              <w:jc w:val="center"/>
              <w:rPr>
                <w:b/>
                <w:color w:val="000000"/>
                <w:sz w:val="18"/>
                <w:szCs w:val="18"/>
              </w:rPr>
            </w:pPr>
            <w:r w:rsidRPr="00F741A7" w:rsidDel="00B25B76">
              <w:rPr>
                <w:b/>
                <w:color w:val="000000"/>
                <w:sz w:val="18"/>
                <w:szCs w:val="18"/>
              </w:rPr>
              <w:t>26,863</w:t>
            </w:r>
          </w:p>
        </w:tc>
        <w:tc>
          <w:tcPr>
            <w:tcW w:w="1168" w:type="dxa"/>
            <w:tcBorders>
              <w:top w:val="double" w:color="auto" w:sz="6" w:space="0"/>
              <w:left w:val="nil"/>
              <w:bottom w:val="single" w:color="auto" w:sz="8" w:space="0"/>
              <w:right w:val="nil"/>
            </w:tcBorders>
            <w:shd w:val="clear" w:color="auto" w:fill="auto"/>
            <w:noWrap/>
            <w:vAlign w:val="center"/>
            <w:hideMark/>
          </w:tcPr>
          <w:p w:rsidRPr="00F741A7" w:rsidR="00141442" w:rsidDel="00B25B76" w:rsidP="009230A3" w:rsidRDefault="00141442" w14:paraId="3361E626" w14:textId="77777777">
            <w:pPr>
              <w:tabs>
                <w:tab w:val="left" w:pos="720"/>
              </w:tabs>
              <w:jc w:val="center"/>
              <w:rPr>
                <w:b/>
                <w:color w:val="000000"/>
                <w:sz w:val="18"/>
                <w:szCs w:val="18"/>
              </w:rPr>
            </w:pPr>
            <w:r w:rsidRPr="00F741A7" w:rsidDel="00B25B76">
              <w:rPr>
                <w:b/>
                <w:color w:val="000000"/>
                <w:sz w:val="18"/>
                <w:szCs w:val="18"/>
              </w:rPr>
              <w:t>31,868</w:t>
            </w:r>
          </w:p>
        </w:tc>
        <w:tc>
          <w:tcPr>
            <w:tcW w:w="1121" w:type="dxa"/>
            <w:tcBorders>
              <w:top w:val="double" w:color="auto" w:sz="6" w:space="0"/>
              <w:left w:val="nil"/>
              <w:bottom w:val="single" w:color="auto" w:sz="8" w:space="0"/>
              <w:right w:val="nil"/>
            </w:tcBorders>
            <w:shd w:val="clear" w:color="auto" w:fill="auto"/>
            <w:noWrap/>
            <w:vAlign w:val="center"/>
            <w:hideMark/>
          </w:tcPr>
          <w:p w:rsidRPr="00F741A7" w:rsidR="00141442" w:rsidDel="00B25B76" w:rsidP="009230A3" w:rsidRDefault="00141442" w14:paraId="4DC70650" w14:textId="77777777">
            <w:pPr>
              <w:tabs>
                <w:tab w:val="left" w:pos="720"/>
              </w:tabs>
              <w:jc w:val="center"/>
              <w:rPr>
                <w:b/>
                <w:color w:val="000000"/>
                <w:sz w:val="18"/>
                <w:szCs w:val="18"/>
              </w:rPr>
            </w:pPr>
            <w:r w:rsidRPr="00F741A7" w:rsidDel="00B25B76">
              <w:rPr>
                <w:b/>
                <w:color w:val="000000"/>
                <w:sz w:val="18"/>
                <w:szCs w:val="18"/>
              </w:rPr>
              <w:t>573</w:t>
            </w:r>
          </w:p>
        </w:tc>
        <w:tc>
          <w:tcPr>
            <w:tcW w:w="1154" w:type="dxa"/>
            <w:tcBorders>
              <w:top w:val="double" w:color="auto" w:sz="6" w:space="0"/>
              <w:left w:val="nil"/>
              <w:bottom w:val="single" w:color="auto" w:sz="8" w:space="0"/>
              <w:right w:val="nil"/>
            </w:tcBorders>
            <w:shd w:val="clear" w:color="auto" w:fill="auto"/>
            <w:noWrap/>
            <w:vAlign w:val="center"/>
            <w:hideMark/>
          </w:tcPr>
          <w:p w:rsidRPr="00F741A7" w:rsidR="00141442" w:rsidDel="00B25B76" w:rsidP="009230A3" w:rsidRDefault="00141442" w14:paraId="674A01FA" w14:textId="77777777">
            <w:pPr>
              <w:tabs>
                <w:tab w:val="left" w:pos="720"/>
              </w:tabs>
              <w:jc w:val="center"/>
              <w:rPr>
                <w:b/>
                <w:color w:val="000000"/>
                <w:sz w:val="18"/>
                <w:szCs w:val="18"/>
              </w:rPr>
            </w:pPr>
            <w:r w:rsidRPr="00F741A7" w:rsidDel="00B25B76">
              <w:rPr>
                <w:b/>
                <w:color w:val="000000"/>
                <w:sz w:val="18"/>
                <w:szCs w:val="18"/>
              </w:rPr>
              <w:t>32,441</w:t>
            </w:r>
          </w:p>
        </w:tc>
      </w:tr>
      <w:tr w:rsidRPr="00F741A7" w:rsidR="00141442" w:rsidDel="00B25B76" w:rsidTr="009230A3" w14:paraId="0C389435" w14:textId="77777777">
        <w:trPr>
          <w:trHeight w:val="300"/>
        </w:trPr>
        <w:tc>
          <w:tcPr>
            <w:tcW w:w="9090" w:type="dxa"/>
            <w:gridSpan w:val="7"/>
            <w:tcBorders>
              <w:top w:val="single" w:color="auto" w:sz="8" w:space="0"/>
              <w:left w:val="nil"/>
              <w:bottom w:val="nil"/>
              <w:right w:val="nil"/>
            </w:tcBorders>
            <w:shd w:val="clear" w:color="auto" w:fill="auto"/>
            <w:noWrap/>
            <w:vAlign w:val="center"/>
            <w:hideMark/>
          </w:tcPr>
          <w:p w:rsidRPr="00F741A7" w:rsidR="00141442" w:rsidDel="00B25B76" w:rsidP="009230A3" w:rsidRDefault="00141442" w14:paraId="732FCF82" w14:textId="77777777">
            <w:pPr>
              <w:tabs>
                <w:tab w:val="left" w:pos="720"/>
              </w:tabs>
              <w:rPr>
                <w:color w:val="000000"/>
                <w:sz w:val="18"/>
                <w:szCs w:val="18"/>
              </w:rPr>
            </w:pPr>
            <w:proofErr w:type="gramStart"/>
            <w:r w:rsidRPr="00F741A7" w:rsidDel="00B25B76">
              <w:rPr>
                <w:color w:val="000000"/>
                <w:sz w:val="18"/>
                <w:vertAlign w:val="superscript"/>
              </w:rPr>
              <w:t>a</w:t>
            </w:r>
            <w:proofErr w:type="gramEnd"/>
            <w:r w:rsidRPr="00F741A7" w:rsidDel="00B25B76">
              <w:rPr>
                <w:color w:val="000000"/>
                <w:sz w:val="18"/>
                <w:vertAlign w:val="superscript"/>
              </w:rPr>
              <w:t xml:space="preserve"> </w:t>
            </w:r>
            <w:r w:rsidRPr="00F741A7" w:rsidDel="00B25B76">
              <w:rPr>
                <w:color w:val="000000"/>
                <w:sz w:val="18"/>
                <w:szCs w:val="18"/>
              </w:rPr>
              <w:t>DOL calculations from the 2018 Form 5500 Pension Research Files.</w:t>
            </w:r>
          </w:p>
        </w:tc>
      </w:tr>
    </w:tbl>
    <w:p w:rsidR="00141442" w:rsidDel="00B25B76" w:rsidP="00141442" w:rsidRDefault="00141442" w14:paraId="719A70F8" w14:textId="77777777">
      <w:pPr>
        <w:rPr>
          <w:iCs/>
        </w:rPr>
      </w:pPr>
    </w:p>
    <w:p w:rsidR="00141442" w:rsidDel="00B25B76" w:rsidP="00141442" w:rsidRDefault="00141442" w14:paraId="4CECD161" w14:textId="77777777">
      <w:pPr>
        <w:rPr>
          <w:iCs/>
        </w:rPr>
      </w:pPr>
    </w:p>
    <w:p w:rsidR="00141442" w:rsidDel="00B25B76" w:rsidP="00141442" w:rsidRDefault="00141442" w14:paraId="342956AC" w14:textId="77777777">
      <w:pPr>
        <w:rPr>
          <w:iCs/>
        </w:rPr>
      </w:pPr>
    </w:p>
    <w:p w:rsidRPr="00502F15" w:rsidR="00141442" w:rsidDel="00B25B76" w:rsidP="00141442" w:rsidRDefault="00141442" w14:paraId="3442FDD6" w14:textId="47AF9A24">
      <w:pPr>
        <w:rPr>
          <w:iCs/>
        </w:rPr>
      </w:pPr>
    </w:p>
    <w:p w:rsidR="00141442" w:rsidP="00B25B76" w:rsidRDefault="00141442" w14:paraId="36840766" w14:textId="77777777">
      <w:pPr>
        <w:ind w:left="720"/>
        <w:rPr>
          <w:iCs/>
        </w:rPr>
      </w:pPr>
    </w:p>
    <w:p w:rsidR="009E5FD4" w:rsidP="00B25B76" w:rsidRDefault="00F741A7" w14:paraId="287E969A" w14:textId="54423C69">
      <w:pPr>
        <w:ind w:left="720"/>
        <w:rPr>
          <w:iCs/>
        </w:rPr>
      </w:pPr>
      <w:r w:rsidRPr="006967F6">
        <w:rPr>
          <w:iCs/>
        </w:rPr>
        <w:t>Additionally, 573 health and other welfare plans file the schedule H and report holding either common stocks</w:t>
      </w:r>
      <w:r w:rsidRPr="006967F6" w:rsidDel="007F731C">
        <w:rPr>
          <w:iCs/>
        </w:rPr>
        <w:t xml:space="preserve"> </w:t>
      </w:r>
      <w:r w:rsidRPr="006967F6">
        <w:rPr>
          <w:iCs/>
        </w:rPr>
        <w:t>or employer stocks.  The Department lacks information on the number of small plans that hold stock.  Small plans are significantly less likely</w:t>
      </w:r>
      <w:r w:rsidR="00700918">
        <w:rPr>
          <w:iCs/>
        </w:rPr>
        <w:t xml:space="preserve"> than larger plan</w:t>
      </w:r>
      <w:r w:rsidR="002D2DD1">
        <w:rPr>
          <w:iCs/>
        </w:rPr>
        <w:t>s</w:t>
      </w:r>
      <w:r w:rsidRPr="006967F6">
        <w:rPr>
          <w:iCs/>
        </w:rPr>
        <w:t xml:space="preserve"> to hold stock</w:t>
      </w:r>
      <w:r w:rsidR="00700918">
        <w:rPr>
          <w:iCs/>
        </w:rPr>
        <w:t xml:space="preserve"> in a way that would require the plan-level fiduciary to maintain records on proxy voting or other exercises of shareholder rights </w:t>
      </w:r>
      <w:r w:rsidRPr="00ED2770" w:rsidR="00ED2770">
        <w:rPr>
          <w:iCs/>
        </w:rPr>
        <w:t xml:space="preserve">because </w:t>
      </w:r>
      <w:r w:rsidR="0034259D">
        <w:t xml:space="preserve">we understand from interactions with plans, service providers, and other stakeholders </w:t>
      </w:r>
      <w:r w:rsidR="002D2DD1">
        <w:t xml:space="preserve">that </w:t>
      </w:r>
      <w:r w:rsidRPr="00ED2770" w:rsidR="00ED2770">
        <w:rPr>
          <w:iCs/>
        </w:rPr>
        <w:t>small plans tend to use SEC-registered funds, bank collective investment funds, and other pooled and collective funds as investment options.  The Department did not receive any comments or additional data from commenters regarding the number of small plans that hold stock directly.  Therefore,</w:t>
      </w:r>
      <w:r w:rsidR="00ED2770">
        <w:rPr>
          <w:iCs/>
        </w:rPr>
        <w:t xml:space="preserve"> f</w:t>
      </w:r>
      <w:r w:rsidRPr="006967F6">
        <w:rPr>
          <w:iCs/>
        </w:rPr>
        <w:t>or purposes of estimating burden, five percent of small plans are presumed to hold stock</w:t>
      </w:r>
      <w:r w:rsidR="002D2DD1">
        <w:rPr>
          <w:iCs/>
        </w:rPr>
        <w:t>,</w:t>
      </w:r>
      <w:r w:rsidRPr="006967F6">
        <w:rPr>
          <w:iCs/>
        </w:rPr>
        <w:t xml:space="preserve"> resulting in 31,470 small plans needing to comply with the information collection.  Therefore,</w:t>
      </w:r>
      <w:r w:rsidR="00700918">
        <w:rPr>
          <w:iCs/>
        </w:rPr>
        <w:t xml:space="preserve"> our estimate is that</w:t>
      </w:r>
      <w:r w:rsidRPr="006967F6">
        <w:rPr>
          <w:iCs/>
        </w:rPr>
        <w:t xml:space="preserve"> a total of 63,911 plans will need to comply with this information collection.</w:t>
      </w:r>
    </w:p>
    <w:p w:rsidRPr="00EC580D" w:rsidR="00C333E2" w:rsidP="00EC580D" w:rsidRDefault="00C333E2" w14:paraId="47AF6771" w14:textId="29B6B208">
      <w:pPr>
        <w:ind w:left="720"/>
        <w:rPr>
          <w:iCs/>
        </w:rPr>
      </w:pPr>
    </w:p>
    <w:p w:rsidR="00EB039A" w:rsidP="00B328CE" w:rsidRDefault="00EC580D" w14:paraId="3F0209A8" w14:textId="7484D189">
      <w:r>
        <w:t xml:space="preserve">63,911 Respondents </w:t>
      </w:r>
      <w:r w:rsidR="00B230F2">
        <w:t>x</w:t>
      </w:r>
      <w:r>
        <w:t xml:space="preserve"> 1 Response per Respondent = 63,911 Responses.</w:t>
      </w:r>
    </w:p>
    <w:p w:rsidRPr="00EB039A" w:rsidR="00EC580D" w:rsidP="00B328CE" w:rsidRDefault="00EC580D" w14:paraId="6E2762A0" w14:textId="77777777"/>
    <w:p w:rsidR="00EB039A" w:rsidP="005669A7" w:rsidRDefault="0079646A" w14:paraId="4C395217" w14:textId="77777777">
      <w:pPr>
        <w:ind w:left="720" w:hanging="720"/>
        <w:rPr>
          <w:b/>
        </w:rPr>
      </w:pPr>
      <w:r w:rsidRPr="00181EE3">
        <w:rPr>
          <w:b/>
        </w:rPr>
        <w:t>13.</w:t>
      </w:r>
      <w:r w:rsidR="005669A7">
        <w:rPr>
          <w:b/>
        </w:rPr>
        <w:tab/>
      </w:r>
      <w:r w:rsidRPr="00223395" w:rsidR="00223395">
        <w:rPr>
          <w:b/>
        </w:rPr>
        <w:t xml:space="preserve">Provide an estimate of the total annual cost burden to respondents or </w:t>
      </w:r>
      <w:proofErr w:type="spellStart"/>
      <w:r w:rsidRPr="00223395" w:rsidR="00223395">
        <w:rPr>
          <w:b/>
        </w:rPr>
        <w:t>recordkeepers</w:t>
      </w:r>
      <w:proofErr w:type="spellEnd"/>
      <w:r w:rsidRPr="00223395" w:rsidR="00223395">
        <w:rPr>
          <w:b/>
        </w:rPr>
        <w:t xml:space="preserve"> resulting from the collection of information.</w:t>
      </w:r>
    </w:p>
    <w:p w:rsidRPr="00223395" w:rsidR="00223395" w:rsidP="00223395" w:rsidRDefault="00223395" w14:paraId="4E0F10F3" w14:textId="77777777">
      <w:pPr>
        <w:numPr>
          <w:ilvl w:val="0"/>
          <w:numId w:val="12"/>
        </w:numPr>
        <w:rPr>
          <w:b/>
          <w:iCs/>
        </w:rPr>
      </w:pPr>
      <w:r w:rsidRPr="00223395">
        <w:rPr>
          <w:b/>
          <w:iCs/>
        </w:rPr>
        <w:t xml:space="preserve">The cost estimate should be split into two components:  (a) a total capital and </w:t>
      </w:r>
      <w:proofErr w:type="spellStart"/>
      <w:r w:rsidRPr="00223395">
        <w:rPr>
          <w:b/>
          <w:iCs/>
        </w:rPr>
        <w:t>start up</w:t>
      </w:r>
      <w:proofErr w:type="spellEnd"/>
      <w:r w:rsidRPr="00223395">
        <w:rPr>
          <w:b/>
          <w:iCs/>
        </w:rPr>
        <w:t xml:space="preserve">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223395" w:rsidR="00223395" w:rsidP="00223395" w:rsidRDefault="00223395" w14:paraId="330A16E4" w14:textId="77777777">
      <w:pPr>
        <w:numPr>
          <w:ilvl w:val="0"/>
          <w:numId w:val="12"/>
        </w:numPr>
        <w:rPr>
          <w:b/>
          <w:iCs/>
        </w:rPr>
      </w:pPr>
      <w:r w:rsidRPr="00223395">
        <w:rPr>
          <w:b/>
          <w:i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5C2914" w:rsidR="00940619" w:rsidP="005C2914" w:rsidRDefault="00223395" w14:paraId="7DBD24E3" w14:textId="0FDDCCCE">
      <w:pPr>
        <w:numPr>
          <w:ilvl w:val="0"/>
          <w:numId w:val="12"/>
        </w:numPr>
        <w:rPr>
          <w:b/>
          <w:iCs/>
        </w:rPr>
      </w:pPr>
      <w:r w:rsidRPr="00223395">
        <w:rPr>
          <w:b/>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7E308A" w:rsidR="00C4379B" w:rsidP="00285871" w:rsidRDefault="00C4379B" w14:paraId="59604C42" w14:textId="22BC6DFA">
      <w:pPr>
        <w:keepNext/>
        <w:ind w:left="720"/>
      </w:pPr>
    </w:p>
    <w:p w:rsidRPr="003A3060" w:rsidR="003A3060" w:rsidP="003A3060" w:rsidRDefault="003A3060" w14:paraId="5E5A66A0" w14:textId="33D00416">
      <w:pPr>
        <w:keepNext/>
        <w:ind w:left="720"/>
      </w:pPr>
      <w:r w:rsidRPr="003A3060">
        <w:t xml:space="preserve">The Department estimates that plan fiduciaries or </w:t>
      </w:r>
      <w:r w:rsidR="004B242D">
        <w:t>service providers</w:t>
      </w:r>
      <w:r w:rsidRPr="003A3060">
        <w:t xml:space="preserve"> </w:t>
      </w:r>
      <w:r w:rsidR="005C0C84">
        <w:t xml:space="preserve">hired by employee benefit plan fiduciaries </w:t>
      </w:r>
      <w:r w:rsidRPr="003A3060">
        <w:t xml:space="preserve">will require a half hour annually and a half hour of help from clerical staff to maintain or document the required information.  </w:t>
      </w:r>
      <w:r w:rsidRPr="009D78FD" w:rsidR="00CA7B66">
        <w:t xml:space="preserve">The burden is estimated as follows: </w:t>
      </w:r>
      <w:r w:rsidR="00CA7B66">
        <w:t xml:space="preserve">63,911 </w:t>
      </w:r>
      <w:r w:rsidRPr="009D78FD" w:rsidR="00CA7B66">
        <w:t xml:space="preserve">plans * 0.5 hours = </w:t>
      </w:r>
      <w:r w:rsidR="00CA7B66">
        <w:t>31,955.4</w:t>
      </w:r>
      <w:r w:rsidRPr="009D78FD" w:rsidR="00CA7B66">
        <w:t xml:space="preserve"> hours for both a plan fiduciary and clerical staff.  A labor rate of $</w:t>
      </w:r>
      <w:r w:rsidR="00CA7B66">
        <w:t>134.21</w:t>
      </w:r>
      <w:r w:rsidRPr="009D78FD" w:rsidR="00CA7B66">
        <w:t xml:space="preserve"> is used for</w:t>
      </w:r>
      <w:r w:rsidRPr="00F712A3" w:rsidR="00CA7B66">
        <w:t xml:space="preserve"> a plan fiduciary and a labor rate of $55.14 for clerical staff (</w:t>
      </w:r>
      <w:r w:rsidR="00CA7B66">
        <w:t>31,955.4</w:t>
      </w:r>
      <w:r w:rsidRPr="009D78FD" w:rsidR="00CA7B66">
        <w:t xml:space="preserve"> </w:t>
      </w:r>
      <w:r w:rsidRPr="00F712A3" w:rsidR="00CA7B66">
        <w:t>* $</w:t>
      </w:r>
      <w:r w:rsidR="00CA7B66">
        <w:t>134.21</w:t>
      </w:r>
      <w:r w:rsidRPr="00F712A3" w:rsidR="00CA7B66">
        <w:t xml:space="preserve"> = $</w:t>
      </w:r>
      <w:r w:rsidR="00CA7B66">
        <w:t>4,288,739</w:t>
      </w:r>
      <w:r w:rsidRPr="00F712A3" w:rsidR="00CA7B66">
        <w:t xml:space="preserve"> and </w:t>
      </w:r>
      <w:r w:rsidR="00CA7B66">
        <w:t>31,955.4</w:t>
      </w:r>
      <w:r w:rsidRPr="009D78FD" w:rsidR="00CA7B66">
        <w:t xml:space="preserve"> </w:t>
      </w:r>
      <w:r w:rsidRPr="00F712A3" w:rsidR="00CA7B66">
        <w:t>* $55.14 = $</w:t>
      </w:r>
      <w:r w:rsidR="00CA7B66">
        <w:t>1,762,023</w:t>
      </w:r>
      <w:r w:rsidRPr="00F712A3" w:rsidR="00CA7B66">
        <w:t>).</w:t>
      </w:r>
      <w:r w:rsidR="00CA7B66">
        <w:rPr>
          <w:rStyle w:val="FootnoteReference"/>
        </w:rPr>
        <w:footnoteReference w:id="7"/>
      </w:r>
      <w:r w:rsidRPr="00F712A3" w:rsidR="00CA7B66">
        <w:t xml:space="preserve">  </w:t>
      </w:r>
      <w:r w:rsidRPr="003A3060">
        <w:t>This results in an annual cost burden estimate of $6,050,762.</w:t>
      </w:r>
      <w:r w:rsidR="0034259D">
        <w:t xml:space="preserve"> </w:t>
      </w:r>
      <w:r w:rsidRPr="003A3060" w:rsidR="0034259D">
        <w:t>These investment managers provide similar services for many plans</w:t>
      </w:r>
      <w:r w:rsidR="0034259D">
        <w:t xml:space="preserve"> resulting in economies of scale that limit the cost impact of the IC</w:t>
      </w:r>
      <w:r w:rsidRPr="003A3060" w:rsidR="0034259D">
        <w:t xml:space="preserve">.  </w:t>
      </w:r>
    </w:p>
    <w:p w:rsidRPr="00181EE3" w:rsidR="007144B9" w:rsidP="007144B9" w:rsidRDefault="007144B9" w14:paraId="4D20027B" w14:textId="77777777">
      <w:pPr>
        <w:ind w:left="720"/>
        <w:rPr>
          <w:b/>
        </w:rPr>
      </w:pPr>
    </w:p>
    <w:p w:rsidRPr="00181EE3" w:rsidR="00EB039A" w:rsidP="00631344" w:rsidRDefault="0079646A" w14:paraId="600C1A46" w14:textId="77777777">
      <w:pPr>
        <w:ind w:left="720" w:hanging="720"/>
        <w:rPr>
          <w:b/>
        </w:rPr>
      </w:pPr>
      <w:r w:rsidRPr="00181EE3">
        <w:rPr>
          <w:b/>
        </w:rPr>
        <w:t>14.</w:t>
      </w:r>
      <w:r w:rsidR="00631344">
        <w:rPr>
          <w:b/>
        </w:rPr>
        <w:tab/>
      </w:r>
      <w:r w:rsidRPr="00181EE3" w:rsidR="00EB039A">
        <w:rPr>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EB039A" w:rsidR="00EB039A" w:rsidP="007144B9" w:rsidRDefault="00EB039A" w14:paraId="4B58D75B" w14:textId="77777777">
      <w:pPr>
        <w:ind w:left="720"/>
      </w:pPr>
    </w:p>
    <w:p w:rsidRPr="00EB039A" w:rsidR="00EB039A" w:rsidP="007144B9" w:rsidRDefault="00EB039A" w14:paraId="2A4A956D" w14:textId="77777777">
      <w:pPr>
        <w:ind w:left="720"/>
      </w:pPr>
      <w:r w:rsidRPr="00EB039A">
        <w:t>There are no ongoing costs to the Federal government.</w:t>
      </w:r>
    </w:p>
    <w:p w:rsidRPr="00EB039A" w:rsidR="00EB039A" w:rsidP="007144B9" w:rsidRDefault="00EB039A" w14:paraId="0A53487F" w14:textId="77777777">
      <w:pPr>
        <w:ind w:left="720"/>
      </w:pPr>
    </w:p>
    <w:p w:rsidRPr="00181EE3" w:rsidR="00EB039A" w:rsidP="00631344" w:rsidRDefault="002C668F" w14:paraId="3810F812" w14:textId="77777777">
      <w:pPr>
        <w:ind w:left="720" w:hanging="720"/>
        <w:rPr>
          <w:b/>
        </w:rPr>
      </w:pPr>
      <w:r w:rsidRPr="00181EE3">
        <w:rPr>
          <w:b/>
        </w:rPr>
        <w:t>15.</w:t>
      </w:r>
      <w:r w:rsidR="00631344">
        <w:rPr>
          <w:b/>
        </w:rPr>
        <w:tab/>
      </w:r>
      <w:r w:rsidRPr="00181EE3" w:rsidR="00EB039A">
        <w:rPr>
          <w:b/>
        </w:rPr>
        <w:t>Explain the reasons for any program changes or adjustments reporting in Items 13 or 14.</w:t>
      </w:r>
    </w:p>
    <w:p w:rsidR="00EB039A" w:rsidP="007144B9" w:rsidRDefault="00EB039A" w14:paraId="7E098C66" w14:textId="77777777">
      <w:pPr>
        <w:ind w:left="720"/>
      </w:pPr>
    </w:p>
    <w:p w:rsidRPr="00EB039A" w:rsidR="00362135" w:rsidP="007144B9" w:rsidRDefault="00362135" w14:paraId="4F5C184B" w14:textId="77777777">
      <w:pPr>
        <w:ind w:left="720"/>
      </w:pPr>
      <w:r>
        <w:t>This is a new information collection.</w:t>
      </w:r>
    </w:p>
    <w:p w:rsidRPr="00EB039A" w:rsidR="00EB039A" w:rsidP="007144B9" w:rsidRDefault="00EB039A" w14:paraId="1B1CDD2D" w14:textId="77777777">
      <w:pPr>
        <w:ind w:left="720"/>
      </w:pPr>
    </w:p>
    <w:p w:rsidRPr="00631344" w:rsidR="00EB039A" w:rsidP="00631344" w:rsidRDefault="002C668F" w14:paraId="3D5DB85A" w14:textId="77777777">
      <w:pPr>
        <w:ind w:left="720" w:hanging="720"/>
        <w:rPr>
          <w:b/>
        </w:rPr>
      </w:pPr>
      <w:r w:rsidRPr="00631344">
        <w:rPr>
          <w:b/>
        </w:rPr>
        <w:t>16.</w:t>
      </w:r>
      <w:r w:rsidR="00631344">
        <w:rPr>
          <w:b/>
        </w:rPr>
        <w:tab/>
      </w:r>
      <w:r w:rsidRPr="00631344" w:rsidR="00EB039A">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B039A" w:rsidR="00EB039A" w:rsidP="007144B9" w:rsidRDefault="00EB039A" w14:paraId="4F762697" w14:textId="77777777">
      <w:pPr>
        <w:ind w:left="720"/>
      </w:pPr>
    </w:p>
    <w:p w:rsidRPr="00EB039A" w:rsidR="00EB039A" w:rsidP="007144B9" w:rsidRDefault="00EB039A" w14:paraId="02B35D27" w14:textId="77777777">
      <w:pPr>
        <w:ind w:left="720"/>
      </w:pPr>
      <w:r w:rsidRPr="00EB039A">
        <w:t>This is not a collection of information for statistical use</w:t>
      </w:r>
      <w:r w:rsidR="00EC0806">
        <w:t>,</w:t>
      </w:r>
      <w:r w:rsidRPr="00EB039A">
        <w:t xml:space="preserve"> and there are no plans to publish the results of this collection.</w:t>
      </w:r>
    </w:p>
    <w:p w:rsidRPr="00EB039A" w:rsidR="00EB039A" w:rsidP="007144B9" w:rsidRDefault="00EB039A" w14:paraId="36096308" w14:textId="77777777">
      <w:pPr>
        <w:ind w:left="720"/>
      </w:pPr>
    </w:p>
    <w:p w:rsidRPr="00181EE3" w:rsidR="00EB039A" w:rsidP="001E2AC8" w:rsidRDefault="002C668F" w14:paraId="2128F6CA" w14:textId="77777777">
      <w:pPr>
        <w:ind w:left="720" w:hanging="720"/>
        <w:rPr>
          <w:b/>
        </w:rPr>
      </w:pPr>
      <w:r w:rsidRPr="00181EE3">
        <w:rPr>
          <w:b/>
        </w:rPr>
        <w:t>17.</w:t>
      </w:r>
      <w:r w:rsidR="001E2AC8">
        <w:rPr>
          <w:b/>
        </w:rPr>
        <w:tab/>
      </w:r>
      <w:r w:rsidRPr="00181EE3" w:rsidR="00EB039A">
        <w:rPr>
          <w:b/>
        </w:rPr>
        <w:t>If seeking approval to not display the expiration date for OMB approval of the information collection, explain the reasons that display would be inappropriate.</w:t>
      </w:r>
    </w:p>
    <w:p w:rsidRPr="00EB039A" w:rsidR="00EB039A" w:rsidP="007144B9" w:rsidRDefault="00EB039A" w14:paraId="3B90556F" w14:textId="77777777">
      <w:pPr>
        <w:ind w:left="720"/>
      </w:pPr>
    </w:p>
    <w:p w:rsidR="00EB039A" w:rsidP="00702043" w:rsidRDefault="00702043" w14:paraId="2B2A6A0D" w14:textId="77777777">
      <w:pPr>
        <w:ind w:left="720"/>
      </w:pPr>
      <w:r w:rsidRPr="00702043">
        <w:t>Not applicable.</w:t>
      </w:r>
    </w:p>
    <w:p w:rsidRPr="00EB039A" w:rsidR="00360C5A" w:rsidP="007144B9" w:rsidRDefault="00360C5A" w14:paraId="15334FB0" w14:textId="77777777">
      <w:pPr>
        <w:ind w:left="720"/>
      </w:pPr>
    </w:p>
    <w:p w:rsidRPr="00181EE3" w:rsidR="00EB039A" w:rsidP="001E2AC8" w:rsidRDefault="00BD6980" w14:paraId="6C84DA0B" w14:textId="77777777">
      <w:pPr>
        <w:ind w:left="720" w:hanging="720"/>
        <w:rPr>
          <w:b/>
        </w:rPr>
      </w:pPr>
      <w:r w:rsidRPr="00181EE3">
        <w:rPr>
          <w:b/>
        </w:rPr>
        <w:t>18.</w:t>
      </w:r>
      <w:r w:rsidR="001E2AC8">
        <w:rPr>
          <w:b/>
        </w:rPr>
        <w:tab/>
      </w:r>
      <w:r w:rsidRPr="00181EE3" w:rsidR="00EB039A">
        <w:rPr>
          <w:b/>
        </w:rPr>
        <w:t>Explain each exception to the certification statement.</w:t>
      </w:r>
    </w:p>
    <w:p w:rsidRPr="00EB039A" w:rsidR="00EB039A" w:rsidP="007144B9" w:rsidRDefault="00EB039A" w14:paraId="3FADC04C" w14:textId="77777777">
      <w:pPr>
        <w:ind w:left="720"/>
      </w:pPr>
    </w:p>
    <w:p w:rsidR="00EB039A" w:rsidP="007144B9" w:rsidRDefault="00EB039A" w14:paraId="07B6F775" w14:textId="77777777">
      <w:pPr>
        <w:ind w:left="720"/>
      </w:pPr>
      <w:r w:rsidRPr="00EB039A">
        <w:t>There are no exceptions to the certification statement.</w:t>
      </w:r>
    </w:p>
    <w:p w:rsidR="00DD1B12" w:rsidP="007144B9" w:rsidRDefault="00DD1B12" w14:paraId="114000CC" w14:textId="77777777">
      <w:pPr>
        <w:ind w:left="720"/>
      </w:pPr>
    </w:p>
    <w:p w:rsidRPr="002009CC" w:rsidR="00DD1B12" w:rsidP="00D32C8D" w:rsidRDefault="00DD1B12" w14:paraId="5F6B5BEA" w14:textId="77777777">
      <w:pPr>
        <w:pStyle w:val="ListParagraph"/>
        <w:numPr>
          <w:ilvl w:val="0"/>
          <w:numId w:val="4"/>
        </w:numPr>
        <w:tabs>
          <w:tab w:val="left" w:pos="-1440"/>
        </w:tabs>
        <w:ind w:hanging="720"/>
        <w:outlineLvl w:val="0"/>
      </w:pPr>
      <w:r w:rsidRPr="00DD1B12">
        <w:rPr>
          <w:b/>
          <w:bCs/>
        </w:rPr>
        <w:t>COLLECTIONS OF INFORMATION EMPLOYING STATISTICAL METHODS</w:t>
      </w:r>
    </w:p>
    <w:p w:rsidRPr="002009CC" w:rsidR="00DD1B12" w:rsidP="00DD1B12" w:rsidRDefault="00DD1B12" w14:paraId="34B1F6A0" w14:textId="77777777">
      <w:pPr>
        <w:ind w:left="720"/>
      </w:pPr>
    </w:p>
    <w:p w:rsidRPr="000E0DAF" w:rsidR="00DD1B12" w:rsidP="00DD1B12" w:rsidRDefault="00DD1B12" w14:paraId="2A4F3111" w14:textId="77777777">
      <w:pPr>
        <w:ind w:left="720"/>
        <w:outlineLvl w:val="0"/>
      </w:pPr>
      <w:r w:rsidRPr="002009CC">
        <w:t>Not applicable.  The use of statistical methods is not relevant to this collection of information.</w:t>
      </w:r>
    </w:p>
    <w:p w:rsidRPr="00EB039A" w:rsidR="00DD1B12" w:rsidP="007144B9" w:rsidRDefault="00DD1B12" w14:paraId="3B1A23F4" w14:textId="77777777">
      <w:pPr>
        <w:ind w:left="720"/>
      </w:pPr>
    </w:p>
    <w:sectPr w:rsidRPr="00EB039A" w:rsidR="00DD1B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2C018" w14:textId="77777777" w:rsidR="00B13429" w:rsidRDefault="00B13429" w:rsidP="00CF1AC0">
      <w:r>
        <w:separator/>
      </w:r>
    </w:p>
  </w:endnote>
  <w:endnote w:type="continuationSeparator" w:id="0">
    <w:p w14:paraId="481AE41E" w14:textId="77777777" w:rsidR="00B13429" w:rsidRDefault="00B13429" w:rsidP="00CF1AC0">
      <w:r>
        <w:continuationSeparator/>
      </w:r>
    </w:p>
  </w:endnote>
  <w:endnote w:type="continuationNotice" w:id="1">
    <w:p w14:paraId="1921E760" w14:textId="77777777" w:rsidR="00B13429" w:rsidRDefault="00B134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A3678" w14:textId="77777777" w:rsidR="00B13429" w:rsidRDefault="00B13429" w:rsidP="00CF1AC0">
      <w:r>
        <w:separator/>
      </w:r>
    </w:p>
  </w:footnote>
  <w:footnote w:type="continuationSeparator" w:id="0">
    <w:p w14:paraId="5E81D87B" w14:textId="77777777" w:rsidR="00B13429" w:rsidRDefault="00B13429" w:rsidP="00CF1AC0">
      <w:r>
        <w:continuationSeparator/>
      </w:r>
    </w:p>
  </w:footnote>
  <w:footnote w:type="continuationNotice" w:id="1">
    <w:p w14:paraId="555BC689" w14:textId="77777777" w:rsidR="00B13429" w:rsidRDefault="00B13429"/>
  </w:footnote>
  <w:footnote w:id="2">
    <w:p w14:paraId="59E93E37" w14:textId="77777777" w:rsidR="009B6D6F" w:rsidRPr="007144B9" w:rsidRDefault="009B6D6F" w:rsidP="0073404A">
      <w:pPr>
        <w:pStyle w:val="FootnoteText"/>
      </w:pPr>
      <w:r w:rsidRPr="008202BE">
        <w:rPr>
          <w:rStyle w:val="FootnoteReference"/>
          <w:rFonts w:ascii="Century Schoolbook" w:hAnsi="Century Schoolbook"/>
        </w:rPr>
        <w:footnoteRef/>
      </w:r>
      <w:r w:rsidRPr="008202BE">
        <w:rPr>
          <w:rFonts w:ascii="Century Schoolbook" w:hAnsi="Century Schoolbook"/>
        </w:rPr>
        <w:t xml:space="preserve"> </w:t>
      </w:r>
      <w:r w:rsidRPr="007144B9">
        <w:t>Throughout this supporting statement, the Department’s discussion of plan fiduciaries includes named fiduciaries under the plan, along with any persons that named fiduciaries have designated to carry out fiduciary responsibilities as permitted under ERISA § 405(c)(1).</w:t>
      </w:r>
    </w:p>
  </w:footnote>
  <w:footnote w:id="3">
    <w:p w14:paraId="64049CEB" w14:textId="77777777" w:rsidR="009B6D6F" w:rsidRPr="008F0B26" w:rsidRDefault="009B6D6F" w:rsidP="00EB039A">
      <w:pPr>
        <w:pStyle w:val="FootnoteText"/>
      </w:pPr>
      <w:r w:rsidRPr="008F0B26">
        <w:rPr>
          <w:rStyle w:val="FootnoteReference"/>
        </w:rPr>
        <w:footnoteRef/>
      </w:r>
      <w:r w:rsidRPr="008F0B26">
        <w:t xml:space="preserve"> </w:t>
      </w:r>
      <w:r w:rsidRPr="00AD1C08">
        <w:rPr>
          <w:i/>
        </w:rPr>
        <w:t>See</w:t>
      </w:r>
      <w:r>
        <w:t xml:space="preserve"> </w:t>
      </w:r>
      <w:r w:rsidRPr="009D78FD">
        <w:t xml:space="preserve">29 </w:t>
      </w:r>
      <w:r>
        <w:t>CFR</w:t>
      </w:r>
      <w:r w:rsidRPr="009D78FD">
        <w:t xml:space="preserve"> </w:t>
      </w:r>
      <w:r w:rsidRPr="009D78FD">
        <w:rPr>
          <w:szCs w:val="24"/>
        </w:rPr>
        <w:t>2509.</w:t>
      </w:r>
      <w:r>
        <w:rPr>
          <w:szCs w:val="24"/>
        </w:rPr>
        <w:t>20</w:t>
      </w:r>
      <w:r w:rsidRPr="009D78FD">
        <w:rPr>
          <w:szCs w:val="24"/>
        </w:rPr>
        <w:t>08-2</w:t>
      </w:r>
      <w:r>
        <w:rPr>
          <w:szCs w:val="24"/>
        </w:rPr>
        <w:t xml:space="preserve"> (73 FR 61731 (Oct. 17, 2008))</w:t>
      </w:r>
      <w:r>
        <w:t>.</w:t>
      </w:r>
    </w:p>
  </w:footnote>
  <w:footnote w:id="4">
    <w:p w14:paraId="2004D484" w14:textId="77777777" w:rsidR="009B6D6F" w:rsidRDefault="009B6D6F" w:rsidP="00277B3D">
      <w:pPr>
        <w:pStyle w:val="FootnoteText"/>
      </w:pPr>
      <w:r>
        <w:rPr>
          <w:rStyle w:val="FootnoteReference"/>
        </w:rPr>
        <w:footnoteRef/>
      </w:r>
      <w:r>
        <w:t xml:space="preserve"> </w:t>
      </w:r>
      <w:r w:rsidRPr="008738D4">
        <w:rPr>
          <w:i/>
        </w:rPr>
        <w:t>See</w:t>
      </w:r>
      <w:r w:rsidRPr="008738D4">
        <w:t xml:space="preserve"> </w:t>
      </w:r>
      <w:r w:rsidRPr="00150163">
        <w:t>Exemptions from the Proxy Rules for Proxy Voting Advice</w:t>
      </w:r>
      <w:r>
        <w:t>, 85 FR 55082 (Sept. 3, 2020)</w:t>
      </w:r>
      <w:r w:rsidRPr="008738D4">
        <w:t xml:space="preserve"> (2020 SEC Proxy Voting Advice Amendments).  </w:t>
      </w:r>
    </w:p>
  </w:footnote>
  <w:footnote w:id="5">
    <w:p w14:paraId="74598A11" w14:textId="77777777" w:rsidR="009B6D6F" w:rsidRDefault="009B6D6F" w:rsidP="00277B3D">
      <w:pPr>
        <w:pStyle w:val="FootnoteText"/>
      </w:pPr>
      <w:r>
        <w:rPr>
          <w:rStyle w:val="FootnoteReference"/>
        </w:rPr>
        <w:footnoteRef/>
      </w:r>
      <w:r>
        <w:t xml:space="preserve"> </w:t>
      </w:r>
      <w:r w:rsidRPr="008738D4">
        <w:rPr>
          <w:i/>
        </w:rPr>
        <w:t>See</w:t>
      </w:r>
      <w:r w:rsidRPr="008738D4">
        <w:t xml:space="preserve"> </w:t>
      </w:r>
      <w:r w:rsidRPr="00150163">
        <w:t>Supplement to Commission Guidance Regarding Proxy Voting Responsibilities of Investment Advisers</w:t>
      </w:r>
      <w:r>
        <w:t>, 85 FR 55155 (Sept. 3, 2020)</w:t>
      </w:r>
      <w:r w:rsidRPr="00150163">
        <w:t xml:space="preserve"> </w:t>
      </w:r>
      <w:r w:rsidRPr="008738D4">
        <w:t>(2020 SEC Supplemental Guidance)</w:t>
      </w:r>
      <w:r w:rsidRPr="008738D4">
        <w:rPr>
          <w:i/>
        </w:rPr>
        <w:t>.</w:t>
      </w:r>
    </w:p>
  </w:footnote>
  <w:footnote w:id="6">
    <w:p w14:paraId="274E8CB8" w14:textId="77777777" w:rsidR="009B6D6F" w:rsidRPr="009D78FD" w:rsidRDefault="009B6D6F" w:rsidP="009E5FD4">
      <w:pPr>
        <w:pStyle w:val="FootnoteText"/>
        <w:contextualSpacing/>
      </w:pPr>
      <w:r w:rsidRPr="009D78FD">
        <w:rPr>
          <w:rStyle w:val="FootnoteReference"/>
        </w:rPr>
        <w:footnoteRef/>
      </w:r>
      <w:r w:rsidRPr="009D78FD">
        <w:t xml:space="preserve"> EBSA estimates using 201</w:t>
      </w:r>
      <w:r>
        <w:t>8</w:t>
      </w:r>
      <w:r w:rsidRPr="009D78FD">
        <w:t xml:space="preserve"> Form 5500 filing data.</w:t>
      </w:r>
    </w:p>
  </w:footnote>
  <w:footnote w:id="7">
    <w:p w14:paraId="0B79258C" w14:textId="77777777" w:rsidR="009B6D6F" w:rsidRDefault="009B6D6F">
      <w:pPr>
        <w:pStyle w:val="FootnoteText"/>
      </w:pPr>
      <w:r>
        <w:rPr>
          <w:rStyle w:val="FootnoteReference"/>
        </w:rPr>
        <w:footnoteRef/>
      </w:r>
      <w:r>
        <w:t xml:space="preserve"> Labor costs are</w:t>
      </w:r>
      <w:r w:rsidRPr="00FD7A63">
        <w:t xml:space="preserve"> based on statistics from </w:t>
      </w:r>
      <w:r w:rsidRPr="00742E25">
        <w:t>Labor Cost Inputs Used in the Employee Benefits Security Administration, Office of Policy and Research’s Regulatory Impact Analyses and Paperwork Reduction Act Burden Calculation</w:t>
      </w:r>
      <w:r w:rsidRPr="00FD7A63">
        <w:t xml:space="preserve">, Employee Benefits Security Administration (June 2019), </w:t>
      </w:r>
      <w:r w:rsidRPr="000853F7">
        <w:rPr>
          <w:i/>
        </w:rPr>
        <w:t>www.dol.gov/sites/dolgov/files/EBSA/laws-and-regulations/rules-and-regulations/technical-appendices/labor-cost-inputs-used-in-ebsa-opr-ria-and-pra-burden-calculations-june-2019.pdf</w:t>
      </w:r>
      <w:r w:rsidRPr="00FD7A6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B8C34D9"/>
    <w:multiLevelType w:val="hybridMultilevel"/>
    <w:tmpl w:val="3D020374"/>
    <w:lvl w:ilvl="0" w:tplc="E8B64A02">
      <w:start w:val="1"/>
      <w:numFmt w:val="decimal"/>
      <w:lvlText w:val="%1."/>
      <w:lvlJc w:val="left"/>
      <w:pPr>
        <w:ind w:left="720" w:hanging="360"/>
      </w:pPr>
    </w:lvl>
    <w:lvl w:ilvl="1" w:tplc="C444005E">
      <w:start w:val="1"/>
      <w:numFmt w:val="lowerLetter"/>
      <w:lvlText w:val="%2."/>
      <w:lvlJc w:val="left"/>
      <w:pPr>
        <w:ind w:left="1440" w:hanging="360"/>
      </w:pPr>
    </w:lvl>
    <w:lvl w:ilvl="2" w:tplc="8B1AF19A">
      <w:start w:val="1"/>
      <w:numFmt w:val="lowerRoman"/>
      <w:lvlText w:val="%3."/>
      <w:lvlJc w:val="right"/>
      <w:pPr>
        <w:ind w:left="2160" w:hanging="180"/>
      </w:pPr>
    </w:lvl>
    <w:lvl w:ilvl="3" w:tplc="25769098">
      <w:start w:val="1"/>
      <w:numFmt w:val="decimal"/>
      <w:lvlText w:val="%4."/>
      <w:lvlJc w:val="left"/>
      <w:pPr>
        <w:ind w:left="2880" w:hanging="360"/>
      </w:pPr>
    </w:lvl>
    <w:lvl w:ilvl="4" w:tplc="ABA09228">
      <w:start w:val="1"/>
      <w:numFmt w:val="lowerLetter"/>
      <w:lvlText w:val="%5."/>
      <w:lvlJc w:val="left"/>
      <w:pPr>
        <w:ind w:left="3600" w:hanging="360"/>
      </w:pPr>
    </w:lvl>
    <w:lvl w:ilvl="5" w:tplc="B1245644">
      <w:start w:val="1"/>
      <w:numFmt w:val="lowerRoman"/>
      <w:lvlText w:val="%6."/>
      <w:lvlJc w:val="right"/>
      <w:pPr>
        <w:ind w:left="4320" w:hanging="180"/>
      </w:pPr>
    </w:lvl>
    <w:lvl w:ilvl="6" w:tplc="E5DCA404">
      <w:start w:val="1"/>
      <w:numFmt w:val="decimal"/>
      <w:lvlText w:val="%7."/>
      <w:lvlJc w:val="left"/>
      <w:pPr>
        <w:ind w:left="5040" w:hanging="360"/>
      </w:pPr>
    </w:lvl>
    <w:lvl w:ilvl="7" w:tplc="B5DAEECA">
      <w:start w:val="1"/>
      <w:numFmt w:val="lowerLetter"/>
      <w:lvlText w:val="%8."/>
      <w:lvlJc w:val="left"/>
      <w:pPr>
        <w:ind w:left="5760" w:hanging="360"/>
      </w:pPr>
    </w:lvl>
    <w:lvl w:ilvl="8" w:tplc="51F2280C">
      <w:start w:val="1"/>
      <w:numFmt w:val="lowerRoman"/>
      <w:lvlText w:val="%9."/>
      <w:lvlJc w:val="right"/>
      <w:pPr>
        <w:ind w:left="6480" w:hanging="180"/>
      </w:pPr>
    </w:lvl>
  </w:abstractNum>
  <w:abstractNum w:abstractNumId="2" w15:restartNumberingAfterBreak="0">
    <w:nsid w:val="0C750E06"/>
    <w:multiLevelType w:val="hybridMultilevel"/>
    <w:tmpl w:val="43FEC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163E06"/>
    <w:multiLevelType w:val="hybridMultilevel"/>
    <w:tmpl w:val="68F4AFC4"/>
    <w:lvl w:ilvl="0" w:tplc="6E96FCDC">
      <w:start w:val="1"/>
      <w:numFmt w:val="decimal"/>
      <w:lvlText w:val="%1."/>
      <w:lvlJc w:val="left"/>
      <w:pPr>
        <w:ind w:left="720" w:hanging="360"/>
      </w:pPr>
    </w:lvl>
    <w:lvl w:ilvl="1" w:tplc="362CB92A">
      <w:start w:val="1"/>
      <w:numFmt w:val="lowerLetter"/>
      <w:lvlText w:val="%2."/>
      <w:lvlJc w:val="left"/>
      <w:pPr>
        <w:ind w:left="1440" w:hanging="360"/>
      </w:pPr>
    </w:lvl>
    <w:lvl w:ilvl="2" w:tplc="F69C7AD8">
      <w:start w:val="1"/>
      <w:numFmt w:val="lowerRoman"/>
      <w:lvlText w:val="%3."/>
      <w:lvlJc w:val="right"/>
      <w:pPr>
        <w:ind w:left="2160" w:hanging="180"/>
      </w:pPr>
    </w:lvl>
    <w:lvl w:ilvl="3" w:tplc="2A926E74">
      <w:start w:val="1"/>
      <w:numFmt w:val="decimal"/>
      <w:lvlText w:val="%4."/>
      <w:lvlJc w:val="left"/>
      <w:pPr>
        <w:ind w:left="2880" w:hanging="360"/>
      </w:pPr>
    </w:lvl>
    <w:lvl w:ilvl="4" w:tplc="B9FA40F4">
      <w:start w:val="1"/>
      <w:numFmt w:val="lowerLetter"/>
      <w:lvlText w:val="%5."/>
      <w:lvlJc w:val="left"/>
      <w:pPr>
        <w:ind w:left="3600" w:hanging="360"/>
      </w:pPr>
    </w:lvl>
    <w:lvl w:ilvl="5" w:tplc="35067F02">
      <w:start w:val="1"/>
      <w:numFmt w:val="lowerRoman"/>
      <w:lvlText w:val="%6."/>
      <w:lvlJc w:val="right"/>
      <w:pPr>
        <w:ind w:left="4320" w:hanging="180"/>
      </w:pPr>
    </w:lvl>
    <w:lvl w:ilvl="6" w:tplc="F6FA6DEC">
      <w:start w:val="1"/>
      <w:numFmt w:val="decimal"/>
      <w:lvlText w:val="%7."/>
      <w:lvlJc w:val="left"/>
      <w:pPr>
        <w:ind w:left="5040" w:hanging="360"/>
      </w:pPr>
    </w:lvl>
    <w:lvl w:ilvl="7" w:tplc="8A9C0A88">
      <w:start w:val="1"/>
      <w:numFmt w:val="lowerLetter"/>
      <w:lvlText w:val="%8."/>
      <w:lvlJc w:val="left"/>
      <w:pPr>
        <w:ind w:left="5760" w:hanging="360"/>
      </w:pPr>
    </w:lvl>
    <w:lvl w:ilvl="8" w:tplc="45288D58">
      <w:start w:val="1"/>
      <w:numFmt w:val="lowerRoman"/>
      <w:lvlText w:val="%9."/>
      <w:lvlJc w:val="right"/>
      <w:pPr>
        <w:ind w:left="6480" w:hanging="180"/>
      </w:pPr>
    </w:lvl>
  </w:abstractNum>
  <w:abstractNum w:abstractNumId="4" w15:restartNumberingAfterBreak="0">
    <w:nsid w:val="15DB2F66"/>
    <w:multiLevelType w:val="hybridMultilevel"/>
    <w:tmpl w:val="8A6E122E"/>
    <w:lvl w:ilvl="0" w:tplc="4AD6828A">
      <w:start w:val="1"/>
      <w:numFmt w:val="decimal"/>
      <w:lvlText w:val="%1."/>
      <w:lvlJc w:val="left"/>
      <w:pPr>
        <w:tabs>
          <w:tab w:val="num" w:pos="1080"/>
        </w:tabs>
        <w:ind w:left="1080" w:hanging="720"/>
      </w:pPr>
      <w:rPr>
        <w:rFonts w:hint="default"/>
        <w:i w:val="0"/>
      </w:rPr>
    </w:lvl>
    <w:lvl w:ilvl="1" w:tplc="6EE48C12">
      <w:start w:val="1"/>
      <w:numFmt w:val="bullet"/>
      <w:lvlText w:val=""/>
      <w:lvlJc w:val="left"/>
      <w:pPr>
        <w:tabs>
          <w:tab w:val="num" w:pos="1440"/>
        </w:tabs>
        <w:ind w:left="1440" w:hanging="360"/>
      </w:pPr>
      <w:rPr>
        <w:rFonts w:ascii="Symbol" w:hAnsi="Symbol" w:hint="default"/>
      </w:rPr>
    </w:lvl>
    <w:lvl w:ilvl="2" w:tplc="C240ABFC">
      <w:start w:val="2"/>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A82794"/>
    <w:multiLevelType w:val="hybridMultilevel"/>
    <w:tmpl w:val="056441F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2FB73C9A"/>
    <w:multiLevelType w:val="hybridMultilevel"/>
    <w:tmpl w:val="478C4592"/>
    <w:lvl w:ilvl="0" w:tplc="73421854">
      <w:start w:val="1"/>
      <w:numFmt w:val="decimal"/>
      <w:lvlText w:val="%1."/>
      <w:lvlJc w:val="left"/>
      <w:pPr>
        <w:ind w:left="720" w:hanging="360"/>
      </w:pPr>
    </w:lvl>
    <w:lvl w:ilvl="1" w:tplc="920A0862">
      <w:start w:val="1"/>
      <w:numFmt w:val="lowerLetter"/>
      <w:lvlText w:val="%2."/>
      <w:lvlJc w:val="left"/>
      <w:pPr>
        <w:ind w:left="1440" w:hanging="360"/>
      </w:pPr>
    </w:lvl>
    <w:lvl w:ilvl="2" w:tplc="04D4B952">
      <w:start w:val="1"/>
      <w:numFmt w:val="lowerRoman"/>
      <w:lvlText w:val="%3."/>
      <w:lvlJc w:val="right"/>
      <w:pPr>
        <w:ind w:left="2160" w:hanging="180"/>
      </w:pPr>
    </w:lvl>
    <w:lvl w:ilvl="3" w:tplc="0706D81E">
      <w:start w:val="1"/>
      <w:numFmt w:val="decimal"/>
      <w:lvlText w:val="%4."/>
      <w:lvlJc w:val="left"/>
      <w:pPr>
        <w:ind w:left="2880" w:hanging="360"/>
      </w:pPr>
    </w:lvl>
    <w:lvl w:ilvl="4" w:tplc="B096FD1A">
      <w:start w:val="1"/>
      <w:numFmt w:val="lowerLetter"/>
      <w:lvlText w:val="%5."/>
      <w:lvlJc w:val="left"/>
      <w:pPr>
        <w:ind w:left="3600" w:hanging="360"/>
      </w:pPr>
    </w:lvl>
    <w:lvl w:ilvl="5" w:tplc="9B7EC370">
      <w:start w:val="1"/>
      <w:numFmt w:val="lowerRoman"/>
      <w:lvlText w:val="%6."/>
      <w:lvlJc w:val="right"/>
      <w:pPr>
        <w:ind w:left="4320" w:hanging="180"/>
      </w:pPr>
    </w:lvl>
    <w:lvl w:ilvl="6" w:tplc="584018A0">
      <w:start w:val="1"/>
      <w:numFmt w:val="decimal"/>
      <w:lvlText w:val="%7."/>
      <w:lvlJc w:val="left"/>
      <w:pPr>
        <w:ind w:left="5040" w:hanging="360"/>
      </w:pPr>
    </w:lvl>
    <w:lvl w:ilvl="7" w:tplc="328C7280">
      <w:start w:val="1"/>
      <w:numFmt w:val="lowerLetter"/>
      <w:lvlText w:val="%8."/>
      <w:lvlJc w:val="left"/>
      <w:pPr>
        <w:ind w:left="5760" w:hanging="360"/>
      </w:pPr>
    </w:lvl>
    <w:lvl w:ilvl="8" w:tplc="204A2E4C">
      <w:start w:val="1"/>
      <w:numFmt w:val="lowerRoman"/>
      <w:lvlText w:val="%9."/>
      <w:lvlJc w:val="right"/>
      <w:pPr>
        <w:ind w:left="6480" w:hanging="180"/>
      </w:pPr>
    </w:lvl>
  </w:abstractNum>
  <w:abstractNum w:abstractNumId="7" w15:restartNumberingAfterBreak="0">
    <w:nsid w:val="36761151"/>
    <w:multiLevelType w:val="hybridMultilevel"/>
    <w:tmpl w:val="2D986E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6D7F1A"/>
    <w:multiLevelType w:val="hybridMultilevel"/>
    <w:tmpl w:val="77EE5502"/>
    <w:lvl w:ilvl="0" w:tplc="AD70480C">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41053"/>
    <w:multiLevelType w:val="hybridMultilevel"/>
    <w:tmpl w:val="7660DE78"/>
    <w:lvl w:ilvl="0" w:tplc="3C62024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430563"/>
    <w:multiLevelType w:val="hybridMultilevel"/>
    <w:tmpl w:val="BBF8A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B1E7172"/>
    <w:multiLevelType w:val="multilevel"/>
    <w:tmpl w:val="F6DAD38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0"/>
    <w:lvlOverride w:ilvl="0">
      <w:lvl w:ilvl="0">
        <w:start w:val="1"/>
        <w:numFmt w:val="decimal"/>
        <w:pStyle w:val="Quick1"/>
        <w:lvlText w:val="%1."/>
        <w:lvlJc w:val="left"/>
      </w:lvl>
    </w:lvlOverride>
  </w:num>
  <w:num w:numId="3">
    <w:abstractNumId w:val="0"/>
    <w:lvlOverride w:ilvl="0">
      <w:startOverride w:val="13"/>
      <w:lvl w:ilvl="0">
        <w:start w:val="13"/>
        <w:numFmt w:val="decimal"/>
        <w:pStyle w:val="Quick1"/>
        <w:lvlText w:val="%1."/>
        <w:lvlJc w:val="left"/>
      </w:lvl>
    </w:lvlOverride>
  </w:num>
  <w:num w:numId="4">
    <w:abstractNumId w:val="9"/>
  </w:num>
  <w:num w:numId="5">
    <w:abstractNumId w:val="11"/>
  </w:num>
  <w:num w:numId="6">
    <w:abstractNumId w:val="1"/>
  </w:num>
  <w:num w:numId="7">
    <w:abstractNumId w:val="8"/>
  </w:num>
  <w:num w:numId="8">
    <w:abstractNumId w:val="2"/>
  </w:num>
  <w:num w:numId="9">
    <w:abstractNumId w:val="3"/>
  </w:num>
  <w:num w:numId="10">
    <w:abstractNumId w:val="7"/>
  </w:num>
  <w:num w:numId="11">
    <w:abstractNumId w:val="10"/>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C0"/>
    <w:rsid w:val="0001540D"/>
    <w:rsid w:val="0001743E"/>
    <w:rsid w:val="00021347"/>
    <w:rsid w:val="00022A9B"/>
    <w:rsid w:val="00025E14"/>
    <w:rsid w:val="000264C2"/>
    <w:rsid w:val="00030A0D"/>
    <w:rsid w:val="0003425C"/>
    <w:rsid w:val="00034FCE"/>
    <w:rsid w:val="0003538F"/>
    <w:rsid w:val="00047F67"/>
    <w:rsid w:val="00051E9C"/>
    <w:rsid w:val="00062035"/>
    <w:rsid w:val="00066351"/>
    <w:rsid w:val="000725C7"/>
    <w:rsid w:val="00072942"/>
    <w:rsid w:val="00090A5A"/>
    <w:rsid w:val="0009778C"/>
    <w:rsid w:val="000A3571"/>
    <w:rsid w:val="000C195D"/>
    <w:rsid w:val="000C1B7C"/>
    <w:rsid w:val="000C59D4"/>
    <w:rsid w:val="000D32D4"/>
    <w:rsid w:val="000E0C15"/>
    <w:rsid w:val="000F7EEC"/>
    <w:rsid w:val="00101B49"/>
    <w:rsid w:val="001057A9"/>
    <w:rsid w:val="00112B91"/>
    <w:rsid w:val="0011380B"/>
    <w:rsid w:val="00117D58"/>
    <w:rsid w:val="00127C47"/>
    <w:rsid w:val="0013190D"/>
    <w:rsid w:val="001336B8"/>
    <w:rsid w:val="00133A24"/>
    <w:rsid w:val="00141442"/>
    <w:rsid w:val="00143FC9"/>
    <w:rsid w:val="0014590D"/>
    <w:rsid w:val="001541D0"/>
    <w:rsid w:val="00161B7B"/>
    <w:rsid w:val="00170DEC"/>
    <w:rsid w:val="001712A1"/>
    <w:rsid w:val="00181D17"/>
    <w:rsid w:val="00181EE3"/>
    <w:rsid w:val="001858BD"/>
    <w:rsid w:val="00186848"/>
    <w:rsid w:val="00190B5E"/>
    <w:rsid w:val="00192492"/>
    <w:rsid w:val="00192BCA"/>
    <w:rsid w:val="001941C7"/>
    <w:rsid w:val="001948A6"/>
    <w:rsid w:val="00197261"/>
    <w:rsid w:val="001A4025"/>
    <w:rsid w:val="001A5699"/>
    <w:rsid w:val="001B2639"/>
    <w:rsid w:val="001B54FC"/>
    <w:rsid w:val="001B5A8D"/>
    <w:rsid w:val="001C42D2"/>
    <w:rsid w:val="001C4638"/>
    <w:rsid w:val="001C786E"/>
    <w:rsid w:val="001C7D96"/>
    <w:rsid w:val="001D01EA"/>
    <w:rsid w:val="001D1A84"/>
    <w:rsid w:val="001D3338"/>
    <w:rsid w:val="001D6344"/>
    <w:rsid w:val="001D7778"/>
    <w:rsid w:val="001E2AC8"/>
    <w:rsid w:val="001E3AEA"/>
    <w:rsid w:val="001E492D"/>
    <w:rsid w:val="001F4B4E"/>
    <w:rsid w:val="001F688C"/>
    <w:rsid w:val="00200408"/>
    <w:rsid w:val="00204F1B"/>
    <w:rsid w:val="002105AC"/>
    <w:rsid w:val="00215741"/>
    <w:rsid w:val="00223395"/>
    <w:rsid w:val="00237776"/>
    <w:rsid w:val="00242A3D"/>
    <w:rsid w:val="00242D27"/>
    <w:rsid w:val="002474F8"/>
    <w:rsid w:val="00255FCD"/>
    <w:rsid w:val="00260DA8"/>
    <w:rsid w:val="00264784"/>
    <w:rsid w:val="00267670"/>
    <w:rsid w:val="002709E5"/>
    <w:rsid w:val="00271187"/>
    <w:rsid w:val="0027482C"/>
    <w:rsid w:val="00277B3D"/>
    <w:rsid w:val="00277C5A"/>
    <w:rsid w:val="00284B45"/>
    <w:rsid w:val="00285871"/>
    <w:rsid w:val="00286023"/>
    <w:rsid w:val="00292798"/>
    <w:rsid w:val="0029384C"/>
    <w:rsid w:val="002954AB"/>
    <w:rsid w:val="002B110A"/>
    <w:rsid w:val="002B2DD1"/>
    <w:rsid w:val="002B3A4D"/>
    <w:rsid w:val="002B4A60"/>
    <w:rsid w:val="002C3D71"/>
    <w:rsid w:val="002C4C9C"/>
    <w:rsid w:val="002C53FE"/>
    <w:rsid w:val="002C668F"/>
    <w:rsid w:val="002D2DD1"/>
    <w:rsid w:val="002E129B"/>
    <w:rsid w:val="002E1AA8"/>
    <w:rsid w:val="002E45AE"/>
    <w:rsid w:val="002E6EF9"/>
    <w:rsid w:val="002F2BC8"/>
    <w:rsid w:val="003005E8"/>
    <w:rsid w:val="003062E4"/>
    <w:rsid w:val="0031176F"/>
    <w:rsid w:val="00313112"/>
    <w:rsid w:val="0031329A"/>
    <w:rsid w:val="00314B02"/>
    <w:rsid w:val="00330532"/>
    <w:rsid w:val="003308D4"/>
    <w:rsid w:val="0033219C"/>
    <w:rsid w:val="003330CC"/>
    <w:rsid w:val="00341C08"/>
    <w:rsid w:val="0034259D"/>
    <w:rsid w:val="00347B6E"/>
    <w:rsid w:val="00354DB2"/>
    <w:rsid w:val="00356244"/>
    <w:rsid w:val="003567E9"/>
    <w:rsid w:val="00360C5A"/>
    <w:rsid w:val="00362135"/>
    <w:rsid w:val="00376544"/>
    <w:rsid w:val="003775E5"/>
    <w:rsid w:val="00380E85"/>
    <w:rsid w:val="00386A98"/>
    <w:rsid w:val="00386D8C"/>
    <w:rsid w:val="00386E3F"/>
    <w:rsid w:val="00390430"/>
    <w:rsid w:val="00390DDB"/>
    <w:rsid w:val="003A3060"/>
    <w:rsid w:val="003A4198"/>
    <w:rsid w:val="003A4C4A"/>
    <w:rsid w:val="003B2BFB"/>
    <w:rsid w:val="003B35E7"/>
    <w:rsid w:val="003B4A53"/>
    <w:rsid w:val="003B5A90"/>
    <w:rsid w:val="003B6B44"/>
    <w:rsid w:val="003C34B7"/>
    <w:rsid w:val="003C5255"/>
    <w:rsid w:val="003D422D"/>
    <w:rsid w:val="003E0EA2"/>
    <w:rsid w:val="003E70AC"/>
    <w:rsid w:val="003F0BD0"/>
    <w:rsid w:val="003F25A4"/>
    <w:rsid w:val="003F49EC"/>
    <w:rsid w:val="003F4B09"/>
    <w:rsid w:val="00420161"/>
    <w:rsid w:val="00420372"/>
    <w:rsid w:val="0042105E"/>
    <w:rsid w:val="00424D38"/>
    <w:rsid w:val="00433EB4"/>
    <w:rsid w:val="004421D3"/>
    <w:rsid w:val="0044243A"/>
    <w:rsid w:val="004465DD"/>
    <w:rsid w:val="00450BC1"/>
    <w:rsid w:val="00454DCF"/>
    <w:rsid w:val="0046616F"/>
    <w:rsid w:val="00466D3B"/>
    <w:rsid w:val="004678A0"/>
    <w:rsid w:val="00471757"/>
    <w:rsid w:val="00475C8D"/>
    <w:rsid w:val="00477D42"/>
    <w:rsid w:val="00481D30"/>
    <w:rsid w:val="00484E07"/>
    <w:rsid w:val="00491CB2"/>
    <w:rsid w:val="004928C5"/>
    <w:rsid w:val="004A04F2"/>
    <w:rsid w:val="004A1F8A"/>
    <w:rsid w:val="004A4F42"/>
    <w:rsid w:val="004B242D"/>
    <w:rsid w:val="004B68F2"/>
    <w:rsid w:val="004B7673"/>
    <w:rsid w:val="004B7ACF"/>
    <w:rsid w:val="004C1E82"/>
    <w:rsid w:val="004D5E99"/>
    <w:rsid w:val="004E06F3"/>
    <w:rsid w:val="004E49DB"/>
    <w:rsid w:val="004E577D"/>
    <w:rsid w:val="004E762E"/>
    <w:rsid w:val="004F0BB1"/>
    <w:rsid w:val="004F6401"/>
    <w:rsid w:val="004F7A5D"/>
    <w:rsid w:val="00501DF2"/>
    <w:rsid w:val="00502E2D"/>
    <w:rsid w:val="00502F15"/>
    <w:rsid w:val="00505D5A"/>
    <w:rsid w:val="00506397"/>
    <w:rsid w:val="005105E3"/>
    <w:rsid w:val="0051414D"/>
    <w:rsid w:val="0051590D"/>
    <w:rsid w:val="0051623E"/>
    <w:rsid w:val="00527974"/>
    <w:rsid w:val="00534DB0"/>
    <w:rsid w:val="0053501E"/>
    <w:rsid w:val="005366EB"/>
    <w:rsid w:val="00541785"/>
    <w:rsid w:val="0054258B"/>
    <w:rsid w:val="00542BA1"/>
    <w:rsid w:val="00545DB6"/>
    <w:rsid w:val="00547868"/>
    <w:rsid w:val="00552B7F"/>
    <w:rsid w:val="00553FB3"/>
    <w:rsid w:val="00554C8E"/>
    <w:rsid w:val="00563990"/>
    <w:rsid w:val="00564EF1"/>
    <w:rsid w:val="005653E4"/>
    <w:rsid w:val="00565B0A"/>
    <w:rsid w:val="005669A7"/>
    <w:rsid w:val="0057213D"/>
    <w:rsid w:val="00573FCF"/>
    <w:rsid w:val="00580454"/>
    <w:rsid w:val="00580F01"/>
    <w:rsid w:val="00583EFE"/>
    <w:rsid w:val="005907A9"/>
    <w:rsid w:val="005961CB"/>
    <w:rsid w:val="005972A5"/>
    <w:rsid w:val="005B03D4"/>
    <w:rsid w:val="005B26A5"/>
    <w:rsid w:val="005B29B5"/>
    <w:rsid w:val="005B3D23"/>
    <w:rsid w:val="005C0C84"/>
    <w:rsid w:val="005C20BA"/>
    <w:rsid w:val="005C2914"/>
    <w:rsid w:val="005C478C"/>
    <w:rsid w:val="005C5C6E"/>
    <w:rsid w:val="005C7D82"/>
    <w:rsid w:val="005D289D"/>
    <w:rsid w:val="005D7AD7"/>
    <w:rsid w:val="005F77D2"/>
    <w:rsid w:val="0060262B"/>
    <w:rsid w:val="0060569B"/>
    <w:rsid w:val="00607AFD"/>
    <w:rsid w:val="00616BBC"/>
    <w:rsid w:val="00617F97"/>
    <w:rsid w:val="006211C3"/>
    <w:rsid w:val="006308CC"/>
    <w:rsid w:val="00631344"/>
    <w:rsid w:val="0063328F"/>
    <w:rsid w:val="00634201"/>
    <w:rsid w:val="00634D61"/>
    <w:rsid w:val="00640DD6"/>
    <w:rsid w:val="0064117C"/>
    <w:rsid w:val="00654D84"/>
    <w:rsid w:val="00656E72"/>
    <w:rsid w:val="00662BE8"/>
    <w:rsid w:val="006818D7"/>
    <w:rsid w:val="00681E82"/>
    <w:rsid w:val="00692C34"/>
    <w:rsid w:val="006967F6"/>
    <w:rsid w:val="006A0318"/>
    <w:rsid w:val="006A3CC3"/>
    <w:rsid w:val="006A599E"/>
    <w:rsid w:val="006A682C"/>
    <w:rsid w:val="006B43AC"/>
    <w:rsid w:val="006B48A5"/>
    <w:rsid w:val="006B69C7"/>
    <w:rsid w:val="006C4686"/>
    <w:rsid w:val="006C7CE6"/>
    <w:rsid w:val="006D366F"/>
    <w:rsid w:val="006D5091"/>
    <w:rsid w:val="006E1C65"/>
    <w:rsid w:val="006E4F13"/>
    <w:rsid w:val="006E66B9"/>
    <w:rsid w:val="006F5050"/>
    <w:rsid w:val="00700138"/>
    <w:rsid w:val="00700918"/>
    <w:rsid w:val="00702043"/>
    <w:rsid w:val="00707D6B"/>
    <w:rsid w:val="00710639"/>
    <w:rsid w:val="00712F29"/>
    <w:rsid w:val="007144B9"/>
    <w:rsid w:val="00720773"/>
    <w:rsid w:val="00723126"/>
    <w:rsid w:val="00723578"/>
    <w:rsid w:val="00726AA1"/>
    <w:rsid w:val="0073004C"/>
    <w:rsid w:val="00731F4B"/>
    <w:rsid w:val="0073404A"/>
    <w:rsid w:val="0073631F"/>
    <w:rsid w:val="00746C97"/>
    <w:rsid w:val="00750800"/>
    <w:rsid w:val="00757CC4"/>
    <w:rsid w:val="0077128A"/>
    <w:rsid w:val="00771DA8"/>
    <w:rsid w:val="00785672"/>
    <w:rsid w:val="00793976"/>
    <w:rsid w:val="00793FFE"/>
    <w:rsid w:val="0079646A"/>
    <w:rsid w:val="007A2856"/>
    <w:rsid w:val="007A2CF2"/>
    <w:rsid w:val="007A6BB0"/>
    <w:rsid w:val="007C3733"/>
    <w:rsid w:val="007C6F78"/>
    <w:rsid w:val="007D106B"/>
    <w:rsid w:val="007E5EE2"/>
    <w:rsid w:val="007E649F"/>
    <w:rsid w:val="007F72ED"/>
    <w:rsid w:val="00803187"/>
    <w:rsid w:val="00815202"/>
    <w:rsid w:val="00817C7D"/>
    <w:rsid w:val="008355C4"/>
    <w:rsid w:val="008405D0"/>
    <w:rsid w:val="008425B7"/>
    <w:rsid w:val="00844CC8"/>
    <w:rsid w:val="00851E44"/>
    <w:rsid w:val="00852BE1"/>
    <w:rsid w:val="00855D6A"/>
    <w:rsid w:val="00856716"/>
    <w:rsid w:val="008632DC"/>
    <w:rsid w:val="00863FC4"/>
    <w:rsid w:val="00865AF3"/>
    <w:rsid w:val="0087117A"/>
    <w:rsid w:val="00877152"/>
    <w:rsid w:val="008836CF"/>
    <w:rsid w:val="0089296D"/>
    <w:rsid w:val="00895AC6"/>
    <w:rsid w:val="008A0051"/>
    <w:rsid w:val="008A02BD"/>
    <w:rsid w:val="008B0075"/>
    <w:rsid w:val="008B04C8"/>
    <w:rsid w:val="008C1646"/>
    <w:rsid w:val="008D4694"/>
    <w:rsid w:val="008E2018"/>
    <w:rsid w:val="008E70F2"/>
    <w:rsid w:val="008E7190"/>
    <w:rsid w:val="008F0B26"/>
    <w:rsid w:val="008F2E5F"/>
    <w:rsid w:val="008F643D"/>
    <w:rsid w:val="009035B1"/>
    <w:rsid w:val="00904911"/>
    <w:rsid w:val="00926D23"/>
    <w:rsid w:val="009328B8"/>
    <w:rsid w:val="00932AC8"/>
    <w:rsid w:val="00937C83"/>
    <w:rsid w:val="00940619"/>
    <w:rsid w:val="0094097F"/>
    <w:rsid w:val="00947D1A"/>
    <w:rsid w:val="00957680"/>
    <w:rsid w:val="00957AB5"/>
    <w:rsid w:val="00972593"/>
    <w:rsid w:val="00977B05"/>
    <w:rsid w:val="00980B04"/>
    <w:rsid w:val="00980C23"/>
    <w:rsid w:val="00981A44"/>
    <w:rsid w:val="009925B8"/>
    <w:rsid w:val="00994761"/>
    <w:rsid w:val="00995A82"/>
    <w:rsid w:val="00995E2C"/>
    <w:rsid w:val="009967FE"/>
    <w:rsid w:val="009A0938"/>
    <w:rsid w:val="009A2BE3"/>
    <w:rsid w:val="009A79AE"/>
    <w:rsid w:val="009B3724"/>
    <w:rsid w:val="009B5DBF"/>
    <w:rsid w:val="009B6D6F"/>
    <w:rsid w:val="009B7B8A"/>
    <w:rsid w:val="009C5986"/>
    <w:rsid w:val="009D1718"/>
    <w:rsid w:val="009D25FC"/>
    <w:rsid w:val="009D2D60"/>
    <w:rsid w:val="009E2DBD"/>
    <w:rsid w:val="009E3010"/>
    <w:rsid w:val="009E5F09"/>
    <w:rsid w:val="009E5FD4"/>
    <w:rsid w:val="00A0018F"/>
    <w:rsid w:val="00A00679"/>
    <w:rsid w:val="00A0421D"/>
    <w:rsid w:val="00A1026A"/>
    <w:rsid w:val="00A10689"/>
    <w:rsid w:val="00A17FDA"/>
    <w:rsid w:val="00A202F9"/>
    <w:rsid w:val="00A24F5E"/>
    <w:rsid w:val="00A25FF0"/>
    <w:rsid w:val="00A312F4"/>
    <w:rsid w:val="00A31A24"/>
    <w:rsid w:val="00A31A67"/>
    <w:rsid w:val="00A330F6"/>
    <w:rsid w:val="00A33662"/>
    <w:rsid w:val="00A37F84"/>
    <w:rsid w:val="00A44174"/>
    <w:rsid w:val="00A457B7"/>
    <w:rsid w:val="00A50B32"/>
    <w:rsid w:val="00A60B95"/>
    <w:rsid w:val="00A66105"/>
    <w:rsid w:val="00A661EF"/>
    <w:rsid w:val="00A66802"/>
    <w:rsid w:val="00A67BE5"/>
    <w:rsid w:val="00A70CFC"/>
    <w:rsid w:val="00A73D86"/>
    <w:rsid w:val="00A76E9C"/>
    <w:rsid w:val="00A770B8"/>
    <w:rsid w:val="00A93DF8"/>
    <w:rsid w:val="00AA3FD1"/>
    <w:rsid w:val="00AA4954"/>
    <w:rsid w:val="00AB5974"/>
    <w:rsid w:val="00AB723D"/>
    <w:rsid w:val="00AC25D1"/>
    <w:rsid w:val="00AC5532"/>
    <w:rsid w:val="00AC5FD5"/>
    <w:rsid w:val="00AD08FE"/>
    <w:rsid w:val="00AD1C08"/>
    <w:rsid w:val="00AD365F"/>
    <w:rsid w:val="00AE1574"/>
    <w:rsid w:val="00AE3058"/>
    <w:rsid w:val="00AE33C3"/>
    <w:rsid w:val="00AE3C29"/>
    <w:rsid w:val="00AE58D1"/>
    <w:rsid w:val="00AF1493"/>
    <w:rsid w:val="00AF438F"/>
    <w:rsid w:val="00B0325A"/>
    <w:rsid w:val="00B03D78"/>
    <w:rsid w:val="00B06E43"/>
    <w:rsid w:val="00B07D02"/>
    <w:rsid w:val="00B13429"/>
    <w:rsid w:val="00B17D95"/>
    <w:rsid w:val="00B20535"/>
    <w:rsid w:val="00B230F2"/>
    <w:rsid w:val="00B25B76"/>
    <w:rsid w:val="00B30954"/>
    <w:rsid w:val="00B3146A"/>
    <w:rsid w:val="00B31479"/>
    <w:rsid w:val="00B31CAD"/>
    <w:rsid w:val="00B328CE"/>
    <w:rsid w:val="00B37258"/>
    <w:rsid w:val="00B40FBD"/>
    <w:rsid w:val="00B429E1"/>
    <w:rsid w:val="00B44ADF"/>
    <w:rsid w:val="00B50272"/>
    <w:rsid w:val="00B50601"/>
    <w:rsid w:val="00B510F5"/>
    <w:rsid w:val="00B641C4"/>
    <w:rsid w:val="00B64435"/>
    <w:rsid w:val="00B6509F"/>
    <w:rsid w:val="00B671D6"/>
    <w:rsid w:val="00B67241"/>
    <w:rsid w:val="00B74807"/>
    <w:rsid w:val="00B75ECF"/>
    <w:rsid w:val="00B76C44"/>
    <w:rsid w:val="00B8658E"/>
    <w:rsid w:val="00B87606"/>
    <w:rsid w:val="00B91559"/>
    <w:rsid w:val="00B93243"/>
    <w:rsid w:val="00B97693"/>
    <w:rsid w:val="00BA5948"/>
    <w:rsid w:val="00BB1164"/>
    <w:rsid w:val="00BB15E6"/>
    <w:rsid w:val="00BC2788"/>
    <w:rsid w:val="00BC7FF6"/>
    <w:rsid w:val="00BD6980"/>
    <w:rsid w:val="00BD6FD9"/>
    <w:rsid w:val="00BD76F8"/>
    <w:rsid w:val="00BE3A7F"/>
    <w:rsid w:val="00BE4C4F"/>
    <w:rsid w:val="00BE59AE"/>
    <w:rsid w:val="00BF0BFF"/>
    <w:rsid w:val="00BF5E85"/>
    <w:rsid w:val="00BF69D2"/>
    <w:rsid w:val="00BF7A5E"/>
    <w:rsid w:val="00C03A38"/>
    <w:rsid w:val="00C06DA8"/>
    <w:rsid w:val="00C07F19"/>
    <w:rsid w:val="00C11151"/>
    <w:rsid w:val="00C11E4D"/>
    <w:rsid w:val="00C12344"/>
    <w:rsid w:val="00C13B27"/>
    <w:rsid w:val="00C15221"/>
    <w:rsid w:val="00C1674C"/>
    <w:rsid w:val="00C202C0"/>
    <w:rsid w:val="00C20E5D"/>
    <w:rsid w:val="00C333E2"/>
    <w:rsid w:val="00C342CD"/>
    <w:rsid w:val="00C3471A"/>
    <w:rsid w:val="00C35B7D"/>
    <w:rsid w:val="00C3752C"/>
    <w:rsid w:val="00C37963"/>
    <w:rsid w:val="00C4379B"/>
    <w:rsid w:val="00C44686"/>
    <w:rsid w:val="00C54345"/>
    <w:rsid w:val="00C567CF"/>
    <w:rsid w:val="00C638C7"/>
    <w:rsid w:val="00C643D3"/>
    <w:rsid w:val="00C725B2"/>
    <w:rsid w:val="00C72745"/>
    <w:rsid w:val="00C77F4D"/>
    <w:rsid w:val="00C82E51"/>
    <w:rsid w:val="00C91897"/>
    <w:rsid w:val="00C95B8A"/>
    <w:rsid w:val="00C95CEB"/>
    <w:rsid w:val="00C97CB7"/>
    <w:rsid w:val="00CA49EF"/>
    <w:rsid w:val="00CA6E87"/>
    <w:rsid w:val="00CA7B66"/>
    <w:rsid w:val="00CB4FA5"/>
    <w:rsid w:val="00CC1C42"/>
    <w:rsid w:val="00CC3E7D"/>
    <w:rsid w:val="00CD0CD6"/>
    <w:rsid w:val="00CD2EF2"/>
    <w:rsid w:val="00CD5B21"/>
    <w:rsid w:val="00CD7F70"/>
    <w:rsid w:val="00CE2C7E"/>
    <w:rsid w:val="00CE67E9"/>
    <w:rsid w:val="00CF1AC0"/>
    <w:rsid w:val="00CF3566"/>
    <w:rsid w:val="00D0405A"/>
    <w:rsid w:val="00D1230A"/>
    <w:rsid w:val="00D16ED7"/>
    <w:rsid w:val="00D26373"/>
    <w:rsid w:val="00D26C2A"/>
    <w:rsid w:val="00D27B9A"/>
    <w:rsid w:val="00D32415"/>
    <w:rsid w:val="00D32C8D"/>
    <w:rsid w:val="00D35AE4"/>
    <w:rsid w:val="00D3635B"/>
    <w:rsid w:val="00D374F6"/>
    <w:rsid w:val="00D43EC2"/>
    <w:rsid w:val="00D45FC4"/>
    <w:rsid w:val="00D552AE"/>
    <w:rsid w:val="00D60D7C"/>
    <w:rsid w:val="00D6112A"/>
    <w:rsid w:val="00D6491A"/>
    <w:rsid w:val="00D6555B"/>
    <w:rsid w:val="00D719BE"/>
    <w:rsid w:val="00D733CE"/>
    <w:rsid w:val="00D77847"/>
    <w:rsid w:val="00D82DD8"/>
    <w:rsid w:val="00D85EB8"/>
    <w:rsid w:val="00D928C2"/>
    <w:rsid w:val="00D939F7"/>
    <w:rsid w:val="00DA0BDD"/>
    <w:rsid w:val="00DA6E9F"/>
    <w:rsid w:val="00DA7001"/>
    <w:rsid w:val="00DA792B"/>
    <w:rsid w:val="00DB6234"/>
    <w:rsid w:val="00DC024E"/>
    <w:rsid w:val="00DC4CA2"/>
    <w:rsid w:val="00DC5229"/>
    <w:rsid w:val="00DD1B12"/>
    <w:rsid w:val="00DD2322"/>
    <w:rsid w:val="00DD338D"/>
    <w:rsid w:val="00DD3872"/>
    <w:rsid w:val="00DD500B"/>
    <w:rsid w:val="00DD5C84"/>
    <w:rsid w:val="00DD78A3"/>
    <w:rsid w:val="00DE7929"/>
    <w:rsid w:val="00DF1C04"/>
    <w:rsid w:val="00DF2263"/>
    <w:rsid w:val="00DF5EAE"/>
    <w:rsid w:val="00DF6154"/>
    <w:rsid w:val="00E01901"/>
    <w:rsid w:val="00E078A5"/>
    <w:rsid w:val="00E21B0A"/>
    <w:rsid w:val="00E2680D"/>
    <w:rsid w:val="00E416D3"/>
    <w:rsid w:val="00E426F1"/>
    <w:rsid w:val="00E4688A"/>
    <w:rsid w:val="00E519AB"/>
    <w:rsid w:val="00E521B9"/>
    <w:rsid w:val="00E6115A"/>
    <w:rsid w:val="00E62FB4"/>
    <w:rsid w:val="00E66064"/>
    <w:rsid w:val="00E70F02"/>
    <w:rsid w:val="00E71E91"/>
    <w:rsid w:val="00E725E3"/>
    <w:rsid w:val="00E76CF3"/>
    <w:rsid w:val="00E81D15"/>
    <w:rsid w:val="00E902F7"/>
    <w:rsid w:val="00E92E42"/>
    <w:rsid w:val="00E96A12"/>
    <w:rsid w:val="00E97139"/>
    <w:rsid w:val="00EA193A"/>
    <w:rsid w:val="00EA2D48"/>
    <w:rsid w:val="00EA37BE"/>
    <w:rsid w:val="00EB039A"/>
    <w:rsid w:val="00EB21D3"/>
    <w:rsid w:val="00EC0806"/>
    <w:rsid w:val="00EC0904"/>
    <w:rsid w:val="00EC34A8"/>
    <w:rsid w:val="00EC5413"/>
    <w:rsid w:val="00EC580D"/>
    <w:rsid w:val="00ED01C2"/>
    <w:rsid w:val="00ED21DD"/>
    <w:rsid w:val="00ED2486"/>
    <w:rsid w:val="00ED2770"/>
    <w:rsid w:val="00ED2FC9"/>
    <w:rsid w:val="00ED2FFC"/>
    <w:rsid w:val="00ED5308"/>
    <w:rsid w:val="00EE00FD"/>
    <w:rsid w:val="00EF4948"/>
    <w:rsid w:val="00EF55F3"/>
    <w:rsid w:val="00EF605D"/>
    <w:rsid w:val="00F044D8"/>
    <w:rsid w:val="00F13D62"/>
    <w:rsid w:val="00F13EB3"/>
    <w:rsid w:val="00F20C04"/>
    <w:rsid w:val="00F2203D"/>
    <w:rsid w:val="00F25E7B"/>
    <w:rsid w:val="00F31093"/>
    <w:rsid w:val="00F333CF"/>
    <w:rsid w:val="00F3352C"/>
    <w:rsid w:val="00F34891"/>
    <w:rsid w:val="00F367C0"/>
    <w:rsid w:val="00F434CD"/>
    <w:rsid w:val="00F46C80"/>
    <w:rsid w:val="00F62E51"/>
    <w:rsid w:val="00F66708"/>
    <w:rsid w:val="00F741A7"/>
    <w:rsid w:val="00F752BF"/>
    <w:rsid w:val="00F80E83"/>
    <w:rsid w:val="00F8226D"/>
    <w:rsid w:val="00F945E2"/>
    <w:rsid w:val="00F946FD"/>
    <w:rsid w:val="00FB0D9F"/>
    <w:rsid w:val="00FB4A13"/>
    <w:rsid w:val="00FB69A2"/>
    <w:rsid w:val="00FC223C"/>
    <w:rsid w:val="00FC28DE"/>
    <w:rsid w:val="00FC6D66"/>
    <w:rsid w:val="00FC7172"/>
    <w:rsid w:val="00FC7395"/>
    <w:rsid w:val="00FD1F58"/>
    <w:rsid w:val="00FD79C6"/>
    <w:rsid w:val="00FE1798"/>
    <w:rsid w:val="00FF5CAB"/>
    <w:rsid w:val="00FF6720"/>
    <w:rsid w:val="00FF68F1"/>
    <w:rsid w:val="01224305"/>
    <w:rsid w:val="02B78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25D46"/>
  <w15:chartTrackingRefBased/>
  <w15:docId w15:val="{9DE169F8-B100-4FE1-AE07-F75ED5C4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AC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F1AC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1AC0"/>
    <w:rPr>
      <w:rFonts w:ascii="Times New Roman" w:eastAsia="Times New Roman" w:hAnsi="Times New Roman" w:cs="Times New Roman"/>
      <w:b/>
      <w:bCs/>
      <w:sz w:val="24"/>
      <w:szCs w:val="24"/>
    </w:rPr>
  </w:style>
  <w:style w:type="paragraph" w:styleId="Header">
    <w:name w:val="header"/>
    <w:basedOn w:val="Normal"/>
    <w:link w:val="HeaderChar"/>
    <w:uiPriority w:val="99"/>
    <w:rsid w:val="00CF1AC0"/>
    <w:pPr>
      <w:tabs>
        <w:tab w:val="center" w:pos="4320"/>
        <w:tab w:val="right" w:pos="8640"/>
      </w:tabs>
    </w:pPr>
  </w:style>
  <w:style w:type="character" w:customStyle="1" w:styleId="HeaderChar">
    <w:name w:val="Header Char"/>
    <w:basedOn w:val="DefaultParagraphFont"/>
    <w:link w:val="Header"/>
    <w:uiPriority w:val="99"/>
    <w:rsid w:val="00CF1A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1AC0"/>
    <w:pPr>
      <w:tabs>
        <w:tab w:val="center" w:pos="4680"/>
        <w:tab w:val="right" w:pos="9360"/>
      </w:tabs>
    </w:pPr>
  </w:style>
  <w:style w:type="character" w:customStyle="1" w:styleId="FooterChar">
    <w:name w:val="Footer Char"/>
    <w:basedOn w:val="DefaultParagraphFont"/>
    <w:link w:val="Footer"/>
    <w:uiPriority w:val="99"/>
    <w:rsid w:val="00CF1AC0"/>
    <w:rPr>
      <w:rFonts w:ascii="Times New Roman" w:eastAsia="Times New Roman" w:hAnsi="Times New Roman" w:cs="Times New Roman"/>
      <w:sz w:val="24"/>
      <w:szCs w:val="24"/>
    </w:rPr>
  </w:style>
  <w:style w:type="paragraph" w:customStyle="1" w:styleId="Quick1">
    <w:name w:val="Quick 1."/>
    <w:basedOn w:val="Normal"/>
    <w:rsid w:val="00F752BF"/>
    <w:pPr>
      <w:widowControl w:val="0"/>
      <w:numPr>
        <w:numId w:val="2"/>
      </w:numPr>
      <w:autoSpaceDE w:val="0"/>
      <w:autoSpaceDN w:val="0"/>
      <w:adjustRightInd w:val="0"/>
      <w:ind w:left="720" w:hanging="720"/>
    </w:pPr>
    <w:rPr>
      <w:rFonts w:ascii="Courier" w:hAnsi="Courier"/>
    </w:rPr>
  </w:style>
  <w:style w:type="paragraph" w:styleId="FootnoteText">
    <w:name w:val="footnote text"/>
    <w:basedOn w:val="Normal"/>
    <w:link w:val="FootnoteTextChar"/>
    <w:uiPriority w:val="99"/>
    <w:unhideWhenUsed/>
    <w:rsid w:val="0073404A"/>
    <w:rPr>
      <w:sz w:val="20"/>
      <w:szCs w:val="20"/>
    </w:rPr>
  </w:style>
  <w:style w:type="character" w:customStyle="1" w:styleId="FootnoteTextChar">
    <w:name w:val="Footnote Text Char"/>
    <w:basedOn w:val="DefaultParagraphFont"/>
    <w:link w:val="FootnoteText"/>
    <w:uiPriority w:val="99"/>
    <w:rsid w:val="0073404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qFormat/>
    <w:rsid w:val="0073404A"/>
    <w:rPr>
      <w:rFonts w:cs="Times New Roman"/>
      <w:vertAlign w:val="superscript"/>
    </w:rPr>
  </w:style>
  <w:style w:type="paragraph" w:styleId="BodyTextIndent">
    <w:name w:val="Body Text Indent"/>
    <w:basedOn w:val="Normal"/>
    <w:link w:val="BodyTextIndentChar"/>
    <w:rsid w:val="00133A24"/>
    <w:pPr>
      <w:widowControl w:val="0"/>
      <w:autoSpaceDE w:val="0"/>
      <w:autoSpaceDN w:val="0"/>
      <w:adjustRightInd w:val="0"/>
      <w:ind w:firstLine="720"/>
    </w:pPr>
  </w:style>
  <w:style w:type="character" w:customStyle="1" w:styleId="BodyTextIndentChar">
    <w:name w:val="Body Text Indent Char"/>
    <w:basedOn w:val="DefaultParagraphFont"/>
    <w:link w:val="BodyTextIndent"/>
    <w:rsid w:val="00133A24"/>
    <w:rPr>
      <w:rFonts w:ascii="Times New Roman" w:eastAsia="Times New Roman" w:hAnsi="Times New Roman" w:cs="Times New Roman"/>
      <w:sz w:val="24"/>
      <w:szCs w:val="24"/>
    </w:rPr>
  </w:style>
  <w:style w:type="paragraph" w:styleId="NormalWeb">
    <w:name w:val="Normal (Web)"/>
    <w:basedOn w:val="Normal"/>
    <w:uiPriority w:val="99"/>
    <w:semiHidden/>
    <w:unhideWhenUsed/>
    <w:rsid w:val="00B31CAD"/>
  </w:style>
  <w:style w:type="paragraph" w:styleId="BalloonText">
    <w:name w:val="Balloon Text"/>
    <w:basedOn w:val="Normal"/>
    <w:link w:val="BalloonTextChar"/>
    <w:uiPriority w:val="99"/>
    <w:semiHidden/>
    <w:unhideWhenUsed/>
    <w:rsid w:val="00D374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4F6"/>
    <w:rPr>
      <w:rFonts w:ascii="Segoe UI" w:eastAsia="Times New Roman" w:hAnsi="Segoe UI" w:cs="Segoe UI"/>
      <w:sz w:val="18"/>
      <w:szCs w:val="18"/>
    </w:rPr>
  </w:style>
  <w:style w:type="character" w:styleId="CommentReference">
    <w:name w:val="annotation reference"/>
    <w:basedOn w:val="DefaultParagraphFont"/>
    <w:uiPriority w:val="99"/>
    <w:unhideWhenUsed/>
    <w:rsid w:val="00501DF2"/>
    <w:rPr>
      <w:sz w:val="16"/>
      <w:szCs w:val="16"/>
    </w:rPr>
  </w:style>
  <w:style w:type="paragraph" w:styleId="CommentText">
    <w:name w:val="annotation text"/>
    <w:basedOn w:val="Normal"/>
    <w:link w:val="CommentTextChar"/>
    <w:uiPriority w:val="99"/>
    <w:unhideWhenUsed/>
    <w:rsid w:val="00501DF2"/>
    <w:rPr>
      <w:sz w:val="20"/>
      <w:szCs w:val="20"/>
    </w:rPr>
  </w:style>
  <w:style w:type="character" w:customStyle="1" w:styleId="CommentTextChar">
    <w:name w:val="Comment Text Char"/>
    <w:basedOn w:val="DefaultParagraphFont"/>
    <w:link w:val="CommentText"/>
    <w:uiPriority w:val="99"/>
    <w:rsid w:val="00501D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1DF2"/>
    <w:rPr>
      <w:b/>
      <w:bCs/>
    </w:rPr>
  </w:style>
  <w:style w:type="character" w:customStyle="1" w:styleId="CommentSubjectChar">
    <w:name w:val="Comment Subject Char"/>
    <w:basedOn w:val="CommentTextChar"/>
    <w:link w:val="CommentSubject"/>
    <w:uiPriority w:val="99"/>
    <w:semiHidden/>
    <w:rsid w:val="00501DF2"/>
    <w:rPr>
      <w:rFonts w:ascii="Times New Roman" w:eastAsia="Times New Roman" w:hAnsi="Times New Roman" w:cs="Times New Roman"/>
      <w:b/>
      <w:bCs/>
      <w:sz w:val="20"/>
      <w:szCs w:val="20"/>
    </w:rPr>
  </w:style>
  <w:style w:type="character" w:styleId="Hyperlink">
    <w:name w:val="Hyperlink"/>
    <w:basedOn w:val="DefaultParagraphFont"/>
    <w:uiPriority w:val="99"/>
    <w:rsid w:val="00237776"/>
    <w:rPr>
      <w:rFonts w:cs="Times New Roman"/>
      <w:color w:val="0768A9"/>
      <w:u w:val="single"/>
    </w:rPr>
  </w:style>
  <w:style w:type="paragraph" w:styleId="ListParagraph">
    <w:name w:val="List Paragraph"/>
    <w:basedOn w:val="Normal"/>
    <w:uiPriority w:val="34"/>
    <w:qFormat/>
    <w:rsid w:val="00DD1B12"/>
    <w:pPr>
      <w:widowControl w:val="0"/>
      <w:autoSpaceDE w:val="0"/>
      <w:autoSpaceDN w:val="0"/>
      <w:adjustRightInd w:val="0"/>
      <w:ind w:left="720"/>
      <w:contextualSpacing/>
    </w:pPr>
  </w:style>
  <w:style w:type="paragraph" w:styleId="Revision">
    <w:name w:val="Revision"/>
    <w:hidden/>
    <w:uiPriority w:val="99"/>
    <w:semiHidden/>
    <w:rsid w:val="00863FC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17224">
      <w:bodyDiv w:val="1"/>
      <w:marLeft w:val="0"/>
      <w:marRight w:val="0"/>
      <w:marTop w:val="0"/>
      <w:marBottom w:val="0"/>
      <w:divBdr>
        <w:top w:val="none" w:sz="0" w:space="0" w:color="auto"/>
        <w:left w:val="none" w:sz="0" w:space="0" w:color="auto"/>
        <w:bottom w:val="none" w:sz="0" w:space="0" w:color="auto"/>
        <w:right w:val="none" w:sz="0" w:space="0" w:color="auto"/>
      </w:divBdr>
    </w:div>
    <w:div w:id="835268621">
      <w:bodyDiv w:val="1"/>
      <w:marLeft w:val="0"/>
      <w:marRight w:val="0"/>
      <w:marTop w:val="0"/>
      <w:marBottom w:val="0"/>
      <w:divBdr>
        <w:top w:val="none" w:sz="0" w:space="0" w:color="auto"/>
        <w:left w:val="none" w:sz="0" w:space="0" w:color="auto"/>
        <w:bottom w:val="none" w:sz="0" w:space="0" w:color="auto"/>
        <w:right w:val="none" w:sz="0" w:space="0" w:color="auto"/>
      </w:divBdr>
    </w:div>
    <w:div w:id="1157576810">
      <w:bodyDiv w:val="1"/>
      <w:marLeft w:val="0"/>
      <w:marRight w:val="0"/>
      <w:marTop w:val="0"/>
      <w:marBottom w:val="0"/>
      <w:divBdr>
        <w:top w:val="none" w:sz="0" w:space="0" w:color="auto"/>
        <w:left w:val="none" w:sz="0" w:space="0" w:color="auto"/>
        <w:bottom w:val="none" w:sz="0" w:space="0" w:color="auto"/>
        <w:right w:val="none" w:sz="0" w:space="0" w:color="auto"/>
      </w:divBdr>
    </w:div>
    <w:div w:id="1682849813">
      <w:bodyDiv w:val="1"/>
      <w:marLeft w:val="0"/>
      <w:marRight w:val="0"/>
      <w:marTop w:val="0"/>
      <w:marBottom w:val="0"/>
      <w:divBdr>
        <w:top w:val="none" w:sz="0" w:space="0" w:color="auto"/>
        <w:left w:val="none" w:sz="0" w:space="0" w:color="auto"/>
        <w:bottom w:val="none" w:sz="0" w:space="0" w:color="auto"/>
        <w:right w:val="none" w:sz="0" w:space="0" w:color="auto"/>
      </w:divBdr>
    </w:div>
    <w:div w:id="1713461095">
      <w:bodyDiv w:val="1"/>
      <w:marLeft w:val="0"/>
      <w:marRight w:val="0"/>
      <w:marTop w:val="0"/>
      <w:marBottom w:val="0"/>
      <w:divBdr>
        <w:top w:val="none" w:sz="0" w:space="0" w:color="auto"/>
        <w:left w:val="none" w:sz="0" w:space="0" w:color="auto"/>
        <w:bottom w:val="none" w:sz="0" w:space="0" w:color="auto"/>
        <w:right w:val="none" w:sz="0" w:space="0" w:color="auto"/>
      </w:divBdr>
    </w:div>
    <w:div w:id="210410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bsa/laws-and-regulations/rules-and-regulations/public-comments/1210-AB9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9F7F7-244F-4E2B-85E4-21F651F3DCCC}">
  <ds:schemaRefs>
    <ds:schemaRef ds:uri="http://www.w3.org/XML/1998/namespace"/>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 ds:uri="2b487234-2a61-45b0-86e3-998bf12a0e9d"/>
    <ds:schemaRef ds:uri="2a1ba486-ff2f-4459-80ac-1ab5aa17f82f"/>
    <ds:schemaRef ds:uri="http://purl.org/dc/dcmitype/"/>
  </ds:schemaRefs>
</ds:datastoreItem>
</file>

<file path=customXml/itemProps2.xml><?xml version="1.0" encoding="utf-8"?>
<ds:datastoreItem xmlns:ds="http://schemas.openxmlformats.org/officeDocument/2006/customXml" ds:itemID="{E45298CC-1191-4314-A207-976870481101}">
  <ds:schemaRefs>
    <ds:schemaRef ds:uri="http://schemas.microsoft.com/sharepoint/v3/contenttype/forms"/>
  </ds:schemaRefs>
</ds:datastoreItem>
</file>

<file path=customXml/itemProps3.xml><?xml version="1.0" encoding="utf-8"?>
<ds:datastoreItem xmlns:ds="http://schemas.openxmlformats.org/officeDocument/2006/customXml" ds:itemID="{D1635E51-38B0-4579-9BB3-2DB2D44C9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A53E1-11AD-4E70-A9AA-6709CF224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3889</Words>
  <Characters>22173</Characters>
  <Application>Microsoft Office Word</Application>
  <DocSecurity>0</DocSecurity>
  <Lines>184</Lines>
  <Paragraphs>52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COLLECTIONS OF INFORMATION EMPLOYING STATISTICAL METHODS</vt:lpstr>
      <vt:lpstr>Not applicable.  The use of statistical methods is not relevant to this collecti</vt:lpstr>
    </vt:vector>
  </TitlesOfParts>
  <Company>Department of Labor</Company>
  <LinksUpToDate>false</LinksUpToDate>
  <CharactersWithSpaces>26010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Buyniski, Brian - EBSA</dc:creator>
  <cp:keywords/>
  <dc:description/>
  <cp:lastModifiedBy>MSB</cp:lastModifiedBy>
  <cp:revision>2</cp:revision>
  <dcterms:created xsi:type="dcterms:W3CDTF">2020-12-16T17:31:00Z</dcterms:created>
  <dcterms:modified xsi:type="dcterms:W3CDTF">2020-12-16T17:31:00Z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