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5C73" w:rsidR="008A582C" w:rsidP="008A582C" w:rsidRDefault="008A582C" w14:paraId="02908929" w14:textId="4213B13D">
      <w:pPr>
        <w:jc w:val="center"/>
        <w:rPr>
          <w:b/>
          <w:bCs/>
        </w:rPr>
      </w:pPr>
      <w:bookmarkStart w:name="_GoBack" w:id="0"/>
      <w:bookmarkEnd w:id="0"/>
      <w:r w:rsidRPr="008A582C">
        <w:rPr>
          <w:b/>
          <w:bCs/>
        </w:rPr>
        <w:t>REGISTRATION REQUIREMENTS TO SERVE AS A POOLED PLAN PROVIDER TO POOLED EMPLOYER PLANS</w:t>
      </w:r>
    </w:p>
    <w:p w:rsidR="008A582C" w:rsidP="008A582C" w:rsidRDefault="008A582C" w14:paraId="7DEA93C7" w14:textId="7D9B5905">
      <w:pPr>
        <w:jc w:val="center"/>
        <w:rPr>
          <w:b/>
          <w:bCs/>
        </w:rPr>
      </w:pPr>
      <w:r w:rsidRPr="00F23471">
        <w:rPr>
          <w:b/>
          <w:bCs/>
        </w:rPr>
        <w:t>OMB</w:t>
      </w:r>
      <w:r>
        <w:rPr>
          <w:b/>
          <w:bCs/>
        </w:rPr>
        <w:t xml:space="preserve"> CONTROL NUMBER 1210-</w:t>
      </w:r>
      <w:r w:rsidR="00750931">
        <w:rPr>
          <w:b/>
          <w:bCs/>
        </w:rPr>
        <w:t>0164</w:t>
      </w:r>
    </w:p>
    <w:p w:rsidR="008A582C" w:rsidP="008A582C" w:rsidRDefault="008A582C" w14:paraId="2B3427BE" w14:textId="77777777">
      <w:pPr>
        <w:rPr>
          <w:b/>
          <w:bCs/>
        </w:rPr>
      </w:pPr>
    </w:p>
    <w:p w:rsidR="008A582C" w:rsidP="008A582C" w:rsidRDefault="008A582C" w14:paraId="73751A70" w14:textId="508AEE08">
      <w:r w:rsidRPr="00B514A6">
        <w:rPr>
          <w:b/>
          <w:bCs/>
        </w:rPr>
        <w:t xml:space="preserve">This ICR </w:t>
      </w:r>
      <w:r>
        <w:rPr>
          <w:b/>
          <w:bCs/>
        </w:rPr>
        <w:t xml:space="preserve">is </w:t>
      </w:r>
      <w:r w:rsidRPr="008A582C">
        <w:rPr>
          <w:b/>
          <w:bCs/>
        </w:rPr>
        <w:t>seeking to obtain a control number for this new information collection required by the SECURE Act.</w:t>
      </w:r>
    </w:p>
    <w:p w:rsidRPr="008823D6" w:rsidR="00AB50EA" w:rsidP="00AB50EA" w:rsidRDefault="00AB50EA" w14:paraId="40C54BE2" w14:textId="77777777"/>
    <w:p w:rsidRPr="008823D6" w:rsidR="00AB50EA" w:rsidP="00AB50EA" w:rsidRDefault="00AB50EA" w14:paraId="6BFCFD3B" w14:textId="793F94FD">
      <w:pPr>
        <w:pStyle w:val="Heading1"/>
      </w:pPr>
      <w:r w:rsidRPr="008823D6">
        <w:t>A.</w:t>
      </w:r>
      <w:r w:rsidRPr="008823D6">
        <w:tab/>
      </w:r>
      <w:r w:rsidRPr="008823D6" w:rsidR="00CC0491">
        <w:t>JUSTIFICATION</w:t>
      </w:r>
    </w:p>
    <w:p w:rsidRPr="008823D6" w:rsidR="00AB50EA" w:rsidP="00AB50EA" w:rsidRDefault="00AB50EA" w14:paraId="638BC25B" w14:textId="77777777"/>
    <w:p w:rsidRPr="00551DA9" w:rsidR="00AB50EA" w:rsidP="00AB50EA" w:rsidRDefault="00AB50EA" w14:paraId="03AC1C11" w14:textId="77777777">
      <w:pPr>
        <w:numPr>
          <w:ilvl w:val="0"/>
          <w:numId w:val="1"/>
        </w:numPr>
        <w:rPr>
          <w:b/>
          <w:iCs/>
        </w:rPr>
      </w:pPr>
      <w:r w:rsidRPr="00551DA9">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823D6" w:rsidR="00AB50EA" w:rsidP="00AB50EA" w:rsidRDefault="00AB50EA" w14:paraId="7CBD6714" w14:textId="77777777">
      <w:pPr>
        <w:ind w:left="360"/>
        <w:rPr>
          <w:i/>
          <w:iCs/>
        </w:rPr>
      </w:pPr>
    </w:p>
    <w:p w:rsidR="004E189C" w:rsidP="00B81EF4" w:rsidRDefault="002204EA" w14:paraId="09285F3B" w14:textId="5CCD7563">
      <w:pPr>
        <w:ind w:left="1080"/>
        <w:rPr>
          <w:rFonts w:eastAsiaTheme="minorEastAsia"/>
        </w:rPr>
      </w:pPr>
      <w:r>
        <w:t xml:space="preserve">The </w:t>
      </w:r>
      <w:r w:rsidRPr="00AB50EA" w:rsidR="00AB50EA">
        <w:t>Setting Every Community Up for Retirement Enhancement Act of 2019</w:t>
      </w:r>
      <w:r w:rsidR="002B612E">
        <w:rPr>
          <w:rStyle w:val="FootnoteReference"/>
        </w:rPr>
        <w:footnoteReference w:id="2"/>
      </w:r>
      <w:r w:rsidRPr="00AB50EA" w:rsidR="00AB50EA">
        <w:t xml:space="preserve"> (</w:t>
      </w:r>
      <w:r>
        <w:t xml:space="preserve">the </w:t>
      </w:r>
      <w:r w:rsidRPr="00AB50EA" w:rsidR="00AB50EA">
        <w:t xml:space="preserve">SECURE Act) </w:t>
      </w:r>
      <w:r w:rsidR="009B7CE9">
        <w:t xml:space="preserve">included amendments to the Employee Retirement Income Security Act (ERISA) </w:t>
      </w:r>
      <w:r w:rsidR="009276A8">
        <w:t xml:space="preserve">that </w:t>
      </w:r>
      <w:r w:rsidRPr="009276A8" w:rsidR="009276A8">
        <w:t>removed possible legal barriers to the broader use of multiple employer plans</w:t>
      </w:r>
      <w:r w:rsidR="003A5DE8">
        <w:t>.</w:t>
      </w:r>
      <w:r w:rsidR="00AB50EA">
        <w:t xml:space="preserve"> </w:t>
      </w:r>
      <w:r w:rsidR="00D57E6E">
        <w:t xml:space="preserve"> </w:t>
      </w:r>
      <w:r w:rsidR="009276A8">
        <w:t xml:space="preserve">Specifically, </w:t>
      </w:r>
      <w:r w:rsidRPr="112C86F8" w:rsidR="00F569E9">
        <w:rPr>
          <w:rFonts w:eastAsiaTheme="minorEastAsia"/>
        </w:rPr>
        <w:t>Section 101 of the SECURE Act amend</w:t>
      </w:r>
      <w:r w:rsidRPr="112C86F8" w:rsidR="009B7CE9">
        <w:rPr>
          <w:rFonts w:eastAsiaTheme="minorEastAsia"/>
        </w:rPr>
        <w:t xml:space="preserve">ed </w:t>
      </w:r>
      <w:r w:rsidRPr="112C86F8" w:rsidR="11A24FDE">
        <w:rPr>
          <w:rFonts w:eastAsiaTheme="minorEastAsia"/>
        </w:rPr>
        <w:t xml:space="preserve">ERISA </w:t>
      </w:r>
      <w:r w:rsidRPr="112C86F8" w:rsidR="009B7CE9">
        <w:rPr>
          <w:rFonts w:eastAsiaTheme="minorEastAsia"/>
        </w:rPr>
        <w:t>section 3(2) and add</w:t>
      </w:r>
      <w:r w:rsidRPr="112C86F8" w:rsidR="00F36826">
        <w:rPr>
          <w:rFonts w:eastAsiaTheme="minorEastAsia"/>
        </w:rPr>
        <w:t>ed new sections 3(43) and 3(44)</w:t>
      </w:r>
      <w:r w:rsidRPr="112C86F8" w:rsidR="00F569E9">
        <w:rPr>
          <w:rFonts w:eastAsiaTheme="minorEastAsia"/>
        </w:rPr>
        <w:t xml:space="preserve"> to </w:t>
      </w:r>
      <w:r w:rsidRPr="112C86F8" w:rsidR="009B7CE9">
        <w:rPr>
          <w:rFonts w:eastAsiaTheme="minorEastAsia"/>
        </w:rPr>
        <w:t>establish a new type of ERISA</w:t>
      </w:r>
      <w:r w:rsidRPr="112C86F8" w:rsidR="0A075028">
        <w:rPr>
          <w:rFonts w:eastAsiaTheme="minorEastAsia"/>
        </w:rPr>
        <w:t>-covered</w:t>
      </w:r>
      <w:r w:rsidRPr="112C86F8" w:rsidR="009B7CE9">
        <w:rPr>
          <w:rFonts w:eastAsiaTheme="minorEastAsia"/>
        </w:rPr>
        <w:t xml:space="preserve"> retirement savings plan called a “pooled employer plan.”  </w:t>
      </w:r>
      <w:r w:rsidRPr="112C86F8" w:rsidR="00F569E9">
        <w:rPr>
          <w:rFonts w:eastAsiaTheme="minorEastAsia"/>
        </w:rPr>
        <w:t xml:space="preserve">Among </w:t>
      </w:r>
      <w:r w:rsidRPr="112C86F8" w:rsidR="009B7CE9">
        <w:rPr>
          <w:rFonts w:eastAsiaTheme="minorEastAsia"/>
        </w:rPr>
        <w:t xml:space="preserve">other </w:t>
      </w:r>
      <w:r w:rsidRPr="112C86F8" w:rsidR="00F569E9">
        <w:rPr>
          <w:rFonts w:eastAsiaTheme="minorEastAsia"/>
        </w:rPr>
        <w:t xml:space="preserve">requirements, </w:t>
      </w:r>
      <w:r w:rsidRPr="112C86F8" w:rsidR="009B7CE9">
        <w:rPr>
          <w:rFonts w:eastAsiaTheme="minorEastAsia"/>
        </w:rPr>
        <w:t xml:space="preserve">pooled employer plans must be operated by a </w:t>
      </w:r>
      <w:r w:rsidRPr="112C86F8" w:rsidR="00F569E9">
        <w:rPr>
          <w:rFonts w:eastAsiaTheme="minorEastAsia"/>
        </w:rPr>
        <w:t>designate</w:t>
      </w:r>
      <w:r w:rsidRPr="112C86F8" w:rsidR="009B7CE9">
        <w:rPr>
          <w:rFonts w:eastAsiaTheme="minorEastAsia"/>
        </w:rPr>
        <w:t xml:space="preserve">d </w:t>
      </w:r>
      <w:r w:rsidRPr="112C86F8" w:rsidR="00F569E9">
        <w:rPr>
          <w:rFonts w:eastAsiaTheme="minorEastAsia"/>
        </w:rPr>
        <w:t>“pooled plan provider</w:t>
      </w:r>
      <w:r w:rsidRPr="112C86F8" w:rsidR="009B7CE9">
        <w:rPr>
          <w:rFonts w:eastAsiaTheme="minorEastAsia"/>
        </w:rPr>
        <w:t>.</w:t>
      </w:r>
      <w:r w:rsidRPr="112C86F8" w:rsidR="00F569E9">
        <w:rPr>
          <w:rFonts w:eastAsiaTheme="minorEastAsia"/>
        </w:rPr>
        <w:t>”</w:t>
      </w:r>
      <w:r w:rsidRPr="112C86F8" w:rsidR="009B7CE9">
        <w:rPr>
          <w:rFonts w:eastAsiaTheme="minorEastAsia"/>
        </w:rPr>
        <w:t xml:space="preserve"> </w:t>
      </w:r>
      <w:r w:rsidRPr="112C86F8" w:rsidR="00790184">
        <w:rPr>
          <w:rFonts w:eastAsiaTheme="minorEastAsia"/>
        </w:rPr>
        <w:t xml:space="preserve"> </w:t>
      </w:r>
      <w:r w:rsidRPr="112C86F8" w:rsidR="009B7CE9">
        <w:rPr>
          <w:rFonts w:eastAsiaTheme="minorEastAsia"/>
        </w:rPr>
        <w:t>The SECURE Act provides that pooled plan provider” can begin offering</w:t>
      </w:r>
      <w:r w:rsidR="000A27BE">
        <w:rPr>
          <w:rFonts w:eastAsiaTheme="minorEastAsia"/>
        </w:rPr>
        <w:t xml:space="preserve"> </w:t>
      </w:r>
      <w:r w:rsidRPr="112C86F8" w:rsidR="009B7CE9">
        <w:rPr>
          <w:rFonts w:eastAsiaTheme="minorEastAsia"/>
        </w:rPr>
        <w:t xml:space="preserve">pooled employer plans” on January 1, 2021, </w:t>
      </w:r>
      <w:r w:rsidR="002B612E">
        <w:rPr>
          <w:rFonts w:eastAsiaTheme="minorEastAsia"/>
        </w:rPr>
        <w:t>as long as</w:t>
      </w:r>
      <w:r w:rsidRPr="112C86F8" w:rsidR="009B7CE9">
        <w:rPr>
          <w:rFonts w:eastAsiaTheme="minorEastAsia"/>
        </w:rPr>
        <w:t xml:space="preserve"> </w:t>
      </w:r>
      <w:r w:rsidR="009276A8">
        <w:rPr>
          <w:rFonts w:eastAsiaTheme="minorEastAsia"/>
        </w:rPr>
        <w:t xml:space="preserve">pooled plan providers </w:t>
      </w:r>
      <w:r w:rsidRPr="112C86F8" w:rsidR="009B7CE9">
        <w:rPr>
          <w:rFonts w:eastAsiaTheme="minorEastAsia"/>
        </w:rPr>
        <w:t xml:space="preserve"> register with the Labor Department (the Department) and the Treasury Department (Treasury) before beginning operations as a pooled plan provider.</w:t>
      </w:r>
    </w:p>
    <w:p w:rsidR="006A2DA3" w:rsidP="00B81EF4" w:rsidRDefault="006A2DA3" w14:paraId="6CDA22BD" w14:textId="77777777">
      <w:pPr>
        <w:ind w:left="1080"/>
        <w:rPr>
          <w:rFonts w:eastAsiaTheme="minorHAnsi"/>
        </w:rPr>
      </w:pPr>
    </w:p>
    <w:p w:rsidR="004E189C" w:rsidP="004046BC" w:rsidRDefault="00EE0FDD" w14:paraId="0773915E" w14:textId="511D48B5">
      <w:pPr>
        <w:ind w:left="1080"/>
        <w:rPr>
          <w:rFonts w:eastAsiaTheme="minorHAnsi"/>
        </w:rPr>
      </w:pPr>
      <w:r w:rsidRPr="00EE0FDD">
        <w:rPr>
          <w:rFonts w:eastAsiaTheme="minorHAnsi"/>
        </w:rPr>
        <w:t xml:space="preserve">This </w:t>
      </w:r>
      <w:r w:rsidR="004470D5">
        <w:rPr>
          <w:rFonts w:eastAsiaTheme="minorHAnsi"/>
        </w:rPr>
        <w:t>final</w:t>
      </w:r>
      <w:r w:rsidRPr="00EE0FDD" w:rsidR="004470D5">
        <w:rPr>
          <w:rFonts w:eastAsiaTheme="minorHAnsi"/>
        </w:rPr>
        <w:t xml:space="preserve"> </w:t>
      </w:r>
      <w:r w:rsidRPr="00EE0FDD">
        <w:rPr>
          <w:rFonts w:eastAsiaTheme="minorHAnsi"/>
        </w:rPr>
        <w:t xml:space="preserve">rule would establish the requirements for </w:t>
      </w:r>
      <w:r w:rsidR="002B612E">
        <w:rPr>
          <w:rFonts w:eastAsiaTheme="minorHAnsi"/>
        </w:rPr>
        <w:t xml:space="preserve">entities to </w:t>
      </w:r>
      <w:r w:rsidRPr="00EE0FDD">
        <w:rPr>
          <w:rFonts w:eastAsiaTheme="minorHAnsi"/>
        </w:rPr>
        <w:t>register</w:t>
      </w:r>
      <w:r w:rsidR="0095441E">
        <w:rPr>
          <w:rFonts w:eastAsiaTheme="minorHAnsi"/>
        </w:rPr>
        <w:t xml:space="preserve"> </w:t>
      </w:r>
      <w:r w:rsidRPr="00EE0FDD">
        <w:rPr>
          <w:rFonts w:eastAsiaTheme="minorHAnsi"/>
        </w:rPr>
        <w:t xml:space="preserve">with the </w:t>
      </w:r>
      <w:r w:rsidR="00544731">
        <w:rPr>
          <w:rFonts w:eastAsiaTheme="minorHAnsi"/>
        </w:rPr>
        <w:t>Department</w:t>
      </w:r>
      <w:r w:rsidRPr="00EE0FDD">
        <w:rPr>
          <w:rFonts w:eastAsiaTheme="minorHAnsi"/>
        </w:rPr>
        <w:t xml:space="preserve"> as a pooled plan provider for pooled employer plans</w:t>
      </w:r>
      <w:r w:rsidR="009B7CE9">
        <w:rPr>
          <w:rFonts w:eastAsiaTheme="minorHAnsi"/>
        </w:rPr>
        <w:t>.</w:t>
      </w:r>
      <w:r w:rsidRPr="00EE0FDD">
        <w:rPr>
          <w:rFonts w:eastAsiaTheme="minorHAnsi"/>
        </w:rPr>
        <w:t xml:space="preserve">  The </w:t>
      </w:r>
      <w:r w:rsidR="004470D5">
        <w:rPr>
          <w:rFonts w:eastAsiaTheme="minorHAnsi"/>
        </w:rPr>
        <w:t xml:space="preserve">final </w:t>
      </w:r>
      <w:r w:rsidRPr="00EE0FDD">
        <w:rPr>
          <w:rFonts w:eastAsiaTheme="minorHAnsi"/>
        </w:rPr>
        <w:t xml:space="preserve">rule would also establish a new EBSA </w:t>
      </w:r>
      <w:r w:rsidR="000A27BE">
        <w:rPr>
          <w:rFonts w:eastAsiaTheme="minorHAnsi"/>
        </w:rPr>
        <w:t>F</w:t>
      </w:r>
      <w:r w:rsidRPr="00EE0FDD">
        <w:rPr>
          <w:rFonts w:eastAsiaTheme="minorHAnsi"/>
        </w:rPr>
        <w:t>orm</w:t>
      </w:r>
      <w:r>
        <w:rPr>
          <w:rFonts w:eastAsiaTheme="minorHAnsi"/>
        </w:rPr>
        <w:t xml:space="preserve"> </w:t>
      </w:r>
      <w:r w:rsidRPr="00EE0FDD">
        <w:rPr>
          <w:rFonts w:eastAsiaTheme="minorHAnsi"/>
        </w:rPr>
        <w:t xml:space="preserve">PR (Pooled Plan Provider Registration) as the required filing </w:t>
      </w:r>
      <w:r w:rsidR="002B612E">
        <w:rPr>
          <w:rFonts w:eastAsiaTheme="minorHAnsi"/>
        </w:rPr>
        <w:t>instrument</w:t>
      </w:r>
      <w:r w:rsidRPr="00EE0FDD">
        <w:rPr>
          <w:rFonts w:eastAsiaTheme="minorHAnsi"/>
        </w:rPr>
        <w:t xml:space="preserve"> for pooled plan provider registrations.  </w:t>
      </w:r>
      <w:r w:rsidR="000A27BE">
        <w:t xml:space="preserve">Filing the Form PR with the Department also satisfies the SECURE Act requirement to register with Treasury. </w:t>
      </w:r>
      <w:r w:rsidRPr="00EE0FDD">
        <w:rPr>
          <w:rFonts w:eastAsiaTheme="minorHAnsi"/>
        </w:rPr>
        <w:t xml:space="preserve">The </w:t>
      </w:r>
      <w:r w:rsidR="004470D5">
        <w:rPr>
          <w:rFonts w:eastAsiaTheme="minorHAnsi"/>
        </w:rPr>
        <w:t>final</w:t>
      </w:r>
      <w:r w:rsidRPr="00EE0FDD">
        <w:rPr>
          <w:rFonts w:eastAsiaTheme="minorHAnsi"/>
        </w:rPr>
        <w:t xml:space="preserve"> rule would affect persons wishing to serve as pooled plan providers, employee defined contribution pension benefit plans that are operated as pooled employer plans, employers participating in such plans, and participants and beneficiaries covered by such plans.</w:t>
      </w:r>
      <w:r>
        <w:rPr>
          <w:rFonts w:eastAsiaTheme="minorHAnsi"/>
        </w:rPr>
        <w:t xml:space="preserve"> </w:t>
      </w:r>
    </w:p>
    <w:p w:rsidR="00B56B3F" w:rsidRDefault="00B56B3F" w14:paraId="4937A185" w14:textId="77777777"/>
    <w:p w:rsidRPr="00551DA9" w:rsidR="00B56B3F" w:rsidP="00B56B3F" w:rsidRDefault="00B56B3F" w14:paraId="763C49A6" w14:textId="77777777">
      <w:pPr>
        <w:pStyle w:val="ListParagraph"/>
        <w:numPr>
          <w:ilvl w:val="0"/>
          <w:numId w:val="1"/>
        </w:numPr>
        <w:rPr>
          <w:b/>
          <w:iCs/>
        </w:rPr>
      </w:pPr>
      <w:r w:rsidRPr="00551DA9">
        <w:rPr>
          <w:b/>
          <w:iCs/>
        </w:rPr>
        <w:t>Indicate how, by whom, and for what purpose the information is to be used.  Except for a new collection, indicate the actual use the agency has made of the information received from the collection.</w:t>
      </w:r>
    </w:p>
    <w:p w:rsidR="00B56B3F" w:rsidP="00523A2E" w:rsidRDefault="00B56B3F" w14:paraId="01E25973" w14:textId="77777777">
      <w:pPr>
        <w:ind w:left="1080"/>
      </w:pPr>
    </w:p>
    <w:p w:rsidR="00E70C0A" w:rsidP="009B7CE9" w:rsidRDefault="00A72B9F" w14:paraId="25C587E1" w14:textId="4A28026F">
      <w:pPr>
        <w:ind w:left="1080"/>
      </w:pPr>
      <w:r>
        <w:t xml:space="preserve">As stated in </w:t>
      </w:r>
      <w:r w:rsidR="009B45E7">
        <w:t>Item 1.</w:t>
      </w:r>
      <w:r>
        <w:t xml:space="preserve"> above, p</w:t>
      </w:r>
      <w:r>
        <w:rPr>
          <w:rFonts w:eastAsiaTheme="minorEastAsia"/>
        </w:rPr>
        <w:t>ooled plan providers must</w:t>
      </w:r>
      <w:r w:rsidRPr="112C86F8">
        <w:rPr>
          <w:rFonts w:eastAsiaTheme="minorEastAsia"/>
        </w:rPr>
        <w:t xml:space="preserve"> register with the Department</w:t>
      </w:r>
      <w:r>
        <w:rPr>
          <w:rFonts w:eastAsiaTheme="minorEastAsia"/>
        </w:rPr>
        <w:t xml:space="preserve"> and </w:t>
      </w:r>
      <w:r w:rsidRPr="112C86F8">
        <w:rPr>
          <w:rFonts w:eastAsiaTheme="minorEastAsia"/>
        </w:rPr>
        <w:t xml:space="preserve">Treasury </w:t>
      </w:r>
      <w:r w:rsidR="00D721CE">
        <w:rPr>
          <w:rFonts w:eastAsiaTheme="minorEastAsia"/>
        </w:rPr>
        <w:t xml:space="preserve">(the Agencies) </w:t>
      </w:r>
      <w:r w:rsidRPr="112C86F8">
        <w:rPr>
          <w:rFonts w:eastAsiaTheme="minorEastAsia"/>
        </w:rPr>
        <w:t>before beginning operations as a pooled plan provider.</w:t>
      </w:r>
      <w:r>
        <w:rPr>
          <w:rFonts w:eastAsiaTheme="minorEastAsia"/>
        </w:rPr>
        <w:t xml:space="preserve"> </w:t>
      </w:r>
      <w:r>
        <w:t xml:space="preserve"> </w:t>
      </w:r>
      <w:r w:rsidR="00E70C0A">
        <w:t xml:space="preserve">The final rule provides that registering as a pool plan provider with the Department </w:t>
      </w:r>
      <w:r w:rsidR="00E70C0A">
        <w:lastRenderedPageBreak/>
        <w:t>satisfies that Secure Act’s requirement to register with Treasury. Therefore, t</w:t>
      </w:r>
      <w:r>
        <w:t>he Department is the sponsor of the information collection</w:t>
      </w:r>
      <w:r w:rsidR="00D721CE">
        <w:t>,</w:t>
      </w:r>
      <w:r>
        <w:t xml:space="preserve"> and Treasury will not </w:t>
      </w:r>
      <w:r w:rsidR="00D721CE">
        <w:t>sub</w:t>
      </w:r>
      <w:r w:rsidR="00E70C0A">
        <w:t>mit</w:t>
      </w:r>
      <w:r w:rsidR="00D721CE">
        <w:t xml:space="preserve"> an information collection request with OMB to </w:t>
      </w:r>
      <w:r>
        <w:t xml:space="preserve">receive its own OMB Control Number. </w:t>
      </w:r>
      <w:r w:rsidR="0051376F">
        <w:t xml:space="preserve">The Department </w:t>
      </w:r>
      <w:r w:rsidRPr="0051376F" w:rsidR="0051376F">
        <w:t>will share the entire contents of the Form PR, if requested by Treasury/IRS</w:t>
      </w:r>
      <w:r w:rsidR="0051376F">
        <w:t xml:space="preserve">, to allow Treasury/IRS </w:t>
      </w:r>
      <w:r w:rsidRPr="0051376F" w:rsidR="0051376F">
        <w:t xml:space="preserve">to meet </w:t>
      </w:r>
      <w:r w:rsidR="0051376F">
        <w:t xml:space="preserve">its </w:t>
      </w:r>
      <w:r w:rsidRPr="0051376F" w:rsidR="0051376F">
        <w:t xml:space="preserve">joint monitoring and oversight responsibilities discussed below.  </w:t>
      </w:r>
      <w:r w:rsidR="0051376F">
        <w:t>T</w:t>
      </w:r>
      <w:r w:rsidRPr="0051376F" w:rsidR="0051376F">
        <w:t xml:space="preserve">o eliminate redundant or duplicative registration requirements, </w:t>
      </w:r>
      <w:r w:rsidR="0051376F">
        <w:t xml:space="preserve">the Department </w:t>
      </w:r>
      <w:r w:rsidRPr="0051376F" w:rsidR="0051376F">
        <w:t xml:space="preserve">took the lead in creating the rule, form, instructions, and filing system, but coordinated with Treasury </w:t>
      </w:r>
      <w:r w:rsidR="0051376F">
        <w:t>throughout the rulemaking process.</w:t>
      </w:r>
      <w:r w:rsidDel="0051376F" w:rsidR="0051376F">
        <w:t xml:space="preserve"> </w:t>
      </w:r>
    </w:p>
    <w:p w:rsidR="00E70C0A" w:rsidP="009B7CE9" w:rsidRDefault="00E70C0A" w14:paraId="177E6C29" w14:textId="77777777">
      <w:pPr>
        <w:ind w:left="1080"/>
      </w:pPr>
    </w:p>
    <w:p w:rsidR="009B7CE9" w:rsidP="00E70C0A" w:rsidRDefault="00BF48A5" w14:paraId="638E32DE" w14:textId="2EDE6DBC">
      <w:pPr>
        <w:ind w:left="1080"/>
        <w:rPr>
          <w:rFonts w:eastAsiaTheme="minorHAnsi"/>
        </w:rPr>
      </w:pPr>
      <w:r w:rsidRPr="00BF48A5">
        <w:t xml:space="preserve">  </w:t>
      </w:r>
      <w:r w:rsidR="000A27BE">
        <w:t xml:space="preserve">In the </w:t>
      </w:r>
      <w:r w:rsidR="00D721CE">
        <w:t>Agenc</w:t>
      </w:r>
      <w:r w:rsidR="00103044">
        <w:t>ies</w:t>
      </w:r>
      <w:r w:rsidR="00802712">
        <w:t>’</w:t>
      </w:r>
      <w:r w:rsidR="000A27BE">
        <w:t xml:space="preserve"> view, the primary statutory purpose of the registration requirement is to </w:t>
      </w:r>
      <w:r w:rsidRPr="00CF6F97" w:rsidR="000A27BE">
        <w:t>provide the</w:t>
      </w:r>
      <w:r w:rsidR="00103044">
        <w:t>m</w:t>
      </w:r>
      <w:r w:rsidR="00A72B9F">
        <w:t xml:space="preserve"> </w:t>
      </w:r>
      <w:r w:rsidRPr="00CF6F97" w:rsidR="000A27BE">
        <w:t xml:space="preserve">with </w:t>
      </w:r>
      <w:r w:rsidR="000A27BE">
        <w:t xml:space="preserve">sufficient </w:t>
      </w:r>
      <w:r w:rsidRPr="00CF6F97" w:rsidR="000A27BE">
        <w:t xml:space="preserve">information </w:t>
      </w:r>
      <w:r w:rsidR="000A27BE">
        <w:t xml:space="preserve">about persons acting as pooled plan providers to engage in effective monitoring and oversight of this new type of ERISA-covered retirement plan.  </w:t>
      </w:r>
      <w:r w:rsidRPr="00EB072D" w:rsidR="009B7CE9">
        <w:rPr>
          <w:rFonts w:eastAsiaTheme="minorHAnsi"/>
        </w:rPr>
        <w:t xml:space="preserve">The registration process </w:t>
      </w:r>
      <w:r w:rsidR="000A27BE">
        <w:rPr>
          <w:rFonts w:eastAsiaTheme="minorHAnsi"/>
        </w:rPr>
        <w:t xml:space="preserve">also will help </w:t>
      </w:r>
      <w:r w:rsidR="009B7CE9">
        <w:rPr>
          <w:rFonts w:eastAsiaTheme="minorHAnsi"/>
        </w:rPr>
        <w:t xml:space="preserve">participating employers and other interested parties </w:t>
      </w:r>
      <w:r w:rsidRPr="00EB072D" w:rsidR="009B7CE9">
        <w:rPr>
          <w:rFonts w:eastAsiaTheme="minorHAnsi"/>
        </w:rPr>
        <w:t>identify pooled plan providers when they begin operating</w:t>
      </w:r>
      <w:r w:rsidR="000A27BE">
        <w:rPr>
          <w:rFonts w:eastAsiaTheme="minorHAnsi"/>
        </w:rPr>
        <w:t xml:space="preserve"> and</w:t>
      </w:r>
      <w:r w:rsidR="009B7CE9">
        <w:rPr>
          <w:rFonts w:eastAsiaTheme="minorHAnsi"/>
        </w:rPr>
        <w:t xml:space="preserve"> assist </w:t>
      </w:r>
      <w:r w:rsidR="00A5503A">
        <w:rPr>
          <w:rFonts w:eastAsiaTheme="minorHAnsi"/>
        </w:rPr>
        <w:t>participating employers in fulfilling the</w:t>
      </w:r>
      <w:r w:rsidR="000A27BE">
        <w:rPr>
          <w:rFonts w:eastAsiaTheme="minorHAnsi"/>
        </w:rPr>
        <w:t>ir</w:t>
      </w:r>
      <w:r w:rsidR="00A5503A">
        <w:rPr>
          <w:rFonts w:eastAsiaTheme="minorHAnsi"/>
        </w:rPr>
        <w:t xml:space="preserve"> fiduciary duties when selecting and monitoring pooled employer plans</w:t>
      </w:r>
      <w:r w:rsidRPr="00EB072D" w:rsidR="009B7CE9">
        <w:rPr>
          <w:rFonts w:eastAsiaTheme="minorHAnsi"/>
        </w:rPr>
        <w:t xml:space="preserve">.  </w:t>
      </w:r>
    </w:p>
    <w:p w:rsidR="00FA1EB4" w:rsidP="00523A2E" w:rsidRDefault="00FA1EB4" w14:paraId="6142614A" w14:textId="77777777">
      <w:pPr>
        <w:ind w:left="1080"/>
      </w:pPr>
    </w:p>
    <w:p w:rsidR="00B56B3F" w:rsidP="00523A2E" w:rsidRDefault="00FA1EB4" w14:paraId="4A9B4147" w14:textId="63D4CC16">
      <w:pPr>
        <w:ind w:left="1080"/>
      </w:pPr>
      <w:r w:rsidRPr="00FA1EB4">
        <w:t xml:space="preserve">The </w:t>
      </w:r>
      <w:r w:rsidR="00634E2C">
        <w:t>final rule</w:t>
      </w:r>
      <w:r w:rsidRPr="00FA1EB4">
        <w:t xml:space="preserve"> require</w:t>
      </w:r>
      <w:r w:rsidR="00634E2C">
        <w:t>s</w:t>
      </w:r>
      <w:r w:rsidRPr="00FA1EB4">
        <w:t xml:space="preserve"> an initial registration filing and supplemental filings to report changes in the information in the initial filing, information about each specific pooled employer plan at its inception, and information on specified reportable events, time-sensitive knowledge of which </w:t>
      </w:r>
      <w:r w:rsidR="00D721CE">
        <w:t xml:space="preserve">will allow the Agencies </w:t>
      </w:r>
      <w:r w:rsidRPr="00FA1EB4">
        <w:t xml:space="preserve">to carry out </w:t>
      </w:r>
      <w:r w:rsidR="00D721CE">
        <w:t xml:space="preserve">their </w:t>
      </w:r>
      <w:r w:rsidR="00E70C0A">
        <w:t xml:space="preserve">joint </w:t>
      </w:r>
      <w:r w:rsidRPr="00FA1EB4">
        <w:t xml:space="preserve">oversight </w:t>
      </w:r>
      <w:r w:rsidR="00D721CE">
        <w:t xml:space="preserve">responsibilities </w:t>
      </w:r>
      <w:r w:rsidRPr="00FA1EB4">
        <w:t xml:space="preserve">and for participating employers to be able to exercise their fiduciary duties </w:t>
      </w:r>
      <w:r w:rsidR="000A27BE">
        <w:t xml:space="preserve">to </w:t>
      </w:r>
      <w:r w:rsidRPr="00FA1EB4">
        <w:t>select and monitor</w:t>
      </w:r>
      <w:r w:rsidR="000A27BE">
        <w:t xml:space="preserve"> pooled plan providers</w:t>
      </w:r>
      <w:r w:rsidRPr="00FA1EB4">
        <w:t xml:space="preserve">.  The </w:t>
      </w:r>
      <w:r w:rsidR="00634E2C">
        <w:t>final rule</w:t>
      </w:r>
      <w:r w:rsidRPr="00FA1EB4">
        <w:t xml:space="preserve"> require</w:t>
      </w:r>
      <w:r w:rsidR="00634E2C">
        <w:t>s</w:t>
      </w:r>
      <w:r w:rsidRPr="00FA1EB4">
        <w:t xml:space="preserve"> a final filing once the </w:t>
      </w:r>
      <w:r w:rsidR="00A5503A">
        <w:t xml:space="preserve">provider’s </w:t>
      </w:r>
      <w:r w:rsidRPr="00FA1EB4">
        <w:t>last pooled employer plan has been terminated and ceased operations.</w:t>
      </w:r>
      <w:r w:rsidR="00DC16FB">
        <w:t xml:space="preserve">  </w:t>
      </w:r>
      <w:r w:rsidRPr="00DC16FB" w:rsidR="00DC16FB">
        <w:t xml:space="preserve">The Department believes that the initial registration, supplemental filing, and final filing requirements will </w:t>
      </w:r>
      <w:r w:rsidR="000A27BE">
        <w:t>provide</w:t>
      </w:r>
      <w:r w:rsidRPr="00DC16FB" w:rsidR="00DC16FB">
        <w:t xml:space="preserve"> the </w:t>
      </w:r>
      <w:r w:rsidR="00D721CE">
        <w:t xml:space="preserve">Agencies </w:t>
      </w:r>
      <w:r w:rsidR="000A27BE">
        <w:t xml:space="preserve"> with </w:t>
      </w:r>
      <w:r w:rsidRPr="00DC16FB" w:rsidR="00DC16FB">
        <w:t xml:space="preserve">timely access to </w:t>
      </w:r>
      <w:r w:rsidR="000A27BE">
        <w:t xml:space="preserve">information </w:t>
      </w:r>
      <w:r w:rsidRPr="00DC16FB" w:rsidR="00DC16FB">
        <w:t>needed</w:t>
      </w:r>
      <w:r w:rsidR="00F71633">
        <w:t xml:space="preserve"> </w:t>
      </w:r>
      <w:r w:rsidRPr="00DC16FB" w:rsidR="00DC16FB">
        <w:t xml:space="preserve">to </w:t>
      </w:r>
      <w:r w:rsidRPr="000A27BE" w:rsidR="000A27BE">
        <w:t>help them protect plan participants and beneficiaries and conduct  effective monitoring and oversight of pooled employer plans and pooled plan providers</w:t>
      </w:r>
      <w:r w:rsidR="00A07AD7">
        <w:t xml:space="preserve"> as required by the SECURE Act</w:t>
      </w:r>
      <w:r w:rsidRPr="000A27BE" w:rsidR="000A27BE">
        <w:t xml:space="preserve">. </w:t>
      </w:r>
      <w:r w:rsidR="000A27BE">
        <w:t>W</w:t>
      </w:r>
      <w:r w:rsidRPr="00A22850" w:rsidR="000A27BE">
        <w:t xml:space="preserve">ithout </w:t>
      </w:r>
      <w:r w:rsidR="000A27BE">
        <w:t xml:space="preserve">this kind of </w:t>
      </w:r>
      <w:r w:rsidRPr="00A22850" w:rsidR="000A27BE">
        <w:t xml:space="preserve">timely information, </w:t>
      </w:r>
      <w:r w:rsidR="000A27BE">
        <w:t xml:space="preserve">the </w:t>
      </w:r>
      <w:r w:rsidR="00D721CE">
        <w:t>A</w:t>
      </w:r>
      <w:r w:rsidR="000A27BE">
        <w:t xml:space="preserve">gencies would </w:t>
      </w:r>
      <w:r w:rsidRPr="00A22850" w:rsidR="000A27BE">
        <w:t xml:space="preserve">typically </w:t>
      </w:r>
      <w:r w:rsidR="000A27BE">
        <w:t xml:space="preserve">not </w:t>
      </w:r>
      <w:r w:rsidRPr="00A22850" w:rsidR="000A27BE">
        <w:t xml:space="preserve">learn </w:t>
      </w:r>
      <w:r w:rsidR="000A27BE">
        <w:t xml:space="preserve">of risks to </w:t>
      </w:r>
      <w:r w:rsidRPr="00A22850" w:rsidR="000A27BE">
        <w:t xml:space="preserve">a </w:t>
      </w:r>
      <w:r w:rsidR="000A27BE">
        <w:t xml:space="preserve">pooled employer </w:t>
      </w:r>
      <w:r w:rsidRPr="00A22850" w:rsidR="000A27BE">
        <w:t>plan</w:t>
      </w:r>
      <w:r w:rsidR="000A27BE">
        <w:t xml:space="preserve"> until the plan files a Form 5500, possibly many months after the event (assuming the information was even required to be reported on the Form 5500), and when </w:t>
      </w:r>
      <w:r w:rsidRPr="00A22850" w:rsidR="000A27BE">
        <w:t xml:space="preserve">opportunities for protecting </w:t>
      </w:r>
      <w:r w:rsidR="000A27BE">
        <w:t xml:space="preserve">plan </w:t>
      </w:r>
      <w:r w:rsidRPr="00A22850" w:rsidR="000A27BE">
        <w:t xml:space="preserve">participants </w:t>
      </w:r>
      <w:r w:rsidR="000A27BE">
        <w:t>from financial injury have been missed</w:t>
      </w:r>
      <w:r w:rsidR="003A5DE8">
        <w:t xml:space="preserve">. </w:t>
      </w:r>
      <w:r w:rsidR="00A5503A">
        <w:t xml:space="preserve"> </w:t>
      </w:r>
      <w:r w:rsidRPr="00BF48A5" w:rsidR="00BF48A5">
        <w:t xml:space="preserve">In addition, the </w:t>
      </w:r>
      <w:r w:rsidR="00A5503A">
        <w:t xml:space="preserve">registration process </w:t>
      </w:r>
      <w:r w:rsidRPr="00BF48A5" w:rsidR="00BF48A5">
        <w:t xml:space="preserve">will provide transparency regarding </w:t>
      </w:r>
      <w:r w:rsidR="00A5503A">
        <w:t xml:space="preserve">key aspects of the </w:t>
      </w:r>
      <w:r w:rsidR="000A27BE">
        <w:t xml:space="preserve">pool plan </w:t>
      </w:r>
      <w:r w:rsidRPr="00BF48A5" w:rsidR="00BF48A5">
        <w:t>provider</w:t>
      </w:r>
      <w:r w:rsidR="00A5503A">
        <w:t xml:space="preserve"> and its pooled employer plan </w:t>
      </w:r>
      <w:r w:rsidRPr="00BF48A5" w:rsidR="00BF48A5">
        <w:t>practices, allowing employers to better survey the market when choosing a pooled plan provider.</w:t>
      </w:r>
      <w:r w:rsidR="00BF48A5">
        <w:t xml:space="preserve"> </w:t>
      </w:r>
    </w:p>
    <w:p w:rsidR="00A72B9F" w:rsidP="00523A2E" w:rsidRDefault="00A72B9F" w14:paraId="11F399C4" w14:textId="2489CE92">
      <w:pPr>
        <w:ind w:left="1080"/>
      </w:pPr>
    </w:p>
    <w:p w:rsidR="00A72B9F" w:rsidP="00523A2E" w:rsidRDefault="00A72B9F" w14:paraId="55C67E25" w14:textId="2359D7CC">
      <w:pPr>
        <w:ind w:left="1080"/>
      </w:pPr>
      <w:r>
        <w:t xml:space="preserve">As discussed in Item 12, below, the Department expects </w:t>
      </w:r>
      <w:r w:rsidRPr="00651586">
        <w:t xml:space="preserve">that a number of </w:t>
      </w:r>
      <w:r>
        <w:t xml:space="preserve">financial services </w:t>
      </w:r>
      <w:r w:rsidRPr="00651586">
        <w:t>providers</w:t>
      </w:r>
      <w:r>
        <w:t>, pension plan recordkeepers, and other entities who</w:t>
      </w:r>
      <w:r w:rsidRPr="00651586">
        <w:t xml:space="preserve"> already </w:t>
      </w:r>
      <w:r>
        <w:t xml:space="preserve">are </w:t>
      </w:r>
      <w:r w:rsidRPr="00651586">
        <w:t xml:space="preserve">involved in the defined contribution retirement plan marketplace will register as </w:t>
      </w:r>
      <w:r>
        <w:t>pooled plan providers and</w:t>
      </w:r>
      <w:r w:rsidRPr="00651586">
        <w:t xml:space="preserve"> mak</w:t>
      </w:r>
      <w:r>
        <w:t>e</w:t>
      </w:r>
      <w:r w:rsidRPr="00651586">
        <w:t xml:space="preserve"> </w:t>
      </w:r>
      <w:r>
        <w:t>pooled employer plans</w:t>
      </w:r>
      <w:r w:rsidRPr="00651586">
        <w:t xml:space="preserve"> available to prospective participating employers</w:t>
      </w:r>
      <w:r>
        <w:t xml:space="preserve"> based on the requirements of this final regulation</w:t>
      </w:r>
      <w:r w:rsidRPr="00651586">
        <w:t>.</w:t>
      </w:r>
      <w:r>
        <w:t xml:space="preserve">  </w:t>
      </w:r>
      <w:r w:rsidRPr="00BF48A5" w:rsidR="00E70C0A">
        <w:t>T</w:t>
      </w:r>
      <w:r w:rsidR="00E70C0A">
        <w:t xml:space="preserve">he registrations </w:t>
      </w:r>
      <w:r w:rsidRPr="00BF48A5" w:rsidR="00E70C0A">
        <w:t>will be publicly available</w:t>
      </w:r>
      <w:r w:rsidR="00E70C0A">
        <w:t xml:space="preserve"> </w:t>
      </w:r>
      <w:r w:rsidRPr="00BF48A5" w:rsidR="00E70C0A">
        <w:t>and will provide a</w:t>
      </w:r>
      <w:r w:rsidR="00E70C0A">
        <w:t xml:space="preserve"> complete</w:t>
      </w:r>
      <w:r w:rsidRPr="00BF48A5" w:rsidR="00E70C0A">
        <w:t xml:space="preserve"> list of </w:t>
      </w:r>
      <w:r w:rsidR="00E70C0A">
        <w:t xml:space="preserve">registered </w:t>
      </w:r>
      <w:r w:rsidRPr="00BF48A5" w:rsidR="00E70C0A">
        <w:t>pooled plan providers</w:t>
      </w:r>
      <w:r w:rsidR="00E70C0A">
        <w:t>.</w:t>
      </w:r>
    </w:p>
    <w:p w:rsidR="00E511BE" w:rsidRDefault="00E511BE" w14:paraId="41242220" w14:textId="77777777"/>
    <w:p w:rsidRPr="007415FA" w:rsidR="00E511BE" w:rsidP="00E511BE" w:rsidRDefault="00E511BE" w14:paraId="223DFD98" w14:textId="77777777">
      <w:pPr>
        <w:pStyle w:val="ListParagraph"/>
        <w:numPr>
          <w:ilvl w:val="0"/>
          <w:numId w:val="1"/>
        </w:numPr>
      </w:pPr>
      <w:r w:rsidRPr="00551DA9">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511BE" w:rsidP="00E511BE" w:rsidRDefault="00E511BE" w14:paraId="3F366D23" w14:textId="77777777">
      <w:pPr>
        <w:ind w:left="360"/>
      </w:pPr>
    </w:p>
    <w:p w:rsidR="00D74C03" w:rsidP="00523A2E" w:rsidRDefault="00617A8B" w14:paraId="2605A50B" w14:textId="54032AAC">
      <w:pPr>
        <w:ind w:left="1080"/>
      </w:pPr>
      <w:r w:rsidRPr="005707D0">
        <w:rPr>
          <w:bCs/>
          <w:iCs/>
        </w:rPr>
        <w:t xml:space="preserve">Registrations </w:t>
      </w:r>
      <w:r>
        <w:rPr>
          <w:bCs/>
          <w:iCs/>
        </w:rPr>
        <w:t xml:space="preserve">to be a </w:t>
      </w:r>
      <w:r w:rsidR="00B6254D">
        <w:rPr>
          <w:bCs/>
          <w:iCs/>
        </w:rPr>
        <w:t>pooled plan provider (</w:t>
      </w:r>
      <w:r>
        <w:rPr>
          <w:bCs/>
          <w:iCs/>
        </w:rPr>
        <w:t>PPP</w:t>
      </w:r>
      <w:r w:rsidR="00B6254D">
        <w:rPr>
          <w:bCs/>
          <w:iCs/>
        </w:rPr>
        <w:t>)</w:t>
      </w:r>
      <w:r>
        <w:rPr>
          <w:bCs/>
          <w:iCs/>
        </w:rPr>
        <w:t xml:space="preserve"> </w:t>
      </w:r>
      <w:r w:rsidRPr="005707D0">
        <w:rPr>
          <w:bCs/>
          <w:iCs/>
        </w:rPr>
        <w:t>required under this</w:t>
      </w:r>
      <w:r>
        <w:rPr>
          <w:bCs/>
          <w:iCs/>
        </w:rPr>
        <w:t xml:space="preserve"> regulation</w:t>
      </w:r>
      <w:r w:rsidRPr="005707D0">
        <w:rPr>
          <w:bCs/>
          <w:iCs/>
        </w:rPr>
        <w:t xml:space="preserve"> </w:t>
      </w:r>
      <w:r w:rsidR="00A5503A">
        <w:t>must</w:t>
      </w:r>
      <w:r w:rsidRPr="005707D0">
        <w:t xml:space="preserve"> be filed with the </w:t>
      </w:r>
      <w:r w:rsidR="003A5DE8">
        <w:t>Department electronically</w:t>
      </w:r>
      <w:r w:rsidRPr="005707D0">
        <w:t xml:space="preserve"> in accordance with </w:t>
      </w:r>
      <w:r w:rsidR="00A5503A">
        <w:t xml:space="preserve">the EBSA Form PR </w:t>
      </w:r>
      <w:r w:rsidRPr="005707D0">
        <w:t>instructions</w:t>
      </w:r>
      <w:r w:rsidRPr="0044487E">
        <w:t xml:space="preserve"> </w:t>
      </w:r>
      <w:r w:rsidR="00A5503A">
        <w:t xml:space="preserve">and electronic filing procedures </w:t>
      </w:r>
      <w:r w:rsidRPr="0044487E">
        <w:t>published by the Department</w:t>
      </w:r>
      <w:r>
        <w:t xml:space="preserve">.  </w:t>
      </w:r>
      <w:r w:rsidRPr="005707D0">
        <w:t xml:space="preserve">Only one registration must be filed for each person intending to act as a pooled plan provider, regardless of the number of pooled employer plans it operates.  </w:t>
      </w:r>
      <w:r w:rsidR="00FA1EB4">
        <w:t xml:space="preserve"> </w:t>
      </w:r>
    </w:p>
    <w:p w:rsidR="00D74C03" w:rsidP="00523A2E" w:rsidRDefault="00D74C03" w14:paraId="41995BDB" w14:textId="77777777">
      <w:pPr>
        <w:ind w:left="1080"/>
      </w:pPr>
    </w:p>
    <w:p w:rsidR="00725BEC" w:rsidP="00523A2E" w:rsidRDefault="00617A8B" w14:paraId="3365B7A0" w14:textId="302051AF">
      <w:pPr>
        <w:ind w:left="1080"/>
      </w:pPr>
      <w:r w:rsidRPr="005707D0">
        <w:t xml:space="preserve">A pooled plan provider must file updates for each change described in </w:t>
      </w:r>
      <w:r w:rsidR="00011FCB">
        <w:t>paragraphs</w:t>
      </w:r>
      <w:r w:rsidRPr="005707D0">
        <w:t xml:space="preserve"> (b)(2)</w:t>
      </w:r>
      <w:r w:rsidR="00011FCB">
        <w:t xml:space="preserve"> and (3)</w:t>
      </w:r>
      <w:r>
        <w:t xml:space="preserve"> of the </w:t>
      </w:r>
      <w:r w:rsidR="007917B6">
        <w:t>final</w:t>
      </w:r>
      <w:r>
        <w:t xml:space="preserve"> regulation</w:t>
      </w:r>
      <w:r w:rsidRPr="005707D0">
        <w:t xml:space="preserve"> and may file a single update to report multi</w:t>
      </w:r>
      <w:r>
        <w:t xml:space="preserve">ple simultaneous changes, e.g., </w:t>
      </w:r>
      <w:r w:rsidRPr="005707D0">
        <w:t>beginning to operate two or more pooled employer plans, or to report a change that applies to the pooled plan provider with respect to all pooled employer plans it operates.</w:t>
      </w:r>
      <w:r>
        <w:t xml:space="preserve"> </w:t>
      </w:r>
    </w:p>
    <w:p w:rsidR="00725BEC" w:rsidP="00523A2E" w:rsidRDefault="00725BEC" w14:paraId="60425183" w14:textId="77777777">
      <w:pPr>
        <w:ind w:left="1080"/>
      </w:pPr>
    </w:p>
    <w:p w:rsidRPr="00924F66" w:rsidR="00924F66" w:rsidP="00924F66" w:rsidRDefault="00924F66" w14:paraId="6B3DE701" w14:textId="6970B4FF">
      <w:pPr>
        <w:ind w:left="1080"/>
      </w:pPr>
      <w:r>
        <w:t>Under the</w:t>
      </w:r>
      <w:r w:rsidR="00A97F32">
        <w:t xml:space="preserve"> </w:t>
      </w:r>
      <w:r w:rsidR="00E70783">
        <w:t xml:space="preserve">final </w:t>
      </w:r>
      <w:r>
        <w:t xml:space="preserve">regulation the </w:t>
      </w:r>
      <w:r w:rsidR="000A27BE">
        <w:t>pooled plan provider</w:t>
      </w:r>
      <w:r>
        <w:t xml:space="preserve"> would need to file </w:t>
      </w:r>
      <w:r w:rsidR="000A27BE">
        <w:t xml:space="preserve">Form PR </w:t>
      </w:r>
      <w:r>
        <w:t xml:space="preserve">before beginning operations </w:t>
      </w:r>
      <w:r w:rsidR="000A27BE">
        <w:t xml:space="preserve">and include the address of </w:t>
      </w:r>
      <w:r w:rsidRPr="00D43A5B" w:rsidR="000A27BE">
        <w:t xml:space="preserve">any </w:t>
      </w:r>
      <w:r w:rsidR="000A27BE">
        <w:t xml:space="preserve">public </w:t>
      </w:r>
      <w:r w:rsidRPr="00D43A5B" w:rsidR="000A27BE">
        <w:t>website</w:t>
      </w:r>
      <w:r w:rsidR="000A27BE">
        <w:t>(</w:t>
      </w:r>
      <w:r w:rsidRPr="00D43A5B" w:rsidR="000A27BE">
        <w:t>s</w:t>
      </w:r>
      <w:r w:rsidR="000A27BE">
        <w:t>)</w:t>
      </w:r>
      <w:r w:rsidRPr="00D43A5B" w:rsidR="000A27BE">
        <w:t xml:space="preserve"> </w:t>
      </w:r>
      <w:r w:rsidR="000A27BE">
        <w:t>of the pooled plan provider or affiliates used to market such person as pooled plan provider to the public</w:t>
      </w:r>
      <w:r w:rsidRPr="00D43A5B" w:rsidR="000A27BE">
        <w:t xml:space="preserve">, </w:t>
      </w:r>
      <w:r w:rsidR="000A27BE">
        <w:t xml:space="preserve">and </w:t>
      </w:r>
      <w:r w:rsidRPr="00D43A5B" w:rsidR="000A27BE">
        <w:t>the date operations are expected to commence</w:t>
      </w:r>
      <w:r w:rsidR="00C01E07">
        <w:t>.</w:t>
      </w:r>
      <w:r w:rsidR="0002502E">
        <w:t xml:space="preserve">  </w:t>
      </w:r>
      <w:r w:rsidRPr="00924F66">
        <w:t>The Department believes this information will be useful in the Department’s oversight of pooled plan providers and will also assist employers performing due diligence in selecting and monitoring pooled employer plans.  The Department also expects that most pooled plan providers will have such websites, and believes that having information on such websites provides an alternative to requiring more information to be submitted as part of the registration process.</w:t>
      </w:r>
    </w:p>
    <w:p w:rsidR="00617A8B" w:rsidP="00403E6F" w:rsidRDefault="00617A8B" w14:paraId="1EE16565" w14:textId="63BFCB83"/>
    <w:p w:rsidRPr="00551DA9" w:rsidR="00617A8B" w:rsidP="00617A8B" w:rsidRDefault="00617A8B" w14:paraId="47FBA1C4" w14:textId="77777777">
      <w:pPr>
        <w:numPr>
          <w:ilvl w:val="0"/>
          <w:numId w:val="1"/>
        </w:numPr>
        <w:rPr>
          <w:b/>
          <w:iCs/>
        </w:rPr>
      </w:pPr>
      <w:r w:rsidRPr="00551DA9">
        <w:rPr>
          <w:b/>
          <w:iCs/>
        </w:rPr>
        <w:t>Describe efforts to identify duplication.  Show specifically why similar information already available cannot be used or modified for use for the purposes described in Item 2 above.</w:t>
      </w:r>
    </w:p>
    <w:p w:rsidRPr="008823D6" w:rsidR="00617A8B" w:rsidP="00617A8B" w:rsidRDefault="00617A8B" w14:paraId="1B79C063" w14:textId="77777777">
      <w:pPr>
        <w:rPr>
          <w:i/>
          <w:iCs/>
        </w:rPr>
      </w:pPr>
    </w:p>
    <w:p w:rsidR="000E1A9D" w:rsidP="00523A2E" w:rsidRDefault="00617A8B" w14:paraId="28D643D3" w14:textId="1514B82C">
      <w:pPr>
        <w:ind w:left="1080"/>
      </w:pPr>
      <w:r w:rsidRPr="008823D6">
        <w:t>Th</w:t>
      </w:r>
      <w:r w:rsidR="008C0EF2">
        <w:t>e</w:t>
      </w:r>
      <w:r w:rsidRPr="008823D6">
        <w:t xml:space="preserve"> information </w:t>
      </w:r>
      <w:r w:rsidR="000A27BE">
        <w:t>required to be disclosed on Form PR by entities that will serve as pooled plan providers is not readily</w:t>
      </w:r>
      <w:r w:rsidRPr="008823D6">
        <w:t xml:space="preserve"> avai</w:t>
      </w:r>
      <w:r>
        <w:t>lable from any other source</w:t>
      </w:r>
      <w:r w:rsidR="00480551">
        <w:t>.  Other requested information could be in the public domain, but</w:t>
      </w:r>
      <w:r>
        <w:t xml:space="preserve"> not </w:t>
      </w:r>
      <w:r w:rsidR="00480551">
        <w:t>collected in one location</w:t>
      </w:r>
      <w:r>
        <w:t xml:space="preserve">. </w:t>
      </w:r>
      <w:r w:rsidRPr="00D43A5B" w:rsidR="000A27BE">
        <w:t xml:space="preserve">The SECURE Act </w:t>
      </w:r>
      <w:r w:rsidR="000A27BE">
        <w:t xml:space="preserve">and final rule’s </w:t>
      </w:r>
      <w:r w:rsidRPr="00D43A5B" w:rsidR="000A27BE">
        <w:t xml:space="preserve">requirement that pooled plan providers </w:t>
      </w:r>
      <w:r w:rsidR="000A27BE">
        <w:t xml:space="preserve">first </w:t>
      </w:r>
      <w:r w:rsidRPr="00D43A5B" w:rsidR="000A27BE">
        <w:t xml:space="preserve">register with the Department before beginning operations alerts regulators to the presence and intent of new entities.  Registering </w:t>
      </w:r>
      <w:r w:rsidR="000A27BE">
        <w:t xml:space="preserve">also provides </w:t>
      </w:r>
      <w:r w:rsidRPr="00D43A5B" w:rsidR="000A27BE">
        <w:t xml:space="preserve">potential pooled plan providers access to this newly created market.  </w:t>
      </w:r>
      <w:r>
        <w:t xml:space="preserve"> </w:t>
      </w:r>
    </w:p>
    <w:p w:rsidR="000E1A9D" w:rsidP="00617A8B" w:rsidRDefault="000E1A9D" w14:paraId="3EF4AF6C" w14:textId="77777777">
      <w:pPr>
        <w:ind w:left="360"/>
      </w:pPr>
    </w:p>
    <w:p w:rsidRPr="00551DA9" w:rsidR="000E1A9D" w:rsidP="000E1A9D" w:rsidRDefault="00617A8B" w14:paraId="4BFA9DCC" w14:textId="77777777">
      <w:pPr>
        <w:numPr>
          <w:ilvl w:val="0"/>
          <w:numId w:val="1"/>
        </w:numPr>
        <w:rPr>
          <w:b/>
          <w:iCs/>
        </w:rPr>
      </w:pPr>
      <w:r w:rsidRPr="00DF0C84">
        <w:t xml:space="preserve"> </w:t>
      </w:r>
      <w:r w:rsidRPr="00551DA9" w:rsidR="000E1A9D">
        <w:rPr>
          <w:b/>
          <w:iCs/>
        </w:rPr>
        <w:t>If the collection of information impacts small businesses or other small entities, describe any methods used to minimize burden.</w:t>
      </w:r>
    </w:p>
    <w:p w:rsidR="00617A8B" w:rsidP="00617A8B" w:rsidRDefault="00617A8B" w14:paraId="68847399" w14:textId="77777777">
      <w:pPr>
        <w:ind w:left="360"/>
      </w:pPr>
    </w:p>
    <w:p w:rsidR="000E1A9D" w:rsidP="00523A2E" w:rsidRDefault="00E473BD" w14:paraId="3C53A247" w14:textId="66361A03">
      <w:pPr>
        <w:ind w:left="1080"/>
      </w:pPr>
      <w:r>
        <w:t xml:space="preserve">The </w:t>
      </w:r>
      <w:r w:rsidR="007917B6">
        <w:t>final</w:t>
      </w:r>
      <w:r>
        <w:t xml:space="preserve"> regulation</w:t>
      </w:r>
      <w:r w:rsidR="002B612E">
        <w:t>’s registration</w:t>
      </w:r>
      <w:r>
        <w:t xml:space="preserve"> requirement </w:t>
      </w:r>
      <w:r w:rsidRPr="008823D6">
        <w:t>applies equally to</w:t>
      </w:r>
      <w:r>
        <w:t xml:space="preserve"> small and large pooled plan providers</w:t>
      </w:r>
      <w:r w:rsidR="002B612E">
        <w:t xml:space="preserve">; therefore, </w:t>
      </w:r>
      <w:r w:rsidRPr="008823D6">
        <w:t>the Department did not fashion any special treatment</w:t>
      </w:r>
      <w:r>
        <w:t xml:space="preserve"> for small pooled plan providers.  </w:t>
      </w:r>
      <w:r w:rsidR="00070392">
        <w:t>The i</w:t>
      </w:r>
      <w:r w:rsidR="003C3AEE">
        <w:t>nformation</w:t>
      </w:r>
      <w:r w:rsidR="00E70783">
        <w:t xml:space="preserve"> required to be submitted </w:t>
      </w:r>
      <w:r w:rsidR="00070392">
        <w:t xml:space="preserve">as part of the registration </w:t>
      </w:r>
      <w:r w:rsidR="00E70783">
        <w:t xml:space="preserve">is </w:t>
      </w:r>
      <w:r w:rsidR="00D74C03">
        <w:t>readily available in the normal course of business</w:t>
      </w:r>
      <w:r w:rsidR="00070392">
        <w:t xml:space="preserve"> and has been designed </w:t>
      </w:r>
      <w:r w:rsidR="000A27BE">
        <w:t xml:space="preserve">not </w:t>
      </w:r>
      <w:r w:rsidR="00070392">
        <w:t xml:space="preserve">to impose </w:t>
      </w:r>
      <w:r w:rsidR="000A27BE">
        <w:t xml:space="preserve">an </w:t>
      </w:r>
      <w:r w:rsidR="00070392">
        <w:t>und</w:t>
      </w:r>
      <w:r w:rsidR="000A27BE">
        <w:t>u</w:t>
      </w:r>
      <w:r w:rsidR="00070392">
        <w:t>e burden on pooled plan providers</w:t>
      </w:r>
      <w:r w:rsidR="00E70783">
        <w:t>.</w:t>
      </w:r>
      <w:r w:rsidR="003C3AEE">
        <w:t xml:space="preserve"> </w:t>
      </w:r>
    </w:p>
    <w:p w:rsidR="00E76A5A" w:rsidP="00617A8B" w:rsidRDefault="00E76A5A" w14:paraId="6F8554A2" w14:textId="77777777">
      <w:pPr>
        <w:ind w:left="360"/>
      </w:pPr>
    </w:p>
    <w:p w:rsidRPr="00551DA9" w:rsidR="00E76A5A" w:rsidP="00E76A5A" w:rsidRDefault="00E76A5A" w14:paraId="690CB8B2" w14:textId="77777777">
      <w:pPr>
        <w:numPr>
          <w:ilvl w:val="0"/>
          <w:numId w:val="1"/>
        </w:numPr>
        <w:rPr>
          <w:b/>
          <w:iCs/>
        </w:rPr>
      </w:pPr>
      <w:r w:rsidRPr="00551DA9">
        <w:rPr>
          <w:b/>
          <w:iCs/>
        </w:rPr>
        <w:t>Describe the consequence to federal program or policy activities if the collection is not conducted or is conducted less frequently, as well as any technical or legal obstacles to reducing burden.</w:t>
      </w:r>
    </w:p>
    <w:p w:rsidRPr="00E76A5A" w:rsidR="00E76A5A" w:rsidP="00E76A5A" w:rsidRDefault="00E76A5A" w14:paraId="28166998" w14:textId="77777777">
      <w:pPr>
        <w:rPr>
          <w:iCs/>
        </w:rPr>
      </w:pPr>
    </w:p>
    <w:p w:rsidR="00617A8B" w:rsidP="00523A2E" w:rsidRDefault="00E76A5A" w14:paraId="7EDDB964" w14:textId="4B914352">
      <w:pPr>
        <w:ind w:left="1080"/>
      </w:pPr>
      <w:r w:rsidRPr="008823D6">
        <w:t>Th</w:t>
      </w:r>
      <w:r w:rsidR="00070392">
        <w:t xml:space="preserve">e Secure Act requires </w:t>
      </w:r>
      <w:r w:rsidR="003A5DE8">
        <w:t xml:space="preserve">the </w:t>
      </w:r>
      <w:r w:rsidRPr="008823D6" w:rsidR="003A5DE8">
        <w:t>Department</w:t>
      </w:r>
      <w:r w:rsidRPr="008823D6">
        <w:t xml:space="preserve"> to implement this information collection.  Failure to do so would be in contravention of a</w:t>
      </w:r>
      <w:r w:rsidR="000A27BE">
        <w:t>n express</w:t>
      </w:r>
      <w:r w:rsidRPr="008823D6">
        <w:t xml:space="preserve"> statutory requirement. </w:t>
      </w:r>
      <w:r w:rsidR="00070392">
        <w:t>Moreover, f</w:t>
      </w:r>
      <w:r w:rsidRPr="008823D6">
        <w:t xml:space="preserve">ailure to conduct this information collection activity would undermine </w:t>
      </w:r>
      <w:r>
        <w:t>th</w:t>
      </w:r>
      <w:r w:rsidR="00572987">
        <w:t>e</w:t>
      </w:r>
      <w:r>
        <w:t xml:space="preserve"> important policy objective </w:t>
      </w:r>
      <w:r w:rsidR="00572987">
        <w:t>of</w:t>
      </w:r>
      <w:r>
        <w:t xml:space="preserve"> </w:t>
      </w:r>
      <w:r w:rsidR="008E21BB">
        <w:t>allow</w:t>
      </w:r>
      <w:r w:rsidR="00572987">
        <w:t>ing</w:t>
      </w:r>
      <w:r w:rsidR="008E21BB">
        <w:t xml:space="preserve"> </w:t>
      </w:r>
      <w:r w:rsidR="000A27BE">
        <w:t xml:space="preserve">multiple unrelated employers to </w:t>
      </w:r>
      <w:r w:rsidRPr="000A27BE" w:rsidR="000A27BE">
        <w:t>offer benefits to the</w:t>
      </w:r>
      <w:r w:rsidR="000A27BE">
        <w:t>ir</w:t>
      </w:r>
      <w:r w:rsidRPr="000A27BE" w:rsidR="000A27BE">
        <w:t xml:space="preserve"> employees of multiple unrelated employers without the need for any commonality among the participating employers or other genuine organizational relationship unrelated to participation in the plan.  A pooled employer plan arrangement allows most of the administrative and fiduciary responsibilities of sponsoring a retirement plan to be transferred to a “pooled plan provider.” Therefore, </w:t>
      </w:r>
      <w:r w:rsidR="000A27BE">
        <w:t>this information collection would allow</w:t>
      </w:r>
      <w:r w:rsidRPr="000A27BE" w:rsidR="000A27BE">
        <w:t xml:space="preserve"> pooled employer plan</w:t>
      </w:r>
      <w:r w:rsidR="000A27BE">
        <w:t xml:space="preserve">s to exist, which will </w:t>
      </w:r>
      <w:r w:rsidRPr="000A27BE" w:rsidR="000A27BE">
        <w:t>offer employers, especially small employers, a workplace retirement savings option with reduced burdens and costs compared to sponsoring their own separate retirement plan</w:t>
      </w:r>
      <w:r w:rsidR="000A27BE">
        <w:t>s</w:t>
      </w:r>
      <w:r w:rsidRPr="000A27BE" w:rsidR="000A27BE">
        <w:t xml:space="preserve">.  </w:t>
      </w:r>
    </w:p>
    <w:p w:rsidR="002D6175" w:rsidP="005157DD" w:rsidRDefault="002D6175" w14:paraId="70E33A34" w14:textId="42A9D1D4"/>
    <w:p w:rsidRPr="00551DA9" w:rsidR="002D6175" w:rsidP="002D6175" w:rsidRDefault="002D6175" w14:paraId="583CBF7F" w14:textId="77777777">
      <w:pPr>
        <w:numPr>
          <w:ilvl w:val="0"/>
          <w:numId w:val="1"/>
        </w:numPr>
        <w:rPr>
          <w:b/>
          <w:iCs/>
        </w:rPr>
      </w:pPr>
      <w:r w:rsidRPr="00551DA9">
        <w:rPr>
          <w:b/>
          <w:iCs/>
        </w:rPr>
        <w:t>Explain any special circumstances that would cause an information collection to be conducted in a manner:</w:t>
      </w:r>
    </w:p>
    <w:p w:rsidRPr="00551DA9" w:rsidR="002D6175" w:rsidP="002D6175" w:rsidRDefault="002D6175" w14:paraId="2D8B467A" w14:textId="77777777">
      <w:pPr>
        <w:numPr>
          <w:ilvl w:val="1"/>
          <w:numId w:val="1"/>
        </w:numPr>
        <w:rPr>
          <w:b/>
          <w:iCs/>
        </w:rPr>
      </w:pPr>
      <w:r w:rsidRPr="00551DA9">
        <w:rPr>
          <w:b/>
          <w:iCs/>
        </w:rPr>
        <w:t>Requiring respondents to report information to the agency more often than quarterly;</w:t>
      </w:r>
    </w:p>
    <w:p w:rsidRPr="00551DA9" w:rsidR="002D6175" w:rsidP="002D6175" w:rsidRDefault="002D6175" w14:paraId="531B79E8" w14:textId="77777777">
      <w:pPr>
        <w:numPr>
          <w:ilvl w:val="1"/>
          <w:numId w:val="1"/>
        </w:numPr>
        <w:rPr>
          <w:b/>
          <w:iCs/>
        </w:rPr>
      </w:pPr>
      <w:r w:rsidRPr="00551DA9">
        <w:rPr>
          <w:b/>
          <w:iCs/>
        </w:rPr>
        <w:t>Requiring respondents to prepare a written response to a collection of information in fewer than 30 days after receipt of it;</w:t>
      </w:r>
    </w:p>
    <w:p w:rsidRPr="00551DA9" w:rsidR="002D6175" w:rsidP="002D6175" w:rsidRDefault="002D6175" w14:paraId="60208CF9" w14:textId="77777777">
      <w:pPr>
        <w:numPr>
          <w:ilvl w:val="1"/>
          <w:numId w:val="1"/>
        </w:numPr>
        <w:rPr>
          <w:b/>
          <w:iCs/>
        </w:rPr>
      </w:pPr>
      <w:r w:rsidRPr="00551DA9">
        <w:rPr>
          <w:b/>
          <w:iCs/>
        </w:rPr>
        <w:t>Requiring respondents to submit more than an original and two copies of any document;</w:t>
      </w:r>
    </w:p>
    <w:p w:rsidRPr="00551DA9" w:rsidR="002D6175" w:rsidP="002D6175" w:rsidRDefault="002D6175" w14:paraId="5BCD2889" w14:textId="77777777">
      <w:pPr>
        <w:numPr>
          <w:ilvl w:val="1"/>
          <w:numId w:val="1"/>
        </w:numPr>
        <w:rPr>
          <w:b/>
          <w:iCs/>
        </w:rPr>
      </w:pPr>
      <w:r w:rsidRPr="00551DA9">
        <w:rPr>
          <w:b/>
          <w:iCs/>
        </w:rPr>
        <w:t>Requiring respondents to retain records, other than health, medical, government contract, grant-in-aid, or tax records for more than three years;</w:t>
      </w:r>
    </w:p>
    <w:p w:rsidRPr="00551DA9" w:rsidR="002D6175" w:rsidP="002D6175" w:rsidRDefault="002D6175" w14:paraId="6899082D" w14:textId="77777777">
      <w:pPr>
        <w:numPr>
          <w:ilvl w:val="1"/>
          <w:numId w:val="1"/>
        </w:numPr>
        <w:rPr>
          <w:b/>
          <w:iCs/>
        </w:rPr>
      </w:pPr>
      <w:r w:rsidRPr="00551DA9">
        <w:rPr>
          <w:b/>
          <w:iCs/>
        </w:rPr>
        <w:t>In connection with a statistical survey, that is not designed to produce valid and reliable result that can be generalized to the universe of study;</w:t>
      </w:r>
    </w:p>
    <w:p w:rsidRPr="00551DA9" w:rsidR="002D6175" w:rsidP="002D6175" w:rsidRDefault="002D6175" w14:paraId="51DBA294" w14:textId="77777777">
      <w:pPr>
        <w:numPr>
          <w:ilvl w:val="1"/>
          <w:numId w:val="1"/>
        </w:numPr>
        <w:rPr>
          <w:b/>
          <w:iCs/>
        </w:rPr>
      </w:pPr>
      <w:r w:rsidRPr="00551DA9">
        <w:rPr>
          <w:b/>
          <w:iCs/>
        </w:rPr>
        <w:t>Requiring the use of a statistical data classification that has not been reviewed and approved by OMB;</w:t>
      </w:r>
    </w:p>
    <w:p w:rsidRPr="00551DA9" w:rsidR="002D6175" w:rsidP="002D6175" w:rsidRDefault="002D6175" w14:paraId="71F8E7BF" w14:textId="77777777">
      <w:pPr>
        <w:numPr>
          <w:ilvl w:val="1"/>
          <w:numId w:val="1"/>
        </w:numPr>
        <w:rPr>
          <w:b/>
          <w:iCs/>
        </w:rPr>
      </w:pPr>
      <w:r w:rsidRPr="00551DA9">
        <w:rPr>
          <w:b/>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51DA9" w:rsidR="002D6175" w:rsidP="002D6175" w:rsidRDefault="002D6175" w14:paraId="74DF7E5F" w14:textId="77777777">
      <w:pPr>
        <w:numPr>
          <w:ilvl w:val="1"/>
          <w:numId w:val="1"/>
        </w:numPr>
        <w:rPr>
          <w:b/>
          <w:iCs/>
        </w:rPr>
      </w:pPr>
      <w:r w:rsidRPr="00551DA9">
        <w:rPr>
          <w:b/>
          <w:iCs/>
        </w:rPr>
        <w:t>Requiring respondents to submit proprietary trade secret, or other confidential information unless the agency can demonstrate that it has instituted procedures to protect the information’s confidentiality to the extent permitted by law.</w:t>
      </w:r>
    </w:p>
    <w:p w:rsidR="002D6175" w:rsidP="00E76A5A" w:rsidRDefault="002D6175" w14:paraId="3D00099C" w14:textId="77777777">
      <w:pPr>
        <w:ind w:left="360"/>
      </w:pPr>
    </w:p>
    <w:p w:rsidRPr="00EB039A" w:rsidR="003C3AEE" w:rsidP="002827EF" w:rsidRDefault="003C3AEE" w14:paraId="457D6C54" w14:textId="77777777">
      <w:pPr>
        <w:ind w:left="1080"/>
      </w:pPr>
      <w:r w:rsidRPr="00EB039A">
        <w:t>There are no special circumstances that require the collection to be conducted in a manner inconsistent with the guidelines in 5 CFR 1320.5.</w:t>
      </w:r>
    </w:p>
    <w:p w:rsidRPr="00EB039A" w:rsidR="003C3AEE" w:rsidP="003C3AEE" w:rsidRDefault="003C3AEE" w14:paraId="77B1B75E" w14:textId="77777777">
      <w:pPr>
        <w:ind w:left="720"/>
      </w:pPr>
    </w:p>
    <w:p w:rsidR="002D6175" w:rsidP="00E76A5A" w:rsidRDefault="002D6175" w14:paraId="77D47DB7" w14:textId="77777777">
      <w:pPr>
        <w:ind w:left="360"/>
      </w:pPr>
    </w:p>
    <w:p w:rsidRPr="00551DA9" w:rsidR="00601E48" w:rsidP="00601E48" w:rsidRDefault="00601E48" w14:paraId="2DE7DD54" w14:textId="77777777">
      <w:pPr>
        <w:numPr>
          <w:ilvl w:val="0"/>
          <w:numId w:val="1"/>
        </w:numPr>
        <w:rPr>
          <w:b/>
          <w:iCs/>
        </w:rPr>
      </w:pPr>
      <w:r w:rsidRPr="00551DA9">
        <w:rPr>
          <w:b/>
          <w:iCs/>
        </w:rPr>
        <w:t xml:space="preserve">If applicable, provide a copy and identify the date and page number of publication in the </w:t>
      </w:r>
      <w:r w:rsidRPr="00551DA9">
        <w:rPr>
          <w:b/>
          <w:iCs/>
          <w:u w:val="single"/>
        </w:rPr>
        <w:t xml:space="preserve">Federal Register </w:t>
      </w:r>
      <w:r w:rsidRPr="00551DA9">
        <w:rPr>
          <w:b/>
          <w:iCs/>
        </w:rPr>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551DA9" w:rsidR="00601E48" w:rsidP="00601E48" w:rsidRDefault="00601E48" w14:paraId="33229F21" w14:textId="77777777">
      <w:pPr>
        <w:ind w:left="1080"/>
        <w:rPr>
          <w:b/>
          <w:iCs/>
        </w:rPr>
      </w:pPr>
    </w:p>
    <w:p w:rsidRPr="00551DA9" w:rsidR="00601E48" w:rsidP="00601E48" w:rsidRDefault="00601E48" w14:paraId="523F96FE" w14:textId="77777777">
      <w:pPr>
        <w:ind w:left="1080"/>
        <w:rPr>
          <w:b/>
          <w:iCs/>
        </w:rPr>
      </w:pPr>
      <w:r w:rsidRPr="00551DA9">
        <w:rPr>
          <w:b/>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551DA9" w:rsidR="00601E48" w:rsidP="00601E48" w:rsidRDefault="00601E48" w14:paraId="6C907E97" w14:textId="77777777">
      <w:pPr>
        <w:ind w:left="1080"/>
        <w:rPr>
          <w:b/>
          <w:iCs/>
        </w:rPr>
      </w:pPr>
    </w:p>
    <w:p w:rsidRPr="00551DA9" w:rsidR="00601E48" w:rsidP="00601E48" w:rsidRDefault="00601E48" w14:paraId="7E554B68" w14:textId="77777777">
      <w:pPr>
        <w:ind w:left="1080"/>
        <w:rPr>
          <w:b/>
        </w:rPr>
      </w:pPr>
      <w:r w:rsidRPr="00551DA9">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1E48" w:rsidP="00601E48" w:rsidRDefault="00601E48" w14:paraId="293ACBFE" w14:textId="77777777">
      <w:pPr>
        <w:rPr>
          <w:b/>
          <w:i/>
        </w:rPr>
      </w:pPr>
    </w:p>
    <w:p w:rsidR="00DD0A71" w:rsidP="000D47C1" w:rsidRDefault="00DD0A71" w14:paraId="53CFF0C0" w14:textId="50406219">
      <w:pPr>
        <w:ind w:left="1080"/>
        <w:rPr>
          <w:iCs/>
        </w:rPr>
      </w:pPr>
      <w:r w:rsidRPr="00116257">
        <w:rPr>
          <w:bCs/>
        </w:rPr>
        <w:t xml:space="preserve">The Department published the </w:t>
      </w:r>
      <w:r>
        <w:rPr>
          <w:bCs/>
        </w:rPr>
        <w:t xml:space="preserve">required 60-day </w:t>
      </w:r>
      <w:r w:rsidRPr="00116257">
        <w:rPr>
          <w:bCs/>
        </w:rPr>
        <w:t xml:space="preserve">notice </w:t>
      </w:r>
      <w:r w:rsidRPr="006C4E0B">
        <w:rPr>
          <w:iCs/>
        </w:rPr>
        <w:t>soliciting comments on the information collection</w:t>
      </w:r>
      <w:r>
        <w:rPr>
          <w:iCs/>
        </w:rPr>
        <w:t xml:space="preserve"> </w:t>
      </w:r>
      <w:r w:rsidR="00561F8A">
        <w:rPr>
          <w:iCs/>
        </w:rPr>
        <w:t xml:space="preserve">as part of </w:t>
      </w:r>
      <w:r>
        <w:rPr>
          <w:iCs/>
        </w:rPr>
        <w:t xml:space="preserve"> the Notice of Proposed Rulemaking published in the Federal Register on </w:t>
      </w:r>
      <w:r w:rsidR="00143263">
        <w:rPr>
          <w:iCs/>
        </w:rPr>
        <w:t>September 1</w:t>
      </w:r>
      <w:r>
        <w:rPr>
          <w:iCs/>
        </w:rPr>
        <w:t>, 2020 (</w:t>
      </w:r>
      <w:r w:rsidRPr="00D711C6" w:rsidR="00D711C6">
        <w:rPr>
          <w:iCs/>
        </w:rPr>
        <w:t>85 FR 54288</w:t>
      </w:r>
      <w:r>
        <w:rPr>
          <w:iCs/>
        </w:rPr>
        <w:t xml:space="preserve">).  In response, </w:t>
      </w:r>
      <w:r w:rsidRPr="00B15720">
        <w:rPr>
          <w:color w:val="000000" w:themeColor="text1"/>
        </w:rPr>
        <w:t xml:space="preserve">the Department received </w:t>
      </w:r>
      <w:r w:rsidR="00F2600E">
        <w:rPr>
          <w:color w:val="000000" w:themeColor="text1"/>
        </w:rPr>
        <w:t>20</w:t>
      </w:r>
      <w:r w:rsidRPr="00B15720">
        <w:rPr>
          <w:color w:val="000000" w:themeColor="text1"/>
        </w:rPr>
        <w:t xml:space="preserve"> written comments submitted during the open comment period from a variety of parties, </w:t>
      </w:r>
      <w:r w:rsidR="007E26B1">
        <w:rPr>
          <w:color w:val="000000" w:themeColor="text1"/>
        </w:rPr>
        <w:t>including</w:t>
      </w:r>
      <w:r w:rsidRPr="00B15720">
        <w:rPr>
          <w:color w:val="000000" w:themeColor="text1"/>
        </w:rPr>
        <w:t xml:space="preserve"> plan service and investment providers.</w:t>
      </w:r>
      <w:r>
        <w:rPr>
          <w:iCs/>
        </w:rPr>
        <w:t xml:space="preserve"> </w:t>
      </w:r>
      <w:r w:rsidR="00D923A1">
        <w:rPr>
          <w:iCs/>
        </w:rPr>
        <w:t xml:space="preserve"> </w:t>
      </w:r>
      <w:r w:rsidR="00872B6A">
        <w:rPr>
          <w:iCs/>
        </w:rPr>
        <w:t xml:space="preserve">Comments are available at </w:t>
      </w:r>
      <w:hyperlink w:history="1" r:id="rId11">
        <w:r w:rsidRPr="00511535" w:rsidR="00872B6A">
          <w:rPr>
            <w:rStyle w:val="Hyperlink"/>
            <w:iCs/>
          </w:rPr>
          <w:t>https://www.dol.gov/agencies/ebsa/laws-and-regulations/rules-and-regulations/public-comments/1210-AB94</w:t>
        </w:r>
      </w:hyperlink>
      <w:r w:rsidR="00872B6A">
        <w:rPr>
          <w:iCs/>
        </w:rPr>
        <w:t xml:space="preserve">. </w:t>
      </w:r>
      <w:r>
        <w:rPr>
          <w:iCs/>
        </w:rPr>
        <w:t xml:space="preserve"> </w:t>
      </w:r>
      <w:r w:rsidRPr="00366869">
        <w:rPr>
          <w:iCs/>
        </w:rPr>
        <w:t xml:space="preserve">Responses to all comments are </w:t>
      </w:r>
      <w:r>
        <w:rPr>
          <w:iCs/>
        </w:rPr>
        <w:t xml:space="preserve">discussed in </w:t>
      </w:r>
      <w:r w:rsidRPr="00366869">
        <w:rPr>
          <w:iCs/>
        </w:rPr>
        <w:t>the preamble of the final rule</w:t>
      </w:r>
      <w:r>
        <w:rPr>
          <w:iCs/>
        </w:rPr>
        <w:t xml:space="preserve">.  </w:t>
      </w:r>
    </w:p>
    <w:p w:rsidR="000D47C1" w:rsidP="000D47C1" w:rsidRDefault="000D47C1" w14:paraId="5984CA65" w14:textId="080C8357">
      <w:pPr>
        <w:ind w:left="1080"/>
        <w:rPr>
          <w:iCs/>
        </w:rPr>
      </w:pPr>
    </w:p>
    <w:p w:rsidR="00550847" w:rsidP="00551DA9" w:rsidRDefault="000D47C1" w14:paraId="59800F20" w14:textId="510028BB">
      <w:pPr>
        <w:ind w:left="1080"/>
        <w:rPr>
          <w:color w:val="000000"/>
        </w:rPr>
      </w:pPr>
      <w:r w:rsidRPr="000D47C1">
        <w:rPr>
          <w:color w:val="000000"/>
        </w:rPr>
        <w:t xml:space="preserve">The Department did not receive comments that specifically addressed the paperwork burden </w:t>
      </w:r>
      <w:r w:rsidR="003E69C9">
        <w:rPr>
          <w:color w:val="000000"/>
        </w:rPr>
        <w:t>estimates</w:t>
      </w:r>
      <w:r w:rsidRPr="000D47C1">
        <w:rPr>
          <w:color w:val="000000"/>
        </w:rPr>
        <w:t xml:space="preserve"> of the information collection requirement</w:t>
      </w:r>
      <w:r w:rsidR="00550847">
        <w:rPr>
          <w:color w:val="000000"/>
        </w:rPr>
        <w:t>s</w:t>
      </w:r>
      <w:r w:rsidRPr="000D47C1">
        <w:rPr>
          <w:color w:val="000000"/>
        </w:rPr>
        <w:t xml:space="preserve"> contained in the proposed rule</w:t>
      </w:r>
      <w:r w:rsidR="003E69C9">
        <w:rPr>
          <w:color w:val="000000"/>
        </w:rPr>
        <w:t>.</w:t>
      </w:r>
      <w:r w:rsidR="00CC18BC">
        <w:rPr>
          <w:color w:val="000000"/>
        </w:rPr>
        <w:t xml:space="preserve"> </w:t>
      </w:r>
      <w:r w:rsidR="001C6D9D">
        <w:rPr>
          <w:color w:val="000000"/>
        </w:rPr>
        <w:t xml:space="preserve"> </w:t>
      </w:r>
      <w:r w:rsidR="00CC18BC">
        <w:rPr>
          <w:color w:val="000000"/>
        </w:rPr>
        <w:t>Commenters</w:t>
      </w:r>
      <w:r w:rsidR="00070392">
        <w:rPr>
          <w:color w:val="000000"/>
        </w:rPr>
        <w:t>, however,</w:t>
      </w:r>
      <w:r w:rsidR="00CC18BC">
        <w:rPr>
          <w:color w:val="000000"/>
        </w:rPr>
        <w:t xml:space="preserve"> did discuss the burden in general.</w:t>
      </w:r>
    </w:p>
    <w:p w:rsidR="00550847" w:rsidP="00551DA9" w:rsidRDefault="00550847" w14:paraId="11A71344" w14:textId="77777777">
      <w:pPr>
        <w:ind w:left="1080"/>
      </w:pPr>
    </w:p>
    <w:p w:rsidRPr="00551DA9" w:rsidR="003E69C9" w:rsidP="00551DA9" w:rsidRDefault="003E69C9" w14:paraId="692F9E79" w14:textId="1ED08D83">
      <w:pPr>
        <w:ind w:left="1080"/>
        <w:rPr>
          <w:color w:val="000000"/>
        </w:rPr>
      </w:pPr>
      <w:r>
        <w:t xml:space="preserve">Some commenters were concerned that the information required </w:t>
      </w:r>
      <w:r w:rsidR="000A27BE">
        <w:t>to be collected on Form PR</w:t>
      </w:r>
      <w:r>
        <w:t xml:space="preserve"> would expose pooled plan providers to litigation risk and a heightened degree of regulatory scrutiny.  Some commenters also were concerned that disclosing ongoing criminal, civil, or administrative proceedings </w:t>
      </w:r>
      <w:r w:rsidR="003A5DE8">
        <w:t>against pooled</w:t>
      </w:r>
      <w:r>
        <w:t xml:space="preserve"> plan providers would deter employers from engaging with pooled plan providers.  While the Department acknowledges these concerns, the Department believes that the registration and supplemental filing requirements will provide the Department, other agencies, and potential or participating employers information (including transparency regarding fraud, dishonesty, and mismanagement of plan assets) they need to discharge their legal obligations under the law.  </w:t>
      </w:r>
    </w:p>
    <w:p w:rsidR="003E69C9" w:rsidP="00551DA9" w:rsidRDefault="003E69C9" w14:paraId="6E6CBF6B" w14:textId="77777777">
      <w:pPr>
        <w:keepNext/>
        <w:spacing w:before="100" w:beforeAutospacing="1" w:after="100" w:afterAutospacing="1"/>
        <w:ind w:left="1080"/>
      </w:pPr>
      <w:r>
        <w:t>Some commenters suggested that the final rule’s reporting requirements would be burdensome and duplicative of other ERISA-required reporting requirements.  One commenter asserted that the pooled plan provider should not be required to report any information other than the pooled plan provider’s basic contact and identifying information.  While the Department acknowledges these concerns,</w:t>
      </w:r>
      <w:r>
        <w:rPr>
          <w:rFonts w:ascii="Calibri" w:hAnsi="Calibri" w:cs="Calibri"/>
          <w:color w:val="1F497D"/>
        </w:rPr>
        <w:t xml:space="preserve"> </w:t>
      </w:r>
      <w:r>
        <w:t>the Form 5500 data generally is not available for 18 months after a plan starts operation.  Therefore, the Form PR will provide the Department with more immediate access to pooled plan provider information.  This will allow the Department to monitor pooled plan providers and assess the need for further guidance, which will help protect the interests of plan participants and beneficiaries.  In addition, changes to the proposed rule have been made to address overbreadth and redundancy concerns.</w:t>
      </w:r>
    </w:p>
    <w:p w:rsidR="00DE0E9D" w:rsidP="00854011" w:rsidRDefault="003E69C9" w14:paraId="47490FB9" w14:textId="2993DDD1">
      <w:pPr>
        <w:keepNext/>
        <w:spacing w:before="100" w:beforeAutospacing="1" w:after="100" w:afterAutospacing="1"/>
        <w:ind w:left="1080"/>
      </w:pPr>
      <w:r>
        <w:t xml:space="preserve">Another commenter suggested that disclosing the pooled plan provider’s compliance officer would be burdensome, positing that the Department was effectively requiring pooled plan providers to create a compliance officer role.  The Department has now clarified that this is not the case.  The final rule simply requires an identification of, and basic contact information for, the person, unit, or element designated by the pooled plan provider as the point-person responsible for fielding and addressing questions about the pooled plan provider’s status under ERISA and the Code.  Put differently, this provision requires nothing more than for the company to identify whom it wishes to receive and address status and compliance-oriented questions.  The Department has tailored this provision as narrowly as possible to advance its intended objective without requiring any changes in business practices.  Thus, the Department does not expect that pooled plan providers will incur costs to hire additional employees to serve as responsible compliance officials.  </w:t>
      </w:r>
    </w:p>
    <w:p w:rsidRPr="008823D6" w:rsidR="009612B9" w:rsidP="009612B9" w:rsidRDefault="009612B9" w14:paraId="58ED1614" w14:textId="77777777">
      <w:pPr>
        <w:pStyle w:val="BodyTextIndent"/>
        <w:widowControl/>
        <w:numPr>
          <w:ilvl w:val="0"/>
          <w:numId w:val="1"/>
        </w:numPr>
        <w:tabs>
          <w:tab w:val="clear" w:pos="-1440"/>
        </w:tabs>
        <w:autoSpaceDE/>
        <w:autoSpaceDN/>
        <w:adjustRightInd/>
        <w:rPr>
          <w:b/>
        </w:rPr>
      </w:pPr>
      <w:r w:rsidRPr="008823D6">
        <w:rPr>
          <w:b/>
        </w:rPr>
        <w:t>Explain any decision to provide any payment or gift to respondents, other than remuneration of contractors or grantees.</w:t>
      </w:r>
    </w:p>
    <w:p w:rsidR="00DE0E9D" w:rsidP="003C13B7" w:rsidRDefault="00DE0E9D" w14:paraId="1A74F05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Pr="009612B9" w:rsidR="009612B9" w:rsidP="00B92C34" w:rsidRDefault="009612B9" w14:paraId="1335ACE7" w14:textId="77777777">
      <w:pPr>
        <w:autoSpaceDE w:val="0"/>
        <w:autoSpaceDN w:val="0"/>
        <w:adjustRightInd w:val="0"/>
        <w:ind w:left="720" w:firstLine="360"/>
      </w:pPr>
      <w:r w:rsidRPr="009612B9">
        <w:t>No payments or gifts are provided to respondents.</w:t>
      </w:r>
    </w:p>
    <w:p w:rsidR="009612B9" w:rsidP="003C13B7" w:rsidRDefault="009612B9" w14:paraId="0D36C5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Pr="008823D6" w:rsidR="009612B9" w:rsidP="009612B9" w:rsidRDefault="009612B9" w14:paraId="09391B77" w14:textId="77777777">
      <w:pPr>
        <w:pStyle w:val="BodyTextIndent"/>
        <w:widowControl/>
        <w:numPr>
          <w:ilvl w:val="0"/>
          <w:numId w:val="1"/>
        </w:numPr>
        <w:tabs>
          <w:tab w:val="clear" w:pos="-1440"/>
        </w:tabs>
        <w:autoSpaceDE/>
        <w:autoSpaceDN/>
        <w:adjustRightInd/>
        <w:rPr>
          <w:b/>
        </w:rPr>
      </w:pPr>
      <w:r w:rsidRPr="008823D6">
        <w:rPr>
          <w:b/>
        </w:rPr>
        <w:t>Describe any assurance of confidentiality provided to respondents and the basis for the assurance in statute, regulation, or agency policy.</w:t>
      </w:r>
    </w:p>
    <w:p w:rsidR="009612B9" w:rsidP="003C13B7" w:rsidRDefault="009612B9" w14:paraId="6EDF4C1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9612B9" w:rsidP="00B92C34" w:rsidRDefault="009612B9" w14:paraId="0777007A" w14:textId="77777777">
      <w:pPr>
        <w:widowControl w:val="0"/>
        <w:autoSpaceDE w:val="0"/>
        <w:autoSpaceDN w:val="0"/>
        <w:adjustRightInd w:val="0"/>
        <w:ind w:left="1080"/>
      </w:pPr>
      <w:r>
        <w:t xml:space="preserve">None. </w:t>
      </w:r>
      <w:r w:rsidR="003C3AEE">
        <w:t xml:space="preserve"> </w:t>
      </w:r>
    </w:p>
    <w:p w:rsidR="00A06284" w:rsidP="009612B9" w:rsidRDefault="00A06284" w14:paraId="7B59EE02" w14:textId="77777777">
      <w:pPr>
        <w:widowControl w:val="0"/>
        <w:autoSpaceDE w:val="0"/>
        <w:autoSpaceDN w:val="0"/>
        <w:adjustRightInd w:val="0"/>
        <w:ind w:left="720"/>
      </w:pPr>
    </w:p>
    <w:p w:rsidR="00A06284" w:rsidP="00A06284" w:rsidRDefault="00A06284" w14:paraId="440CAA94" w14:textId="77777777">
      <w:pPr>
        <w:pStyle w:val="BodyTextIndent"/>
        <w:widowControl/>
        <w:numPr>
          <w:ilvl w:val="0"/>
          <w:numId w:val="1"/>
        </w:numPr>
        <w:tabs>
          <w:tab w:val="clear" w:pos="-1440"/>
        </w:tabs>
        <w:autoSpaceDE/>
        <w:autoSpaceDN/>
        <w:adjustRightInd/>
        <w:rPr>
          <w:b/>
        </w:rPr>
      </w:pPr>
      <w:r w:rsidRPr="008823D6">
        <w:rPr>
          <w:b/>
        </w:rPr>
        <w:t>Provide additional justification for any questions of a sensitive nature, such as sexual behavior and attitudes, religious beliefs, and other matters that are commonly considered</w:t>
      </w:r>
      <w:r w:rsidRPr="008823D6">
        <w:t xml:space="preserve"> </w:t>
      </w:r>
      <w:r w:rsidRPr="008823D6">
        <w:rPr>
          <w:b/>
        </w:rPr>
        <w:t>private.  This justification should include the reasons why the agency considers the questions necessary, the specific uses to be made of the information, the explanation to be given to person from whom the information is requested, and any steps to be taken to obtain their consent.</w:t>
      </w:r>
    </w:p>
    <w:p w:rsidR="00A06284" w:rsidP="00A06284" w:rsidRDefault="00A06284" w14:paraId="34F8C051" w14:textId="77777777">
      <w:pPr>
        <w:ind w:left="360"/>
      </w:pPr>
    </w:p>
    <w:p w:rsidR="00A06284" w:rsidP="003E3FF2" w:rsidRDefault="00A06284" w14:paraId="45F6A104" w14:textId="77777777">
      <w:pPr>
        <w:ind w:left="1080"/>
      </w:pPr>
      <w:r w:rsidRPr="00B8639F">
        <w:t>There are no questions of a sensitive nature pertaining to sexual behavior and attitudes, religious beliefs, or other matters that are</w:t>
      </w:r>
      <w:r w:rsidR="003C3AEE">
        <w:t xml:space="preserve"> </w:t>
      </w:r>
      <w:r w:rsidRPr="00B8639F">
        <w:t xml:space="preserve">commonly considered private. </w:t>
      </w:r>
      <w:r>
        <w:t xml:space="preserve"> </w:t>
      </w:r>
      <w:r w:rsidRPr="00B8639F">
        <w:t xml:space="preserve">Therefore, this is not applicable to the requirements of this </w:t>
      </w:r>
      <w:r w:rsidR="003C3AEE">
        <w:t>information collection</w:t>
      </w:r>
      <w:r>
        <w:t xml:space="preserve">.  </w:t>
      </w:r>
    </w:p>
    <w:p w:rsidR="008C4059" w:rsidP="008C4059" w:rsidRDefault="008C4059" w14:paraId="218BFC22" w14:textId="77777777"/>
    <w:p w:rsidRPr="008823D6" w:rsidR="008C4059" w:rsidP="008C4059" w:rsidRDefault="008C4059" w14:paraId="12546A7D" w14:textId="77777777">
      <w:pPr>
        <w:pStyle w:val="BodyTextIndent"/>
        <w:widowControl/>
        <w:numPr>
          <w:ilvl w:val="0"/>
          <w:numId w:val="1"/>
        </w:numPr>
        <w:tabs>
          <w:tab w:val="clear" w:pos="-1440"/>
        </w:tabs>
        <w:autoSpaceDE/>
        <w:autoSpaceDN/>
        <w:adjustRightInd/>
        <w:rPr>
          <w:b/>
        </w:rPr>
      </w:pPr>
      <w:r w:rsidRPr="008823D6">
        <w:rPr>
          <w:b/>
        </w:rPr>
        <w:t>Provide estimates of the hour burden of the collection of information.  The statement should:</w:t>
      </w:r>
    </w:p>
    <w:p w:rsidRPr="008823D6" w:rsidR="00362294" w:rsidP="008C4059" w:rsidRDefault="008C4059" w14:paraId="2322C814" w14:textId="53102C41">
      <w:pPr>
        <w:pStyle w:val="BodyTextIndent"/>
        <w:widowControl/>
        <w:numPr>
          <w:ilvl w:val="1"/>
          <w:numId w:val="1"/>
        </w:numPr>
        <w:tabs>
          <w:tab w:val="clear" w:pos="-1440"/>
        </w:tabs>
        <w:autoSpaceDE/>
        <w:autoSpaceDN/>
        <w:adjustRightInd/>
        <w:rPr>
          <w:b/>
        </w:rPr>
      </w:pPr>
      <w:r w:rsidRPr="008823D6">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362294" w:rsidP="00362294" w:rsidRDefault="00362294" w14:paraId="1953C183" w14:textId="77777777">
      <w:pPr>
        <w:pStyle w:val="BodyTextIndent"/>
        <w:numPr>
          <w:ilvl w:val="0"/>
          <w:numId w:val="5"/>
        </w:numPr>
        <w:rPr>
          <w:b/>
        </w:rPr>
      </w:pPr>
      <w:r w:rsidRPr="00551DA9">
        <w:rPr>
          <w:b/>
        </w:rPr>
        <w:t>If this request for approval covers more than one form, provide separate hour burden estimates for each form and aggregate the hour burdens in Item 13.</w:t>
      </w:r>
    </w:p>
    <w:p w:rsidR="00362294" w:rsidP="00362294" w:rsidRDefault="00362294" w14:paraId="734C66E6" w14:textId="06E7E90E">
      <w:pPr>
        <w:pStyle w:val="BodyTextIndent"/>
        <w:numPr>
          <w:ilvl w:val="0"/>
          <w:numId w:val="5"/>
        </w:numPr>
        <w:rPr>
          <w:b/>
        </w:rPr>
      </w:pPr>
      <w:r w:rsidRPr="00362294">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62294" w:rsidP="00362294" w:rsidRDefault="00362294" w14:paraId="4EAEF704" w14:textId="77777777">
      <w:pPr>
        <w:pStyle w:val="BodyTextIndent"/>
        <w:rPr>
          <w:b/>
        </w:rPr>
      </w:pPr>
    </w:p>
    <w:p w:rsidRPr="00D43A5B" w:rsidR="00BE0A7D" w:rsidP="00CB3E34" w:rsidRDefault="003F33AB" w14:paraId="7E431037" w14:textId="133E2E21">
      <w:pPr>
        <w:ind w:left="1080"/>
        <w:contextualSpacing/>
      </w:pPr>
      <w:r w:rsidRPr="00D43A5B">
        <w:t>The SECURE Act requires a person to register as a pooled plan provider with the Secretary, and provide other information the Secretary may require, before beginning operations.  This information collection contains the requirements to register with the Secretary under section 3(44) of the Act.</w:t>
      </w:r>
      <w:r>
        <w:t xml:space="preserve">  The information collection will </w:t>
      </w:r>
      <w:r w:rsidR="008542AD">
        <w:t xml:space="preserve">be integrated into the Department’s existing </w:t>
      </w:r>
      <w:r>
        <w:t>EFAST 2 electronic filing system</w:t>
      </w:r>
      <w:r w:rsidR="008542AD">
        <w:t xml:space="preserve"> for filing </w:t>
      </w:r>
      <w:r>
        <w:t>the Form 5500</w:t>
      </w:r>
      <w:r w:rsidDel="00657D91">
        <w:t xml:space="preserve"> </w:t>
      </w:r>
      <w:r w:rsidR="008542AD">
        <w:t xml:space="preserve">annual return/report generally </w:t>
      </w:r>
      <w:r>
        <w:t xml:space="preserve">required </w:t>
      </w:r>
      <w:r w:rsidR="008542AD">
        <w:t xml:space="preserve">for ERISA-covered employee benefit plans, including </w:t>
      </w:r>
      <w:r>
        <w:t>pooled employer plan</w:t>
      </w:r>
      <w:r w:rsidR="008542AD">
        <w:t>s operated by pooled plan providers.</w:t>
      </w:r>
    </w:p>
    <w:p w:rsidR="00070392" w:rsidP="00B73250" w:rsidRDefault="00D90A34" w14:paraId="36326357" w14:textId="2DDF5BD8">
      <w:pPr>
        <w:spacing w:before="100" w:beforeAutospacing="1" w:after="100" w:afterAutospacing="1"/>
        <w:ind w:left="1080"/>
      </w:pPr>
      <w:r w:rsidRPr="00D90A34">
        <w:t xml:space="preserve">The Department has designed a two-part approach for this requirement.  The first consists of a simple registration of mainly contact information </w:t>
      </w:r>
      <w:r w:rsidRPr="00D90A34" w:rsidR="003A5DE8">
        <w:t xml:space="preserve">and </w:t>
      </w:r>
      <w:r w:rsidR="003A5DE8">
        <w:t>the</w:t>
      </w:r>
      <w:r w:rsidR="00070392">
        <w:t xml:space="preserve"> address of</w:t>
      </w:r>
      <w:r w:rsidRPr="00D90A34">
        <w:t xml:space="preserve"> marketing websites.  Pooled plan providers must electronically register with the Department at least 30 days before beginning operations.  </w:t>
      </w:r>
      <w:r w:rsidR="00070392">
        <w:t>The final regulation contains a special transition rule allow</w:t>
      </w:r>
      <w:r w:rsidR="000A27BE">
        <w:t>ing</w:t>
      </w:r>
      <w:r w:rsidR="00070392">
        <w:t xml:space="preserve"> p</w:t>
      </w:r>
      <w:r w:rsidRPr="00D90A34">
        <w:t xml:space="preserve">ooled plan providers that will initiate operations of a plan as a pooled employer on or after January 1, 2021, and before January 31, 2021, </w:t>
      </w:r>
      <w:r w:rsidR="00070392">
        <w:t xml:space="preserve">to </w:t>
      </w:r>
      <w:r w:rsidRPr="00D90A34">
        <w:t xml:space="preserve"> register anytime “on or before” the initiation of operations of a plan as a pooled employer plan until January 31, 2021.  </w:t>
      </w:r>
      <w:r w:rsidR="00070392">
        <w:t>Th</w:t>
      </w:r>
      <w:r w:rsidR="000A27BE">
        <w:t xml:space="preserve">is provision has the effect of waiving </w:t>
      </w:r>
      <w:r w:rsidR="00070392">
        <w:t>t</w:t>
      </w:r>
      <w:r w:rsidRPr="00D90A34">
        <w:t xml:space="preserve">he 30-day waiting period between registration and the start of plan operations for these pooled plan providers.  </w:t>
      </w:r>
    </w:p>
    <w:p w:rsidR="00D90A34" w:rsidP="00B73250" w:rsidRDefault="00D90A34" w14:paraId="1CF02E83" w14:textId="7D83947A">
      <w:pPr>
        <w:spacing w:before="100" w:beforeAutospacing="1" w:after="100" w:afterAutospacing="1"/>
        <w:ind w:left="1080"/>
      </w:pPr>
      <w:r w:rsidRPr="00D90A34">
        <w:t xml:space="preserve">The information included in the registration should be </w:t>
      </w:r>
      <w:r w:rsidR="00070392">
        <w:t xml:space="preserve">readily available to </w:t>
      </w:r>
      <w:r w:rsidRPr="00D90A34">
        <w:t xml:space="preserve">the pooled plan provider during its normal course of business, so collection should not require additional effort by the administrator.  The Department estimates that compiling and submitting the initial registration information will take about 45 minutes and impose no additional costs on the administrator.  To limit costs, a pooled plan provider </w:t>
      </w:r>
      <w:r w:rsidR="00070392">
        <w:t>is required</w:t>
      </w:r>
      <w:r w:rsidRPr="00D90A34">
        <w:t xml:space="preserve"> to file only one registration regardless of the number of pooled employer plans it operates, provided that a supplemental statement is filed identifying each pooled employer plan before the initiation of operations of the plan as a pooled employer plan</w:t>
      </w:r>
      <w:r>
        <w:t>.</w:t>
      </w:r>
    </w:p>
    <w:p w:rsidRPr="00D43A5B" w:rsidR="00626677" w:rsidP="00B73250" w:rsidRDefault="00626677" w14:paraId="45814FDA" w14:textId="2EED2DF0">
      <w:pPr>
        <w:spacing w:before="100" w:beforeAutospacing="1" w:after="100" w:afterAutospacing="1"/>
        <w:ind w:left="1080"/>
        <w:rPr>
          <w:color w:val="222222"/>
          <w:shd w:val="clear" w:color="auto" w:fill="FFFFFF"/>
        </w:rPr>
      </w:pPr>
      <w:r w:rsidRPr="00D43A5B">
        <w:t xml:space="preserve">The Department has identified certain existing entities that it believes would be most likely to serve as pooled plan providers.  For example, recordkeepers that currently administer retirement plans </w:t>
      </w:r>
      <w:r>
        <w:t xml:space="preserve">may be well positioned </w:t>
      </w:r>
      <w:r w:rsidRPr="00D43A5B">
        <w:t>to serve as pooled plan providers</w:t>
      </w:r>
      <w:r>
        <w:t xml:space="preserve"> and some recordkeepers have affiliated entities that may seek to provide investment alternatives and services to the plan</w:t>
      </w:r>
      <w:r w:rsidRPr="00D43A5B">
        <w:t xml:space="preserve">.  Similarly, many Professional Employer Organizations (PEOs) have served as plan administrators and </w:t>
      </w:r>
      <w:r w:rsidR="008542AD">
        <w:t xml:space="preserve">may </w:t>
      </w:r>
      <w:r w:rsidRPr="00D43A5B">
        <w:t>tak</w:t>
      </w:r>
      <w:r w:rsidR="008542AD">
        <w:t>e</w:t>
      </w:r>
      <w:r w:rsidRPr="00D43A5B">
        <w:t xml:space="preserve"> on the role of pooled plan provider.  </w:t>
      </w:r>
      <w:r w:rsidR="00070392">
        <w:t>I</w:t>
      </w:r>
      <w:r w:rsidRPr="00C31A58" w:rsidR="00C31A58">
        <w:t xml:space="preserve">nsurance companies </w:t>
      </w:r>
      <w:r w:rsidR="00070392">
        <w:t xml:space="preserve">also </w:t>
      </w:r>
      <w:r w:rsidRPr="00C31A58" w:rsidR="00C31A58">
        <w:t xml:space="preserve">have expressed interest in serving as pooled plan providers and some have prior experience providing similar services.  </w:t>
      </w:r>
      <w:r w:rsidR="008542AD">
        <w:t>Although the SECURE Act did not establish specific qualification requirements for pooled plan providers, the Department expects that some enterprises and employer groups may</w:t>
      </w:r>
      <w:r w:rsidRPr="00D43A5B">
        <w:t xml:space="preserve"> be reluctant to assume the named fiduciary and plan administrator roles</w:t>
      </w:r>
      <w:r w:rsidR="008542AD">
        <w:t xml:space="preserve"> that the SECURE Act mandates for pooled plan providers</w:t>
      </w:r>
      <w:r w:rsidRPr="00D43A5B">
        <w:t xml:space="preserve">.  </w:t>
      </w:r>
    </w:p>
    <w:p w:rsidRPr="00D43A5B" w:rsidR="00626677" w:rsidP="00B73250" w:rsidRDefault="00626677" w14:paraId="0CE13BC9" w14:textId="3BE3F90B">
      <w:pPr>
        <w:spacing w:before="100" w:beforeAutospacing="1" w:after="100" w:afterAutospacing="1"/>
        <w:ind w:left="1080"/>
      </w:pPr>
      <w:r w:rsidRPr="00D43A5B">
        <w:t xml:space="preserve">Given these assumptions, </w:t>
      </w:r>
      <w:r w:rsidR="000A27BE">
        <w:t xml:space="preserve">as illustrated in the table below, </w:t>
      </w:r>
      <w:r w:rsidRPr="00D43A5B">
        <w:t xml:space="preserve">the Department estimates that </w:t>
      </w:r>
      <w:r w:rsidR="00070392">
        <w:t xml:space="preserve">approximately </w:t>
      </w:r>
      <w:r w:rsidRPr="00D43A5B">
        <w:t xml:space="preserve">3,200 unique entities will initially register to serve as pooled plan providers.  Recordkeepers and plan administrators of existing defined contribution plans are most likely to enter the market, followed by PEOs, direct annuity writers, </w:t>
      </w:r>
      <w:r w:rsidR="00070392">
        <w:t>C</w:t>
      </w:r>
      <w:r w:rsidRPr="00D43A5B">
        <w:t xml:space="preserve">hambers of </w:t>
      </w:r>
      <w:r w:rsidR="00070392">
        <w:t>C</w:t>
      </w:r>
      <w:r w:rsidRPr="00D43A5B">
        <w:t>ommerce, and plan advisors.</w:t>
      </w:r>
    </w:p>
    <w:p w:rsidR="00652CE2" w:rsidP="00523A2E" w:rsidRDefault="00652CE2" w14:paraId="37BF3C7A" w14:textId="77777777">
      <w:pPr>
        <w:pStyle w:val="BodyTextIndent"/>
        <w:ind w:left="1080"/>
      </w:pPr>
    </w:p>
    <w:tbl>
      <w:tblPr>
        <w:tblW w:w="9360" w:type="dxa"/>
        <w:tblInd w:w="976" w:type="dxa"/>
        <w:tblLook w:val="04A0" w:firstRow="1" w:lastRow="0" w:firstColumn="1" w:lastColumn="0" w:noHBand="0" w:noVBand="1"/>
      </w:tblPr>
      <w:tblGrid>
        <w:gridCol w:w="5486"/>
        <w:gridCol w:w="269"/>
        <w:gridCol w:w="1085"/>
        <w:gridCol w:w="1216"/>
        <w:gridCol w:w="1304"/>
      </w:tblGrid>
      <w:tr w:rsidRPr="005E1DC9" w:rsidR="005E1DC9" w:rsidTr="00652CE2" w14:paraId="3E1358D9" w14:textId="77777777">
        <w:trPr>
          <w:trHeight w:val="615"/>
        </w:trPr>
        <w:tc>
          <w:tcPr>
            <w:tcW w:w="5755" w:type="dxa"/>
            <w:gridSpan w:val="2"/>
            <w:tcBorders>
              <w:top w:val="single" w:color="auto" w:sz="8" w:space="0"/>
              <w:left w:val="nil"/>
              <w:bottom w:val="single" w:color="auto" w:sz="8" w:space="0"/>
              <w:right w:val="nil"/>
            </w:tcBorders>
            <w:shd w:val="clear" w:color="auto" w:fill="auto"/>
            <w:noWrap/>
            <w:vAlign w:val="bottom"/>
            <w:hideMark/>
          </w:tcPr>
          <w:p w:rsidRPr="005E1DC9" w:rsidR="005E1DC9" w:rsidP="005E1DC9" w:rsidRDefault="005E1DC9" w14:paraId="3E7FDF79" w14:textId="77777777">
            <w:pPr>
              <w:rPr>
                <w:color w:val="000000"/>
                <w:sz w:val="22"/>
                <w:szCs w:val="22"/>
              </w:rPr>
            </w:pPr>
            <w:r w:rsidRPr="005E1DC9">
              <w:rPr>
                <w:color w:val="000000"/>
                <w:sz w:val="22"/>
                <w:szCs w:val="22"/>
              </w:rPr>
              <w:t> </w:t>
            </w:r>
          </w:p>
        </w:tc>
        <w:tc>
          <w:tcPr>
            <w:tcW w:w="1085" w:type="dxa"/>
            <w:tcBorders>
              <w:top w:val="single" w:color="auto" w:sz="8" w:space="0"/>
              <w:left w:val="nil"/>
              <w:bottom w:val="single" w:color="auto" w:sz="8" w:space="0"/>
              <w:right w:val="nil"/>
            </w:tcBorders>
            <w:shd w:val="clear" w:color="auto" w:fill="auto"/>
            <w:vAlign w:val="center"/>
            <w:hideMark/>
          </w:tcPr>
          <w:p w:rsidRPr="005E1DC9" w:rsidR="005E1DC9" w:rsidP="005E1DC9" w:rsidRDefault="005E1DC9" w14:paraId="4AAD05EA" w14:textId="77777777">
            <w:pPr>
              <w:jc w:val="center"/>
              <w:rPr>
                <w:color w:val="000000"/>
                <w:sz w:val="22"/>
                <w:szCs w:val="22"/>
              </w:rPr>
            </w:pPr>
            <w:r w:rsidRPr="005E1DC9">
              <w:rPr>
                <w:color w:val="000000"/>
                <w:sz w:val="22"/>
                <w:szCs w:val="22"/>
              </w:rPr>
              <w:t>Universe</w:t>
            </w:r>
          </w:p>
        </w:tc>
        <w:tc>
          <w:tcPr>
            <w:tcW w:w="1216" w:type="dxa"/>
            <w:tcBorders>
              <w:top w:val="single" w:color="auto" w:sz="8" w:space="0"/>
              <w:left w:val="nil"/>
              <w:bottom w:val="single" w:color="auto" w:sz="8" w:space="0"/>
              <w:right w:val="nil"/>
            </w:tcBorders>
            <w:shd w:val="clear" w:color="auto" w:fill="auto"/>
            <w:vAlign w:val="center"/>
            <w:hideMark/>
          </w:tcPr>
          <w:p w:rsidRPr="005E1DC9" w:rsidR="005E1DC9" w:rsidP="005E1DC9" w:rsidRDefault="005E1DC9" w14:paraId="6AC8BD7E" w14:textId="77777777">
            <w:pPr>
              <w:jc w:val="center"/>
              <w:rPr>
                <w:color w:val="000000"/>
                <w:sz w:val="22"/>
                <w:szCs w:val="22"/>
              </w:rPr>
            </w:pPr>
            <w:r w:rsidRPr="005E1DC9">
              <w:rPr>
                <w:color w:val="000000"/>
                <w:sz w:val="22"/>
                <w:szCs w:val="22"/>
              </w:rPr>
              <w:t>Expected Share</w:t>
            </w:r>
          </w:p>
        </w:tc>
        <w:tc>
          <w:tcPr>
            <w:tcW w:w="1304" w:type="dxa"/>
            <w:tcBorders>
              <w:top w:val="single" w:color="auto" w:sz="8" w:space="0"/>
              <w:left w:val="nil"/>
              <w:bottom w:val="single" w:color="auto" w:sz="8" w:space="0"/>
              <w:right w:val="nil"/>
            </w:tcBorders>
            <w:shd w:val="clear" w:color="auto" w:fill="auto"/>
            <w:vAlign w:val="center"/>
            <w:hideMark/>
          </w:tcPr>
          <w:p w:rsidRPr="005E1DC9" w:rsidR="005E1DC9" w:rsidP="005E1DC9" w:rsidRDefault="005E1DC9" w14:paraId="321A82A9" w14:textId="77777777">
            <w:pPr>
              <w:jc w:val="center"/>
              <w:rPr>
                <w:color w:val="000000"/>
                <w:sz w:val="22"/>
                <w:szCs w:val="22"/>
              </w:rPr>
            </w:pPr>
            <w:r w:rsidRPr="005E1DC9">
              <w:rPr>
                <w:color w:val="000000"/>
                <w:sz w:val="22"/>
                <w:szCs w:val="22"/>
              </w:rPr>
              <w:t>Estimated Number</w:t>
            </w:r>
          </w:p>
        </w:tc>
      </w:tr>
      <w:tr w:rsidRPr="005E1DC9" w:rsidR="005E1DC9" w:rsidTr="00652CE2" w14:paraId="2F386984" w14:textId="77777777">
        <w:trPr>
          <w:trHeight w:val="600"/>
        </w:trPr>
        <w:tc>
          <w:tcPr>
            <w:tcW w:w="5755" w:type="dxa"/>
            <w:gridSpan w:val="2"/>
            <w:tcBorders>
              <w:top w:val="nil"/>
              <w:left w:val="nil"/>
              <w:bottom w:val="nil"/>
              <w:right w:val="nil"/>
            </w:tcBorders>
            <w:shd w:val="clear" w:color="auto" w:fill="auto"/>
            <w:vAlign w:val="bottom"/>
            <w:hideMark/>
          </w:tcPr>
          <w:p w:rsidRPr="005E1DC9" w:rsidR="005E1DC9" w:rsidP="005E1DC9" w:rsidRDefault="005E1DC9" w14:paraId="0744534E" w14:textId="77777777">
            <w:pPr>
              <w:rPr>
                <w:color w:val="000000"/>
                <w:sz w:val="22"/>
                <w:szCs w:val="22"/>
              </w:rPr>
            </w:pPr>
            <w:r w:rsidRPr="005E1DC9">
              <w:rPr>
                <w:color w:val="000000"/>
                <w:sz w:val="22"/>
                <w:szCs w:val="22"/>
              </w:rPr>
              <w:t xml:space="preserve">Unique Recordkeepers and Plan Administrators for Existing DC Plans </w:t>
            </w:r>
            <w:r w:rsidRPr="005E1DC9">
              <w:rPr>
                <w:color w:val="000000"/>
                <w:sz w:val="22"/>
                <w:szCs w:val="22"/>
                <w:vertAlign w:val="superscript"/>
              </w:rPr>
              <w:t>a</w:t>
            </w:r>
          </w:p>
        </w:tc>
        <w:tc>
          <w:tcPr>
            <w:tcW w:w="1085" w:type="dxa"/>
            <w:tcBorders>
              <w:top w:val="nil"/>
              <w:left w:val="nil"/>
              <w:bottom w:val="nil"/>
              <w:right w:val="nil"/>
            </w:tcBorders>
            <w:shd w:val="clear" w:color="auto" w:fill="auto"/>
            <w:noWrap/>
            <w:vAlign w:val="center"/>
            <w:hideMark/>
          </w:tcPr>
          <w:p w:rsidRPr="005E1DC9" w:rsidR="005E1DC9" w:rsidP="005E1DC9" w:rsidRDefault="005E1DC9" w14:paraId="633C7BF9" w14:textId="77777777">
            <w:pPr>
              <w:jc w:val="right"/>
              <w:rPr>
                <w:color w:val="000000"/>
                <w:sz w:val="22"/>
                <w:szCs w:val="22"/>
              </w:rPr>
            </w:pPr>
            <w:r w:rsidRPr="005E1DC9">
              <w:rPr>
                <w:color w:val="000000"/>
                <w:sz w:val="22"/>
                <w:szCs w:val="22"/>
              </w:rPr>
              <w:t>2,378</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226CF8D8" w14:textId="77777777">
            <w:pPr>
              <w:jc w:val="right"/>
              <w:rPr>
                <w:color w:val="000000"/>
                <w:sz w:val="22"/>
                <w:szCs w:val="22"/>
              </w:rPr>
            </w:pPr>
            <w:r w:rsidRPr="005E1DC9">
              <w:rPr>
                <w:color w:val="000000"/>
                <w:sz w:val="22"/>
                <w:szCs w:val="22"/>
              </w:rPr>
              <w:t>50%</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499333D6" w14:textId="54042F12">
            <w:pPr>
              <w:jc w:val="right"/>
              <w:rPr>
                <w:color w:val="000000"/>
                <w:sz w:val="22"/>
                <w:szCs w:val="22"/>
              </w:rPr>
            </w:pPr>
            <w:r w:rsidRPr="005E1DC9">
              <w:rPr>
                <w:color w:val="000000"/>
                <w:sz w:val="22"/>
                <w:szCs w:val="22"/>
              </w:rPr>
              <w:t>1</w:t>
            </w:r>
            <w:r w:rsidR="00557C5A">
              <w:rPr>
                <w:color w:val="000000"/>
                <w:sz w:val="22"/>
                <w:szCs w:val="22"/>
              </w:rPr>
              <w:t>,</w:t>
            </w:r>
            <w:r w:rsidRPr="005E1DC9">
              <w:rPr>
                <w:color w:val="000000"/>
                <w:sz w:val="22"/>
                <w:szCs w:val="22"/>
              </w:rPr>
              <w:t>189</w:t>
            </w:r>
          </w:p>
        </w:tc>
      </w:tr>
      <w:tr w:rsidRPr="005E1DC9" w:rsidR="005E1DC9" w:rsidTr="00652CE2" w14:paraId="06B3D545" w14:textId="77777777">
        <w:trPr>
          <w:trHeight w:val="300"/>
        </w:trPr>
        <w:tc>
          <w:tcPr>
            <w:tcW w:w="5755" w:type="dxa"/>
            <w:gridSpan w:val="2"/>
            <w:tcBorders>
              <w:top w:val="nil"/>
              <w:left w:val="nil"/>
              <w:bottom w:val="nil"/>
              <w:right w:val="nil"/>
            </w:tcBorders>
            <w:shd w:val="clear" w:color="auto" w:fill="auto"/>
            <w:noWrap/>
            <w:vAlign w:val="bottom"/>
            <w:hideMark/>
          </w:tcPr>
          <w:p w:rsidRPr="005E1DC9" w:rsidR="005E1DC9" w:rsidP="005E1DC9" w:rsidRDefault="005E1DC9" w14:paraId="2234BF74" w14:textId="77777777">
            <w:pPr>
              <w:rPr>
                <w:color w:val="000000"/>
                <w:sz w:val="22"/>
                <w:szCs w:val="22"/>
              </w:rPr>
            </w:pPr>
            <w:r w:rsidRPr="005E1DC9">
              <w:rPr>
                <w:color w:val="000000"/>
                <w:sz w:val="22"/>
                <w:szCs w:val="22"/>
              </w:rPr>
              <w:t xml:space="preserve">Professional Employer Organization </w:t>
            </w:r>
            <w:r w:rsidRPr="005E1DC9">
              <w:rPr>
                <w:color w:val="000000"/>
                <w:sz w:val="22"/>
                <w:szCs w:val="22"/>
                <w:vertAlign w:val="superscript"/>
              </w:rPr>
              <w:t>b</w:t>
            </w:r>
          </w:p>
        </w:tc>
        <w:tc>
          <w:tcPr>
            <w:tcW w:w="1085" w:type="dxa"/>
            <w:tcBorders>
              <w:top w:val="nil"/>
              <w:left w:val="nil"/>
              <w:bottom w:val="nil"/>
              <w:right w:val="nil"/>
            </w:tcBorders>
            <w:shd w:val="clear" w:color="auto" w:fill="auto"/>
            <w:noWrap/>
            <w:vAlign w:val="center"/>
            <w:hideMark/>
          </w:tcPr>
          <w:p w:rsidRPr="005E1DC9" w:rsidR="005E1DC9" w:rsidP="005E1DC9" w:rsidRDefault="005E1DC9" w14:paraId="5CA17817" w14:textId="77777777">
            <w:pPr>
              <w:jc w:val="right"/>
              <w:rPr>
                <w:color w:val="000000"/>
                <w:sz w:val="22"/>
                <w:szCs w:val="22"/>
              </w:rPr>
            </w:pPr>
            <w:r w:rsidRPr="005E1DC9">
              <w:rPr>
                <w:color w:val="000000"/>
                <w:sz w:val="22"/>
                <w:szCs w:val="22"/>
              </w:rPr>
              <w:t>907</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3988F7FA" w14:textId="77777777">
            <w:pPr>
              <w:jc w:val="right"/>
              <w:rPr>
                <w:color w:val="000000"/>
                <w:sz w:val="22"/>
                <w:szCs w:val="22"/>
              </w:rPr>
            </w:pPr>
            <w:r w:rsidRPr="005E1DC9">
              <w:rPr>
                <w:color w:val="000000"/>
                <w:sz w:val="22"/>
                <w:szCs w:val="22"/>
              </w:rPr>
              <w:t>25%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569E01B1" w14:textId="77777777">
            <w:pPr>
              <w:jc w:val="right"/>
              <w:rPr>
                <w:color w:val="000000"/>
                <w:sz w:val="22"/>
                <w:szCs w:val="22"/>
              </w:rPr>
            </w:pPr>
            <w:r w:rsidRPr="005E1DC9">
              <w:rPr>
                <w:color w:val="000000"/>
                <w:sz w:val="22"/>
                <w:szCs w:val="22"/>
              </w:rPr>
              <w:t>227</w:t>
            </w:r>
          </w:p>
        </w:tc>
      </w:tr>
      <w:tr w:rsidRPr="005E1DC9" w:rsidR="005E1DC9" w:rsidTr="00652CE2" w14:paraId="53C0A735" w14:textId="77777777">
        <w:trPr>
          <w:trHeight w:val="300"/>
        </w:trPr>
        <w:tc>
          <w:tcPr>
            <w:tcW w:w="5755" w:type="dxa"/>
            <w:gridSpan w:val="2"/>
            <w:tcBorders>
              <w:top w:val="nil"/>
              <w:left w:val="nil"/>
              <w:bottom w:val="nil"/>
              <w:right w:val="nil"/>
            </w:tcBorders>
            <w:shd w:val="clear" w:color="auto" w:fill="auto"/>
            <w:noWrap/>
            <w:vAlign w:val="bottom"/>
            <w:hideMark/>
          </w:tcPr>
          <w:p w:rsidRPr="005E1DC9" w:rsidR="005E1DC9" w:rsidP="005E1DC9" w:rsidRDefault="005E1DC9" w14:paraId="3C09761C" w14:textId="77777777">
            <w:pPr>
              <w:rPr>
                <w:color w:val="000000"/>
                <w:sz w:val="22"/>
                <w:szCs w:val="22"/>
              </w:rPr>
            </w:pPr>
            <w:r w:rsidRPr="005E1DC9">
              <w:rPr>
                <w:color w:val="000000"/>
                <w:sz w:val="22"/>
                <w:szCs w:val="22"/>
              </w:rPr>
              <w:t xml:space="preserve">Chambers of Commerce </w:t>
            </w:r>
            <w:r w:rsidRPr="005E1DC9">
              <w:rPr>
                <w:color w:val="000000"/>
                <w:sz w:val="22"/>
                <w:szCs w:val="22"/>
                <w:vertAlign w:val="superscript"/>
              </w:rPr>
              <w:t>c</w:t>
            </w:r>
          </w:p>
        </w:tc>
        <w:tc>
          <w:tcPr>
            <w:tcW w:w="1085" w:type="dxa"/>
            <w:tcBorders>
              <w:top w:val="nil"/>
              <w:left w:val="nil"/>
              <w:bottom w:val="nil"/>
              <w:right w:val="nil"/>
            </w:tcBorders>
            <w:shd w:val="clear" w:color="auto" w:fill="auto"/>
            <w:noWrap/>
            <w:vAlign w:val="center"/>
            <w:hideMark/>
          </w:tcPr>
          <w:p w:rsidRPr="005E1DC9" w:rsidR="005E1DC9" w:rsidP="005E1DC9" w:rsidRDefault="005E1DC9" w14:paraId="5204D2EF" w14:textId="77777777">
            <w:pPr>
              <w:jc w:val="right"/>
              <w:rPr>
                <w:color w:val="000000"/>
                <w:sz w:val="22"/>
                <w:szCs w:val="22"/>
              </w:rPr>
            </w:pPr>
            <w:r w:rsidRPr="005E1DC9">
              <w:rPr>
                <w:color w:val="000000"/>
                <w:sz w:val="22"/>
                <w:szCs w:val="22"/>
              </w:rPr>
              <w:t>4,000</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1E1CEE99" w14:textId="77777777">
            <w:pPr>
              <w:jc w:val="right"/>
              <w:rPr>
                <w:color w:val="000000"/>
                <w:sz w:val="22"/>
                <w:szCs w:val="22"/>
              </w:rPr>
            </w:pPr>
            <w:r w:rsidRPr="005E1DC9">
              <w:rPr>
                <w:color w:val="000000"/>
                <w:sz w:val="22"/>
                <w:szCs w:val="22"/>
              </w:rPr>
              <w:t>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56FA19E7" w14:textId="77777777">
            <w:pPr>
              <w:jc w:val="right"/>
              <w:rPr>
                <w:color w:val="000000"/>
                <w:sz w:val="22"/>
                <w:szCs w:val="22"/>
              </w:rPr>
            </w:pPr>
            <w:r w:rsidRPr="005E1DC9">
              <w:rPr>
                <w:color w:val="000000"/>
                <w:sz w:val="22"/>
                <w:szCs w:val="22"/>
              </w:rPr>
              <w:t>200</w:t>
            </w:r>
          </w:p>
        </w:tc>
      </w:tr>
      <w:tr w:rsidRPr="005E1DC9" w:rsidR="005E1DC9" w:rsidTr="00652CE2" w14:paraId="10DAFE95" w14:textId="77777777">
        <w:trPr>
          <w:trHeight w:val="300"/>
        </w:trPr>
        <w:tc>
          <w:tcPr>
            <w:tcW w:w="5755" w:type="dxa"/>
            <w:gridSpan w:val="2"/>
            <w:tcBorders>
              <w:top w:val="nil"/>
              <w:left w:val="nil"/>
              <w:bottom w:val="nil"/>
              <w:right w:val="nil"/>
            </w:tcBorders>
            <w:shd w:val="clear" w:color="auto" w:fill="auto"/>
            <w:noWrap/>
            <w:vAlign w:val="bottom"/>
            <w:hideMark/>
          </w:tcPr>
          <w:p w:rsidRPr="005E1DC9" w:rsidR="005E1DC9" w:rsidP="005E1DC9" w:rsidRDefault="005E1DC9" w14:paraId="20DB7280" w14:textId="77777777">
            <w:pPr>
              <w:rPr>
                <w:color w:val="000000"/>
                <w:sz w:val="22"/>
                <w:szCs w:val="22"/>
              </w:rPr>
            </w:pPr>
            <w:r w:rsidRPr="005E1DC9">
              <w:rPr>
                <w:color w:val="000000"/>
                <w:sz w:val="22"/>
                <w:szCs w:val="22"/>
              </w:rPr>
              <w:t xml:space="preserve">Large Broker-Dealers </w:t>
            </w:r>
            <w:r w:rsidRPr="005E1DC9">
              <w:rPr>
                <w:color w:val="000000"/>
                <w:sz w:val="22"/>
                <w:szCs w:val="22"/>
                <w:vertAlign w:val="superscript"/>
              </w:rPr>
              <w:t>d</w:t>
            </w:r>
          </w:p>
        </w:tc>
        <w:tc>
          <w:tcPr>
            <w:tcW w:w="1085" w:type="dxa"/>
            <w:tcBorders>
              <w:top w:val="nil"/>
              <w:left w:val="nil"/>
              <w:bottom w:val="nil"/>
              <w:right w:val="nil"/>
            </w:tcBorders>
            <w:shd w:val="clear" w:color="auto" w:fill="auto"/>
            <w:noWrap/>
            <w:vAlign w:val="center"/>
            <w:hideMark/>
          </w:tcPr>
          <w:p w:rsidRPr="005E1DC9" w:rsidR="005E1DC9" w:rsidP="005E1DC9" w:rsidRDefault="005E1DC9" w14:paraId="1DC44E9A" w14:textId="77777777">
            <w:pPr>
              <w:jc w:val="right"/>
              <w:rPr>
                <w:color w:val="000000"/>
                <w:sz w:val="22"/>
                <w:szCs w:val="22"/>
              </w:rPr>
            </w:pPr>
            <w:r w:rsidRPr="005E1DC9">
              <w:rPr>
                <w:color w:val="000000"/>
                <w:sz w:val="22"/>
                <w:szCs w:val="22"/>
              </w:rPr>
              <w:t>173</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0F0822F8" w14:textId="77777777">
            <w:pPr>
              <w:jc w:val="right"/>
              <w:rPr>
                <w:color w:val="000000"/>
                <w:sz w:val="22"/>
                <w:szCs w:val="22"/>
              </w:rPr>
            </w:pPr>
            <w:r w:rsidRPr="005E1DC9">
              <w:rPr>
                <w:color w:val="000000"/>
                <w:sz w:val="22"/>
                <w:szCs w:val="22"/>
              </w:rPr>
              <w:t>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46324056" w14:textId="77777777">
            <w:pPr>
              <w:jc w:val="right"/>
              <w:rPr>
                <w:color w:val="000000"/>
                <w:sz w:val="22"/>
                <w:szCs w:val="22"/>
              </w:rPr>
            </w:pPr>
            <w:r w:rsidRPr="005E1DC9">
              <w:rPr>
                <w:color w:val="000000"/>
                <w:sz w:val="22"/>
                <w:szCs w:val="22"/>
              </w:rPr>
              <w:t>9</w:t>
            </w:r>
          </w:p>
        </w:tc>
      </w:tr>
      <w:tr w:rsidRPr="005E1DC9" w:rsidR="005E1DC9" w:rsidTr="00652CE2" w14:paraId="4B36E793" w14:textId="77777777">
        <w:trPr>
          <w:trHeight w:val="300"/>
        </w:trPr>
        <w:tc>
          <w:tcPr>
            <w:tcW w:w="5486" w:type="dxa"/>
            <w:tcBorders>
              <w:top w:val="nil"/>
              <w:left w:val="nil"/>
              <w:bottom w:val="nil"/>
              <w:right w:val="nil"/>
            </w:tcBorders>
            <w:shd w:val="clear" w:color="auto" w:fill="auto"/>
            <w:noWrap/>
            <w:vAlign w:val="bottom"/>
            <w:hideMark/>
          </w:tcPr>
          <w:p w:rsidRPr="005E1DC9" w:rsidR="005E1DC9" w:rsidP="005E1DC9" w:rsidRDefault="005E1DC9" w14:paraId="3C655DB7" w14:textId="77777777">
            <w:pPr>
              <w:rPr>
                <w:color w:val="000000"/>
                <w:sz w:val="22"/>
                <w:szCs w:val="22"/>
              </w:rPr>
            </w:pPr>
            <w:r w:rsidRPr="005E1DC9">
              <w:rPr>
                <w:color w:val="000000"/>
                <w:sz w:val="22"/>
                <w:szCs w:val="22"/>
              </w:rPr>
              <w:t xml:space="preserve">Registered Investment Advisor Firms </w:t>
            </w:r>
            <w:r w:rsidRPr="005E1DC9">
              <w:rPr>
                <w:color w:val="000000"/>
                <w:sz w:val="22"/>
                <w:szCs w:val="22"/>
                <w:vertAlign w:val="superscript"/>
              </w:rPr>
              <w:t>d</w:t>
            </w:r>
          </w:p>
        </w:tc>
        <w:tc>
          <w:tcPr>
            <w:tcW w:w="1354" w:type="dxa"/>
            <w:gridSpan w:val="2"/>
            <w:tcBorders>
              <w:top w:val="nil"/>
              <w:left w:val="nil"/>
              <w:bottom w:val="nil"/>
              <w:right w:val="nil"/>
            </w:tcBorders>
            <w:shd w:val="clear" w:color="auto" w:fill="auto"/>
            <w:noWrap/>
            <w:vAlign w:val="center"/>
            <w:hideMark/>
          </w:tcPr>
          <w:p w:rsidRPr="005E1DC9" w:rsidR="005E1DC9" w:rsidP="005E1DC9" w:rsidRDefault="005E1DC9" w14:paraId="17C9092E" w14:textId="77777777">
            <w:pPr>
              <w:jc w:val="right"/>
              <w:rPr>
                <w:color w:val="000000"/>
                <w:sz w:val="22"/>
                <w:szCs w:val="22"/>
              </w:rPr>
            </w:pPr>
            <w:r w:rsidRPr="005E1DC9">
              <w:rPr>
                <w:color w:val="000000"/>
                <w:sz w:val="22"/>
                <w:szCs w:val="22"/>
              </w:rPr>
              <w:t xml:space="preserve">     30,246</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1671D912" w14:textId="77777777">
            <w:pPr>
              <w:jc w:val="right"/>
              <w:rPr>
                <w:color w:val="000000"/>
                <w:sz w:val="22"/>
                <w:szCs w:val="22"/>
              </w:rPr>
            </w:pPr>
            <w:r w:rsidRPr="005E1DC9">
              <w:rPr>
                <w:color w:val="000000"/>
                <w:sz w:val="22"/>
                <w:szCs w:val="22"/>
              </w:rPr>
              <w:t>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28A13339" w14:textId="704954D8">
            <w:pPr>
              <w:jc w:val="right"/>
              <w:rPr>
                <w:color w:val="000000"/>
                <w:sz w:val="22"/>
                <w:szCs w:val="22"/>
              </w:rPr>
            </w:pPr>
            <w:r w:rsidRPr="005E1DC9">
              <w:rPr>
                <w:color w:val="000000"/>
                <w:sz w:val="22"/>
                <w:szCs w:val="22"/>
              </w:rPr>
              <w:t>1</w:t>
            </w:r>
            <w:r w:rsidR="00106979">
              <w:rPr>
                <w:color w:val="000000"/>
                <w:sz w:val="22"/>
                <w:szCs w:val="22"/>
              </w:rPr>
              <w:t>,</w:t>
            </w:r>
            <w:r w:rsidRPr="005E1DC9">
              <w:rPr>
                <w:color w:val="000000"/>
                <w:sz w:val="22"/>
                <w:szCs w:val="22"/>
              </w:rPr>
              <w:t>512</w:t>
            </w:r>
          </w:p>
        </w:tc>
      </w:tr>
      <w:tr w:rsidRPr="005E1DC9" w:rsidR="005E1DC9" w:rsidTr="00652CE2" w14:paraId="7C2AFB92" w14:textId="77777777">
        <w:trPr>
          <w:trHeight w:val="300"/>
        </w:trPr>
        <w:tc>
          <w:tcPr>
            <w:tcW w:w="5486" w:type="dxa"/>
            <w:tcBorders>
              <w:top w:val="nil"/>
              <w:left w:val="nil"/>
              <w:bottom w:val="nil"/>
              <w:right w:val="nil"/>
            </w:tcBorders>
            <w:shd w:val="clear" w:color="auto" w:fill="auto"/>
            <w:noWrap/>
            <w:vAlign w:val="bottom"/>
            <w:hideMark/>
          </w:tcPr>
          <w:p w:rsidRPr="005E1DC9" w:rsidR="005E1DC9" w:rsidP="005E1DC9" w:rsidRDefault="005E1DC9" w14:paraId="145ED263" w14:textId="77777777">
            <w:pPr>
              <w:rPr>
                <w:color w:val="000000"/>
                <w:sz w:val="22"/>
                <w:szCs w:val="22"/>
              </w:rPr>
            </w:pPr>
            <w:r w:rsidRPr="005E1DC9">
              <w:rPr>
                <w:color w:val="000000"/>
                <w:sz w:val="22"/>
                <w:szCs w:val="22"/>
              </w:rPr>
              <w:t xml:space="preserve">Direct Annuity Writers (Insurance Companies) </w:t>
            </w:r>
            <w:r w:rsidRPr="005E1DC9">
              <w:rPr>
                <w:color w:val="000000"/>
                <w:sz w:val="22"/>
                <w:szCs w:val="22"/>
                <w:vertAlign w:val="superscript"/>
              </w:rPr>
              <w:t>e</w:t>
            </w:r>
          </w:p>
        </w:tc>
        <w:tc>
          <w:tcPr>
            <w:tcW w:w="1354" w:type="dxa"/>
            <w:gridSpan w:val="2"/>
            <w:tcBorders>
              <w:top w:val="nil"/>
              <w:left w:val="nil"/>
              <w:bottom w:val="nil"/>
              <w:right w:val="nil"/>
            </w:tcBorders>
            <w:shd w:val="clear" w:color="auto" w:fill="auto"/>
            <w:noWrap/>
            <w:vAlign w:val="center"/>
            <w:hideMark/>
          </w:tcPr>
          <w:p w:rsidRPr="005E1DC9" w:rsidR="005E1DC9" w:rsidP="005E1DC9" w:rsidRDefault="005E1DC9" w14:paraId="14B9ED98" w14:textId="77777777">
            <w:pPr>
              <w:jc w:val="right"/>
              <w:rPr>
                <w:color w:val="000000"/>
                <w:sz w:val="22"/>
                <w:szCs w:val="22"/>
              </w:rPr>
            </w:pPr>
            <w:r w:rsidRPr="005E1DC9">
              <w:rPr>
                <w:color w:val="000000"/>
                <w:sz w:val="22"/>
                <w:szCs w:val="22"/>
              </w:rPr>
              <w:t xml:space="preserve">    386</w:t>
            </w:r>
          </w:p>
        </w:tc>
        <w:tc>
          <w:tcPr>
            <w:tcW w:w="1216" w:type="dxa"/>
            <w:tcBorders>
              <w:top w:val="nil"/>
              <w:left w:val="nil"/>
              <w:bottom w:val="nil"/>
              <w:right w:val="nil"/>
            </w:tcBorders>
            <w:shd w:val="clear" w:color="auto" w:fill="auto"/>
            <w:noWrap/>
            <w:vAlign w:val="center"/>
            <w:hideMark/>
          </w:tcPr>
          <w:p w:rsidRPr="005E1DC9" w:rsidR="005E1DC9" w:rsidP="005E1DC9" w:rsidRDefault="005E1DC9" w14:paraId="3BDC9A97" w14:textId="77777777">
            <w:pPr>
              <w:jc w:val="right"/>
              <w:rPr>
                <w:color w:val="000000"/>
                <w:sz w:val="22"/>
                <w:szCs w:val="22"/>
              </w:rPr>
            </w:pPr>
            <w:r w:rsidRPr="005E1DC9">
              <w:rPr>
                <w:color w:val="000000"/>
                <w:sz w:val="22"/>
                <w:szCs w:val="22"/>
              </w:rPr>
              <w:t>25%</w:t>
            </w:r>
          </w:p>
        </w:tc>
        <w:tc>
          <w:tcPr>
            <w:tcW w:w="1304" w:type="dxa"/>
            <w:tcBorders>
              <w:top w:val="nil"/>
              <w:left w:val="nil"/>
              <w:bottom w:val="nil"/>
              <w:right w:val="nil"/>
            </w:tcBorders>
            <w:shd w:val="clear" w:color="auto" w:fill="auto"/>
            <w:noWrap/>
            <w:vAlign w:val="center"/>
            <w:hideMark/>
          </w:tcPr>
          <w:p w:rsidRPr="005E1DC9" w:rsidR="005E1DC9" w:rsidP="005E1DC9" w:rsidRDefault="005E1DC9" w14:paraId="19235971" w14:textId="77777777">
            <w:pPr>
              <w:jc w:val="right"/>
              <w:rPr>
                <w:color w:val="000000"/>
                <w:sz w:val="22"/>
                <w:szCs w:val="22"/>
              </w:rPr>
            </w:pPr>
            <w:r w:rsidRPr="005E1DC9">
              <w:rPr>
                <w:color w:val="000000"/>
                <w:sz w:val="22"/>
                <w:szCs w:val="22"/>
              </w:rPr>
              <w:t>97</w:t>
            </w:r>
          </w:p>
        </w:tc>
      </w:tr>
      <w:tr w:rsidRPr="005E1DC9" w:rsidR="005E1DC9" w:rsidTr="00652CE2" w14:paraId="293E5DEF" w14:textId="77777777">
        <w:trPr>
          <w:trHeight w:val="315"/>
        </w:trPr>
        <w:tc>
          <w:tcPr>
            <w:tcW w:w="5755" w:type="dxa"/>
            <w:gridSpan w:val="2"/>
            <w:tcBorders>
              <w:top w:val="dashed" w:color="auto" w:sz="4" w:space="0"/>
              <w:left w:val="nil"/>
              <w:bottom w:val="single" w:color="auto" w:sz="8" w:space="0"/>
              <w:right w:val="nil"/>
            </w:tcBorders>
            <w:shd w:val="clear" w:color="auto" w:fill="auto"/>
            <w:noWrap/>
            <w:vAlign w:val="bottom"/>
            <w:hideMark/>
          </w:tcPr>
          <w:p w:rsidRPr="005E1DC9" w:rsidR="005E1DC9" w:rsidP="005E1DC9" w:rsidRDefault="005E1DC9" w14:paraId="180200BC" w14:textId="77777777">
            <w:pPr>
              <w:rPr>
                <w:color w:val="000000"/>
                <w:sz w:val="22"/>
                <w:szCs w:val="22"/>
              </w:rPr>
            </w:pPr>
            <w:r w:rsidRPr="005E1DC9">
              <w:rPr>
                <w:color w:val="000000"/>
                <w:sz w:val="22"/>
                <w:szCs w:val="22"/>
              </w:rPr>
              <w:t>Total</w:t>
            </w:r>
          </w:p>
        </w:tc>
        <w:tc>
          <w:tcPr>
            <w:tcW w:w="1085" w:type="dxa"/>
            <w:tcBorders>
              <w:top w:val="dashed" w:color="auto" w:sz="4" w:space="0"/>
              <w:left w:val="nil"/>
              <w:bottom w:val="single" w:color="auto" w:sz="8" w:space="0"/>
              <w:right w:val="nil"/>
            </w:tcBorders>
            <w:shd w:val="clear" w:color="auto" w:fill="auto"/>
            <w:noWrap/>
            <w:vAlign w:val="center"/>
            <w:hideMark/>
          </w:tcPr>
          <w:p w:rsidRPr="005E1DC9" w:rsidR="005E1DC9" w:rsidP="005E1DC9" w:rsidRDefault="005E1DC9" w14:paraId="1FE2E6F8" w14:textId="77777777">
            <w:pPr>
              <w:jc w:val="right"/>
              <w:rPr>
                <w:color w:val="000000"/>
                <w:sz w:val="22"/>
                <w:szCs w:val="22"/>
              </w:rPr>
            </w:pPr>
            <w:r w:rsidRPr="005E1DC9">
              <w:rPr>
                <w:color w:val="000000"/>
                <w:sz w:val="22"/>
                <w:szCs w:val="22"/>
              </w:rPr>
              <w:t>38,090</w:t>
            </w:r>
          </w:p>
        </w:tc>
        <w:tc>
          <w:tcPr>
            <w:tcW w:w="1216" w:type="dxa"/>
            <w:tcBorders>
              <w:top w:val="dashed" w:color="auto" w:sz="4" w:space="0"/>
              <w:left w:val="nil"/>
              <w:bottom w:val="single" w:color="auto" w:sz="8" w:space="0"/>
              <w:right w:val="nil"/>
            </w:tcBorders>
            <w:shd w:val="clear" w:color="auto" w:fill="auto"/>
            <w:noWrap/>
            <w:vAlign w:val="center"/>
            <w:hideMark/>
          </w:tcPr>
          <w:p w:rsidRPr="005E1DC9" w:rsidR="005E1DC9" w:rsidP="005E1DC9" w:rsidRDefault="005E1DC9" w14:paraId="5EC3742F" w14:textId="77777777">
            <w:pPr>
              <w:jc w:val="right"/>
              <w:rPr>
                <w:color w:val="000000"/>
                <w:sz w:val="22"/>
                <w:szCs w:val="22"/>
              </w:rPr>
            </w:pPr>
            <w:r w:rsidRPr="005E1DC9">
              <w:rPr>
                <w:color w:val="000000"/>
                <w:sz w:val="22"/>
                <w:szCs w:val="22"/>
              </w:rPr>
              <w:t>8%</w:t>
            </w:r>
          </w:p>
        </w:tc>
        <w:tc>
          <w:tcPr>
            <w:tcW w:w="1304" w:type="dxa"/>
            <w:tcBorders>
              <w:top w:val="dashed" w:color="auto" w:sz="4" w:space="0"/>
              <w:left w:val="nil"/>
              <w:bottom w:val="single" w:color="auto" w:sz="8" w:space="0"/>
              <w:right w:val="nil"/>
            </w:tcBorders>
            <w:shd w:val="clear" w:color="auto" w:fill="auto"/>
            <w:noWrap/>
            <w:vAlign w:val="bottom"/>
            <w:hideMark/>
          </w:tcPr>
          <w:p w:rsidRPr="005E1DC9" w:rsidR="005E1DC9" w:rsidP="005E1DC9" w:rsidRDefault="005E1DC9" w14:paraId="0B4D22D8" w14:textId="77777777">
            <w:pPr>
              <w:jc w:val="right"/>
              <w:rPr>
                <w:color w:val="000000"/>
                <w:sz w:val="22"/>
                <w:szCs w:val="22"/>
              </w:rPr>
            </w:pPr>
            <w:r w:rsidRPr="005E1DC9">
              <w:rPr>
                <w:color w:val="000000"/>
                <w:sz w:val="22"/>
                <w:szCs w:val="22"/>
              </w:rPr>
              <w:t xml:space="preserve">3,233 </w:t>
            </w:r>
          </w:p>
        </w:tc>
      </w:tr>
      <w:tr w:rsidRPr="005E1DC9" w:rsidR="005E1DC9" w:rsidTr="00652CE2" w14:paraId="5134BC8A" w14:textId="77777777">
        <w:trPr>
          <w:trHeight w:val="300"/>
        </w:trPr>
        <w:tc>
          <w:tcPr>
            <w:tcW w:w="5755" w:type="dxa"/>
            <w:gridSpan w:val="2"/>
            <w:tcBorders>
              <w:top w:val="nil"/>
              <w:left w:val="nil"/>
              <w:bottom w:val="nil"/>
              <w:right w:val="nil"/>
            </w:tcBorders>
            <w:shd w:val="clear" w:color="auto" w:fill="auto"/>
            <w:noWrap/>
            <w:vAlign w:val="bottom"/>
            <w:hideMark/>
          </w:tcPr>
          <w:p w:rsidRPr="005E1DC9" w:rsidR="005E1DC9" w:rsidP="005E1DC9" w:rsidRDefault="005E1DC9" w14:paraId="58A66CC5" w14:textId="77777777">
            <w:pPr>
              <w:ind w:right="-566"/>
              <w:rPr>
                <w:color w:val="000000"/>
                <w:sz w:val="22"/>
                <w:szCs w:val="22"/>
              </w:rPr>
            </w:pPr>
            <w:r w:rsidRPr="005E1DC9">
              <w:rPr>
                <w:color w:val="000000"/>
                <w:sz w:val="22"/>
                <w:szCs w:val="22"/>
                <w:vertAlign w:val="superscript"/>
              </w:rPr>
              <w:t>a</w:t>
            </w:r>
            <w:r w:rsidRPr="005E1DC9">
              <w:rPr>
                <w:color w:val="000000"/>
                <w:sz w:val="22"/>
                <w:szCs w:val="22"/>
              </w:rPr>
              <w:t>Source: 2017 Form 5500 Schedule C Data.</w:t>
            </w:r>
          </w:p>
        </w:tc>
        <w:tc>
          <w:tcPr>
            <w:tcW w:w="1085" w:type="dxa"/>
            <w:tcBorders>
              <w:top w:val="nil"/>
              <w:left w:val="nil"/>
              <w:bottom w:val="nil"/>
              <w:right w:val="nil"/>
            </w:tcBorders>
            <w:shd w:val="clear" w:color="auto" w:fill="auto"/>
            <w:vAlign w:val="bottom"/>
            <w:hideMark/>
          </w:tcPr>
          <w:p w:rsidRPr="005E1DC9" w:rsidR="005E1DC9" w:rsidP="005E1DC9" w:rsidRDefault="005E1DC9" w14:paraId="03A79E55" w14:textId="77777777">
            <w:pPr>
              <w:ind w:left="263" w:hanging="7"/>
              <w:rPr>
                <w:color w:val="000000"/>
                <w:sz w:val="22"/>
                <w:szCs w:val="22"/>
              </w:rPr>
            </w:pPr>
          </w:p>
        </w:tc>
        <w:tc>
          <w:tcPr>
            <w:tcW w:w="1216" w:type="dxa"/>
            <w:tcBorders>
              <w:top w:val="nil"/>
              <w:left w:val="nil"/>
              <w:bottom w:val="nil"/>
              <w:right w:val="nil"/>
            </w:tcBorders>
            <w:shd w:val="clear" w:color="auto" w:fill="auto"/>
            <w:vAlign w:val="bottom"/>
            <w:hideMark/>
          </w:tcPr>
          <w:p w:rsidRPr="005E1DC9" w:rsidR="005E1DC9" w:rsidP="005E1DC9" w:rsidRDefault="005E1DC9" w14:paraId="5071D169" w14:textId="77777777">
            <w:pPr>
              <w:rPr>
                <w:sz w:val="20"/>
                <w:szCs w:val="20"/>
              </w:rPr>
            </w:pPr>
          </w:p>
        </w:tc>
        <w:tc>
          <w:tcPr>
            <w:tcW w:w="1304" w:type="dxa"/>
            <w:tcBorders>
              <w:top w:val="nil"/>
              <w:left w:val="nil"/>
              <w:bottom w:val="nil"/>
              <w:right w:val="nil"/>
            </w:tcBorders>
            <w:shd w:val="clear" w:color="auto" w:fill="auto"/>
            <w:vAlign w:val="bottom"/>
            <w:hideMark/>
          </w:tcPr>
          <w:p w:rsidRPr="005E1DC9" w:rsidR="005E1DC9" w:rsidP="005E1DC9" w:rsidRDefault="005E1DC9" w14:paraId="397B7B44" w14:textId="77777777">
            <w:pPr>
              <w:rPr>
                <w:sz w:val="20"/>
                <w:szCs w:val="20"/>
              </w:rPr>
            </w:pPr>
          </w:p>
        </w:tc>
      </w:tr>
      <w:tr w:rsidRPr="005E1DC9" w:rsidR="005E1DC9" w:rsidTr="00652CE2" w14:paraId="65EB65A3" w14:textId="77777777">
        <w:trPr>
          <w:trHeight w:val="600"/>
        </w:trPr>
        <w:tc>
          <w:tcPr>
            <w:tcW w:w="9360" w:type="dxa"/>
            <w:gridSpan w:val="5"/>
            <w:tcBorders>
              <w:top w:val="nil"/>
              <w:left w:val="nil"/>
              <w:bottom w:val="nil"/>
              <w:right w:val="nil"/>
            </w:tcBorders>
            <w:shd w:val="clear" w:color="auto" w:fill="auto"/>
            <w:vAlign w:val="bottom"/>
            <w:hideMark/>
          </w:tcPr>
          <w:p w:rsidRPr="005E1DC9" w:rsidR="005E1DC9" w:rsidP="005E1DC9" w:rsidRDefault="005E1DC9" w14:paraId="6F31D5FE" w14:textId="77777777">
            <w:pPr>
              <w:rPr>
                <w:color w:val="000000"/>
                <w:sz w:val="22"/>
                <w:szCs w:val="22"/>
              </w:rPr>
            </w:pPr>
            <w:r w:rsidRPr="005E1DC9">
              <w:rPr>
                <w:color w:val="000000"/>
                <w:sz w:val="22"/>
                <w:szCs w:val="22"/>
                <w:vertAlign w:val="superscript"/>
              </w:rPr>
              <w:t>b</w:t>
            </w:r>
            <w:r w:rsidRPr="005E1DC9">
              <w:rPr>
                <w:color w:val="000000"/>
                <w:sz w:val="22"/>
                <w:szCs w:val="22"/>
              </w:rPr>
              <w:t xml:space="preserve">Source: National Association of Professional Employers, </w:t>
            </w:r>
            <w:r w:rsidRPr="005E1DC9" w:rsidR="00610EE8">
              <w:rPr>
                <w:color w:val="0000FF"/>
                <w:sz w:val="22"/>
                <w:szCs w:val="22"/>
                <w:u w:val="single"/>
              </w:rPr>
              <w:t>https://www.napeo.org/what-is-a-peo/about-the-peo-industry/industry-statistics</w:t>
            </w:r>
            <w:r w:rsidRPr="005E1DC9">
              <w:rPr>
                <w:color w:val="0000FF"/>
                <w:sz w:val="22"/>
                <w:szCs w:val="22"/>
                <w:u w:val="single"/>
              </w:rPr>
              <w:t>.</w:t>
            </w:r>
          </w:p>
        </w:tc>
      </w:tr>
      <w:tr w:rsidRPr="005E1DC9" w:rsidR="005E1DC9" w:rsidTr="00652CE2" w14:paraId="2B0B3CCF" w14:textId="77777777">
        <w:trPr>
          <w:trHeight w:val="600"/>
        </w:trPr>
        <w:tc>
          <w:tcPr>
            <w:tcW w:w="9360" w:type="dxa"/>
            <w:gridSpan w:val="5"/>
            <w:tcBorders>
              <w:top w:val="nil"/>
              <w:left w:val="nil"/>
              <w:bottom w:val="nil"/>
              <w:right w:val="nil"/>
            </w:tcBorders>
            <w:shd w:val="clear" w:color="auto" w:fill="auto"/>
            <w:vAlign w:val="bottom"/>
            <w:hideMark/>
          </w:tcPr>
          <w:p w:rsidRPr="005E1DC9" w:rsidR="005E1DC9" w:rsidP="005E1DC9" w:rsidRDefault="005E1DC9" w14:paraId="12A6FB81" w14:textId="77777777">
            <w:pPr>
              <w:rPr>
                <w:color w:val="000000"/>
                <w:sz w:val="22"/>
                <w:szCs w:val="22"/>
              </w:rPr>
            </w:pPr>
            <w:r w:rsidRPr="005E1DC9">
              <w:rPr>
                <w:color w:val="000000"/>
                <w:sz w:val="22"/>
                <w:szCs w:val="22"/>
                <w:vertAlign w:val="superscript"/>
              </w:rPr>
              <w:t>c</w:t>
            </w:r>
            <w:r w:rsidRPr="005E1DC9">
              <w:rPr>
                <w:color w:val="000000"/>
                <w:sz w:val="22"/>
                <w:szCs w:val="22"/>
              </w:rPr>
              <w:t>Source: Association of Chamber of Commerce Executives reports that there are 4,000 chambers with at least one full-time staff person.</w:t>
            </w:r>
          </w:p>
        </w:tc>
      </w:tr>
      <w:tr w:rsidRPr="005E1DC9" w:rsidR="005E1DC9" w:rsidTr="00652CE2" w14:paraId="587B6D33" w14:textId="77777777">
        <w:trPr>
          <w:trHeight w:val="600"/>
        </w:trPr>
        <w:tc>
          <w:tcPr>
            <w:tcW w:w="9360" w:type="dxa"/>
            <w:gridSpan w:val="5"/>
            <w:tcBorders>
              <w:top w:val="nil"/>
              <w:left w:val="nil"/>
              <w:bottom w:val="nil"/>
              <w:right w:val="nil"/>
            </w:tcBorders>
            <w:shd w:val="clear" w:color="auto" w:fill="auto"/>
            <w:vAlign w:val="bottom"/>
            <w:hideMark/>
          </w:tcPr>
          <w:p w:rsidRPr="005E1DC9" w:rsidR="005E1DC9" w:rsidP="005E1DC9" w:rsidRDefault="005E1DC9" w14:paraId="6928ACD6" w14:textId="77777777">
            <w:pPr>
              <w:rPr>
                <w:color w:val="000000"/>
                <w:sz w:val="22"/>
                <w:szCs w:val="22"/>
              </w:rPr>
            </w:pPr>
            <w:r w:rsidRPr="005E1DC9">
              <w:rPr>
                <w:color w:val="000000"/>
                <w:sz w:val="22"/>
                <w:szCs w:val="22"/>
                <w:vertAlign w:val="superscript"/>
              </w:rPr>
              <w:t>d</w:t>
            </w:r>
            <w:r w:rsidRPr="005E1DC9">
              <w:rPr>
                <w:color w:val="000000"/>
                <w:sz w:val="22"/>
                <w:szCs w:val="22"/>
              </w:rPr>
              <w:t>Source: 2019 FINRA Industry Snapshot.  FINRA reported 3,607 FINRA registered firms in 2018, 173 of which had 500 or more registered representatives.</w:t>
            </w:r>
          </w:p>
        </w:tc>
      </w:tr>
      <w:tr w:rsidRPr="005E1DC9" w:rsidR="005E1DC9" w:rsidTr="00652CE2" w14:paraId="59E7DFEE" w14:textId="77777777">
        <w:trPr>
          <w:trHeight w:val="300"/>
        </w:trPr>
        <w:tc>
          <w:tcPr>
            <w:tcW w:w="5755" w:type="dxa"/>
            <w:gridSpan w:val="2"/>
            <w:tcBorders>
              <w:top w:val="nil"/>
              <w:left w:val="nil"/>
              <w:bottom w:val="nil"/>
              <w:right w:val="nil"/>
            </w:tcBorders>
            <w:shd w:val="clear" w:color="auto" w:fill="auto"/>
            <w:vAlign w:val="bottom"/>
            <w:hideMark/>
          </w:tcPr>
          <w:p w:rsidRPr="005E1DC9" w:rsidR="005E1DC9" w:rsidP="005E1DC9" w:rsidRDefault="005E1DC9" w14:paraId="1219271B" w14:textId="77777777">
            <w:pPr>
              <w:rPr>
                <w:color w:val="000000"/>
                <w:sz w:val="22"/>
                <w:szCs w:val="22"/>
              </w:rPr>
            </w:pPr>
          </w:p>
        </w:tc>
        <w:tc>
          <w:tcPr>
            <w:tcW w:w="1085" w:type="dxa"/>
            <w:tcBorders>
              <w:top w:val="nil"/>
              <w:left w:val="nil"/>
              <w:bottom w:val="nil"/>
              <w:right w:val="nil"/>
            </w:tcBorders>
            <w:shd w:val="clear" w:color="auto" w:fill="auto"/>
            <w:vAlign w:val="bottom"/>
            <w:hideMark/>
          </w:tcPr>
          <w:p w:rsidRPr="005E1DC9" w:rsidR="005E1DC9" w:rsidP="005E1DC9" w:rsidRDefault="005E1DC9" w14:paraId="69FDE7A9" w14:textId="77777777">
            <w:pPr>
              <w:rPr>
                <w:color w:val="000000"/>
                <w:sz w:val="22"/>
                <w:szCs w:val="22"/>
              </w:rPr>
            </w:pPr>
          </w:p>
        </w:tc>
        <w:tc>
          <w:tcPr>
            <w:tcW w:w="1216" w:type="dxa"/>
            <w:tcBorders>
              <w:top w:val="nil"/>
              <w:left w:val="nil"/>
              <w:bottom w:val="nil"/>
              <w:right w:val="nil"/>
            </w:tcBorders>
            <w:shd w:val="clear" w:color="auto" w:fill="auto"/>
            <w:vAlign w:val="bottom"/>
            <w:hideMark/>
          </w:tcPr>
          <w:p w:rsidRPr="005E1DC9" w:rsidR="005E1DC9" w:rsidP="005E1DC9" w:rsidRDefault="005E1DC9" w14:paraId="4CAD28B8" w14:textId="77777777">
            <w:pPr>
              <w:rPr>
                <w:sz w:val="20"/>
                <w:szCs w:val="20"/>
              </w:rPr>
            </w:pPr>
          </w:p>
        </w:tc>
        <w:tc>
          <w:tcPr>
            <w:tcW w:w="1304" w:type="dxa"/>
            <w:tcBorders>
              <w:top w:val="nil"/>
              <w:left w:val="nil"/>
              <w:bottom w:val="nil"/>
              <w:right w:val="nil"/>
            </w:tcBorders>
            <w:shd w:val="clear" w:color="auto" w:fill="auto"/>
            <w:vAlign w:val="bottom"/>
            <w:hideMark/>
          </w:tcPr>
          <w:p w:rsidRPr="005E1DC9" w:rsidR="005E1DC9" w:rsidP="005E1DC9" w:rsidRDefault="005E1DC9" w14:paraId="29FFEB05" w14:textId="77777777">
            <w:pPr>
              <w:rPr>
                <w:sz w:val="20"/>
                <w:szCs w:val="20"/>
              </w:rPr>
            </w:pPr>
          </w:p>
        </w:tc>
      </w:tr>
      <w:tr w:rsidRPr="005E1DC9" w:rsidR="005E1DC9" w:rsidTr="00652CE2" w14:paraId="796C4815" w14:textId="77777777">
        <w:trPr>
          <w:trHeight w:val="300"/>
        </w:trPr>
        <w:tc>
          <w:tcPr>
            <w:tcW w:w="6840" w:type="dxa"/>
            <w:gridSpan w:val="3"/>
            <w:tcBorders>
              <w:top w:val="nil"/>
              <w:left w:val="nil"/>
              <w:bottom w:val="nil"/>
              <w:right w:val="nil"/>
            </w:tcBorders>
            <w:shd w:val="clear" w:color="auto" w:fill="auto"/>
            <w:noWrap/>
            <w:vAlign w:val="bottom"/>
            <w:hideMark/>
          </w:tcPr>
          <w:p w:rsidRPr="005E1DC9" w:rsidR="005E1DC9" w:rsidP="005E1DC9" w:rsidRDefault="005E1DC9" w14:paraId="2F868162" w14:textId="77777777">
            <w:pPr>
              <w:rPr>
                <w:color w:val="000000"/>
                <w:sz w:val="22"/>
                <w:szCs w:val="22"/>
              </w:rPr>
            </w:pPr>
            <w:r w:rsidRPr="005E1DC9">
              <w:rPr>
                <w:color w:val="000000"/>
                <w:sz w:val="22"/>
                <w:szCs w:val="22"/>
                <w:vertAlign w:val="superscript"/>
              </w:rPr>
              <w:t>e</w:t>
            </w:r>
            <w:r w:rsidRPr="005E1DC9">
              <w:rPr>
                <w:color w:val="000000"/>
                <w:sz w:val="22"/>
                <w:szCs w:val="22"/>
              </w:rPr>
              <w:t>Source: National Association of Insurance Commissioners.</w:t>
            </w:r>
          </w:p>
        </w:tc>
        <w:tc>
          <w:tcPr>
            <w:tcW w:w="1216" w:type="dxa"/>
            <w:tcBorders>
              <w:top w:val="nil"/>
              <w:left w:val="nil"/>
              <w:bottom w:val="nil"/>
              <w:right w:val="nil"/>
            </w:tcBorders>
            <w:shd w:val="clear" w:color="auto" w:fill="auto"/>
            <w:vAlign w:val="bottom"/>
            <w:hideMark/>
          </w:tcPr>
          <w:p w:rsidRPr="005E1DC9" w:rsidR="005E1DC9" w:rsidP="005E1DC9" w:rsidRDefault="005E1DC9" w14:paraId="561E50DC" w14:textId="77777777">
            <w:pPr>
              <w:rPr>
                <w:color w:val="000000"/>
                <w:sz w:val="22"/>
                <w:szCs w:val="22"/>
              </w:rPr>
            </w:pPr>
          </w:p>
        </w:tc>
        <w:tc>
          <w:tcPr>
            <w:tcW w:w="1304" w:type="dxa"/>
            <w:tcBorders>
              <w:top w:val="nil"/>
              <w:left w:val="nil"/>
              <w:bottom w:val="nil"/>
              <w:right w:val="nil"/>
            </w:tcBorders>
            <w:shd w:val="clear" w:color="auto" w:fill="auto"/>
            <w:vAlign w:val="bottom"/>
            <w:hideMark/>
          </w:tcPr>
          <w:p w:rsidRPr="005E1DC9" w:rsidR="005E1DC9" w:rsidP="005E1DC9" w:rsidRDefault="005E1DC9" w14:paraId="6410F3F7" w14:textId="77777777">
            <w:pPr>
              <w:rPr>
                <w:sz w:val="20"/>
                <w:szCs w:val="20"/>
              </w:rPr>
            </w:pPr>
          </w:p>
        </w:tc>
      </w:tr>
    </w:tbl>
    <w:p w:rsidR="00C13E87" w:rsidP="009B5258" w:rsidRDefault="00C13E87" w14:paraId="4A164969" w14:textId="77777777">
      <w:pPr>
        <w:pStyle w:val="BodyTextIndent"/>
      </w:pPr>
    </w:p>
    <w:p w:rsidR="009B6390" w:rsidP="00B73250" w:rsidRDefault="009B6390" w14:paraId="299DA03B" w14:textId="77777777">
      <w:pPr>
        <w:spacing w:before="100" w:beforeAutospacing="1" w:after="100" w:afterAutospacing="1"/>
        <w:ind w:left="1080"/>
      </w:pPr>
      <w:r w:rsidRPr="009B6390">
        <w:t>If the pooled plan provider does not begin operating any new pooled employer plans, does not change its contact information, or does not experience any changes as described in the final rule, it may go for a period of months or years without needing to supplement its registration.  The Department anticipates that this will often be the case.</w:t>
      </w:r>
    </w:p>
    <w:p w:rsidRPr="00D43A5B" w:rsidR="00626677" w:rsidP="00B73250" w:rsidRDefault="009B6390" w14:paraId="497E8290" w14:textId="33D5E40D">
      <w:pPr>
        <w:spacing w:before="100" w:beforeAutospacing="1" w:after="100" w:afterAutospacing="1"/>
        <w:ind w:left="1080"/>
      </w:pPr>
      <w:r w:rsidRPr="009B6390">
        <w:t xml:space="preserve">Pooled plan providers are required to file a supplemental filing </w:t>
      </w:r>
      <w:r w:rsidRPr="009B42BD" w:rsidR="009B42BD">
        <w:t>within the later of 30 days after the calendar quarter in which the change occurred or 45 days after a change occurred</w:t>
      </w:r>
      <w:r w:rsidR="009B42BD">
        <w:t>.</w:t>
      </w:r>
      <w:r w:rsidRPr="009B6390">
        <w:t xml:space="preserve">  </w:t>
      </w:r>
      <w:r w:rsidR="00626677">
        <w:t>The supplemental filing</w:t>
      </w:r>
      <w:r w:rsidRPr="00D43A5B" w:rsidR="00626677">
        <w:t xml:space="preserve"> requirement is similar to</w:t>
      </w:r>
      <w:r w:rsidR="00626677">
        <w:t>, although more limited than,</w:t>
      </w:r>
      <w:r w:rsidRPr="00D43A5B" w:rsidR="00626677">
        <w:t xml:space="preserve"> </w:t>
      </w:r>
      <w:r w:rsidR="00626677">
        <w:t xml:space="preserve">filers’ obligations with respect to </w:t>
      </w:r>
      <w:r w:rsidRPr="00D43A5B" w:rsidR="00626677">
        <w:t>the</w:t>
      </w:r>
      <w:r w:rsidR="006709B1">
        <w:t xml:space="preserve"> Department’s current </w:t>
      </w:r>
      <w:r w:rsidRPr="00D43A5B" w:rsidR="00626677">
        <w:t>Form M-1</w:t>
      </w:r>
      <w:r w:rsidR="006709B1">
        <w:t xml:space="preserve"> filed by certain multiple employer welfare arrangements and entities. </w:t>
      </w:r>
      <w:r w:rsidRPr="00D43A5B" w:rsidR="00626677">
        <w:t xml:space="preserve"> Approximately </w:t>
      </w:r>
      <w:r w:rsidR="00626677">
        <w:t>seven</w:t>
      </w:r>
      <w:r w:rsidRPr="00D43A5B" w:rsidR="00626677">
        <w:t xml:space="preserve"> percent of entities filing a Form M-1 in 2017 submitted an additional filing after undergoing a material change.  Assuming pooled plan providers will behave similar</w:t>
      </w:r>
      <w:r w:rsidR="000A27BE">
        <w:t>ly</w:t>
      </w:r>
      <w:r w:rsidRPr="00D43A5B" w:rsidR="00626677">
        <w:t xml:space="preserve">, the Department expects </w:t>
      </w:r>
      <w:r w:rsidR="000A27BE">
        <w:t>that approximately</w:t>
      </w:r>
      <w:r w:rsidRPr="00D43A5B" w:rsidR="00626677">
        <w:t xml:space="preserve"> 230 pooled plan providers </w:t>
      </w:r>
      <w:r w:rsidR="000A27BE">
        <w:t>will</w:t>
      </w:r>
      <w:r w:rsidRPr="00D43A5B" w:rsidR="00626677">
        <w:t xml:space="preserve"> submit </w:t>
      </w:r>
      <w:r w:rsidR="00626677">
        <w:t>supplemental</w:t>
      </w:r>
      <w:r w:rsidRPr="00D43A5B" w:rsidR="00626677">
        <w:t xml:space="preserve"> filings documenting material changes annually, including in the first year.</w:t>
      </w:r>
    </w:p>
    <w:p w:rsidR="00357006" w:rsidP="00B73250" w:rsidRDefault="00357006" w14:paraId="171F5601" w14:textId="77777777">
      <w:pPr>
        <w:spacing w:before="100" w:beforeAutospacing="1" w:after="100" w:afterAutospacing="1"/>
        <w:ind w:left="1080"/>
      </w:pPr>
      <w:r w:rsidRPr="00357006">
        <w:t xml:space="preserve">The supplemental filing amends the original registration to include employer identification numbers (EINs) and contact information for pooled employer plans that begin operations, cease operations, or experience material changes relevant to the pooled plan provider’s fiduciary duties (including, for example, bankruptcy, litigation, and criminal or regulatory enforcement actions involving fraud or dishonesty).  Accordingly, the Department estimates the supplemental filing will take 30 minutes for pooled plan providers to submit.  The Department does not believe, however, that the pooled plan provider will incur any additional costs beyond the labor costs necessary to collect and submit this information.  The Department estimates that there will be 3,460 filings under the second part of this requirement in the first year, imposing a burden of 1,730 hours, with an equivalent cost of $287,000.   </w:t>
      </w:r>
    </w:p>
    <w:p w:rsidRPr="00D43A5B" w:rsidR="00626677" w:rsidP="00B73250" w:rsidRDefault="00626677" w14:paraId="551E68EF" w14:textId="5AA11F63">
      <w:pPr>
        <w:spacing w:before="100" w:beforeAutospacing="1" w:after="100" w:afterAutospacing="1"/>
        <w:ind w:left="1080"/>
      </w:pPr>
      <w:r w:rsidRPr="00D43A5B">
        <w:t xml:space="preserve">In subsequent years, the Department </w:t>
      </w:r>
      <w:r w:rsidR="006709B1">
        <w:t>assum</w:t>
      </w:r>
      <w:r w:rsidR="00860811">
        <w:t>es</w:t>
      </w:r>
      <w:r w:rsidR="006709B1">
        <w:t xml:space="preserve"> for purposes of the </w:t>
      </w:r>
      <w:r w:rsidR="00634E2C">
        <w:t>final rule</w:t>
      </w:r>
      <w:r w:rsidR="006709B1">
        <w:t xml:space="preserve"> </w:t>
      </w:r>
      <w:r w:rsidRPr="00D43A5B">
        <w:t xml:space="preserve">that the percentage of pooled plan providers reporting beginning or ceasing operations of pooled employer plans will </w:t>
      </w:r>
      <w:r>
        <w:t xml:space="preserve">roughly parallel the experience </w:t>
      </w:r>
      <w:r w:rsidRPr="00D43A5B">
        <w:t xml:space="preserve">of Form M-1 filers.  Approximately 14 percent of Form M-1 filers indicated they began operations in 2017, while </w:t>
      </w:r>
      <w:r>
        <w:t>six</w:t>
      </w:r>
      <w:r w:rsidRPr="00D43A5B">
        <w:t xml:space="preserve"> percent indicated they ceased operations.  Assuming pooled plan providers behave similar</w:t>
      </w:r>
      <w:r w:rsidR="00860811">
        <w:t>ly</w:t>
      </w:r>
      <w:r w:rsidRPr="00D43A5B">
        <w:t xml:space="preserve">, the Department expects an additional 650 registrations related to beginning or ceasing operations </w:t>
      </w:r>
      <w:r w:rsidR="00860811">
        <w:t xml:space="preserve">to be filed </w:t>
      </w:r>
      <w:r w:rsidRPr="00D43A5B">
        <w:t>annually in subsequent years.</w:t>
      </w:r>
      <w:r w:rsidRPr="00D43A5B">
        <w:rPr>
          <w:vertAlign w:val="superscript"/>
        </w:rPr>
        <w:footnoteReference w:id="3"/>
      </w:r>
      <w:r w:rsidRPr="00D43A5B">
        <w:t xml:space="preserve">  These filings require an hour burden of 324 hours with an equivalent cost of nearly $54,000 in subsequent years. </w:t>
      </w:r>
    </w:p>
    <w:p w:rsidRPr="00D43A5B" w:rsidR="00626677" w:rsidP="00B73250" w:rsidRDefault="000A27BE" w14:paraId="7A77ADA1" w14:textId="51FA4C5E">
      <w:pPr>
        <w:spacing w:before="100" w:beforeAutospacing="1" w:after="100" w:afterAutospacing="1"/>
        <w:ind w:left="1080"/>
      </w:pPr>
      <w:r>
        <w:t>Based on the foregoing, t</w:t>
      </w:r>
      <w:r w:rsidRPr="00D43A5B" w:rsidR="00626677">
        <w:t>he estimated total burden of this information collection is 4,155 hours, with an equivalent cost of $688,000, in the first year and 437 hours, with an equivalent cost of $72,400, in subsequent years.</w:t>
      </w:r>
      <w:r w:rsidRPr="00D43A5B" w:rsidR="00626677">
        <w:rPr>
          <w:vertAlign w:val="superscript"/>
        </w:rPr>
        <w:footnoteReference w:id="4"/>
      </w:r>
    </w:p>
    <w:p w:rsidR="00626677" w:rsidP="005A1DB1" w:rsidRDefault="003A2605" w14:paraId="0CA71492" w14:textId="75A83BEB">
      <w:pPr>
        <w:spacing w:before="100" w:beforeAutospacing="1" w:after="100" w:afterAutospacing="1"/>
        <w:ind w:left="1080"/>
      </w:pPr>
      <w:r w:rsidRPr="003A2605">
        <w:t>The Department expects many pooled plan providers will file the first part of registrations in the initial year, and significantly fewer will file in subsequent years as the market stabilizes.  Incidents of filing updated and amended registration statements are expected to increase after the first year, as pooled employer plans enter and exit the market</w:t>
      </w:r>
      <w:r w:rsidR="000A27BE">
        <w:t xml:space="preserve"> and</w:t>
      </w:r>
      <w:r w:rsidRPr="003A2605">
        <w:t xml:space="preserve"> change service providers and change pooled employer plan offerings.</w:t>
      </w:r>
    </w:p>
    <w:tbl>
      <w:tblPr>
        <w:tblW w:w="7483" w:type="dxa"/>
        <w:tblInd w:w="1332" w:type="dxa"/>
        <w:tblLook w:val="04A0" w:firstRow="1" w:lastRow="0" w:firstColumn="1" w:lastColumn="0" w:noHBand="0" w:noVBand="1"/>
      </w:tblPr>
      <w:tblGrid>
        <w:gridCol w:w="1239"/>
        <w:gridCol w:w="725"/>
        <w:gridCol w:w="972"/>
        <w:gridCol w:w="753"/>
        <w:gridCol w:w="974"/>
        <w:gridCol w:w="1340"/>
        <w:gridCol w:w="1480"/>
      </w:tblGrid>
      <w:tr w:rsidRPr="00AE45AD" w:rsidR="00AE45AD" w:rsidTr="00AE45AD" w14:paraId="357E9F72" w14:textId="77777777">
        <w:trPr>
          <w:trHeight w:val="315"/>
        </w:trPr>
        <w:tc>
          <w:tcPr>
            <w:tcW w:w="4663" w:type="dxa"/>
            <w:gridSpan w:val="5"/>
            <w:tcBorders>
              <w:top w:val="nil"/>
              <w:left w:val="nil"/>
              <w:bottom w:val="nil"/>
              <w:right w:val="nil"/>
            </w:tcBorders>
            <w:shd w:val="clear" w:color="auto" w:fill="auto"/>
            <w:noWrap/>
            <w:vAlign w:val="bottom"/>
            <w:hideMark/>
          </w:tcPr>
          <w:p w:rsidRPr="00AE45AD" w:rsidR="00AE45AD" w:rsidRDefault="00AE45AD" w14:paraId="61B1AF9F" w14:textId="77777777">
            <w:pPr>
              <w:rPr>
                <w:i/>
                <w:iCs/>
                <w:color w:val="000000"/>
                <w:sz w:val="20"/>
                <w:szCs w:val="20"/>
              </w:rPr>
            </w:pPr>
            <w:r w:rsidRPr="00AE45AD">
              <w:rPr>
                <w:color w:val="000000"/>
                <w:sz w:val="20"/>
                <w:szCs w:val="20"/>
              </w:rPr>
              <w:t>Table--</w:t>
            </w:r>
            <w:r w:rsidRPr="00AE45AD">
              <w:rPr>
                <w:i/>
                <w:iCs/>
                <w:color w:val="000000"/>
                <w:sz w:val="20"/>
                <w:szCs w:val="20"/>
              </w:rPr>
              <w:t>Pooled Plan Providers: Three Year Averages</w:t>
            </w:r>
          </w:p>
        </w:tc>
        <w:tc>
          <w:tcPr>
            <w:tcW w:w="1340" w:type="dxa"/>
            <w:tcBorders>
              <w:top w:val="nil"/>
              <w:left w:val="nil"/>
              <w:bottom w:val="nil"/>
              <w:right w:val="nil"/>
            </w:tcBorders>
            <w:shd w:val="clear" w:color="auto" w:fill="auto"/>
            <w:noWrap/>
            <w:vAlign w:val="bottom"/>
            <w:hideMark/>
          </w:tcPr>
          <w:p w:rsidRPr="00AE45AD" w:rsidR="00AE45AD" w:rsidP="00AE45AD" w:rsidRDefault="00AE45AD" w14:paraId="78AB5162" w14:textId="77777777">
            <w:pPr>
              <w:rPr>
                <w:i/>
                <w:iCs/>
                <w:color w:val="000000"/>
                <w:sz w:val="20"/>
                <w:szCs w:val="20"/>
              </w:rPr>
            </w:pPr>
          </w:p>
        </w:tc>
        <w:tc>
          <w:tcPr>
            <w:tcW w:w="1480" w:type="dxa"/>
            <w:tcBorders>
              <w:top w:val="nil"/>
              <w:left w:val="nil"/>
              <w:bottom w:val="nil"/>
              <w:right w:val="nil"/>
            </w:tcBorders>
            <w:shd w:val="clear" w:color="auto" w:fill="auto"/>
            <w:noWrap/>
            <w:vAlign w:val="bottom"/>
            <w:hideMark/>
          </w:tcPr>
          <w:p w:rsidRPr="00AE45AD" w:rsidR="00AE45AD" w:rsidP="00AE45AD" w:rsidRDefault="00AE45AD" w14:paraId="5F5E08A6" w14:textId="77777777">
            <w:pPr>
              <w:rPr>
                <w:sz w:val="20"/>
                <w:szCs w:val="20"/>
              </w:rPr>
            </w:pPr>
          </w:p>
        </w:tc>
      </w:tr>
      <w:tr w:rsidRPr="00AE45AD" w:rsidR="00AE45AD" w:rsidTr="00AE45AD" w14:paraId="584AA4F9" w14:textId="77777777">
        <w:trPr>
          <w:trHeight w:val="630"/>
        </w:trPr>
        <w:tc>
          <w:tcPr>
            <w:tcW w:w="1239" w:type="dxa"/>
            <w:tcBorders>
              <w:top w:val="single" w:color="auto" w:sz="8" w:space="0"/>
              <w:left w:val="nil"/>
              <w:bottom w:val="single" w:color="auto" w:sz="8" w:space="0"/>
              <w:right w:val="nil"/>
            </w:tcBorders>
            <w:shd w:val="clear" w:color="auto" w:fill="auto"/>
            <w:noWrap/>
            <w:vAlign w:val="bottom"/>
            <w:hideMark/>
          </w:tcPr>
          <w:p w:rsidRPr="00AE45AD" w:rsidR="00AE45AD" w:rsidP="00AE45AD" w:rsidRDefault="00AE45AD" w14:paraId="55B7BBC5" w14:textId="77777777">
            <w:pPr>
              <w:rPr>
                <w:color w:val="000000"/>
                <w:sz w:val="20"/>
                <w:szCs w:val="20"/>
              </w:rPr>
            </w:pPr>
            <w:r w:rsidRPr="00AE45AD">
              <w:rPr>
                <w:color w:val="000000"/>
                <w:sz w:val="20"/>
                <w:szCs w:val="20"/>
              </w:rPr>
              <w:t> </w:t>
            </w:r>
          </w:p>
        </w:tc>
        <w:tc>
          <w:tcPr>
            <w:tcW w:w="725" w:type="dxa"/>
            <w:tcBorders>
              <w:top w:val="single" w:color="auto" w:sz="8" w:space="0"/>
              <w:left w:val="nil"/>
              <w:bottom w:val="single" w:color="auto" w:sz="8" w:space="0"/>
              <w:right w:val="nil"/>
            </w:tcBorders>
            <w:shd w:val="clear" w:color="auto" w:fill="auto"/>
            <w:vAlign w:val="center"/>
            <w:hideMark/>
          </w:tcPr>
          <w:p w:rsidRPr="00AE45AD" w:rsidR="00AE45AD" w:rsidP="00AE45AD" w:rsidRDefault="00AE45AD" w14:paraId="04AB48DD" w14:textId="77777777">
            <w:pPr>
              <w:jc w:val="center"/>
              <w:rPr>
                <w:color w:val="000000"/>
                <w:sz w:val="20"/>
                <w:szCs w:val="20"/>
              </w:rPr>
            </w:pPr>
            <w:r w:rsidRPr="00AE45AD">
              <w:rPr>
                <w:color w:val="000000"/>
                <w:sz w:val="20"/>
                <w:szCs w:val="20"/>
              </w:rPr>
              <w:t>First Year</w:t>
            </w:r>
          </w:p>
        </w:tc>
        <w:tc>
          <w:tcPr>
            <w:tcW w:w="972" w:type="dxa"/>
            <w:tcBorders>
              <w:top w:val="single" w:color="auto" w:sz="8" w:space="0"/>
              <w:left w:val="nil"/>
              <w:bottom w:val="single" w:color="auto" w:sz="8" w:space="0"/>
              <w:right w:val="nil"/>
            </w:tcBorders>
            <w:shd w:val="clear" w:color="auto" w:fill="auto"/>
            <w:vAlign w:val="center"/>
            <w:hideMark/>
          </w:tcPr>
          <w:p w:rsidRPr="00AE45AD" w:rsidR="00AE45AD" w:rsidP="00AE45AD" w:rsidRDefault="00AE45AD" w14:paraId="3A170706" w14:textId="77777777">
            <w:pPr>
              <w:jc w:val="center"/>
              <w:rPr>
                <w:color w:val="000000"/>
                <w:sz w:val="20"/>
                <w:szCs w:val="20"/>
              </w:rPr>
            </w:pPr>
            <w:r w:rsidRPr="00AE45AD">
              <w:rPr>
                <w:color w:val="000000"/>
                <w:sz w:val="20"/>
                <w:szCs w:val="20"/>
              </w:rPr>
              <w:t>Second Year</w:t>
            </w:r>
          </w:p>
        </w:tc>
        <w:tc>
          <w:tcPr>
            <w:tcW w:w="753" w:type="dxa"/>
            <w:tcBorders>
              <w:top w:val="single" w:color="auto" w:sz="8" w:space="0"/>
              <w:left w:val="nil"/>
              <w:bottom w:val="single" w:color="auto" w:sz="8" w:space="0"/>
              <w:right w:val="nil"/>
            </w:tcBorders>
            <w:shd w:val="clear" w:color="auto" w:fill="auto"/>
            <w:vAlign w:val="center"/>
            <w:hideMark/>
          </w:tcPr>
          <w:p w:rsidRPr="00AE45AD" w:rsidR="00AE45AD" w:rsidP="00AE45AD" w:rsidRDefault="00AE45AD" w14:paraId="207548A0" w14:textId="77777777">
            <w:pPr>
              <w:jc w:val="center"/>
              <w:rPr>
                <w:color w:val="000000"/>
                <w:sz w:val="20"/>
                <w:szCs w:val="20"/>
              </w:rPr>
            </w:pPr>
            <w:r w:rsidRPr="00AE45AD">
              <w:rPr>
                <w:color w:val="000000"/>
                <w:sz w:val="20"/>
                <w:szCs w:val="20"/>
              </w:rPr>
              <w:t>Third Year</w:t>
            </w:r>
          </w:p>
        </w:tc>
        <w:tc>
          <w:tcPr>
            <w:tcW w:w="974" w:type="dxa"/>
            <w:tcBorders>
              <w:top w:val="single" w:color="auto" w:sz="8" w:space="0"/>
              <w:left w:val="nil"/>
              <w:bottom w:val="single" w:color="auto" w:sz="8" w:space="0"/>
              <w:right w:val="nil"/>
            </w:tcBorders>
            <w:shd w:val="clear" w:color="auto" w:fill="auto"/>
            <w:vAlign w:val="center"/>
            <w:hideMark/>
          </w:tcPr>
          <w:p w:rsidRPr="00AE45AD" w:rsidR="00AE45AD" w:rsidP="00AE45AD" w:rsidRDefault="00AE45AD" w14:paraId="4E6FD4A0" w14:textId="77777777">
            <w:pPr>
              <w:jc w:val="center"/>
              <w:rPr>
                <w:color w:val="000000"/>
                <w:sz w:val="20"/>
                <w:szCs w:val="20"/>
              </w:rPr>
            </w:pPr>
            <w:r w:rsidRPr="00AE45AD">
              <w:rPr>
                <w:color w:val="000000"/>
                <w:sz w:val="20"/>
                <w:szCs w:val="20"/>
              </w:rPr>
              <w:t>Average</w:t>
            </w:r>
          </w:p>
        </w:tc>
        <w:tc>
          <w:tcPr>
            <w:tcW w:w="1340" w:type="dxa"/>
            <w:vAlign w:val="center"/>
            <w:hideMark/>
          </w:tcPr>
          <w:p w:rsidRPr="00AE45AD" w:rsidR="00AE45AD" w:rsidP="00AE45AD" w:rsidRDefault="00AE45AD" w14:paraId="333CE84D" w14:textId="77777777">
            <w:pPr>
              <w:rPr>
                <w:sz w:val="20"/>
                <w:szCs w:val="20"/>
              </w:rPr>
            </w:pPr>
          </w:p>
        </w:tc>
        <w:tc>
          <w:tcPr>
            <w:tcW w:w="1480" w:type="dxa"/>
            <w:vAlign w:val="center"/>
            <w:hideMark/>
          </w:tcPr>
          <w:p w:rsidRPr="00AE45AD" w:rsidR="00AE45AD" w:rsidP="00AE45AD" w:rsidRDefault="00AE45AD" w14:paraId="42A89436" w14:textId="77777777">
            <w:pPr>
              <w:rPr>
                <w:sz w:val="20"/>
                <w:szCs w:val="20"/>
              </w:rPr>
            </w:pPr>
          </w:p>
        </w:tc>
      </w:tr>
      <w:tr w:rsidRPr="00AE45AD" w:rsidR="00AE45AD" w:rsidTr="00AE45AD" w14:paraId="2B85F344" w14:textId="77777777">
        <w:trPr>
          <w:trHeight w:val="300"/>
        </w:trPr>
        <w:tc>
          <w:tcPr>
            <w:tcW w:w="1239" w:type="dxa"/>
            <w:tcBorders>
              <w:top w:val="nil"/>
              <w:left w:val="nil"/>
              <w:bottom w:val="nil"/>
              <w:right w:val="nil"/>
            </w:tcBorders>
            <w:shd w:val="clear" w:color="auto" w:fill="auto"/>
            <w:noWrap/>
            <w:vAlign w:val="bottom"/>
            <w:hideMark/>
          </w:tcPr>
          <w:p w:rsidRPr="00AE45AD" w:rsidR="00AE45AD" w:rsidP="00AE45AD" w:rsidRDefault="00AE45AD" w14:paraId="42A7B7A1" w14:textId="77777777">
            <w:pPr>
              <w:rPr>
                <w:color w:val="000000"/>
                <w:sz w:val="20"/>
                <w:szCs w:val="20"/>
              </w:rPr>
            </w:pPr>
            <w:r w:rsidRPr="00AE45AD">
              <w:rPr>
                <w:color w:val="000000"/>
                <w:sz w:val="20"/>
                <w:szCs w:val="20"/>
              </w:rPr>
              <w:t>Respondents</w:t>
            </w:r>
          </w:p>
        </w:tc>
        <w:tc>
          <w:tcPr>
            <w:tcW w:w="725" w:type="dxa"/>
            <w:tcBorders>
              <w:top w:val="nil"/>
              <w:left w:val="nil"/>
              <w:bottom w:val="nil"/>
              <w:right w:val="nil"/>
            </w:tcBorders>
            <w:shd w:val="clear" w:color="auto" w:fill="auto"/>
            <w:vAlign w:val="center"/>
            <w:hideMark/>
          </w:tcPr>
          <w:p w:rsidRPr="00AE45AD" w:rsidR="00AE45AD" w:rsidP="00AE45AD" w:rsidRDefault="00AE45AD" w14:paraId="373C66CB" w14:textId="77777777">
            <w:pPr>
              <w:jc w:val="center"/>
              <w:rPr>
                <w:color w:val="000000"/>
                <w:sz w:val="20"/>
                <w:szCs w:val="20"/>
              </w:rPr>
            </w:pPr>
            <w:r w:rsidRPr="00AE45AD">
              <w:rPr>
                <w:color w:val="000000"/>
                <w:sz w:val="20"/>
                <w:szCs w:val="20"/>
              </w:rPr>
              <w:t xml:space="preserve">3,233 </w:t>
            </w:r>
          </w:p>
        </w:tc>
        <w:tc>
          <w:tcPr>
            <w:tcW w:w="972" w:type="dxa"/>
            <w:tcBorders>
              <w:top w:val="nil"/>
              <w:left w:val="nil"/>
              <w:bottom w:val="nil"/>
              <w:right w:val="nil"/>
            </w:tcBorders>
            <w:shd w:val="clear" w:color="auto" w:fill="auto"/>
            <w:noWrap/>
            <w:vAlign w:val="center"/>
            <w:hideMark/>
          </w:tcPr>
          <w:p w:rsidRPr="00AE45AD" w:rsidR="00AE45AD" w:rsidP="00AE45AD" w:rsidRDefault="00AE45AD" w14:paraId="23404247" w14:textId="77777777">
            <w:pPr>
              <w:jc w:val="center"/>
              <w:rPr>
                <w:color w:val="000000"/>
                <w:sz w:val="20"/>
                <w:szCs w:val="20"/>
              </w:rPr>
            </w:pPr>
            <w:r w:rsidRPr="00AE45AD">
              <w:rPr>
                <w:color w:val="000000"/>
                <w:sz w:val="20"/>
                <w:szCs w:val="20"/>
              </w:rPr>
              <w:t>873</w:t>
            </w:r>
          </w:p>
        </w:tc>
        <w:tc>
          <w:tcPr>
            <w:tcW w:w="753" w:type="dxa"/>
            <w:tcBorders>
              <w:top w:val="nil"/>
              <w:left w:val="nil"/>
              <w:bottom w:val="nil"/>
              <w:right w:val="nil"/>
            </w:tcBorders>
            <w:shd w:val="clear" w:color="auto" w:fill="auto"/>
            <w:noWrap/>
            <w:vAlign w:val="center"/>
            <w:hideMark/>
          </w:tcPr>
          <w:p w:rsidRPr="00AE45AD" w:rsidR="00AE45AD" w:rsidP="00AE45AD" w:rsidRDefault="00AE45AD" w14:paraId="733B7109" w14:textId="77777777">
            <w:pPr>
              <w:jc w:val="center"/>
              <w:rPr>
                <w:color w:val="000000"/>
                <w:sz w:val="20"/>
                <w:szCs w:val="20"/>
              </w:rPr>
            </w:pPr>
            <w:r w:rsidRPr="00AE45AD">
              <w:rPr>
                <w:color w:val="000000"/>
                <w:sz w:val="20"/>
                <w:szCs w:val="20"/>
              </w:rPr>
              <w:t>873</w:t>
            </w:r>
          </w:p>
        </w:tc>
        <w:tc>
          <w:tcPr>
            <w:tcW w:w="974" w:type="dxa"/>
            <w:tcBorders>
              <w:top w:val="nil"/>
              <w:left w:val="nil"/>
              <w:bottom w:val="nil"/>
              <w:right w:val="nil"/>
            </w:tcBorders>
            <w:shd w:val="clear" w:color="auto" w:fill="auto"/>
            <w:noWrap/>
            <w:vAlign w:val="center"/>
            <w:hideMark/>
          </w:tcPr>
          <w:p w:rsidRPr="00AE45AD" w:rsidR="00AE45AD" w:rsidP="00AE45AD" w:rsidRDefault="00AE45AD" w14:paraId="4A6C5EE7" w14:textId="77777777">
            <w:pPr>
              <w:jc w:val="center"/>
              <w:rPr>
                <w:color w:val="000000"/>
                <w:sz w:val="20"/>
                <w:szCs w:val="20"/>
              </w:rPr>
            </w:pPr>
            <w:r w:rsidRPr="00AE45AD">
              <w:rPr>
                <w:color w:val="000000"/>
                <w:sz w:val="20"/>
                <w:szCs w:val="20"/>
              </w:rPr>
              <w:t xml:space="preserve">1,660 </w:t>
            </w:r>
          </w:p>
        </w:tc>
        <w:tc>
          <w:tcPr>
            <w:tcW w:w="1340" w:type="dxa"/>
            <w:vAlign w:val="center"/>
            <w:hideMark/>
          </w:tcPr>
          <w:p w:rsidRPr="00AE45AD" w:rsidR="00AE45AD" w:rsidP="00AE45AD" w:rsidRDefault="00AE45AD" w14:paraId="3A81AED7" w14:textId="77777777">
            <w:pPr>
              <w:rPr>
                <w:sz w:val="20"/>
                <w:szCs w:val="20"/>
              </w:rPr>
            </w:pPr>
          </w:p>
        </w:tc>
        <w:tc>
          <w:tcPr>
            <w:tcW w:w="1480" w:type="dxa"/>
            <w:vAlign w:val="center"/>
            <w:hideMark/>
          </w:tcPr>
          <w:p w:rsidRPr="00AE45AD" w:rsidR="00AE45AD" w:rsidP="00AE45AD" w:rsidRDefault="00AE45AD" w14:paraId="1C1D4FAA" w14:textId="77777777">
            <w:pPr>
              <w:rPr>
                <w:sz w:val="20"/>
                <w:szCs w:val="20"/>
              </w:rPr>
            </w:pPr>
          </w:p>
        </w:tc>
      </w:tr>
      <w:tr w:rsidRPr="00AE45AD" w:rsidR="00AE45AD" w:rsidTr="00AE45AD" w14:paraId="277A4AAE" w14:textId="77777777">
        <w:trPr>
          <w:trHeight w:val="300"/>
        </w:trPr>
        <w:tc>
          <w:tcPr>
            <w:tcW w:w="1239" w:type="dxa"/>
            <w:tcBorders>
              <w:top w:val="nil"/>
              <w:left w:val="nil"/>
              <w:bottom w:val="nil"/>
              <w:right w:val="nil"/>
            </w:tcBorders>
            <w:shd w:val="clear" w:color="auto" w:fill="auto"/>
            <w:noWrap/>
            <w:vAlign w:val="bottom"/>
            <w:hideMark/>
          </w:tcPr>
          <w:p w:rsidRPr="00AE45AD" w:rsidR="00AE45AD" w:rsidP="00AE45AD" w:rsidRDefault="00AE45AD" w14:paraId="4CD24E9F" w14:textId="77777777">
            <w:pPr>
              <w:rPr>
                <w:color w:val="000000"/>
                <w:sz w:val="20"/>
                <w:szCs w:val="20"/>
              </w:rPr>
            </w:pPr>
            <w:r w:rsidRPr="00AE45AD">
              <w:rPr>
                <w:color w:val="000000"/>
                <w:sz w:val="20"/>
                <w:szCs w:val="20"/>
              </w:rPr>
              <w:t>Responses</w:t>
            </w:r>
          </w:p>
        </w:tc>
        <w:tc>
          <w:tcPr>
            <w:tcW w:w="725" w:type="dxa"/>
            <w:tcBorders>
              <w:top w:val="nil"/>
              <w:left w:val="nil"/>
              <w:bottom w:val="nil"/>
              <w:right w:val="nil"/>
            </w:tcBorders>
            <w:shd w:val="clear" w:color="auto" w:fill="auto"/>
            <w:vAlign w:val="center"/>
            <w:hideMark/>
          </w:tcPr>
          <w:p w:rsidRPr="00AE45AD" w:rsidR="00AE45AD" w:rsidP="00AE45AD" w:rsidRDefault="00AE45AD" w14:paraId="3B1EF836" w14:textId="77777777">
            <w:pPr>
              <w:jc w:val="center"/>
              <w:rPr>
                <w:color w:val="000000"/>
                <w:sz w:val="20"/>
                <w:szCs w:val="20"/>
              </w:rPr>
            </w:pPr>
            <w:r w:rsidRPr="00AE45AD">
              <w:rPr>
                <w:color w:val="000000"/>
                <w:sz w:val="20"/>
                <w:szCs w:val="20"/>
              </w:rPr>
              <w:t xml:space="preserve">6,693 </w:t>
            </w:r>
          </w:p>
        </w:tc>
        <w:tc>
          <w:tcPr>
            <w:tcW w:w="972" w:type="dxa"/>
            <w:tcBorders>
              <w:top w:val="nil"/>
              <w:left w:val="nil"/>
              <w:bottom w:val="nil"/>
              <w:right w:val="nil"/>
            </w:tcBorders>
            <w:shd w:val="clear" w:color="auto" w:fill="auto"/>
            <w:noWrap/>
            <w:vAlign w:val="center"/>
            <w:hideMark/>
          </w:tcPr>
          <w:p w:rsidRPr="00AE45AD" w:rsidR="00AE45AD" w:rsidP="00AE45AD" w:rsidRDefault="00AE45AD" w14:paraId="2E251047" w14:textId="77777777">
            <w:pPr>
              <w:jc w:val="center"/>
              <w:rPr>
                <w:color w:val="000000"/>
                <w:sz w:val="20"/>
                <w:szCs w:val="20"/>
              </w:rPr>
            </w:pPr>
            <w:r w:rsidRPr="00AE45AD">
              <w:rPr>
                <w:color w:val="000000"/>
                <w:sz w:val="20"/>
                <w:szCs w:val="20"/>
              </w:rPr>
              <w:t>873</w:t>
            </w:r>
          </w:p>
        </w:tc>
        <w:tc>
          <w:tcPr>
            <w:tcW w:w="753" w:type="dxa"/>
            <w:tcBorders>
              <w:top w:val="nil"/>
              <w:left w:val="nil"/>
              <w:bottom w:val="nil"/>
              <w:right w:val="nil"/>
            </w:tcBorders>
            <w:shd w:val="clear" w:color="auto" w:fill="auto"/>
            <w:noWrap/>
            <w:vAlign w:val="center"/>
            <w:hideMark/>
          </w:tcPr>
          <w:p w:rsidRPr="00AE45AD" w:rsidR="00AE45AD" w:rsidP="00AE45AD" w:rsidRDefault="00AE45AD" w14:paraId="5EEE3368" w14:textId="77777777">
            <w:pPr>
              <w:jc w:val="center"/>
              <w:rPr>
                <w:color w:val="000000"/>
                <w:sz w:val="20"/>
                <w:szCs w:val="20"/>
              </w:rPr>
            </w:pPr>
            <w:r w:rsidRPr="00AE45AD">
              <w:rPr>
                <w:color w:val="000000"/>
                <w:sz w:val="20"/>
                <w:szCs w:val="20"/>
              </w:rPr>
              <w:t>873</w:t>
            </w:r>
          </w:p>
        </w:tc>
        <w:tc>
          <w:tcPr>
            <w:tcW w:w="974" w:type="dxa"/>
            <w:tcBorders>
              <w:top w:val="nil"/>
              <w:left w:val="nil"/>
              <w:bottom w:val="nil"/>
              <w:right w:val="nil"/>
            </w:tcBorders>
            <w:shd w:val="clear" w:color="auto" w:fill="auto"/>
            <w:noWrap/>
            <w:vAlign w:val="center"/>
            <w:hideMark/>
          </w:tcPr>
          <w:p w:rsidRPr="00AE45AD" w:rsidR="00AE45AD" w:rsidP="00AE45AD" w:rsidRDefault="00AE45AD" w14:paraId="7336FEC9" w14:textId="77777777">
            <w:pPr>
              <w:jc w:val="center"/>
              <w:rPr>
                <w:color w:val="000000"/>
                <w:sz w:val="20"/>
                <w:szCs w:val="20"/>
              </w:rPr>
            </w:pPr>
            <w:r w:rsidRPr="00AE45AD">
              <w:rPr>
                <w:color w:val="000000"/>
                <w:sz w:val="20"/>
                <w:szCs w:val="20"/>
              </w:rPr>
              <w:t xml:space="preserve">2,813 </w:t>
            </w:r>
          </w:p>
        </w:tc>
        <w:tc>
          <w:tcPr>
            <w:tcW w:w="1340" w:type="dxa"/>
            <w:vAlign w:val="center"/>
            <w:hideMark/>
          </w:tcPr>
          <w:p w:rsidRPr="00AE45AD" w:rsidR="00AE45AD" w:rsidP="00AE45AD" w:rsidRDefault="00AE45AD" w14:paraId="1FD95557" w14:textId="77777777">
            <w:pPr>
              <w:rPr>
                <w:sz w:val="20"/>
                <w:szCs w:val="20"/>
              </w:rPr>
            </w:pPr>
          </w:p>
        </w:tc>
        <w:tc>
          <w:tcPr>
            <w:tcW w:w="1480" w:type="dxa"/>
            <w:vAlign w:val="center"/>
            <w:hideMark/>
          </w:tcPr>
          <w:p w:rsidRPr="00AE45AD" w:rsidR="00AE45AD" w:rsidP="00AE45AD" w:rsidRDefault="00AE45AD" w14:paraId="6FABA8DE" w14:textId="77777777">
            <w:pPr>
              <w:rPr>
                <w:sz w:val="20"/>
                <w:szCs w:val="20"/>
              </w:rPr>
            </w:pPr>
          </w:p>
        </w:tc>
      </w:tr>
      <w:tr w:rsidRPr="00AE45AD" w:rsidR="00AE45AD" w:rsidTr="00AE45AD" w14:paraId="64305B3C" w14:textId="77777777">
        <w:trPr>
          <w:trHeight w:val="315"/>
        </w:trPr>
        <w:tc>
          <w:tcPr>
            <w:tcW w:w="1239" w:type="dxa"/>
            <w:tcBorders>
              <w:top w:val="nil"/>
              <w:left w:val="nil"/>
              <w:bottom w:val="single" w:color="auto" w:sz="8" w:space="0"/>
              <w:right w:val="nil"/>
            </w:tcBorders>
            <w:shd w:val="clear" w:color="auto" w:fill="auto"/>
            <w:noWrap/>
            <w:vAlign w:val="bottom"/>
            <w:hideMark/>
          </w:tcPr>
          <w:p w:rsidRPr="00AE45AD" w:rsidR="00AE45AD" w:rsidP="00AE45AD" w:rsidRDefault="00AE45AD" w14:paraId="198FBCC5" w14:textId="77777777">
            <w:pPr>
              <w:rPr>
                <w:color w:val="000000"/>
                <w:sz w:val="20"/>
                <w:szCs w:val="20"/>
              </w:rPr>
            </w:pPr>
            <w:r w:rsidRPr="00AE45AD">
              <w:rPr>
                <w:color w:val="000000"/>
                <w:sz w:val="20"/>
                <w:szCs w:val="20"/>
              </w:rPr>
              <w:t>Hours</w:t>
            </w:r>
          </w:p>
        </w:tc>
        <w:tc>
          <w:tcPr>
            <w:tcW w:w="725" w:type="dxa"/>
            <w:tcBorders>
              <w:top w:val="nil"/>
              <w:left w:val="nil"/>
              <w:bottom w:val="single" w:color="auto" w:sz="8" w:space="0"/>
              <w:right w:val="nil"/>
            </w:tcBorders>
            <w:shd w:val="clear" w:color="auto" w:fill="auto"/>
            <w:vAlign w:val="center"/>
            <w:hideMark/>
          </w:tcPr>
          <w:p w:rsidRPr="00AE45AD" w:rsidR="00AE45AD" w:rsidP="00AE45AD" w:rsidRDefault="00AE45AD" w14:paraId="3A4996F3" w14:textId="77777777">
            <w:pPr>
              <w:jc w:val="center"/>
              <w:rPr>
                <w:color w:val="000000"/>
                <w:sz w:val="20"/>
                <w:szCs w:val="20"/>
              </w:rPr>
            </w:pPr>
            <w:r w:rsidRPr="00AE45AD">
              <w:rPr>
                <w:color w:val="000000"/>
                <w:sz w:val="20"/>
                <w:szCs w:val="20"/>
              </w:rPr>
              <w:t xml:space="preserve">4,155 </w:t>
            </w:r>
          </w:p>
        </w:tc>
        <w:tc>
          <w:tcPr>
            <w:tcW w:w="972" w:type="dxa"/>
            <w:tcBorders>
              <w:top w:val="nil"/>
              <w:left w:val="nil"/>
              <w:bottom w:val="single" w:color="auto" w:sz="8" w:space="0"/>
              <w:right w:val="nil"/>
            </w:tcBorders>
            <w:shd w:val="clear" w:color="auto" w:fill="auto"/>
            <w:noWrap/>
            <w:vAlign w:val="center"/>
            <w:hideMark/>
          </w:tcPr>
          <w:p w:rsidRPr="00AE45AD" w:rsidR="00AE45AD" w:rsidP="00AE45AD" w:rsidRDefault="00AE45AD" w14:paraId="3430C9C3" w14:textId="77777777">
            <w:pPr>
              <w:jc w:val="center"/>
              <w:rPr>
                <w:color w:val="000000"/>
                <w:sz w:val="20"/>
                <w:szCs w:val="20"/>
              </w:rPr>
            </w:pPr>
            <w:r w:rsidRPr="00AE45AD">
              <w:rPr>
                <w:color w:val="000000"/>
                <w:sz w:val="20"/>
                <w:szCs w:val="20"/>
              </w:rPr>
              <w:t>437</w:t>
            </w:r>
          </w:p>
        </w:tc>
        <w:tc>
          <w:tcPr>
            <w:tcW w:w="753" w:type="dxa"/>
            <w:tcBorders>
              <w:top w:val="nil"/>
              <w:left w:val="nil"/>
              <w:bottom w:val="single" w:color="auto" w:sz="8" w:space="0"/>
              <w:right w:val="nil"/>
            </w:tcBorders>
            <w:shd w:val="clear" w:color="auto" w:fill="auto"/>
            <w:noWrap/>
            <w:vAlign w:val="center"/>
            <w:hideMark/>
          </w:tcPr>
          <w:p w:rsidRPr="00AE45AD" w:rsidR="00AE45AD" w:rsidP="00AE45AD" w:rsidRDefault="00AE45AD" w14:paraId="4EB8FD61" w14:textId="77777777">
            <w:pPr>
              <w:jc w:val="center"/>
              <w:rPr>
                <w:color w:val="000000"/>
                <w:sz w:val="20"/>
                <w:szCs w:val="20"/>
              </w:rPr>
            </w:pPr>
            <w:r w:rsidRPr="00AE45AD">
              <w:rPr>
                <w:color w:val="000000"/>
                <w:sz w:val="20"/>
                <w:szCs w:val="20"/>
              </w:rPr>
              <w:t>437</w:t>
            </w:r>
          </w:p>
        </w:tc>
        <w:tc>
          <w:tcPr>
            <w:tcW w:w="974" w:type="dxa"/>
            <w:tcBorders>
              <w:top w:val="nil"/>
              <w:left w:val="nil"/>
              <w:bottom w:val="single" w:color="auto" w:sz="8" w:space="0"/>
              <w:right w:val="nil"/>
            </w:tcBorders>
            <w:shd w:val="clear" w:color="auto" w:fill="auto"/>
            <w:noWrap/>
            <w:vAlign w:val="center"/>
            <w:hideMark/>
          </w:tcPr>
          <w:p w:rsidRPr="00AE45AD" w:rsidR="00AE45AD" w:rsidP="00AE45AD" w:rsidRDefault="00AE45AD" w14:paraId="29DD4D47" w14:textId="77777777">
            <w:pPr>
              <w:jc w:val="center"/>
              <w:rPr>
                <w:color w:val="000000"/>
                <w:sz w:val="20"/>
                <w:szCs w:val="20"/>
              </w:rPr>
            </w:pPr>
            <w:r w:rsidRPr="00AE45AD">
              <w:rPr>
                <w:color w:val="000000"/>
                <w:sz w:val="20"/>
                <w:szCs w:val="20"/>
              </w:rPr>
              <w:t xml:space="preserve">1,676 </w:t>
            </w:r>
          </w:p>
        </w:tc>
        <w:tc>
          <w:tcPr>
            <w:tcW w:w="1340" w:type="dxa"/>
            <w:vAlign w:val="center"/>
            <w:hideMark/>
          </w:tcPr>
          <w:p w:rsidRPr="00AE45AD" w:rsidR="00AE45AD" w:rsidP="00AE45AD" w:rsidRDefault="00AE45AD" w14:paraId="29EA6ADF" w14:textId="77777777">
            <w:pPr>
              <w:rPr>
                <w:sz w:val="20"/>
                <w:szCs w:val="20"/>
              </w:rPr>
            </w:pPr>
          </w:p>
        </w:tc>
        <w:tc>
          <w:tcPr>
            <w:tcW w:w="1480" w:type="dxa"/>
            <w:vAlign w:val="center"/>
            <w:hideMark/>
          </w:tcPr>
          <w:p w:rsidRPr="00AE45AD" w:rsidR="00AE45AD" w:rsidP="00AE45AD" w:rsidRDefault="00AE45AD" w14:paraId="2112AAD4" w14:textId="77777777">
            <w:pPr>
              <w:rPr>
                <w:sz w:val="20"/>
                <w:szCs w:val="20"/>
              </w:rPr>
            </w:pPr>
          </w:p>
        </w:tc>
      </w:tr>
    </w:tbl>
    <w:p w:rsidR="00077920" w:rsidP="00D24163" w:rsidRDefault="00077920" w14:paraId="00CCDCF1" w14:textId="487C02B5">
      <w:pPr>
        <w:contextualSpacing/>
      </w:pPr>
    </w:p>
    <w:p w:rsidR="00422A19" w:rsidP="00195DA8" w:rsidRDefault="00422A19" w14:paraId="35B26920" w14:textId="77777777">
      <w:pPr>
        <w:ind w:left="720"/>
        <w:jc w:val="center"/>
        <w:rPr>
          <w:b/>
        </w:rPr>
      </w:pPr>
    </w:p>
    <w:p w:rsidR="00195DA8" w:rsidP="00195DA8" w:rsidRDefault="00195DA8" w14:paraId="6279786F" w14:textId="3422CA29">
      <w:pPr>
        <w:ind w:left="720"/>
        <w:jc w:val="center"/>
        <w:rPr>
          <w:b/>
        </w:rPr>
      </w:pPr>
      <w:r w:rsidRPr="00951962">
        <w:rPr>
          <w:b/>
        </w:rPr>
        <w:t>Estimated Annualized Respondent Cost and Hour Burden</w:t>
      </w:r>
    </w:p>
    <w:p w:rsidR="00195DA8" w:rsidP="00195DA8" w:rsidRDefault="00195DA8" w14:paraId="4FD777B5" w14:textId="3EAB42C6">
      <w:pPr>
        <w:ind w:left="720"/>
        <w:rPr>
          <w:b/>
        </w:rPr>
      </w:pPr>
    </w:p>
    <w:tbl>
      <w:tblPr>
        <w:tblW w:w="11250" w:type="dxa"/>
        <w:tblInd w:w="-7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90"/>
        <w:gridCol w:w="1530"/>
        <w:gridCol w:w="1350"/>
        <w:gridCol w:w="1260"/>
        <w:gridCol w:w="1080"/>
        <w:gridCol w:w="990"/>
        <w:gridCol w:w="990"/>
        <w:gridCol w:w="1260"/>
      </w:tblGrid>
      <w:tr w:rsidRPr="00645D1A" w:rsidR="00195DA8" w:rsidTr="00175840" w14:paraId="38A32D06" w14:textId="77777777">
        <w:tc>
          <w:tcPr>
            <w:tcW w:w="2790" w:type="dxa"/>
            <w:tcBorders>
              <w:top w:val="single" w:color="auto" w:sz="4" w:space="0"/>
              <w:left w:val="single" w:color="auto" w:sz="4" w:space="0"/>
              <w:bottom w:val="single" w:color="auto" w:sz="4" w:space="0"/>
              <w:right w:val="single" w:color="auto" w:sz="4" w:space="0"/>
            </w:tcBorders>
            <w:shd w:val="clear" w:color="auto" w:fill="8DB3E2"/>
            <w:vAlign w:val="center"/>
          </w:tcPr>
          <w:p w:rsidRPr="00645D1A" w:rsidR="00195DA8" w:rsidP="00A01025" w:rsidRDefault="00195DA8" w14:paraId="7A84720E" w14:textId="77777777">
            <w:pPr>
              <w:spacing w:line="276" w:lineRule="auto"/>
              <w:jc w:val="center"/>
              <w:rPr>
                <w:sz w:val="22"/>
                <w:szCs w:val="22"/>
              </w:rPr>
            </w:pPr>
            <w:r w:rsidRPr="00645D1A">
              <w:rPr>
                <w:b/>
                <w:sz w:val="22"/>
                <w:szCs w:val="22"/>
              </w:rPr>
              <w:t>Activity</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195DA8" w:rsidP="00A01025" w:rsidRDefault="00195DA8" w14:paraId="46187B32" w14:textId="77777777">
            <w:pPr>
              <w:spacing w:line="276" w:lineRule="auto"/>
              <w:jc w:val="center"/>
              <w:rPr>
                <w:sz w:val="22"/>
                <w:szCs w:val="22"/>
              </w:rPr>
            </w:pPr>
            <w:r w:rsidRPr="00645D1A">
              <w:rPr>
                <w:b/>
                <w:sz w:val="22"/>
                <w:szCs w:val="22"/>
              </w:rPr>
              <w:t>No.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195DA8" w:rsidP="00A01025" w:rsidRDefault="00195DA8" w14:paraId="343B0D99" w14:textId="77777777">
            <w:pPr>
              <w:spacing w:line="276" w:lineRule="auto"/>
              <w:jc w:val="center"/>
              <w:rPr>
                <w:b/>
                <w:sz w:val="22"/>
                <w:szCs w:val="22"/>
              </w:rPr>
            </w:pPr>
          </w:p>
          <w:p w:rsidRPr="00645D1A" w:rsidR="00195DA8" w:rsidP="00A01025" w:rsidRDefault="00195DA8" w14:paraId="588577A7" w14:textId="77777777">
            <w:pPr>
              <w:spacing w:line="276" w:lineRule="auto"/>
              <w:jc w:val="center"/>
              <w:rPr>
                <w:b/>
                <w:sz w:val="22"/>
                <w:szCs w:val="22"/>
              </w:rPr>
            </w:pPr>
            <w:r w:rsidRPr="00645D1A">
              <w:rPr>
                <w:b/>
                <w:sz w:val="22"/>
                <w:szCs w:val="22"/>
              </w:rPr>
              <w:t>No. of Responses</w:t>
            </w:r>
          </w:p>
          <w:p w:rsidRPr="00645D1A" w:rsidR="00195DA8" w:rsidP="00A01025" w:rsidRDefault="00195DA8" w14:paraId="134C300A" w14:textId="77777777">
            <w:pPr>
              <w:spacing w:line="276" w:lineRule="auto"/>
              <w:jc w:val="center"/>
              <w:rPr>
                <w:sz w:val="22"/>
                <w:szCs w:val="22"/>
              </w:rPr>
            </w:pPr>
            <w:r w:rsidRPr="00645D1A">
              <w:rPr>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195DA8" w:rsidP="00A01025" w:rsidRDefault="00195DA8" w14:paraId="6CDBB876" w14:textId="77777777">
            <w:pPr>
              <w:spacing w:line="276" w:lineRule="auto"/>
              <w:jc w:val="center"/>
              <w:rPr>
                <w:sz w:val="22"/>
                <w:szCs w:val="22"/>
              </w:rPr>
            </w:pPr>
            <w:r w:rsidRPr="00645D1A">
              <w:rPr>
                <w:b/>
                <w:sz w:val="22"/>
                <w:szCs w:val="22"/>
              </w:rPr>
              <w:t>Total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195DA8" w:rsidP="00A01025" w:rsidRDefault="00195DA8" w14:paraId="444075FC" w14:textId="77777777">
            <w:pPr>
              <w:spacing w:line="276" w:lineRule="auto"/>
              <w:jc w:val="center"/>
              <w:rPr>
                <w:sz w:val="22"/>
                <w:szCs w:val="22"/>
              </w:rPr>
            </w:pPr>
            <w:r w:rsidRPr="00645D1A">
              <w:rPr>
                <w:b/>
                <w:sz w:val="22"/>
                <w:szCs w:val="22"/>
              </w:rPr>
              <w:t>Average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195DA8" w:rsidP="00A01025" w:rsidRDefault="00195DA8" w14:paraId="77FB2CC5" w14:textId="77777777">
            <w:pPr>
              <w:spacing w:line="276" w:lineRule="auto"/>
              <w:jc w:val="center"/>
              <w:rPr>
                <w:sz w:val="22"/>
                <w:szCs w:val="22"/>
              </w:rPr>
            </w:pPr>
            <w:r w:rsidRPr="00645D1A">
              <w:rPr>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195DA8" w:rsidP="00A01025" w:rsidRDefault="00195DA8" w14:paraId="79F174CE" w14:textId="77777777">
            <w:pPr>
              <w:spacing w:line="276" w:lineRule="auto"/>
              <w:jc w:val="center"/>
              <w:rPr>
                <w:b/>
                <w:sz w:val="22"/>
                <w:szCs w:val="22"/>
              </w:rPr>
            </w:pPr>
            <w:r w:rsidRPr="00645D1A">
              <w:rPr>
                <w:b/>
                <w:sz w:val="22"/>
                <w:szCs w:val="22"/>
              </w:rPr>
              <w:t>Hourly</w:t>
            </w:r>
          </w:p>
          <w:p w:rsidRPr="00645D1A" w:rsidR="00195DA8" w:rsidP="00A01025" w:rsidRDefault="00195DA8" w14:paraId="3F1AEAC3" w14:textId="77777777">
            <w:pPr>
              <w:spacing w:line="276" w:lineRule="auto"/>
              <w:jc w:val="center"/>
              <w:rPr>
                <w:sz w:val="22"/>
                <w:szCs w:val="22"/>
              </w:rPr>
            </w:pPr>
            <w:r w:rsidRPr="00645D1A">
              <w:rPr>
                <w:b/>
                <w:sz w:val="22"/>
                <w:szCs w:val="22"/>
              </w:rPr>
              <w:t>Wage Rate</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645D1A" w:rsidR="00195DA8" w:rsidP="00A01025" w:rsidRDefault="00195DA8" w14:paraId="06AD1249" w14:textId="77777777">
            <w:pPr>
              <w:spacing w:line="276" w:lineRule="auto"/>
              <w:jc w:val="center"/>
              <w:rPr>
                <w:sz w:val="22"/>
                <w:szCs w:val="22"/>
              </w:rPr>
            </w:pPr>
            <w:r w:rsidRPr="00645D1A">
              <w:rPr>
                <w:b/>
                <w:sz w:val="22"/>
                <w:szCs w:val="22"/>
              </w:rPr>
              <w:t>Total Burden Cost</w:t>
            </w:r>
          </w:p>
        </w:tc>
      </w:tr>
      <w:tr w:rsidRPr="00645D1A" w:rsidR="00195DA8" w:rsidTr="00175840" w14:paraId="6413BDB5" w14:textId="77777777">
        <w:trPr>
          <w:trHeight w:val="215"/>
        </w:trPr>
        <w:tc>
          <w:tcPr>
            <w:tcW w:w="2790" w:type="dxa"/>
            <w:tcBorders>
              <w:top w:val="single" w:color="auto" w:sz="4" w:space="0"/>
              <w:left w:val="single" w:color="auto" w:sz="4" w:space="0"/>
              <w:bottom w:val="single" w:color="auto" w:sz="4" w:space="0"/>
              <w:right w:val="single" w:color="auto" w:sz="4" w:space="0"/>
            </w:tcBorders>
          </w:tcPr>
          <w:p w:rsidRPr="00645D1A" w:rsidR="00195DA8" w:rsidP="00A01025" w:rsidRDefault="004174AD" w14:paraId="42F946D9" w14:textId="56033C69">
            <w:pPr>
              <w:spacing w:line="276" w:lineRule="auto"/>
              <w:jc w:val="center"/>
              <w:rPr>
                <w:sz w:val="22"/>
                <w:szCs w:val="22"/>
              </w:rPr>
            </w:pPr>
            <w:r>
              <w:rPr>
                <w:sz w:val="22"/>
                <w:szCs w:val="22"/>
              </w:rPr>
              <w:t>PPPs submitting Part 1 of the registration (First year)</w:t>
            </w:r>
          </w:p>
        </w:tc>
        <w:tc>
          <w:tcPr>
            <w:tcW w:w="1530" w:type="dxa"/>
            <w:tcBorders>
              <w:top w:val="single" w:color="auto" w:sz="4" w:space="0"/>
              <w:left w:val="single" w:color="auto" w:sz="4" w:space="0"/>
              <w:bottom w:val="single" w:color="auto" w:sz="4" w:space="0"/>
              <w:right w:val="single" w:color="auto" w:sz="4" w:space="0"/>
            </w:tcBorders>
            <w:vAlign w:val="bottom"/>
          </w:tcPr>
          <w:p w:rsidR="00195DA8" w:rsidP="00A01025" w:rsidRDefault="00CC655C" w14:paraId="701FC879" w14:textId="5E495C25">
            <w:pPr>
              <w:spacing w:line="276" w:lineRule="auto"/>
              <w:jc w:val="center"/>
              <w:rPr>
                <w:sz w:val="22"/>
                <w:szCs w:val="22"/>
              </w:rPr>
            </w:pPr>
            <w:r>
              <w:rPr>
                <w:sz w:val="22"/>
                <w:szCs w:val="22"/>
              </w:rPr>
              <w:t>3,233</w:t>
            </w:r>
          </w:p>
        </w:tc>
        <w:tc>
          <w:tcPr>
            <w:tcW w:w="1350" w:type="dxa"/>
            <w:tcBorders>
              <w:top w:val="single" w:color="auto" w:sz="4" w:space="0"/>
              <w:left w:val="single" w:color="auto" w:sz="4" w:space="0"/>
              <w:bottom w:val="single" w:color="auto" w:sz="4" w:space="0"/>
              <w:right w:val="single" w:color="auto" w:sz="4" w:space="0"/>
            </w:tcBorders>
            <w:vAlign w:val="bottom"/>
          </w:tcPr>
          <w:p w:rsidR="00195DA8" w:rsidP="00A01025" w:rsidRDefault="009A0AB5" w14:paraId="0E5ABB67" w14:textId="4CAF721C">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195DA8" w:rsidP="00A01025" w:rsidRDefault="009A0AB5" w14:paraId="49D41231" w14:textId="71F794E9">
            <w:pPr>
              <w:spacing w:line="276" w:lineRule="auto"/>
              <w:jc w:val="center"/>
              <w:rPr>
                <w:sz w:val="22"/>
                <w:szCs w:val="22"/>
              </w:rPr>
            </w:pPr>
            <w:r>
              <w:rPr>
                <w:sz w:val="22"/>
                <w:szCs w:val="22"/>
              </w:rPr>
              <w:t>3,233</w:t>
            </w:r>
          </w:p>
        </w:tc>
        <w:tc>
          <w:tcPr>
            <w:tcW w:w="1080" w:type="dxa"/>
            <w:tcBorders>
              <w:top w:val="single" w:color="auto" w:sz="4" w:space="0"/>
              <w:left w:val="single" w:color="auto" w:sz="4" w:space="0"/>
              <w:bottom w:val="single" w:color="auto" w:sz="4" w:space="0"/>
              <w:right w:val="single" w:color="auto" w:sz="4" w:space="0"/>
            </w:tcBorders>
            <w:vAlign w:val="bottom"/>
          </w:tcPr>
          <w:p w:rsidR="00195DA8" w:rsidP="00A01025" w:rsidRDefault="0016623D" w14:paraId="67CACF58" w14:textId="4ED3A7DC">
            <w:pPr>
              <w:spacing w:line="276" w:lineRule="auto"/>
              <w:jc w:val="center"/>
              <w:rPr>
                <w:sz w:val="22"/>
                <w:szCs w:val="22"/>
              </w:rPr>
            </w:pPr>
            <w:r>
              <w:rPr>
                <w:sz w:val="22"/>
                <w:szCs w:val="22"/>
              </w:rPr>
              <w:t>0.75</w:t>
            </w:r>
          </w:p>
        </w:tc>
        <w:tc>
          <w:tcPr>
            <w:tcW w:w="990" w:type="dxa"/>
            <w:tcBorders>
              <w:top w:val="single" w:color="auto" w:sz="4" w:space="0"/>
              <w:left w:val="single" w:color="auto" w:sz="4" w:space="0"/>
              <w:bottom w:val="single" w:color="auto" w:sz="4" w:space="0"/>
              <w:right w:val="single" w:color="auto" w:sz="4" w:space="0"/>
            </w:tcBorders>
            <w:vAlign w:val="bottom"/>
          </w:tcPr>
          <w:p w:rsidR="00195DA8" w:rsidP="00A01025" w:rsidRDefault="0000513E" w14:paraId="6A81523C" w14:textId="501628DD">
            <w:pPr>
              <w:spacing w:line="276" w:lineRule="auto"/>
              <w:jc w:val="center"/>
              <w:rPr>
                <w:sz w:val="22"/>
                <w:szCs w:val="22"/>
              </w:rPr>
            </w:pPr>
            <w:r>
              <w:rPr>
                <w:sz w:val="22"/>
                <w:szCs w:val="22"/>
              </w:rPr>
              <w:t>2,425</w:t>
            </w:r>
          </w:p>
        </w:tc>
        <w:tc>
          <w:tcPr>
            <w:tcW w:w="990" w:type="dxa"/>
            <w:tcBorders>
              <w:top w:val="single" w:color="auto" w:sz="4" w:space="0"/>
              <w:left w:val="single" w:color="auto" w:sz="4" w:space="0"/>
              <w:bottom w:val="single" w:color="auto" w:sz="4" w:space="0"/>
              <w:right w:val="single" w:color="auto" w:sz="4" w:space="0"/>
            </w:tcBorders>
            <w:vAlign w:val="bottom"/>
          </w:tcPr>
          <w:p w:rsidR="00195DA8" w:rsidP="00A01025" w:rsidRDefault="00544A06" w14:paraId="7E3CBDE1" w14:textId="33ADCACB">
            <w:pPr>
              <w:spacing w:line="276" w:lineRule="auto"/>
              <w:jc w:val="center"/>
              <w:rPr>
                <w:sz w:val="22"/>
                <w:szCs w:val="22"/>
              </w:rPr>
            </w:pPr>
            <w:r>
              <w:rPr>
                <w:sz w:val="22"/>
                <w:szCs w:val="22"/>
              </w:rPr>
              <w:t>$165.63</w:t>
            </w:r>
          </w:p>
        </w:tc>
        <w:tc>
          <w:tcPr>
            <w:tcW w:w="1260" w:type="dxa"/>
            <w:tcBorders>
              <w:top w:val="single" w:color="auto" w:sz="4" w:space="0"/>
              <w:left w:val="single" w:color="auto" w:sz="4" w:space="0"/>
              <w:bottom w:val="single" w:color="auto" w:sz="4" w:space="0"/>
              <w:right w:val="single" w:color="auto" w:sz="4" w:space="0"/>
            </w:tcBorders>
            <w:vAlign w:val="bottom"/>
          </w:tcPr>
          <w:p w:rsidR="00195DA8" w:rsidP="00A01025" w:rsidRDefault="0000513E" w14:paraId="7B4D6B21" w14:textId="46771626">
            <w:pPr>
              <w:spacing w:line="276" w:lineRule="auto"/>
              <w:jc w:val="center"/>
              <w:rPr>
                <w:sz w:val="22"/>
                <w:szCs w:val="22"/>
              </w:rPr>
            </w:pPr>
            <w:r>
              <w:rPr>
                <w:sz w:val="22"/>
                <w:szCs w:val="22"/>
              </w:rPr>
              <w:t>$0</w:t>
            </w:r>
          </w:p>
        </w:tc>
      </w:tr>
      <w:tr w:rsidRPr="00645D1A" w:rsidR="004174AD" w:rsidTr="004174AD" w14:paraId="7A9498AE" w14:textId="77777777">
        <w:trPr>
          <w:trHeight w:val="215"/>
        </w:trPr>
        <w:tc>
          <w:tcPr>
            <w:tcW w:w="2790" w:type="dxa"/>
            <w:tcBorders>
              <w:top w:val="single" w:color="auto" w:sz="4" w:space="0"/>
              <w:left w:val="single" w:color="auto" w:sz="4" w:space="0"/>
              <w:bottom w:val="single" w:color="auto" w:sz="4" w:space="0"/>
              <w:right w:val="single" w:color="auto" w:sz="4" w:space="0"/>
            </w:tcBorders>
          </w:tcPr>
          <w:p w:rsidR="004174AD" w:rsidP="00A01025" w:rsidRDefault="004174AD" w14:paraId="5BCDFC94" w14:textId="41E6E4BB">
            <w:pPr>
              <w:spacing w:line="276" w:lineRule="auto"/>
              <w:jc w:val="center"/>
              <w:rPr>
                <w:sz w:val="22"/>
                <w:szCs w:val="22"/>
              </w:rPr>
            </w:pPr>
            <w:r>
              <w:rPr>
                <w:sz w:val="22"/>
                <w:szCs w:val="22"/>
              </w:rPr>
              <w:t>PPPs submitting Part 2 of the registration (First year)</w:t>
            </w:r>
          </w:p>
        </w:tc>
        <w:tc>
          <w:tcPr>
            <w:tcW w:w="1530" w:type="dxa"/>
            <w:tcBorders>
              <w:top w:val="single" w:color="auto" w:sz="4" w:space="0"/>
              <w:left w:val="single" w:color="auto" w:sz="4" w:space="0"/>
              <w:bottom w:val="single" w:color="auto" w:sz="4" w:space="0"/>
              <w:right w:val="single" w:color="auto" w:sz="4" w:space="0"/>
            </w:tcBorders>
            <w:vAlign w:val="bottom"/>
          </w:tcPr>
          <w:p w:rsidR="004174AD" w:rsidP="00A01025" w:rsidRDefault="009A0AB5" w14:paraId="085F9927" w14:textId="0A8BEB19">
            <w:pPr>
              <w:spacing w:line="276" w:lineRule="auto"/>
              <w:jc w:val="center"/>
              <w:rPr>
                <w:sz w:val="22"/>
                <w:szCs w:val="22"/>
              </w:rPr>
            </w:pPr>
            <w:r>
              <w:rPr>
                <w:sz w:val="22"/>
                <w:szCs w:val="22"/>
              </w:rPr>
              <w:t>3,460</w:t>
            </w:r>
          </w:p>
        </w:tc>
        <w:tc>
          <w:tcPr>
            <w:tcW w:w="1350" w:type="dxa"/>
            <w:tcBorders>
              <w:top w:val="single" w:color="auto" w:sz="4" w:space="0"/>
              <w:left w:val="single" w:color="auto" w:sz="4" w:space="0"/>
              <w:bottom w:val="single" w:color="auto" w:sz="4" w:space="0"/>
              <w:right w:val="single" w:color="auto" w:sz="4" w:space="0"/>
            </w:tcBorders>
            <w:vAlign w:val="bottom"/>
          </w:tcPr>
          <w:p w:rsidR="004174AD" w:rsidP="00A01025" w:rsidRDefault="009A0AB5" w14:paraId="56832969" w14:textId="65226417">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4174AD" w:rsidP="00A01025" w:rsidRDefault="009A0AB5" w14:paraId="00D87C7C" w14:textId="6A83CDAD">
            <w:pPr>
              <w:spacing w:line="276" w:lineRule="auto"/>
              <w:jc w:val="center"/>
              <w:rPr>
                <w:sz w:val="22"/>
                <w:szCs w:val="22"/>
              </w:rPr>
            </w:pPr>
            <w:r>
              <w:rPr>
                <w:sz w:val="22"/>
                <w:szCs w:val="22"/>
              </w:rPr>
              <w:t>3,460</w:t>
            </w:r>
          </w:p>
        </w:tc>
        <w:tc>
          <w:tcPr>
            <w:tcW w:w="1080" w:type="dxa"/>
            <w:tcBorders>
              <w:top w:val="single" w:color="auto" w:sz="4" w:space="0"/>
              <w:left w:val="single" w:color="auto" w:sz="4" w:space="0"/>
              <w:bottom w:val="single" w:color="auto" w:sz="4" w:space="0"/>
              <w:right w:val="single" w:color="auto" w:sz="4" w:space="0"/>
            </w:tcBorders>
            <w:vAlign w:val="bottom"/>
          </w:tcPr>
          <w:p w:rsidR="004174AD" w:rsidP="00A01025" w:rsidRDefault="0016623D" w14:paraId="0C2C64A3" w14:textId="05A9F126">
            <w:pPr>
              <w:spacing w:line="276" w:lineRule="auto"/>
              <w:jc w:val="center"/>
              <w:rPr>
                <w:sz w:val="22"/>
                <w:szCs w:val="22"/>
              </w:rPr>
            </w:pPr>
            <w:r>
              <w:rPr>
                <w:sz w:val="22"/>
                <w:szCs w:val="22"/>
              </w:rPr>
              <w:t>0.5</w:t>
            </w:r>
          </w:p>
        </w:tc>
        <w:tc>
          <w:tcPr>
            <w:tcW w:w="990" w:type="dxa"/>
            <w:tcBorders>
              <w:top w:val="single" w:color="auto" w:sz="4" w:space="0"/>
              <w:left w:val="single" w:color="auto" w:sz="4" w:space="0"/>
              <w:bottom w:val="single" w:color="auto" w:sz="4" w:space="0"/>
              <w:right w:val="single" w:color="auto" w:sz="4" w:space="0"/>
            </w:tcBorders>
            <w:vAlign w:val="bottom"/>
          </w:tcPr>
          <w:p w:rsidR="004174AD" w:rsidP="00A01025" w:rsidRDefault="0000513E" w14:paraId="1E1D6E8D" w14:textId="18F2321C">
            <w:pPr>
              <w:spacing w:line="276" w:lineRule="auto"/>
              <w:jc w:val="center"/>
              <w:rPr>
                <w:sz w:val="22"/>
                <w:szCs w:val="22"/>
              </w:rPr>
            </w:pPr>
            <w:r>
              <w:rPr>
                <w:sz w:val="22"/>
                <w:szCs w:val="22"/>
              </w:rPr>
              <w:t>1,730</w:t>
            </w:r>
          </w:p>
        </w:tc>
        <w:tc>
          <w:tcPr>
            <w:tcW w:w="990" w:type="dxa"/>
            <w:tcBorders>
              <w:top w:val="single" w:color="auto" w:sz="4" w:space="0"/>
              <w:left w:val="single" w:color="auto" w:sz="4" w:space="0"/>
              <w:bottom w:val="single" w:color="auto" w:sz="4" w:space="0"/>
              <w:right w:val="single" w:color="auto" w:sz="4" w:space="0"/>
            </w:tcBorders>
            <w:vAlign w:val="bottom"/>
          </w:tcPr>
          <w:p w:rsidR="004174AD" w:rsidP="00A01025" w:rsidRDefault="00544A06" w14:paraId="6A26D214" w14:textId="566108CD">
            <w:pPr>
              <w:spacing w:line="276" w:lineRule="auto"/>
              <w:jc w:val="center"/>
              <w:rPr>
                <w:sz w:val="22"/>
                <w:szCs w:val="22"/>
              </w:rPr>
            </w:pPr>
            <w:r>
              <w:rPr>
                <w:sz w:val="22"/>
                <w:szCs w:val="22"/>
              </w:rPr>
              <w:t>$165.63</w:t>
            </w:r>
          </w:p>
        </w:tc>
        <w:tc>
          <w:tcPr>
            <w:tcW w:w="1260" w:type="dxa"/>
            <w:tcBorders>
              <w:top w:val="single" w:color="auto" w:sz="4" w:space="0"/>
              <w:left w:val="single" w:color="auto" w:sz="4" w:space="0"/>
              <w:bottom w:val="single" w:color="auto" w:sz="4" w:space="0"/>
              <w:right w:val="single" w:color="auto" w:sz="4" w:space="0"/>
            </w:tcBorders>
            <w:vAlign w:val="bottom"/>
          </w:tcPr>
          <w:p w:rsidR="004174AD" w:rsidP="00A01025" w:rsidRDefault="0000513E" w14:paraId="6E5629F5" w14:textId="063CB5DF">
            <w:pPr>
              <w:spacing w:line="276" w:lineRule="auto"/>
              <w:jc w:val="center"/>
              <w:rPr>
                <w:sz w:val="22"/>
                <w:szCs w:val="22"/>
              </w:rPr>
            </w:pPr>
            <w:r>
              <w:rPr>
                <w:sz w:val="22"/>
                <w:szCs w:val="22"/>
              </w:rPr>
              <w:t>$0</w:t>
            </w:r>
          </w:p>
        </w:tc>
      </w:tr>
      <w:tr w:rsidRPr="00645D1A" w:rsidR="00F4319B" w:rsidTr="004174AD" w14:paraId="652FB34A" w14:textId="77777777">
        <w:trPr>
          <w:trHeight w:val="215"/>
        </w:trPr>
        <w:tc>
          <w:tcPr>
            <w:tcW w:w="2790" w:type="dxa"/>
            <w:tcBorders>
              <w:top w:val="single" w:color="auto" w:sz="4" w:space="0"/>
              <w:left w:val="single" w:color="auto" w:sz="4" w:space="0"/>
              <w:bottom w:val="single" w:color="auto" w:sz="4" w:space="0"/>
              <w:right w:val="single" w:color="auto" w:sz="4" w:space="0"/>
            </w:tcBorders>
          </w:tcPr>
          <w:p w:rsidR="00F4319B" w:rsidP="00A01025" w:rsidRDefault="00F4319B" w14:paraId="0F5A0635" w14:textId="135047E5">
            <w:pPr>
              <w:spacing w:line="276" w:lineRule="auto"/>
              <w:jc w:val="center"/>
              <w:rPr>
                <w:sz w:val="22"/>
                <w:szCs w:val="22"/>
              </w:rPr>
            </w:pPr>
            <w:r>
              <w:rPr>
                <w:sz w:val="22"/>
                <w:szCs w:val="22"/>
              </w:rPr>
              <w:t>PPPs submitting supplemental filings for initiation of operations (Subsequent years)</w:t>
            </w:r>
          </w:p>
        </w:tc>
        <w:tc>
          <w:tcPr>
            <w:tcW w:w="1530" w:type="dxa"/>
            <w:tcBorders>
              <w:top w:val="single" w:color="auto" w:sz="4" w:space="0"/>
              <w:left w:val="single" w:color="auto" w:sz="4" w:space="0"/>
              <w:bottom w:val="single" w:color="auto" w:sz="4" w:space="0"/>
              <w:right w:val="single" w:color="auto" w:sz="4" w:space="0"/>
            </w:tcBorders>
            <w:vAlign w:val="bottom"/>
          </w:tcPr>
          <w:p w:rsidR="00F4319B" w:rsidP="009460E4" w:rsidRDefault="009A0AB5" w14:paraId="0BACD31C" w14:textId="5C8DA42B">
            <w:pPr>
              <w:spacing w:line="276" w:lineRule="auto"/>
              <w:jc w:val="center"/>
              <w:rPr>
                <w:sz w:val="22"/>
                <w:szCs w:val="22"/>
              </w:rPr>
            </w:pPr>
            <w:r>
              <w:rPr>
                <w:sz w:val="22"/>
                <w:szCs w:val="22"/>
              </w:rPr>
              <w:t>453</w:t>
            </w:r>
          </w:p>
        </w:tc>
        <w:tc>
          <w:tcPr>
            <w:tcW w:w="1350" w:type="dxa"/>
            <w:tcBorders>
              <w:top w:val="single" w:color="auto" w:sz="4" w:space="0"/>
              <w:left w:val="single" w:color="auto" w:sz="4" w:space="0"/>
              <w:bottom w:val="single" w:color="auto" w:sz="4" w:space="0"/>
              <w:right w:val="single" w:color="auto" w:sz="4" w:space="0"/>
            </w:tcBorders>
            <w:vAlign w:val="bottom"/>
          </w:tcPr>
          <w:p w:rsidR="00F4319B" w:rsidP="00A01025" w:rsidRDefault="00654597" w14:paraId="002B80F7" w14:textId="6F1D879D">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F4319B" w:rsidP="00A01025" w:rsidRDefault="009A0AB5" w14:paraId="1FFF2227" w14:textId="4A0E2804">
            <w:pPr>
              <w:spacing w:line="276" w:lineRule="auto"/>
              <w:jc w:val="center"/>
              <w:rPr>
                <w:sz w:val="22"/>
                <w:szCs w:val="22"/>
              </w:rPr>
            </w:pPr>
            <w:r>
              <w:rPr>
                <w:sz w:val="22"/>
                <w:szCs w:val="22"/>
              </w:rPr>
              <w:t>453</w:t>
            </w:r>
          </w:p>
        </w:tc>
        <w:tc>
          <w:tcPr>
            <w:tcW w:w="1080" w:type="dxa"/>
            <w:tcBorders>
              <w:top w:val="single" w:color="auto" w:sz="4" w:space="0"/>
              <w:left w:val="single" w:color="auto" w:sz="4" w:space="0"/>
              <w:bottom w:val="single" w:color="auto" w:sz="4" w:space="0"/>
              <w:right w:val="single" w:color="auto" w:sz="4" w:space="0"/>
            </w:tcBorders>
            <w:vAlign w:val="bottom"/>
          </w:tcPr>
          <w:p w:rsidR="00F4319B" w:rsidP="00A01025" w:rsidRDefault="0016623D" w14:paraId="19CE0245" w14:textId="51A4B6BE">
            <w:pPr>
              <w:spacing w:line="276" w:lineRule="auto"/>
              <w:jc w:val="center"/>
              <w:rPr>
                <w:sz w:val="22"/>
                <w:szCs w:val="22"/>
              </w:rPr>
            </w:pPr>
            <w:r>
              <w:rPr>
                <w:sz w:val="22"/>
                <w:szCs w:val="22"/>
              </w:rPr>
              <w:t>0.5</w:t>
            </w:r>
          </w:p>
        </w:tc>
        <w:tc>
          <w:tcPr>
            <w:tcW w:w="990" w:type="dxa"/>
            <w:tcBorders>
              <w:top w:val="single" w:color="auto" w:sz="4" w:space="0"/>
              <w:left w:val="single" w:color="auto" w:sz="4" w:space="0"/>
              <w:bottom w:val="single" w:color="auto" w:sz="4" w:space="0"/>
              <w:right w:val="single" w:color="auto" w:sz="4" w:space="0"/>
            </w:tcBorders>
            <w:vAlign w:val="bottom"/>
          </w:tcPr>
          <w:p w:rsidR="00F4319B" w:rsidP="00A01025" w:rsidRDefault="0000513E" w14:paraId="0F39D99A" w14:textId="588948D0">
            <w:pPr>
              <w:spacing w:line="276" w:lineRule="auto"/>
              <w:jc w:val="center"/>
              <w:rPr>
                <w:sz w:val="22"/>
                <w:szCs w:val="22"/>
              </w:rPr>
            </w:pPr>
            <w:r>
              <w:rPr>
                <w:sz w:val="22"/>
                <w:szCs w:val="22"/>
              </w:rPr>
              <w:t>227</w:t>
            </w:r>
          </w:p>
        </w:tc>
        <w:tc>
          <w:tcPr>
            <w:tcW w:w="990" w:type="dxa"/>
            <w:tcBorders>
              <w:top w:val="single" w:color="auto" w:sz="4" w:space="0"/>
              <w:left w:val="single" w:color="auto" w:sz="4" w:space="0"/>
              <w:bottom w:val="single" w:color="auto" w:sz="4" w:space="0"/>
              <w:right w:val="single" w:color="auto" w:sz="4" w:space="0"/>
            </w:tcBorders>
            <w:vAlign w:val="bottom"/>
          </w:tcPr>
          <w:p w:rsidR="00F4319B" w:rsidP="00A01025" w:rsidRDefault="00544A06" w14:paraId="395D95D4" w14:textId="4C8C6A8F">
            <w:pPr>
              <w:spacing w:line="276" w:lineRule="auto"/>
              <w:jc w:val="center"/>
              <w:rPr>
                <w:sz w:val="22"/>
                <w:szCs w:val="22"/>
              </w:rPr>
            </w:pPr>
            <w:r>
              <w:rPr>
                <w:sz w:val="22"/>
                <w:szCs w:val="22"/>
              </w:rPr>
              <w:t>$165.63</w:t>
            </w:r>
          </w:p>
        </w:tc>
        <w:tc>
          <w:tcPr>
            <w:tcW w:w="1260" w:type="dxa"/>
            <w:tcBorders>
              <w:top w:val="single" w:color="auto" w:sz="4" w:space="0"/>
              <w:left w:val="single" w:color="auto" w:sz="4" w:space="0"/>
              <w:bottom w:val="single" w:color="auto" w:sz="4" w:space="0"/>
              <w:right w:val="single" w:color="auto" w:sz="4" w:space="0"/>
            </w:tcBorders>
            <w:vAlign w:val="bottom"/>
          </w:tcPr>
          <w:p w:rsidR="00F4319B" w:rsidP="00A01025" w:rsidRDefault="0000513E" w14:paraId="5649B849" w14:textId="14F5811A">
            <w:pPr>
              <w:spacing w:line="276" w:lineRule="auto"/>
              <w:jc w:val="center"/>
              <w:rPr>
                <w:sz w:val="22"/>
                <w:szCs w:val="22"/>
              </w:rPr>
            </w:pPr>
            <w:r>
              <w:rPr>
                <w:sz w:val="22"/>
                <w:szCs w:val="22"/>
              </w:rPr>
              <w:t>$0</w:t>
            </w:r>
          </w:p>
        </w:tc>
      </w:tr>
      <w:tr w:rsidRPr="00645D1A" w:rsidR="00F4319B" w:rsidTr="004174AD" w14:paraId="0D0B0E05" w14:textId="77777777">
        <w:trPr>
          <w:trHeight w:val="215"/>
        </w:trPr>
        <w:tc>
          <w:tcPr>
            <w:tcW w:w="2790" w:type="dxa"/>
            <w:tcBorders>
              <w:top w:val="single" w:color="auto" w:sz="4" w:space="0"/>
              <w:left w:val="single" w:color="auto" w:sz="4" w:space="0"/>
              <w:bottom w:val="single" w:color="auto" w:sz="4" w:space="0"/>
              <w:right w:val="single" w:color="auto" w:sz="4" w:space="0"/>
            </w:tcBorders>
          </w:tcPr>
          <w:p w:rsidR="00F4319B" w:rsidP="00F4319B" w:rsidRDefault="00F4319B" w14:paraId="4E338E26" w14:textId="0BF968AD">
            <w:pPr>
              <w:spacing w:line="276" w:lineRule="auto"/>
              <w:jc w:val="center"/>
              <w:rPr>
                <w:sz w:val="22"/>
                <w:szCs w:val="22"/>
              </w:rPr>
            </w:pPr>
            <w:r>
              <w:rPr>
                <w:sz w:val="22"/>
                <w:szCs w:val="22"/>
              </w:rPr>
              <w:t>PPPs submitting supplemental filings for cease of operations (Subsequent years)</w:t>
            </w:r>
          </w:p>
        </w:tc>
        <w:tc>
          <w:tcPr>
            <w:tcW w:w="1530" w:type="dxa"/>
            <w:tcBorders>
              <w:top w:val="single" w:color="auto" w:sz="4" w:space="0"/>
              <w:left w:val="single" w:color="auto" w:sz="4" w:space="0"/>
              <w:bottom w:val="single" w:color="auto" w:sz="4" w:space="0"/>
              <w:right w:val="single" w:color="auto" w:sz="4" w:space="0"/>
            </w:tcBorders>
            <w:vAlign w:val="bottom"/>
          </w:tcPr>
          <w:p w:rsidR="00F4319B" w:rsidP="00A01025" w:rsidRDefault="009A0AB5" w14:paraId="2AE11DAD" w14:textId="39BC064D">
            <w:pPr>
              <w:spacing w:line="276" w:lineRule="auto"/>
              <w:jc w:val="center"/>
              <w:rPr>
                <w:sz w:val="22"/>
                <w:szCs w:val="22"/>
              </w:rPr>
            </w:pPr>
            <w:r>
              <w:rPr>
                <w:sz w:val="22"/>
                <w:szCs w:val="22"/>
              </w:rPr>
              <w:t>194</w:t>
            </w:r>
          </w:p>
        </w:tc>
        <w:tc>
          <w:tcPr>
            <w:tcW w:w="1350" w:type="dxa"/>
            <w:tcBorders>
              <w:top w:val="single" w:color="auto" w:sz="4" w:space="0"/>
              <w:left w:val="single" w:color="auto" w:sz="4" w:space="0"/>
              <w:bottom w:val="single" w:color="auto" w:sz="4" w:space="0"/>
              <w:right w:val="single" w:color="auto" w:sz="4" w:space="0"/>
            </w:tcBorders>
            <w:vAlign w:val="bottom"/>
          </w:tcPr>
          <w:p w:rsidR="00F4319B" w:rsidP="00A01025" w:rsidRDefault="00654597" w14:paraId="193C2F78" w14:textId="5AE882F3">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F4319B" w:rsidP="00A01025" w:rsidRDefault="009A0AB5" w14:paraId="34F5DC38" w14:textId="1971C899">
            <w:pPr>
              <w:spacing w:line="276" w:lineRule="auto"/>
              <w:jc w:val="center"/>
              <w:rPr>
                <w:sz w:val="22"/>
                <w:szCs w:val="22"/>
              </w:rPr>
            </w:pPr>
            <w:r>
              <w:rPr>
                <w:sz w:val="22"/>
                <w:szCs w:val="22"/>
              </w:rPr>
              <w:t>194</w:t>
            </w:r>
          </w:p>
        </w:tc>
        <w:tc>
          <w:tcPr>
            <w:tcW w:w="1080" w:type="dxa"/>
            <w:tcBorders>
              <w:top w:val="single" w:color="auto" w:sz="4" w:space="0"/>
              <w:left w:val="single" w:color="auto" w:sz="4" w:space="0"/>
              <w:bottom w:val="single" w:color="auto" w:sz="4" w:space="0"/>
              <w:right w:val="single" w:color="auto" w:sz="4" w:space="0"/>
            </w:tcBorders>
            <w:vAlign w:val="bottom"/>
          </w:tcPr>
          <w:p w:rsidR="00F4319B" w:rsidP="00A01025" w:rsidRDefault="0016623D" w14:paraId="570E3113" w14:textId="4EA225C8">
            <w:pPr>
              <w:spacing w:line="276" w:lineRule="auto"/>
              <w:jc w:val="center"/>
              <w:rPr>
                <w:sz w:val="22"/>
                <w:szCs w:val="22"/>
              </w:rPr>
            </w:pPr>
            <w:r>
              <w:rPr>
                <w:sz w:val="22"/>
                <w:szCs w:val="22"/>
              </w:rPr>
              <w:t>0.5</w:t>
            </w:r>
          </w:p>
        </w:tc>
        <w:tc>
          <w:tcPr>
            <w:tcW w:w="990" w:type="dxa"/>
            <w:tcBorders>
              <w:top w:val="single" w:color="auto" w:sz="4" w:space="0"/>
              <w:left w:val="single" w:color="auto" w:sz="4" w:space="0"/>
              <w:bottom w:val="single" w:color="auto" w:sz="4" w:space="0"/>
              <w:right w:val="single" w:color="auto" w:sz="4" w:space="0"/>
            </w:tcBorders>
            <w:vAlign w:val="bottom"/>
          </w:tcPr>
          <w:p w:rsidR="00F4319B" w:rsidP="00A01025" w:rsidRDefault="0000513E" w14:paraId="567D92D9" w14:textId="425761F3">
            <w:pPr>
              <w:spacing w:line="276" w:lineRule="auto"/>
              <w:jc w:val="center"/>
              <w:rPr>
                <w:sz w:val="22"/>
                <w:szCs w:val="22"/>
              </w:rPr>
            </w:pPr>
            <w:r>
              <w:rPr>
                <w:sz w:val="22"/>
                <w:szCs w:val="22"/>
              </w:rPr>
              <w:t>97</w:t>
            </w:r>
          </w:p>
        </w:tc>
        <w:tc>
          <w:tcPr>
            <w:tcW w:w="990" w:type="dxa"/>
            <w:tcBorders>
              <w:top w:val="single" w:color="auto" w:sz="4" w:space="0"/>
              <w:left w:val="single" w:color="auto" w:sz="4" w:space="0"/>
              <w:bottom w:val="single" w:color="auto" w:sz="4" w:space="0"/>
              <w:right w:val="single" w:color="auto" w:sz="4" w:space="0"/>
            </w:tcBorders>
            <w:vAlign w:val="bottom"/>
          </w:tcPr>
          <w:p w:rsidR="00F4319B" w:rsidP="00A01025" w:rsidRDefault="00544A06" w14:paraId="2A776CB8" w14:textId="3ADF21BC">
            <w:pPr>
              <w:spacing w:line="276" w:lineRule="auto"/>
              <w:jc w:val="center"/>
              <w:rPr>
                <w:sz w:val="22"/>
                <w:szCs w:val="22"/>
              </w:rPr>
            </w:pPr>
            <w:r>
              <w:rPr>
                <w:sz w:val="22"/>
                <w:szCs w:val="22"/>
              </w:rPr>
              <w:t>$165.63</w:t>
            </w:r>
          </w:p>
        </w:tc>
        <w:tc>
          <w:tcPr>
            <w:tcW w:w="1260" w:type="dxa"/>
            <w:tcBorders>
              <w:top w:val="single" w:color="auto" w:sz="4" w:space="0"/>
              <w:left w:val="single" w:color="auto" w:sz="4" w:space="0"/>
              <w:bottom w:val="single" w:color="auto" w:sz="4" w:space="0"/>
              <w:right w:val="single" w:color="auto" w:sz="4" w:space="0"/>
            </w:tcBorders>
            <w:vAlign w:val="bottom"/>
          </w:tcPr>
          <w:p w:rsidR="00F4319B" w:rsidP="00A01025" w:rsidRDefault="0000513E" w14:paraId="4292992C" w14:textId="230A2C70">
            <w:pPr>
              <w:spacing w:line="276" w:lineRule="auto"/>
              <w:jc w:val="center"/>
              <w:rPr>
                <w:sz w:val="22"/>
                <w:szCs w:val="22"/>
              </w:rPr>
            </w:pPr>
            <w:r>
              <w:rPr>
                <w:sz w:val="22"/>
                <w:szCs w:val="22"/>
              </w:rPr>
              <w:t>$0</w:t>
            </w:r>
          </w:p>
        </w:tc>
      </w:tr>
      <w:tr w:rsidRPr="00645D1A" w:rsidR="00F4319B" w:rsidTr="004174AD" w14:paraId="64FA1F51" w14:textId="77777777">
        <w:trPr>
          <w:trHeight w:val="215"/>
        </w:trPr>
        <w:tc>
          <w:tcPr>
            <w:tcW w:w="2790" w:type="dxa"/>
            <w:tcBorders>
              <w:top w:val="single" w:color="auto" w:sz="4" w:space="0"/>
              <w:left w:val="single" w:color="auto" w:sz="4" w:space="0"/>
              <w:bottom w:val="single" w:color="auto" w:sz="4" w:space="0"/>
              <w:right w:val="single" w:color="auto" w:sz="4" w:space="0"/>
            </w:tcBorders>
          </w:tcPr>
          <w:p w:rsidR="00F4319B" w:rsidP="00F4319B" w:rsidRDefault="00F4319B" w14:paraId="3F50AD1A" w14:textId="2235F4EE">
            <w:pPr>
              <w:spacing w:line="276" w:lineRule="auto"/>
              <w:jc w:val="center"/>
              <w:rPr>
                <w:sz w:val="22"/>
                <w:szCs w:val="22"/>
              </w:rPr>
            </w:pPr>
            <w:r w:rsidRPr="00F4319B">
              <w:rPr>
                <w:sz w:val="22"/>
                <w:szCs w:val="22"/>
              </w:rPr>
              <w:t xml:space="preserve">PPPs submitting supplemental filings for </w:t>
            </w:r>
            <w:r>
              <w:rPr>
                <w:sz w:val="22"/>
                <w:szCs w:val="22"/>
              </w:rPr>
              <w:t>changes in operations</w:t>
            </w:r>
            <w:r w:rsidRPr="00F4319B">
              <w:rPr>
                <w:sz w:val="22"/>
                <w:szCs w:val="22"/>
              </w:rPr>
              <w:t xml:space="preserve"> (Subsequent years)</w:t>
            </w:r>
          </w:p>
        </w:tc>
        <w:tc>
          <w:tcPr>
            <w:tcW w:w="1530" w:type="dxa"/>
            <w:tcBorders>
              <w:top w:val="single" w:color="auto" w:sz="4" w:space="0"/>
              <w:left w:val="single" w:color="auto" w:sz="4" w:space="0"/>
              <w:bottom w:val="single" w:color="auto" w:sz="4" w:space="0"/>
              <w:right w:val="single" w:color="auto" w:sz="4" w:space="0"/>
            </w:tcBorders>
            <w:vAlign w:val="bottom"/>
          </w:tcPr>
          <w:p w:rsidR="00F4319B" w:rsidP="00A01025" w:rsidRDefault="009A0AB5" w14:paraId="150DA028" w14:textId="01AF4901">
            <w:pPr>
              <w:spacing w:line="276" w:lineRule="auto"/>
              <w:jc w:val="center"/>
              <w:rPr>
                <w:sz w:val="22"/>
                <w:szCs w:val="22"/>
              </w:rPr>
            </w:pPr>
            <w:r>
              <w:rPr>
                <w:sz w:val="22"/>
                <w:szCs w:val="22"/>
              </w:rPr>
              <w:t>226</w:t>
            </w:r>
          </w:p>
        </w:tc>
        <w:tc>
          <w:tcPr>
            <w:tcW w:w="1350" w:type="dxa"/>
            <w:tcBorders>
              <w:top w:val="single" w:color="auto" w:sz="4" w:space="0"/>
              <w:left w:val="single" w:color="auto" w:sz="4" w:space="0"/>
              <w:bottom w:val="single" w:color="auto" w:sz="4" w:space="0"/>
              <w:right w:val="single" w:color="auto" w:sz="4" w:space="0"/>
            </w:tcBorders>
            <w:vAlign w:val="bottom"/>
          </w:tcPr>
          <w:p w:rsidR="00F4319B" w:rsidP="00A01025" w:rsidRDefault="00654597" w14:paraId="46C5CC9D" w14:textId="00B53F52">
            <w:pPr>
              <w:spacing w:line="276" w:lineRule="auto"/>
              <w:jc w:val="center"/>
              <w:rPr>
                <w:sz w:val="22"/>
                <w:szCs w:val="22"/>
              </w:rPr>
            </w:pPr>
            <w:r>
              <w:rPr>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F4319B" w:rsidP="00A01025" w:rsidRDefault="009A0AB5" w14:paraId="2D4771B6" w14:textId="7EAFA7D2">
            <w:pPr>
              <w:spacing w:line="276" w:lineRule="auto"/>
              <w:jc w:val="center"/>
              <w:rPr>
                <w:sz w:val="22"/>
                <w:szCs w:val="22"/>
              </w:rPr>
            </w:pPr>
            <w:r>
              <w:rPr>
                <w:sz w:val="22"/>
                <w:szCs w:val="22"/>
              </w:rPr>
              <w:t>226</w:t>
            </w:r>
          </w:p>
        </w:tc>
        <w:tc>
          <w:tcPr>
            <w:tcW w:w="1080" w:type="dxa"/>
            <w:tcBorders>
              <w:top w:val="single" w:color="auto" w:sz="4" w:space="0"/>
              <w:left w:val="single" w:color="auto" w:sz="4" w:space="0"/>
              <w:bottom w:val="single" w:color="auto" w:sz="4" w:space="0"/>
              <w:right w:val="single" w:color="auto" w:sz="4" w:space="0"/>
            </w:tcBorders>
            <w:vAlign w:val="bottom"/>
          </w:tcPr>
          <w:p w:rsidR="00F4319B" w:rsidP="00A01025" w:rsidRDefault="0016623D" w14:paraId="28E22251" w14:textId="66427B24">
            <w:pPr>
              <w:spacing w:line="276" w:lineRule="auto"/>
              <w:jc w:val="center"/>
              <w:rPr>
                <w:sz w:val="22"/>
                <w:szCs w:val="22"/>
              </w:rPr>
            </w:pPr>
            <w:r>
              <w:rPr>
                <w:sz w:val="22"/>
                <w:szCs w:val="22"/>
              </w:rPr>
              <w:t>0.5</w:t>
            </w:r>
          </w:p>
        </w:tc>
        <w:tc>
          <w:tcPr>
            <w:tcW w:w="990" w:type="dxa"/>
            <w:tcBorders>
              <w:top w:val="single" w:color="auto" w:sz="4" w:space="0"/>
              <w:left w:val="single" w:color="auto" w:sz="4" w:space="0"/>
              <w:bottom w:val="single" w:color="auto" w:sz="4" w:space="0"/>
              <w:right w:val="single" w:color="auto" w:sz="4" w:space="0"/>
            </w:tcBorders>
            <w:vAlign w:val="bottom"/>
          </w:tcPr>
          <w:p w:rsidR="00F4319B" w:rsidP="00A01025" w:rsidRDefault="0000513E" w14:paraId="064B570B" w14:textId="288794DA">
            <w:pPr>
              <w:spacing w:line="276" w:lineRule="auto"/>
              <w:jc w:val="center"/>
              <w:rPr>
                <w:sz w:val="22"/>
                <w:szCs w:val="22"/>
              </w:rPr>
            </w:pPr>
            <w:r>
              <w:rPr>
                <w:sz w:val="22"/>
                <w:szCs w:val="22"/>
              </w:rPr>
              <w:t>113</w:t>
            </w:r>
          </w:p>
        </w:tc>
        <w:tc>
          <w:tcPr>
            <w:tcW w:w="990" w:type="dxa"/>
            <w:tcBorders>
              <w:top w:val="single" w:color="auto" w:sz="4" w:space="0"/>
              <w:left w:val="single" w:color="auto" w:sz="4" w:space="0"/>
              <w:bottom w:val="single" w:color="auto" w:sz="4" w:space="0"/>
              <w:right w:val="single" w:color="auto" w:sz="4" w:space="0"/>
            </w:tcBorders>
            <w:vAlign w:val="bottom"/>
          </w:tcPr>
          <w:p w:rsidR="00F4319B" w:rsidP="00A01025" w:rsidRDefault="00544A06" w14:paraId="1356FDC4" w14:textId="4E46EB25">
            <w:pPr>
              <w:spacing w:line="276" w:lineRule="auto"/>
              <w:jc w:val="center"/>
              <w:rPr>
                <w:sz w:val="22"/>
                <w:szCs w:val="22"/>
              </w:rPr>
            </w:pPr>
            <w:r>
              <w:rPr>
                <w:sz w:val="22"/>
                <w:szCs w:val="22"/>
              </w:rPr>
              <w:t>$165.63</w:t>
            </w:r>
          </w:p>
        </w:tc>
        <w:tc>
          <w:tcPr>
            <w:tcW w:w="1260" w:type="dxa"/>
            <w:tcBorders>
              <w:top w:val="single" w:color="auto" w:sz="4" w:space="0"/>
              <w:left w:val="single" w:color="auto" w:sz="4" w:space="0"/>
              <w:bottom w:val="single" w:color="auto" w:sz="4" w:space="0"/>
              <w:right w:val="single" w:color="auto" w:sz="4" w:space="0"/>
            </w:tcBorders>
            <w:vAlign w:val="bottom"/>
          </w:tcPr>
          <w:p w:rsidR="00F4319B" w:rsidP="00A01025" w:rsidRDefault="0000513E" w14:paraId="0B520799" w14:textId="2A2C6FD0">
            <w:pPr>
              <w:spacing w:line="276" w:lineRule="auto"/>
              <w:jc w:val="center"/>
              <w:rPr>
                <w:sz w:val="22"/>
                <w:szCs w:val="22"/>
              </w:rPr>
            </w:pPr>
            <w:r>
              <w:rPr>
                <w:sz w:val="22"/>
                <w:szCs w:val="22"/>
              </w:rPr>
              <w:t>$0</w:t>
            </w:r>
          </w:p>
        </w:tc>
      </w:tr>
      <w:tr w:rsidRPr="00645D1A" w:rsidR="00195DA8" w:rsidTr="00175840" w14:paraId="4B491BFF" w14:textId="77777777">
        <w:tc>
          <w:tcPr>
            <w:tcW w:w="2790" w:type="dxa"/>
            <w:tcBorders>
              <w:top w:val="single" w:color="auto" w:sz="4" w:space="0"/>
              <w:left w:val="single" w:color="auto" w:sz="4" w:space="0"/>
              <w:bottom w:val="single" w:color="auto" w:sz="4" w:space="0"/>
              <w:right w:val="single" w:color="auto" w:sz="4" w:space="0"/>
            </w:tcBorders>
          </w:tcPr>
          <w:p w:rsidRPr="00645D1A" w:rsidR="00195DA8" w:rsidP="00A01025" w:rsidRDefault="00195DA8" w14:paraId="6461B82C" w14:textId="1FA1420B">
            <w:pPr>
              <w:spacing w:line="276" w:lineRule="auto"/>
              <w:jc w:val="center"/>
              <w:rPr>
                <w:sz w:val="22"/>
                <w:szCs w:val="22"/>
              </w:rPr>
            </w:pPr>
            <w:r w:rsidRPr="00645D1A">
              <w:rPr>
                <w:sz w:val="22"/>
                <w:szCs w:val="22"/>
              </w:rPr>
              <w:t>Total</w:t>
            </w:r>
            <w:r w:rsidR="000431B2">
              <w:rPr>
                <w:sz w:val="22"/>
                <w:szCs w:val="22"/>
              </w:rPr>
              <w:t xml:space="preserve"> (Three-Year Average)</w:t>
            </w:r>
          </w:p>
        </w:tc>
        <w:tc>
          <w:tcPr>
            <w:tcW w:w="1530" w:type="dxa"/>
            <w:tcBorders>
              <w:top w:val="single" w:color="auto" w:sz="4" w:space="0"/>
              <w:left w:val="single" w:color="auto" w:sz="4" w:space="0"/>
              <w:bottom w:val="single" w:color="auto" w:sz="4" w:space="0"/>
              <w:right w:val="single" w:color="auto" w:sz="4" w:space="0"/>
            </w:tcBorders>
            <w:vAlign w:val="bottom"/>
          </w:tcPr>
          <w:p w:rsidRPr="00645D1A" w:rsidR="00195DA8" w:rsidP="00A01025" w:rsidRDefault="000431B2" w14:paraId="13E34DA6" w14:textId="012658C2">
            <w:pPr>
              <w:spacing w:line="276" w:lineRule="auto"/>
              <w:jc w:val="center"/>
              <w:rPr>
                <w:sz w:val="22"/>
                <w:szCs w:val="22"/>
              </w:rPr>
            </w:pPr>
            <w:r>
              <w:rPr>
                <w:sz w:val="22"/>
                <w:szCs w:val="22"/>
              </w:rPr>
              <w:t>1,660</w:t>
            </w:r>
          </w:p>
        </w:tc>
        <w:tc>
          <w:tcPr>
            <w:tcW w:w="1350" w:type="dxa"/>
            <w:tcBorders>
              <w:top w:val="single" w:color="auto" w:sz="4" w:space="0"/>
              <w:left w:val="single" w:color="auto" w:sz="4" w:space="0"/>
              <w:bottom w:val="single" w:color="auto" w:sz="4" w:space="0"/>
              <w:right w:val="single" w:color="auto" w:sz="4" w:space="0"/>
            </w:tcBorders>
            <w:vAlign w:val="bottom"/>
          </w:tcPr>
          <w:p w:rsidRPr="00645D1A" w:rsidR="00195DA8" w:rsidP="00A01025" w:rsidRDefault="000431B2" w14:paraId="12268EBB" w14:textId="0C47F75E">
            <w:pPr>
              <w:spacing w:line="276" w:lineRule="auto"/>
              <w:jc w:val="center"/>
              <w:rPr>
                <w:sz w:val="22"/>
                <w:szCs w:val="22"/>
              </w:rPr>
            </w:pPr>
            <w:r>
              <w:rPr>
                <w:sz w:val="22"/>
                <w:szCs w:val="22"/>
              </w:rPr>
              <w:t>1.69</w:t>
            </w:r>
          </w:p>
        </w:tc>
        <w:tc>
          <w:tcPr>
            <w:tcW w:w="1260" w:type="dxa"/>
            <w:tcBorders>
              <w:top w:val="single" w:color="auto" w:sz="4" w:space="0"/>
              <w:left w:val="single" w:color="auto" w:sz="4" w:space="0"/>
              <w:bottom w:val="single" w:color="auto" w:sz="4" w:space="0"/>
              <w:right w:val="single" w:color="auto" w:sz="4" w:space="0"/>
            </w:tcBorders>
            <w:vAlign w:val="bottom"/>
          </w:tcPr>
          <w:p w:rsidRPr="00645D1A" w:rsidR="00195DA8" w:rsidP="00A01025" w:rsidRDefault="000431B2" w14:paraId="6C3E62F7" w14:textId="68288100">
            <w:pPr>
              <w:spacing w:line="276" w:lineRule="auto"/>
              <w:jc w:val="center"/>
              <w:rPr>
                <w:sz w:val="22"/>
                <w:szCs w:val="22"/>
              </w:rPr>
            </w:pPr>
            <w:r>
              <w:rPr>
                <w:sz w:val="22"/>
                <w:szCs w:val="22"/>
              </w:rPr>
              <w:t>2,813</w:t>
            </w:r>
          </w:p>
        </w:tc>
        <w:tc>
          <w:tcPr>
            <w:tcW w:w="1080" w:type="dxa"/>
            <w:tcBorders>
              <w:top w:val="single" w:color="auto" w:sz="4" w:space="0"/>
              <w:left w:val="single" w:color="auto" w:sz="4" w:space="0"/>
              <w:bottom w:val="single" w:color="auto" w:sz="4" w:space="0"/>
              <w:right w:val="single" w:color="auto" w:sz="4" w:space="0"/>
            </w:tcBorders>
            <w:vAlign w:val="bottom"/>
          </w:tcPr>
          <w:p w:rsidRPr="00645D1A" w:rsidR="00195DA8" w:rsidP="00A01025" w:rsidRDefault="000431B2" w14:paraId="30677F10" w14:textId="11616F94">
            <w:pPr>
              <w:spacing w:line="276" w:lineRule="auto"/>
              <w:jc w:val="center"/>
              <w:rPr>
                <w:sz w:val="22"/>
                <w:szCs w:val="22"/>
              </w:rPr>
            </w:pPr>
            <w:r>
              <w:rPr>
                <w:sz w:val="22"/>
                <w:szCs w:val="22"/>
              </w:rPr>
              <w:t>0.60</w:t>
            </w:r>
          </w:p>
        </w:tc>
        <w:tc>
          <w:tcPr>
            <w:tcW w:w="990" w:type="dxa"/>
            <w:tcBorders>
              <w:top w:val="single" w:color="auto" w:sz="4" w:space="0"/>
              <w:left w:val="single" w:color="auto" w:sz="4" w:space="0"/>
              <w:bottom w:val="single" w:color="auto" w:sz="4" w:space="0"/>
              <w:right w:val="single" w:color="auto" w:sz="4" w:space="0"/>
            </w:tcBorders>
            <w:vAlign w:val="bottom"/>
          </w:tcPr>
          <w:p w:rsidRPr="00645D1A" w:rsidR="00195DA8" w:rsidP="00A01025" w:rsidRDefault="000431B2" w14:paraId="0D8260DB" w14:textId="733E4C21">
            <w:pPr>
              <w:spacing w:line="276" w:lineRule="auto"/>
              <w:jc w:val="center"/>
              <w:rPr>
                <w:sz w:val="22"/>
                <w:szCs w:val="22"/>
              </w:rPr>
            </w:pPr>
            <w:r>
              <w:rPr>
                <w:sz w:val="22"/>
                <w:szCs w:val="22"/>
              </w:rPr>
              <w:t>1,676</w:t>
            </w:r>
          </w:p>
        </w:tc>
        <w:tc>
          <w:tcPr>
            <w:tcW w:w="990" w:type="dxa"/>
            <w:tcBorders>
              <w:top w:val="single" w:color="auto" w:sz="4" w:space="0"/>
              <w:left w:val="single" w:color="auto" w:sz="4" w:space="0"/>
              <w:bottom w:val="single" w:color="auto" w:sz="4" w:space="0"/>
              <w:right w:val="single" w:color="auto" w:sz="4" w:space="0"/>
            </w:tcBorders>
            <w:vAlign w:val="bottom"/>
          </w:tcPr>
          <w:p w:rsidRPr="00645D1A" w:rsidR="00195DA8" w:rsidP="00A01025" w:rsidRDefault="0000513E" w14:paraId="5DCA7571" w14:textId="2ACC663E">
            <w:pPr>
              <w:spacing w:line="276" w:lineRule="auto"/>
              <w:jc w:val="center"/>
              <w:rPr>
                <w:sz w:val="22"/>
                <w:szCs w:val="22"/>
              </w:rPr>
            </w:pPr>
            <w:r>
              <w:rPr>
                <w:sz w:val="22"/>
                <w:szCs w:val="22"/>
              </w:rPr>
              <w:t>--</w:t>
            </w:r>
          </w:p>
        </w:tc>
        <w:tc>
          <w:tcPr>
            <w:tcW w:w="1260" w:type="dxa"/>
            <w:tcBorders>
              <w:top w:val="single" w:color="auto" w:sz="4" w:space="0"/>
              <w:left w:val="single" w:color="auto" w:sz="4" w:space="0"/>
              <w:bottom w:val="single" w:color="auto" w:sz="4" w:space="0"/>
              <w:right w:val="single" w:color="auto" w:sz="4" w:space="0"/>
            </w:tcBorders>
            <w:vAlign w:val="bottom"/>
          </w:tcPr>
          <w:p w:rsidRPr="00645D1A" w:rsidR="00195DA8" w:rsidP="00A01025" w:rsidRDefault="0000513E" w14:paraId="3B085F9F" w14:textId="2BE52CCD">
            <w:pPr>
              <w:spacing w:line="276" w:lineRule="auto"/>
              <w:jc w:val="center"/>
              <w:rPr>
                <w:sz w:val="22"/>
                <w:szCs w:val="22"/>
              </w:rPr>
            </w:pPr>
            <w:r>
              <w:rPr>
                <w:sz w:val="22"/>
                <w:szCs w:val="22"/>
              </w:rPr>
              <w:t>$0</w:t>
            </w:r>
          </w:p>
        </w:tc>
      </w:tr>
    </w:tbl>
    <w:p w:rsidR="00195DA8" w:rsidP="00D24163" w:rsidRDefault="00195DA8" w14:paraId="36A86650" w14:textId="2A1884F1">
      <w:pPr>
        <w:contextualSpacing/>
      </w:pPr>
    </w:p>
    <w:p w:rsidR="00195DA8" w:rsidP="00D24163" w:rsidRDefault="00195DA8" w14:paraId="2CB26AD2" w14:textId="1410F293">
      <w:pPr>
        <w:contextualSpacing/>
      </w:pPr>
    </w:p>
    <w:p w:rsidR="00FB12A6" w:rsidP="00D24163" w:rsidRDefault="00FB12A6" w14:paraId="6936BAE8" w14:textId="502557AF">
      <w:pPr>
        <w:contextualSpacing/>
      </w:pPr>
    </w:p>
    <w:p w:rsidR="00FB12A6" w:rsidP="00D24163" w:rsidRDefault="00FB12A6" w14:paraId="43A1A7BF" w14:textId="08D57966">
      <w:pPr>
        <w:contextualSpacing/>
      </w:pPr>
    </w:p>
    <w:p w:rsidR="00FB12A6" w:rsidP="00D24163" w:rsidRDefault="00FB12A6" w14:paraId="009F0278" w14:textId="0B3A9DD3">
      <w:pPr>
        <w:contextualSpacing/>
      </w:pPr>
    </w:p>
    <w:p w:rsidRPr="008823D6" w:rsidR="00FB12A6" w:rsidP="00D24163" w:rsidRDefault="00FB12A6" w14:paraId="62C550DC" w14:textId="77777777">
      <w:pPr>
        <w:contextualSpacing/>
      </w:pPr>
    </w:p>
    <w:p w:rsidR="00B02385" w:rsidP="00D24163" w:rsidRDefault="008C4059" w14:paraId="601DF8BB" w14:textId="77777777">
      <w:pPr>
        <w:pStyle w:val="BodyTextIndent"/>
        <w:widowControl/>
        <w:numPr>
          <w:ilvl w:val="0"/>
          <w:numId w:val="1"/>
        </w:numPr>
        <w:tabs>
          <w:tab w:val="clear" w:pos="-1440"/>
        </w:tabs>
        <w:autoSpaceDE/>
        <w:autoSpaceDN/>
        <w:adjustRightInd/>
        <w:contextualSpacing/>
        <w:rPr>
          <w:b/>
        </w:rPr>
      </w:pPr>
      <w:r w:rsidRPr="008823D6">
        <w:rPr>
          <w:b/>
        </w:rPr>
        <w:t xml:space="preserve">Provide an estimate of the total annual cost burden to respondents or recordkeepers resulting from the collection of information.  </w:t>
      </w:r>
    </w:p>
    <w:p w:rsidRPr="00B02385" w:rsidR="00B02385" w:rsidP="00B02385" w:rsidRDefault="00B02385" w14:paraId="7C5B5954" w14:textId="2BAA47A9">
      <w:pPr>
        <w:widowControl w:val="0"/>
        <w:numPr>
          <w:ilvl w:val="0"/>
          <w:numId w:val="8"/>
        </w:numPr>
        <w:autoSpaceDE w:val="0"/>
        <w:autoSpaceDN w:val="0"/>
        <w:adjustRightInd w:val="0"/>
        <w:ind w:left="1440" w:hanging="180"/>
        <w:rPr>
          <w:b/>
          <w:iCs/>
        </w:rPr>
      </w:pPr>
      <w:r w:rsidRPr="00BF3847">
        <w:rPr>
          <w:b/>
          <w:i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02385" w:rsidR="00B02385" w:rsidP="005C5157" w:rsidRDefault="00B02385" w14:paraId="3CC0D12C" w14:textId="425C9E1A">
      <w:pPr>
        <w:widowControl w:val="0"/>
        <w:numPr>
          <w:ilvl w:val="0"/>
          <w:numId w:val="8"/>
        </w:numPr>
        <w:autoSpaceDE w:val="0"/>
        <w:autoSpaceDN w:val="0"/>
        <w:adjustRightInd w:val="0"/>
        <w:ind w:left="1440" w:hanging="180"/>
        <w:rPr>
          <w:b/>
          <w:iCs/>
        </w:rPr>
      </w:pPr>
      <w:r w:rsidRPr="00BF3847">
        <w:rPr>
          <w:b/>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02385" w:rsidR="008C4059" w:rsidP="005C5157" w:rsidRDefault="00B02385" w14:paraId="4E44A9FF" w14:textId="3BE6990D">
      <w:pPr>
        <w:widowControl w:val="0"/>
        <w:numPr>
          <w:ilvl w:val="0"/>
          <w:numId w:val="8"/>
        </w:numPr>
        <w:autoSpaceDE w:val="0"/>
        <w:autoSpaceDN w:val="0"/>
        <w:adjustRightInd w:val="0"/>
        <w:ind w:left="1440" w:hanging="180"/>
        <w:rPr>
          <w:b/>
          <w:iCs/>
        </w:rPr>
      </w:pPr>
      <w:r w:rsidRPr="00BF3847">
        <w:rPr>
          <w:b/>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C4059" w:rsidP="00D24163" w:rsidRDefault="008C4059" w14:paraId="3B3A6811" w14:textId="77777777">
      <w:pPr>
        <w:pStyle w:val="BodyTextIndent"/>
        <w:contextualSpacing/>
      </w:pPr>
    </w:p>
    <w:p w:rsidRPr="008823D6" w:rsidR="00A027D1" w:rsidP="00523A2E" w:rsidRDefault="000C3F0C" w14:paraId="4AB71D9B" w14:textId="188A5E7E">
      <w:pPr>
        <w:pStyle w:val="BodyTextIndent"/>
        <w:ind w:left="1080"/>
      </w:pPr>
      <w:r>
        <w:t>T</w:t>
      </w:r>
      <w:r w:rsidRPr="000C3F0C">
        <w:t>he Department does not believe that the pooled plan provider w</w:t>
      </w:r>
      <w:r w:rsidR="00860811">
        <w:t>ill</w:t>
      </w:r>
      <w:r w:rsidRPr="000C3F0C">
        <w:t xml:space="preserve"> incur any additional costs beyond the labor </w:t>
      </w:r>
      <w:r w:rsidR="000A27BE">
        <w:t xml:space="preserve">costs incurred </w:t>
      </w:r>
      <w:r w:rsidRPr="000C3F0C">
        <w:t>by the administrator</w:t>
      </w:r>
      <w:r w:rsidR="001A6532">
        <w:t xml:space="preserve"> discussed in question 12</w:t>
      </w:r>
      <w:r w:rsidRPr="000C3F0C">
        <w:t xml:space="preserve"> to collec</w:t>
      </w:r>
      <w:r>
        <w:t xml:space="preserve">t and submit this information.  </w:t>
      </w:r>
      <w:r w:rsidR="00A027D1">
        <w:t xml:space="preserve">Thus, </w:t>
      </w:r>
      <w:r w:rsidR="00E96015">
        <w:t>the total annual</w:t>
      </w:r>
      <w:r w:rsidR="00A74C60">
        <w:t xml:space="preserve"> cost</w:t>
      </w:r>
      <w:r w:rsidR="00E96015">
        <w:t xml:space="preserve"> burden of this information collection is $0</w:t>
      </w:r>
      <w:r>
        <w:t xml:space="preserve">.  </w:t>
      </w:r>
    </w:p>
    <w:p w:rsidRPr="008823D6" w:rsidR="008C4059" w:rsidP="008C4059" w:rsidRDefault="008C4059" w14:paraId="6DF79D72" w14:textId="77777777">
      <w:pPr>
        <w:pStyle w:val="BodyTextIndent"/>
        <w:rPr>
          <w:i/>
        </w:rPr>
      </w:pPr>
    </w:p>
    <w:p w:rsidRPr="008823D6" w:rsidR="008C4059" w:rsidP="008C4059" w:rsidRDefault="008C4059" w14:paraId="4F600BF5" w14:textId="77777777">
      <w:pPr>
        <w:pStyle w:val="BodyTextIndent"/>
        <w:widowControl/>
        <w:numPr>
          <w:ilvl w:val="0"/>
          <w:numId w:val="1"/>
        </w:numPr>
        <w:tabs>
          <w:tab w:val="clear" w:pos="-1440"/>
        </w:tabs>
        <w:autoSpaceDE/>
        <w:autoSpaceDN/>
        <w:adjustRightInd/>
        <w:rPr>
          <w:b/>
        </w:rPr>
      </w:pPr>
      <w:r w:rsidRPr="008823D6">
        <w:rPr>
          <w:b/>
        </w:rPr>
        <w:t>Provide estimates of annualized cost to the federal government.  Also, provide an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rsidR="008C4059" w:rsidP="008C4059" w:rsidRDefault="008C4059" w14:paraId="32B7A56C" w14:textId="77777777">
      <w:pPr>
        <w:pStyle w:val="BodyTextIndent"/>
      </w:pPr>
    </w:p>
    <w:p w:rsidRPr="00CF5C00" w:rsidR="00CF5C00" w:rsidP="00CF5C00" w:rsidRDefault="00CF5C00" w14:paraId="1F5F4702" w14:textId="77777777">
      <w:pPr>
        <w:pStyle w:val="BodyTextIndent"/>
        <w:ind w:left="1080"/>
      </w:pPr>
      <w:r w:rsidRPr="00CF5C00">
        <w:t>There is a one-time cost to the government of $698,025 for changes to the ERISA Filing Acceptance System (EFAST2) to coves development, processing, and contact center support costs for (1) 2020 Form 5500 Series annual changes, and (2) Form PR, a new online form for Pooled Plan Provider registrations.  Please note that this information collection is only for Form PR; however, the cost above was not broken down into components and also includes work for other changes to the EFAST2 system that are unrelated to this information collection.</w:t>
      </w:r>
    </w:p>
    <w:p w:rsidRPr="008823D6" w:rsidR="008C4059" w:rsidP="008C4059" w:rsidRDefault="008C4059" w14:paraId="468615FA" w14:textId="77777777">
      <w:pPr>
        <w:pStyle w:val="BodyTextIndent"/>
        <w:rPr>
          <w:b/>
          <w:i/>
        </w:rPr>
      </w:pPr>
    </w:p>
    <w:p w:rsidR="008C4059" w:rsidP="008C4059" w:rsidRDefault="008C4059" w14:paraId="21060538" w14:textId="77777777">
      <w:pPr>
        <w:pStyle w:val="BodyTextIndent"/>
        <w:widowControl/>
        <w:numPr>
          <w:ilvl w:val="0"/>
          <w:numId w:val="1"/>
        </w:numPr>
        <w:tabs>
          <w:tab w:val="clear" w:pos="-1440"/>
        </w:tabs>
        <w:autoSpaceDE/>
        <w:autoSpaceDN/>
        <w:adjustRightInd/>
        <w:rPr>
          <w:b/>
        </w:rPr>
      </w:pPr>
      <w:r w:rsidRPr="008823D6">
        <w:rPr>
          <w:b/>
        </w:rPr>
        <w:t>Explain any reasons for any program changes or adjustments</w:t>
      </w:r>
      <w:r>
        <w:rPr>
          <w:b/>
        </w:rPr>
        <w:t>.</w:t>
      </w:r>
    </w:p>
    <w:p w:rsidR="003C3AEE" w:rsidP="00260A7E" w:rsidRDefault="003C3AEE" w14:paraId="7F02F04F" w14:textId="77777777">
      <w:pPr>
        <w:pStyle w:val="BodyTextIndent"/>
        <w:widowControl/>
        <w:tabs>
          <w:tab w:val="clear" w:pos="-1440"/>
        </w:tabs>
        <w:autoSpaceDE/>
        <w:autoSpaceDN/>
        <w:adjustRightInd/>
        <w:rPr>
          <w:b/>
        </w:rPr>
      </w:pPr>
    </w:p>
    <w:p w:rsidRPr="00260A7E" w:rsidR="003C3AEE" w:rsidP="00260A7E" w:rsidRDefault="003C3AEE" w14:paraId="2ECA0508" w14:textId="77777777">
      <w:pPr>
        <w:pStyle w:val="BodyTextIndent"/>
        <w:widowControl/>
        <w:tabs>
          <w:tab w:val="clear" w:pos="-1440"/>
        </w:tabs>
        <w:autoSpaceDE/>
        <w:autoSpaceDN/>
        <w:adjustRightInd/>
        <w:ind w:left="1080"/>
      </w:pPr>
      <w:r w:rsidRPr="00260A7E">
        <w:t>This is a new information collection.</w:t>
      </w:r>
    </w:p>
    <w:p w:rsidRPr="008823D6" w:rsidR="008C4059" w:rsidP="008C4059" w:rsidRDefault="008C4059" w14:paraId="172FC0FA" w14:textId="77777777">
      <w:pPr>
        <w:pStyle w:val="BodyTextIndent"/>
        <w:ind w:left="360"/>
      </w:pPr>
    </w:p>
    <w:p w:rsidRPr="008823D6" w:rsidR="008C4059" w:rsidP="008C4059" w:rsidRDefault="008C4059" w14:paraId="1E0AEBB9" w14:textId="77777777">
      <w:pPr>
        <w:pStyle w:val="BodyTextIndent"/>
        <w:widowControl/>
        <w:numPr>
          <w:ilvl w:val="0"/>
          <w:numId w:val="1"/>
        </w:numPr>
        <w:tabs>
          <w:tab w:val="clear" w:pos="-1440"/>
        </w:tabs>
        <w:autoSpaceDE/>
        <w:autoSpaceDN/>
        <w:adjustRightInd/>
        <w:rPr>
          <w:b/>
        </w:rPr>
      </w:pPr>
      <w:r w:rsidRPr="008823D6">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4059" w:rsidP="008C4059" w:rsidRDefault="008C4059" w14:paraId="2401D4D3" w14:textId="77777777">
      <w:pPr>
        <w:pStyle w:val="BodyTextIndent"/>
      </w:pPr>
    </w:p>
    <w:p w:rsidRPr="008823D6" w:rsidR="003C3AEE" w:rsidP="00260A7E" w:rsidRDefault="003C3AEE" w14:paraId="754E7A77" w14:textId="0DD8DBF0">
      <w:pPr>
        <w:ind w:left="1080"/>
      </w:pPr>
      <w:r w:rsidRPr="00EB039A">
        <w:t>This is not a collection of information for statistical use and</w:t>
      </w:r>
      <w:r w:rsidR="00A5503A">
        <w:t xml:space="preserve">, other than making the registration information </w:t>
      </w:r>
      <w:r w:rsidR="008542AD">
        <w:t>available to the public on the Department’s website,</w:t>
      </w:r>
      <w:r w:rsidRPr="00EB039A">
        <w:t xml:space="preserve"> the</w:t>
      </w:r>
      <w:r w:rsidR="00860811">
        <w:t xml:space="preserve"> Department does not </w:t>
      </w:r>
      <w:r w:rsidRPr="00EB039A">
        <w:t xml:space="preserve">plan to </w:t>
      </w:r>
      <w:r w:rsidR="008542AD">
        <w:t>subject the information to any complex analytical techniques</w:t>
      </w:r>
      <w:r w:rsidRPr="00EB039A">
        <w:t>.</w:t>
      </w:r>
    </w:p>
    <w:p w:rsidRPr="008823D6" w:rsidR="008C4059" w:rsidP="00093824" w:rsidRDefault="008C4059" w14:paraId="5EBD22EF" w14:textId="77777777">
      <w:r w:rsidRPr="008823D6">
        <w:tab/>
      </w:r>
    </w:p>
    <w:p w:rsidRPr="008823D6" w:rsidR="008C4059" w:rsidP="008C4059" w:rsidRDefault="008C4059" w14:paraId="18F226D5" w14:textId="77777777">
      <w:pPr>
        <w:pStyle w:val="BodyTextIndent"/>
        <w:widowControl/>
        <w:numPr>
          <w:ilvl w:val="0"/>
          <w:numId w:val="1"/>
        </w:numPr>
        <w:tabs>
          <w:tab w:val="clear" w:pos="-1440"/>
        </w:tabs>
        <w:autoSpaceDE/>
        <w:autoSpaceDN/>
        <w:adjustRightInd/>
        <w:rPr>
          <w:b/>
        </w:rPr>
      </w:pPr>
      <w:r w:rsidRPr="008823D6">
        <w:rPr>
          <w:b/>
        </w:rPr>
        <w:t>If seeking approval to not display the expiration date for OMB approval of the information collection, explain the reasons that display would be inappropriate.</w:t>
      </w:r>
    </w:p>
    <w:p w:rsidRPr="008823D6" w:rsidR="008C4059" w:rsidP="008C4059" w:rsidRDefault="008C4059" w14:paraId="1CC88476" w14:textId="77777777">
      <w:pPr>
        <w:pStyle w:val="BodyTextIndent"/>
      </w:pPr>
    </w:p>
    <w:p w:rsidR="00572BF9" w:rsidP="00260A7E" w:rsidRDefault="00572BF9" w14:paraId="538E567E" w14:textId="34F1F357">
      <w:pPr>
        <w:ind w:left="1080"/>
      </w:pPr>
      <w:r>
        <w:t>The collection of information will display a currently valid OMB control number</w:t>
      </w:r>
      <w:r w:rsidR="00860811">
        <w:t xml:space="preserve"> and expiration date</w:t>
      </w:r>
      <w:r>
        <w:t>.</w:t>
      </w:r>
    </w:p>
    <w:p w:rsidRPr="008823D6" w:rsidR="00572BF9" w:rsidP="00093824" w:rsidRDefault="00572BF9" w14:paraId="1698FF63" w14:textId="77777777">
      <w:pPr>
        <w:pStyle w:val="BodyTextIndent"/>
        <w:ind w:left="0"/>
        <w:rPr>
          <w:i/>
          <w:iCs/>
        </w:rPr>
      </w:pPr>
    </w:p>
    <w:p w:rsidRPr="008823D6" w:rsidR="008C4059" w:rsidP="008C4059" w:rsidRDefault="008C4059" w14:paraId="068A23C1" w14:textId="77777777">
      <w:pPr>
        <w:pStyle w:val="BodyTextIndent"/>
        <w:widowControl/>
        <w:numPr>
          <w:ilvl w:val="0"/>
          <w:numId w:val="1"/>
        </w:numPr>
        <w:tabs>
          <w:tab w:val="clear" w:pos="-1440"/>
        </w:tabs>
        <w:autoSpaceDE/>
        <w:autoSpaceDN/>
        <w:adjustRightInd/>
        <w:rPr>
          <w:b/>
        </w:rPr>
      </w:pPr>
      <w:r w:rsidRPr="008823D6">
        <w:rPr>
          <w:b/>
        </w:rPr>
        <w:t>Explain each exception to the certification statement</w:t>
      </w:r>
      <w:r>
        <w:rPr>
          <w:b/>
        </w:rPr>
        <w:t>.</w:t>
      </w:r>
    </w:p>
    <w:p w:rsidR="008C4059" w:rsidP="008C4059" w:rsidRDefault="008C4059" w14:paraId="7C8A4BB9" w14:textId="77777777">
      <w:pPr>
        <w:pStyle w:val="BodyTextIndent"/>
      </w:pPr>
    </w:p>
    <w:p w:rsidRPr="00EB039A" w:rsidR="00572BF9" w:rsidP="00260A7E" w:rsidRDefault="00572BF9" w14:paraId="6087E347" w14:textId="77777777">
      <w:pPr>
        <w:ind w:left="1080"/>
      </w:pPr>
      <w:r w:rsidRPr="00EB039A">
        <w:t>There are no exceptions to the certification statement.</w:t>
      </w:r>
    </w:p>
    <w:p w:rsidRPr="008823D6" w:rsidR="00572BF9" w:rsidP="008C4059" w:rsidRDefault="00572BF9" w14:paraId="58270A5C" w14:textId="77777777">
      <w:pPr>
        <w:pStyle w:val="BodyTextIndent"/>
      </w:pPr>
    </w:p>
    <w:p w:rsidRPr="008823D6" w:rsidR="008C4059" w:rsidP="008C4059" w:rsidRDefault="008C4059" w14:paraId="6CC55704" w14:textId="77777777">
      <w:pPr>
        <w:pStyle w:val="BodyTextIndent"/>
        <w:ind w:left="0"/>
      </w:pPr>
    </w:p>
    <w:p w:rsidRPr="008823D6" w:rsidR="008C4059" w:rsidP="008C4059" w:rsidRDefault="008C4059" w14:paraId="69A82E5C" w14:textId="62BDC3AF">
      <w:pPr>
        <w:pStyle w:val="BodyTextIndent"/>
        <w:ind w:left="0"/>
        <w:rPr>
          <w:b/>
          <w:bCs/>
          <w:i/>
          <w:iCs/>
        </w:rPr>
      </w:pPr>
      <w:r w:rsidRPr="008823D6">
        <w:rPr>
          <w:b/>
          <w:bCs/>
        </w:rPr>
        <w:t>B</w:t>
      </w:r>
      <w:r w:rsidRPr="008823D6" w:rsidR="00CD3FA2">
        <w:rPr>
          <w:b/>
          <w:bCs/>
        </w:rPr>
        <w:t>.  COLLECTION OF INFORMATION EMPLOYING STATISTICAL METHODS.</w:t>
      </w:r>
    </w:p>
    <w:p w:rsidRPr="008823D6" w:rsidR="008C4059" w:rsidP="008C4059" w:rsidRDefault="008C4059" w14:paraId="74076DA3" w14:textId="77777777">
      <w:pPr>
        <w:pStyle w:val="BodyTextIndent"/>
        <w:ind w:left="360"/>
        <w:rPr>
          <w:b/>
          <w:bCs/>
          <w:i/>
          <w:iCs/>
        </w:rPr>
      </w:pPr>
    </w:p>
    <w:p w:rsidRPr="00CD3FA2" w:rsidR="00CD3FA2" w:rsidP="00CD3FA2" w:rsidRDefault="008C4059" w14:paraId="1953BE56" w14:textId="6E4E06E6">
      <w:pPr>
        <w:pStyle w:val="BodyTextIndent"/>
        <w:ind w:left="1080"/>
        <w:rPr>
          <w:bCs/>
        </w:rPr>
      </w:pPr>
      <w:r w:rsidRPr="008823D6">
        <w:rPr>
          <w:bCs/>
        </w:rPr>
        <w:t>Not applicable.</w:t>
      </w:r>
      <w:r w:rsidRPr="00CD3FA2" w:rsidR="00CD3FA2">
        <w:t xml:space="preserve"> </w:t>
      </w:r>
      <w:r w:rsidR="00CD3FA2">
        <w:t xml:space="preserve"> </w:t>
      </w:r>
      <w:r w:rsidRPr="00CD3FA2" w:rsidR="00CD3FA2">
        <w:rPr>
          <w:bCs/>
        </w:rPr>
        <w:t>The use of statistical methods is not relevant to this collection of information.</w:t>
      </w:r>
    </w:p>
    <w:p w:rsidRPr="008823D6" w:rsidR="008C4059" w:rsidP="00523A2E" w:rsidRDefault="008C4059" w14:paraId="5C060DD5" w14:textId="77777777">
      <w:pPr>
        <w:pStyle w:val="BodyTextIndent"/>
        <w:ind w:left="1080"/>
        <w:rPr>
          <w:bCs/>
          <w:i/>
          <w:iCs/>
        </w:rPr>
      </w:pPr>
    </w:p>
    <w:p w:rsidR="00757581" w:rsidP="00523A2E" w:rsidRDefault="00757581" w14:paraId="6F4D9BE3" w14:textId="77777777"/>
    <w:sectPr w:rsidR="0075758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293F2" w14:textId="77777777" w:rsidR="00E272A2" w:rsidRDefault="00E272A2" w:rsidP="008C4059">
      <w:r>
        <w:separator/>
      </w:r>
    </w:p>
  </w:endnote>
  <w:endnote w:type="continuationSeparator" w:id="0">
    <w:p w14:paraId="6C1C44DE" w14:textId="77777777" w:rsidR="00E272A2" w:rsidRDefault="00E272A2" w:rsidP="008C4059">
      <w:r>
        <w:continuationSeparator/>
      </w:r>
    </w:p>
  </w:endnote>
  <w:endnote w:type="continuationNotice" w:id="1">
    <w:p w14:paraId="5223DB6D" w14:textId="77777777" w:rsidR="00E272A2" w:rsidRDefault="00E27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603B0" w14:textId="77777777" w:rsidR="00E272A2" w:rsidRDefault="00E272A2" w:rsidP="008C4059">
      <w:r>
        <w:separator/>
      </w:r>
    </w:p>
  </w:footnote>
  <w:footnote w:type="continuationSeparator" w:id="0">
    <w:p w14:paraId="6E9CE2D2" w14:textId="77777777" w:rsidR="00E272A2" w:rsidRDefault="00E272A2" w:rsidP="008C4059">
      <w:r>
        <w:continuationSeparator/>
      </w:r>
    </w:p>
  </w:footnote>
  <w:footnote w:type="continuationNotice" w:id="1">
    <w:p w14:paraId="5C7550A9" w14:textId="77777777" w:rsidR="00E272A2" w:rsidRDefault="00E272A2"/>
  </w:footnote>
  <w:footnote w:id="2">
    <w:p w14:paraId="245315D3" w14:textId="75E95BE9" w:rsidR="002B612E" w:rsidRDefault="002B612E">
      <w:pPr>
        <w:pStyle w:val="FootnoteText"/>
      </w:pPr>
      <w:r>
        <w:rPr>
          <w:rStyle w:val="FootnoteReference"/>
        </w:rPr>
        <w:footnoteRef/>
      </w:r>
      <w:r>
        <w:t xml:space="preserve"> </w:t>
      </w:r>
      <w:r w:rsidRPr="002B612E">
        <w:t>The SECURE Act was enacted as Division O of the Further Consolidated Appropriations Act, 2020 (Pub. L. 116-94) (December 20, 2019).</w:t>
      </w:r>
    </w:p>
  </w:footnote>
  <w:footnote w:id="3">
    <w:p w14:paraId="55CB8C02" w14:textId="77777777" w:rsidR="00A01025" w:rsidRPr="009C6ECD" w:rsidRDefault="00A01025" w:rsidP="00626677">
      <w:pPr>
        <w:pStyle w:val="FootnoteText"/>
      </w:pPr>
      <w:r w:rsidRPr="00375982">
        <w:rPr>
          <w:rStyle w:val="FootnoteReference"/>
        </w:rPr>
        <w:footnoteRef/>
      </w:r>
      <w:r w:rsidRPr="00375982">
        <w:t xml:space="preserve"> 3,233</w:t>
      </w:r>
      <w:r>
        <w:t xml:space="preserve"> </w:t>
      </w:r>
      <w:r w:rsidRPr="00375982">
        <w:t>*</w:t>
      </w:r>
      <w:r>
        <w:t xml:space="preserve"> </w:t>
      </w:r>
      <w:r w:rsidRPr="00375982">
        <w:t>0.14</w:t>
      </w:r>
      <w:r>
        <w:t xml:space="preserve"> </w:t>
      </w:r>
      <w:r w:rsidRPr="00375982">
        <w:t>=</w:t>
      </w:r>
      <w:r>
        <w:t xml:space="preserve"> </w:t>
      </w:r>
      <w:r w:rsidRPr="00375982">
        <w:t>453 pooled plan providers report pooled employer plans beginning operation, 453 pooled plan providers * 0.50 hour = 227 hours.  227 hours * $165.63 = $37,598 3,233</w:t>
      </w:r>
      <w:r>
        <w:t xml:space="preserve"> </w:t>
      </w:r>
      <w:r w:rsidRPr="00375982">
        <w:t>*</w:t>
      </w:r>
      <w:r>
        <w:t xml:space="preserve"> </w:t>
      </w:r>
      <w:r w:rsidRPr="00375982">
        <w:t>0.06</w:t>
      </w:r>
      <w:r>
        <w:t xml:space="preserve"> </w:t>
      </w:r>
      <w:r w:rsidRPr="00375982">
        <w:t>=</w:t>
      </w:r>
      <w:r>
        <w:t xml:space="preserve"> </w:t>
      </w:r>
      <w:r w:rsidRPr="00375982">
        <w:t xml:space="preserve">453 pooled plan providers report pooled </w:t>
      </w:r>
      <w:r w:rsidRPr="009C6ECD">
        <w:t>employer plans ending operation, 194 pooled plan providers * 0.50 hour = 977 hours.  97 hours * $165.63 = $16,060.</w:t>
      </w:r>
    </w:p>
  </w:footnote>
  <w:footnote w:id="4">
    <w:p w14:paraId="7CC7070F" w14:textId="77777777" w:rsidR="00A01025" w:rsidRPr="009C6ECD" w:rsidRDefault="00A01025" w:rsidP="00626677">
      <w:pPr>
        <w:pStyle w:val="FootnoteText"/>
      </w:pPr>
      <w:r w:rsidRPr="009C6ECD">
        <w:rPr>
          <w:rStyle w:val="FootnoteReference"/>
        </w:rPr>
        <w:footnoteRef/>
      </w:r>
      <w:r w:rsidRPr="009C6ECD">
        <w:t xml:space="preserve"> 873 filings * 0.5 hours = 437 hours.  The 873 filings in subsequent years are 453 pooled plan providers reporting pooled employer plans beginning operations, 194 pooled plan providers reporting pooled employer plans ending operations, and 226 pooled plan providers filing other 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8C579" w14:textId="3775EBA8" w:rsidR="00A01025" w:rsidRPr="00BD0851" w:rsidRDefault="00A01025" w:rsidP="003C2613">
    <w:pPr>
      <w:rPr>
        <w:b/>
        <w:bCs/>
        <w:sz w:val="20"/>
        <w:szCs w:val="20"/>
      </w:rPr>
    </w:pPr>
    <w:r w:rsidRPr="003C2613">
      <w:rPr>
        <w:b/>
        <w:bCs/>
        <w:sz w:val="20"/>
        <w:szCs w:val="20"/>
      </w:rPr>
      <w:t>Registration Requirements to Serve as a Pooled Plan Provider to Pooled Employer Plans</w:t>
    </w:r>
  </w:p>
  <w:p w14:paraId="5F3C751E" w14:textId="4D7F537C" w:rsidR="00A01025" w:rsidRPr="00BD0851" w:rsidRDefault="00A01025" w:rsidP="003C2613">
    <w:pPr>
      <w:rPr>
        <w:b/>
        <w:bCs/>
        <w:sz w:val="20"/>
        <w:szCs w:val="20"/>
      </w:rPr>
    </w:pPr>
    <w:r w:rsidRPr="00BD0851">
      <w:rPr>
        <w:b/>
        <w:bCs/>
        <w:sz w:val="20"/>
        <w:szCs w:val="20"/>
      </w:rPr>
      <w:t>OMB Control Number</w:t>
    </w:r>
    <w:r>
      <w:rPr>
        <w:b/>
        <w:bCs/>
        <w:sz w:val="20"/>
        <w:szCs w:val="20"/>
      </w:rPr>
      <w:t>: 1210-</w:t>
    </w:r>
    <w:r w:rsidR="00D7113D">
      <w:rPr>
        <w:b/>
        <w:bCs/>
        <w:sz w:val="20"/>
        <w:szCs w:val="20"/>
      </w:rPr>
      <w:t>0164</w:t>
    </w:r>
  </w:p>
  <w:p w14:paraId="2D65E8A6" w14:textId="5D3E1B39" w:rsidR="00A01025" w:rsidRPr="00BD0851" w:rsidRDefault="00A01025" w:rsidP="003C2613">
    <w:pPr>
      <w:rPr>
        <w:b/>
        <w:bCs/>
        <w:sz w:val="20"/>
        <w:szCs w:val="20"/>
      </w:rPr>
    </w:pPr>
    <w:r w:rsidRPr="00BD0851">
      <w:rPr>
        <w:b/>
        <w:bCs/>
        <w:sz w:val="20"/>
        <w:szCs w:val="20"/>
      </w:rPr>
      <w:t xml:space="preserve">OMB Expiration Date: </w:t>
    </w:r>
  </w:p>
  <w:p w14:paraId="23F00C26" w14:textId="0299B880" w:rsidR="00A01025" w:rsidRDefault="00A01025" w:rsidP="002329EB">
    <w:pPr>
      <w:pStyle w:val="Header"/>
      <w:tabs>
        <w:tab w:val="clear" w:pos="4320"/>
        <w:tab w:val="clear" w:pos="8640"/>
        <w:tab w:val="left" w:pos="6585"/>
        <w:tab w:val="right" w:pos="9360"/>
      </w:tabs>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783"/>
    <w:multiLevelType w:val="hybridMultilevel"/>
    <w:tmpl w:val="12303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DB2F66"/>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82794"/>
    <w:multiLevelType w:val="hybridMultilevel"/>
    <w:tmpl w:val="056441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A9E3168"/>
    <w:multiLevelType w:val="hybridMultilevel"/>
    <w:tmpl w:val="1F4E73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482C36"/>
    <w:multiLevelType w:val="hybridMultilevel"/>
    <w:tmpl w:val="A0AA06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E449A5"/>
    <w:multiLevelType w:val="hybridMultilevel"/>
    <w:tmpl w:val="8A6E122E"/>
    <w:lvl w:ilvl="0" w:tplc="4AD6828A">
      <w:start w:val="1"/>
      <w:numFmt w:val="decimal"/>
      <w:lvlText w:val="%1."/>
      <w:lvlJc w:val="left"/>
      <w:pPr>
        <w:tabs>
          <w:tab w:val="num" w:pos="1080"/>
        </w:tabs>
        <w:ind w:left="1080" w:hanging="720"/>
      </w:pPr>
      <w:rPr>
        <w:rFonts w:hint="default"/>
        <w:i w:val="0"/>
      </w:rPr>
    </w:lvl>
    <w:lvl w:ilvl="1" w:tplc="6EE48C12">
      <w:start w:val="1"/>
      <w:numFmt w:val="bullet"/>
      <w:lvlText w:val=""/>
      <w:lvlJc w:val="left"/>
      <w:pPr>
        <w:tabs>
          <w:tab w:val="num" w:pos="1440"/>
        </w:tabs>
        <w:ind w:left="1440" w:hanging="360"/>
      </w:pPr>
      <w:rPr>
        <w:rFonts w:ascii="Symbol" w:hAnsi="Symbol" w:hint="default"/>
      </w:rPr>
    </w:lvl>
    <w:lvl w:ilvl="2" w:tplc="C240ABFC">
      <w:start w:val="2"/>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E91D8E"/>
    <w:multiLevelType w:val="hybridMultilevel"/>
    <w:tmpl w:val="34A2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96345"/>
    <w:multiLevelType w:val="hybridMultilevel"/>
    <w:tmpl w:val="11A2C4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0EA"/>
    <w:rsid w:val="0000513E"/>
    <w:rsid w:val="00011FCB"/>
    <w:rsid w:val="0002502E"/>
    <w:rsid w:val="00033C44"/>
    <w:rsid w:val="00037647"/>
    <w:rsid w:val="000430BD"/>
    <w:rsid w:val="000431B2"/>
    <w:rsid w:val="00044EFB"/>
    <w:rsid w:val="00045A80"/>
    <w:rsid w:val="00060D2E"/>
    <w:rsid w:val="00061BD2"/>
    <w:rsid w:val="00062829"/>
    <w:rsid w:val="00070392"/>
    <w:rsid w:val="000735D4"/>
    <w:rsid w:val="00075B9D"/>
    <w:rsid w:val="00077920"/>
    <w:rsid w:val="00093824"/>
    <w:rsid w:val="000A27BE"/>
    <w:rsid w:val="000B3B46"/>
    <w:rsid w:val="000C3F0C"/>
    <w:rsid w:val="000C5892"/>
    <w:rsid w:val="000D47C1"/>
    <w:rsid w:val="000D79B9"/>
    <w:rsid w:val="000E1A9D"/>
    <w:rsid w:val="00103044"/>
    <w:rsid w:val="00106979"/>
    <w:rsid w:val="00127804"/>
    <w:rsid w:val="00133909"/>
    <w:rsid w:val="00140BF9"/>
    <w:rsid w:val="00143263"/>
    <w:rsid w:val="00143480"/>
    <w:rsid w:val="0016623D"/>
    <w:rsid w:val="00175840"/>
    <w:rsid w:val="00191837"/>
    <w:rsid w:val="00192479"/>
    <w:rsid w:val="00195DA8"/>
    <w:rsid w:val="001A6532"/>
    <w:rsid w:val="001A7ACE"/>
    <w:rsid w:val="001C44A8"/>
    <w:rsid w:val="001C4F0F"/>
    <w:rsid w:val="001C6D9D"/>
    <w:rsid w:val="001D0D34"/>
    <w:rsid w:val="002060E3"/>
    <w:rsid w:val="002204EA"/>
    <w:rsid w:val="002329EB"/>
    <w:rsid w:val="00260A7E"/>
    <w:rsid w:val="002811D2"/>
    <w:rsid w:val="002827EF"/>
    <w:rsid w:val="0028720F"/>
    <w:rsid w:val="00291225"/>
    <w:rsid w:val="00293F80"/>
    <w:rsid w:val="002A7E4E"/>
    <w:rsid w:val="002B612E"/>
    <w:rsid w:val="002D21F0"/>
    <w:rsid w:val="002D6175"/>
    <w:rsid w:val="002F3BF5"/>
    <w:rsid w:val="002F5914"/>
    <w:rsid w:val="00345D82"/>
    <w:rsid w:val="00357006"/>
    <w:rsid w:val="00362294"/>
    <w:rsid w:val="003733FC"/>
    <w:rsid w:val="00380155"/>
    <w:rsid w:val="0038231E"/>
    <w:rsid w:val="00382970"/>
    <w:rsid w:val="003A2605"/>
    <w:rsid w:val="003A5DE8"/>
    <w:rsid w:val="003C13B7"/>
    <w:rsid w:val="003C1A32"/>
    <w:rsid w:val="003C2613"/>
    <w:rsid w:val="003C3AEE"/>
    <w:rsid w:val="003D6642"/>
    <w:rsid w:val="003E3FF2"/>
    <w:rsid w:val="003E69C9"/>
    <w:rsid w:val="003F33AB"/>
    <w:rsid w:val="003F3E83"/>
    <w:rsid w:val="00400C6C"/>
    <w:rsid w:val="00401D35"/>
    <w:rsid w:val="00403E6F"/>
    <w:rsid w:val="004046BC"/>
    <w:rsid w:val="004174AD"/>
    <w:rsid w:val="00422A19"/>
    <w:rsid w:val="00435B76"/>
    <w:rsid w:val="004470D5"/>
    <w:rsid w:val="00456244"/>
    <w:rsid w:val="00480551"/>
    <w:rsid w:val="00491223"/>
    <w:rsid w:val="004A1E03"/>
    <w:rsid w:val="004C6011"/>
    <w:rsid w:val="004D1149"/>
    <w:rsid w:val="004D358F"/>
    <w:rsid w:val="004E189C"/>
    <w:rsid w:val="0051376F"/>
    <w:rsid w:val="005157DD"/>
    <w:rsid w:val="00523A2E"/>
    <w:rsid w:val="005259BB"/>
    <w:rsid w:val="005343D0"/>
    <w:rsid w:val="005346D9"/>
    <w:rsid w:val="00544731"/>
    <w:rsid w:val="00544A06"/>
    <w:rsid w:val="00550847"/>
    <w:rsid w:val="00551DA9"/>
    <w:rsid w:val="00557568"/>
    <w:rsid w:val="00557C5A"/>
    <w:rsid w:val="00561F8A"/>
    <w:rsid w:val="00563494"/>
    <w:rsid w:val="00570714"/>
    <w:rsid w:val="00570A21"/>
    <w:rsid w:val="00572987"/>
    <w:rsid w:val="00572BF9"/>
    <w:rsid w:val="00585BD6"/>
    <w:rsid w:val="005A1DB1"/>
    <w:rsid w:val="005C5157"/>
    <w:rsid w:val="005D0DA5"/>
    <w:rsid w:val="005D2A4C"/>
    <w:rsid w:val="005E1DC9"/>
    <w:rsid w:val="005E546B"/>
    <w:rsid w:val="00601E48"/>
    <w:rsid w:val="00610EE8"/>
    <w:rsid w:val="00617A8B"/>
    <w:rsid w:val="00626677"/>
    <w:rsid w:val="00630846"/>
    <w:rsid w:val="00634E2C"/>
    <w:rsid w:val="00651586"/>
    <w:rsid w:val="00652729"/>
    <w:rsid w:val="00652CE2"/>
    <w:rsid w:val="00654597"/>
    <w:rsid w:val="006701CE"/>
    <w:rsid w:val="006704C6"/>
    <w:rsid w:val="006709B1"/>
    <w:rsid w:val="006721B3"/>
    <w:rsid w:val="00697D8E"/>
    <w:rsid w:val="006A2DA3"/>
    <w:rsid w:val="006B5652"/>
    <w:rsid w:val="006F5D2B"/>
    <w:rsid w:val="0070466A"/>
    <w:rsid w:val="00705B88"/>
    <w:rsid w:val="007065D9"/>
    <w:rsid w:val="007132ED"/>
    <w:rsid w:val="00715DF2"/>
    <w:rsid w:val="00722002"/>
    <w:rsid w:val="00722458"/>
    <w:rsid w:val="00725BEC"/>
    <w:rsid w:val="007415FA"/>
    <w:rsid w:val="00750931"/>
    <w:rsid w:val="00755FF8"/>
    <w:rsid w:val="00757581"/>
    <w:rsid w:val="007617EA"/>
    <w:rsid w:val="00775F96"/>
    <w:rsid w:val="00790184"/>
    <w:rsid w:val="00791536"/>
    <w:rsid w:val="007917B6"/>
    <w:rsid w:val="007B5B89"/>
    <w:rsid w:val="007B7033"/>
    <w:rsid w:val="007E26B1"/>
    <w:rsid w:val="007E4D8F"/>
    <w:rsid w:val="007F7696"/>
    <w:rsid w:val="00802712"/>
    <w:rsid w:val="00854011"/>
    <w:rsid w:val="008542AD"/>
    <w:rsid w:val="00854AA9"/>
    <w:rsid w:val="00860811"/>
    <w:rsid w:val="00870616"/>
    <w:rsid w:val="0087194E"/>
    <w:rsid w:val="00872B6A"/>
    <w:rsid w:val="00891347"/>
    <w:rsid w:val="008A582C"/>
    <w:rsid w:val="008C0EF2"/>
    <w:rsid w:val="008C4059"/>
    <w:rsid w:val="008C7158"/>
    <w:rsid w:val="008D2639"/>
    <w:rsid w:val="008E21BB"/>
    <w:rsid w:val="008E53D9"/>
    <w:rsid w:val="00904639"/>
    <w:rsid w:val="009147E4"/>
    <w:rsid w:val="00924F66"/>
    <w:rsid w:val="009276A8"/>
    <w:rsid w:val="00930DE3"/>
    <w:rsid w:val="0093775E"/>
    <w:rsid w:val="009460E4"/>
    <w:rsid w:val="0095441E"/>
    <w:rsid w:val="0095664D"/>
    <w:rsid w:val="009612B9"/>
    <w:rsid w:val="00983440"/>
    <w:rsid w:val="009A0AB5"/>
    <w:rsid w:val="009A48A2"/>
    <w:rsid w:val="009B0817"/>
    <w:rsid w:val="009B42BD"/>
    <w:rsid w:val="009B45E7"/>
    <w:rsid w:val="009B5258"/>
    <w:rsid w:val="009B6390"/>
    <w:rsid w:val="009B7CE9"/>
    <w:rsid w:val="009C730A"/>
    <w:rsid w:val="009D5978"/>
    <w:rsid w:val="009E4844"/>
    <w:rsid w:val="009E65FF"/>
    <w:rsid w:val="009F0FB6"/>
    <w:rsid w:val="009F1BEE"/>
    <w:rsid w:val="009F2CAD"/>
    <w:rsid w:val="00A01025"/>
    <w:rsid w:val="00A01C62"/>
    <w:rsid w:val="00A027D1"/>
    <w:rsid w:val="00A06284"/>
    <w:rsid w:val="00A07AD7"/>
    <w:rsid w:val="00A11FE9"/>
    <w:rsid w:val="00A37CC2"/>
    <w:rsid w:val="00A5503A"/>
    <w:rsid w:val="00A72B9F"/>
    <w:rsid w:val="00A74C60"/>
    <w:rsid w:val="00A765B2"/>
    <w:rsid w:val="00A90C28"/>
    <w:rsid w:val="00A969E5"/>
    <w:rsid w:val="00A97F32"/>
    <w:rsid w:val="00AB50EA"/>
    <w:rsid w:val="00AB7876"/>
    <w:rsid w:val="00AC6CD0"/>
    <w:rsid w:val="00AC7726"/>
    <w:rsid w:val="00AD10E7"/>
    <w:rsid w:val="00AE43B6"/>
    <w:rsid w:val="00AE45AD"/>
    <w:rsid w:val="00AE523E"/>
    <w:rsid w:val="00AF0A0B"/>
    <w:rsid w:val="00B02385"/>
    <w:rsid w:val="00B20112"/>
    <w:rsid w:val="00B45159"/>
    <w:rsid w:val="00B55076"/>
    <w:rsid w:val="00B56B3F"/>
    <w:rsid w:val="00B6254D"/>
    <w:rsid w:val="00B73250"/>
    <w:rsid w:val="00B81B87"/>
    <w:rsid w:val="00B81EF4"/>
    <w:rsid w:val="00B92C34"/>
    <w:rsid w:val="00BA10CB"/>
    <w:rsid w:val="00BB6AFC"/>
    <w:rsid w:val="00BD1F4B"/>
    <w:rsid w:val="00BE0A7D"/>
    <w:rsid w:val="00BE3A75"/>
    <w:rsid w:val="00BF48A5"/>
    <w:rsid w:val="00C01E07"/>
    <w:rsid w:val="00C13E87"/>
    <w:rsid w:val="00C20D31"/>
    <w:rsid w:val="00C30091"/>
    <w:rsid w:val="00C31A58"/>
    <w:rsid w:val="00C42D3C"/>
    <w:rsid w:val="00C510D1"/>
    <w:rsid w:val="00C63D36"/>
    <w:rsid w:val="00C644A4"/>
    <w:rsid w:val="00C828BC"/>
    <w:rsid w:val="00C83B1E"/>
    <w:rsid w:val="00CA222E"/>
    <w:rsid w:val="00CB3E34"/>
    <w:rsid w:val="00CC0491"/>
    <w:rsid w:val="00CC0BA2"/>
    <w:rsid w:val="00CC18BC"/>
    <w:rsid w:val="00CC655C"/>
    <w:rsid w:val="00CD3FA2"/>
    <w:rsid w:val="00CD4342"/>
    <w:rsid w:val="00CE12F2"/>
    <w:rsid w:val="00CE65DD"/>
    <w:rsid w:val="00CF5C00"/>
    <w:rsid w:val="00D1403C"/>
    <w:rsid w:val="00D20DFE"/>
    <w:rsid w:val="00D24163"/>
    <w:rsid w:val="00D332C7"/>
    <w:rsid w:val="00D33FBB"/>
    <w:rsid w:val="00D34611"/>
    <w:rsid w:val="00D36812"/>
    <w:rsid w:val="00D4372C"/>
    <w:rsid w:val="00D57E6E"/>
    <w:rsid w:val="00D7113D"/>
    <w:rsid w:val="00D711C6"/>
    <w:rsid w:val="00D721CE"/>
    <w:rsid w:val="00D743AA"/>
    <w:rsid w:val="00D74C03"/>
    <w:rsid w:val="00D75D74"/>
    <w:rsid w:val="00D812A2"/>
    <w:rsid w:val="00D82AD0"/>
    <w:rsid w:val="00D904C1"/>
    <w:rsid w:val="00D90A34"/>
    <w:rsid w:val="00D923A1"/>
    <w:rsid w:val="00DC0043"/>
    <w:rsid w:val="00DC16FB"/>
    <w:rsid w:val="00DD0A71"/>
    <w:rsid w:val="00DD5264"/>
    <w:rsid w:val="00DE0E9D"/>
    <w:rsid w:val="00DE3630"/>
    <w:rsid w:val="00DF0C84"/>
    <w:rsid w:val="00E01639"/>
    <w:rsid w:val="00E272A2"/>
    <w:rsid w:val="00E473BD"/>
    <w:rsid w:val="00E511BE"/>
    <w:rsid w:val="00E63551"/>
    <w:rsid w:val="00E70783"/>
    <w:rsid w:val="00E70C0A"/>
    <w:rsid w:val="00E76A5A"/>
    <w:rsid w:val="00E76AA8"/>
    <w:rsid w:val="00E96015"/>
    <w:rsid w:val="00EA6BB5"/>
    <w:rsid w:val="00EB072D"/>
    <w:rsid w:val="00EC4240"/>
    <w:rsid w:val="00EE0FDD"/>
    <w:rsid w:val="00EF0928"/>
    <w:rsid w:val="00F007EC"/>
    <w:rsid w:val="00F059A5"/>
    <w:rsid w:val="00F11F4F"/>
    <w:rsid w:val="00F2600E"/>
    <w:rsid w:val="00F32DBB"/>
    <w:rsid w:val="00F32FBD"/>
    <w:rsid w:val="00F33C28"/>
    <w:rsid w:val="00F36826"/>
    <w:rsid w:val="00F4319B"/>
    <w:rsid w:val="00F459C5"/>
    <w:rsid w:val="00F569E9"/>
    <w:rsid w:val="00F65206"/>
    <w:rsid w:val="00F66E2E"/>
    <w:rsid w:val="00F71633"/>
    <w:rsid w:val="00F9130B"/>
    <w:rsid w:val="00F96012"/>
    <w:rsid w:val="00FA1EB4"/>
    <w:rsid w:val="00FB12A6"/>
    <w:rsid w:val="00FE287E"/>
    <w:rsid w:val="00FF7BE6"/>
    <w:rsid w:val="0A075028"/>
    <w:rsid w:val="112C86F8"/>
    <w:rsid w:val="11A24FDE"/>
    <w:rsid w:val="18DC8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6D39"/>
  <w15:chartTrackingRefBased/>
  <w15:docId w15:val="{22A14720-DBC6-4ABC-B2FC-7F2B853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0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B50E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0EA"/>
    <w:rPr>
      <w:rFonts w:ascii="Times New Roman" w:eastAsia="Times New Roman" w:hAnsi="Times New Roman" w:cs="Times New Roman"/>
      <w:b/>
      <w:bCs/>
      <w:sz w:val="24"/>
      <w:szCs w:val="24"/>
    </w:rPr>
  </w:style>
  <w:style w:type="paragraph" w:styleId="Header">
    <w:name w:val="header"/>
    <w:basedOn w:val="Normal"/>
    <w:link w:val="HeaderChar"/>
    <w:uiPriority w:val="99"/>
    <w:rsid w:val="00AB50EA"/>
    <w:pPr>
      <w:tabs>
        <w:tab w:val="center" w:pos="4320"/>
        <w:tab w:val="right" w:pos="8640"/>
      </w:tabs>
    </w:pPr>
  </w:style>
  <w:style w:type="character" w:customStyle="1" w:styleId="HeaderChar">
    <w:name w:val="Header Char"/>
    <w:basedOn w:val="DefaultParagraphFont"/>
    <w:link w:val="Header"/>
    <w:uiPriority w:val="99"/>
    <w:rsid w:val="00AB50E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6B3F"/>
    <w:rPr>
      <w:sz w:val="16"/>
      <w:szCs w:val="16"/>
    </w:rPr>
  </w:style>
  <w:style w:type="paragraph" w:styleId="CommentText">
    <w:name w:val="annotation text"/>
    <w:basedOn w:val="Normal"/>
    <w:link w:val="CommentTextChar"/>
    <w:uiPriority w:val="99"/>
    <w:semiHidden/>
    <w:unhideWhenUsed/>
    <w:rsid w:val="00B56B3F"/>
    <w:rPr>
      <w:sz w:val="20"/>
      <w:szCs w:val="20"/>
    </w:rPr>
  </w:style>
  <w:style w:type="character" w:customStyle="1" w:styleId="CommentTextChar">
    <w:name w:val="Comment Text Char"/>
    <w:basedOn w:val="DefaultParagraphFont"/>
    <w:link w:val="CommentText"/>
    <w:uiPriority w:val="99"/>
    <w:semiHidden/>
    <w:rsid w:val="00B56B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6B3F"/>
    <w:rPr>
      <w:b/>
      <w:bCs/>
    </w:rPr>
  </w:style>
  <w:style w:type="character" w:customStyle="1" w:styleId="CommentSubjectChar">
    <w:name w:val="Comment Subject Char"/>
    <w:basedOn w:val="CommentTextChar"/>
    <w:link w:val="CommentSubject"/>
    <w:uiPriority w:val="99"/>
    <w:semiHidden/>
    <w:rsid w:val="00B56B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6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3F"/>
    <w:rPr>
      <w:rFonts w:ascii="Segoe UI" w:eastAsia="Times New Roman" w:hAnsi="Segoe UI" w:cs="Segoe UI"/>
      <w:sz w:val="18"/>
      <w:szCs w:val="18"/>
    </w:rPr>
  </w:style>
  <w:style w:type="paragraph" w:styleId="ListParagraph">
    <w:name w:val="List Paragraph"/>
    <w:basedOn w:val="Normal"/>
    <w:uiPriority w:val="34"/>
    <w:qFormat/>
    <w:rsid w:val="00B56B3F"/>
    <w:pPr>
      <w:ind w:left="720"/>
      <w:contextualSpacing/>
    </w:pPr>
  </w:style>
  <w:style w:type="paragraph" w:styleId="BodyTextIndent">
    <w:name w:val="Body Text Indent"/>
    <w:basedOn w:val="Normal"/>
    <w:link w:val="BodyTextIndentChar"/>
    <w:rsid w:val="00601E48"/>
    <w:pPr>
      <w:widowControl w:val="0"/>
      <w:tabs>
        <w:tab w:val="left" w:pos="-1440"/>
      </w:tabs>
      <w:autoSpaceDE w:val="0"/>
      <w:autoSpaceDN w:val="0"/>
      <w:adjustRightInd w:val="0"/>
      <w:ind w:left="720"/>
    </w:pPr>
  </w:style>
  <w:style w:type="character" w:customStyle="1" w:styleId="BodyTextIndentChar">
    <w:name w:val="Body Text Indent Char"/>
    <w:basedOn w:val="DefaultParagraphFont"/>
    <w:link w:val="BodyTextIndent"/>
    <w:rsid w:val="00601E48"/>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4059"/>
    <w:rPr>
      <w:sz w:val="20"/>
      <w:szCs w:val="20"/>
    </w:rPr>
  </w:style>
  <w:style w:type="character" w:customStyle="1" w:styleId="FootnoteTextChar">
    <w:name w:val="Footnote Text Char"/>
    <w:basedOn w:val="DefaultParagraphFont"/>
    <w:link w:val="FootnoteText"/>
    <w:uiPriority w:val="99"/>
    <w:rsid w:val="008C405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C4059"/>
    <w:rPr>
      <w:vertAlign w:val="superscript"/>
    </w:rPr>
  </w:style>
  <w:style w:type="paragraph" w:styleId="BodyText">
    <w:name w:val="Body Text"/>
    <w:basedOn w:val="Normal"/>
    <w:link w:val="BodyTextChar"/>
    <w:rsid w:val="008C4059"/>
    <w:pPr>
      <w:spacing w:after="120"/>
    </w:pPr>
  </w:style>
  <w:style w:type="character" w:customStyle="1" w:styleId="BodyTextChar">
    <w:name w:val="Body Text Char"/>
    <w:basedOn w:val="DefaultParagraphFont"/>
    <w:link w:val="BodyText"/>
    <w:rsid w:val="008C4059"/>
    <w:rPr>
      <w:rFonts w:ascii="Times New Roman" w:eastAsia="Times New Roman" w:hAnsi="Times New Roman" w:cs="Times New Roman"/>
      <w:sz w:val="24"/>
      <w:szCs w:val="24"/>
    </w:rPr>
  </w:style>
  <w:style w:type="character" w:styleId="Hyperlink">
    <w:name w:val="Hyperlink"/>
    <w:uiPriority w:val="99"/>
    <w:rsid w:val="009B5258"/>
    <w:rPr>
      <w:color w:val="0000FF"/>
      <w:u w:val="single"/>
    </w:rPr>
  </w:style>
  <w:style w:type="paragraph" w:styleId="Footer">
    <w:name w:val="footer"/>
    <w:basedOn w:val="Normal"/>
    <w:link w:val="FooterChar"/>
    <w:uiPriority w:val="99"/>
    <w:unhideWhenUsed/>
    <w:rsid w:val="00CE65DD"/>
    <w:pPr>
      <w:tabs>
        <w:tab w:val="center" w:pos="4680"/>
        <w:tab w:val="right" w:pos="9360"/>
      </w:tabs>
    </w:pPr>
  </w:style>
  <w:style w:type="character" w:customStyle="1" w:styleId="FooterChar">
    <w:name w:val="Footer Char"/>
    <w:basedOn w:val="DefaultParagraphFont"/>
    <w:link w:val="Footer"/>
    <w:uiPriority w:val="99"/>
    <w:rsid w:val="00CE65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57476">
      <w:bodyDiv w:val="1"/>
      <w:marLeft w:val="0"/>
      <w:marRight w:val="0"/>
      <w:marTop w:val="0"/>
      <w:marBottom w:val="0"/>
      <w:divBdr>
        <w:top w:val="none" w:sz="0" w:space="0" w:color="auto"/>
        <w:left w:val="none" w:sz="0" w:space="0" w:color="auto"/>
        <w:bottom w:val="none" w:sz="0" w:space="0" w:color="auto"/>
        <w:right w:val="none" w:sz="0" w:space="0" w:color="auto"/>
      </w:divBdr>
    </w:div>
    <w:div w:id="761796830">
      <w:bodyDiv w:val="1"/>
      <w:marLeft w:val="0"/>
      <w:marRight w:val="0"/>
      <w:marTop w:val="0"/>
      <w:marBottom w:val="0"/>
      <w:divBdr>
        <w:top w:val="none" w:sz="0" w:space="0" w:color="auto"/>
        <w:left w:val="none" w:sz="0" w:space="0" w:color="auto"/>
        <w:bottom w:val="none" w:sz="0" w:space="0" w:color="auto"/>
        <w:right w:val="none" w:sz="0" w:space="0" w:color="auto"/>
      </w:divBdr>
    </w:div>
    <w:div w:id="1241139841">
      <w:bodyDiv w:val="1"/>
      <w:marLeft w:val="0"/>
      <w:marRight w:val="0"/>
      <w:marTop w:val="0"/>
      <w:marBottom w:val="0"/>
      <w:divBdr>
        <w:top w:val="none" w:sz="0" w:space="0" w:color="auto"/>
        <w:left w:val="none" w:sz="0" w:space="0" w:color="auto"/>
        <w:bottom w:val="none" w:sz="0" w:space="0" w:color="auto"/>
        <w:right w:val="none" w:sz="0" w:space="0" w:color="auto"/>
      </w:divBdr>
    </w:div>
    <w:div w:id="1337726362">
      <w:bodyDiv w:val="1"/>
      <w:marLeft w:val="0"/>
      <w:marRight w:val="0"/>
      <w:marTop w:val="0"/>
      <w:marBottom w:val="0"/>
      <w:divBdr>
        <w:top w:val="none" w:sz="0" w:space="0" w:color="auto"/>
        <w:left w:val="none" w:sz="0" w:space="0" w:color="auto"/>
        <w:bottom w:val="none" w:sz="0" w:space="0" w:color="auto"/>
        <w:right w:val="none" w:sz="0" w:space="0" w:color="auto"/>
      </w:divBdr>
    </w:div>
    <w:div w:id="1498615205">
      <w:bodyDiv w:val="1"/>
      <w:marLeft w:val="0"/>
      <w:marRight w:val="0"/>
      <w:marTop w:val="0"/>
      <w:marBottom w:val="0"/>
      <w:divBdr>
        <w:top w:val="none" w:sz="0" w:space="0" w:color="auto"/>
        <w:left w:val="none" w:sz="0" w:space="0" w:color="auto"/>
        <w:bottom w:val="none" w:sz="0" w:space="0" w:color="auto"/>
        <w:right w:val="none" w:sz="0" w:space="0" w:color="auto"/>
      </w:divBdr>
    </w:div>
    <w:div w:id="1526867662">
      <w:bodyDiv w:val="1"/>
      <w:marLeft w:val="0"/>
      <w:marRight w:val="0"/>
      <w:marTop w:val="0"/>
      <w:marBottom w:val="0"/>
      <w:divBdr>
        <w:top w:val="none" w:sz="0" w:space="0" w:color="auto"/>
        <w:left w:val="none" w:sz="0" w:space="0" w:color="auto"/>
        <w:bottom w:val="none" w:sz="0" w:space="0" w:color="auto"/>
        <w:right w:val="none" w:sz="0" w:space="0" w:color="auto"/>
      </w:divBdr>
    </w:div>
    <w:div w:id="1538354333">
      <w:bodyDiv w:val="1"/>
      <w:marLeft w:val="0"/>
      <w:marRight w:val="0"/>
      <w:marTop w:val="0"/>
      <w:marBottom w:val="0"/>
      <w:divBdr>
        <w:top w:val="none" w:sz="0" w:space="0" w:color="auto"/>
        <w:left w:val="none" w:sz="0" w:space="0" w:color="auto"/>
        <w:bottom w:val="none" w:sz="0" w:space="0" w:color="auto"/>
        <w:right w:val="none" w:sz="0" w:space="0" w:color="auto"/>
      </w:divBdr>
    </w:div>
    <w:div w:id="1736275251">
      <w:bodyDiv w:val="1"/>
      <w:marLeft w:val="0"/>
      <w:marRight w:val="0"/>
      <w:marTop w:val="0"/>
      <w:marBottom w:val="0"/>
      <w:divBdr>
        <w:top w:val="none" w:sz="0" w:space="0" w:color="auto"/>
        <w:left w:val="none" w:sz="0" w:space="0" w:color="auto"/>
        <w:bottom w:val="none" w:sz="0" w:space="0" w:color="auto"/>
        <w:right w:val="none" w:sz="0" w:space="0" w:color="auto"/>
      </w:divBdr>
    </w:div>
    <w:div w:id="19023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bsa/laws-and-regulations/rules-and-regulations/public-comments/1210-AB9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4" ma:contentTypeDescription="Create a new document." ma:contentTypeScope="" ma:versionID="5a45a0bd0422b871af06b7058ce02cf7">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25657fdb363f2c6d0cb7dbff25df3b11"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BB12C-6D09-40D8-97D2-0F5EADFB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4B6E1-D43D-497E-998C-54750CC4791B}">
  <ds:schemaRefs>
    <ds:schemaRef ds:uri="http://schemas.microsoft.com/sharepoint/v3/contenttype/forms"/>
  </ds:schemaRefs>
</ds:datastoreItem>
</file>

<file path=customXml/itemProps3.xml><?xml version="1.0" encoding="utf-8"?>
<ds:datastoreItem xmlns:ds="http://schemas.openxmlformats.org/officeDocument/2006/customXml" ds:itemID="{A3216A04-0ABF-428C-9A9E-2ACF5A9AEF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049814-8143-45C2-8423-8745CBB3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4774</Words>
  <Characters>27216</Characters>
  <Application>Microsoft Office Word</Application>
  <DocSecurity>0</DocSecurity>
  <Lines>226</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JUSTIFICATION</vt:lpstr>
    </vt:vector>
  </TitlesOfParts>
  <Company>Department of Labor</Company>
  <LinksUpToDate>false</LinksUpToDate>
  <CharactersWithSpaces>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Buyniski</dc:creator>
  <cp:keywords/>
  <dc:description/>
  <cp:lastModifiedBy>Cosby, Chris - EBSA</cp:lastModifiedBy>
  <cp:revision>2</cp:revision>
  <dcterms:created xsi:type="dcterms:W3CDTF">2020-11-16T19:56:00Z</dcterms:created>
  <dcterms:modified xsi:type="dcterms:W3CDTF">2020-11-16T19:56:00Z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