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612D" w:rsidR="00EC1168" w:rsidP="006C68F1" w:rsidRDefault="002160B0" w14:paraId="4E92D880" w14:textId="0D90B98E">
      <w:pPr>
        <w:tabs>
          <w:tab w:val="center" w:pos="4680"/>
        </w:tabs>
        <w:rPr>
          <w:b/>
          <w:bCs/>
          <w:sz w:val="24"/>
        </w:rPr>
      </w:pPr>
      <w:r w:rsidRPr="001F612D">
        <w:rPr>
          <w:b/>
          <w:bCs/>
          <w:sz w:val="24"/>
        </w:rPr>
        <w:t xml:space="preserve">Supporting Statement for </w:t>
      </w:r>
      <w:r w:rsidRPr="001F612D" w:rsidR="001F612D">
        <w:rPr>
          <w:b/>
          <w:bCs/>
          <w:sz w:val="24"/>
        </w:rPr>
        <w:t>Alzheimer’s</w:t>
      </w:r>
      <w:r w:rsidRPr="001F612D" w:rsidR="007A7E0A">
        <w:rPr>
          <w:b/>
          <w:bCs/>
          <w:sz w:val="24"/>
        </w:rPr>
        <w:t xml:space="preserve"> disease</w:t>
      </w:r>
      <w:r w:rsidRPr="001F612D" w:rsidR="00AD4E14">
        <w:rPr>
          <w:b/>
          <w:bCs/>
          <w:sz w:val="24"/>
        </w:rPr>
        <w:t xml:space="preserve"> Program</w:t>
      </w:r>
      <w:r w:rsidRPr="001F612D" w:rsidR="008F4C96">
        <w:rPr>
          <w:b/>
          <w:bCs/>
          <w:sz w:val="24"/>
        </w:rPr>
        <w:t>s</w:t>
      </w:r>
      <w:r w:rsidRPr="001F612D" w:rsidR="00AD4E14">
        <w:rPr>
          <w:b/>
          <w:bCs/>
          <w:sz w:val="24"/>
        </w:rPr>
        <w:t xml:space="preserve"> Standardized Data Collection </w:t>
      </w:r>
    </w:p>
    <w:p w:rsidRPr="001F612D" w:rsidR="001F612D" w:rsidP="006C68F1" w:rsidRDefault="00EC1168" w14:paraId="1269A201" w14:textId="77777777">
      <w:pPr>
        <w:tabs>
          <w:tab w:val="center" w:pos="4680"/>
        </w:tabs>
        <w:rPr>
          <w:b/>
          <w:bCs/>
          <w:sz w:val="24"/>
        </w:rPr>
      </w:pPr>
      <w:r w:rsidRPr="001F612D">
        <w:rPr>
          <w:b/>
          <w:bCs/>
          <w:sz w:val="24"/>
        </w:rPr>
        <w:t xml:space="preserve">OMB control number 0985-0022 </w:t>
      </w:r>
    </w:p>
    <w:p w:rsidRPr="001F612D" w:rsidR="002160B0" w:rsidP="006C68F1" w:rsidRDefault="001F612D" w14:paraId="66A5237D" w14:textId="0586103E">
      <w:pPr>
        <w:tabs>
          <w:tab w:val="center" w:pos="4680"/>
        </w:tabs>
        <w:rPr>
          <w:b/>
          <w:bCs/>
          <w:sz w:val="24"/>
        </w:rPr>
      </w:pPr>
      <w:r w:rsidRPr="001F612D">
        <w:rPr>
          <w:b/>
          <w:bCs/>
          <w:sz w:val="24"/>
        </w:rPr>
        <w:t>E</w:t>
      </w:r>
      <w:r w:rsidRPr="001F612D" w:rsidR="00EC1168">
        <w:rPr>
          <w:b/>
          <w:bCs/>
          <w:sz w:val="24"/>
        </w:rPr>
        <w:t>xpiration 12/30/2020</w:t>
      </w:r>
    </w:p>
    <w:p w:rsidRPr="002C339E" w:rsidR="002160B0" w:rsidRDefault="002160B0" w14:paraId="4D834834" w14:textId="77777777">
      <w:pPr>
        <w:rPr>
          <w:sz w:val="24"/>
        </w:rPr>
      </w:pPr>
    </w:p>
    <w:p w:rsidRPr="00FB5366" w:rsidR="002160B0" w:rsidP="00B24A9A" w:rsidRDefault="00B24A9A" w14:paraId="4075D1FA" w14:textId="77777777">
      <w:pPr>
        <w:ind w:left="360"/>
        <w:rPr>
          <w:b/>
          <w:bCs/>
          <w:sz w:val="24"/>
          <w:u w:val="single"/>
        </w:rPr>
      </w:pPr>
      <w:r>
        <w:rPr>
          <w:b/>
          <w:bCs/>
          <w:sz w:val="24"/>
          <w:u w:val="single"/>
        </w:rPr>
        <w:t xml:space="preserve">A. </w:t>
      </w:r>
      <w:r w:rsidRPr="00FB5366" w:rsidR="002160B0">
        <w:rPr>
          <w:b/>
          <w:bCs/>
          <w:sz w:val="24"/>
          <w:u w:val="single"/>
        </w:rPr>
        <w:t>Justification</w:t>
      </w:r>
    </w:p>
    <w:p w:rsidR="002051B7" w:rsidP="002051B7" w:rsidRDefault="002051B7" w14:paraId="03052A8F" w14:textId="77777777">
      <w:pPr>
        <w:rPr>
          <w:sz w:val="24"/>
        </w:rPr>
      </w:pPr>
    </w:p>
    <w:p w:rsidRPr="004F28B4" w:rsidR="00B24A9A" w:rsidP="00B24A9A" w:rsidRDefault="00B24A9A" w14:paraId="783E4F0B" w14:textId="77777777">
      <w:pPr>
        <w:numPr>
          <w:ilvl w:val="0"/>
          <w:numId w:val="9"/>
        </w:numPr>
        <w:rPr>
          <w:b/>
          <w:sz w:val="24"/>
          <w:u w:val="single"/>
        </w:rPr>
      </w:pPr>
      <w:r w:rsidRPr="004F28B4">
        <w:rPr>
          <w:b/>
          <w:sz w:val="24"/>
          <w:u w:val="single"/>
        </w:rPr>
        <w:t xml:space="preserve">Circumstances Making the Collection of </w:t>
      </w:r>
      <w:r w:rsidR="008F5A76">
        <w:rPr>
          <w:b/>
          <w:sz w:val="24"/>
          <w:u w:val="single"/>
        </w:rPr>
        <w:t>Information</w:t>
      </w:r>
      <w:r w:rsidRPr="004F28B4" w:rsidR="008F5A76">
        <w:rPr>
          <w:b/>
          <w:sz w:val="24"/>
          <w:u w:val="single"/>
        </w:rPr>
        <w:t xml:space="preserve"> </w:t>
      </w:r>
      <w:r w:rsidRPr="004F28B4">
        <w:rPr>
          <w:b/>
          <w:sz w:val="24"/>
          <w:u w:val="single"/>
        </w:rPr>
        <w:t>Necessary</w:t>
      </w:r>
    </w:p>
    <w:p w:rsidRPr="002C339E" w:rsidR="00B24A9A" w:rsidP="00B24A9A" w:rsidRDefault="00B24A9A" w14:paraId="096B4174" w14:textId="77777777">
      <w:pPr>
        <w:ind w:left="360"/>
        <w:rPr>
          <w:sz w:val="24"/>
        </w:rPr>
      </w:pPr>
    </w:p>
    <w:p w:rsidR="002051B7" w:rsidP="00BC3343" w:rsidRDefault="002051B7" w14:paraId="72BAAB45" w14:textId="4325E027">
      <w:pPr>
        <w:ind w:left="360"/>
        <w:rPr>
          <w:sz w:val="24"/>
        </w:rPr>
      </w:pPr>
      <w:r w:rsidRPr="002C339E">
        <w:rPr>
          <w:sz w:val="24"/>
        </w:rPr>
        <w:t xml:space="preserve">The </w:t>
      </w:r>
      <w:r w:rsidR="002427F5">
        <w:rPr>
          <w:sz w:val="24"/>
        </w:rPr>
        <w:t xml:space="preserve">Alzheimer’s and Dementia Program Data Reporting Tool </w:t>
      </w:r>
      <w:r w:rsidR="00AA0AC3">
        <w:rPr>
          <w:sz w:val="24"/>
        </w:rPr>
        <w:t>(</w:t>
      </w:r>
      <w:r w:rsidR="002427F5">
        <w:rPr>
          <w:sz w:val="24"/>
        </w:rPr>
        <w:t>ADP-DRT</w:t>
      </w:r>
      <w:r w:rsidR="00AA0AC3">
        <w:rPr>
          <w:sz w:val="24"/>
        </w:rPr>
        <w:t>)</w:t>
      </w:r>
      <w:r w:rsidR="002427F5">
        <w:rPr>
          <w:sz w:val="24"/>
        </w:rPr>
        <w:t xml:space="preserve"> </w:t>
      </w:r>
      <w:r w:rsidRPr="002C339E" w:rsidR="009270F1">
        <w:rPr>
          <w:sz w:val="24"/>
        </w:rPr>
        <w:t xml:space="preserve">is needed in order to: </w:t>
      </w:r>
    </w:p>
    <w:p w:rsidRPr="002C339E" w:rsidR="00B1509C" w:rsidP="00731A82" w:rsidRDefault="00B1509C" w14:paraId="7E4975BE" w14:textId="77777777">
      <w:pPr>
        <w:ind w:left="360"/>
        <w:rPr>
          <w:sz w:val="24"/>
        </w:rPr>
      </w:pPr>
    </w:p>
    <w:p w:rsidR="009270F1" w:rsidP="00217858" w:rsidRDefault="00D1383E" w14:paraId="51CE2166" w14:textId="77777777">
      <w:pPr>
        <w:numPr>
          <w:ilvl w:val="0"/>
          <w:numId w:val="3"/>
        </w:numPr>
        <w:tabs>
          <w:tab w:val="clear" w:pos="720"/>
          <w:tab w:val="num" w:pos="1080"/>
        </w:tabs>
        <w:ind w:left="1080"/>
        <w:rPr>
          <w:sz w:val="24"/>
        </w:rPr>
      </w:pPr>
      <w:r>
        <w:rPr>
          <w:sz w:val="24"/>
        </w:rPr>
        <w:t>Collect data for performance measures used in the justification of the budget to Congress and by program, state and national decision makers.</w:t>
      </w:r>
    </w:p>
    <w:p w:rsidR="00532F9B" w:rsidP="00532F9B" w:rsidRDefault="00532F9B" w14:paraId="6BE42656" w14:textId="77777777">
      <w:pPr>
        <w:ind w:left="720"/>
        <w:rPr>
          <w:sz w:val="24"/>
        </w:rPr>
      </w:pPr>
    </w:p>
    <w:p w:rsidRPr="007E7385" w:rsidR="00532F9B" w:rsidP="00532F9B" w:rsidRDefault="00532F9B" w14:paraId="2A9F9ABE" w14:textId="57551374">
      <w:pPr>
        <w:numPr>
          <w:ilvl w:val="0"/>
          <w:numId w:val="3"/>
        </w:numPr>
        <w:tabs>
          <w:tab w:val="clear" w:pos="720"/>
          <w:tab w:val="num" w:pos="1080"/>
        </w:tabs>
        <w:ind w:left="1080"/>
        <w:rPr>
          <w:sz w:val="24"/>
        </w:rPr>
      </w:pPr>
      <w:r w:rsidRPr="007E7385">
        <w:rPr>
          <w:sz w:val="24"/>
        </w:rPr>
        <w:t>Effectively manage the</w:t>
      </w:r>
      <w:r w:rsidR="002427F5">
        <w:rPr>
          <w:sz w:val="24"/>
        </w:rPr>
        <w:t xml:space="preserve"> ACL’s </w:t>
      </w:r>
      <w:r w:rsidRPr="008F4C96" w:rsidR="008F4C96">
        <w:rPr>
          <w:sz w:val="24"/>
        </w:rPr>
        <w:t xml:space="preserve">Alzheimer’s Disease </w:t>
      </w:r>
      <w:r w:rsidR="009E2EB2">
        <w:rPr>
          <w:sz w:val="24"/>
        </w:rPr>
        <w:t xml:space="preserve">Program </w:t>
      </w:r>
      <w:r w:rsidRPr="008F4C96">
        <w:rPr>
          <w:sz w:val="24"/>
        </w:rPr>
        <w:t xml:space="preserve">at the </w:t>
      </w:r>
      <w:r w:rsidRPr="008F4C96" w:rsidR="00D1383E">
        <w:rPr>
          <w:sz w:val="24"/>
        </w:rPr>
        <w:t xml:space="preserve">federal, </w:t>
      </w:r>
      <w:r w:rsidRPr="008F4C96">
        <w:rPr>
          <w:sz w:val="24"/>
        </w:rPr>
        <w:t xml:space="preserve">state </w:t>
      </w:r>
      <w:r w:rsidRPr="008F4C96" w:rsidR="00D1383E">
        <w:rPr>
          <w:sz w:val="24"/>
        </w:rPr>
        <w:t xml:space="preserve">and local </w:t>
      </w:r>
      <w:r w:rsidRPr="008F4C96">
        <w:rPr>
          <w:sz w:val="24"/>
        </w:rPr>
        <w:t>levels.</w:t>
      </w:r>
      <w:r>
        <w:rPr>
          <w:sz w:val="24"/>
        </w:rPr>
        <w:t xml:space="preserve"> </w:t>
      </w:r>
    </w:p>
    <w:p w:rsidR="009270F1" w:rsidP="00731A82" w:rsidRDefault="009270F1" w14:paraId="48003B45" w14:textId="77777777">
      <w:pPr>
        <w:ind w:left="360"/>
        <w:rPr>
          <w:sz w:val="24"/>
        </w:rPr>
      </w:pPr>
    </w:p>
    <w:p w:rsidRPr="007E7385" w:rsidR="009270F1" w:rsidP="00532F9B" w:rsidRDefault="009270F1" w14:paraId="4BEEB483" w14:textId="77777777">
      <w:pPr>
        <w:numPr>
          <w:ilvl w:val="0"/>
          <w:numId w:val="3"/>
        </w:numPr>
        <w:tabs>
          <w:tab w:val="clear" w:pos="720"/>
          <w:tab w:val="num" w:pos="1080"/>
        </w:tabs>
        <w:ind w:left="1080"/>
        <w:rPr>
          <w:sz w:val="24"/>
        </w:rPr>
      </w:pPr>
      <w:r w:rsidRPr="007E7385">
        <w:rPr>
          <w:sz w:val="24"/>
        </w:rPr>
        <w:t>Advocate at the</w:t>
      </w:r>
      <w:r w:rsidR="00B1509C">
        <w:rPr>
          <w:sz w:val="24"/>
        </w:rPr>
        <w:t xml:space="preserve"> federal and state l</w:t>
      </w:r>
      <w:r w:rsidRPr="007E7385">
        <w:rPr>
          <w:sz w:val="24"/>
        </w:rPr>
        <w:t xml:space="preserve">evels for </w:t>
      </w:r>
      <w:r w:rsidR="00532F9B">
        <w:rPr>
          <w:sz w:val="24"/>
        </w:rPr>
        <w:t xml:space="preserve">more effective and efficient </w:t>
      </w:r>
      <w:r w:rsidR="00B1509C">
        <w:rPr>
          <w:sz w:val="24"/>
        </w:rPr>
        <w:t xml:space="preserve">supports </w:t>
      </w:r>
      <w:r w:rsidRPr="007E7385">
        <w:rPr>
          <w:sz w:val="24"/>
        </w:rPr>
        <w:t xml:space="preserve">and </w:t>
      </w:r>
      <w:r w:rsidR="00A437FF">
        <w:rPr>
          <w:sz w:val="24"/>
        </w:rPr>
        <w:t>s</w:t>
      </w:r>
      <w:r w:rsidR="00B1509C">
        <w:rPr>
          <w:sz w:val="24"/>
        </w:rPr>
        <w:t>ervices</w:t>
      </w:r>
      <w:r w:rsidR="00A437FF">
        <w:rPr>
          <w:sz w:val="24"/>
        </w:rPr>
        <w:t xml:space="preserve"> </w:t>
      </w:r>
      <w:r w:rsidR="00B1509C">
        <w:rPr>
          <w:sz w:val="24"/>
        </w:rPr>
        <w:t>for persons</w:t>
      </w:r>
      <w:r w:rsidR="00A437FF">
        <w:rPr>
          <w:sz w:val="24"/>
        </w:rPr>
        <w:t xml:space="preserve"> with Alzheimer’s disease and their caregivers</w:t>
      </w:r>
      <w:r w:rsidR="00532F9B">
        <w:rPr>
          <w:sz w:val="24"/>
        </w:rPr>
        <w:t>.</w:t>
      </w:r>
    </w:p>
    <w:p w:rsidR="009270F1" w:rsidP="00731A82" w:rsidRDefault="009270F1" w14:paraId="1F8FD564" w14:textId="77777777">
      <w:pPr>
        <w:rPr>
          <w:color w:val="C00000"/>
          <w:sz w:val="24"/>
        </w:rPr>
      </w:pPr>
    </w:p>
    <w:p w:rsidR="008730B9" w:rsidP="00731A82" w:rsidRDefault="00AE6D3C" w14:paraId="6BFA21F6" w14:textId="2C9C403C">
      <w:pPr>
        <w:ind w:left="360"/>
        <w:rPr>
          <w:sz w:val="24"/>
        </w:rPr>
      </w:pPr>
      <w:r>
        <w:rPr>
          <w:sz w:val="24"/>
        </w:rPr>
        <w:t>The</w:t>
      </w:r>
      <w:r w:rsidRPr="004D5DA5" w:rsidR="007908D9">
        <w:rPr>
          <w:sz w:val="24"/>
        </w:rPr>
        <w:t xml:space="preserve"> </w:t>
      </w:r>
      <w:r w:rsidR="0008073B">
        <w:rPr>
          <w:sz w:val="24"/>
        </w:rPr>
        <w:t xml:space="preserve">Alzheimer’s and Dementia Program Data Reporting Tool </w:t>
      </w:r>
      <w:r w:rsidR="007908D9">
        <w:rPr>
          <w:sz w:val="24"/>
        </w:rPr>
        <w:t>(</w:t>
      </w:r>
      <w:r w:rsidR="0008073B">
        <w:rPr>
          <w:sz w:val="24"/>
        </w:rPr>
        <w:t>ADP</w:t>
      </w:r>
      <w:r w:rsidR="007908D9">
        <w:rPr>
          <w:sz w:val="24"/>
        </w:rPr>
        <w:t>-D</w:t>
      </w:r>
      <w:r w:rsidR="008730B9">
        <w:rPr>
          <w:sz w:val="24"/>
        </w:rPr>
        <w:t>R</w:t>
      </w:r>
      <w:r w:rsidR="007908D9">
        <w:rPr>
          <w:sz w:val="24"/>
        </w:rPr>
        <w:t>T)</w:t>
      </w:r>
      <w:r w:rsidR="008B146D">
        <w:rPr>
          <w:sz w:val="24"/>
        </w:rPr>
        <w:t xml:space="preserve"> </w:t>
      </w:r>
      <w:r w:rsidR="00D3173B">
        <w:rPr>
          <w:sz w:val="24"/>
        </w:rPr>
        <w:t>(OMB#0985-0022)</w:t>
      </w:r>
      <w:r w:rsidR="00FD7CDB">
        <w:rPr>
          <w:sz w:val="24"/>
        </w:rPr>
        <w:t xml:space="preserve"> </w:t>
      </w:r>
      <w:r w:rsidR="008937F3">
        <w:rPr>
          <w:sz w:val="24"/>
        </w:rPr>
        <w:t xml:space="preserve">was </w:t>
      </w:r>
      <w:r w:rsidRPr="007E7385" w:rsidR="00D37F19">
        <w:rPr>
          <w:sz w:val="24"/>
        </w:rPr>
        <w:t>extend</w:t>
      </w:r>
      <w:r w:rsidR="00D37F19">
        <w:rPr>
          <w:sz w:val="24"/>
        </w:rPr>
        <w:t>ed</w:t>
      </w:r>
      <w:r w:rsidRPr="007E7385" w:rsidR="00D37F19">
        <w:rPr>
          <w:sz w:val="24"/>
        </w:rPr>
        <w:t>, with</w:t>
      </w:r>
      <w:r w:rsidR="00D37F19">
        <w:rPr>
          <w:sz w:val="24"/>
        </w:rPr>
        <w:t xml:space="preserve"> modifications</w:t>
      </w:r>
      <w:r w:rsidRPr="007E7385" w:rsidR="00D37F19">
        <w:rPr>
          <w:sz w:val="24"/>
        </w:rPr>
        <w:t xml:space="preserve">, </w:t>
      </w:r>
      <w:r w:rsidR="008937F3">
        <w:rPr>
          <w:sz w:val="24"/>
        </w:rPr>
        <w:t xml:space="preserve">for </w:t>
      </w:r>
      <w:r w:rsidR="00CD6E46">
        <w:rPr>
          <w:sz w:val="24"/>
        </w:rPr>
        <w:t>June 22, 2017</w:t>
      </w:r>
      <w:r w:rsidR="0008073B">
        <w:rPr>
          <w:sz w:val="24"/>
        </w:rPr>
        <w:t xml:space="preserve"> </w:t>
      </w:r>
      <w:r w:rsidR="00D37F19">
        <w:rPr>
          <w:sz w:val="24"/>
        </w:rPr>
        <w:t>through</w:t>
      </w:r>
      <w:r w:rsidR="00CD6E46">
        <w:rPr>
          <w:sz w:val="24"/>
        </w:rPr>
        <w:t xml:space="preserve"> </w:t>
      </w:r>
      <w:r w:rsidR="00EC1168">
        <w:rPr>
          <w:sz w:val="24"/>
        </w:rPr>
        <w:t>December 30</w:t>
      </w:r>
      <w:r w:rsidR="00CD6E46">
        <w:rPr>
          <w:sz w:val="24"/>
        </w:rPr>
        <w:t>, 2020</w:t>
      </w:r>
      <w:r w:rsidR="00D3173B">
        <w:rPr>
          <w:sz w:val="24"/>
        </w:rPr>
        <w:t>.</w:t>
      </w:r>
      <w:r w:rsidRPr="004D5DA5" w:rsidR="007908D9">
        <w:rPr>
          <w:sz w:val="24"/>
        </w:rPr>
        <w:t xml:space="preserve"> The</w:t>
      </w:r>
      <w:r w:rsidR="008B146D">
        <w:rPr>
          <w:sz w:val="24"/>
        </w:rPr>
        <w:t xml:space="preserve"> </w:t>
      </w:r>
      <w:r w:rsidR="0008073B">
        <w:rPr>
          <w:sz w:val="24"/>
        </w:rPr>
        <w:t>ADP-DRT</w:t>
      </w:r>
      <w:r w:rsidDel="0008073B" w:rsidR="0008073B">
        <w:rPr>
          <w:sz w:val="24"/>
        </w:rPr>
        <w:t xml:space="preserve"> </w:t>
      </w:r>
      <w:r w:rsidRPr="004D5DA5" w:rsidR="007908D9">
        <w:rPr>
          <w:sz w:val="24"/>
        </w:rPr>
        <w:t xml:space="preserve">collects information about the delivery of </w:t>
      </w:r>
      <w:r w:rsidR="008B146D">
        <w:rPr>
          <w:sz w:val="24"/>
        </w:rPr>
        <w:t xml:space="preserve">supports and </w:t>
      </w:r>
      <w:r w:rsidRPr="004D5DA5" w:rsidR="007908D9">
        <w:rPr>
          <w:sz w:val="24"/>
        </w:rPr>
        <w:t xml:space="preserve">services by </w:t>
      </w:r>
      <w:r w:rsidR="008F4C96">
        <w:rPr>
          <w:sz w:val="24"/>
        </w:rPr>
        <w:t>ACL Alzheimer</w:t>
      </w:r>
      <w:r w:rsidR="00551C3C">
        <w:rPr>
          <w:sz w:val="24"/>
        </w:rPr>
        <w:t xml:space="preserve">’s Disease </w:t>
      </w:r>
      <w:r w:rsidR="008F4C96">
        <w:rPr>
          <w:sz w:val="24"/>
        </w:rPr>
        <w:t>Program</w:t>
      </w:r>
      <w:r w:rsidRPr="004D5DA5" w:rsidR="007908D9">
        <w:rPr>
          <w:sz w:val="24"/>
        </w:rPr>
        <w:t xml:space="preserve"> grantees, </w:t>
      </w:r>
      <w:r w:rsidR="008B146D">
        <w:rPr>
          <w:sz w:val="24"/>
        </w:rPr>
        <w:t xml:space="preserve">including </w:t>
      </w:r>
      <w:r w:rsidRPr="004D5DA5" w:rsidR="007908D9">
        <w:rPr>
          <w:sz w:val="24"/>
        </w:rPr>
        <w:t>basic demographic infor</w:t>
      </w:r>
      <w:r w:rsidR="008730B9">
        <w:rPr>
          <w:sz w:val="24"/>
        </w:rPr>
        <w:t>mation about service recipients and spending on direct services</w:t>
      </w:r>
      <w:r w:rsidR="008B146D">
        <w:rPr>
          <w:sz w:val="24"/>
        </w:rPr>
        <w:t xml:space="preserve"> and administrative expenses</w:t>
      </w:r>
      <w:r w:rsidR="008730B9">
        <w:rPr>
          <w:sz w:val="24"/>
        </w:rPr>
        <w:t>.</w:t>
      </w:r>
    </w:p>
    <w:p w:rsidR="008730B9" w:rsidP="00731A82" w:rsidRDefault="008730B9" w14:paraId="75F5C2E4" w14:textId="77777777">
      <w:pPr>
        <w:ind w:left="360"/>
        <w:rPr>
          <w:sz w:val="24"/>
        </w:rPr>
      </w:pPr>
    </w:p>
    <w:p w:rsidR="008F4C96" w:rsidP="009C5B52" w:rsidRDefault="008730B9" w14:paraId="70428DA6" w14:textId="121CEA96">
      <w:pPr>
        <w:ind w:left="360"/>
        <w:rPr>
          <w:sz w:val="24"/>
        </w:rPr>
      </w:pPr>
      <w:r>
        <w:rPr>
          <w:sz w:val="24"/>
        </w:rPr>
        <w:t>This request is to</w:t>
      </w:r>
      <w:r w:rsidRPr="007E7385" w:rsidR="007908D9">
        <w:rPr>
          <w:sz w:val="24"/>
        </w:rPr>
        <w:t xml:space="preserve"> </w:t>
      </w:r>
      <w:r w:rsidR="00AA0AC3">
        <w:rPr>
          <w:sz w:val="24"/>
        </w:rPr>
        <w:t xml:space="preserve">modify the tool name and </w:t>
      </w:r>
      <w:r w:rsidRPr="007E7385" w:rsidR="007908D9">
        <w:rPr>
          <w:sz w:val="24"/>
        </w:rPr>
        <w:t>extend, with</w:t>
      </w:r>
      <w:r w:rsidR="004B2E97">
        <w:rPr>
          <w:sz w:val="24"/>
        </w:rPr>
        <w:t xml:space="preserve"> </w:t>
      </w:r>
      <w:r w:rsidR="007908D9">
        <w:rPr>
          <w:sz w:val="24"/>
        </w:rPr>
        <w:t>modifications</w:t>
      </w:r>
      <w:r w:rsidRPr="007E7385" w:rsidR="007908D9">
        <w:rPr>
          <w:sz w:val="24"/>
        </w:rPr>
        <w:t xml:space="preserve">, </w:t>
      </w:r>
      <w:r w:rsidR="007908D9">
        <w:rPr>
          <w:sz w:val="24"/>
        </w:rPr>
        <w:t xml:space="preserve">the </w:t>
      </w:r>
      <w:r w:rsidRPr="007E7385" w:rsidR="007908D9">
        <w:rPr>
          <w:sz w:val="24"/>
        </w:rPr>
        <w:t xml:space="preserve">use of the </w:t>
      </w:r>
      <w:r w:rsidR="00AA0AC3">
        <w:rPr>
          <w:sz w:val="24"/>
        </w:rPr>
        <w:t>tool</w:t>
      </w:r>
      <w:r w:rsidR="008F4C96">
        <w:rPr>
          <w:sz w:val="24"/>
        </w:rPr>
        <w:t>.</w:t>
      </w:r>
    </w:p>
    <w:p w:rsidR="008F4C96" w:rsidP="009C5B52" w:rsidRDefault="008F4C96" w14:paraId="44411E01" w14:textId="77777777">
      <w:pPr>
        <w:ind w:left="360"/>
        <w:rPr>
          <w:sz w:val="24"/>
        </w:rPr>
      </w:pPr>
    </w:p>
    <w:p w:rsidR="00CF3941" w:rsidP="003C19A7" w:rsidRDefault="00CF3941" w14:paraId="4B9B3029" w14:textId="3271B4F7">
      <w:pPr>
        <w:ind w:left="360"/>
        <w:jc w:val="both"/>
        <w:rPr>
          <w:sz w:val="24"/>
        </w:rPr>
      </w:pPr>
      <w:r w:rsidRPr="00CF3941">
        <w:rPr>
          <w:sz w:val="24"/>
        </w:rPr>
        <w:t>The Older American’s Act requires ACL to evaluate “</w:t>
      </w:r>
      <w:r w:rsidRPr="007F203D">
        <w:rPr>
          <w:sz w:val="24"/>
        </w:rPr>
        <w:t>demonstration projects that support the objectives of this Act, including activities to bring effective demonstration projects to scale with a prioritization of projects that address the needs of underserved populations, and promote partnerships among aging services, community-based organizations, and Medicare and Medicaid providers, plans, and health (including public health) systems</w:t>
      </w:r>
      <w:r w:rsidRPr="00CF3941">
        <w:rPr>
          <w:sz w:val="24"/>
        </w:rPr>
        <w:t>. (</w:t>
      </w:r>
      <w:r w:rsidRPr="007F203D">
        <w:rPr>
          <w:sz w:val="24"/>
        </w:rPr>
        <w:t>Section 201 (42 U.S.C. 3011) Sec. 127. Research and Evaluation</w:t>
      </w:r>
      <w:r>
        <w:rPr>
          <w:sz w:val="24"/>
        </w:rPr>
        <w:t>)</w:t>
      </w:r>
      <w:r w:rsidRPr="007F203D">
        <w:rPr>
          <w:sz w:val="24"/>
        </w:rPr>
        <w:t>.</w:t>
      </w:r>
    </w:p>
    <w:p w:rsidRPr="00CF3941" w:rsidR="00DD4023" w:rsidP="003C19A7" w:rsidRDefault="00DD4023" w14:paraId="4F38270B" w14:textId="77777777">
      <w:pPr>
        <w:ind w:left="360"/>
        <w:jc w:val="both"/>
        <w:rPr>
          <w:sz w:val="24"/>
        </w:rPr>
      </w:pPr>
    </w:p>
    <w:p w:rsidR="007908D9" w:rsidP="00731A82" w:rsidRDefault="00532F9B" w14:paraId="0DA1D001" w14:textId="5C757D33">
      <w:pPr>
        <w:ind w:left="360"/>
        <w:rPr>
          <w:sz w:val="24"/>
        </w:rPr>
      </w:pPr>
      <w:r>
        <w:rPr>
          <w:sz w:val="24"/>
        </w:rPr>
        <w:t>T</w:t>
      </w:r>
      <w:r w:rsidR="001C093C">
        <w:rPr>
          <w:sz w:val="24"/>
        </w:rPr>
        <w:t>o fulfill the evaluation requirements</w:t>
      </w:r>
      <w:r w:rsidR="004A4F9C">
        <w:rPr>
          <w:sz w:val="24"/>
        </w:rPr>
        <w:t xml:space="preserve"> and allow for optimal </w:t>
      </w:r>
      <w:r w:rsidR="008A239B">
        <w:rPr>
          <w:sz w:val="24"/>
        </w:rPr>
        <w:t>federal and state-level</w:t>
      </w:r>
      <w:r w:rsidR="004A4F9C">
        <w:rPr>
          <w:sz w:val="24"/>
        </w:rPr>
        <w:t xml:space="preserve"> management of the program</w:t>
      </w:r>
      <w:r w:rsidR="001C093C">
        <w:rPr>
          <w:sz w:val="24"/>
        </w:rPr>
        <w:t xml:space="preserve">, </w:t>
      </w:r>
      <w:r w:rsidR="00B258D9">
        <w:rPr>
          <w:sz w:val="24"/>
        </w:rPr>
        <w:t xml:space="preserve">specific </w:t>
      </w:r>
      <w:r w:rsidR="001C093C">
        <w:rPr>
          <w:sz w:val="24"/>
        </w:rPr>
        <w:t xml:space="preserve">information </w:t>
      </w:r>
      <w:r w:rsidR="00D62A16">
        <w:rPr>
          <w:sz w:val="24"/>
        </w:rPr>
        <w:t>must be</w:t>
      </w:r>
      <w:r w:rsidR="007908D9">
        <w:rPr>
          <w:sz w:val="24"/>
        </w:rPr>
        <w:t xml:space="preserve"> collected from </w:t>
      </w:r>
      <w:r w:rsidR="001C093C">
        <w:rPr>
          <w:sz w:val="24"/>
        </w:rPr>
        <w:t>grantees</w:t>
      </w:r>
      <w:r w:rsidR="00A350F7">
        <w:rPr>
          <w:sz w:val="24"/>
        </w:rPr>
        <w:t>, including the following:</w:t>
      </w:r>
    </w:p>
    <w:p w:rsidR="00731A82" w:rsidP="00731A82" w:rsidRDefault="00731A82" w14:paraId="13B5712F" w14:textId="77777777">
      <w:pPr>
        <w:ind w:left="360"/>
        <w:rPr>
          <w:sz w:val="24"/>
        </w:rPr>
      </w:pPr>
    </w:p>
    <w:p w:rsidRPr="006C68F1" w:rsidR="005477D1" w:rsidP="005477D1" w:rsidRDefault="005477D1" w14:paraId="75FFB29D" w14:textId="77777777">
      <w:pPr>
        <w:pStyle w:val="ListParagraph"/>
        <w:numPr>
          <w:ilvl w:val="0"/>
          <w:numId w:val="24"/>
        </w:numPr>
        <w:rPr>
          <w:sz w:val="24"/>
        </w:rPr>
      </w:pPr>
      <w:r w:rsidRPr="006C68F1">
        <w:rPr>
          <w:sz w:val="24"/>
        </w:rPr>
        <w:t>The number of persons with Alzheimer’s disease or related dementia or at high risk of dementia and/or their caregivers served by the program and their respective demographic characteristics.</w:t>
      </w:r>
    </w:p>
    <w:p w:rsidRPr="006C68F1" w:rsidR="005477D1" w:rsidP="006C68F1" w:rsidRDefault="0082173C" w14:paraId="55695509" w14:textId="2AD2DD42">
      <w:pPr>
        <w:pStyle w:val="ListParagraph"/>
        <w:numPr>
          <w:ilvl w:val="0"/>
          <w:numId w:val="24"/>
        </w:numPr>
        <w:rPr>
          <w:sz w:val="24"/>
        </w:rPr>
      </w:pPr>
      <w:r w:rsidRPr="006C68F1">
        <w:rPr>
          <w:sz w:val="24"/>
        </w:rPr>
        <w:t xml:space="preserve">The number of </w:t>
      </w:r>
      <w:r w:rsidRPr="006C68F1" w:rsidR="005477D1">
        <w:rPr>
          <w:sz w:val="24"/>
        </w:rPr>
        <w:t xml:space="preserve">professionals trained in dementia education, care and best </w:t>
      </w:r>
      <w:r w:rsidRPr="006C68F1" w:rsidR="005477D1">
        <w:rPr>
          <w:sz w:val="24"/>
        </w:rPr>
        <w:lastRenderedPageBreak/>
        <w:t>practices.</w:t>
      </w:r>
    </w:p>
    <w:p w:rsidRPr="006C68F1" w:rsidR="005477D1" w:rsidP="006C68F1" w:rsidRDefault="005477D1" w14:paraId="1B28C1E4" w14:textId="77777777">
      <w:pPr>
        <w:pStyle w:val="ListParagraph"/>
        <w:numPr>
          <w:ilvl w:val="0"/>
          <w:numId w:val="24"/>
        </w:numPr>
        <w:rPr>
          <w:sz w:val="24"/>
        </w:rPr>
      </w:pPr>
      <w:r w:rsidRPr="006C68F1">
        <w:rPr>
          <w:sz w:val="24"/>
        </w:rPr>
        <w:t xml:space="preserve">Information about grant funds spent on direct services, program administration costs and general organizational administrative costs.  </w:t>
      </w:r>
    </w:p>
    <w:p w:rsidRPr="006C68F1" w:rsidR="005477D1" w:rsidP="006C68F1" w:rsidRDefault="009204BA" w14:paraId="190B2292" w14:textId="7658B795">
      <w:pPr>
        <w:pStyle w:val="ListParagraph"/>
        <w:numPr>
          <w:ilvl w:val="0"/>
          <w:numId w:val="24"/>
        </w:numPr>
        <w:rPr>
          <w:sz w:val="24"/>
        </w:rPr>
      </w:pPr>
      <w:r w:rsidRPr="006C68F1">
        <w:rPr>
          <w:sz w:val="24"/>
        </w:rPr>
        <w:t>T</w:t>
      </w:r>
      <w:r w:rsidRPr="006C68F1" w:rsidR="001C093C">
        <w:rPr>
          <w:sz w:val="24"/>
        </w:rPr>
        <w:t xml:space="preserve">he provision of direct services to persons with Alzheimer’s </w:t>
      </w:r>
      <w:r w:rsidRPr="006C68F1" w:rsidR="009949CA">
        <w:rPr>
          <w:sz w:val="24"/>
        </w:rPr>
        <w:t>disease or related dementia or at high risk of dementia and/or their caregivers.</w:t>
      </w:r>
    </w:p>
    <w:p w:rsidRPr="006C68F1" w:rsidR="006C1103" w:rsidP="006C68F1" w:rsidRDefault="006C1103" w14:paraId="145071E2" w14:textId="3104CE41">
      <w:pPr>
        <w:pStyle w:val="ListParagraph"/>
        <w:rPr>
          <w:sz w:val="24"/>
        </w:rPr>
      </w:pPr>
    </w:p>
    <w:p w:rsidRPr="00AF0161" w:rsidR="008F5A76" w:rsidP="008F5A76" w:rsidRDefault="008F5A76" w14:paraId="09FB6783" w14:textId="59DEF64D">
      <w:pPr>
        <w:rPr>
          <w:sz w:val="24"/>
        </w:rPr>
      </w:pPr>
      <w:r>
        <w:rPr>
          <w:sz w:val="24"/>
        </w:rPr>
        <w:t xml:space="preserve">The following </w:t>
      </w:r>
      <w:r w:rsidR="00B64463">
        <w:rPr>
          <w:sz w:val="24"/>
        </w:rPr>
        <w:t xml:space="preserve">changes </w:t>
      </w:r>
      <w:r>
        <w:rPr>
          <w:sz w:val="24"/>
        </w:rPr>
        <w:t xml:space="preserve">of the currently approved </w:t>
      </w:r>
      <w:r w:rsidR="00794D03">
        <w:rPr>
          <w:sz w:val="24"/>
        </w:rPr>
        <w:t>ADP-DRT</w:t>
      </w:r>
      <w:r w:rsidDel="00794D03" w:rsidR="00794D03">
        <w:rPr>
          <w:sz w:val="24"/>
        </w:rPr>
        <w:t xml:space="preserve"> </w:t>
      </w:r>
      <w:r>
        <w:rPr>
          <w:sz w:val="24"/>
        </w:rPr>
        <w:t xml:space="preserve">have been made: </w:t>
      </w:r>
    </w:p>
    <w:p w:rsidRPr="00AF0161" w:rsidR="008F5A76" w:rsidP="008F5A76" w:rsidRDefault="008F5A76" w14:paraId="0CBEB4FB" w14:textId="77777777">
      <w:pPr>
        <w:rPr>
          <w:sz w:val="24"/>
        </w:rPr>
      </w:pPr>
    </w:p>
    <w:p w:rsidR="00B57B14" w:rsidP="00B57B14" w:rsidRDefault="00B57B14" w14:paraId="2194CFA0" w14:textId="77777777">
      <w:pPr>
        <w:widowControl/>
        <w:numPr>
          <w:ilvl w:val="0"/>
          <w:numId w:val="23"/>
        </w:numPr>
        <w:adjustRightInd/>
        <w:rPr>
          <w:sz w:val="24"/>
        </w:rPr>
      </w:pPr>
      <w:r>
        <w:rPr>
          <w:sz w:val="24"/>
        </w:rPr>
        <w:t>All worksheets</w:t>
      </w:r>
    </w:p>
    <w:p w:rsidR="00B57B14" w:rsidP="00B57B14" w:rsidRDefault="00B57B14" w14:paraId="64EDFB93" w14:textId="77777777">
      <w:pPr>
        <w:ind w:left="720"/>
        <w:rPr>
          <w:rFonts w:eastAsiaTheme="minorHAnsi"/>
          <w:sz w:val="24"/>
        </w:rPr>
      </w:pPr>
    </w:p>
    <w:p w:rsidR="00B57B14" w:rsidP="00B57B14" w:rsidRDefault="00B57B14" w14:paraId="18D91710" w14:textId="77777777">
      <w:pPr>
        <w:widowControl/>
        <w:numPr>
          <w:ilvl w:val="1"/>
          <w:numId w:val="23"/>
        </w:numPr>
        <w:adjustRightInd/>
        <w:rPr>
          <w:sz w:val="24"/>
        </w:rPr>
      </w:pPr>
      <w:r>
        <w:rPr>
          <w:sz w:val="24"/>
        </w:rPr>
        <w:t>Added language indicating that all numbers reported should be cumulative and unduplicated from the grant start date.</w:t>
      </w:r>
    </w:p>
    <w:p w:rsidR="00B57B14" w:rsidP="00B57B14" w:rsidRDefault="00B57B14" w14:paraId="5B56806D" w14:textId="77777777">
      <w:pPr>
        <w:ind w:left="1440"/>
        <w:rPr>
          <w:rFonts w:eastAsiaTheme="minorHAnsi"/>
          <w:sz w:val="24"/>
        </w:rPr>
      </w:pPr>
    </w:p>
    <w:p w:rsidR="00B57B14" w:rsidP="00B57B14" w:rsidRDefault="00B57B14" w14:paraId="2089B79B" w14:textId="77777777">
      <w:pPr>
        <w:widowControl/>
        <w:numPr>
          <w:ilvl w:val="1"/>
          <w:numId w:val="23"/>
        </w:numPr>
        <w:adjustRightInd/>
        <w:spacing w:after="240"/>
        <w:rPr>
          <w:sz w:val="24"/>
        </w:rPr>
      </w:pPr>
      <w:r>
        <w:rPr>
          <w:sz w:val="24"/>
        </w:rPr>
        <w:t>Added language indicating “Do not add or modify rows or columns.”</w:t>
      </w:r>
    </w:p>
    <w:p w:rsidR="00B57B14" w:rsidP="00B57B14" w:rsidRDefault="00B57B14" w14:paraId="5E557F43" w14:textId="77777777">
      <w:pPr>
        <w:widowControl/>
        <w:numPr>
          <w:ilvl w:val="1"/>
          <w:numId w:val="23"/>
        </w:numPr>
        <w:adjustRightInd/>
        <w:rPr>
          <w:sz w:val="24"/>
        </w:rPr>
      </w:pPr>
      <w:r>
        <w:rPr>
          <w:sz w:val="24"/>
        </w:rPr>
        <w:t>Added language and a link directing users to a document that provides definitions and answers to frequently asked questions (FAQs).</w:t>
      </w:r>
    </w:p>
    <w:p w:rsidR="00B57B14" w:rsidP="00B57B14" w:rsidRDefault="00B57B14" w14:paraId="110011E6" w14:textId="77777777">
      <w:pPr>
        <w:ind w:left="1440"/>
        <w:rPr>
          <w:rFonts w:eastAsiaTheme="minorHAnsi"/>
          <w:sz w:val="24"/>
        </w:rPr>
      </w:pPr>
    </w:p>
    <w:p w:rsidR="00B57B14" w:rsidP="00B57B14" w:rsidRDefault="00B57B14" w14:paraId="4ABB4EE4" w14:textId="77777777">
      <w:pPr>
        <w:widowControl/>
        <w:numPr>
          <w:ilvl w:val="0"/>
          <w:numId w:val="23"/>
        </w:numPr>
        <w:adjustRightInd/>
        <w:rPr>
          <w:sz w:val="24"/>
        </w:rPr>
      </w:pPr>
      <w:r>
        <w:rPr>
          <w:sz w:val="24"/>
        </w:rPr>
        <w:t xml:space="preserve">The Person with Dementia and Caregiver demographics worksheet: </w:t>
      </w:r>
    </w:p>
    <w:p w:rsidR="00B57B14" w:rsidP="00B57B14" w:rsidRDefault="00B57B14" w14:paraId="0ECE4C5C" w14:textId="77777777">
      <w:pPr>
        <w:ind w:left="720"/>
        <w:rPr>
          <w:rFonts w:eastAsiaTheme="minorHAnsi"/>
          <w:sz w:val="24"/>
        </w:rPr>
      </w:pPr>
    </w:p>
    <w:p w:rsidR="00B57B14" w:rsidP="00B57B14" w:rsidRDefault="00B57B14" w14:paraId="1B541C7F" w14:textId="77777777">
      <w:pPr>
        <w:widowControl/>
        <w:numPr>
          <w:ilvl w:val="1"/>
          <w:numId w:val="23"/>
        </w:numPr>
        <w:adjustRightInd/>
        <w:spacing w:after="240"/>
        <w:rPr>
          <w:sz w:val="24"/>
        </w:rPr>
      </w:pPr>
      <w:r>
        <w:rPr>
          <w:sz w:val="24"/>
        </w:rPr>
        <w:t>Within the category Living Arrangement, divided the category Does Not Live Alone into two: 1) Lives with a Caregiver and 2) Lives with Someone Who is Not a Caregiver. This helps to address the common situation where the person with dementia’s living companion has their own impairment or limitation that prevents them from providing care.</w:t>
      </w:r>
    </w:p>
    <w:p w:rsidR="00B57B14" w:rsidP="00B57B14" w:rsidRDefault="00B57B14" w14:paraId="04D5FB06" w14:textId="77777777">
      <w:pPr>
        <w:widowControl/>
        <w:numPr>
          <w:ilvl w:val="0"/>
          <w:numId w:val="23"/>
        </w:numPr>
        <w:adjustRightInd/>
        <w:spacing w:after="240"/>
        <w:rPr>
          <w:sz w:val="24"/>
          <w:u w:val="single"/>
        </w:rPr>
      </w:pPr>
      <w:r>
        <w:rPr>
          <w:sz w:val="24"/>
        </w:rPr>
        <w:t xml:space="preserve">The Professional Training worksheet </w:t>
      </w:r>
    </w:p>
    <w:p w:rsidRPr="00B57B14" w:rsidR="00B57B14" w:rsidP="00B57B14" w:rsidRDefault="00B57B14" w14:paraId="200BC237" w14:textId="77777777">
      <w:pPr>
        <w:widowControl/>
        <w:numPr>
          <w:ilvl w:val="1"/>
          <w:numId w:val="23"/>
        </w:numPr>
        <w:adjustRightInd/>
        <w:spacing w:after="240"/>
        <w:rPr>
          <w:sz w:val="24"/>
        </w:rPr>
      </w:pPr>
      <w:r w:rsidRPr="00B57B14">
        <w:rPr>
          <w:sz w:val="24"/>
        </w:rPr>
        <w:t>Changed header from Persons Trained to Professionals Trained, By Function to emphasize that this worksheet should not include general outreach and education and that grantees should categorize respondents by function rather than by credential.</w:t>
      </w:r>
    </w:p>
    <w:p w:rsidRPr="00B57B14" w:rsidR="00B57B14" w:rsidP="00B57B14" w:rsidRDefault="00B57B14" w14:paraId="7E2671D2" w14:textId="77777777">
      <w:pPr>
        <w:widowControl/>
        <w:numPr>
          <w:ilvl w:val="1"/>
          <w:numId w:val="23"/>
        </w:numPr>
        <w:adjustRightInd/>
        <w:spacing w:after="240"/>
        <w:rPr>
          <w:sz w:val="24"/>
        </w:rPr>
      </w:pPr>
      <w:r w:rsidRPr="00B57B14">
        <w:rPr>
          <w:sz w:val="24"/>
        </w:rPr>
        <w:t xml:space="preserve">Changed the category Health Educators, Interventionists to Other Dementia-Related Program Providers with examples illustrating the types of providers intended. This change was made based on grantee feedback that the term “interventionist” is not meaningful to respondents. </w:t>
      </w:r>
    </w:p>
    <w:p w:rsidRPr="00B57B14" w:rsidR="00B57B14" w:rsidP="00B57B14" w:rsidRDefault="00B57B14" w14:paraId="23E98E2F" w14:textId="77777777">
      <w:pPr>
        <w:widowControl/>
        <w:numPr>
          <w:ilvl w:val="1"/>
          <w:numId w:val="23"/>
        </w:numPr>
        <w:adjustRightInd/>
        <w:spacing w:after="240"/>
        <w:rPr>
          <w:sz w:val="24"/>
        </w:rPr>
      </w:pPr>
      <w:r w:rsidRPr="00B57B14">
        <w:rPr>
          <w:sz w:val="24"/>
        </w:rPr>
        <w:t>Changed the category Health Care Providers to Medical Care Providers to better distinguish from other types of health care roles.</w:t>
      </w:r>
    </w:p>
    <w:p w:rsidRPr="00B57B14" w:rsidR="00B57B14" w:rsidP="00B57B14" w:rsidRDefault="00B57B14" w14:paraId="52007585" w14:textId="77777777">
      <w:pPr>
        <w:widowControl/>
        <w:numPr>
          <w:ilvl w:val="1"/>
          <w:numId w:val="23"/>
        </w:numPr>
        <w:adjustRightInd/>
        <w:spacing w:after="240"/>
        <w:rPr>
          <w:sz w:val="24"/>
        </w:rPr>
      </w:pPr>
      <w:r w:rsidRPr="00B57B14">
        <w:rPr>
          <w:sz w:val="24"/>
        </w:rPr>
        <w:t>Added a category for Allied Health Professionals to better capture professionals such as occupational therapists who are frequently part of Alzheimer’s grant projects.</w:t>
      </w:r>
    </w:p>
    <w:p w:rsidRPr="00B57B14" w:rsidR="00B57B14" w:rsidP="00B57B14" w:rsidRDefault="00B57B14" w14:paraId="76A93DFD" w14:textId="77777777">
      <w:pPr>
        <w:widowControl/>
        <w:numPr>
          <w:ilvl w:val="1"/>
          <w:numId w:val="23"/>
        </w:numPr>
        <w:adjustRightInd/>
        <w:spacing w:after="240"/>
        <w:rPr>
          <w:sz w:val="24"/>
        </w:rPr>
      </w:pPr>
      <w:r w:rsidRPr="00B57B14">
        <w:rPr>
          <w:sz w:val="24"/>
        </w:rPr>
        <w:t>Added a category for Volunteers who are delivering direct services through the project.</w:t>
      </w:r>
    </w:p>
    <w:p w:rsidRPr="00B57B14" w:rsidR="00B57B14" w:rsidP="00B57B14" w:rsidRDefault="00B57B14" w14:paraId="55BC0879" w14:textId="77777777">
      <w:pPr>
        <w:widowControl/>
        <w:numPr>
          <w:ilvl w:val="1"/>
          <w:numId w:val="23"/>
        </w:numPr>
        <w:adjustRightInd/>
        <w:spacing w:after="240"/>
        <w:rPr>
          <w:sz w:val="24"/>
        </w:rPr>
      </w:pPr>
      <w:r w:rsidRPr="00B57B14">
        <w:rPr>
          <w:sz w:val="24"/>
        </w:rPr>
        <w:t>For the category First Responders, added note in parentheses to clarify that this may include both paid and unpaid responders.</w:t>
      </w:r>
    </w:p>
    <w:p w:rsidRPr="00B57B14" w:rsidR="00B57B14" w:rsidP="00B57B14" w:rsidRDefault="00B57B14" w14:paraId="299DE3A6" w14:textId="146BCE81">
      <w:pPr>
        <w:widowControl/>
        <w:numPr>
          <w:ilvl w:val="1"/>
          <w:numId w:val="23"/>
        </w:numPr>
        <w:adjustRightInd/>
        <w:spacing w:after="240"/>
        <w:rPr>
          <w:sz w:val="24"/>
        </w:rPr>
      </w:pPr>
      <w:r w:rsidRPr="00B57B14">
        <w:rPr>
          <w:sz w:val="24"/>
        </w:rPr>
        <w:t xml:space="preserve">Added a category for </w:t>
      </w:r>
      <w:r w:rsidRPr="00B57B14" w:rsidR="001F612D">
        <w:rPr>
          <w:sz w:val="24"/>
        </w:rPr>
        <w:t>financial</w:t>
      </w:r>
      <w:r w:rsidRPr="00B57B14">
        <w:rPr>
          <w:sz w:val="24"/>
        </w:rPr>
        <w:t xml:space="preserve"> professionals.</w:t>
      </w:r>
    </w:p>
    <w:p w:rsidRPr="00B57B14" w:rsidR="00B57B14" w:rsidP="00B57B14" w:rsidRDefault="00B57B14" w14:paraId="29331B0B" w14:textId="77777777">
      <w:pPr>
        <w:widowControl/>
        <w:numPr>
          <w:ilvl w:val="1"/>
          <w:numId w:val="23"/>
        </w:numPr>
        <w:adjustRightInd/>
        <w:spacing w:after="240"/>
        <w:rPr>
          <w:sz w:val="24"/>
        </w:rPr>
      </w:pPr>
      <w:r w:rsidRPr="00B57B14">
        <w:rPr>
          <w:sz w:val="24"/>
        </w:rPr>
        <w:t>Removed the example “banks” from the Community business category and replaced it with “hairdressers” because “banks” now fit within the new Financial professionals category</w:t>
      </w:r>
    </w:p>
    <w:p w:rsidRPr="00B57B14" w:rsidR="00B57B14" w:rsidP="00B57B14" w:rsidRDefault="00B57B14" w14:paraId="28A13044" w14:textId="77777777">
      <w:pPr>
        <w:widowControl/>
        <w:numPr>
          <w:ilvl w:val="1"/>
          <w:numId w:val="23"/>
        </w:numPr>
        <w:adjustRightInd/>
        <w:spacing w:after="240"/>
        <w:rPr>
          <w:sz w:val="24"/>
        </w:rPr>
      </w:pPr>
      <w:r w:rsidRPr="00B57B14">
        <w:rPr>
          <w:sz w:val="24"/>
        </w:rPr>
        <w:t>Added a category for Students who are preparing for dementia-related work</w:t>
      </w:r>
    </w:p>
    <w:p w:rsidRPr="00B57B14" w:rsidR="00B57B14" w:rsidP="00B57B14" w:rsidRDefault="00B57B14" w14:paraId="4AC56E2E" w14:textId="77777777">
      <w:pPr>
        <w:widowControl/>
        <w:numPr>
          <w:ilvl w:val="1"/>
          <w:numId w:val="23"/>
        </w:numPr>
        <w:adjustRightInd/>
        <w:spacing w:after="240"/>
        <w:rPr>
          <w:sz w:val="24"/>
        </w:rPr>
      </w:pPr>
      <w:r w:rsidRPr="00B57B14">
        <w:rPr>
          <w:sz w:val="24"/>
        </w:rPr>
        <w:t>Added a category for Profession Missing</w:t>
      </w:r>
    </w:p>
    <w:p w:rsidRPr="00B57B14" w:rsidR="00B57B14" w:rsidP="00B57B14" w:rsidRDefault="00B57B14" w14:paraId="1320AD82" w14:textId="77777777">
      <w:pPr>
        <w:widowControl/>
        <w:numPr>
          <w:ilvl w:val="1"/>
          <w:numId w:val="23"/>
        </w:numPr>
        <w:adjustRightInd/>
        <w:spacing w:after="240"/>
        <w:rPr>
          <w:sz w:val="24"/>
        </w:rPr>
      </w:pPr>
      <w:r w:rsidRPr="00B57B14">
        <w:rPr>
          <w:sz w:val="24"/>
        </w:rPr>
        <w:t>Added a row for Total Professionals Trained</w:t>
      </w:r>
    </w:p>
    <w:p w:rsidR="00B57B14" w:rsidP="00B57B14" w:rsidRDefault="00B57B14" w14:paraId="67AD230D" w14:textId="77777777">
      <w:pPr>
        <w:widowControl/>
        <w:numPr>
          <w:ilvl w:val="0"/>
          <w:numId w:val="23"/>
        </w:numPr>
        <w:adjustRightInd/>
        <w:spacing w:after="240"/>
        <w:rPr>
          <w:sz w:val="24"/>
          <w:u w:val="single"/>
        </w:rPr>
      </w:pPr>
      <w:r>
        <w:rPr>
          <w:sz w:val="24"/>
        </w:rPr>
        <w:t>Services &amp;Expenditures worksheet</w:t>
      </w:r>
    </w:p>
    <w:p w:rsidR="00B57B14" w:rsidP="00B57B14" w:rsidRDefault="00B57B14" w14:paraId="782686DB" w14:textId="77777777">
      <w:pPr>
        <w:widowControl/>
        <w:numPr>
          <w:ilvl w:val="1"/>
          <w:numId w:val="23"/>
        </w:numPr>
        <w:adjustRightInd/>
        <w:spacing w:after="240"/>
        <w:rPr>
          <w:sz w:val="24"/>
          <w:u w:val="single"/>
        </w:rPr>
      </w:pPr>
      <w:r>
        <w:rPr>
          <w:sz w:val="24"/>
          <w:u w:val="single"/>
        </w:rPr>
        <w:t>Category divided into two: Total Units of Direct Service Delivered was divided into 1) Total Units of Direct Service Delivered, Persons with Dementia and Caregivers and 2) Total Units of Direct Service Delivered, Professionals Trained</w:t>
      </w:r>
    </w:p>
    <w:p w:rsidR="00B57B14" w:rsidP="00B57B14" w:rsidRDefault="00B57B14" w14:paraId="7910774A" w14:textId="77777777">
      <w:pPr>
        <w:widowControl/>
        <w:numPr>
          <w:ilvl w:val="1"/>
          <w:numId w:val="23"/>
        </w:numPr>
        <w:adjustRightInd/>
        <w:spacing w:after="240"/>
        <w:rPr>
          <w:sz w:val="24"/>
          <w:u w:val="single"/>
        </w:rPr>
      </w:pPr>
      <w:r>
        <w:rPr>
          <w:sz w:val="24"/>
          <w:u w:val="single"/>
        </w:rPr>
        <w:t xml:space="preserve">Category added – one category was added to the Expenditures data to indicate the Percentage of Total Budget Spent on Other Programmatic Expenses. This was added to clarify the data collection for grantees, who often overlooked this category in their calculations. </w:t>
      </w:r>
    </w:p>
    <w:p w:rsidR="00B57B14" w:rsidP="00B57B14" w:rsidRDefault="00B57B14" w14:paraId="07BD5C47" w14:textId="77777777">
      <w:pPr>
        <w:widowControl/>
        <w:numPr>
          <w:ilvl w:val="1"/>
          <w:numId w:val="23"/>
        </w:numPr>
        <w:adjustRightInd/>
        <w:spacing w:after="240"/>
        <w:rPr>
          <w:sz w:val="24"/>
          <w:u w:val="single"/>
        </w:rPr>
      </w:pPr>
      <w:r>
        <w:rPr>
          <w:sz w:val="24"/>
          <w:u w:val="single"/>
        </w:rPr>
        <w:t>Removed two lines that included statutory requirement information related to ADSSP and ADI-SSS grants. Because no new grants are being funded in these areas, the information is no longer relevant. Slightly edited notes to clarify expenditure requirements and where more information can be found.</w:t>
      </w:r>
    </w:p>
    <w:p w:rsidRPr="007E7385" w:rsidR="00D14832" w:rsidP="00731A82" w:rsidRDefault="00D14832" w14:paraId="6C03B2C0" w14:textId="77777777">
      <w:pPr>
        <w:ind w:left="360"/>
        <w:rPr>
          <w:sz w:val="24"/>
        </w:rPr>
      </w:pPr>
      <w:r w:rsidRPr="007E7385">
        <w:rPr>
          <w:sz w:val="24"/>
        </w:rPr>
        <w:t xml:space="preserve"> </w:t>
      </w:r>
    </w:p>
    <w:p w:rsidRPr="00FB5366" w:rsidR="00F248A6" w:rsidP="00B24A9A" w:rsidRDefault="00F248A6" w14:paraId="64ED51C1" w14:textId="77777777">
      <w:pPr>
        <w:numPr>
          <w:ilvl w:val="0"/>
          <w:numId w:val="9"/>
        </w:numPr>
        <w:rPr>
          <w:b/>
          <w:sz w:val="24"/>
          <w:u w:val="single"/>
        </w:rPr>
      </w:pPr>
      <w:r w:rsidRPr="00FB5366">
        <w:rPr>
          <w:b/>
          <w:sz w:val="24"/>
          <w:u w:val="single"/>
        </w:rPr>
        <w:t xml:space="preserve">Purpose and Use of </w:t>
      </w:r>
      <w:r w:rsidR="00B24A9A">
        <w:rPr>
          <w:b/>
          <w:sz w:val="24"/>
          <w:u w:val="single"/>
        </w:rPr>
        <w:t xml:space="preserve">the </w:t>
      </w:r>
      <w:r w:rsidRPr="00FB5366">
        <w:rPr>
          <w:b/>
          <w:sz w:val="24"/>
          <w:u w:val="single"/>
        </w:rPr>
        <w:t xml:space="preserve">Information Collection </w:t>
      </w:r>
    </w:p>
    <w:p w:rsidR="00F248A6" w:rsidP="00731A82" w:rsidRDefault="00F248A6" w14:paraId="7F66496D" w14:textId="77777777">
      <w:pPr>
        <w:rPr>
          <w:color w:val="C00000"/>
          <w:sz w:val="24"/>
        </w:rPr>
      </w:pPr>
    </w:p>
    <w:p w:rsidRPr="00E06A63" w:rsidR="00F248A6" w:rsidP="00771D5E" w:rsidRDefault="00C00BB8" w14:paraId="121BE585" w14:textId="5385AA78">
      <w:pPr>
        <w:ind w:left="360"/>
        <w:rPr>
          <w:sz w:val="24"/>
        </w:rPr>
      </w:pPr>
      <w:r>
        <w:rPr>
          <w:sz w:val="24"/>
        </w:rPr>
        <w:t xml:space="preserve">Information from the </w:t>
      </w:r>
      <w:r w:rsidR="006E563B">
        <w:rPr>
          <w:sz w:val="24"/>
        </w:rPr>
        <w:t>ADP-DRT</w:t>
      </w:r>
      <w:r w:rsidDel="006E563B" w:rsidR="006E563B">
        <w:rPr>
          <w:sz w:val="24"/>
        </w:rPr>
        <w:t xml:space="preserve"> </w:t>
      </w:r>
      <w:r w:rsidR="00771D5E">
        <w:rPr>
          <w:sz w:val="24"/>
        </w:rPr>
        <w:t>will</w:t>
      </w:r>
      <w:r w:rsidR="00C46ABA">
        <w:rPr>
          <w:sz w:val="24"/>
        </w:rPr>
        <w:t xml:space="preserve"> </w:t>
      </w:r>
      <w:r w:rsidRPr="008A0828" w:rsidR="00F248A6">
        <w:rPr>
          <w:sz w:val="24"/>
        </w:rPr>
        <w:t>be provided to</w:t>
      </w:r>
      <w:r w:rsidR="00B258D9">
        <w:rPr>
          <w:sz w:val="24"/>
        </w:rPr>
        <w:t>:</w:t>
      </w:r>
      <w:r w:rsidR="00F248A6">
        <w:rPr>
          <w:sz w:val="24"/>
        </w:rPr>
        <w:t xml:space="preserve"> </w:t>
      </w:r>
      <w:r w:rsidR="008A40D8">
        <w:rPr>
          <w:sz w:val="24"/>
        </w:rPr>
        <w:t>federal and state legislators</w:t>
      </w:r>
      <w:r>
        <w:rPr>
          <w:sz w:val="24"/>
        </w:rPr>
        <w:t>; s</w:t>
      </w:r>
      <w:r w:rsidR="00F248A6">
        <w:rPr>
          <w:sz w:val="24"/>
        </w:rPr>
        <w:t xml:space="preserve">tate </w:t>
      </w:r>
      <w:r>
        <w:rPr>
          <w:sz w:val="24"/>
        </w:rPr>
        <w:t>agencies on aging</w:t>
      </w:r>
      <w:r w:rsidR="00F248A6">
        <w:rPr>
          <w:sz w:val="24"/>
        </w:rPr>
        <w:t>;</w:t>
      </w:r>
      <w:r w:rsidRPr="008A0828" w:rsidR="00F248A6">
        <w:rPr>
          <w:sz w:val="24"/>
        </w:rPr>
        <w:t xml:space="preserve"> nat</w:t>
      </w:r>
      <w:r w:rsidR="00F248A6">
        <w:rPr>
          <w:sz w:val="24"/>
        </w:rPr>
        <w:t xml:space="preserve">ional, state and local organizations </w:t>
      </w:r>
      <w:r>
        <w:rPr>
          <w:sz w:val="24"/>
        </w:rPr>
        <w:t>with an interest in</w:t>
      </w:r>
      <w:r w:rsidR="00F248A6">
        <w:rPr>
          <w:sz w:val="24"/>
        </w:rPr>
        <w:t xml:space="preserve"> Alzheimer’s disease </w:t>
      </w:r>
      <w:r w:rsidR="00EF6A70">
        <w:rPr>
          <w:sz w:val="24"/>
        </w:rPr>
        <w:t xml:space="preserve">and related dementia </w:t>
      </w:r>
      <w:r w:rsidR="00F248A6">
        <w:rPr>
          <w:sz w:val="24"/>
        </w:rPr>
        <w:t>and long-term care issues;</w:t>
      </w:r>
      <w:r w:rsidRPr="008A0828" w:rsidR="00F248A6">
        <w:rPr>
          <w:sz w:val="24"/>
        </w:rPr>
        <w:t xml:space="preserve"> </w:t>
      </w:r>
      <w:r w:rsidR="00F248A6">
        <w:rPr>
          <w:sz w:val="24"/>
        </w:rPr>
        <w:t xml:space="preserve">current </w:t>
      </w:r>
      <w:r w:rsidR="000176BD">
        <w:rPr>
          <w:sz w:val="24"/>
        </w:rPr>
        <w:t xml:space="preserve">and future </w:t>
      </w:r>
      <w:r w:rsidR="00DD47FA">
        <w:rPr>
          <w:sz w:val="24"/>
        </w:rPr>
        <w:t>ACL Alzheimer</w:t>
      </w:r>
      <w:r w:rsidR="00083CD2">
        <w:rPr>
          <w:sz w:val="24"/>
        </w:rPr>
        <w:t>’s Disease</w:t>
      </w:r>
      <w:r w:rsidR="00DD47FA">
        <w:rPr>
          <w:sz w:val="24"/>
        </w:rPr>
        <w:t xml:space="preserve"> Program</w:t>
      </w:r>
      <w:r w:rsidRPr="004D5DA5" w:rsidR="00DD47FA">
        <w:rPr>
          <w:sz w:val="24"/>
        </w:rPr>
        <w:t xml:space="preserve"> grantees</w:t>
      </w:r>
      <w:r w:rsidR="00F248A6">
        <w:rPr>
          <w:sz w:val="24"/>
        </w:rPr>
        <w:t xml:space="preserve">; </w:t>
      </w:r>
      <w:r w:rsidRPr="008A0828" w:rsidR="00F248A6">
        <w:rPr>
          <w:sz w:val="24"/>
        </w:rPr>
        <w:t xml:space="preserve">and private citizens who request it.  </w:t>
      </w:r>
      <w:r>
        <w:rPr>
          <w:sz w:val="24"/>
        </w:rPr>
        <w:t>Information</w:t>
      </w:r>
      <w:r w:rsidRPr="00E06A63" w:rsidR="00F248A6">
        <w:rPr>
          <w:sz w:val="24"/>
        </w:rPr>
        <w:t xml:space="preserve"> </w:t>
      </w:r>
      <w:r w:rsidRPr="00E06A63" w:rsidR="00C46ABA">
        <w:rPr>
          <w:sz w:val="24"/>
        </w:rPr>
        <w:t>w</w:t>
      </w:r>
      <w:r w:rsidRPr="00E06A63" w:rsidR="00771D5E">
        <w:rPr>
          <w:sz w:val="24"/>
        </w:rPr>
        <w:t>ill</w:t>
      </w:r>
      <w:r w:rsidRPr="00E06A63" w:rsidR="00F248A6">
        <w:rPr>
          <w:sz w:val="24"/>
        </w:rPr>
        <w:t xml:space="preserve"> be posted on </w:t>
      </w:r>
      <w:r w:rsidRPr="00E06A63" w:rsidR="00D37F19">
        <w:rPr>
          <w:sz w:val="24"/>
        </w:rPr>
        <w:t>ACL</w:t>
      </w:r>
      <w:r w:rsidRPr="00E06A63" w:rsidR="00F248A6">
        <w:rPr>
          <w:sz w:val="24"/>
        </w:rPr>
        <w:t xml:space="preserve">’s </w:t>
      </w:r>
      <w:r w:rsidRPr="00D470DF" w:rsidR="00E06A63">
        <w:rPr>
          <w:sz w:val="24"/>
        </w:rPr>
        <w:t>National Alzheimer’s and Dementia Resource Center (NADRC</w:t>
      </w:r>
      <w:r w:rsidRPr="00E06A63" w:rsidR="00E06A63">
        <w:rPr>
          <w:sz w:val="24"/>
        </w:rPr>
        <w:t xml:space="preserve">) </w:t>
      </w:r>
      <w:r w:rsidRPr="00E06A63" w:rsidR="00F248A6">
        <w:rPr>
          <w:sz w:val="24"/>
        </w:rPr>
        <w:t>website</w:t>
      </w:r>
      <w:r w:rsidR="00E06A63">
        <w:rPr>
          <w:sz w:val="24"/>
        </w:rPr>
        <w:t xml:space="preserve"> (</w:t>
      </w:r>
      <w:r w:rsidRPr="00E06A63" w:rsidR="00E06A63">
        <w:rPr>
          <w:sz w:val="24"/>
        </w:rPr>
        <w:t>http://nadrc.acl.gov/</w:t>
      </w:r>
      <w:r w:rsidR="00E06A63">
        <w:rPr>
          <w:sz w:val="24"/>
        </w:rPr>
        <w:t>)</w:t>
      </w:r>
      <w:r w:rsidRPr="00E06A63" w:rsidR="00F248A6">
        <w:rPr>
          <w:sz w:val="24"/>
        </w:rPr>
        <w:t xml:space="preserve">. </w:t>
      </w:r>
    </w:p>
    <w:p w:rsidRPr="008A0828" w:rsidR="00F248A6" w:rsidP="00731A82" w:rsidRDefault="00F248A6" w14:paraId="5340C9CD" w14:textId="77777777">
      <w:pPr>
        <w:ind w:left="720"/>
        <w:rPr>
          <w:b/>
          <w:sz w:val="24"/>
        </w:rPr>
      </w:pPr>
    </w:p>
    <w:p w:rsidRPr="008A0828" w:rsidR="00F248A6" w:rsidP="008954A8" w:rsidRDefault="006F1EE4" w14:paraId="778A96EF" w14:textId="280AF40D">
      <w:pPr>
        <w:ind w:left="360"/>
        <w:rPr>
          <w:sz w:val="24"/>
        </w:rPr>
      </w:pPr>
      <w:r>
        <w:rPr>
          <w:sz w:val="24"/>
        </w:rPr>
        <w:t xml:space="preserve">Information that has been collected </w:t>
      </w:r>
      <w:r w:rsidR="008954A8">
        <w:rPr>
          <w:sz w:val="24"/>
        </w:rPr>
        <w:t xml:space="preserve">with </w:t>
      </w:r>
      <w:r>
        <w:rPr>
          <w:sz w:val="24"/>
        </w:rPr>
        <w:t>the current ADP-DRT</w:t>
      </w:r>
      <w:r w:rsidRPr="008A0828" w:rsidR="00F248A6">
        <w:rPr>
          <w:sz w:val="24"/>
        </w:rPr>
        <w:t xml:space="preserve"> to date has been used:</w:t>
      </w:r>
    </w:p>
    <w:p w:rsidRPr="008A0828" w:rsidR="00F248A6" w:rsidP="00731A82" w:rsidRDefault="00F248A6" w14:paraId="1ACD4A62" w14:textId="77777777">
      <w:pPr>
        <w:ind w:left="720"/>
        <w:rPr>
          <w:sz w:val="24"/>
        </w:rPr>
      </w:pPr>
    </w:p>
    <w:p w:rsidRPr="008A0828" w:rsidR="00F248A6" w:rsidP="005477D1" w:rsidRDefault="00F248A6" w14:paraId="50AB594F" w14:textId="77777777">
      <w:pPr>
        <w:numPr>
          <w:ilvl w:val="0"/>
          <w:numId w:val="2"/>
        </w:numPr>
        <w:tabs>
          <w:tab w:val="clear" w:pos="1440"/>
          <w:tab w:val="num" w:pos="1080"/>
        </w:tabs>
        <w:ind w:left="1080"/>
        <w:rPr>
          <w:sz w:val="24"/>
        </w:rPr>
      </w:pPr>
      <w:r w:rsidRPr="008A0828">
        <w:rPr>
          <w:sz w:val="24"/>
        </w:rPr>
        <w:t xml:space="preserve">By </w:t>
      </w:r>
      <w:r w:rsidR="00D37F19">
        <w:rPr>
          <w:sz w:val="24"/>
        </w:rPr>
        <w:t>ACL</w:t>
      </w:r>
      <w:r w:rsidR="008954A8">
        <w:rPr>
          <w:sz w:val="24"/>
        </w:rPr>
        <w:t>,</w:t>
      </w:r>
      <w:r w:rsidRPr="008A0828">
        <w:rPr>
          <w:sz w:val="24"/>
        </w:rPr>
        <w:t xml:space="preserve"> to advocate within the Department on specific issues affecting </w:t>
      </w:r>
      <w:r w:rsidR="000605D9">
        <w:rPr>
          <w:sz w:val="24"/>
        </w:rPr>
        <w:t>persons with Alzheimer’s disease and/or their family caregivers</w:t>
      </w:r>
      <w:r w:rsidRPr="008A0828">
        <w:rPr>
          <w:sz w:val="24"/>
        </w:rPr>
        <w:t xml:space="preserve">, pin-point areas where technical assistance to the states </w:t>
      </w:r>
      <w:r w:rsidR="000176BD">
        <w:rPr>
          <w:sz w:val="24"/>
        </w:rPr>
        <w:t>is</w:t>
      </w:r>
      <w:r w:rsidRPr="008A0828">
        <w:rPr>
          <w:sz w:val="24"/>
        </w:rPr>
        <w:t xml:space="preserve"> indicated, and prepare planning and reporting documents</w:t>
      </w:r>
      <w:r w:rsidR="00BC3640">
        <w:rPr>
          <w:sz w:val="24"/>
        </w:rPr>
        <w:t>, such as the US National Alzheimer’s Plan</w:t>
      </w:r>
      <w:r w:rsidR="00EF6A70">
        <w:rPr>
          <w:sz w:val="24"/>
        </w:rPr>
        <w:t xml:space="preserve"> and state Alzheimer plans</w:t>
      </w:r>
      <w:r w:rsidRPr="008A0828">
        <w:rPr>
          <w:sz w:val="24"/>
        </w:rPr>
        <w:t>;</w:t>
      </w:r>
    </w:p>
    <w:p w:rsidRPr="008A0828" w:rsidR="00F248A6" w:rsidP="00731A82" w:rsidRDefault="00F248A6" w14:paraId="588DFF05" w14:textId="77777777">
      <w:pPr>
        <w:ind w:left="720"/>
        <w:rPr>
          <w:sz w:val="24"/>
        </w:rPr>
      </w:pPr>
    </w:p>
    <w:p w:rsidRPr="008A0828" w:rsidR="00F248A6" w:rsidP="005477D1" w:rsidRDefault="00F248A6" w14:paraId="5A7D3C0E" w14:textId="77777777">
      <w:pPr>
        <w:numPr>
          <w:ilvl w:val="0"/>
          <w:numId w:val="2"/>
        </w:numPr>
        <w:tabs>
          <w:tab w:val="clear" w:pos="1440"/>
          <w:tab w:val="num" w:pos="1080"/>
        </w:tabs>
        <w:ind w:left="1080"/>
        <w:rPr>
          <w:sz w:val="24"/>
        </w:rPr>
      </w:pPr>
      <w:r w:rsidRPr="008A0828">
        <w:rPr>
          <w:sz w:val="24"/>
        </w:rPr>
        <w:t xml:space="preserve">By </w:t>
      </w:r>
      <w:r w:rsidR="00D37F19">
        <w:rPr>
          <w:sz w:val="24"/>
        </w:rPr>
        <w:t>ACL</w:t>
      </w:r>
      <w:r w:rsidR="008954A8">
        <w:rPr>
          <w:sz w:val="24"/>
        </w:rPr>
        <w:t>,</w:t>
      </w:r>
      <w:r w:rsidR="00B431D7">
        <w:rPr>
          <w:sz w:val="24"/>
        </w:rPr>
        <w:t xml:space="preserve"> to</w:t>
      </w:r>
      <w:r w:rsidR="00D31096">
        <w:rPr>
          <w:sz w:val="24"/>
        </w:rPr>
        <w:t xml:space="preserve"> identify those states that have had success in serving disparate populations and work with grantees to develop materials t</w:t>
      </w:r>
      <w:r w:rsidR="00FC35BD">
        <w:rPr>
          <w:sz w:val="24"/>
        </w:rPr>
        <w:t>hat</w:t>
      </w:r>
      <w:r w:rsidR="00D31096">
        <w:rPr>
          <w:sz w:val="24"/>
        </w:rPr>
        <w:t xml:space="preserve"> enable current and future grantees to </w:t>
      </w:r>
      <w:r w:rsidR="00FC35BD">
        <w:rPr>
          <w:sz w:val="24"/>
        </w:rPr>
        <w:t xml:space="preserve">learn from and </w:t>
      </w:r>
      <w:r w:rsidR="00D31096">
        <w:rPr>
          <w:sz w:val="24"/>
        </w:rPr>
        <w:t xml:space="preserve">replicate </w:t>
      </w:r>
      <w:r w:rsidR="00B431D7">
        <w:rPr>
          <w:sz w:val="24"/>
        </w:rPr>
        <w:t xml:space="preserve">these </w:t>
      </w:r>
      <w:r w:rsidR="00FC35BD">
        <w:rPr>
          <w:sz w:val="24"/>
        </w:rPr>
        <w:t>practices</w:t>
      </w:r>
      <w:r w:rsidR="00D31096">
        <w:rPr>
          <w:sz w:val="24"/>
        </w:rPr>
        <w:t xml:space="preserve">; </w:t>
      </w:r>
      <w:r w:rsidR="008D70F5">
        <w:rPr>
          <w:sz w:val="24"/>
        </w:rPr>
        <w:t>and</w:t>
      </w:r>
    </w:p>
    <w:p w:rsidRPr="008A0828" w:rsidR="00F248A6" w:rsidP="005477D1" w:rsidRDefault="00F248A6" w14:paraId="1175CBBE" w14:textId="77777777">
      <w:pPr>
        <w:tabs>
          <w:tab w:val="num" w:pos="1080"/>
        </w:tabs>
        <w:ind w:left="1080"/>
        <w:rPr>
          <w:sz w:val="24"/>
        </w:rPr>
      </w:pPr>
    </w:p>
    <w:p w:rsidR="008D70F5" w:rsidP="005477D1" w:rsidRDefault="00D31096" w14:paraId="6F15E5A7" w14:textId="72A80C5E">
      <w:pPr>
        <w:numPr>
          <w:ilvl w:val="0"/>
          <w:numId w:val="2"/>
        </w:numPr>
        <w:tabs>
          <w:tab w:val="clear" w:pos="1440"/>
          <w:tab w:val="num" w:pos="1080"/>
        </w:tabs>
        <w:ind w:left="1080"/>
        <w:rPr>
          <w:sz w:val="24"/>
        </w:rPr>
      </w:pPr>
      <w:r>
        <w:rPr>
          <w:sz w:val="24"/>
        </w:rPr>
        <w:t xml:space="preserve">By </w:t>
      </w:r>
      <w:r w:rsidR="00D37F19">
        <w:rPr>
          <w:sz w:val="24"/>
        </w:rPr>
        <w:t>ACL</w:t>
      </w:r>
      <w:r w:rsidR="008D70F5">
        <w:rPr>
          <w:sz w:val="24"/>
        </w:rPr>
        <w:t xml:space="preserve">, </w:t>
      </w:r>
      <w:r w:rsidRPr="008A0828">
        <w:rPr>
          <w:sz w:val="24"/>
        </w:rPr>
        <w:t>state</w:t>
      </w:r>
      <w:r w:rsidR="008D70F5">
        <w:rPr>
          <w:sz w:val="24"/>
        </w:rPr>
        <w:t>,</w:t>
      </w:r>
      <w:r w:rsidRPr="008A0828">
        <w:rPr>
          <w:sz w:val="24"/>
        </w:rPr>
        <w:t xml:space="preserve"> and </w:t>
      </w:r>
      <w:r w:rsidR="008954A8">
        <w:rPr>
          <w:sz w:val="24"/>
        </w:rPr>
        <w:t xml:space="preserve">local </w:t>
      </w:r>
      <w:r w:rsidRPr="008A0828">
        <w:rPr>
          <w:sz w:val="24"/>
        </w:rPr>
        <w:t xml:space="preserve">level managers of aging </w:t>
      </w:r>
      <w:r w:rsidR="00EF6A70">
        <w:rPr>
          <w:sz w:val="24"/>
        </w:rPr>
        <w:t xml:space="preserve">and public health </w:t>
      </w:r>
      <w:r w:rsidRPr="008A0828">
        <w:rPr>
          <w:sz w:val="24"/>
        </w:rPr>
        <w:t xml:space="preserve">programs to compare operation of their </w:t>
      </w:r>
      <w:r w:rsidR="00205F1A">
        <w:rPr>
          <w:sz w:val="24"/>
        </w:rPr>
        <w:t>Alzheimer</w:t>
      </w:r>
      <w:r w:rsidR="002477EC">
        <w:rPr>
          <w:sz w:val="24"/>
        </w:rPr>
        <w:t>’s</w:t>
      </w:r>
      <w:r w:rsidR="00205F1A">
        <w:rPr>
          <w:sz w:val="24"/>
        </w:rPr>
        <w:t xml:space="preserve"> </w:t>
      </w:r>
      <w:r>
        <w:rPr>
          <w:sz w:val="24"/>
        </w:rPr>
        <w:t>programs</w:t>
      </w:r>
      <w:r w:rsidR="00B431D7">
        <w:rPr>
          <w:sz w:val="24"/>
        </w:rPr>
        <w:t xml:space="preserve"> to </w:t>
      </w:r>
      <w:r w:rsidR="00C31B17">
        <w:rPr>
          <w:sz w:val="24"/>
        </w:rPr>
        <w:t xml:space="preserve">other states </w:t>
      </w:r>
      <w:r w:rsidR="00EF6A70">
        <w:rPr>
          <w:sz w:val="24"/>
        </w:rPr>
        <w:t xml:space="preserve">and organizations </w:t>
      </w:r>
      <w:r w:rsidR="00C31B17">
        <w:rPr>
          <w:sz w:val="24"/>
        </w:rPr>
        <w:t xml:space="preserve">and </w:t>
      </w:r>
      <w:r w:rsidR="00B431D7">
        <w:rPr>
          <w:sz w:val="24"/>
        </w:rPr>
        <w:t xml:space="preserve">advocate for </w:t>
      </w:r>
      <w:r w:rsidR="000176BD">
        <w:rPr>
          <w:sz w:val="24"/>
        </w:rPr>
        <w:t xml:space="preserve">more effective program structure and </w:t>
      </w:r>
      <w:r w:rsidR="00B431D7">
        <w:rPr>
          <w:sz w:val="24"/>
        </w:rPr>
        <w:t>sustainable funding</w:t>
      </w:r>
      <w:r w:rsidR="001D4DDE">
        <w:rPr>
          <w:sz w:val="24"/>
        </w:rPr>
        <w:t xml:space="preserve"> </w:t>
      </w:r>
      <w:r w:rsidR="00B431D7">
        <w:rPr>
          <w:sz w:val="24"/>
        </w:rPr>
        <w:t>to embed these model</w:t>
      </w:r>
      <w:r>
        <w:rPr>
          <w:sz w:val="24"/>
        </w:rPr>
        <w:t xml:space="preserve"> </w:t>
      </w:r>
      <w:r w:rsidR="001D4DDE">
        <w:rPr>
          <w:sz w:val="24"/>
        </w:rPr>
        <w:t>supports and</w:t>
      </w:r>
      <w:r>
        <w:rPr>
          <w:sz w:val="24"/>
        </w:rPr>
        <w:t xml:space="preserve"> services</w:t>
      </w:r>
      <w:r w:rsidR="00B431D7">
        <w:rPr>
          <w:sz w:val="24"/>
        </w:rPr>
        <w:t xml:space="preserve"> into state </w:t>
      </w:r>
      <w:r w:rsidR="00EF6A70">
        <w:rPr>
          <w:sz w:val="24"/>
        </w:rPr>
        <w:t xml:space="preserve">and local </w:t>
      </w:r>
      <w:r w:rsidR="00B431D7">
        <w:rPr>
          <w:sz w:val="24"/>
        </w:rPr>
        <w:t>systems</w:t>
      </w:r>
    </w:p>
    <w:p w:rsidR="00205F1A" w:rsidP="005477D1" w:rsidRDefault="00205F1A" w14:paraId="36182943" w14:textId="77777777">
      <w:pPr>
        <w:pStyle w:val="ListParagraph"/>
        <w:tabs>
          <w:tab w:val="num" w:pos="1080"/>
        </w:tabs>
        <w:ind w:left="1080"/>
        <w:rPr>
          <w:sz w:val="24"/>
        </w:rPr>
      </w:pPr>
    </w:p>
    <w:p w:rsidRPr="00AD46EC" w:rsidR="008D70F5" w:rsidP="005477D1" w:rsidRDefault="008D70F5" w14:paraId="57F3B0E7" w14:textId="77777777">
      <w:pPr>
        <w:tabs>
          <w:tab w:val="num" w:pos="1080"/>
        </w:tabs>
        <w:ind w:left="1080"/>
        <w:rPr>
          <w:sz w:val="24"/>
        </w:rPr>
      </w:pPr>
      <w:r w:rsidRPr="00AD46EC">
        <w:rPr>
          <w:sz w:val="24"/>
        </w:rPr>
        <w:t xml:space="preserve">Examples of products developed through this data collection are available at: </w:t>
      </w:r>
      <w:hyperlink w:history="1" r:id="rId8">
        <w:r w:rsidRPr="00B75B90" w:rsidR="00AD46EC">
          <w:rPr>
            <w:rStyle w:val="Hyperlink"/>
            <w:sz w:val="24"/>
          </w:rPr>
          <w:t>http://nadrc.acl.gov/</w:t>
        </w:r>
      </w:hyperlink>
      <w:r w:rsidR="00AD46EC">
        <w:rPr>
          <w:sz w:val="24"/>
        </w:rPr>
        <w:t xml:space="preserve"> </w:t>
      </w:r>
    </w:p>
    <w:p w:rsidRPr="008A0828" w:rsidR="00F248A6" w:rsidP="005477D1" w:rsidRDefault="00F248A6" w14:paraId="3AD66549" w14:textId="77777777">
      <w:pPr>
        <w:tabs>
          <w:tab w:val="num" w:pos="1080"/>
        </w:tabs>
        <w:ind w:left="1080"/>
        <w:rPr>
          <w:sz w:val="24"/>
        </w:rPr>
      </w:pPr>
    </w:p>
    <w:p w:rsidRPr="00FB5366" w:rsidR="002160B0" w:rsidP="0082450F" w:rsidRDefault="002160B0" w14:paraId="4DF8736A" w14:textId="77777777">
      <w:pPr>
        <w:numPr>
          <w:ilvl w:val="0"/>
          <w:numId w:val="9"/>
        </w:numPr>
        <w:rPr>
          <w:b/>
          <w:sz w:val="24"/>
          <w:u w:val="single"/>
        </w:rPr>
      </w:pPr>
      <w:r w:rsidRPr="00FB5366">
        <w:rPr>
          <w:b/>
          <w:sz w:val="24"/>
          <w:u w:val="single"/>
        </w:rPr>
        <w:t>Use of Improved Information Technology and Burden Reduction</w:t>
      </w:r>
    </w:p>
    <w:p w:rsidR="00B839E2" w:rsidP="00731A82" w:rsidRDefault="00B839E2" w14:paraId="4F7097CD" w14:textId="77777777">
      <w:pPr>
        <w:ind w:left="1800"/>
        <w:rPr>
          <w:color w:val="C00000"/>
          <w:sz w:val="24"/>
        </w:rPr>
      </w:pPr>
    </w:p>
    <w:p w:rsidRPr="00EC1B14" w:rsidR="00806CD7" w:rsidP="00731A82" w:rsidRDefault="007D5EF9" w14:paraId="2D7C7BB3" w14:textId="3718EF32">
      <w:pPr>
        <w:spacing w:after="240"/>
        <w:ind w:left="360"/>
        <w:rPr>
          <w:sz w:val="24"/>
        </w:rPr>
      </w:pPr>
      <w:r>
        <w:rPr>
          <w:sz w:val="24"/>
        </w:rPr>
        <w:t>G</w:t>
      </w:r>
      <w:r w:rsidRPr="00EC1B14" w:rsidR="00B70E35">
        <w:rPr>
          <w:sz w:val="24"/>
        </w:rPr>
        <w:t xml:space="preserve">rantees </w:t>
      </w:r>
      <w:r w:rsidR="005D39C9">
        <w:rPr>
          <w:sz w:val="24"/>
        </w:rPr>
        <w:t>collect data</w:t>
      </w:r>
      <w:r w:rsidRPr="00EC1B14" w:rsidR="00B70E35">
        <w:rPr>
          <w:sz w:val="24"/>
        </w:rPr>
        <w:t xml:space="preserve"> using the approved </w:t>
      </w:r>
      <w:r w:rsidR="005D39C9">
        <w:rPr>
          <w:sz w:val="24"/>
        </w:rPr>
        <w:t>ADP-DRT e</w:t>
      </w:r>
      <w:r w:rsidRPr="00EC1B14" w:rsidR="00B70E35">
        <w:rPr>
          <w:sz w:val="24"/>
        </w:rPr>
        <w:t>xcel spreadshe</w:t>
      </w:r>
      <w:r w:rsidR="005D39C9">
        <w:rPr>
          <w:sz w:val="24"/>
        </w:rPr>
        <w:t xml:space="preserve">ets and submit the </w:t>
      </w:r>
      <w:r w:rsidR="00FD7CDB">
        <w:rPr>
          <w:sz w:val="24"/>
        </w:rPr>
        <w:t>data</w:t>
      </w:r>
      <w:r w:rsidR="005D39C9">
        <w:rPr>
          <w:sz w:val="24"/>
        </w:rPr>
        <w:t xml:space="preserve"> to </w:t>
      </w:r>
      <w:r w:rsidR="00D37F19">
        <w:rPr>
          <w:sz w:val="24"/>
        </w:rPr>
        <w:t>ACL</w:t>
      </w:r>
      <w:r w:rsidR="005D39C9">
        <w:rPr>
          <w:sz w:val="24"/>
        </w:rPr>
        <w:t xml:space="preserve">.  </w:t>
      </w:r>
      <w:r w:rsidRPr="00EC1B14" w:rsidR="00FD7CDB">
        <w:rPr>
          <w:sz w:val="24"/>
        </w:rPr>
        <w:t xml:space="preserve"> </w:t>
      </w:r>
      <w:r w:rsidR="00FD7CDB">
        <w:rPr>
          <w:sz w:val="24"/>
        </w:rPr>
        <w:t xml:space="preserve"> T</w:t>
      </w:r>
      <w:r w:rsidRPr="00EC1B14" w:rsidR="00FD7CDB">
        <w:rPr>
          <w:sz w:val="24"/>
        </w:rPr>
        <w:t xml:space="preserve">here </w:t>
      </w:r>
      <w:r w:rsidR="00FD7CDB">
        <w:rPr>
          <w:sz w:val="24"/>
        </w:rPr>
        <w:t>are</w:t>
      </w:r>
      <w:r w:rsidRPr="00EC1B14" w:rsidR="00FD7CDB">
        <w:rPr>
          <w:sz w:val="24"/>
        </w:rPr>
        <w:t xml:space="preserve"> no user fees associated with the use of the tools</w:t>
      </w:r>
      <w:r w:rsidR="00FD7CDB">
        <w:rPr>
          <w:sz w:val="24"/>
        </w:rPr>
        <w:t xml:space="preserve"> and </w:t>
      </w:r>
      <w:r w:rsidRPr="00EC1B14" w:rsidR="00FD7CDB">
        <w:rPr>
          <w:sz w:val="24"/>
        </w:rPr>
        <w:t xml:space="preserve">states </w:t>
      </w:r>
      <w:r w:rsidR="00FD7CDB">
        <w:rPr>
          <w:sz w:val="24"/>
        </w:rPr>
        <w:t xml:space="preserve">will </w:t>
      </w:r>
      <w:r w:rsidRPr="00EC1B14" w:rsidR="00FD7CDB">
        <w:rPr>
          <w:sz w:val="24"/>
        </w:rPr>
        <w:t>have the flexibility to determine how the data is entered and by whom</w:t>
      </w:r>
      <w:r w:rsidR="00FD7CDB">
        <w:rPr>
          <w:sz w:val="24"/>
        </w:rPr>
        <w:t>.  F</w:t>
      </w:r>
      <w:r w:rsidRPr="00EC1B14" w:rsidR="00FD7CDB">
        <w:rPr>
          <w:sz w:val="24"/>
        </w:rPr>
        <w:t xml:space="preserve">or example, some </w:t>
      </w:r>
      <w:r w:rsidR="003B0840">
        <w:rPr>
          <w:sz w:val="24"/>
        </w:rPr>
        <w:t xml:space="preserve">grantees </w:t>
      </w:r>
      <w:r w:rsidRPr="00EC1B14" w:rsidR="00FD7CDB">
        <w:rPr>
          <w:sz w:val="24"/>
        </w:rPr>
        <w:t xml:space="preserve">may choose to have </w:t>
      </w:r>
      <w:r w:rsidR="00FD7CDB">
        <w:rPr>
          <w:sz w:val="24"/>
        </w:rPr>
        <w:t>local</w:t>
      </w:r>
      <w:r w:rsidRPr="00EC1B14" w:rsidR="00FD7CDB">
        <w:rPr>
          <w:sz w:val="24"/>
        </w:rPr>
        <w:t xml:space="preserve"> sites enter the data at the community level, while others may prefer to enter </w:t>
      </w:r>
      <w:r w:rsidR="00FD7CDB">
        <w:rPr>
          <w:sz w:val="24"/>
        </w:rPr>
        <w:t>the data at the state level.</w:t>
      </w:r>
      <w:r w:rsidRPr="00EC1B14" w:rsidR="00FD7CDB">
        <w:rPr>
          <w:sz w:val="24"/>
        </w:rPr>
        <w:t xml:space="preserve"> </w:t>
      </w:r>
      <w:r w:rsidR="00EF6A70">
        <w:rPr>
          <w:sz w:val="24"/>
        </w:rPr>
        <w:t>D</w:t>
      </w:r>
      <w:r w:rsidRPr="00EC1B14" w:rsidR="004C123C">
        <w:rPr>
          <w:sz w:val="24"/>
        </w:rPr>
        <w:t xml:space="preserve">ata </w:t>
      </w:r>
      <w:r w:rsidR="00FD7CDB">
        <w:rPr>
          <w:sz w:val="24"/>
        </w:rPr>
        <w:t>are</w:t>
      </w:r>
      <w:r w:rsidR="005D39C9">
        <w:rPr>
          <w:sz w:val="24"/>
        </w:rPr>
        <w:t xml:space="preserve"> aggregated and analyzed by </w:t>
      </w:r>
      <w:r w:rsidR="00D37F19">
        <w:rPr>
          <w:sz w:val="24"/>
        </w:rPr>
        <w:t>ACL</w:t>
      </w:r>
      <w:r w:rsidRPr="00EC1B14" w:rsidR="004C123C">
        <w:rPr>
          <w:sz w:val="24"/>
        </w:rPr>
        <w:t xml:space="preserve"> contractor</w:t>
      </w:r>
      <w:r w:rsidR="005D39C9">
        <w:rPr>
          <w:sz w:val="24"/>
        </w:rPr>
        <w:t>s</w:t>
      </w:r>
      <w:r w:rsidRPr="00EC1B14" w:rsidR="004C123C">
        <w:rPr>
          <w:sz w:val="24"/>
        </w:rPr>
        <w:t xml:space="preserve"> and made available to </w:t>
      </w:r>
      <w:r w:rsidR="003B0840">
        <w:rPr>
          <w:sz w:val="24"/>
        </w:rPr>
        <w:t>grante</w:t>
      </w:r>
      <w:r w:rsidRPr="00EC1B14" w:rsidR="003B0840">
        <w:rPr>
          <w:sz w:val="24"/>
        </w:rPr>
        <w:t xml:space="preserve">es </w:t>
      </w:r>
      <w:r w:rsidRPr="00EC1B14" w:rsidR="004C123C">
        <w:rPr>
          <w:sz w:val="24"/>
        </w:rPr>
        <w:t xml:space="preserve">and </w:t>
      </w:r>
      <w:r w:rsidR="003B0840">
        <w:rPr>
          <w:sz w:val="24"/>
        </w:rPr>
        <w:t xml:space="preserve">the </w:t>
      </w:r>
      <w:r w:rsidRPr="00EC1B14" w:rsidR="004C123C">
        <w:rPr>
          <w:sz w:val="24"/>
        </w:rPr>
        <w:t>general public.</w:t>
      </w:r>
      <w:r w:rsidR="00846FCE">
        <w:rPr>
          <w:sz w:val="24"/>
        </w:rPr>
        <w:t xml:space="preserve">  </w:t>
      </w:r>
    </w:p>
    <w:p w:rsidRPr="007D5AC8" w:rsidR="00B839E2" w:rsidP="00DA0AE4" w:rsidRDefault="00D37F19" w14:paraId="1BA24EE8" w14:textId="77DD2C89">
      <w:pPr>
        <w:spacing w:after="240"/>
        <w:ind w:left="360"/>
        <w:rPr>
          <w:sz w:val="24"/>
        </w:rPr>
      </w:pPr>
      <w:r>
        <w:rPr>
          <w:sz w:val="24"/>
        </w:rPr>
        <w:t>ACL</w:t>
      </w:r>
      <w:r w:rsidRPr="00EC1B14" w:rsidR="0011230B">
        <w:rPr>
          <w:sz w:val="24"/>
        </w:rPr>
        <w:t xml:space="preserve"> is aware that different </w:t>
      </w:r>
      <w:r w:rsidR="00EF6A70">
        <w:rPr>
          <w:sz w:val="24"/>
        </w:rPr>
        <w:t>grantees</w:t>
      </w:r>
      <w:r w:rsidRPr="00EC1B14" w:rsidR="0011230B">
        <w:rPr>
          <w:sz w:val="24"/>
        </w:rPr>
        <w:t xml:space="preserve"> have different capabilities in using data forms</w:t>
      </w:r>
      <w:r w:rsidR="000F6526">
        <w:rPr>
          <w:sz w:val="24"/>
        </w:rPr>
        <w:t>.</w:t>
      </w:r>
      <w:r w:rsidRPr="00EC1B14" w:rsidR="0011230B">
        <w:rPr>
          <w:sz w:val="24"/>
        </w:rPr>
        <w:t xml:space="preserve">  </w:t>
      </w:r>
      <w:r>
        <w:rPr>
          <w:sz w:val="24"/>
        </w:rPr>
        <w:t>ACL</w:t>
      </w:r>
      <w:r w:rsidR="000F6526">
        <w:rPr>
          <w:sz w:val="24"/>
        </w:rPr>
        <w:t xml:space="preserve"> w</w:t>
      </w:r>
      <w:r w:rsidR="00771D5E">
        <w:rPr>
          <w:sz w:val="24"/>
        </w:rPr>
        <w:t>ill</w:t>
      </w:r>
      <w:r w:rsidRPr="00EC1B14" w:rsidR="0011230B">
        <w:rPr>
          <w:sz w:val="24"/>
        </w:rPr>
        <w:t xml:space="preserve"> </w:t>
      </w:r>
      <w:r w:rsidR="001E5DC3">
        <w:rPr>
          <w:sz w:val="24"/>
        </w:rPr>
        <w:t>continue</w:t>
      </w:r>
      <w:r w:rsidRPr="00EC1B14" w:rsidR="001E5DC3">
        <w:rPr>
          <w:sz w:val="24"/>
        </w:rPr>
        <w:t xml:space="preserve"> </w:t>
      </w:r>
      <w:r w:rsidRPr="00EC1B14" w:rsidR="0011230B">
        <w:rPr>
          <w:sz w:val="24"/>
        </w:rPr>
        <w:t xml:space="preserve">to work with </w:t>
      </w:r>
      <w:r w:rsidR="00DD47FA">
        <w:rPr>
          <w:sz w:val="24"/>
        </w:rPr>
        <w:t>ACL Alzheimer</w:t>
      </w:r>
      <w:r w:rsidR="002477EC">
        <w:rPr>
          <w:sz w:val="24"/>
        </w:rPr>
        <w:t>’s Disease</w:t>
      </w:r>
      <w:r w:rsidR="00DD47FA">
        <w:rPr>
          <w:sz w:val="24"/>
        </w:rPr>
        <w:t xml:space="preserve"> Program</w:t>
      </w:r>
      <w:r w:rsidRPr="004D5DA5" w:rsidR="00DD47FA">
        <w:rPr>
          <w:sz w:val="24"/>
        </w:rPr>
        <w:t xml:space="preserve"> grantees</w:t>
      </w:r>
      <w:r w:rsidRPr="00EC1B14" w:rsidR="0011230B">
        <w:rPr>
          <w:sz w:val="24"/>
        </w:rPr>
        <w:t xml:space="preserve"> to ensure easy access to the form and </w:t>
      </w:r>
      <w:r w:rsidR="00A71CD0">
        <w:rPr>
          <w:sz w:val="24"/>
        </w:rPr>
        <w:t xml:space="preserve">provide </w:t>
      </w:r>
      <w:r w:rsidRPr="00EC1B14" w:rsidR="0011230B">
        <w:rPr>
          <w:sz w:val="24"/>
        </w:rPr>
        <w:t xml:space="preserve">regular training to ensure minimal burden. </w:t>
      </w:r>
      <w:r w:rsidR="001E5DC3">
        <w:rPr>
          <w:sz w:val="24"/>
        </w:rPr>
        <w:t>Current g</w:t>
      </w:r>
      <w:r w:rsidR="000F6526">
        <w:rPr>
          <w:sz w:val="24"/>
        </w:rPr>
        <w:t xml:space="preserve">rantees </w:t>
      </w:r>
      <w:r w:rsidR="001E5DC3">
        <w:rPr>
          <w:sz w:val="24"/>
        </w:rPr>
        <w:t>have been</w:t>
      </w:r>
      <w:r w:rsidRPr="00EC1B14" w:rsidR="00D41534">
        <w:rPr>
          <w:sz w:val="24"/>
        </w:rPr>
        <w:t xml:space="preserve"> trained</w:t>
      </w:r>
      <w:r w:rsidR="00457605">
        <w:rPr>
          <w:sz w:val="24"/>
        </w:rPr>
        <w:t xml:space="preserve"> in the use of the forms</w:t>
      </w:r>
      <w:r w:rsidRPr="00EC1B14" w:rsidR="00D41534">
        <w:rPr>
          <w:sz w:val="24"/>
        </w:rPr>
        <w:t xml:space="preserve"> by an </w:t>
      </w:r>
      <w:r>
        <w:rPr>
          <w:sz w:val="24"/>
        </w:rPr>
        <w:t>ACL</w:t>
      </w:r>
      <w:r w:rsidR="005519A3">
        <w:rPr>
          <w:sz w:val="24"/>
        </w:rPr>
        <w:t xml:space="preserve"> </w:t>
      </w:r>
      <w:r w:rsidRPr="00EC1B14" w:rsidR="00D41534">
        <w:rPr>
          <w:sz w:val="24"/>
        </w:rPr>
        <w:t xml:space="preserve">contractor. </w:t>
      </w:r>
      <w:r w:rsidR="00457605">
        <w:rPr>
          <w:sz w:val="24"/>
        </w:rPr>
        <w:t xml:space="preserve"> </w:t>
      </w:r>
      <w:r w:rsidR="000F6526">
        <w:rPr>
          <w:sz w:val="24"/>
        </w:rPr>
        <w:t xml:space="preserve">Any new grantee </w:t>
      </w:r>
      <w:r w:rsidRPr="00EC1B14" w:rsidR="00D41534">
        <w:rPr>
          <w:sz w:val="24"/>
        </w:rPr>
        <w:t>receive</w:t>
      </w:r>
      <w:r w:rsidR="00AF0161">
        <w:rPr>
          <w:sz w:val="24"/>
        </w:rPr>
        <w:t>s</w:t>
      </w:r>
      <w:r w:rsidRPr="00EC1B14" w:rsidR="00D41534">
        <w:rPr>
          <w:sz w:val="24"/>
        </w:rPr>
        <w:t xml:space="preserve"> </w:t>
      </w:r>
      <w:r w:rsidR="000446BA">
        <w:rPr>
          <w:sz w:val="24"/>
        </w:rPr>
        <w:t xml:space="preserve">one to one </w:t>
      </w:r>
      <w:r w:rsidRPr="00EC1B14" w:rsidR="00D41534">
        <w:rPr>
          <w:sz w:val="24"/>
        </w:rPr>
        <w:t xml:space="preserve">technical assistance </w:t>
      </w:r>
      <w:r w:rsidRPr="007D5AC8" w:rsidR="00D41534">
        <w:rPr>
          <w:sz w:val="24"/>
        </w:rPr>
        <w:t>as needed.</w:t>
      </w:r>
    </w:p>
    <w:p w:rsidRPr="00FB5366" w:rsidR="002160B0" w:rsidP="00217858" w:rsidRDefault="002160B0" w14:paraId="3CB9DBB2" w14:textId="77777777">
      <w:pPr>
        <w:numPr>
          <w:ilvl w:val="0"/>
          <w:numId w:val="9"/>
        </w:numPr>
        <w:rPr>
          <w:b/>
          <w:sz w:val="24"/>
          <w:u w:val="single"/>
        </w:rPr>
      </w:pPr>
      <w:r w:rsidRPr="00FB5366">
        <w:rPr>
          <w:b/>
          <w:sz w:val="24"/>
          <w:u w:val="single"/>
        </w:rPr>
        <w:t>Efforts to  Identify Duplication and Use of Similar Information</w:t>
      </w:r>
    </w:p>
    <w:p w:rsidRPr="007D5AC8" w:rsidR="002160B0" w:rsidP="00731A82" w:rsidRDefault="002160B0" w14:paraId="412E0518" w14:textId="77777777">
      <w:pPr>
        <w:ind w:left="720"/>
        <w:rPr>
          <w:b/>
          <w:color w:val="C00000"/>
          <w:sz w:val="24"/>
        </w:rPr>
      </w:pPr>
    </w:p>
    <w:p w:rsidRPr="007D5AC8" w:rsidR="00944EA8" w:rsidP="00731A82" w:rsidRDefault="00A570FB" w14:paraId="1D8643DC" w14:textId="539CFC50">
      <w:pPr>
        <w:ind w:left="360"/>
      </w:pPr>
      <w:r w:rsidRPr="007D5AC8">
        <w:rPr>
          <w:bCs/>
          <w:sz w:val="24"/>
        </w:rPr>
        <w:t xml:space="preserve">All information </w:t>
      </w:r>
      <w:r w:rsidRPr="007D5AC8" w:rsidR="00E32AAC">
        <w:rPr>
          <w:bCs/>
          <w:sz w:val="24"/>
        </w:rPr>
        <w:t xml:space="preserve">in the </w:t>
      </w:r>
      <w:r w:rsidRPr="007D5AC8" w:rsidR="00C85ECE">
        <w:rPr>
          <w:bCs/>
          <w:sz w:val="24"/>
        </w:rPr>
        <w:t>currently</w:t>
      </w:r>
      <w:r w:rsidRPr="007D5AC8" w:rsidR="00E32AAC">
        <w:rPr>
          <w:bCs/>
          <w:sz w:val="24"/>
        </w:rPr>
        <w:t xml:space="preserve"> approved</w:t>
      </w:r>
      <w:r w:rsidRPr="007D5AC8" w:rsidR="00C85ECE">
        <w:rPr>
          <w:bCs/>
          <w:sz w:val="24"/>
        </w:rPr>
        <w:t xml:space="preserve"> </w:t>
      </w:r>
      <w:r w:rsidR="00A71CD0">
        <w:rPr>
          <w:bCs/>
          <w:sz w:val="24"/>
        </w:rPr>
        <w:t>data tool</w:t>
      </w:r>
      <w:r w:rsidR="000446BA">
        <w:rPr>
          <w:bCs/>
          <w:sz w:val="24"/>
        </w:rPr>
        <w:t xml:space="preserve"> </w:t>
      </w:r>
      <w:r w:rsidRPr="007D5AC8" w:rsidR="00C85ECE">
        <w:rPr>
          <w:bCs/>
          <w:sz w:val="24"/>
        </w:rPr>
        <w:t xml:space="preserve">and proposed in this </w:t>
      </w:r>
      <w:r w:rsidR="00E6042A">
        <w:rPr>
          <w:bCs/>
          <w:sz w:val="24"/>
        </w:rPr>
        <w:t>revis</w:t>
      </w:r>
      <w:r w:rsidR="00A71CD0">
        <w:rPr>
          <w:bCs/>
          <w:sz w:val="24"/>
        </w:rPr>
        <w:t>ion</w:t>
      </w:r>
      <w:r w:rsidRPr="007D5AC8" w:rsidR="005D7C45">
        <w:rPr>
          <w:bCs/>
          <w:sz w:val="24"/>
        </w:rPr>
        <w:t xml:space="preserve"> is</w:t>
      </w:r>
      <w:r w:rsidR="00937E7C">
        <w:rPr>
          <w:bCs/>
          <w:sz w:val="24"/>
        </w:rPr>
        <w:t xml:space="preserve"> unique to the A</w:t>
      </w:r>
      <w:r w:rsidR="00FA3FE5">
        <w:rPr>
          <w:bCs/>
          <w:sz w:val="24"/>
        </w:rPr>
        <w:t>CL Alzheimer</w:t>
      </w:r>
      <w:r w:rsidR="002477EC">
        <w:rPr>
          <w:bCs/>
          <w:sz w:val="24"/>
        </w:rPr>
        <w:t>’s Disease</w:t>
      </w:r>
      <w:r w:rsidR="00AF0161">
        <w:rPr>
          <w:bCs/>
          <w:sz w:val="24"/>
        </w:rPr>
        <w:t xml:space="preserve"> </w:t>
      </w:r>
      <w:r w:rsidR="002477EC">
        <w:rPr>
          <w:bCs/>
          <w:sz w:val="24"/>
        </w:rPr>
        <w:t xml:space="preserve">Program </w:t>
      </w:r>
      <w:r w:rsidR="00937E7C">
        <w:rPr>
          <w:bCs/>
          <w:sz w:val="24"/>
        </w:rPr>
        <w:t>grantees.</w:t>
      </w:r>
      <w:r w:rsidRPr="007D5AC8" w:rsidR="00E32AAC">
        <w:rPr>
          <w:bCs/>
          <w:sz w:val="24"/>
        </w:rPr>
        <w:t xml:space="preserve"> </w:t>
      </w:r>
    </w:p>
    <w:p w:rsidRPr="007D5AC8" w:rsidR="00A21F18" w:rsidP="00731A82" w:rsidRDefault="00A21F18" w14:paraId="42E6161B" w14:textId="77777777">
      <w:pPr>
        <w:ind w:left="2160"/>
      </w:pPr>
    </w:p>
    <w:p w:rsidRPr="00FB5366" w:rsidR="00DC754B" w:rsidP="00217858" w:rsidRDefault="002160B0" w14:paraId="0FEAD2B8" w14:textId="77777777">
      <w:pPr>
        <w:numPr>
          <w:ilvl w:val="0"/>
          <w:numId w:val="9"/>
        </w:numPr>
        <w:rPr>
          <w:b/>
          <w:sz w:val="24"/>
          <w:u w:val="single"/>
        </w:rPr>
      </w:pPr>
      <w:r w:rsidRPr="00FB5366">
        <w:rPr>
          <w:b/>
          <w:sz w:val="24"/>
          <w:u w:val="single"/>
        </w:rPr>
        <w:t>Impact on Small Businesses or Other Small Entities</w:t>
      </w:r>
    </w:p>
    <w:p w:rsidRPr="007D5AC8" w:rsidR="00731A82" w:rsidP="00731A82" w:rsidRDefault="00731A82" w14:paraId="3EA28634" w14:textId="77777777">
      <w:pPr>
        <w:ind w:left="720"/>
        <w:rPr>
          <w:b/>
          <w:sz w:val="24"/>
        </w:rPr>
      </w:pPr>
    </w:p>
    <w:p w:rsidRPr="007D5AC8" w:rsidR="00944EA8" w:rsidP="00731A82" w:rsidRDefault="00A21F18" w14:paraId="7C035CEB" w14:textId="050F2A0B">
      <w:pPr>
        <w:ind w:left="360"/>
        <w:rPr>
          <w:color w:val="C00000"/>
          <w:sz w:val="24"/>
        </w:rPr>
      </w:pPr>
      <w:r w:rsidRPr="007D5AC8">
        <w:rPr>
          <w:color w:val="000000"/>
          <w:sz w:val="24"/>
        </w:rPr>
        <w:t xml:space="preserve">No small businesses will be involved in this </w:t>
      </w:r>
      <w:r w:rsidR="005477D1">
        <w:rPr>
          <w:color w:val="000000"/>
          <w:sz w:val="24"/>
        </w:rPr>
        <w:t>work.</w:t>
      </w:r>
    </w:p>
    <w:p w:rsidRPr="007D5AC8" w:rsidR="00944EA8" w:rsidP="00731A82" w:rsidRDefault="00944EA8" w14:paraId="28109005" w14:textId="77777777">
      <w:pPr>
        <w:ind w:left="360"/>
        <w:rPr>
          <w:color w:val="C00000"/>
          <w:sz w:val="24"/>
        </w:rPr>
      </w:pPr>
    </w:p>
    <w:p w:rsidRPr="00FB5366" w:rsidR="002160B0" w:rsidP="00217858" w:rsidRDefault="002160B0" w14:paraId="1E71D1FB" w14:textId="77777777">
      <w:pPr>
        <w:numPr>
          <w:ilvl w:val="0"/>
          <w:numId w:val="9"/>
        </w:numPr>
        <w:rPr>
          <w:b/>
          <w:sz w:val="24"/>
          <w:u w:val="single"/>
        </w:rPr>
      </w:pPr>
      <w:r w:rsidRPr="00FB5366">
        <w:rPr>
          <w:b/>
          <w:sz w:val="24"/>
          <w:u w:val="single"/>
        </w:rPr>
        <w:t xml:space="preserve">Consequences of </w:t>
      </w:r>
      <w:r w:rsidR="00B24A9A">
        <w:rPr>
          <w:b/>
          <w:sz w:val="24"/>
          <w:u w:val="single"/>
        </w:rPr>
        <w:t xml:space="preserve">Collecting the Information </w:t>
      </w:r>
      <w:r w:rsidRPr="00FB5366">
        <w:rPr>
          <w:b/>
          <w:sz w:val="24"/>
          <w:u w:val="single"/>
        </w:rPr>
        <w:t>Less Frequent</w:t>
      </w:r>
      <w:r w:rsidR="00B24A9A">
        <w:rPr>
          <w:b/>
          <w:sz w:val="24"/>
          <w:u w:val="single"/>
        </w:rPr>
        <w:t>ly</w:t>
      </w:r>
    </w:p>
    <w:p w:rsidRPr="007D5AC8" w:rsidR="002160B0" w:rsidP="00731A82" w:rsidRDefault="002160B0" w14:paraId="0F914C93" w14:textId="77777777">
      <w:pPr>
        <w:ind w:left="720"/>
        <w:rPr>
          <w:b/>
          <w:color w:val="C00000"/>
          <w:sz w:val="24"/>
        </w:rPr>
      </w:pPr>
    </w:p>
    <w:p w:rsidRPr="007D5AC8" w:rsidR="00944EA8" w:rsidP="00937E7C" w:rsidRDefault="00FA3FE5" w14:paraId="54335454" w14:textId="5742A87A">
      <w:pPr>
        <w:ind w:left="360"/>
        <w:rPr>
          <w:color w:val="C00000"/>
          <w:sz w:val="24"/>
        </w:rPr>
      </w:pPr>
      <w:r>
        <w:rPr>
          <w:sz w:val="24"/>
        </w:rPr>
        <w:t>G</w:t>
      </w:r>
      <w:r w:rsidRPr="007D5AC8" w:rsidR="00CF7D30">
        <w:rPr>
          <w:sz w:val="24"/>
        </w:rPr>
        <w:t>rantees w</w:t>
      </w:r>
      <w:r w:rsidR="00937E7C">
        <w:rPr>
          <w:sz w:val="24"/>
        </w:rPr>
        <w:t>ill</w:t>
      </w:r>
      <w:r w:rsidRPr="007D5AC8" w:rsidR="00CF7D30">
        <w:rPr>
          <w:sz w:val="24"/>
        </w:rPr>
        <w:t xml:space="preserve"> submit data </w:t>
      </w:r>
      <w:r w:rsidR="008837C8">
        <w:rPr>
          <w:sz w:val="24"/>
        </w:rPr>
        <w:t>semi-</w:t>
      </w:r>
      <w:r w:rsidRPr="007D5AC8" w:rsidR="00CF7D30">
        <w:rPr>
          <w:sz w:val="24"/>
        </w:rPr>
        <w:t xml:space="preserve">annually.  </w:t>
      </w:r>
      <w:r w:rsidRPr="007D5AC8" w:rsidR="00D577F0">
        <w:rPr>
          <w:sz w:val="24"/>
        </w:rPr>
        <w:t>T</w:t>
      </w:r>
      <w:r w:rsidR="00D577F0">
        <w:rPr>
          <w:sz w:val="24"/>
        </w:rPr>
        <w:t xml:space="preserve">o execute </w:t>
      </w:r>
      <w:r w:rsidRPr="007D5AC8" w:rsidR="00A21F18">
        <w:rPr>
          <w:sz w:val="24"/>
        </w:rPr>
        <w:t>program management functions</w:t>
      </w:r>
      <w:r w:rsidR="00D577F0">
        <w:rPr>
          <w:sz w:val="24"/>
        </w:rPr>
        <w:t xml:space="preserve">, </w:t>
      </w:r>
      <w:r w:rsidRPr="007D5AC8" w:rsidR="0095060D">
        <w:rPr>
          <w:sz w:val="24"/>
        </w:rPr>
        <w:t>availability of current data</w:t>
      </w:r>
      <w:r w:rsidR="00D577F0">
        <w:rPr>
          <w:sz w:val="24"/>
        </w:rPr>
        <w:t xml:space="preserve"> is critical</w:t>
      </w:r>
      <w:r w:rsidRPr="007D5AC8" w:rsidR="0095060D">
        <w:rPr>
          <w:sz w:val="24"/>
        </w:rPr>
        <w:t>.</w:t>
      </w:r>
      <w:r w:rsidRPr="007D5AC8" w:rsidR="00CF7D30">
        <w:rPr>
          <w:sz w:val="24"/>
        </w:rPr>
        <w:t xml:space="preserve"> </w:t>
      </w:r>
      <w:r w:rsidRPr="007D5AC8" w:rsidR="0095060D">
        <w:rPr>
          <w:sz w:val="24"/>
        </w:rPr>
        <w:t xml:space="preserve"> </w:t>
      </w:r>
      <w:r w:rsidRPr="007D5AC8" w:rsidR="000D027C">
        <w:rPr>
          <w:sz w:val="24"/>
        </w:rPr>
        <w:t xml:space="preserve">The average project period for </w:t>
      </w:r>
      <w:r w:rsidR="00CB3866">
        <w:rPr>
          <w:sz w:val="24"/>
        </w:rPr>
        <w:t>current</w:t>
      </w:r>
      <w:r w:rsidRPr="007D5AC8" w:rsidR="000D027C">
        <w:rPr>
          <w:sz w:val="24"/>
        </w:rPr>
        <w:t xml:space="preserve"> grante</w:t>
      </w:r>
      <w:r w:rsidR="00C70295">
        <w:rPr>
          <w:sz w:val="24"/>
        </w:rPr>
        <w:t xml:space="preserve">es </w:t>
      </w:r>
      <w:r w:rsidR="00CB3866">
        <w:rPr>
          <w:sz w:val="24"/>
        </w:rPr>
        <w:t>is</w:t>
      </w:r>
      <w:r w:rsidR="00C70295">
        <w:rPr>
          <w:sz w:val="24"/>
        </w:rPr>
        <w:t xml:space="preserve"> approximately </w:t>
      </w:r>
      <w:r w:rsidRPr="004C18DE" w:rsidR="00C85CE1">
        <w:rPr>
          <w:sz w:val="24"/>
        </w:rPr>
        <w:t>3</w:t>
      </w:r>
      <w:r w:rsidRPr="004C18DE" w:rsidR="004C18DE">
        <w:rPr>
          <w:sz w:val="24"/>
        </w:rPr>
        <w:t>1</w:t>
      </w:r>
      <w:r w:rsidRPr="004C18DE" w:rsidR="00C85CE1">
        <w:rPr>
          <w:sz w:val="24"/>
        </w:rPr>
        <w:t xml:space="preserve"> </w:t>
      </w:r>
      <w:r w:rsidRPr="004C18DE" w:rsidR="00C70295">
        <w:rPr>
          <w:sz w:val="24"/>
        </w:rPr>
        <w:t>months</w:t>
      </w:r>
      <w:r w:rsidR="00C70295">
        <w:rPr>
          <w:sz w:val="24"/>
        </w:rPr>
        <w:t xml:space="preserve">.  </w:t>
      </w:r>
      <w:r w:rsidR="00A05215">
        <w:rPr>
          <w:sz w:val="24"/>
        </w:rPr>
        <w:t>If</w:t>
      </w:r>
      <w:r w:rsidRPr="007D5AC8" w:rsidR="000D027C">
        <w:rPr>
          <w:sz w:val="24"/>
        </w:rPr>
        <w:t xml:space="preserve"> data was only submitted annually or once throughout the project period, </w:t>
      </w:r>
      <w:r w:rsidR="00D37F19">
        <w:rPr>
          <w:sz w:val="24"/>
        </w:rPr>
        <w:t>ACL</w:t>
      </w:r>
      <w:r w:rsidRPr="007D5AC8" w:rsidR="000D027C">
        <w:rPr>
          <w:sz w:val="24"/>
        </w:rPr>
        <w:t xml:space="preserve"> would </w:t>
      </w:r>
      <w:r w:rsidRPr="007D5AC8" w:rsidR="00CF7D30">
        <w:rPr>
          <w:sz w:val="24"/>
        </w:rPr>
        <w:t>be unable to</w:t>
      </w:r>
      <w:r w:rsidR="0042148D">
        <w:rPr>
          <w:sz w:val="24"/>
        </w:rPr>
        <w:t xml:space="preserve"> promptly</w:t>
      </w:r>
      <w:r w:rsidRPr="007D5AC8" w:rsidR="000D027C">
        <w:rPr>
          <w:sz w:val="24"/>
        </w:rPr>
        <w:t xml:space="preserve"> identify grantees in need of technical assistance to reach their goals (numbers served, </w:t>
      </w:r>
      <w:r w:rsidRPr="007D5AC8" w:rsidR="00CF7D30">
        <w:rPr>
          <w:sz w:val="24"/>
        </w:rPr>
        <w:t xml:space="preserve">numbers of underserved </w:t>
      </w:r>
      <w:r w:rsidRPr="007D5AC8" w:rsidR="000D027C">
        <w:rPr>
          <w:sz w:val="24"/>
        </w:rPr>
        <w:t>populations reach</w:t>
      </w:r>
      <w:r w:rsidRPr="007D5AC8" w:rsidR="00CF7D30">
        <w:rPr>
          <w:sz w:val="24"/>
        </w:rPr>
        <w:t>ed</w:t>
      </w:r>
      <w:r w:rsidRPr="007D5AC8" w:rsidR="000D027C">
        <w:rPr>
          <w:sz w:val="24"/>
        </w:rPr>
        <w:t>, etc.)</w:t>
      </w:r>
      <w:r w:rsidRPr="007D5AC8" w:rsidR="00CF7D30">
        <w:rPr>
          <w:sz w:val="24"/>
        </w:rPr>
        <w:t xml:space="preserve"> and </w:t>
      </w:r>
      <w:r w:rsidRPr="007D5AC8" w:rsidR="000D027C">
        <w:rPr>
          <w:sz w:val="24"/>
        </w:rPr>
        <w:t xml:space="preserve">identify </w:t>
      </w:r>
      <w:r w:rsidRPr="007D5AC8" w:rsidR="00CF7D30">
        <w:rPr>
          <w:sz w:val="24"/>
        </w:rPr>
        <w:t xml:space="preserve">grantees </w:t>
      </w:r>
      <w:r w:rsidRPr="007D5AC8" w:rsidR="000D027C">
        <w:rPr>
          <w:sz w:val="24"/>
        </w:rPr>
        <w:t xml:space="preserve">who are </w:t>
      </w:r>
      <w:r w:rsidR="00CB3866">
        <w:rPr>
          <w:sz w:val="24"/>
        </w:rPr>
        <w:t xml:space="preserve">not achieving the </w:t>
      </w:r>
      <w:r w:rsidRPr="007D5AC8" w:rsidR="000D027C">
        <w:rPr>
          <w:sz w:val="24"/>
        </w:rPr>
        <w:t>direct service spending requirements (at least 50% of funds spent on direct service)</w:t>
      </w:r>
      <w:r w:rsidRPr="007D5AC8" w:rsidR="00CF7D30">
        <w:rPr>
          <w:sz w:val="24"/>
        </w:rPr>
        <w:t xml:space="preserve"> that are </w:t>
      </w:r>
      <w:r>
        <w:rPr>
          <w:sz w:val="24"/>
        </w:rPr>
        <w:t>outlined in the program announcements</w:t>
      </w:r>
      <w:r w:rsidRPr="007D5AC8" w:rsidR="00CF7D30">
        <w:rPr>
          <w:sz w:val="24"/>
        </w:rPr>
        <w:t xml:space="preserve">. </w:t>
      </w:r>
    </w:p>
    <w:p w:rsidRPr="007D5AC8" w:rsidR="002160B0" w:rsidP="00731A82" w:rsidRDefault="002160B0" w14:paraId="50370BCE" w14:textId="77777777">
      <w:pPr>
        <w:ind w:left="1080"/>
        <w:rPr>
          <w:color w:val="C00000"/>
          <w:sz w:val="24"/>
        </w:rPr>
      </w:pPr>
      <w:r w:rsidRPr="007D5AC8">
        <w:rPr>
          <w:color w:val="C00000"/>
          <w:sz w:val="24"/>
        </w:rPr>
        <w:tab/>
      </w:r>
    </w:p>
    <w:p w:rsidRPr="00FB5366" w:rsidR="00DC754B" w:rsidP="00217858" w:rsidRDefault="002160B0" w14:paraId="6ACCD040" w14:textId="77777777">
      <w:pPr>
        <w:numPr>
          <w:ilvl w:val="0"/>
          <w:numId w:val="9"/>
        </w:numPr>
        <w:rPr>
          <w:b/>
          <w:sz w:val="24"/>
          <w:u w:val="single"/>
        </w:rPr>
      </w:pPr>
      <w:r w:rsidRPr="00FB5366">
        <w:rPr>
          <w:b/>
          <w:sz w:val="24"/>
          <w:u w:val="single"/>
        </w:rPr>
        <w:t>Special Circumstances Relating to the Guidelines of 5 CFR 1320.5</w:t>
      </w:r>
    </w:p>
    <w:p w:rsidR="00BF7F90" w:rsidP="00731A82" w:rsidRDefault="00BF7F90" w14:paraId="4E5E0F1A" w14:textId="77777777">
      <w:pPr>
        <w:rPr>
          <w:sz w:val="24"/>
        </w:rPr>
      </w:pPr>
    </w:p>
    <w:p w:rsidRPr="00DC754B" w:rsidR="00447502" w:rsidP="008B1E2E" w:rsidRDefault="00A21F18" w14:paraId="097628FF" w14:textId="77777777">
      <w:pPr>
        <w:ind w:left="360"/>
        <w:rPr>
          <w:b/>
          <w:sz w:val="24"/>
          <w:highlight w:val="yellow"/>
        </w:rPr>
      </w:pPr>
      <w:r w:rsidRPr="00DC754B">
        <w:rPr>
          <w:sz w:val="24"/>
        </w:rPr>
        <w:t>None of the listed circumstances applies to this submission.</w:t>
      </w:r>
    </w:p>
    <w:p w:rsidRPr="000B2C63" w:rsidR="002160B0" w:rsidP="00731A82" w:rsidRDefault="002160B0" w14:paraId="150F7C3B" w14:textId="77777777">
      <w:pPr>
        <w:ind w:left="360"/>
        <w:rPr>
          <w:color w:val="C00000"/>
          <w:sz w:val="24"/>
        </w:rPr>
      </w:pPr>
    </w:p>
    <w:p w:rsidRPr="00FB5366" w:rsidR="002160B0" w:rsidP="00217858" w:rsidRDefault="002160B0" w14:paraId="0E1DA2C0" w14:textId="77777777">
      <w:pPr>
        <w:numPr>
          <w:ilvl w:val="0"/>
          <w:numId w:val="9"/>
        </w:numPr>
        <w:rPr>
          <w:b/>
          <w:sz w:val="24"/>
          <w:u w:val="single"/>
        </w:rPr>
      </w:pPr>
      <w:r w:rsidRPr="00FB5366">
        <w:rPr>
          <w:b/>
          <w:iCs/>
          <w:sz w:val="24"/>
          <w:u w:val="single"/>
        </w:rPr>
        <w:t>Comments in Response to the Federal Register</w:t>
      </w:r>
      <w:r w:rsidR="00B64463">
        <w:rPr>
          <w:b/>
          <w:iCs/>
          <w:sz w:val="24"/>
          <w:u w:val="single"/>
        </w:rPr>
        <w:t xml:space="preserve"> Notice</w:t>
      </w:r>
      <w:r w:rsidR="009E0A86">
        <w:rPr>
          <w:b/>
          <w:sz w:val="24"/>
          <w:u w:val="single"/>
        </w:rPr>
        <w:t xml:space="preserve"> and Efforts to Consult </w:t>
      </w:r>
      <w:r w:rsidR="00B64463">
        <w:rPr>
          <w:b/>
          <w:sz w:val="24"/>
          <w:u w:val="single"/>
        </w:rPr>
        <w:t xml:space="preserve">Outside </w:t>
      </w:r>
      <w:r w:rsidR="009E0A86">
        <w:rPr>
          <w:b/>
          <w:sz w:val="24"/>
          <w:u w:val="single"/>
        </w:rPr>
        <w:t>the Agency</w:t>
      </w:r>
    </w:p>
    <w:p w:rsidRPr="000B2C63" w:rsidR="002160B0" w:rsidP="00731A82" w:rsidRDefault="002160B0" w14:paraId="21F965E3" w14:textId="77777777">
      <w:pPr>
        <w:ind w:left="720"/>
        <w:rPr>
          <w:b/>
          <w:color w:val="C00000"/>
          <w:sz w:val="24"/>
        </w:rPr>
      </w:pPr>
    </w:p>
    <w:p w:rsidR="00B61CEA" w:rsidP="006E1E57" w:rsidRDefault="003D3F97" w14:paraId="4468BF4C" w14:textId="3FF74A12">
      <w:pPr>
        <w:ind w:left="360"/>
        <w:rPr>
          <w:sz w:val="24"/>
        </w:rPr>
      </w:pPr>
      <w:r w:rsidRPr="006C68F1">
        <w:rPr>
          <w:sz w:val="24"/>
        </w:rPr>
        <w:t xml:space="preserve">A 60-day Federal Register Notice was published in the </w:t>
      </w:r>
      <w:r w:rsidRPr="006C68F1">
        <w:rPr>
          <w:i/>
          <w:iCs/>
          <w:sz w:val="24"/>
        </w:rPr>
        <w:t xml:space="preserve">Federal Register </w:t>
      </w:r>
      <w:r w:rsidRPr="006C68F1">
        <w:rPr>
          <w:sz w:val="24"/>
        </w:rPr>
        <w:t>on</w:t>
      </w:r>
      <w:r w:rsidRPr="006C68F1" w:rsidR="00232171">
        <w:rPr>
          <w:sz w:val="24"/>
        </w:rPr>
        <w:t xml:space="preserve"> </w:t>
      </w:r>
      <w:r w:rsidR="00EC1168">
        <w:rPr>
          <w:sz w:val="24"/>
        </w:rPr>
        <w:t>July 16, 2020</w:t>
      </w:r>
      <w:r w:rsidRPr="006C68F1">
        <w:rPr>
          <w:sz w:val="24"/>
        </w:rPr>
        <w:t xml:space="preserve">, </w:t>
      </w:r>
      <w:r w:rsidRPr="006C68F1" w:rsidR="007663AB">
        <w:rPr>
          <w:sz w:val="24"/>
        </w:rPr>
        <w:t xml:space="preserve">Vol. </w:t>
      </w:r>
      <w:r w:rsidR="00EC1168">
        <w:rPr>
          <w:sz w:val="24"/>
        </w:rPr>
        <w:t>85</w:t>
      </w:r>
      <w:r w:rsidRPr="006C68F1" w:rsidR="007663AB">
        <w:rPr>
          <w:sz w:val="24"/>
        </w:rPr>
        <w:t xml:space="preserve">, No. </w:t>
      </w:r>
      <w:r w:rsidR="00EC1168">
        <w:rPr>
          <w:sz w:val="24"/>
        </w:rPr>
        <w:t>137</w:t>
      </w:r>
      <w:r w:rsidRPr="006C68F1">
        <w:rPr>
          <w:sz w:val="24"/>
        </w:rPr>
        <w:t>; pp.</w:t>
      </w:r>
      <w:r w:rsidR="00EC1168">
        <w:rPr>
          <w:bCs/>
          <w:sz w:val="24"/>
        </w:rPr>
        <w:t>43241-43242</w:t>
      </w:r>
      <w:r w:rsidRPr="006C68F1" w:rsidR="005930C3">
        <w:rPr>
          <w:sz w:val="24"/>
        </w:rPr>
        <w:t>.</w:t>
      </w:r>
      <w:r w:rsidR="004D7ECA">
        <w:rPr>
          <w:sz w:val="24"/>
        </w:rPr>
        <w:t xml:space="preserve"> </w:t>
      </w:r>
      <w:r w:rsidR="00800409">
        <w:rPr>
          <w:sz w:val="24"/>
        </w:rPr>
        <w:t>ACL received the below</w:t>
      </w:r>
      <w:r w:rsidR="00B61CEA">
        <w:rPr>
          <w:sz w:val="24"/>
        </w:rPr>
        <w:t xml:space="preserve"> </w:t>
      </w:r>
      <w:r w:rsidR="00EF6304">
        <w:rPr>
          <w:sz w:val="24"/>
        </w:rPr>
        <w:t xml:space="preserve">outside consultation </w:t>
      </w:r>
      <w:r w:rsidR="00B61CEA">
        <w:rPr>
          <w:sz w:val="24"/>
        </w:rPr>
        <w:t xml:space="preserve">post on the NADRC site during the comment period. </w:t>
      </w:r>
      <w:r w:rsidR="00EF6304">
        <w:rPr>
          <w:sz w:val="24"/>
        </w:rPr>
        <w:t xml:space="preserve">ACL provided an acknowledgment of comment. </w:t>
      </w:r>
      <w:bookmarkStart w:name="_GoBack" w:id="0"/>
      <w:bookmarkEnd w:id="0"/>
    </w:p>
    <w:p w:rsidR="00B61CEA" w:rsidP="006E1E57" w:rsidRDefault="00B61CEA" w14:paraId="34024D0A" w14:textId="77777777">
      <w:pPr>
        <w:ind w:left="360"/>
        <w:rPr>
          <w:sz w:val="24"/>
        </w:rPr>
      </w:pPr>
    </w:p>
    <w:p w:rsidR="006E1E57" w:rsidP="006E1E57" w:rsidRDefault="00B61CEA" w14:paraId="11CBB631" w14:textId="2ACBA149">
      <w:pPr>
        <w:ind w:left="360"/>
        <w:rPr>
          <w:sz w:val="24"/>
        </w:rPr>
      </w:pPr>
      <w:r>
        <w:rPr>
          <w:sz w:val="24"/>
        </w:rPr>
        <w:t>A 30-day Federal Register Notice published in the Federal Register on Octo</w:t>
      </w:r>
      <w:r w:rsidR="00D35CE9">
        <w:rPr>
          <w:sz w:val="24"/>
        </w:rPr>
        <w:t xml:space="preserve">ber 23, 2020, Vol. 85, No. 206; pp. </w:t>
      </w:r>
      <w:r w:rsidRPr="00D35CE9" w:rsidR="00D35CE9">
        <w:rPr>
          <w:sz w:val="24"/>
        </w:rPr>
        <w:t>67549-67550</w:t>
      </w:r>
      <w:r w:rsidR="00D35CE9">
        <w:rPr>
          <w:sz w:val="24"/>
        </w:rPr>
        <w:t xml:space="preserve">. </w:t>
      </w:r>
    </w:p>
    <w:p w:rsidR="00841D88" w:rsidP="006E1E57" w:rsidRDefault="00841D88" w14:paraId="7B49E9B2" w14:textId="54080F0F">
      <w:pPr>
        <w:ind w:left="360"/>
        <w:rPr>
          <w:sz w:val="24"/>
        </w:rPr>
      </w:pPr>
    </w:p>
    <w:p w:rsidRPr="002E020B" w:rsidR="00841D88" w:rsidP="00841D88" w:rsidRDefault="00841D88" w14:paraId="6EBD0370" w14:textId="77777777">
      <w:pPr>
        <w:rPr>
          <w:b/>
        </w:rPr>
      </w:pPr>
      <w:r w:rsidRPr="002E020B">
        <w:rPr>
          <w:b/>
        </w:rPr>
        <w:t xml:space="preserve">Comments on </w:t>
      </w:r>
      <w:r>
        <w:rPr>
          <w:b/>
        </w:rPr>
        <w:t xml:space="preserve">Proposed Collection: </w:t>
      </w:r>
      <w:r w:rsidRPr="002E020B">
        <w:rPr>
          <w:b/>
        </w:rPr>
        <w:t xml:space="preserve"> Alzheimer’s and Dementia Program Data Reporting Tool (ADP–DRT) OMB #0985–0022</w:t>
      </w:r>
    </w:p>
    <w:p w:rsidR="00841D88" w:rsidP="00841D88" w:rsidRDefault="00841D88" w14:paraId="6E49418E" w14:textId="77777777">
      <w:pPr>
        <w:rPr>
          <w:b/>
          <w:u w:val="single"/>
        </w:rPr>
      </w:pPr>
    </w:p>
    <w:p w:rsidRPr="009171A2" w:rsidR="00841D88" w:rsidP="00841D88" w:rsidRDefault="00841D88" w14:paraId="6439DB51" w14:textId="26358558">
      <w:pPr>
        <w:rPr>
          <w:b/>
          <w:u w:val="single"/>
        </w:rPr>
      </w:pPr>
      <w:r w:rsidRPr="009171A2">
        <w:rPr>
          <w:b/>
          <w:u w:val="single"/>
        </w:rPr>
        <w:t>General</w:t>
      </w:r>
    </w:p>
    <w:p w:rsidR="00841D88" w:rsidP="00841D88" w:rsidRDefault="00841D88" w14:paraId="1A9FA78B" w14:textId="77777777">
      <w:r>
        <w:t xml:space="preserve">It would be helpful if the explanation of categories and definitions for all data elements were part of this information collection (ie, PRA process). It is difficult to comment on estimated burden and utility of the information collection when the information being collected hasn’t been fully explained. Also, definitions and data elements should be synchronized or crosswalked to those in the American Community Survey or another national collection to facilitate analyses across data collections. </w:t>
      </w:r>
    </w:p>
    <w:p w:rsidR="00841D88" w:rsidP="00841D88" w:rsidRDefault="00841D88" w14:paraId="13EAA36F" w14:textId="77777777">
      <w:pPr>
        <w:rPr>
          <w:b/>
          <w:u w:val="single"/>
        </w:rPr>
      </w:pPr>
    </w:p>
    <w:p w:rsidR="00841D88" w:rsidP="00841D88" w:rsidRDefault="00841D88" w14:paraId="79EB2F4C" w14:textId="211DEBC5">
      <w:pPr>
        <w:rPr>
          <w:b/>
          <w:u w:val="single"/>
        </w:rPr>
      </w:pPr>
      <w:r w:rsidRPr="009171A2">
        <w:rPr>
          <w:b/>
          <w:u w:val="single"/>
        </w:rPr>
        <w:t xml:space="preserve">PLWD &amp; CG served </w:t>
      </w:r>
    </w:p>
    <w:p w:rsidR="00841D88" w:rsidP="00841D88" w:rsidRDefault="00841D88" w14:paraId="4E827277" w14:textId="77777777">
      <w:r w:rsidRPr="00D7364C">
        <w:t>CG</w:t>
      </w:r>
      <w:r>
        <w:t xml:space="preserve"> data points - It is important to get a more fulsome profile of the caregivers to assess the impact caregiving has on their lives, their families, and those they care for. Understanding this data collection may not be for this purpose, a few extra data points could shed help expand the CG profile:  employment status, # of chronic diseases, # of people cared for, # recent traumas experienced (eg, emotional, physical, etc.), etc. </w:t>
      </w:r>
    </w:p>
    <w:p w:rsidRPr="00D7364C" w:rsidR="00841D88" w:rsidP="00841D88" w:rsidRDefault="00841D88" w14:paraId="7D6E22CF" w14:textId="77777777">
      <w:pPr>
        <w:rPr>
          <w:b/>
          <w:u w:val="single"/>
        </w:rPr>
      </w:pPr>
      <w:r>
        <w:t xml:space="preserve">There are sections on race and ethnicity. It’s not clear what is meant by “Minority Status” or why it’s needed.  This section should be deleted to reduce burden. </w:t>
      </w:r>
    </w:p>
    <w:p w:rsidR="00841D88" w:rsidP="00841D88" w:rsidRDefault="00841D88" w14:paraId="053A4867" w14:textId="77777777">
      <w:r>
        <w:t xml:space="preserve">Living arrangement – This section describes who the PLWD lives with but doesn’t identify where the person is living. It would be helpful to know whether these individuals are living in a private home setting, an institutional setting such as a nursing home, supportive housing, or if they are experiencing homelessness. It would also be helpful to know where they are receiving most of their care – ie, in the home or outside of the home. Where people are receiving their care is relevant to the workforce and services needed to support them. </w:t>
      </w:r>
    </w:p>
    <w:p w:rsidR="00841D88" w:rsidP="00841D88" w:rsidRDefault="00841D88" w14:paraId="07FEF463" w14:textId="77777777">
      <w:pPr>
        <w:rPr>
          <w:b/>
          <w:u w:val="single"/>
        </w:rPr>
      </w:pPr>
    </w:p>
    <w:p w:rsidR="00841D88" w:rsidP="00841D88" w:rsidRDefault="00841D88" w14:paraId="27F84BCB" w14:textId="6C3352DE">
      <w:pPr>
        <w:rPr>
          <w:b/>
          <w:u w:val="single"/>
        </w:rPr>
      </w:pPr>
      <w:r w:rsidRPr="009171A2">
        <w:rPr>
          <w:b/>
          <w:u w:val="single"/>
        </w:rPr>
        <w:t xml:space="preserve">Professionals Trained </w:t>
      </w:r>
    </w:p>
    <w:p w:rsidR="00800409" w:rsidP="00841D88" w:rsidRDefault="00841D88" w14:paraId="7865F0C7" w14:textId="23DAE582">
      <w:r>
        <w:t xml:space="preserve">The note at the bottom </w:t>
      </w:r>
      <w:r w:rsidR="00800409">
        <w:t>states,</w:t>
      </w:r>
      <w:r>
        <w:t xml:space="preserve"> “</w:t>
      </w:r>
      <w:r w:rsidRPr="004F08A4">
        <w:t>Persons trained should not include</w:t>
      </w:r>
      <w:r>
        <w:t>….</w:t>
      </w:r>
      <w:r w:rsidRPr="004F08A4">
        <w:t xml:space="preserve"> Caregivers</w:t>
      </w:r>
      <w:r>
        <w:t xml:space="preserve">…” but there are caregivers who are trained and licensed and some family caregivers who receive stipends from Medicaid and other programs. </w:t>
      </w:r>
    </w:p>
    <w:p w:rsidR="00841D88" w:rsidP="00841D88" w:rsidRDefault="00841D88" w14:paraId="7B80834F" w14:textId="77FE789C">
      <w:r>
        <w:t>It’s not clear if they would be excluded. Also, in the middle of the sheet there’s a section on “Total Units of Direct Service Delivered.” How does this relate to Professionals Trained? This heading may belong to the last worksheet.</w:t>
      </w:r>
    </w:p>
    <w:p w:rsidR="00841D88" w:rsidP="00841D88" w:rsidRDefault="00841D88" w14:paraId="0B65F476" w14:textId="77777777">
      <w:pPr>
        <w:rPr>
          <w:b/>
          <w:u w:val="single"/>
        </w:rPr>
      </w:pPr>
    </w:p>
    <w:p w:rsidR="00841D88" w:rsidP="00841D88" w:rsidRDefault="00841D88" w14:paraId="0C3A625E" w14:textId="024AD1F9">
      <w:r w:rsidRPr="009171A2">
        <w:rPr>
          <w:b/>
          <w:u w:val="single"/>
        </w:rPr>
        <w:t>Services &amp; Expenditures</w:t>
      </w:r>
      <w:r w:rsidRPr="00B504E4">
        <w:t xml:space="preserve">  </w:t>
      </w:r>
    </w:p>
    <w:p w:rsidRPr="009171A2" w:rsidR="00841D88" w:rsidP="00841D88" w:rsidRDefault="00841D88" w14:paraId="36DC5C95" w14:textId="77777777">
      <w:r>
        <w:t xml:space="preserve">Assuming that grantees can accurately report these totals if they have more granular data, there wouldn’t be much more burden added if grantees reported the details behind </w:t>
      </w:r>
      <w:r w:rsidRPr="00B504E4">
        <w:t>“Total Units of Direct Service Delivered</w:t>
      </w:r>
      <w:r>
        <w:t>.</w:t>
      </w:r>
      <w:r w:rsidRPr="00B504E4">
        <w:t xml:space="preserve">” </w:t>
      </w:r>
      <w:r>
        <w:t xml:space="preserve">This </w:t>
      </w:r>
      <w:r w:rsidRPr="00B504E4">
        <w:t>should be broken out by service</w:t>
      </w:r>
      <w:r>
        <w:t>/expenditure</w:t>
      </w:r>
      <w:r w:rsidRPr="00B504E4">
        <w:t xml:space="preserve"> type.</w:t>
      </w:r>
      <w:r>
        <w:t xml:space="preserve"> Also, there should be separate column for PLWD and for CG.  As noted previously, direct services for </w:t>
      </w:r>
      <w:r w:rsidRPr="009171A2">
        <w:t xml:space="preserve">PLWD </w:t>
      </w:r>
      <w:r>
        <w:t xml:space="preserve">should be separated from direct services for the </w:t>
      </w:r>
      <w:r w:rsidRPr="009171A2">
        <w:t>CG</w:t>
      </w:r>
      <w:r>
        <w:t xml:space="preserve"> to get a better understanding the impact AD caregiving on family members.</w:t>
      </w:r>
    </w:p>
    <w:p w:rsidR="006C01F0" w:rsidP="006C01F0" w:rsidRDefault="006C01F0" w14:paraId="4F192E5F" w14:textId="77777777">
      <w:pPr>
        <w:ind w:left="1080"/>
        <w:rPr>
          <w:color w:val="C00000"/>
          <w:sz w:val="24"/>
          <w:highlight w:val="yellow"/>
        </w:rPr>
      </w:pPr>
    </w:p>
    <w:p w:rsidRPr="00FB5366" w:rsidR="002160B0" w:rsidP="00217858" w:rsidRDefault="002160B0" w14:paraId="1414D1AC" w14:textId="77777777">
      <w:pPr>
        <w:numPr>
          <w:ilvl w:val="0"/>
          <w:numId w:val="9"/>
        </w:numPr>
        <w:rPr>
          <w:b/>
          <w:sz w:val="24"/>
          <w:u w:val="single"/>
        </w:rPr>
      </w:pPr>
      <w:r w:rsidRPr="00FB5366">
        <w:rPr>
          <w:b/>
          <w:sz w:val="24"/>
          <w:u w:val="single"/>
        </w:rPr>
        <w:t>Explanation of any Payment</w:t>
      </w:r>
      <w:r w:rsidR="009E0A86">
        <w:rPr>
          <w:b/>
          <w:sz w:val="24"/>
          <w:u w:val="single"/>
        </w:rPr>
        <w:t xml:space="preserve"> or </w:t>
      </w:r>
      <w:r w:rsidRPr="00FB5366">
        <w:rPr>
          <w:b/>
          <w:sz w:val="24"/>
          <w:u w:val="single"/>
        </w:rPr>
        <w:t>Gift to Respondents</w:t>
      </w:r>
    </w:p>
    <w:p w:rsidRPr="005D6CCD" w:rsidR="00135BC5" w:rsidP="00135BC5" w:rsidRDefault="00135BC5" w14:paraId="7DBC812E" w14:textId="77777777">
      <w:pPr>
        <w:ind w:left="720"/>
        <w:rPr>
          <w:b/>
          <w:sz w:val="24"/>
        </w:rPr>
      </w:pPr>
    </w:p>
    <w:p w:rsidRPr="005D6CCD" w:rsidR="00944EA8" w:rsidP="00135BC5" w:rsidRDefault="006A6E3D" w14:paraId="43B4CFC6" w14:textId="77777777">
      <w:pPr>
        <w:ind w:left="360"/>
        <w:rPr>
          <w:color w:val="C00000"/>
          <w:sz w:val="24"/>
        </w:rPr>
      </w:pPr>
      <w:r w:rsidRPr="005D6CCD">
        <w:rPr>
          <w:sz w:val="24"/>
        </w:rPr>
        <w:t>N</w:t>
      </w:r>
      <w:r w:rsidRPr="005D6CCD" w:rsidR="003C293C">
        <w:rPr>
          <w:sz w:val="24"/>
        </w:rPr>
        <w:t>ot applicable</w:t>
      </w:r>
      <w:r w:rsidRPr="005D6CCD" w:rsidDel="00944EA8" w:rsidR="003C293C">
        <w:rPr>
          <w:color w:val="C00000"/>
          <w:sz w:val="24"/>
        </w:rPr>
        <w:t xml:space="preserve"> </w:t>
      </w:r>
    </w:p>
    <w:p w:rsidRPr="005D6CCD" w:rsidR="002160B0" w:rsidP="00731A82" w:rsidRDefault="002160B0" w14:paraId="0A93C7C2" w14:textId="77777777">
      <w:pPr>
        <w:ind w:left="1440"/>
        <w:rPr>
          <w:sz w:val="24"/>
        </w:rPr>
      </w:pPr>
    </w:p>
    <w:p w:rsidRPr="00FB5366" w:rsidR="002160B0" w:rsidP="00217858" w:rsidRDefault="002160B0" w14:paraId="6263155F" w14:textId="77777777">
      <w:pPr>
        <w:numPr>
          <w:ilvl w:val="0"/>
          <w:numId w:val="9"/>
        </w:numPr>
        <w:rPr>
          <w:b/>
          <w:sz w:val="24"/>
          <w:u w:val="single"/>
        </w:rPr>
      </w:pPr>
      <w:r w:rsidRPr="00FB5366">
        <w:rPr>
          <w:b/>
          <w:sz w:val="24"/>
          <w:u w:val="single"/>
        </w:rPr>
        <w:t>Assurance of Confidentiality Provided to Respondents</w:t>
      </w:r>
    </w:p>
    <w:p w:rsidR="003C293C" w:rsidP="00731A82" w:rsidRDefault="003C293C" w14:paraId="0E37CAB0" w14:textId="77777777">
      <w:pPr>
        <w:widowControl/>
        <w:ind w:left="1800"/>
        <w:rPr>
          <w:color w:val="C00000"/>
          <w:sz w:val="24"/>
        </w:rPr>
      </w:pPr>
    </w:p>
    <w:p w:rsidR="00944EA8" w:rsidP="00BF70BD" w:rsidRDefault="00944EA8" w14:paraId="0D676801" w14:textId="118722E0">
      <w:pPr>
        <w:widowControl/>
        <w:ind w:left="360"/>
        <w:rPr>
          <w:sz w:val="24"/>
        </w:rPr>
      </w:pPr>
      <w:r w:rsidRPr="000F73A2">
        <w:rPr>
          <w:sz w:val="24"/>
        </w:rPr>
        <w:t xml:space="preserve">Information provided for the </w:t>
      </w:r>
      <w:r w:rsidR="00FA3FE5">
        <w:rPr>
          <w:sz w:val="24"/>
        </w:rPr>
        <w:t>ADP-DRT</w:t>
      </w:r>
      <w:r w:rsidRPr="000F73A2" w:rsidR="00FA3FE5">
        <w:rPr>
          <w:sz w:val="24"/>
        </w:rPr>
        <w:t xml:space="preserve"> </w:t>
      </w:r>
      <w:r w:rsidRPr="000F73A2">
        <w:rPr>
          <w:sz w:val="24"/>
        </w:rPr>
        <w:t xml:space="preserve">data collection requirement will be submitted in aggregate format, which means no individual or personal information will be transmitted.  </w:t>
      </w:r>
      <w:r w:rsidR="00EC1168">
        <w:rPr>
          <w:sz w:val="24"/>
        </w:rPr>
        <w:t>There are no assurances of confidentiality</w:t>
      </w:r>
      <w:r w:rsidRPr="000F73A2">
        <w:rPr>
          <w:sz w:val="24"/>
        </w:rPr>
        <w:t>. Aggregate data will be used to inform</w:t>
      </w:r>
      <w:r w:rsidR="00BF70BD">
        <w:rPr>
          <w:sz w:val="24"/>
        </w:rPr>
        <w:t>:</w:t>
      </w:r>
      <w:r w:rsidRPr="000F73A2">
        <w:rPr>
          <w:sz w:val="24"/>
        </w:rPr>
        <w:t xml:space="preserve"> </w:t>
      </w:r>
      <w:r w:rsidR="00D37F19">
        <w:rPr>
          <w:sz w:val="24"/>
        </w:rPr>
        <w:t>ACL</w:t>
      </w:r>
      <w:r w:rsidR="00A416DA">
        <w:rPr>
          <w:sz w:val="24"/>
        </w:rPr>
        <w:t>,</w:t>
      </w:r>
      <w:r w:rsidRPr="000F73A2">
        <w:rPr>
          <w:sz w:val="24"/>
        </w:rPr>
        <w:t xml:space="preserve"> </w:t>
      </w:r>
      <w:r w:rsidR="00BF70BD">
        <w:rPr>
          <w:sz w:val="24"/>
        </w:rPr>
        <w:t>other federal agencies</w:t>
      </w:r>
      <w:r w:rsidR="00A416DA">
        <w:rPr>
          <w:sz w:val="24"/>
        </w:rPr>
        <w:t>, C</w:t>
      </w:r>
      <w:r w:rsidR="00BF70BD">
        <w:rPr>
          <w:sz w:val="24"/>
        </w:rPr>
        <w:t>ongress</w:t>
      </w:r>
      <w:r w:rsidR="00A416DA">
        <w:rPr>
          <w:sz w:val="24"/>
        </w:rPr>
        <w:t>,</w:t>
      </w:r>
      <w:r w:rsidR="00BF70BD">
        <w:rPr>
          <w:sz w:val="24"/>
        </w:rPr>
        <w:t xml:space="preserve"> state agencies on aging</w:t>
      </w:r>
      <w:r w:rsidR="00A416DA">
        <w:rPr>
          <w:sz w:val="24"/>
        </w:rPr>
        <w:t>,</w:t>
      </w:r>
      <w:r w:rsidR="00BF70BD">
        <w:rPr>
          <w:sz w:val="24"/>
        </w:rPr>
        <w:t xml:space="preserve"> </w:t>
      </w:r>
      <w:r w:rsidR="00DD47FA">
        <w:rPr>
          <w:sz w:val="24"/>
        </w:rPr>
        <w:t>ACL Alzheimer</w:t>
      </w:r>
      <w:r w:rsidR="002477EC">
        <w:rPr>
          <w:sz w:val="24"/>
        </w:rPr>
        <w:t>’s Disease</w:t>
      </w:r>
      <w:r w:rsidR="00DD47FA">
        <w:rPr>
          <w:sz w:val="24"/>
        </w:rPr>
        <w:t xml:space="preserve"> Program</w:t>
      </w:r>
      <w:r w:rsidRPr="004D5DA5" w:rsidR="00DD47FA">
        <w:rPr>
          <w:sz w:val="24"/>
        </w:rPr>
        <w:t xml:space="preserve"> grantees</w:t>
      </w:r>
      <w:r w:rsidR="00A416DA">
        <w:rPr>
          <w:sz w:val="24"/>
        </w:rPr>
        <w:t>,</w:t>
      </w:r>
      <w:r w:rsidR="00BF70BD">
        <w:rPr>
          <w:sz w:val="24"/>
        </w:rPr>
        <w:t xml:space="preserve"> and other relevant stakeholders</w:t>
      </w:r>
      <w:r w:rsidRPr="000F73A2">
        <w:rPr>
          <w:sz w:val="24"/>
        </w:rPr>
        <w:t xml:space="preserve"> about the progress being made and services provided through the </w:t>
      </w:r>
      <w:r w:rsidR="00DD47FA">
        <w:rPr>
          <w:sz w:val="24"/>
        </w:rPr>
        <w:t>ACL Alzheimer</w:t>
      </w:r>
      <w:r w:rsidR="002477EC">
        <w:rPr>
          <w:sz w:val="24"/>
        </w:rPr>
        <w:t>’s Disease</w:t>
      </w:r>
      <w:r w:rsidR="00DD47FA">
        <w:rPr>
          <w:sz w:val="24"/>
        </w:rPr>
        <w:t xml:space="preserve"> Program</w:t>
      </w:r>
      <w:r w:rsidRPr="000F73A2">
        <w:rPr>
          <w:sz w:val="24"/>
        </w:rPr>
        <w:t xml:space="preserve">.  </w:t>
      </w:r>
    </w:p>
    <w:p w:rsidRPr="000F73A2" w:rsidR="005F7B77" w:rsidP="00731A82" w:rsidRDefault="005F7B77" w14:paraId="530DAC54" w14:textId="77777777">
      <w:pPr>
        <w:widowControl/>
        <w:rPr>
          <w:color w:val="C00000"/>
          <w:sz w:val="24"/>
        </w:rPr>
      </w:pPr>
    </w:p>
    <w:p w:rsidRPr="00FB5366" w:rsidR="00944EA8" w:rsidP="00217858" w:rsidRDefault="002160B0" w14:paraId="4E98F4AC" w14:textId="77777777">
      <w:pPr>
        <w:numPr>
          <w:ilvl w:val="0"/>
          <w:numId w:val="9"/>
        </w:numPr>
        <w:rPr>
          <w:b/>
          <w:sz w:val="24"/>
          <w:u w:val="single"/>
        </w:rPr>
      </w:pPr>
      <w:r w:rsidRPr="00FB5366">
        <w:rPr>
          <w:b/>
          <w:sz w:val="24"/>
          <w:u w:val="single"/>
        </w:rPr>
        <w:t>Justification for Sensitive Questions</w:t>
      </w:r>
    </w:p>
    <w:p w:rsidRPr="005F7B77" w:rsidR="005F7B77" w:rsidP="00731A82" w:rsidRDefault="005F7B77" w14:paraId="5CEF4260" w14:textId="77777777">
      <w:pPr>
        <w:ind w:left="720"/>
        <w:rPr>
          <w:color w:val="C00000"/>
          <w:sz w:val="24"/>
        </w:rPr>
      </w:pPr>
    </w:p>
    <w:p w:rsidRPr="00FB485C" w:rsidR="003C293C" w:rsidP="00731A82" w:rsidRDefault="003C293C" w14:paraId="61D2392F" w14:textId="77777777">
      <w:pPr>
        <w:ind w:firstLine="360"/>
        <w:rPr>
          <w:sz w:val="24"/>
        </w:rPr>
      </w:pPr>
      <w:r w:rsidRPr="00FB485C">
        <w:rPr>
          <w:sz w:val="24"/>
        </w:rPr>
        <w:t>The report does not include questions of a sensitive nature.</w:t>
      </w:r>
    </w:p>
    <w:p w:rsidRPr="005F7B77" w:rsidR="002160B0" w:rsidP="00731A82" w:rsidRDefault="002160B0" w14:paraId="58E8B7E2" w14:textId="77777777">
      <w:pPr>
        <w:ind w:left="360"/>
        <w:rPr>
          <w:b/>
          <w:color w:val="C00000"/>
          <w:sz w:val="24"/>
        </w:rPr>
      </w:pPr>
    </w:p>
    <w:p w:rsidRPr="008E7066" w:rsidR="008B345F" w:rsidP="008B345F" w:rsidRDefault="008B345F" w14:paraId="72E343F2" w14:textId="77777777">
      <w:pPr>
        <w:numPr>
          <w:ilvl w:val="0"/>
          <w:numId w:val="9"/>
        </w:numPr>
        <w:rPr>
          <w:b/>
          <w:sz w:val="24"/>
          <w:u w:val="single"/>
        </w:rPr>
      </w:pPr>
      <w:r w:rsidRPr="008E7066">
        <w:rPr>
          <w:b/>
          <w:sz w:val="24"/>
          <w:u w:val="single"/>
        </w:rPr>
        <w:t xml:space="preserve">Estimates of Annualized Burden Hours and Costs </w:t>
      </w:r>
    </w:p>
    <w:p w:rsidRPr="008E7066" w:rsidR="008B345F" w:rsidP="008B345F" w:rsidRDefault="008B345F" w14:paraId="13B29BDE" w14:textId="77777777">
      <w:pPr>
        <w:ind w:left="720"/>
        <w:rPr>
          <w:b/>
          <w:color w:val="C00000"/>
          <w:sz w:val="24"/>
        </w:rPr>
      </w:pPr>
    </w:p>
    <w:p w:rsidRPr="008E7066" w:rsidR="008B345F" w:rsidP="008B345F" w:rsidRDefault="008B345F" w14:paraId="46125E5A" w14:textId="77777777">
      <w:pPr>
        <w:ind w:left="720"/>
        <w:rPr>
          <w:b/>
          <w:i/>
          <w:sz w:val="24"/>
        </w:rPr>
      </w:pPr>
      <w:r w:rsidRPr="008E7066">
        <w:rPr>
          <w:b/>
          <w:i/>
          <w:sz w:val="24"/>
        </w:rPr>
        <w:t>12A. Estimated Annualized Burden Hours</w:t>
      </w:r>
    </w:p>
    <w:p w:rsidRPr="008E7066" w:rsidR="008B345F" w:rsidP="008B345F" w:rsidRDefault="008B345F" w14:paraId="49BA8035" w14:textId="77777777">
      <w:pPr>
        <w:ind w:left="720"/>
        <w:rPr>
          <w:sz w:val="24"/>
        </w:rPr>
      </w:pPr>
    </w:p>
    <w:p w:rsidRPr="002C3C41" w:rsidR="00FA3FE5" w:rsidP="00FA3FE5" w:rsidRDefault="00FA3FE5" w14:paraId="12D53F1C" w14:textId="77777777">
      <w:pPr>
        <w:ind w:left="720"/>
        <w:rPr>
          <w:sz w:val="24"/>
        </w:rPr>
      </w:pPr>
      <w:r w:rsidRPr="008E7066">
        <w:rPr>
          <w:sz w:val="24"/>
        </w:rPr>
        <w:t xml:space="preserve">The estimated hourly burden for this revised </w:t>
      </w:r>
      <w:r>
        <w:rPr>
          <w:sz w:val="24"/>
        </w:rPr>
        <w:t>ADP-DRT</w:t>
      </w:r>
      <w:r w:rsidRPr="008E7066" w:rsidDel="006E563B">
        <w:rPr>
          <w:sz w:val="24"/>
        </w:rPr>
        <w:t xml:space="preserve"> </w:t>
      </w:r>
      <w:r w:rsidRPr="008E7066">
        <w:rPr>
          <w:sz w:val="24"/>
        </w:rPr>
        <w:t>is based on the number of pe</w:t>
      </w:r>
      <w:r>
        <w:rPr>
          <w:sz w:val="24"/>
        </w:rPr>
        <w:t xml:space="preserve">rsons served in the most recent </w:t>
      </w:r>
      <w:r w:rsidRPr="008E7066">
        <w:rPr>
          <w:sz w:val="24"/>
        </w:rPr>
        <w:t xml:space="preserve">grantee data submission. At the end of FY </w:t>
      </w:r>
      <w:r>
        <w:rPr>
          <w:sz w:val="24"/>
        </w:rPr>
        <w:t>2020</w:t>
      </w:r>
      <w:r w:rsidRPr="008E7066">
        <w:rPr>
          <w:sz w:val="24"/>
        </w:rPr>
        <w:t xml:space="preserve">, there will be a total of </w:t>
      </w:r>
      <w:r w:rsidRPr="00780B19">
        <w:rPr>
          <w:bCs/>
          <w:sz w:val="24"/>
        </w:rPr>
        <w:t xml:space="preserve">88 </w:t>
      </w:r>
      <w:r w:rsidRPr="008E7066">
        <w:rPr>
          <w:bCs/>
          <w:sz w:val="24"/>
        </w:rPr>
        <w:t xml:space="preserve">grantees administering a total of </w:t>
      </w:r>
      <w:r w:rsidRPr="00780B19">
        <w:rPr>
          <w:bCs/>
          <w:sz w:val="24"/>
        </w:rPr>
        <w:t>90</w:t>
      </w:r>
      <w:r w:rsidRPr="008E7066">
        <w:rPr>
          <w:bCs/>
          <w:sz w:val="24"/>
        </w:rPr>
        <w:t xml:space="preserve"> grants</w:t>
      </w:r>
      <w:r w:rsidRPr="008E7066">
        <w:rPr>
          <w:sz w:val="24"/>
        </w:rPr>
        <w:t xml:space="preserve">.  Based on reports from a sample of grants, </w:t>
      </w:r>
      <w:r>
        <w:rPr>
          <w:sz w:val="24"/>
        </w:rPr>
        <w:t xml:space="preserve">there are approximately 2 local program sites per grant. </w:t>
      </w:r>
      <w:r w:rsidRPr="008E7066">
        <w:rPr>
          <w:sz w:val="24"/>
        </w:rPr>
        <w:t xml:space="preserve">ADP-DRT related data entry by local program sites requires an average of </w:t>
      </w:r>
      <w:r>
        <w:rPr>
          <w:sz w:val="24"/>
        </w:rPr>
        <w:t>6.06 hours of</w:t>
      </w:r>
      <w:r w:rsidRPr="008E7066">
        <w:rPr>
          <w:sz w:val="24"/>
        </w:rPr>
        <w:t xml:space="preserve"> time </w:t>
      </w:r>
      <w:r w:rsidRPr="002C3C41">
        <w:rPr>
          <w:sz w:val="24"/>
        </w:rPr>
        <w:t>annually per local program site. This equates to a</w:t>
      </w:r>
      <w:r>
        <w:rPr>
          <w:sz w:val="24"/>
        </w:rPr>
        <w:t>n annual</w:t>
      </w:r>
      <w:r w:rsidRPr="002C3C41">
        <w:rPr>
          <w:sz w:val="24"/>
        </w:rPr>
        <w:t xml:space="preserve"> total of 1,090.8 hours total across the </w:t>
      </w:r>
      <w:r w:rsidRPr="002C3C41">
        <w:rPr>
          <w:bCs/>
          <w:sz w:val="24"/>
        </w:rPr>
        <w:t>90</w:t>
      </w:r>
      <w:r w:rsidRPr="002C3C41">
        <w:rPr>
          <w:sz w:val="24"/>
        </w:rPr>
        <w:t xml:space="preserve"> grants (6.06 hours x 2 sites x </w:t>
      </w:r>
      <w:r w:rsidRPr="002C3C41">
        <w:rPr>
          <w:bCs/>
          <w:sz w:val="24"/>
        </w:rPr>
        <w:t>90</w:t>
      </w:r>
      <w:r w:rsidRPr="002C3C41">
        <w:rPr>
          <w:sz w:val="24"/>
        </w:rPr>
        <w:t xml:space="preserve"> grants = 1,090.8 hours).</w:t>
      </w:r>
    </w:p>
    <w:p w:rsidR="00841D88" w:rsidP="00FA3FE5" w:rsidRDefault="00841D88" w14:paraId="6AD70C5E" w14:textId="77777777">
      <w:pPr>
        <w:ind w:left="720"/>
        <w:rPr>
          <w:sz w:val="24"/>
        </w:rPr>
      </w:pPr>
    </w:p>
    <w:p w:rsidRPr="002C3C41" w:rsidR="00FA3FE5" w:rsidP="00FA3FE5" w:rsidRDefault="00FA3FE5" w14:paraId="2AA30C37" w14:textId="6A200E72">
      <w:pPr>
        <w:ind w:left="720"/>
        <w:rPr>
          <w:sz w:val="24"/>
        </w:rPr>
      </w:pPr>
      <w:r w:rsidRPr="002C3C41">
        <w:rPr>
          <w:sz w:val="24"/>
        </w:rPr>
        <w:t xml:space="preserve">Based on reports from a sample of grants, grantees spend an average of 13.86 hours annually per grant gathering internal data and/or data from local program sites and submitting the data to ACL.  Data is collected internally by the grantee and/or sent to the grantees from the local program sites and aggregated into the ADP-DRT.  Grantees differ in their methods of collecting data from local sites.  Some grantees have local sites report aggregate data using state-specific electronic data reporting systems; other grantees have local sites report aggregate data on the ADP-DRT Excel workbook.  Regardless of collection method, grantees ensured that cumulative, aggregate data are submitted to ACL using the ADP-DRT. </w:t>
      </w:r>
    </w:p>
    <w:p w:rsidRPr="002C3C41" w:rsidR="00FA3FE5" w:rsidP="00FA3FE5" w:rsidRDefault="00FA3FE5" w14:paraId="4C1852A0" w14:textId="77777777">
      <w:pPr>
        <w:ind w:left="720"/>
        <w:rPr>
          <w:sz w:val="24"/>
        </w:rPr>
      </w:pPr>
    </w:p>
    <w:p w:rsidRPr="008E7066" w:rsidR="00FA3FE5" w:rsidP="00FA3FE5" w:rsidRDefault="00FA3FE5" w14:paraId="5C26AA40" w14:textId="77777777">
      <w:pPr>
        <w:ind w:left="720"/>
        <w:rPr>
          <w:sz w:val="24"/>
        </w:rPr>
      </w:pPr>
      <w:r w:rsidRPr="002C3C41">
        <w:rPr>
          <w:sz w:val="24"/>
        </w:rPr>
        <w:t>A fair estimate for the average amount of grantee staff time spent annually gathering the local program site data, correcting mistakes, entering it into the ADP-DRT and submitting the report to ACL is 13.86 hours per grant.  This equates to a</w:t>
      </w:r>
      <w:r>
        <w:rPr>
          <w:sz w:val="24"/>
        </w:rPr>
        <w:t>n annual</w:t>
      </w:r>
      <w:r w:rsidRPr="002C3C41">
        <w:rPr>
          <w:sz w:val="24"/>
        </w:rPr>
        <w:t xml:space="preserve"> total of </w:t>
      </w:r>
      <w:r w:rsidRPr="002C3C41">
        <w:rPr>
          <w:bCs/>
          <w:sz w:val="24"/>
        </w:rPr>
        <w:t xml:space="preserve">1,247.4 </w:t>
      </w:r>
      <w:r w:rsidRPr="002C3C41">
        <w:rPr>
          <w:sz w:val="24"/>
        </w:rPr>
        <w:t xml:space="preserve">hours total across the </w:t>
      </w:r>
      <w:r w:rsidRPr="002C3C41">
        <w:rPr>
          <w:bCs/>
          <w:sz w:val="24"/>
        </w:rPr>
        <w:t>90</w:t>
      </w:r>
      <w:r w:rsidRPr="002C3C41">
        <w:rPr>
          <w:sz w:val="24"/>
        </w:rPr>
        <w:t xml:space="preserve"> grants (13.86 hours x </w:t>
      </w:r>
      <w:r w:rsidRPr="002C3C41">
        <w:rPr>
          <w:bCs/>
          <w:sz w:val="24"/>
        </w:rPr>
        <w:t>90</w:t>
      </w:r>
      <w:r w:rsidRPr="002C3C41">
        <w:rPr>
          <w:sz w:val="24"/>
        </w:rPr>
        <w:t xml:space="preserve"> grants = </w:t>
      </w:r>
      <w:r w:rsidRPr="002C3C41">
        <w:rPr>
          <w:bCs/>
          <w:sz w:val="24"/>
        </w:rPr>
        <w:t>1,247.4</w:t>
      </w:r>
      <w:r w:rsidRPr="002C3C41">
        <w:rPr>
          <w:b/>
          <w:bCs/>
          <w:sz w:val="24"/>
        </w:rPr>
        <w:t xml:space="preserve"> </w:t>
      </w:r>
      <w:r w:rsidRPr="002C3C41">
        <w:rPr>
          <w:sz w:val="24"/>
        </w:rPr>
        <w:t>hours).</w:t>
      </w:r>
    </w:p>
    <w:p w:rsidRPr="008E7066" w:rsidR="00FA3FE5" w:rsidP="00FA3FE5" w:rsidRDefault="00FA3FE5" w14:paraId="525E4931" w14:textId="77777777">
      <w:pPr>
        <w:ind w:left="720"/>
        <w:rPr>
          <w:sz w:val="24"/>
          <w:highlight w:val="yellow"/>
        </w:rPr>
      </w:pPr>
    </w:p>
    <w:p w:rsidRPr="008E7066" w:rsidR="00FA3FE5" w:rsidP="00FA3FE5" w:rsidRDefault="00FA3FE5" w14:paraId="062AC4E1" w14:textId="77777777">
      <w:pPr>
        <w:ind w:left="720"/>
        <w:rPr>
          <w:sz w:val="24"/>
        </w:rPr>
      </w:pPr>
      <w:r w:rsidRPr="008E7066">
        <w:rPr>
          <w:sz w:val="24"/>
        </w:rPr>
        <w:t xml:space="preserve">Thus, the average time spent reporting </w:t>
      </w:r>
      <w:r>
        <w:rPr>
          <w:sz w:val="24"/>
        </w:rPr>
        <w:t xml:space="preserve">for a single grant </w:t>
      </w:r>
      <w:r w:rsidRPr="008E7066">
        <w:rPr>
          <w:sz w:val="24"/>
        </w:rPr>
        <w:t xml:space="preserve">annually equals: </w:t>
      </w:r>
    </w:p>
    <w:p w:rsidRPr="002C3C41" w:rsidR="00FA3FE5" w:rsidP="00FA3FE5" w:rsidRDefault="00FA3FE5" w14:paraId="31CFAAAE" w14:textId="77777777">
      <w:pPr>
        <w:ind w:left="720"/>
        <w:rPr>
          <w:sz w:val="24"/>
        </w:rPr>
      </w:pPr>
      <w:r w:rsidRPr="002C3C41">
        <w:rPr>
          <w:bCs/>
          <w:sz w:val="24"/>
        </w:rPr>
        <w:t>6.06</w:t>
      </w:r>
      <w:r w:rsidRPr="002C3C41">
        <w:rPr>
          <w:sz w:val="24"/>
        </w:rPr>
        <w:t xml:space="preserve"> hours (local p</w:t>
      </w:r>
      <w:r>
        <w:rPr>
          <w:sz w:val="24"/>
        </w:rPr>
        <w:t>rogram site 1</w:t>
      </w:r>
      <w:r w:rsidRPr="002C3C41">
        <w:rPr>
          <w:sz w:val="24"/>
        </w:rPr>
        <w:t xml:space="preserve">) + </w:t>
      </w:r>
      <w:r w:rsidRPr="002C3C41">
        <w:rPr>
          <w:bCs/>
          <w:sz w:val="24"/>
        </w:rPr>
        <w:t>6.06</w:t>
      </w:r>
      <w:r w:rsidRPr="002C3C41">
        <w:rPr>
          <w:sz w:val="24"/>
        </w:rPr>
        <w:t xml:space="preserve"> hours (local p</w:t>
      </w:r>
      <w:r>
        <w:rPr>
          <w:sz w:val="24"/>
        </w:rPr>
        <w:t>rogram site 2</w:t>
      </w:r>
      <w:r w:rsidRPr="002C3C41">
        <w:rPr>
          <w:sz w:val="24"/>
        </w:rPr>
        <w:t xml:space="preserve">) + </w:t>
      </w:r>
      <w:r w:rsidRPr="002C3C41">
        <w:rPr>
          <w:bCs/>
          <w:sz w:val="24"/>
        </w:rPr>
        <w:t>13.86</w:t>
      </w:r>
      <w:r w:rsidRPr="002C3C41">
        <w:rPr>
          <w:sz w:val="24"/>
        </w:rPr>
        <w:t xml:space="preserve"> hours (grantee) = </w:t>
      </w:r>
      <w:r w:rsidRPr="002C3C41">
        <w:rPr>
          <w:bCs/>
          <w:sz w:val="24"/>
        </w:rPr>
        <w:t>25.98</w:t>
      </w:r>
      <w:r w:rsidRPr="002C3C41">
        <w:rPr>
          <w:sz w:val="24"/>
        </w:rPr>
        <w:t xml:space="preserve"> hours per grant. </w:t>
      </w:r>
    </w:p>
    <w:p w:rsidRPr="00D37F19" w:rsidR="00FA3FE5" w:rsidP="00FA3FE5" w:rsidRDefault="00FA3FE5" w14:paraId="06D39EDF" w14:textId="77777777">
      <w:pPr>
        <w:ind w:left="720"/>
        <w:rPr>
          <w:sz w:val="24"/>
          <w:highlight w:val="yellow"/>
        </w:rPr>
      </w:pPr>
    </w:p>
    <w:p w:rsidR="00FA3FE5" w:rsidP="00FA3FE5" w:rsidRDefault="00FA3FE5" w14:paraId="7F827353" w14:textId="77777777">
      <w:pPr>
        <w:ind w:left="720"/>
        <w:rPr>
          <w:sz w:val="24"/>
        </w:rPr>
      </w:pPr>
    </w:p>
    <w:tbl>
      <w:tblPr>
        <w:tblW w:w="855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440"/>
        <w:gridCol w:w="1440"/>
        <w:gridCol w:w="1350"/>
        <w:gridCol w:w="1440"/>
        <w:gridCol w:w="1440"/>
      </w:tblGrid>
      <w:tr w:rsidRPr="004F7152" w:rsidR="00FA3FE5" w:rsidTr="00696985" w14:paraId="7E1A5A43" w14:textId="77777777">
        <w:trPr>
          <w:trHeight w:val="1059"/>
        </w:trPr>
        <w:tc>
          <w:tcPr>
            <w:tcW w:w="1440" w:type="dxa"/>
          </w:tcPr>
          <w:p w:rsidRPr="004F7152" w:rsidR="00FA3FE5" w:rsidP="00696985" w:rsidRDefault="00FA3FE5" w14:paraId="4A8F3EB3" w14:textId="77777777">
            <w:pPr>
              <w:widowControl/>
              <w:rPr>
                <w:b/>
                <w:bCs/>
                <w:sz w:val="22"/>
              </w:rPr>
            </w:pPr>
            <w:r w:rsidRPr="004F7152">
              <w:rPr>
                <w:b/>
                <w:bCs/>
                <w:sz w:val="22"/>
                <w:szCs w:val="22"/>
              </w:rPr>
              <w:t>Type of</w:t>
            </w:r>
          </w:p>
          <w:p w:rsidRPr="004F7152" w:rsidR="00FA3FE5" w:rsidP="00696985" w:rsidRDefault="00FA3FE5" w14:paraId="74652321" w14:textId="77777777">
            <w:pPr>
              <w:widowControl/>
              <w:rPr>
                <w:b/>
                <w:bCs/>
                <w:sz w:val="22"/>
              </w:rPr>
            </w:pPr>
            <w:r w:rsidRPr="004F7152">
              <w:rPr>
                <w:b/>
                <w:bCs/>
                <w:sz w:val="22"/>
                <w:szCs w:val="22"/>
              </w:rPr>
              <w:t>Respondent</w:t>
            </w:r>
          </w:p>
          <w:p w:rsidRPr="004F7152" w:rsidR="00FA3FE5" w:rsidP="00696985" w:rsidRDefault="00FA3FE5" w14:paraId="67019B7A" w14:textId="77777777">
            <w:pPr>
              <w:widowControl/>
              <w:rPr>
                <w:b/>
                <w:bCs/>
                <w:sz w:val="24"/>
              </w:rPr>
            </w:pPr>
          </w:p>
        </w:tc>
        <w:tc>
          <w:tcPr>
            <w:tcW w:w="1440" w:type="dxa"/>
          </w:tcPr>
          <w:p w:rsidRPr="004F7152" w:rsidR="00FA3FE5" w:rsidP="00696985" w:rsidRDefault="00FA3FE5" w14:paraId="43B68624" w14:textId="77777777">
            <w:pPr>
              <w:widowControl/>
              <w:rPr>
                <w:b/>
                <w:bCs/>
                <w:sz w:val="22"/>
              </w:rPr>
            </w:pPr>
            <w:r w:rsidRPr="004F7152">
              <w:rPr>
                <w:b/>
                <w:bCs/>
                <w:sz w:val="22"/>
                <w:szCs w:val="22"/>
              </w:rPr>
              <w:t>Form</w:t>
            </w:r>
          </w:p>
          <w:p w:rsidRPr="004F7152" w:rsidR="00FA3FE5" w:rsidP="00696985" w:rsidRDefault="00FA3FE5" w14:paraId="4C44DF5B" w14:textId="77777777">
            <w:pPr>
              <w:widowControl/>
              <w:rPr>
                <w:b/>
                <w:bCs/>
                <w:sz w:val="22"/>
              </w:rPr>
            </w:pPr>
            <w:r w:rsidRPr="004F7152">
              <w:rPr>
                <w:b/>
                <w:bCs/>
                <w:sz w:val="22"/>
                <w:szCs w:val="22"/>
              </w:rPr>
              <w:t>Name</w:t>
            </w:r>
          </w:p>
          <w:p w:rsidRPr="004F7152" w:rsidR="00FA3FE5" w:rsidP="00696985" w:rsidRDefault="00FA3FE5" w14:paraId="09397C74" w14:textId="77777777">
            <w:pPr>
              <w:widowControl/>
              <w:rPr>
                <w:b/>
                <w:bCs/>
                <w:sz w:val="24"/>
              </w:rPr>
            </w:pPr>
          </w:p>
        </w:tc>
        <w:tc>
          <w:tcPr>
            <w:tcW w:w="1440" w:type="dxa"/>
          </w:tcPr>
          <w:p w:rsidRPr="004F7152" w:rsidR="00FA3FE5" w:rsidP="00696985" w:rsidRDefault="00FA3FE5" w14:paraId="7D68322C" w14:textId="77777777">
            <w:pPr>
              <w:widowControl/>
              <w:rPr>
                <w:b/>
                <w:bCs/>
                <w:sz w:val="22"/>
              </w:rPr>
            </w:pPr>
            <w:r w:rsidRPr="004F7152">
              <w:rPr>
                <w:b/>
                <w:bCs/>
                <w:sz w:val="22"/>
                <w:szCs w:val="22"/>
              </w:rPr>
              <w:t>No. of</w:t>
            </w:r>
          </w:p>
          <w:p w:rsidRPr="004F7152" w:rsidR="00FA3FE5" w:rsidP="00696985" w:rsidRDefault="00FA3FE5" w14:paraId="2159BF7E" w14:textId="77777777">
            <w:pPr>
              <w:widowControl/>
              <w:rPr>
                <w:b/>
                <w:bCs/>
                <w:sz w:val="24"/>
              </w:rPr>
            </w:pPr>
            <w:r w:rsidRPr="004F7152">
              <w:rPr>
                <w:b/>
                <w:bCs/>
                <w:sz w:val="22"/>
                <w:szCs w:val="22"/>
              </w:rPr>
              <w:t>Respondents</w:t>
            </w:r>
          </w:p>
        </w:tc>
        <w:tc>
          <w:tcPr>
            <w:tcW w:w="1350" w:type="dxa"/>
          </w:tcPr>
          <w:p w:rsidR="00FA3FE5" w:rsidP="00696985" w:rsidRDefault="00FA3FE5" w14:paraId="0B1401D8" w14:textId="77777777">
            <w:pPr>
              <w:widowControl/>
              <w:rPr>
                <w:b/>
                <w:bCs/>
                <w:sz w:val="22"/>
              </w:rPr>
            </w:pPr>
            <w:r>
              <w:rPr>
                <w:b/>
                <w:bCs/>
                <w:sz w:val="22"/>
                <w:szCs w:val="22"/>
              </w:rPr>
              <w:t>Frequency of Response</w:t>
            </w:r>
          </w:p>
          <w:p w:rsidRPr="004F7152" w:rsidR="00FA3FE5" w:rsidP="00696985" w:rsidRDefault="00FA3FE5" w14:paraId="1997705F" w14:textId="77777777">
            <w:pPr>
              <w:widowControl/>
              <w:rPr>
                <w:b/>
                <w:bCs/>
                <w:sz w:val="22"/>
              </w:rPr>
            </w:pPr>
          </w:p>
        </w:tc>
        <w:tc>
          <w:tcPr>
            <w:tcW w:w="1440" w:type="dxa"/>
          </w:tcPr>
          <w:p w:rsidRPr="004F7152" w:rsidR="00FA3FE5" w:rsidP="00696985" w:rsidRDefault="00FA3FE5" w14:paraId="61BEA921" w14:textId="77777777">
            <w:pPr>
              <w:widowControl/>
              <w:rPr>
                <w:b/>
                <w:bCs/>
                <w:sz w:val="22"/>
              </w:rPr>
            </w:pPr>
            <w:r w:rsidRPr="004F7152">
              <w:rPr>
                <w:b/>
                <w:bCs/>
                <w:sz w:val="22"/>
                <w:szCs w:val="22"/>
              </w:rPr>
              <w:t>Average</w:t>
            </w:r>
          </w:p>
          <w:p w:rsidRPr="004F7152" w:rsidR="00FA3FE5" w:rsidP="00696985" w:rsidRDefault="00FA3FE5" w14:paraId="6A6B2ECD" w14:textId="77777777">
            <w:pPr>
              <w:widowControl/>
              <w:rPr>
                <w:b/>
                <w:bCs/>
                <w:sz w:val="22"/>
              </w:rPr>
            </w:pPr>
            <w:r>
              <w:rPr>
                <w:b/>
                <w:bCs/>
                <w:sz w:val="22"/>
                <w:szCs w:val="22"/>
              </w:rPr>
              <w:t xml:space="preserve">Time </w:t>
            </w:r>
            <w:r w:rsidRPr="004F7152">
              <w:rPr>
                <w:b/>
                <w:bCs/>
                <w:sz w:val="22"/>
                <w:szCs w:val="22"/>
              </w:rPr>
              <w:t>per Response</w:t>
            </w:r>
          </w:p>
          <w:p w:rsidRPr="004F7152" w:rsidR="00FA3FE5" w:rsidP="00696985" w:rsidRDefault="00FA3FE5" w14:paraId="2CEF6A2E" w14:textId="77777777">
            <w:pPr>
              <w:widowControl/>
              <w:rPr>
                <w:b/>
                <w:bCs/>
                <w:sz w:val="22"/>
              </w:rPr>
            </w:pPr>
            <w:r w:rsidRPr="004F7152">
              <w:rPr>
                <w:b/>
                <w:bCs/>
                <w:sz w:val="22"/>
                <w:szCs w:val="22"/>
              </w:rPr>
              <w:t>(in hours)</w:t>
            </w:r>
          </w:p>
        </w:tc>
        <w:tc>
          <w:tcPr>
            <w:tcW w:w="1440" w:type="dxa"/>
          </w:tcPr>
          <w:p w:rsidRPr="004F7152" w:rsidR="00FA3FE5" w:rsidP="00696985" w:rsidRDefault="00FA3FE5" w14:paraId="77C93C47" w14:textId="77777777">
            <w:pPr>
              <w:widowControl/>
              <w:rPr>
                <w:b/>
                <w:bCs/>
                <w:sz w:val="22"/>
              </w:rPr>
            </w:pPr>
            <w:r w:rsidRPr="004F7152">
              <w:rPr>
                <w:b/>
                <w:bCs/>
                <w:sz w:val="22"/>
                <w:szCs w:val="22"/>
              </w:rPr>
              <w:t>Total Burden Hours</w:t>
            </w:r>
            <w:r>
              <w:rPr>
                <w:b/>
                <w:bCs/>
                <w:sz w:val="22"/>
                <w:szCs w:val="22"/>
              </w:rPr>
              <w:t xml:space="preserve"> (Annual)</w:t>
            </w:r>
          </w:p>
        </w:tc>
      </w:tr>
      <w:tr w:rsidRPr="004F7152" w:rsidR="00FA3FE5" w:rsidTr="00696985" w14:paraId="6CE42DAF" w14:textId="77777777">
        <w:tc>
          <w:tcPr>
            <w:tcW w:w="1440" w:type="dxa"/>
          </w:tcPr>
          <w:p w:rsidR="00FA3FE5" w:rsidP="00696985" w:rsidRDefault="00FA3FE5" w14:paraId="5405C0E3" w14:textId="77777777">
            <w:pPr>
              <w:widowControl/>
              <w:rPr>
                <w:b/>
                <w:bCs/>
                <w:sz w:val="22"/>
              </w:rPr>
            </w:pPr>
            <w:r>
              <w:rPr>
                <w:b/>
                <w:bCs/>
                <w:sz w:val="22"/>
                <w:szCs w:val="22"/>
              </w:rPr>
              <w:t>Local Program Site</w:t>
            </w:r>
          </w:p>
        </w:tc>
        <w:tc>
          <w:tcPr>
            <w:tcW w:w="1440" w:type="dxa"/>
          </w:tcPr>
          <w:p w:rsidRPr="00364BA5" w:rsidR="00FA3FE5" w:rsidP="00696985" w:rsidRDefault="00FA3FE5" w14:paraId="7BC5AABD" w14:textId="77777777">
            <w:pPr>
              <w:widowControl/>
              <w:rPr>
                <w:sz w:val="22"/>
              </w:rPr>
            </w:pPr>
            <w:r w:rsidRPr="00364BA5">
              <w:rPr>
                <w:sz w:val="22"/>
                <w:szCs w:val="22"/>
              </w:rPr>
              <w:t>ADSSP-DRT</w:t>
            </w:r>
          </w:p>
        </w:tc>
        <w:tc>
          <w:tcPr>
            <w:tcW w:w="1440" w:type="dxa"/>
          </w:tcPr>
          <w:p w:rsidRPr="002C3C41" w:rsidR="00FA3FE5" w:rsidP="00696985" w:rsidRDefault="00FA3FE5" w14:paraId="6934128A" w14:textId="77777777">
            <w:pPr>
              <w:widowControl/>
              <w:rPr>
                <w:sz w:val="24"/>
              </w:rPr>
            </w:pPr>
            <w:r w:rsidRPr="002C3C41">
              <w:rPr>
                <w:bCs/>
                <w:sz w:val="24"/>
              </w:rPr>
              <w:t>180</w:t>
            </w:r>
          </w:p>
        </w:tc>
        <w:tc>
          <w:tcPr>
            <w:tcW w:w="1350" w:type="dxa"/>
          </w:tcPr>
          <w:p w:rsidRPr="00364BA5" w:rsidR="00FA3FE5" w:rsidP="00696985" w:rsidRDefault="00FA3FE5" w14:paraId="0DB817F8" w14:textId="77777777">
            <w:pPr>
              <w:widowControl/>
              <w:rPr>
                <w:sz w:val="24"/>
              </w:rPr>
            </w:pPr>
            <w:r>
              <w:rPr>
                <w:sz w:val="24"/>
              </w:rPr>
              <w:t>2</w:t>
            </w:r>
          </w:p>
        </w:tc>
        <w:tc>
          <w:tcPr>
            <w:tcW w:w="1440" w:type="dxa"/>
          </w:tcPr>
          <w:p w:rsidRPr="008E7066" w:rsidR="00FA3FE5" w:rsidP="00696985" w:rsidRDefault="00FA3FE5" w14:paraId="6A7C44C8" w14:textId="77777777">
            <w:pPr>
              <w:widowControl/>
              <w:rPr>
                <w:sz w:val="24"/>
                <w:highlight w:val="yellow"/>
              </w:rPr>
            </w:pPr>
            <w:r>
              <w:rPr>
                <w:sz w:val="24"/>
              </w:rPr>
              <w:t>3.03</w:t>
            </w:r>
          </w:p>
        </w:tc>
        <w:tc>
          <w:tcPr>
            <w:tcW w:w="1440" w:type="dxa"/>
          </w:tcPr>
          <w:p w:rsidRPr="002C3C41" w:rsidR="00FA3FE5" w:rsidP="00696985" w:rsidRDefault="00FA3FE5" w14:paraId="3C6795A2" w14:textId="77777777">
            <w:pPr>
              <w:widowControl/>
              <w:rPr>
                <w:sz w:val="24"/>
              </w:rPr>
            </w:pPr>
            <w:r w:rsidRPr="002C3C41">
              <w:rPr>
                <w:sz w:val="24"/>
              </w:rPr>
              <w:t>1,090.8</w:t>
            </w:r>
          </w:p>
        </w:tc>
      </w:tr>
      <w:tr w:rsidRPr="004F7152" w:rsidR="00FA3FE5" w:rsidTr="00696985" w14:paraId="697C185C" w14:textId="77777777">
        <w:tc>
          <w:tcPr>
            <w:tcW w:w="1440" w:type="dxa"/>
          </w:tcPr>
          <w:p w:rsidRPr="004F7152" w:rsidR="00FA3FE5" w:rsidP="00696985" w:rsidRDefault="00FA3FE5" w14:paraId="08B97782" w14:textId="77777777">
            <w:pPr>
              <w:widowControl/>
              <w:rPr>
                <w:b/>
                <w:bCs/>
                <w:sz w:val="22"/>
              </w:rPr>
            </w:pPr>
            <w:r>
              <w:rPr>
                <w:b/>
                <w:bCs/>
                <w:sz w:val="22"/>
                <w:szCs w:val="22"/>
              </w:rPr>
              <w:t>Grantee</w:t>
            </w:r>
          </w:p>
        </w:tc>
        <w:tc>
          <w:tcPr>
            <w:tcW w:w="1440" w:type="dxa"/>
          </w:tcPr>
          <w:p w:rsidRPr="00364BA5" w:rsidR="00FA3FE5" w:rsidP="00696985" w:rsidRDefault="00FA3FE5" w14:paraId="4E2A5D1D" w14:textId="77777777">
            <w:pPr>
              <w:widowControl/>
              <w:rPr>
                <w:b/>
                <w:bCs/>
                <w:sz w:val="22"/>
              </w:rPr>
            </w:pPr>
            <w:r w:rsidRPr="00364BA5">
              <w:rPr>
                <w:sz w:val="22"/>
                <w:szCs w:val="22"/>
              </w:rPr>
              <w:t>ADSSP-DRT</w:t>
            </w:r>
          </w:p>
        </w:tc>
        <w:tc>
          <w:tcPr>
            <w:tcW w:w="1440" w:type="dxa"/>
          </w:tcPr>
          <w:p w:rsidRPr="002C3C41" w:rsidR="00FA3FE5" w:rsidP="00696985" w:rsidRDefault="00FA3FE5" w14:paraId="4A4305CA" w14:textId="77777777">
            <w:pPr>
              <w:widowControl/>
              <w:rPr>
                <w:bCs/>
                <w:sz w:val="24"/>
              </w:rPr>
            </w:pPr>
            <w:r w:rsidRPr="002C3C41">
              <w:rPr>
                <w:bCs/>
                <w:sz w:val="24"/>
              </w:rPr>
              <w:t>90</w:t>
            </w:r>
          </w:p>
        </w:tc>
        <w:tc>
          <w:tcPr>
            <w:tcW w:w="1350" w:type="dxa"/>
          </w:tcPr>
          <w:p w:rsidRPr="00364BA5" w:rsidR="00FA3FE5" w:rsidP="00696985" w:rsidRDefault="00FA3FE5" w14:paraId="0841F193" w14:textId="77777777">
            <w:pPr>
              <w:widowControl/>
              <w:rPr>
                <w:b/>
                <w:bCs/>
                <w:sz w:val="24"/>
              </w:rPr>
            </w:pPr>
            <w:r w:rsidRPr="00364BA5">
              <w:rPr>
                <w:sz w:val="24"/>
              </w:rPr>
              <w:t>2</w:t>
            </w:r>
          </w:p>
        </w:tc>
        <w:tc>
          <w:tcPr>
            <w:tcW w:w="1440" w:type="dxa"/>
          </w:tcPr>
          <w:p w:rsidRPr="008E7066" w:rsidR="00FA3FE5" w:rsidP="00696985" w:rsidRDefault="00FA3FE5" w14:paraId="64DD4A0D" w14:textId="77777777">
            <w:pPr>
              <w:widowControl/>
              <w:rPr>
                <w:bCs/>
                <w:sz w:val="24"/>
                <w:highlight w:val="yellow"/>
              </w:rPr>
            </w:pPr>
            <w:r>
              <w:rPr>
                <w:sz w:val="24"/>
              </w:rPr>
              <w:t>6.93</w:t>
            </w:r>
          </w:p>
        </w:tc>
        <w:tc>
          <w:tcPr>
            <w:tcW w:w="1440" w:type="dxa"/>
          </w:tcPr>
          <w:p w:rsidRPr="002C3C41" w:rsidR="00FA3FE5" w:rsidP="00696985" w:rsidRDefault="00FA3FE5" w14:paraId="186EB0AA" w14:textId="77777777">
            <w:pPr>
              <w:widowControl/>
              <w:rPr>
                <w:bCs/>
                <w:sz w:val="24"/>
              </w:rPr>
            </w:pPr>
            <w:r w:rsidRPr="002C3C41">
              <w:rPr>
                <w:bCs/>
                <w:sz w:val="24"/>
              </w:rPr>
              <w:t>1,247.4</w:t>
            </w:r>
          </w:p>
        </w:tc>
      </w:tr>
      <w:tr w:rsidRPr="004F7152" w:rsidR="00FA3FE5" w:rsidTr="00696985" w14:paraId="55B6031B" w14:textId="77777777">
        <w:tc>
          <w:tcPr>
            <w:tcW w:w="1440" w:type="dxa"/>
          </w:tcPr>
          <w:p w:rsidR="00FA3FE5" w:rsidP="00696985" w:rsidRDefault="00FA3FE5" w14:paraId="58BF80E0" w14:textId="77777777">
            <w:pPr>
              <w:widowControl/>
              <w:rPr>
                <w:b/>
                <w:bCs/>
                <w:sz w:val="22"/>
              </w:rPr>
            </w:pPr>
            <w:r>
              <w:rPr>
                <w:b/>
                <w:bCs/>
                <w:sz w:val="22"/>
                <w:szCs w:val="22"/>
              </w:rPr>
              <w:t>Total</w:t>
            </w:r>
          </w:p>
        </w:tc>
        <w:tc>
          <w:tcPr>
            <w:tcW w:w="1440" w:type="dxa"/>
          </w:tcPr>
          <w:p w:rsidRPr="00364BA5" w:rsidR="00FA3FE5" w:rsidP="00696985" w:rsidRDefault="00FA3FE5" w14:paraId="45BFEA17" w14:textId="77777777">
            <w:pPr>
              <w:widowControl/>
              <w:rPr>
                <w:sz w:val="22"/>
              </w:rPr>
            </w:pPr>
          </w:p>
        </w:tc>
        <w:tc>
          <w:tcPr>
            <w:tcW w:w="1440" w:type="dxa"/>
          </w:tcPr>
          <w:p w:rsidRPr="00364BA5" w:rsidR="00FA3FE5" w:rsidP="00696985" w:rsidRDefault="004B490E" w14:paraId="6E845097" w14:textId="5136F033">
            <w:pPr>
              <w:widowControl/>
              <w:rPr>
                <w:sz w:val="24"/>
              </w:rPr>
            </w:pPr>
            <w:r>
              <w:rPr>
                <w:sz w:val="24"/>
              </w:rPr>
              <w:t>270</w:t>
            </w:r>
          </w:p>
        </w:tc>
        <w:tc>
          <w:tcPr>
            <w:tcW w:w="1350" w:type="dxa"/>
          </w:tcPr>
          <w:p w:rsidRPr="00364BA5" w:rsidR="00FA3FE5" w:rsidP="00696985" w:rsidRDefault="00FA3FE5" w14:paraId="6514A1B2" w14:textId="77777777">
            <w:pPr>
              <w:widowControl/>
              <w:rPr>
                <w:sz w:val="24"/>
              </w:rPr>
            </w:pPr>
          </w:p>
        </w:tc>
        <w:tc>
          <w:tcPr>
            <w:tcW w:w="1440" w:type="dxa"/>
          </w:tcPr>
          <w:p w:rsidRPr="008E7066" w:rsidR="00FA3FE5" w:rsidP="00696985" w:rsidRDefault="00FA3FE5" w14:paraId="638C18C8" w14:textId="77777777">
            <w:pPr>
              <w:widowControl/>
              <w:rPr>
                <w:sz w:val="24"/>
              </w:rPr>
            </w:pPr>
          </w:p>
        </w:tc>
        <w:tc>
          <w:tcPr>
            <w:tcW w:w="1440" w:type="dxa"/>
          </w:tcPr>
          <w:p w:rsidRPr="008E7066" w:rsidR="00FA3FE5" w:rsidP="00696985" w:rsidRDefault="00FA3FE5" w14:paraId="109F98CF" w14:textId="77777777">
            <w:pPr>
              <w:widowControl/>
              <w:rPr>
                <w:sz w:val="24"/>
              </w:rPr>
            </w:pPr>
            <w:r>
              <w:rPr>
                <w:sz w:val="24"/>
              </w:rPr>
              <w:t>2,338.2</w:t>
            </w:r>
          </w:p>
        </w:tc>
      </w:tr>
    </w:tbl>
    <w:p w:rsidR="00FA3FE5" w:rsidP="00FA3FE5" w:rsidRDefault="00FA3FE5" w14:paraId="42A20EB5" w14:textId="77777777"/>
    <w:p w:rsidRPr="00E16260" w:rsidR="008B345F" w:rsidP="008B345F" w:rsidRDefault="008B345F" w14:paraId="29624135" w14:textId="77777777">
      <w:pPr>
        <w:ind w:left="720"/>
        <w:rPr>
          <w:sz w:val="24"/>
        </w:rPr>
      </w:pPr>
    </w:p>
    <w:p w:rsidRPr="005D6CCD" w:rsidR="008B345F" w:rsidP="008B345F" w:rsidRDefault="008B345F" w14:paraId="396C6938" w14:textId="77777777">
      <w:pPr>
        <w:tabs>
          <w:tab w:val="left" w:pos="480"/>
          <w:tab w:val="left" w:pos="2520"/>
        </w:tabs>
        <w:ind w:firstLine="720"/>
        <w:rPr>
          <w:b/>
          <w:i/>
          <w:sz w:val="24"/>
        </w:rPr>
      </w:pPr>
      <w:r w:rsidRPr="005D6CCD">
        <w:rPr>
          <w:b/>
          <w:i/>
          <w:sz w:val="24"/>
        </w:rPr>
        <w:t>12B. Costs to Respondents</w:t>
      </w:r>
    </w:p>
    <w:p w:rsidRPr="008E7066" w:rsidR="00AF0CDC" w:rsidP="00AF0CDC" w:rsidRDefault="008B345F" w14:paraId="0CD43415" w14:textId="77777777">
      <w:pPr>
        <w:tabs>
          <w:tab w:val="left" w:pos="480"/>
          <w:tab w:val="left" w:pos="810"/>
          <w:tab w:val="left" w:pos="1350"/>
        </w:tabs>
        <w:ind w:firstLine="720"/>
        <w:rPr>
          <w:i/>
          <w:sz w:val="24"/>
          <w:u w:val="single"/>
        </w:rPr>
      </w:pPr>
      <w:r w:rsidRPr="00D8647C">
        <w:rPr>
          <w:i/>
          <w:sz w:val="24"/>
        </w:rPr>
        <w:tab/>
      </w:r>
      <w:r w:rsidRPr="00D8647C">
        <w:rPr>
          <w:b/>
          <w:i/>
          <w:sz w:val="24"/>
        </w:rPr>
        <w:tab/>
      </w:r>
    </w:p>
    <w:p w:rsidRPr="008E7066" w:rsidR="00AF0CDC" w:rsidP="00AF0CDC" w:rsidRDefault="00AF0CDC" w14:paraId="43DEB71C" w14:textId="77777777">
      <w:pPr>
        <w:tabs>
          <w:tab w:val="left" w:pos="480"/>
          <w:tab w:val="left" w:pos="810"/>
          <w:tab w:val="left" w:pos="1350"/>
        </w:tabs>
        <w:ind w:firstLine="720"/>
        <w:rPr>
          <w:i/>
          <w:sz w:val="24"/>
          <w:u w:val="single"/>
        </w:rPr>
      </w:pPr>
      <w:r w:rsidRPr="008E7066">
        <w:rPr>
          <w:i/>
          <w:sz w:val="24"/>
          <w:u w:val="single"/>
        </w:rPr>
        <w:t>Documentation (local level)</w:t>
      </w:r>
    </w:p>
    <w:p w:rsidRPr="008E7066" w:rsidR="00AF0CDC" w:rsidP="00AF0CDC" w:rsidRDefault="00AF0CDC" w14:paraId="522390D3" w14:textId="77777777">
      <w:pPr>
        <w:tabs>
          <w:tab w:val="left" w:pos="480"/>
          <w:tab w:val="left" w:pos="810"/>
        </w:tabs>
        <w:ind w:firstLine="720"/>
        <w:rPr>
          <w:b/>
          <w:sz w:val="24"/>
        </w:rPr>
      </w:pPr>
    </w:p>
    <w:p w:rsidRPr="008E7066" w:rsidR="00AF0CDC" w:rsidP="00AF0CDC" w:rsidRDefault="00AF0CDC" w14:paraId="3977DED2" w14:textId="45EDBD3A">
      <w:pPr>
        <w:tabs>
          <w:tab w:val="left" w:pos="480"/>
          <w:tab w:val="left" w:pos="810"/>
          <w:tab w:val="left" w:pos="1350"/>
        </w:tabs>
        <w:ind w:firstLine="720"/>
        <w:rPr>
          <w:sz w:val="24"/>
        </w:rPr>
      </w:pPr>
      <w:r w:rsidRPr="008E7066">
        <w:rPr>
          <w:b/>
          <w:sz w:val="24"/>
        </w:rPr>
        <w:tab/>
      </w:r>
      <w:r w:rsidRPr="008E7066">
        <w:rPr>
          <w:b/>
          <w:sz w:val="24"/>
        </w:rPr>
        <w:tab/>
      </w:r>
      <w:r w:rsidR="005D45C5">
        <w:rPr>
          <w:sz w:val="24"/>
        </w:rPr>
        <w:t>3.03</w:t>
      </w:r>
      <w:r w:rsidRPr="008E7066">
        <w:rPr>
          <w:sz w:val="24"/>
        </w:rPr>
        <w:t xml:space="preserve"> hours x 2 (semi-annual report</w:t>
      </w:r>
      <w:r>
        <w:rPr>
          <w:sz w:val="24"/>
        </w:rPr>
        <w:t>s</w:t>
      </w:r>
      <w:r w:rsidRPr="008E7066">
        <w:rPr>
          <w:sz w:val="24"/>
        </w:rPr>
        <w:t xml:space="preserve">) = </w:t>
      </w:r>
      <w:r w:rsidR="005D45C5">
        <w:rPr>
          <w:sz w:val="24"/>
        </w:rPr>
        <w:t>6.06</w:t>
      </w:r>
      <w:r w:rsidRPr="008E7066">
        <w:rPr>
          <w:sz w:val="24"/>
        </w:rPr>
        <w:t xml:space="preserve"> hours annually</w:t>
      </w:r>
    </w:p>
    <w:p w:rsidRPr="008E7066" w:rsidR="00AF0CDC" w:rsidP="00AF0CDC" w:rsidRDefault="00AF0CDC" w14:paraId="46ABF4E8" w14:textId="77777777">
      <w:pPr>
        <w:tabs>
          <w:tab w:val="left" w:pos="480"/>
          <w:tab w:val="left" w:pos="810"/>
          <w:tab w:val="left" w:pos="1350"/>
        </w:tabs>
        <w:ind w:firstLine="720"/>
        <w:rPr>
          <w:sz w:val="24"/>
        </w:rPr>
      </w:pPr>
      <w:r w:rsidRPr="008E7066">
        <w:rPr>
          <w:sz w:val="24"/>
        </w:rPr>
        <w:tab/>
      </w:r>
      <w:r w:rsidRPr="008E7066">
        <w:rPr>
          <w:sz w:val="24"/>
        </w:rPr>
        <w:tab/>
        <w:t xml:space="preserve"> </w:t>
      </w:r>
    </w:p>
    <w:p w:rsidRPr="008E7066" w:rsidR="00AF0CDC" w:rsidP="00AF0CDC" w:rsidRDefault="005D45C5" w14:paraId="4DDF4138" w14:textId="69DA9A6C">
      <w:pPr>
        <w:tabs>
          <w:tab w:val="left" w:pos="480"/>
          <w:tab w:val="left" w:pos="1350"/>
        </w:tabs>
        <w:ind w:left="1350"/>
        <w:rPr>
          <w:sz w:val="24"/>
        </w:rPr>
      </w:pPr>
      <w:r>
        <w:rPr>
          <w:sz w:val="24"/>
        </w:rPr>
        <w:t>6.06</w:t>
      </w:r>
      <w:r w:rsidRPr="008E7066" w:rsidR="0093439C">
        <w:rPr>
          <w:sz w:val="24"/>
        </w:rPr>
        <w:t xml:space="preserve"> </w:t>
      </w:r>
      <w:r w:rsidRPr="008E7066" w:rsidR="00AF0CDC">
        <w:rPr>
          <w:sz w:val="24"/>
        </w:rPr>
        <w:t>hours annually x $2</w:t>
      </w:r>
      <w:r>
        <w:rPr>
          <w:sz w:val="24"/>
        </w:rPr>
        <w:t>4</w:t>
      </w:r>
      <w:r w:rsidRPr="008E7066" w:rsidR="00AF0CDC">
        <w:rPr>
          <w:sz w:val="24"/>
        </w:rPr>
        <w:t>.</w:t>
      </w:r>
      <w:r>
        <w:rPr>
          <w:sz w:val="24"/>
        </w:rPr>
        <w:t>26</w:t>
      </w:r>
      <w:r w:rsidRPr="008E7066" w:rsidR="00AF0CDC">
        <w:rPr>
          <w:sz w:val="24"/>
        </w:rPr>
        <w:t xml:space="preserve"> per hour = $</w:t>
      </w:r>
      <w:r w:rsidR="00B30D1C">
        <w:rPr>
          <w:sz w:val="24"/>
        </w:rPr>
        <w:t>147.02</w:t>
      </w:r>
      <w:r w:rsidRPr="008E7066" w:rsidR="00AF0CDC">
        <w:rPr>
          <w:sz w:val="24"/>
        </w:rPr>
        <w:t xml:space="preserve"> per </w:t>
      </w:r>
      <w:r w:rsidR="00692440">
        <w:rPr>
          <w:sz w:val="24"/>
        </w:rPr>
        <w:t xml:space="preserve">local respondent </w:t>
      </w:r>
      <w:r w:rsidRPr="008E7066" w:rsidR="00AF0CDC">
        <w:rPr>
          <w:sz w:val="24"/>
        </w:rPr>
        <w:t xml:space="preserve">annually. </w:t>
      </w:r>
      <w:r w:rsidR="00017B1E">
        <w:rPr>
          <w:sz w:val="24"/>
        </w:rPr>
        <w:br/>
      </w:r>
      <w:r w:rsidRPr="008E7066" w:rsidR="00AF0CDC">
        <w:rPr>
          <w:sz w:val="24"/>
        </w:rPr>
        <w:t>This estimate is based on the projected salary for a local government social service worker</w:t>
      </w:r>
      <w:r w:rsidR="00AF0CDC">
        <w:rPr>
          <w:sz w:val="24"/>
        </w:rPr>
        <w:t>,</w:t>
      </w:r>
      <w:r w:rsidRPr="008E7066" w:rsidR="00AF0CDC">
        <w:rPr>
          <w:sz w:val="24"/>
        </w:rPr>
        <w:t xml:space="preserve"> according to the U.S. Bureau of Labor Statistics</w:t>
      </w:r>
      <w:r w:rsidRPr="008E7066" w:rsidR="00AF0CDC">
        <w:rPr>
          <w:rStyle w:val="FootnoteReference"/>
          <w:rFonts w:ascii="Times New (W1)" w:hAnsi="Times New (W1)"/>
          <w:sz w:val="24"/>
          <w:vertAlign w:val="superscript"/>
        </w:rPr>
        <w:footnoteReference w:id="1"/>
      </w:r>
      <w:r w:rsidRPr="008E7066" w:rsidR="00AF0CDC">
        <w:rPr>
          <w:sz w:val="24"/>
        </w:rPr>
        <w:t xml:space="preserve"> </w:t>
      </w:r>
    </w:p>
    <w:p w:rsidRPr="008E7066" w:rsidR="00AF0CDC" w:rsidP="00AF0CDC" w:rsidRDefault="00AF0CDC" w14:paraId="08D5F27D" w14:textId="77777777">
      <w:pPr>
        <w:tabs>
          <w:tab w:val="left" w:pos="480"/>
          <w:tab w:val="left" w:pos="1350"/>
        </w:tabs>
        <w:ind w:left="1350"/>
        <w:rPr>
          <w:sz w:val="24"/>
        </w:rPr>
      </w:pPr>
    </w:p>
    <w:p w:rsidRPr="008E7066" w:rsidR="00AF0CDC" w:rsidP="00AF0CDC" w:rsidRDefault="00AF0CDC" w14:paraId="12C46387" w14:textId="108DA729">
      <w:pPr>
        <w:tabs>
          <w:tab w:val="left" w:pos="720"/>
          <w:tab w:val="left" w:pos="1350"/>
        </w:tabs>
        <w:ind w:firstLine="720"/>
        <w:rPr>
          <w:sz w:val="24"/>
        </w:rPr>
      </w:pPr>
      <w:r w:rsidRPr="008E7066">
        <w:rPr>
          <w:sz w:val="24"/>
        </w:rPr>
        <w:tab/>
        <w:t>$</w:t>
      </w:r>
      <w:r w:rsidR="00995C7E">
        <w:rPr>
          <w:sz w:val="24"/>
        </w:rPr>
        <w:t>147.02</w:t>
      </w:r>
      <w:r w:rsidRPr="008E7066" w:rsidR="00995C7E">
        <w:rPr>
          <w:sz w:val="24"/>
        </w:rPr>
        <w:t xml:space="preserve"> </w:t>
      </w:r>
      <w:r w:rsidRPr="008E7066">
        <w:rPr>
          <w:sz w:val="24"/>
        </w:rPr>
        <w:t xml:space="preserve">x </w:t>
      </w:r>
      <w:r w:rsidR="00995C7E">
        <w:rPr>
          <w:sz w:val="24"/>
        </w:rPr>
        <w:t>180</w:t>
      </w:r>
      <w:r w:rsidR="00017B1E">
        <w:rPr>
          <w:sz w:val="24"/>
        </w:rPr>
        <w:t xml:space="preserve"> </w:t>
      </w:r>
      <w:r>
        <w:rPr>
          <w:sz w:val="24"/>
        </w:rPr>
        <w:t xml:space="preserve">local </w:t>
      </w:r>
      <w:r w:rsidR="00995C7E">
        <w:rPr>
          <w:sz w:val="24"/>
        </w:rPr>
        <w:t xml:space="preserve">program </w:t>
      </w:r>
      <w:r>
        <w:rPr>
          <w:sz w:val="24"/>
        </w:rPr>
        <w:t>sites</w:t>
      </w:r>
      <w:r w:rsidRPr="008E7066">
        <w:rPr>
          <w:sz w:val="24"/>
        </w:rPr>
        <w:t xml:space="preserve"> = $</w:t>
      </w:r>
      <w:r w:rsidR="00995C7E">
        <w:rPr>
          <w:sz w:val="24"/>
        </w:rPr>
        <w:t>26</w:t>
      </w:r>
      <w:r w:rsidR="0093439C">
        <w:rPr>
          <w:sz w:val="24"/>
        </w:rPr>
        <w:t>,</w:t>
      </w:r>
      <w:r w:rsidR="00995C7E">
        <w:rPr>
          <w:sz w:val="24"/>
        </w:rPr>
        <w:t>463</w:t>
      </w:r>
      <w:r w:rsidR="0093439C">
        <w:rPr>
          <w:sz w:val="24"/>
        </w:rPr>
        <w:t>.</w:t>
      </w:r>
      <w:r w:rsidR="00995C7E">
        <w:rPr>
          <w:sz w:val="24"/>
        </w:rPr>
        <w:t>60</w:t>
      </w:r>
      <w:r w:rsidRPr="008E7066" w:rsidR="00995C7E">
        <w:rPr>
          <w:sz w:val="24"/>
        </w:rPr>
        <w:t xml:space="preserve"> </w:t>
      </w:r>
      <w:r w:rsidRPr="008E7066">
        <w:rPr>
          <w:sz w:val="24"/>
        </w:rPr>
        <w:t xml:space="preserve">annually </w:t>
      </w:r>
    </w:p>
    <w:p w:rsidRPr="008E7066" w:rsidR="00AF0CDC" w:rsidP="00AF0CDC" w:rsidRDefault="00AF0CDC" w14:paraId="132AFBC7" w14:textId="77777777">
      <w:pPr>
        <w:tabs>
          <w:tab w:val="left" w:pos="1080"/>
        </w:tabs>
        <w:ind w:firstLine="720"/>
        <w:rPr>
          <w:sz w:val="24"/>
        </w:rPr>
      </w:pPr>
    </w:p>
    <w:p w:rsidRPr="008E7066" w:rsidR="00AF0CDC" w:rsidP="00AF0CDC" w:rsidRDefault="00AF0CDC" w14:paraId="7309AA93" w14:textId="25529488">
      <w:pPr>
        <w:tabs>
          <w:tab w:val="left" w:pos="480"/>
          <w:tab w:val="left" w:pos="1350"/>
        </w:tabs>
        <w:ind w:firstLine="720"/>
        <w:rPr>
          <w:i/>
          <w:sz w:val="24"/>
          <w:u w:val="single"/>
        </w:rPr>
      </w:pPr>
      <w:r w:rsidRPr="008E7066">
        <w:rPr>
          <w:b/>
          <w:i/>
          <w:sz w:val="24"/>
        </w:rPr>
        <w:tab/>
      </w:r>
      <w:r w:rsidRPr="008E7066">
        <w:rPr>
          <w:i/>
          <w:sz w:val="24"/>
          <w:u w:val="single"/>
        </w:rPr>
        <w:t>Preparing ADP-DRT (</w:t>
      </w:r>
      <w:r w:rsidR="00597240">
        <w:rPr>
          <w:i/>
          <w:sz w:val="24"/>
          <w:u w:val="single"/>
        </w:rPr>
        <w:t>grantee</w:t>
      </w:r>
      <w:r w:rsidRPr="008E7066">
        <w:rPr>
          <w:i/>
          <w:sz w:val="24"/>
          <w:u w:val="single"/>
        </w:rPr>
        <w:t xml:space="preserve"> level) </w:t>
      </w:r>
    </w:p>
    <w:p w:rsidRPr="008E7066" w:rsidR="00AF0CDC" w:rsidP="00AF0CDC" w:rsidRDefault="00AF0CDC" w14:paraId="54E1CCD3" w14:textId="77777777">
      <w:pPr>
        <w:tabs>
          <w:tab w:val="left" w:pos="480"/>
          <w:tab w:val="left" w:pos="2520"/>
        </w:tabs>
        <w:ind w:firstLine="720"/>
        <w:rPr>
          <w:sz w:val="24"/>
        </w:rPr>
      </w:pPr>
    </w:p>
    <w:p w:rsidRPr="008E7066" w:rsidR="00AF0CDC" w:rsidP="00AF0CDC" w:rsidRDefault="00AF0CDC" w14:paraId="757BAB91" w14:textId="35FCC30A">
      <w:pPr>
        <w:tabs>
          <w:tab w:val="left" w:pos="480"/>
          <w:tab w:val="left" w:pos="720"/>
          <w:tab w:val="left" w:pos="1350"/>
        </w:tabs>
        <w:ind w:firstLine="720"/>
        <w:rPr>
          <w:sz w:val="24"/>
        </w:rPr>
      </w:pPr>
      <w:r w:rsidRPr="008E7066">
        <w:rPr>
          <w:sz w:val="24"/>
        </w:rPr>
        <w:tab/>
      </w:r>
      <w:r w:rsidR="00995C7E">
        <w:rPr>
          <w:sz w:val="24"/>
        </w:rPr>
        <w:t>6.93</w:t>
      </w:r>
      <w:r w:rsidR="00AD5D31">
        <w:rPr>
          <w:sz w:val="24"/>
        </w:rPr>
        <w:t xml:space="preserve"> </w:t>
      </w:r>
      <w:r>
        <w:rPr>
          <w:sz w:val="24"/>
        </w:rPr>
        <w:t>hours</w:t>
      </w:r>
      <w:r w:rsidRPr="008E7066">
        <w:rPr>
          <w:sz w:val="24"/>
        </w:rPr>
        <w:t xml:space="preserve"> x 2 (semi-annual report</w:t>
      </w:r>
      <w:r>
        <w:rPr>
          <w:sz w:val="24"/>
        </w:rPr>
        <w:t>s</w:t>
      </w:r>
      <w:r w:rsidRPr="008E7066">
        <w:rPr>
          <w:sz w:val="24"/>
        </w:rPr>
        <w:t xml:space="preserve">) = </w:t>
      </w:r>
      <w:r w:rsidR="00995C7E">
        <w:rPr>
          <w:sz w:val="24"/>
        </w:rPr>
        <w:t>13.86</w:t>
      </w:r>
    </w:p>
    <w:p w:rsidRPr="008E7066" w:rsidR="00AF0CDC" w:rsidP="00AF0CDC" w:rsidRDefault="00995C7E" w14:paraId="2471CF9D" w14:textId="23D86FBA">
      <w:pPr>
        <w:tabs>
          <w:tab w:val="left" w:pos="480"/>
          <w:tab w:val="left" w:pos="720"/>
          <w:tab w:val="left" w:pos="1350"/>
        </w:tabs>
        <w:ind w:left="1350"/>
        <w:rPr>
          <w:sz w:val="24"/>
        </w:rPr>
      </w:pPr>
      <w:r>
        <w:rPr>
          <w:sz w:val="24"/>
        </w:rPr>
        <w:t>13.86</w:t>
      </w:r>
      <w:r w:rsidRPr="008E7066" w:rsidR="00597240">
        <w:rPr>
          <w:sz w:val="24"/>
        </w:rPr>
        <w:t xml:space="preserve"> </w:t>
      </w:r>
      <w:r w:rsidRPr="008E7066" w:rsidR="00AF0CDC">
        <w:rPr>
          <w:sz w:val="24"/>
        </w:rPr>
        <w:t>hours x $</w:t>
      </w:r>
      <w:r>
        <w:rPr>
          <w:sz w:val="24"/>
        </w:rPr>
        <w:t>47.62</w:t>
      </w:r>
      <w:r w:rsidRPr="008E7066" w:rsidR="00AF0CDC">
        <w:rPr>
          <w:sz w:val="24"/>
        </w:rPr>
        <w:t xml:space="preserve"> per hour (average salary reported among </w:t>
      </w:r>
      <w:r>
        <w:rPr>
          <w:sz w:val="24"/>
        </w:rPr>
        <w:t xml:space="preserve">ACL </w:t>
      </w:r>
      <w:r w:rsidRPr="008E7066">
        <w:rPr>
          <w:sz w:val="24"/>
        </w:rPr>
        <w:t>A</w:t>
      </w:r>
      <w:r>
        <w:rPr>
          <w:sz w:val="24"/>
        </w:rPr>
        <w:t>DP</w:t>
      </w:r>
      <w:r w:rsidRPr="008E7066">
        <w:rPr>
          <w:sz w:val="24"/>
        </w:rPr>
        <w:t xml:space="preserve"> </w:t>
      </w:r>
      <w:r w:rsidRPr="008E7066" w:rsidR="00AF0CDC">
        <w:rPr>
          <w:sz w:val="24"/>
        </w:rPr>
        <w:t>project directors) = $</w:t>
      </w:r>
      <w:r>
        <w:rPr>
          <w:sz w:val="24"/>
        </w:rPr>
        <w:t>660.01</w:t>
      </w:r>
      <w:r w:rsidR="00AF0CDC">
        <w:rPr>
          <w:sz w:val="24"/>
        </w:rPr>
        <w:t xml:space="preserve"> per grant</w:t>
      </w:r>
      <w:r w:rsidRPr="008E7066" w:rsidR="00AF0CDC">
        <w:rPr>
          <w:sz w:val="24"/>
        </w:rPr>
        <w:t xml:space="preserve"> annually x </w:t>
      </w:r>
      <w:r>
        <w:rPr>
          <w:sz w:val="24"/>
        </w:rPr>
        <w:t xml:space="preserve">90 </w:t>
      </w:r>
      <w:r w:rsidR="00AF0CDC">
        <w:rPr>
          <w:sz w:val="24"/>
        </w:rPr>
        <w:t>grants</w:t>
      </w:r>
      <w:r w:rsidRPr="008E7066" w:rsidR="00AF0CDC">
        <w:rPr>
          <w:sz w:val="24"/>
        </w:rPr>
        <w:t xml:space="preserve"> = $</w:t>
      </w:r>
      <w:r>
        <w:rPr>
          <w:sz w:val="24"/>
        </w:rPr>
        <w:t>5</w:t>
      </w:r>
      <w:r w:rsidR="00167D00">
        <w:rPr>
          <w:sz w:val="24"/>
        </w:rPr>
        <w:t>9,</w:t>
      </w:r>
      <w:r>
        <w:rPr>
          <w:sz w:val="24"/>
        </w:rPr>
        <w:t>401</w:t>
      </w:r>
      <w:r w:rsidR="00167D00">
        <w:rPr>
          <w:sz w:val="24"/>
        </w:rPr>
        <w:t>.</w:t>
      </w:r>
      <w:r>
        <w:rPr>
          <w:sz w:val="24"/>
        </w:rPr>
        <w:t>18</w:t>
      </w:r>
      <w:r w:rsidRPr="008E7066">
        <w:rPr>
          <w:sz w:val="24"/>
        </w:rPr>
        <w:t xml:space="preserve"> </w:t>
      </w:r>
      <w:r w:rsidRPr="008E7066" w:rsidR="00AF0CDC">
        <w:rPr>
          <w:sz w:val="24"/>
        </w:rPr>
        <w:t xml:space="preserve">annually </w:t>
      </w:r>
    </w:p>
    <w:p w:rsidRPr="008E7066" w:rsidR="00AF0CDC" w:rsidP="00AF0CDC" w:rsidRDefault="00AF0CDC" w14:paraId="3D369047" w14:textId="77777777">
      <w:pPr>
        <w:widowControl/>
        <w:rPr>
          <w:sz w:val="24"/>
        </w:rPr>
      </w:pPr>
    </w:p>
    <w:tbl>
      <w:tblPr>
        <w:tblW w:w="820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440"/>
        <w:gridCol w:w="1440"/>
        <w:gridCol w:w="900"/>
        <w:gridCol w:w="1530"/>
        <w:gridCol w:w="1548"/>
      </w:tblGrid>
      <w:tr w:rsidRPr="008E7066" w:rsidR="00AF0CDC" w:rsidTr="00B663C6" w14:paraId="61FA95BB" w14:textId="77777777">
        <w:trPr>
          <w:trHeight w:val="941"/>
        </w:trPr>
        <w:tc>
          <w:tcPr>
            <w:tcW w:w="1350" w:type="dxa"/>
          </w:tcPr>
          <w:p w:rsidRPr="008E7066" w:rsidR="00AF0CDC" w:rsidP="00AF0CDC" w:rsidRDefault="00AF0CDC" w14:paraId="7149D040" w14:textId="77777777">
            <w:pPr>
              <w:widowControl/>
              <w:rPr>
                <w:b/>
                <w:bCs/>
                <w:sz w:val="22"/>
              </w:rPr>
            </w:pPr>
            <w:r w:rsidRPr="008E7066">
              <w:rPr>
                <w:b/>
                <w:bCs/>
                <w:sz w:val="22"/>
                <w:szCs w:val="22"/>
              </w:rPr>
              <w:t>Type of</w:t>
            </w:r>
          </w:p>
          <w:p w:rsidRPr="008E7066" w:rsidR="00AF0CDC" w:rsidP="00AF0CDC" w:rsidRDefault="00AF0CDC" w14:paraId="37C72CFF" w14:textId="77777777">
            <w:pPr>
              <w:widowControl/>
              <w:rPr>
                <w:sz w:val="22"/>
              </w:rPr>
            </w:pPr>
            <w:r w:rsidRPr="008E7066">
              <w:rPr>
                <w:b/>
                <w:bCs/>
                <w:sz w:val="22"/>
                <w:szCs w:val="22"/>
              </w:rPr>
              <w:t>Respondent</w:t>
            </w:r>
          </w:p>
          <w:p w:rsidRPr="008E7066" w:rsidR="00AF0CDC" w:rsidP="00AF0CDC" w:rsidRDefault="00AF0CDC" w14:paraId="6F161551" w14:textId="77777777">
            <w:pPr>
              <w:widowControl/>
              <w:rPr>
                <w:b/>
                <w:bCs/>
                <w:sz w:val="22"/>
              </w:rPr>
            </w:pPr>
          </w:p>
        </w:tc>
        <w:tc>
          <w:tcPr>
            <w:tcW w:w="1440" w:type="dxa"/>
          </w:tcPr>
          <w:p w:rsidRPr="004F7152" w:rsidR="00AF0CDC" w:rsidP="00AF0CDC" w:rsidRDefault="00AF0CDC" w14:paraId="3D3CA6BB" w14:textId="77777777">
            <w:pPr>
              <w:widowControl/>
              <w:rPr>
                <w:b/>
                <w:bCs/>
                <w:sz w:val="22"/>
              </w:rPr>
            </w:pPr>
            <w:r w:rsidRPr="004F7152">
              <w:rPr>
                <w:b/>
                <w:bCs/>
                <w:sz w:val="22"/>
                <w:szCs w:val="22"/>
              </w:rPr>
              <w:t>No. of</w:t>
            </w:r>
          </w:p>
          <w:p w:rsidRPr="008E7066" w:rsidR="00AF0CDC" w:rsidP="00AF0CDC" w:rsidRDefault="00AF0CDC" w14:paraId="5AD539C3" w14:textId="77777777">
            <w:pPr>
              <w:widowControl/>
              <w:rPr>
                <w:b/>
                <w:bCs/>
                <w:sz w:val="22"/>
              </w:rPr>
            </w:pPr>
            <w:r w:rsidRPr="004F7152">
              <w:rPr>
                <w:b/>
                <w:bCs/>
                <w:sz w:val="22"/>
                <w:szCs w:val="22"/>
              </w:rPr>
              <w:t>Respondents</w:t>
            </w:r>
          </w:p>
        </w:tc>
        <w:tc>
          <w:tcPr>
            <w:tcW w:w="1440" w:type="dxa"/>
          </w:tcPr>
          <w:p w:rsidRPr="008E7066" w:rsidR="00AF0CDC" w:rsidP="00AF0CDC" w:rsidRDefault="00AF0CDC" w14:paraId="4115C1E9" w14:textId="77777777">
            <w:pPr>
              <w:widowControl/>
              <w:rPr>
                <w:b/>
                <w:bCs/>
                <w:sz w:val="22"/>
              </w:rPr>
            </w:pPr>
            <w:r w:rsidRPr="008E7066">
              <w:rPr>
                <w:b/>
                <w:bCs/>
                <w:sz w:val="22"/>
                <w:szCs w:val="22"/>
              </w:rPr>
              <w:t xml:space="preserve">Total </w:t>
            </w:r>
            <w:r>
              <w:rPr>
                <w:b/>
                <w:bCs/>
                <w:sz w:val="22"/>
                <w:szCs w:val="22"/>
              </w:rPr>
              <w:t xml:space="preserve">Annual </w:t>
            </w:r>
            <w:r w:rsidRPr="008E7066">
              <w:rPr>
                <w:b/>
                <w:bCs/>
                <w:sz w:val="22"/>
                <w:szCs w:val="22"/>
              </w:rPr>
              <w:t>Burden</w:t>
            </w:r>
          </w:p>
          <w:p w:rsidRPr="008E7066" w:rsidR="00AF0CDC" w:rsidP="00AF0CDC" w:rsidRDefault="00AF0CDC" w14:paraId="7ABCD9D6" w14:textId="77777777">
            <w:pPr>
              <w:widowControl/>
              <w:rPr>
                <w:sz w:val="22"/>
              </w:rPr>
            </w:pPr>
            <w:r w:rsidRPr="008E7066">
              <w:rPr>
                <w:b/>
                <w:bCs/>
                <w:sz w:val="22"/>
                <w:szCs w:val="22"/>
              </w:rPr>
              <w:t>Hours Per Respondent</w:t>
            </w:r>
          </w:p>
          <w:p w:rsidRPr="008E7066" w:rsidR="00AF0CDC" w:rsidP="00AF0CDC" w:rsidRDefault="00AF0CDC" w14:paraId="39FDF0E9" w14:textId="77777777">
            <w:pPr>
              <w:widowControl/>
              <w:rPr>
                <w:b/>
                <w:bCs/>
                <w:sz w:val="22"/>
              </w:rPr>
            </w:pPr>
          </w:p>
        </w:tc>
        <w:tc>
          <w:tcPr>
            <w:tcW w:w="900" w:type="dxa"/>
          </w:tcPr>
          <w:p w:rsidRPr="008E7066" w:rsidR="00AF0CDC" w:rsidP="00AF0CDC" w:rsidRDefault="00AF0CDC" w14:paraId="5E0FF262" w14:textId="77777777">
            <w:pPr>
              <w:widowControl/>
              <w:rPr>
                <w:b/>
                <w:bCs/>
                <w:sz w:val="22"/>
              </w:rPr>
            </w:pPr>
            <w:r w:rsidRPr="008E7066">
              <w:rPr>
                <w:b/>
                <w:bCs/>
                <w:sz w:val="22"/>
                <w:szCs w:val="22"/>
              </w:rPr>
              <w:t>Hourly</w:t>
            </w:r>
          </w:p>
          <w:p w:rsidRPr="008E7066" w:rsidR="00AF0CDC" w:rsidP="00AF0CDC" w:rsidRDefault="00AF0CDC" w14:paraId="24D28E58" w14:textId="77777777">
            <w:pPr>
              <w:widowControl/>
              <w:rPr>
                <w:sz w:val="22"/>
              </w:rPr>
            </w:pPr>
            <w:r w:rsidRPr="008E7066">
              <w:rPr>
                <w:b/>
                <w:bCs/>
                <w:sz w:val="22"/>
                <w:szCs w:val="22"/>
              </w:rPr>
              <w:t>Wage Rate</w:t>
            </w:r>
          </w:p>
          <w:p w:rsidRPr="008E7066" w:rsidR="00AF0CDC" w:rsidP="00AF0CDC" w:rsidRDefault="00AF0CDC" w14:paraId="3CAB794C" w14:textId="77777777">
            <w:pPr>
              <w:widowControl/>
              <w:rPr>
                <w:b/>
                <w:bCs/>
                <w:sz w:val="22"/>
              </w:rPr>
            </w:pPr>
          </w:p>
        </w:tc>
        <w:tc>
          <w:tcPr>
            <w:tcW w:w="1530" w:type="dxa"/>
          </w:tcPr>
          <w:p w:rsidRPr="008E7066" w:rsidR="00AF0CDC" w:rsidP="00AF0CDC" w:rsidRDefault="00AF0CDC" w14:paraId="19591C59" w14:textId="77777777">
            <w:pPr>
              <w:widowControl/>
              <w:rPr>
                <w:sz w:val="22"/>
              </w:rPr>
            </w:pPr>
            <w:r w:rsidRPr="008E7066">
              <w:rPr>
                <w:b/>
                <w:bCs/>
                <w:sz w:val="22"/>
                <w:szCs w:val="22"/>
              </w:rPr>
              <w:t>Total Annual Cost Per Respondent</w:t>
            </w:r>
          </w:p>
          <w:p w:rsidRPr="008E7066" w:rsidR="00AF0CDC" w:rsidP="00AF0CDC" w:rsidRDefault="00AF0CDC" w14:paraId="0AA13D9B" w14:textId="77777777">
            <w:pPr>
              <w:widowControl/>
              <w:rPr>
                <w:b/>
                <w:bCs/>
                <w:sz w:val="22"/>
              </w:rPr>
            </w:pPr>
          </w:p>
        </w:tc>
        <w:tc>
          <w:tcPr>
            <w:tcW w:w="1548" w:type="dxa"/>
          </w:tcPr>
          <w:p w:rsidRPr="008E7066" w:rsidR="00AF0CDC" w:rsidP="00AF0CDC" w:rsidRDefault="00AF0CDC" w14:paraId="66C50A6B" w14:textId="77777777">
            <w:pPr>
              <w:widowControl/>
              <w:rPr>
                <w:sz w:val="22"/>
              </w:rPr>
            </w:pPr>
            <w:r w:rsidRPr="008E7066">
              <w:rPr>
                <w:b/>
                <w:bCs/>
                <w:sz w:val="22"/>
                <w:szCs w:val="22"/>
              </w:rPr>
              <w:t xml:space="preserve">Total Annual Cost Per </w:t>
            </w:r>
            <w:r>
              <w:rPr>
                <w:b/>
                <w:bCs/>
                <w:sz w:val="22"/>
                <w:szCs w:val="22"/>
              </w:rPr>
              <w:t>Grant</w:t>
            </w:r>
          </w:p>
          <w:p w:rsidRPr="008E7066" w:rsidR="00AF0CDC" w:rsidP="00AF0CDC" w:rsidRDefault="00AF0CDC" w14:paraId="302DA408" w14:textId="77777777">
            <w:pPr>
              <w:widowControl/>
              <w:rPr>
                <w:b/>
                <w:bCs/>
                <w:sz w:val="22"/>
              </w:rPr>
            </w:pPr>
          </w:p>
        </w:tc>
      </w:tr>
      <w:tr w:rsidRPr="008E7066" w:rsidR="00AF0CDC" w:rsidTr="00B663C6" w14:paraId="179A0261" w14:textId="77777777">
        <w:trPr>
          <w:trHeight w:val="157"/>
        </w:trPr>
        <w:tc>
          <w:tcPr>
            <w:tcW w:w="1350" w:type="dxa"/>
          </w:tcPr>
          <w:p w:rsidRPr="008E7066" w:rsidR="00AF0CDC" w:rsidP="00AF0CDC" w:rsidRDefault="00AF0CDC" w14:paraId="654F0411" w14:textId="202CC03D">
            <w:pPr>
              <w:rPr>
                <w:sz w:val="24"/>
              </w:rPr>
            </w:pPr>
            <w:r w:rsidRPr="008E7066">
              <w:rPr>
                <w:sz w:val="24"/>
              </w:rPr>
              <w:t xml:space="preserve">Data Entry by Local </w:t>
            </w:r>
            <w:r w:rsidR="002A5E73">
              <w:rPr>
                <w:sz w:val="24"/>
              </w:rPr>
              <w:t xml:space="preserve">Program </w:t>
            </w:r>
            <w:r w:rsidRPr="008E7066">
              <w:rPr>
                <w:sz w:val="24"/>
              </w:rPr>
              <w:t>S</w:t>
            </w:r>
            <w:r>
              <w:rPr>
                <w:sz w:val="24"/>
              </w:rPr>
              <w:t>ite S</w:t>
            </w:r>
            <w:r w:rsidRPr="008E7066">
              <w:rPr>
                <w:sz w:val="24"/>
              </w:rPr>
              <w:t>taff</w:t>
            </w:r>
          </w:p>
        </w:tc>
        <w:tc>
          <w:tcPr>
            <w:tcW w:w="1440" w:type="dxa"/>
          </w:tcPr>
          <w:p w:rsidRPr="008E7066" w:rsidR="00AF0CDC" w:rsidP="00AF0CDC" w:rsidRDefault="002A5E73" w14:paraId="235BF7EA" w14:textId="4142EF56">
            <w:pPr>
              <w:rPr>
                <w:sz w:val="24"/>
              </w:rPr>
            </w:pPr>
            <w:r>
              <w:rPr>
                <w:sz w:val="24"/>
              </w:rPr>
              <w:t>180</w:t>
            </w:r>
          </w:p>
        </w:tc>
        <w:tc>
          <w:tcPr>
            <w:tcW w:w="1440" w:type="dxa"/>
          </w:tcPr>
          <w:p w:rsidRPr="008E7066" w:rsidR="00AF0CDC" w:rsidP="00AF0CDC" w:rsidRDefault="002A5E73" w14:paraId="1A428987" w14:textId="3FE49BFF">
            <w:pPr>
              <w:rPr>
                <w:sz w:val="24"/>
              </w:rPr>
            </w:pPr>
            <w:r>
              <w:rPr>
                <w:sz w:val="24"/>
              </w:rPr>
              <w:t>6.06</w:t>
            </w:r>
          </w:p>
        </w:tc>
        <w:tc>
          <w:tcPr>
            <w:tcW w:w="900" w:type="dxa"/>
          </w:tcPr>
          <w:p w:rsidRPr="008E7066" w:rsidR="00AF0CDC" w:rsidRDefault="00AF0CDC" w14:paraId="05A2B865" w14:textId="62EC2683">
            <w:pPr>
              <w:jc w:val="right"/>
              <w:rPr>
                <w:sz w:val="24"/>
              </w:rPr>
            </w:pPr>
            <w:r w:rsidRPr="008E7066">
              <w:rPr>
                <w:sz w:val="24"/>
              </w:rPr>
              <w:t>$</w:t>
            </w:r>
            <w:r w:rsidR="002A5E73">
              <w:rPr>
                <w:sz w:val="24"/>
              </w:rPr>
              <w:t>24.26</w:t>
            </w:r>
          </w:p>
        </w:tc>
        <w:tc>
          <w:tcPr>
            <w:tcW w:w="1530" w:type="dxa"/>
          </w:tcPr>
          <w:p w:rsidRPr="008E7066" w:rsidR="00AF0CDC" w:rsidRDefault="00AF0CDC" w14:paraId="4E889E95" w14:textId="188E52B9">
            <w:pPr>
              <w:jc w:val="right"/>
              <w:rPr>
                <w:sz w:val="24"/>
              </w:rPr>
            </w:pPr>
            <w:r w:rsidRPr="008E7066">
              <w:rPr>
                <w:sz w:val="24"/>
              </w:rPr>
              <w:t>$</w:t>
            </w:r>
            <w:r w:rsidR="002A5E73">
              <w:rPr>
                <w:sz w:val="24"/>
              </w:rPr>
              <w:t>147.02</w:t>
            </w:r>
          </w:p>
        </w:tc>
        <w:tc>
          <w:tcPr>
            <w:tcW w:w="1548" w:type="dxa"/>
          </w:tcPr>
          <w:p w:rsidRPr="008E7066" w:rsidR="00AF0CDC" w:rsidRDefault="00AF0CDC" w14:paraId="6A389431" w14:textId="02EFB4B0">
            <w:pPr>
              <w:jc w:val="right"/>
              <w:rPr>
                <w:sz w:val="24"/>
              </w:rPr>
            </w:pPr>
            <w:r>
              <w:rPr>
                <w:sz w:val="24"/>
              </w:rPr>
              <w:t>$</w:t>
            </w:r>
            <w:r w:rsidR="00386D7A">
              <w:rPr>
                <w:sz w:val="24"/>
              </w:rPr>
              <w:t>294.04</w:t>
            </w:r>
          </w:p>
        </w:tc>
      </w:tr>
      <w:tr w:rsidRPr="008E7066" w:rsidR="00AF0CDC" w:rsidTr="00B663C6" w14:paraId="290E2EAE" w14:textId="77777777">
        <w:trPr>
          <w:trHeight w:val="157"/>
        </w:trPr>
        <w:tc>
          <w:tcPr>
            <w:tcW w:w="1350" w:type="dxa"/>
          </w:tcPr>
          <w:p w:rsidRPr="008E7066" w:rsidR="00AF0CDC" w:rsidP="00AF0CDC" w:rsidRDefault="00597240" w14:paraId="0A5A1045" w14:textId="77777777">
            <w:pPr>
              <w:rPr>
                <w:sz w:val="24"/>
              </w:rPr>
            </w:pPr>
            <w:r>
              <w:rPr>
                <w:sz w:val="24"/>
              </w:rPr>
              <w:t>Data Preparation for submission by Grantee</w:t>
            </w:r>
            <w:r w:rsidRPr="008E7066" w:rsidR="00AF0CDC">
              <w:rPr>
                <w:sz w:val="24"/>
              </w:rPr>
              <w:t xml:space="preserve"> Staff</w:t>
            </w:r>
          </w:p>
        </w:tc>
        <w:tc>
          <w:tcPr>
            <w:tcW w:w="1440" w:type="dxa"/>
          </w:tcPr>
          <w:p w:rsidRPr="008E7066" w:rsidR="00AF0CDC" w:rsidP="00AF0CDC" w:rsidRDefault="00386D7A" w14:paraId="3C2ED00E" w14:textId="56B1D542">
            <w:pPr>
              <w:rPr>
                <w:sz w:val="24"/>
              </w:rPr>
            </w:pPr>
            <w:r>
              <w:rPr>
                <w:sz w:val="24"/>
              </w:rPr>
              <w:t>90</w:t>
            </w:r>
          </w:p>
        </w:tc>
        <w:tc>
          <w:tcPr>
            <w:tcW w:w="1440" w:type="dxa"/>
          </w:tcPr>
          <w:p w:rsidRPr="008E7066" w:rsidR="00AF0CDC" w:rsidP="00AF0CDC" w:rsidRDefault="00386D7A" w14:paraId="6AF06A45" w14:textId="7F4F373D">
            <w:pPr>
              <w:rPr>
                <w:sz w:val="24"/>
              </w:rPr>
            </w:pPr>
            <w:r>
              <w:rPr>
                <w:sz w:val="24"/>
              </w:rPr>
              <w:t>13.86</w:t>
            </w:r>
          </w:p>
        </w:tc>
        <w:tc>
          <w:tcPr>
            <w:tcW w:w="900" w:type="dxa"/>
          </w:tcPr>
          <w:p w:rsidRPr="008E7066" w:rsidR="00AF0CDC" w:rsidP="00167D00" w:rsidRDefault="00AF0CDC" w14:paraId="2429DA52" w14:textId="1D071F71">
            <w:pPr>
              <w:jc w:val="center"/>
              <w:rPr>
                <w:sz w:val="24"/>
              </w:rPr>
            </w:pPr>
            <w:r w:rsidRPr="008E7066">
              <w:rPr>
                <w:sz w:val="24"/>
              </w:rPr>
              <w:t>$</w:t>
            </w:r>
            <w:r w:rsidR="00386D7A">
              <w:rPr>
                <w:sz w:val="24"/>
              </w:rPr>
              <w:t>47.62</w:t>
            </w:r>
          </w:p>
        </w:tc>
        <w:tc>
          <w:tcPr>
            <w:tcW w:w="1530" w:type="dxa"/>
          </w:tcPr>
          <w:p w:rsidRPr="008E7066" w:rsidR="00AF0CDC" w:rsidP="00B663C6" w:rsidRDefault="00AF0CDC" w14:paraId="74A93C00" w14:textId="354DE454">
            <w:pPr>
              <w:jc w:val="right"/>
              <w:rPr>
                <w:sz w:val="24"/>
              </w:rPr>
            </w:pPr>
            <w:r w:rsidRPr="008E7066">
              <w:rPr>
                <w:sz w:val="24"/>
              </w:rPr>
              <w:t>$</w:t>
            </w:r>
            <w:r w:rsidR="00386D7A">
              <w:rPr>
                <w:sz w:val="24"/>
              </w:rPr>
              <w:t>660.01</w:t>
            </w:r>
          </w:p>
        </w:tc>
        <w:tc>
          <w:tcPr>
            <w:tcW w:w="1548" w:type="dxa"/>
          </w:tcPr>
          <w:p w:rsidRPr="008E7066" w:rsidR="00AF0CDC" w:rsidP="00AF0CDC" w:rsidRDefault="00B663C6" w14:paraId="1B6FBF64" w14:textId="083D3FCA">
            <w:pPr>
              <w:jc w:val="right"/>
              <w:rPr>
                <w:sz w:val="24"/>
              </w:rPr>
            </w:pPr>
            <w:r w:rsidRPr="008E7066">
              <w:rPr>
                <w:sz w:val="24"/>
              </w:rPr>
              <w:t>$</w:t>
            </w:r>
            <w:r w:rsidR="00386D7A">
              <w:rPr>
                <w:sz w:val="24"/>
              </w:rPr>
              <w:t>660.01</w:t>
            </w:r>
          </w:p>
        </w:tc>
      </w:tr>
    </w:tbl>
    <w:p w:rsidRPr="000903A6" w:rsidR="00AF0CDC" w:rsidP="00AF0CDC" w:rsidRDefault="00AF0CDC" w14:paraId="20218A67" w14:textId="77777777">
      <w:pPr>
        <w:pStyle w:val="BodyTextIndent"/>
        <w:ind w:left="1080"/>
        <w:rPr>
          <w:rFonts w:ascii="Times New Roman" w:hAnsi="Times New Roman"/>
          <w:highlight w:val="yellow"/>
        </w:rPr>
      </w:pPr>
    </w:p>
    <w:p w:rsidRPr="008E7066" w:rsidR="00AF0CDC" w:rsidP="00AF0CDC" w:rsidRDefault="00AF0CDC" w14:paraId="41C745F1" w14:textId="4CC31FF5">
      <w:pPr>
        <w:ind w:left="1170" w:firstLine="30"/>
        <w:rPr>
          <w:b/>
          <w:sz w:val="24"/>
        </w:rPr>
      </w:pPr>
      <w:r w:rsidRPr="008E7066">
        <w:rPr>
          <w:sz w:val="24"/>
        </w:rPr>
        <w:t xml:space="preserve">Total Annual Costs to All Respondents: </w:t>
      </w:r>
      <w:r>
        <w:rPr>
          <w:sz w:val="24"/>
        </w:rPr>
        <w:t>$</w:t>
      </w:r>
      <w:r w:rsidR="00386D7A">
        <w:rPr>
          <w:sz w:val="24"/>
        </w:rPr>
        <w:t>26,463.60</w:t>
      </w:r>
      <w:r w:rsidRPr="008E7066" w:rsidR="00386D7A">
        <w:rPr>
          <w:sz w:val="24"/>
        </w:rPr>
        <w:t xml:space="preserve"> </w:t>
      </w:r>
      <w:r w:rsidRPr="008E7066">
        <w:rPr>
          <w:sz w:val="24"/>
        </w:rPr>
        <w:t xml:space="preserve">(local) + </w:t>
      </w:r>
      <w:r>
        <w:rPr>
          <w:sz w:val="24"/>
        </w:rPr>
        <w:t>$</w:t>
      </w:r>
      <w:r w:rsidR="00386D7A">
        <w:rPr>
          <w:sz w:val="24"/>
        </w:rPr>
        <w:t>59,401.18</w:t>
      </w:r>
      <w:r w:rsidRPr="008E7066" w:rsidR="00386D7A">
        <w:rPr>
          <w:sz w:val="24"/>
        </w:rPr>
        <w:t xml:space="preserve"> </w:t>
      </w:r>
      <w:r>
        <w:rPr>
          <w:sz w:val="24"/>
        </w:rPr>
        <w:t>(</w:t>
      </w:r>
      <w:r w:rsidR="00B663C6">
        <w:rPr>
          <w:sz w:val="24"/>
        </w:rPr>
        <w:t>grantee</w:t>
      </w:r>
      <w:r>
        <w:rPr>
          <w:sz w:val="24"/>
        </w:rPr>
        <w:t xml:space="preserve">) </w:t>
      </w:r>
      <w:r w:rsidRPr="008E7066">
        <w:rPr>
          <w:sz w:val="24"/>
        </w:rPr>
        <w:t>= $</w:t>
      </w:r>
      <w:r w:rsidR="00386D7A">
        <w:rPr>
          <w:sz w:val="24"/>
        </w:rPr>
        <w:t>85,864.78</w:t>
      </w:r>
      <w:r>
        <w:rPr>
          <w:sz w:val="24"/>
        </w:rPr>
        <w:t>.</w:t>
      </w:r>
    </w:p>
    <w:p w:rsidRPr="008E7066" w:rsidR="008B345F" w:rsidP="008B345F" w:rsidRDefault="008B345F" w14:paraId="14D3150E" w14:textId="77777777">
      <w:pPr>
        <w:pStyle w:val="BodyTextIndent"/>
        <w:rPr>
          <w:rFonts w:ascii="Times New Roman" w:hAnsi="Times New Roman"/>
          <w:color w:val="C00000"/>
        </w:rPr>
      </w:pPr>
    </w:p>
    <w:p w:rsidRPr="008E7066" w:rsidR="008B345F" w:rsidP="008B345F" w:rsidRDefault="008B345F" w14:paraId="00DB8026" w14:textId="77777777">
      <w:pPr>
        <w:numPr>
          <w:ilvl w:val="0"/>
          <w:numId w:val="9"/>
        </w:numPr>
        <w:rPr>
          <w:b/>
          <w:sz w:val="24"/>
        </w:rPr>
      </w:pPr>
      <w:r w:rsidRPr="008E7066">
        <w:rPr>
          <w:b/>
          <w:sz w:val="24"/>
          <w:u w:val="single"/>
        </w:rPr>
        <w:t>Estimates of Other Total Annual Cost Burden to Respondents or Record Keepers</w:t>
      </w:r>
    </w:p>
    <w:p w:rsidRPr="008E7066" w:rsidR="008B345F" w:rsidP="008B345F" w:rsidRDefault="008B345F" w14:paraId="7FCFDEE8" w14:textId="77777777">
      <w:pPr>
        <w:ind w:left="720"/>
        <w:rPr>
          <w:b/>
          <w:sz w:val="24"/>
        </w:rPr>
      </w:pPr>
    </w:p>
    <w:p w:rsidRPr="008E7066" w:rsidR="008B345F" w:rsidP="008B345F" w:rsidRDefault="008B345F" w14:paraId="64A777D2" w14:textId="77777777">
      <w:pPr>
        <w:ind w:left="360" w:firstLine="360"/>
        <w:rPr>
          <w:sz w:val="24"/>
        </w:rPr>
      </w:pPr>
      <w:r w:rsidRPr="008E7066">
        <w:rPr>
          <w:sz w:val="24"/>
        </w:rPr>
        <w:t>There are no other costs to respondents or record-keepers or capital costs.</w:t>
      </w:r>
    </w:p>
    <w:p w:rsidRPr="008E7066" w:rsidR="008B345F" w:rsidP="008B345F" w:rsidRDefault="008B345F" w14:paraId="07AC9D51" w14:textId="77777777">
      <w:pPr>
        <w:ind w:left="360" w:firstLine="360"/>
        <w:rPr>
          <w:sz w:val="24"/>
        </w:rPr>
      </w:pPr>
    </w:p>
    <w:p w:rsidRPr="007F203D" w:rsidR="008B345F" w:rsidP="008B345F" w:rsidRDefault="008B345F" w14:paraId="041BE0BB" w14:textId="77777777">
      <w:pPr>
        <w:numPr>
          <w:ilvl w:val="0"/>
          <w:numId w:val="9"/>
        </w:numPr>
        <w:rPr>
          <w:b/>
          <w:sz w:val="24"/>
        </w:rPr>
      </w:pPr>
      <w:r w:rsidRPr="007F203D">
        <w:rPr>
          <w:b/>
          <w:sz w:val="24"/>
          <w:u w:val="single"/>
        </w:rPr>
        <w:t>Annualized Cost to the Federal Government</w:t>
      </w:r>
    </w:p>
    <w:p w:rsidRPr="007F203D" w:rsidR="008B345F" w:rsidP="008B345F" w:rsidRDefault="008B345F" w14:paraId="3C89112B" w14:textId="77777777">
      <w:pPr>
        <w:ind w:left="720"/>
        <w:rPr>
          <w:b/>
          <w:sz w:val="24"/>
        </w:rPr>
      </w:pPr>
    </w:p>
    <w:p w:rsidRPr="007F203D" w:rsidR="004931DD" w:rsidP="004931DD" w:rsidRDefault="004931DD" w14:paraId="7164710A" w14:textId="108730F8">
      <w:pPr>
        <w:ind w:left="720"/>
        <w:rPr>
          <w:b/>
          <w:sz w:val="24"/>
        </w:rPr>
      </w:pPr>
      <w:r w:rsidRPr="007F203D">
        <w:rPr>
          <w:sz w:val="24"/>
        </w:rPr>
        <w:t>One GS 1</w:t>
      </w:r>
      <w:r w:rsidRPr="007F203D" w:rsidR="002477EC">
        <w:rPr>
          <w:sz w:val="24"/>
        </w:rPr>
        <w:t>4</w:t>
      </w:r>
      <w:r w:rsidRPr="007F203D">
        <w:rPr>
          <w:sz w:val="24"/>
        </w:rPr>
        <w:t xml:space="preserve"> @ 2 percent time</w:t>
      </w:r>
      <w:r w:rsidRPr="007F203D">
        <w:rPr>
          <w:sz w:val="24"/>
        </w:rPr>
        <w:tab/>
      </w:r>
      <w:r w:rsidRPr="007F203D">
        <w:rPr>
          <w:sz w:val="24"/>
        </w:rPr>
        <w:tab/>
        <w:t xml:space="preserve">    </w:t>
      </w:r>
      <w:r w:rsidRPr="007F203D">
        <w:rPr>
          <w:sz w:val="24"/>
        </w:rPr>
        <w:tab/>
        <w:t xml:space="preserve">  $2,</w:t>
      </w:r>
      <w:r w:rsidRPr="007F203D" w:rsidR="002477EC">
        <w:rPr>
          <w:sz w:val="24"/>
        </w:rPr>
        <w:t>60</w:t>
      </w:r>
      <w:r w:rsidRPr="007F203D">
        <w:rPr>
          <w:sz w:val="24"/>
        </w:rPr>
        <w:t>0</w:t>
      </w:r>
    </w:p>
    <w:p w:rsidRPr="007F203D" w:rsidR="004931DD" w:rsidP="004931DD" w:rsidRDefault="004931DD" w14:paraId="35518558" w14:textId="1FB8E9AE">
      <w:pPr>
        <w:ind w:left="720"/>
        <w:rPr>
          <w:sz w:val="24"/>
        </w:rPr>
      </w:pPr>
      <w:r w:rsidRPr="007F203D">
        <w:rPr>
          <w:sz w:val="24"/>
        </w:rPr>
        <w:t xml:space="preserve">Contract </w:t>
      </w:r>
      <w:r w:rsidRPr="007F203D">
        <w:rPr>
          <w:sz w:val="24"/>
        </w:rPr>
        <w:tab/>
      </w:r>
      <w:r w:rsidRPr="007F203D">
        <w:rPr>
          <w:sz w:val="24"/>
        </w:rPr>
        <w:tab/>
      </w:r>
      <w:r w:rsidRPr="007F203D">
        <w:rPr>
          <w:sz w:val="24"/>
        </w:rPr>
        <w:tab/>
      </w:r>
      <w:r w:rsidRPr="007F203D">
        <w:rPr>
          <w:sz w:val="24"/>
        </w:rPr>
        <w:tab/>
      </w:r>
      <w:r w:rsidRPr="007F203D">
        <w:rPr>
          <w:sz w:val="24"/>
        </w:rPr>
        <w:tab/>
        <w:t xml:space="preserve">  </w:t>
      </w:r>
      <w:r w:rsidRPr="007F203D" w:rsidR="00445CE5">
        <w:rPr>
          <w:sz w:val="24"/>
        </w:rPr>
        <w:t>$22,111.67</w:t>
      </w:r>
      <w:r w:rsidRPr="007F203D">
        <w:rPr>
          <w:rStyle w:val="FootnoteReference"/>
          <w:rFonts w:ascii="Times New (W1)" w:hAnsi="Times New (W1)"/>
          <w:sz w:val="24"/>
          <w:vertAlign w:val="superscript"/>
        </w:rPr>
        <w:footnoteReference w:id="2"/>
      </w:r>
    </w:p>
    <w:p w:rsidRPr="007F203D" w:rsidR="004931DD" w:rsidP="004931DD" w:rsidRDefault="004931DD" w14:paraId="13754C6D" w14:textId="77777777">
      <w:pPr>
        <w:ind w:left="720"/>
        <w:rPr>
          <w:sz w:val="24"/>
        </w:rPr>
      </w:pPr>
    </w:p>
    <w:p w:rsidRPr="00B801F3" w:rsidR="004931DD" w:rsidP="004931DD" w:rsidRDefault="004931DD" w14:paraId="1601A1B4" w14:textId="74C11766">
      <w:pPr>
        <w:ind w:left="720"/>
        <w:rPr>
          <w:b/>
          <w:i/>
          <w:sz w:val="24"/>
        </w:rPr>
      </w:pPr>
      <w:r w:rsidRPr="007F203D">
        <w:rPr>
          <w:b/>
          <w:i/>
          <w:sz w:val="24"/>
        </w:rPr>
        <w:t xml:space="preserve">TOTAL    </w:t>
      </w:r>
      <w:r w:rsidRPr="007F203D">
        <w:rPr>
          <w:b/>
          <w:i/>
          <w:sz w:val="24"/>
        </w:rPr>
        <w:tab/>
        <w:t xml:space="preserve"> </w:t>
      </w:r>
      <w:r w:rsidRPr="007F203D">
        <w:rPr>
          <w:b/>
          <w:i/>
          <w:sz w:val="24"/>
        </w:rPr>
        <w:tab/>
      </w:r>
      <w:r w:rsidRPr="007F203D">
        <w:rPr>
          <w:b/>
          <w:i/>
          <w:sz w:val="24"/>
        </w:rPr>
        <w:tab/>
      </w:r>
      <w:r w:rsidRPr="007F203D">
        <w:rPr>
          <w:b/>
          <w:i/>
          <w:sz w:val="24"/>
        </w:rPr>
        <w:tab/>
      </w:r>
      <w:r w:rsidRPr="007F203D">
        <w:rPr>
          <w:b/>
          <w:i/>
          <w:sz w:val="24"/>
        </w:rPr>
        <w:tab/>
        <w:t xml:space="preserve">  </w:t>
      </w:r>
      <w:bookmarkStart w:name="OLE_LINK6" w:id="1"/>
      <w:bookmarkStart w:name="OLE_LINK7" w:id="2"/>
      <w:r w:rsidRPr="007F203D">
        <w:rPr>
          <w:b/>
          <w:i/>
          <w:sz w:val="24"/>
        </w:rPr>
        <w:t>$</w:t>
      </w:r>
      <w:bookmarkEnd w:id="1"/>
      <w:bookmarkEnd w:id="2"/>
      <w:r w:rsidRPr="007F203D" w:rsidR="00445CE5">
        <w:rPr>
          <w:b/>
          <w:i/>
          <w:sz w:val="24"/>
        </w:rPr>
        <w:t>24</w:t>
      </w:r>
      <w:r w:rsidR="00E32D42">
        <w:rPr>
          <w:b/>
          <w:i/>
          <w:sz w:val="24"/>
        </w:rPr>
        <w:t>,</w:t>
      </w:r>
      <w:r w:rsidRPr="007F203D" w:rsidR="00445CE5">
        <w:rPr>
          <w:b/>
          <w:i/>
          <w:sz w:val="24"/>
        </w:rPr>
        <w:t>711.67</w:t>
      </w:r>
    </w:p>
    <w:p w:rsidRPr="000B2C63" w:rsidR="008B345F" w:rsidP="008B345F" w:rsidRDefault="008B345F" w14:paraId="57A54165" w14:textId="77777777">
      <w:pPr>
        <w:ind w:left="360"/>
        <w:rPr>
          <w:color w:val="C00000"/>
          <w:sz w:val="24"/>
        </w:rPr>
      </w:pPr>
    </w:p>
    <w:p w:rsidRPr="00024EC7" w:rsidR="008B345F" w:rsidP="008B345F" w:rsidRDefault="008B345F" w14:paraId="79CA92B5" w14:textId="77777777">
      <w:pPr>
        <w:numPr>
          <w:ilvl w:val="0"/>
          <w:numId w:val="9"/>
        </w:numPr>
        <w:shd w:val="clear" w:color="auto" w:fill="FFFFFF"/>
        <w:rPr>
          <w:b/>
          <w:sz w:val="24"/>
          <w:u w:val="single"/>
        </w:rPr>
      </w:pPr>
      <w:r w:rsidRPr="00024EC7">
        <w:rPr>
          <w:b/>
          <w:sz w:val="24"/>
          <w:u w:val="single"/>
        </w:rPr>
        <w:t>Explanation for Program Changes or Adjustments</w:t>
      </w:r>
    </w:p>
    <w:p w:rsidRPr="009F758D" w:rsidR="008B345F" w:rsidP="008B345F" w:rsidRDefault="008B345F" w14:paraId="6B6B33D8" w14:textId="77777777">
      <w:pPr>
        <w:ind w:left="720"/>
        <w:rPr>
          <w:b/>
          <w:color w:val="C00000"/>
          <w:sz w:val="24"/>
          <w:highlight w:val="yellow"/>
        </w:rPr>
      </w:pPr>
    </w:p>
    <w:p w:rsidR="004931DD" w:rsidP="004931DD" w:rsidRDefault="00EC1168" w14:paraId="0AB0DCAF" w14:textId="7BEB8BC4">
      <w:pPr>
        <w:ind w:left="720"/>
        <w:rPr>
          <w:sz w:val="24"/>
        </w:rPr>
      </w:pPr>
      <w:r>
        <w:rPr>
          <w:sz w:val="24"/>
        </w:rPr>
        <w:t>There is a program change increase of 13</w:t>
      </w:r>
      <w:r w:rsidR="00B660D8">
        <w:rPr>
          <w:sz w:val="24"/>
        </w:rPr>
        <w:t>46</w:t>
      </w:r>
      <w:r>
        <w:rPr>
          <w:sz w:val="24"/>
        </w:rPr>
        <w:t xml:space="preserve"> annual burden hours. </w:t>
      </w:r>
      <w:r w:rsidR="004931DD">
        <w:rPr>
          <w:sz w:val="24"/>
        </w:rPr>
        <w:t xml:space="preserve">The annual reporting burden hour estimates have </w:t>
      </w:r>
      <w:r w:rsidR="002477EC">
        <w:rPr>
          <w:sz w:val="24"/>
        </w:rPr>
        <w:t>in</w:t>
      </w:r>
      <w:r w:rsidRPr="009D5AE5" w:rsidR="004931DD">
        <w:rPr>
          <w:sz w:val="24"/>
        </w:rPr>
        <w:t xml:space="preserve">creased from </w:t>
      </w:r>
      <w:r w:rsidR="00B660D8">
        <w:rPr>
          <w:sz w:val="24"/>
        </w:rPr>
        <w:t>983</w:t>
      </w:r>
      <w:r w:rsidR="002477EC">
        <w:rPr>
          <w:sz w:val="24"/>
        </w:rPr>
        <w:t xml:space="preserve"> to 2,</w:t>
      </w:r>
      <w:r w:rsidR="00B660D8">
        <w:rPr>
          <w:sz w:val="24"/>
        </w:rPr>
        <w:t>329.</w:t>
      </w:r>
      <w:r w:rsidR="004931DD">
        <w:rPr>
          <w:sz w:val="24"/>
        </w:rPr>
        <w:t xml:space="preserve"> </w:t>
      </w:r>
      <w:r w:rsidR="004931DD">
        <w:rPr>
          <w:sz w:val="24"/>
        </w:rPr>
        <w:br/>
      </w:r>
      <w:r w:rsidR="004931DD">
        <w:rPr>
          <w:sz w:val="24"/>
        </w:rPr>
        <w:br/>
        <w:t>The following reasons account for the change in burden hour estimates:</w:t>
      </w:r>
    </w:p>
    <w:p w:rsidR="004931DD" w:rsidP="004931DD" w:rsidRDefault="004931DD" w14:paraId="3E0ED8C0" w14:textId="77777777">
      <w:pPr>
        <w:ind w:left="720"/>
        <w:rPr>
          <w:sz w:val="24"/>
        </w:rPr>
      </w:pPr>
    </w:p>
    <w:p w:rsidRPr="008F5B4D" w:rsidR="00AD5D31" w:rsidP="00AD5D31" w:rsidRDefault="00AD5D31" w14:paraId="32208396" w14:textId="1DAF554F">
      <w:pPr>
        <w:numPr>
          <w:ilvl w:val="0"/>
          <w:numId w:val="7"/>
        </w:numPr>
        <w:tabs>
          <w:tab w:val="clear" w:pos="1440"/>
          <w:tab w:val="num" w:pos="1080"/>
        </w:tabs>
        <w:ind w:left="1080"/>
        <w:rPr>
          <w:sz w:val="24"/>
        </w:rPr>
      </w:pPr>
      <w:r w:rsidRPr="008F5B4D">
        <w:rPr>
          <w:sz w:val="24"/>
        </w:rPr>
        <w:t xml:space="preserve">The new estimates are for </w:t>
      </w:r>
      <w:r>
        <w:rPr>
          <w:sz w:val="24"/>
        </w:rPr>
        <w:t>90</w:t>
      </w:r>
      <w:r w:rsidRPr="008F5B4D">
        <w:rPr>
          <w:sz w:val="24"/>
        </w:rPr>
        <w:t xml:space="preserve"> grants, rather than the 3</w:t>
      </w:r>
      <w:r>
        <w:rPr>
          <w:sz w:val="24"/>
        </w:rPr>
        <w:t>8</w:t>
      </w:r>
      <w:r w:rsidRPr="008F5B4D">
        <w:rPr>
          <w:sz w:val="24"/>
        </w:rPr>
        <w:t xml:space="preserve"> grants from the previous ADP-DRT approval</w:t>
      </w:r>
      <w:r w:rsidR="00445CE5">
        <w:rPr>
          <w:sz w:val="24"/>
        </w:rPr>
        <w:t>, a 136% increase in the number of grants</w:t>
      </w:r>
      <w:r w:rsidRPr="008F5B4D">
        <w:rPr>
          <w:sz w:val="24"/>
        </w:rPr>
        <w:t>.</w:t>
      </w:r>
    </w:p>
    <w:p w:rsidR="00DD4023" w:rsidP="004931DD" w:rsidRDefault="004931DD" w14:paraId="33FE576B" w14:textId="70FC397F">
      <w:pPr>
        <w:numPr>
          <w:ilvl w:val="0"/>
          <w:numId w:val="7"/>
        </w:numPr>
        <w:ind w:left="1080"/>
        <w:rPr>
          <w:sz w:val="24"/>
        </w:rPr>
      </w:pPr>
      <w:r w:rsidRPr="003C54C0">
        <w:rPr>
          <w:sz w:val="24"/>
        </w:rPr>
        <w:t>Although, for data set</w:t>
      </w:r>
      <w:r w:rsidR="008F5B4D">
        <w:rPr>
          <w:sz w:val="24"/>
        </w:rPr>
        <w:t xml:space="preserve"> approved in 201</w:t>
      </w:r>
      <w:r w:rsidR="00AD5D31">
        <w:rPr>
          <w:sz w:val="24"/>
        </w:rPr>
        <w:t>6</w:t>
      </w:r>
      <w:r w:rsidRPr="003C54C0">
        <w:rPr>
          <w:sz w:val="24"/>
        </w:rPr>
        <w:t xml:space="preserve">, it was anticipated that grantee respondents would spend </w:t>
      </w:r>
      <w:r w:rsidR="005413B9">
        <w:rPr>
          <w:sz w:val="24"/>
        </w:rPr>
        <w:t>25.88</w:t>
      </w:r>
      <w:r w:rsidRPr="00C046BB" w:rsidR="00C046BB">
        <w:rPr>
          <w:sz w:val="24"/>
        </w:rPr>
        <w:t xml:space="preserve"> </w:t>
      </w:r>
      <w:r w:rsidRPr="00C046BB">
        <w:rPr>
          <w:sz w:val="24"/>
        </w:rPr>
        <w:t xml:space="preserve">hours reporting annually, the actual number of hours spent (local </w:t>
      </w:r>
      <w:r w:rsidR="00AD5D31">
        <w:rPr>
          <w:sz w:val="24"/>
        </w:rPr>
        <w:t xml:space="preserve">partners </w:t>
      </w:r>
      <w:r w:rsidRPr="00C046BB">
        <w:rPr>
          <w:sz w:val="24"/>
        </w:rPr>
        <w:t xml:space="preserve">and </w:t>
      </w:r>
      <w:r w:rsidR="00AD5D31">
        <w:rPr>
          <w:sz w:val="24"/>
        </w:rPr>
        <w:t>grantee</w:t>
      </w:r>
      <w:r w:rsidRPr="00C046BB" w:rsidR="00AD5D31">
        <w:rPr>
          <w:sz w:val="24"/>
        </w:rPr>
        <w:t xml:space="preserve"> </w:t>
      </w:r>
      <w:r w:rsidRPr="00C046BB">
        <w:rPr>
          <w:sz w:val="24"/>
        </w:rPr>
        <w:t xml:space="preserve">combined), as reported by the current </w:t>
      </w:r>
      <w:r w:rsidR="00AD5D31">
        <w:rPr>
          <w:sz w:val="24"/>
        </w:rPr>
        <w:t>ADP</w:t>
      </w:r>
      <w:r w:rsidRPr="00C046BB" w:rsidR="00110B2D">
        <w:rPr>
          <w:sz w:val="24"/>
        </w:rPr>
        <w:t xml:space="preserve"> </w:t>
      </w:r>
      <w:r w:rsidRPr="00C046BB">
        <w:rPr>
          <w:sz w:val="24"/>
        </w:rPr>
        <w:t xml:space="preserve">grantees consulted, was </w:t>
      </w:r>
      <w:r w:rsidR="005413B9">
        <w:rPr>
          <w:sz w:val="24"/>
        </w:rPr>
        <w:t>19.92</w:t>
      </w:r>
      <w:r w:rsidRPr="00C046BB" w:rsidR="000A2883">
        <w:rPr>
          <w:sz w:val="24"/>
        </w:rPr>
        <w:t xml:space="preserve"> </w:t>
      </w:r>
      <w:r w:rsidRPr="00C046BB">
        <w:rPr>
          <w:sz w:val="24"/>
        </w:rPr>
        <w:t>hours annually per grant</w:t>
      </w:r>
      <w:r w:rsidR="005413B9">
        <w:rPr>
          <w:sz w:val="24"/>
        </w:rPr>
        <w:t>.</w:t>
      </w:r>
    </w:p>
    <w:p w:rsidRPr="003C54C0" w:rsidR="004931DD" w:rsidP="004931DD" w:rsidRDefault="004931DD" w14:paraId="1A8F600C" w14:textId="77777777">
      <w:pPr>
        <w:ind w:left="1080"/>
        <w:rPr>
          <w:sz w:val="24"/>
        </w:rPr>
      </w:pPr>
    </w:p>
    <w:p w:rsidRPr="008F5B4D" w:rsidR="004931DD" w:rsidP="004931DD" w:rsidRDefault="004931DD" w14:paraId="09645FD7" w14:textId="77777777">
      <w:pPr>
        <w:ind w:left="720"/>
        <w:rPr>
          <w:sz w:val="24"/>
        </w:rPr>
      </w:pPr>
      <w:r>
        <w:rPr>
          <w:sz w:val="24"/>
        </w:rPr>
        <w:t>The following reasons account for the change in burden cost estimates</w:t>
      </w:r>
      <w:r w:rsidRPr="008F5B4D">
        <w:rPr>
          <w:sz w:val="24"/>
        </w:rPr>
        <w:t>:</w:t>
      </w:r>
      <w:r w:rsidR="00BD00A8">
        <w:rPr>
          <w:sz w:val="24"/>
        </w:rPr>
        <w:br/>
      </w:r>
    </w:p>
    <w:p w:rsidRPr="008F5B4D" w:rsidR="004931DD" w:rsidP="004931DD" w:rsidRDefault="004931DD" w14:paraId="6ABD6669" w14:textId="587031EC">
      <w:pPr>
        <w:numPr>
          <w:ilvl w:val="0"/>
          <w:numId w:val="7"/>
        </w:numPr>
        <w:tabs>
          <w:tab w:val="clear" w:pos="1440"/>
          <w:tab w:val="num" w:pos="1080"/>
        </w:tabs>
        <w:ind w:left="1080"/>
        <w:rPr>
          <w:sz w:val="24"/>
        </w:rPr>
      </w:pPr>
      <w:r w:rsidRPr="008F5B4D">
        <w:rPr>
          <w:sz w:val="24"/>
        </w:rPr>
        <w:t xml:space="preserve">The new estimates are for </w:t>
      </w:r>
      <w:r w:rsidR="002477EC">
        <w:rPr>
          <w:sz w:val="24"/>
        </w:rPr>
        <w:t>90</w:t>
      </w:r>
      <w:r w:rsidRPr="008F5B4D">
        <w:rPr>
          <w:sz w:val="24"/>
        </w:rPr>
        <w:t xml:space="preserve"> grants, rather than the </w:t>
      </w:r>
      <w:r w:rsidRPr="008F5B4D" w:rsidR="00110B2D">
        <w:rPr>
          <w:sz w:val="24"/>
        </w:rPr>
        <w:t>3</w:t>
      </w:r>
      <w:r w:rsidR="002477EC">
        <w:rPr>
          <w:sz w:val="24"/>
        </w:rPr>
        <w:t>8</w:t>
      </w:r>
      <w:r w:rsidRPr="008F5B4D">
        <w:rPr>
          <w:sz w:val="24"/>
        </w:rPr>
        <w:t xml:space="preserve"> grants from the previous ADP-DRT approval.</w:t>
      </w:r>
      <w:r w:rsidR="000E2686">
        <w:rPr>
          <w:sz w:val="24"/>
        </w:rPr>
        <w:t xml:space="preserve"> This also include data collection from 180 local partners, rather than 76 local partners </w:t>
      </w:r>
      <w:r w:rsidRPr="008F5B4D" w:rsidR="000E2686">
        <w:rPr>
          <w:sz w:val="24"/>
        </w:rPr>
        <w:t>from the previous ADP-DRT approval</w:t>
      </w:r>
    </w:p>
    <w:p w:rsidR="008F5B4D" w:rsidP="004931DD" w:rsidRDefault="008F5B4D" w14:paraId="7F0EC9E5" w14:textId="05DA6442">
      <w:pPr>
        <w:numPr>
          <w:ilvl w:val="0"/>
          <w:numId w:val="7"/>
        </w:numPr>
        <w:tabs>
          <w:tab w:val="clear" w:pos="1440"/>
          <w:tab w:val="num" w:pos="1080"/>
        </w:tabs>
        <w:ind w:left="1080"/>
        <w:rPr>
          <w:sz w:val="24"/>
        </w:rPr>
      </w:pPr>
      <w:r>
        <w:rPr>
          <w:sz w:val="24"/>
        </w:rPr>
        <w:t xml:space="preserve">The pay </w:t>
      </w:r>
      <w:r w:rsidR="002477EC">
        <w:rPr>
          <w:sz w:val="24"/>
        </w:rPr>
        <w:t xml:space="preserve">grades and pay </w:t>
      </w:r>
      <w:r>
        <w:rPr>
          <w:sz w:val="24"/>
        </w:rPr>
        <w:t xml:space="preserve">rates for local </w:t>
      </w:r>
      <w:r w:rsidR="002477EC">
        <w:rPr>
          <w:sz w:val="24"/>
        </w:rPr>
        <w:t xml:space="preserve">partner </w:t>
      </w:r>
      <w:r>
        <w:rPr>
          <w:sz w:val="24"/>
        </w:rPr>
        <w:t>and grantee staff increased between 201</w:t>
      </w:r>
      <w:r w:rsidR="002477EC">
        <w:rPr>
          <w:sz w:val="24"/>
        </w:rPr>
        <w:t>6</w:t>
      </w:r>
      <w:r>
        <w:rPr>
          <w:sz w:val="24"/>
        </w:rPr>
        <w:t xml:space="preserve"> and </w:t>
      </w:r>
      <w:r w:rsidR="002477EC">
        <w:rPr>
          <w:sz w:val="24"/>
        </w:rPr>
        <w:t>2020</w:t>
      </w:r>
      <w:r>
        <w:rPr>
          <w:sz w:val="24"/>
        </w:rPr>
        <w:t>.</w:t>
      </w:r>
    </w:p>
    <w:p w:rsidR="004931DD" w:rsidP="004931DD" w:rsidRDefault="004931DD" w14:paraId="75644AC7" w14:textId="6A84D273">
      <w:pPr>
        <w:numPr>
          <w:ilvl w:val="0"/>
          <w:numId w:val="7"/>
        </w:numPr>
        <w:tabs>
          <w:tab w:val="clear" w:pos="1440"/>
          <w:tab w:val="num" w:pos="1080"/>
        </w:tabs>
        <w:ind w:left="1080"/>
        <w:rPr>
          <w:sz w:val="24"/>
        </w:rPr>
      </w:pPr>
      <w:r w:rsidRPr="008F5B4D">
        <w:rPr>
          <w:sz w:val="24"/>
        </w:rPr>
        <w:t>The annualized cost to the</w:t>
      </w:r>
      <w:r w:rsidRPr="00C62AC9">
        <w:rPr>
          <w:sz w:val="24"/>
        </w:rPr>
        <w:t xml:space="preserve"> </w:t>
      </w:r>
      <w:r w:rsidR="00DD4023">
        <w:rPr>
          <w:sz w:val="24"/>
        </w:rPr>
        <w:t xml:space="preserve">federal </w:t>
      </w:r>
      <w:r w:rsidRPr="00C62AC9">
        <w:rPr>
          <w:sz w:val="24"/>
        </w:rPr>
        <w:t xml:space="preserve">government </w:t>
      </w:r>
      <w:r w:rsidR="002477EC">
        <w:rPr>
          <w:sz w:val="24"/>
        </w:rPr>
        <w:t>in</w:t>
      </w:r>
      <w:r w:rsidRPr="00C62AC9" w:rsidR="00EE00DD">
        <w:rPr>
          <w:sz w:val="24"/>
        </w:rPr>
        <w:t xml:space="preserve">creased </w:t>
      </w:r>
      <w:r w:rsidRPr="00C62AC9">
        <w:rPr>
          <w:sz w:val="24"/>
        </w:rPr>
        <w:t xml:space="preserve">due to </w:t>
      </w:r>
      <w:r w:rsidR="002477EC">
        <w:rPr>
          <w:sz w:val="24"/>
        </w:rPr>
        <w:t>in</w:t>
      </w:r>
      <w:r w:rsidRPr="00C62AC9" w:rsidR="002477EC">
        <w:rPr>
          <w:sz w:val="24"/>
        </w:rPr>
        <w:t xml:space="preserve">creased </w:t>
      </w:r>
      <w:r w:rsidRPr="00C62AC9">
        <w:rPr>
          <w:sz w:val="24"/>
        </w:rPr>
        <w:t xml:space="preserve">contractor costs </w:t>
      </w:r>
      <w:r w:rsidR="002477EC">
        <w:rPr>
          <w:sz w:val="24"/>
        </w:rPr>
        <w:t xml:space="preserve">to </w:t>
      </w:r>
      <w:r w:rsidR="00AD5D31">
        <w:rPr>
          <w:sz w:val="24"/>
        </w:rPr>
        <w:t xml:space="preserve">analyze </w:t>
      </w:r>
      <w:r w:rsidR="002477EC">
        <w:rPr>
          <w:sz w:val="24"/>
        </w:rPr>
        <w:t>the data of the increased in the number of grantees and a pay grade increase for the federal project officer</w:t>
      </w:r>
      <w:r w:rsidR="00EE00DD">
        <w:rPr>
          <w:sz w:val="24"/>
        </w:rPr>
        <w:t>.</w:t>
      </w:r>
    </w:p>
    <w:p w:rsidR="004931DD" w:rsidP="004931DD" w:rsidRDefault="004931DD" w14:paraId="2395A669" w14:textId="77777777">
      <w:pPr>
        <w:ind w:left="720"/>
        <w:rPr>
          <w:sz w:val="24"/>
        </w:rPr>
      </w:pPr>
    </w:p>
    <w:p w:rsidRPr="001C781D" w:rsidR="002160B0" w:rsidP="00217858" w:rsidRDefault="002160B0" w14:paraId="38057DDA" w14:textId="77777777">
      <w:pPr>
        <w:numPr>
          <w:ilvl w:val="0"/>
          <w:numId w:val="9"/>
        </w:numPr>
        <w:rPr>
          <w:b/>
          <w:sz w:val="24"/>
          <w:u w:val="single"/>
        </w:rPr>
      </w:pPr>
      <w:r w:rsidRPr="001C781D">
        <w:rPr>
          <w:b/>
          <w:sz w:val="24"/>
          <w:u w:val="single"/>
        </w:rPr>
        <w:t>Plans for Tabulation and Publication and Project Time Schedule</w:t>
      </w:r>
    </w:p>
    <w:p w:rsidRPr="000B2C63" w:rsidR="002160B0" w:rsidP="00731A82" w:rsidRDefault="002160B0" w14:paraId="45B9EA4A" w14:textId="77777777">
      <w:pPr>
        <w:ind w:left="360"/>
        <w:rPr>
          <w:b/>
          <w:color w:val="C00000"/>
          <w:sz w:val="24"/>
        </w:rPr>
      </w:pPr>
    </w:p>
    <w:p w:rsidR="00BC31F4" w:rsidP="00BC3343" w:rsidRDefault="009C4269" w14:paraId="085DE769" w14:textId="77777777">
      <w:pPr>
        <w:ind w:left="720"/>
        <w:rPr>
          <w:sz w:val="24"/>
        </w:rPr>
      </w:pPr>
      <w:r>
        <w:rPr>
          <w:sz w:val="24"/>
        </w:rPr>
        <w:t xml:space="preserve">Data </w:t>
      </w:r>
      <w:r w:rsidR="00C705F0">
        <w:rPr>
          <w:sz w:val="24"/>
        </w:rPr>
        <w:t>w</w:t>
      </w:r>
      <w:r w:rsidR="007623BE">
        <w:rPr>
          <w:sz w:val="24"/>
        </w:rPr>
        <w:t xml:space="preserve">ill </w:t>
      </w:r>
      <w:r w:rsidR="00C705F0">
        <w:rPr>
          <w:sz w:val="24"/>
        </w:rPr>
        <w:t>be</w:t>
      </w:r>
      <w:r w:rsidR="005E25DF">
        <w:rPr>
          <w:sz w:val="24"/>
        </w:rPr>
        <w:t xml:space="preserve"> due semi-annually</w:t>
      </w:r>
      <w:r w:rsidR="00C705F0">
        <w:rPr>
          <w:sz w:val="24"/>
        </w:rPr>
        <w:t xml:space="preserve"> and</w:t>
      </w:r>
      <w:r w:rsidR="00BC31F4">
        <w:rPr>
          <w:sz w:val="24"/>
        </w:rPr>
        <w:t xml:space="preserve"> reviewed </w:t>
      </w:r>
      <w:r w:rsidR="003E3193">
        <w:rPr>
          <w:sz w:val="24"/>
        </w:rPr>
        <w:t xml:space="preserve">by an </w:t>
      </w:r>
      <w:r w:rsidR="00D37F19">
        <w:rPr>
          <w:sz w:val="24"/>
        </w:rPr>
        <w:t>ACL</w:t>
      </w:r>
      <w:r w:rsidR="00F91A8F">
        <w:rPr>
          <w:sz w:val="24"/>
        </w:rPr>
        <w:t xml:space="preserve"> </w:t>
      </w:r>
      <w:r w:rsidR="00BC31F4">
        <w:rPr>
          <w:sz w:val="24"/>
        </w:rPr>
        <w:t>contractor</w:t>
      </w:r>
      <w:r w:rsidR="003E3193">
        <w:rPr>
          <w:sz w:val="24"/>
        </w:rPr>
        <w:t>.  If</w:t>
      </w:r>
      <w:r w:rsidR="00BC31F4">
        <w:rPr>
          <w:sz w:val="24"/>
        </w:rPr>
        <w:t xml:space="preserve"> inconsistencies are noted</w:t>
      </w:r>
      <w:r w:rsidR="00F91A8F">
        <w:rPr>
          <w:sz w:val="24"/>
        </w:rPr>
        <w:t>,</w:t>
      </w:r>
      <w:r w:rsidR="00BC31F4">
        <w:rPr>
          <w:sz w:val="24"/>
        </w:rPr>
        <w:t xml:space="preserve"> </w:t>
      </w:r>
      <w:r w:rsidR="000A2BC3">
        <w:rPr>
          <w:sz w:val="24"/>
        </w:rPr>
        <w:t xml:space="preserve">grantees </w:t>
      </w:r>
      <w:r w:rsidR="007623BE">
        <w:rPr>
          <w:sz w:val="24"/>
        </w:rPr>
        <w:t>will</w:t>
      </w:r>
      <w:r w:rsidR="00BC31F4">
        <w:rPr>
          <w:sz w:val="24"/>
        </w:rPr>
        <w:t xml:space="preserve"> </w:t>
      </w:r>
      <w:r w:rsidR="00C705F0">
        <w:rPr>
          <w:sz w:val="24"/>
        </w:rPr>
        <w:t xml:space="preserve">be </w:t>
      </w:r>
      <w:r w:rsidR="00BC31F4">
        <w:rPr>
          <w:sz w:val="24"/>
        </w:rPr>
        <w:t xml:space="preserve">asked to correct and resubmit their reports.  Once all reports are in and verified, </w:t>
      </w:r>
      <w:r w:rsidR="005406A4">
        <w:rPr>
          <w:sz w:val="24"/>
        </w:rPr>
        <w:t xml:space="preserve">the data </w:t>
      </w:r>
      <w:r w:rsidR="007623BE">
        <w:rPr>
          <w:sz w:val="24"/>
        </w:rPr>
        <w:t>will</w:t>
      </w:r>
      <w:r w:rsidR="00C705F0">
        <w:rPr>
          <w:sz w:val="24"/>
        </w:rPr>
        <w:t xml:space="preserve"> be</w:t>
      </w:r>
      <w:r w:rsidR="00A416DA">
        <w:rPr>
          <w:sz w:val="24"/>
        </w:rPr>
        <w:t xml:space="preserve"> aggregated </w:t>
      </w:r>
      <w:r w:rsidR="00DA4211">
        <w:rPr>
          <w:sz w:val="24"/>
        </w:rPr>
        <w:t>and analyzed</w:t>
      </w:r>
      <w:r w:rsidR="005406A4">
        <w:rPr>
          <w:sz w:val="24"/>
        </w:rPr>
        <w:t xml:space="preserve"> by the contractor</w:t>
      </w:r>
      <w:r w:rsidR="00BC31F4">
        <w:rPr>
          <w:sz w:val="24"/>
        </w:rPr>
        <w:t xml:space="preserve">.  </w:t>
      </w:r>
      <w:r w:rsidR="00C705F0">
        <w:rPr>
          <w:sz w:val="24"/>
        </w:rPr>
        <w:t>Based on previous data collections, this process w</w:t>
      </w:r>
      <w:r w:rsidR="007623BE">
        <w:rPr>
          <w:sz w:val="24"/>
        </w:rPr>
        <w:t>ill</w:t>
      </w:r>
      <w:r w:rsidR="00C705F0">
        <w:rPr>
          <w:sz w:val="24"/>
        </w:rPr>
        <w:t xml:space="preserve"> </w:t>
      </w:r>
      <w:r w:rsidRPr="00D470DF" w:rsidR="00C705F0">
        <w:rPr>
          <w:sz w:val="24"/>
        </w:rPr>
        <w:t>take</w:t>
      </w:r>
      <w:r w:rsidRPr="00D470DF" w:rsidR="00BC31F4">
        <w:rPr>
          <w:sz w:val="24"/>
        </w:rPr>
        <w:t xml:space="preserve"> </w:t>
      </w:r>
      <w:r w:rsidRPr="00C62AC9" w:rsidR="00BC31F4">
        <w:rPr>
          <w:sz w:val="24"/>
        </w:rPr>
        <w:t xml:space="preserve">three to four months. When the national data is finalized, the </w:t>
      </w:r>
      <w:r w:rsidRPr="00C62AC9" w:rsidR="005406A4">
        <w:rPr>
          <w:sz w:val="24"/>
        </w:rPr>
        <w:t xml:space="preserve">information </w:t>
      </w:r>
      <w:r w:rsidRPr="00C62AC9" w:rsidR="00C705F0">
        <w:rPr>
          <w:sz w:val="24"/>
        </w:rPr>
        <w:t>w</w:t>
      </w:r>
      <w:r w:rsidRPr="00C62AC9" w:rsidR="007623BE">
        <w:rPr>
          <w:sz w:val="24"/>
        </w:rPr>
        <w:t>ill</w:t>
      </w:r>
      <w:r w:rsidRPr="00C62AC9" w:rsidR="00C705F0">
        <w:rPr>
          <w:sz w:val="24"/>
        </w:rPr>
        <w:t xml:space="preserve"> be</w:t>
      </w:r>
      <w:r w:rsidRPr="00C62AC9" w:rsidR="005406A4">
        <w:rPr>
          <w:sz w:val="24"/>
        </w:rPr>
        <w:t xml:space="preserve"> posted on</w:t>
      </w:r>
      <w:r w:rsidRPr="00C62AC9" w:rsidR="00BC31F4">
        <w:rPr>
          <w:sz w:val="24"/>
        </w:rPr>
        <w:t xml:space="preserve"> </w:t>
      </w:r>
      <w:r w:rsidRPr="00C62AC9" w:rsidR="005406A4">
        <w:rPr>
          <w:sz w:val="24"/>
        </w:rPr>
        <w:t xml:space="preserve">the </w:t>
      </w:r>
      <w:r w:rsidRPr="00C62AC9" w:rsidR="005519A3">
        <w:rPr>
          <w:sz w:val="24"/>
        </w:rPr>
        <w:t>National Alzheimer’s and Dementia Resource Center (NADRC)</w:t>
      </w:r>
      <w:r w:rsidRPr="00D470DF" w:rsidR="005406A4">
        <w:rPr>
          <w:sz w:val="24"/>
        </w:rPr>
        <w:t xml:space="preserve"> web</w:t>
      </w:r>
      <w:r w:rsidRPr="00C62AC9" w:rsidR="002A61AE">
        <w:rPr>
          <w:sz w:val="24"/>
        </w:rPr>
        <w:t>site</w:t>
      </w:r>
      <w:r w:rsidRPr="00C62AC9" w:rsidR="007C40F1">
        <w:rPr>
          <w:sz w:val="24"/>
        </w:rPr>
        <w:t>, which is available to the public</w:t>
      </w:r>
      <w:r w:rsidRPr="00C62AC9" w:rsidR="005406A4">
        <w:rPr>
          <w:sz w:val="24"/>
        </w:rPr>
        <w:t>.</w:t>
      </w:r>
      <w:r w:rsidRPr="00C62AC9" w:rsidR="002A61AE">
        <w:rPr>
          <w:sz w:val="24"/>
        </w:rPr>
        <w:t xml:space="preserve"> </w:t>
      </w:r>
      <w:r w:rsidRPr="00C62AC9" w:rsidR="00AB038B">
        <w:rPr>
          <w:sz w:val="24"/>
        </w:rPr>
        <w:t xml:space="preserve"> </w:t>
      </w:r>
      <w:r w:rsidRPr="00C62AC9" w:rsidR="00177C2D">
        <w:rPr>
          <w:sz w:val="24"/>
        </w:rPr>
        <w:t xml:space="preserve">The contractor </w:t>
      </w:r>
      <w:r w:rsidRPr="00C62AC9" w:rsidR="007623BE">
        <w:rPr>
          <w:sz w:val="24"/>
        </w:rPr>
        <w:t xml:space="preserve">will </w:t>
      </w:r>
      <w:r w:rsidRPr="00C62AC9" w:rsidR="00177C2D">
        <w:rPr>
          <w:sz w:val="24"/>
        </w:rPr>
        <w:t xml:space="preserve">provide </w:t>
      </w:r>
      <w:r w:rsidRPr="00C62AC9" w:rsidR="00D37F19">
        <w:rPr>
          <w:sz w:val="24"/>
        </w:rPr>
        <w:t>ACL</w:t>
      </w:r>
      <w:r w:rsidRPr="00C62AC9" w:rsidR="002A61AE">
        <w:rPr>
          <w:sz w:val="24"/>
        </w:rPr>
        <w:t xml:space="preserve"> and grantees </w:t>
      </w:r>
      <w:r w:rsidRPr="00C62AC9" w:rsidR="003E6ADC">
        <w:rPr>
          <w:sz w:val="24"/>
        </w:rPr>
        <w:t xml:space="preserve">access </w:t>
      </w:r>
      <w:r w:rsidRPr="00C62AC9" w:rsidR="00177C2D">
        <w:rPr>
          <w:sz w:val="24"/>
        </w:rPr>
        <w:t xml:space="preserve">to the data </w:t>
      </w:r>
      <w:r w:rsidR="00177C2D">
        <w:rPr>
          <w:sz w:val="24"/>
        </w:rPr>
        <w:t xml:space="preserve">in </w:t>
      </w:r>
      <w:r w:rsidR="00BC31F4">
        <w:rPr>
          <w:sz w:val="24"/>
        </w:rPr>
        <w:t>charts</w:t>
      </w:r>
      <w:r w:rsidR="003E6ADC">
        <w:rPr>
          <w:sz w:val="24"/>
        </w:rPr>
        <w:t>,</w:t>
      </w:r>
      <w:r w:rsidR="00BC31F4">
        <w:rPr>
          <w:sz w:val="24"/>
        </w:rPr>
        <w:t xml:space="preserve"> graphs</w:t>
      </w:r>
      <w:r w:rsidR="003E6ADC">
        <w:rPr>
          <w:sz w:val="24"/>
        </w:rPr>
        <w:t xml:space="preserve"> and other summaries</w:t>
      </w:r>
      <w:r w:rsidR="00964058">
        <w:rPr>
          <w:sz w:val="24"/>
        </w:rPr>
        <w:t xml:space="preserve"> depicting </w:t>
      </w:r>
      <w:r w:rsidR="00BC31F4">
        <w:rPr>
          <w:sz w:val="24"/>
        </w:rPr>
        <w:t xml:space="preserve">the national data and each state’s data. </w:t>
      </w:r>
    </w:p>
    <w:p w:rsidR="00BC31F4" w:rsidP="006635BC" w:rsidRDefault="00BC31F4" w14:paraId="15836869" w14:textId="77777777">
      <w:pPr>
        <w:ind w:left="1080"/>
        <w:rPr>
          <w:sz w:val="24"/>
        </w:rPr>
      </w:pPr>
    </w:p>
    <w:p w:rsidR="00BC31F4" w:rsidP="00C705F0" w:rsidRDefault="00BC31F4" w14:paraId="6D493FA3" w14:textId="77777777">
      <w:pPr>
        <w:ind w:left="720"/>
        <w:rPr>
          <w:sz w:val="24"/>
        </w:rPr>
      </w:pPr>
      <w:r>
        <w:rPr>
          <w:sz w:val="24"/>
        </w:rPr>
        <w:t xml:space="preserve">OMB approval for an additional three </w:t>
      </w:r>
      <w:r w:rsidR="008B0977">
        <w:rPr>
          <w:sz w:val="24"/>
        </w:rPr>
        <w:t xml:space="preserve">(3) </w:t>
      </w:r>
      <w:r>
        <w:rPr>
          <w:sz w:val="24"/>
        </w:rPr>
        <w:t>years is requested</w:t>
      </w:r>
      <w:r w:rsidR="008B0977">
        <w:rPr>
          <w:sz w:val="24"/>
        </w:rPr>
        <w:t xml:space="preserve">. </w:t>
      </w:r>
    </w:p>
    <w:p w:rsidRPr="000B2C63" w:rsidR="002160B0" w:rsidP="00731A82" w:rsidRDefault="002160B0" w14:paraId="2E1B3299" w14:textId="77777777">
      <w:pPr>
        <w:ind w:left="1080"/>
        <w:rPr>
          <w:color w:val="C00000"/>
          <w:sz w:val="24"/>
        </w:rPr>
      </w:pPr>
    </w:p>
    <w:p w:rsidR="002160B0" w:rsidP="00217858" w:rsidRDefault="002160B0" w14:paraId="6470DE16" w14:textId="77777777">
      <w:pPr>
        <w:numPr>
          <w:ilvl w:val="0"/>
          <w:numId w:val="9"/>
        </w:numPr>
        <w:rPr>
          <w:b/>
          <w:sz w:val="24"/>
          <w:u w:val="single"/>
        </w:rPr>
      </w:pPr>
      <w:r w:rsidRPr="001C781D">
        <w:rPr>
          <w:b/>
          <w:sz w:val="24"/>
          <w:u w:val="single"/>
        </w:rPr>
        <w:t>Reason(s) Display of OMB Expiration Date is Inappropriate</w:t>
      </w:r>
    </w:p>
    <w:p w:rsidRPr="001C781D" w:rsidR="006635BC" w:rsidP="006635BC" w:rsidRDefault="006635BC" w14:paraId="5904EF45" w14:textId="77777777">
      <w:pPr>
        <w:ind w:left="720"/>
        <w:rPr>
          <w:b/>
          <w:sz w:val="24"/>
          <w:u w:val="single"/>
        </w:rPr>
      </w:pPr>
    </w:p>
    <w:p w:rsidRPr="00DA7FF5" w:rsidR="003C293C" w:rsidP="00B83635" w:rsidRDefault="003C293C" w14:paraId="2D5C1EE2" w14:textId="77777777">
      <w:pPr>
        <w:ind w:left="720"/>
        <w:rPr>
          <w:sz w:val="24"/>
        </w:rPr>
      </w:pPr>
      <w:r w:rsidRPr="00DA7FF5">
        <w:rPr>
          <w:sz w:val="24"/>
        </w:rPr>
        <w:t>Not applicable</w:t>
      </w:r>
      <w:r>
        <w:rPr>
          <w:sz w:val="24"/>
        </w:rPr>
        <w:t xml:space="preserve"> – display is not inappropriate.</w:t>
      </w:r>
    </w:p>
    <w:p w:rsidRPr="000B2C63" w:rsidR="002160B0" w:rsidP="00731A82" w:rsidRDefault="002160B0" w14:paraId="42197E65" w14:textId="77777777">
      <w:pPr>
        <w:ind w:left="360"/>
        <w:rPr>
          <w:color w:val="C00000"/>
          <w:sz w:val="24"/>
        </w:rPr>
      </w:pPr>
    </w:p>
    <w:p w:rsidR="002160B0" w:rsidP="00217858" w:rsidRDefault="002160B0" w14:paraId="6712CEAB" w14:textId="77777777">
      <w:pPr>
        <w:numPr>
          <w:ilvl w:val="0"/>
          <w:numId w:val="9"/>
        </w:numPr>
        <w:rPr>
          <w:b/>
          <w:sz w:val="24"/>
          <w:u w:val="single"/>
        </w:rPr>
      </w:pPr>
      <w:r w:rsidRPr="001C781D">
        <w:rPr>
          <w:b/>
          <w:sz w:val="24"/>
          <w:u w:val="single"/>
        </w:rPr>
        <w:t>Exceptions to Certification for Paperwork Reduction Act Submissions</w:t>
      </w:r>
    </w:p>
    <w:p w:rsidRPr="001C781D" w:rsidR="006635BC" w:rsidP="006635BC" w:rsidRDefault="006635BC" w14:paraId="578F5820" w14:textId="77777777">
      <w:pPr>
        <w:ind w:left="720"/>
        <w:rPr>
          <w:b/>
          <w:sz w:val="24"/>
          <w:u w:val="single"/>
        </w:rPr>
      </w:pPr>
    </w:p>
    <w:p w:rsidRPr="007C40F1" w:rsidR="007C40F1" w:rsidP="00D165C8" w:rsidRDefault="003C293C" w14:paraId="3134B3F2" w14:textId="77777777">
      <w:pPr>
        <w:pStyle w:val="BodyTextIndent"/>
        <w:rPr>
          <w:rFonts w:ascii="Times New Roman" w:hAnsi="Times New Roman"/>
        </w:rPr>
      </w:pPr>
      <w:r w:rsidRPr="007C40F1">
        <w:rPr>
          <w:rFonts w:ascii="Times New Roman" w:hAnsi="Times New Roman"/>
        </w:rPr>
        <w:t>There are no exceptions to the certification.</w:t>
      </w:r>
    </w:p>
    <w:p w:rsidRPr="007C40F1" w:rsidR="007C40F1" w:rsidP="00731A82" w:rsidRDefault="007C40F1" w14:paraId="4DE8091B" w14:textId="77777777">
      <w:pPr>
        <w:pStyle w:val="BodyTextIndent"/>
        <w:ind w:left="1080"/>
        <w:rPr>
          <w:rFonts w:ascii="Times New Roman" w:hAnsi="Times New Roman"/>
        </w:rPr>
      </w:pPr>
    </w:p>
    <w:p w:rsidR="00B24A9A" w:rsidP="00B24A9A" w:rsidRDefault="00B24A9A" w14:paraId="59B22181" w14:textId="77777777">
      <w:pPr>
        <w:pStyle w:val="BodyTextIndent"/>
        <w:ind w:left="0"/>
        <w:rPr>
          <w:rFonts w:ascii="Times New Roman" w:hAnsi="Times New Roman"/>
          <w:b/>
          <w:u w:val="single"/>
        </w:rPr>
      </w:pPr>
    </w:p>
    <w:p w:rsidRPr="001C781D" w:rsidR="002160B0" w:rsidP="00B24A9A" w:rsidRDefault="00B24A9A" w14:paraId="21BC43C2" w14:textId="77777777">
      <w:pPr>
        <w:pStyle w:val="BodyTextIndent"/>
        <w:ind w:left="0"/>
        <w:rPr>
          <w:rFonts w:ascii="Times New Roman" w:hAnsi="Times New Roman"/>
          <w:b/>
          <w:u w:val="single"/>
        </w:rPr>
      </w:pPr>
      <w:r>
        <w:rPr>
          <w:rFonts w:ascii="Times New Roman" w:hAnsi="Times New Roman"/>
          <w:b/>
          <w:u w:val="single"/>
        </w:rPr>
        <w:t>B. Statistical Methods (used for collection of information employing statistical methods)</w:t>
      </w:r>
    </w:p>
    <w:p w:rsidRPr="007C40F1" w:rsidR="002160B0" w:rsidP="00731A82" w:rsidRDefault="002160B0" w14:paraId="4E80208C" w14:textId="77777777">
      <w:pPr>
        <w:pStyle w:val="Heading1"/>
        <w:ind w:left="720"/>
        <w:rPr>
          <w:color w:val="C00000"/>
        </w:rPr>
      </w:pPr>
    </w:p>
    <w:p w:rsidRPr="000B2C63" w:rsidR="002160B0" w:rsidP="007F203D" w:rsidRDefault="003C293C" w14:paraId="190B4735" w14:textId="048A6E62">
      <w:pPr>
        <w:ind w:left="720"/>
        <w:rPr>
          <w:color w:val="C00000"/>
        </w:rPr>
      </w:pPr>
      <w:r w:rsidRPr="007C40F1">
        <w:rPr>
          <w:bCs/>
          <w:sz w:val="24"/>
        </w:rPr>
        <w:t xml:space="preserve">These collections do not employ statistical methods.  </w:t>
      </w:r>
    </w:p>
    <w:p w:rsidR="002160B0" w:rsidP="00731A82" w:rsidRDefault="002160B0" w14:paraId="60B77619" w14:textId="77777777">
      <w:pPr>
        <w:rPr>
          <w:color w:val="C00000"/>
          <w:sz w:val="24"/>
        </w:rPr>
      </w:pPr>
    </w:p>
    <w:p w:rsidRPr="007564AD" w:rsidR="007564AD" w:rsidP="009F16A0" w:rsidRDefault="007564AD" w14:paraId="793A7F9C" w14:textId="77777777">
      <w:pPr>
        <w:rPr>
          <w:i/>
        </w:rPr>
      </w:pPr>
      <w:r w:rsidRPr="007564AD">
        <w:rPr>
          <w:i/>
        </w:rPr>
        <w:t xml:space="preserve"> </w:t>
      </w:r>
    </w:p>
    <w:sectPr w:rsidRPr="007564AD" w:rsidR="007564AD" w:rsidSect="003C5D8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897AB" w14:textId="77777777" w:rsidR="00BF32A7" w:rsidRDefault="00BF32A7">
      <w:r>
        <w:separator/>
      </w:r>
    </w:p>
  </w:endnote>
  <w:endnote w:type="continuationSeparator" w:id="0">
    <w:p w14:paraId="651185DD" w14:textId="77777777" w:rsidR="00BF32A7" w:rsidRDefault="00B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BC51" w14:textId="77777777" w:rsidR="00AF0CDC" w:rsidRDefault="00AF0CDC">
    <w:pPr>
      <w:spacing w:line="240" w:lineRule="exact"/>
    </w:pPr>
  </w:p>
  <w:p w14:paraId="334757BA" w14:textId="3239116B" w:rsidR="00AF0CDC" w:rsidRDefault="00E12ADB">
    <w:pPr>
      <w:framePr w:w="9361" w:wrap="notBeside" w:vAnchor="text" w:hAnchor="text" w:x="1" w:y="1"/>
      <w:jc w:val="center"/>
      <w:rPr>
        <w:sz w:val="24"/>
      </w:rPr>
    </w:pPr>
    <w:r>
      <w:rPr>
        <w:sz w:val="24"/>
      </w:rPr>
      <w:fldChar w:fldCharType="begin"/>
    </w:r>
    <w:r w:rsidR="00AF0CDC">
      <w:rPr>
        <w:sz w:val="24"/>
      </w:rPr>
      <w:instrText xml:space="preserve">PAGE </w:instrText>
    </w:r>
    <w:r>
      <w:rPr>
        <w:sz w:val="24"/>
      </w:rPr>
      <w:fldChar w:fldCharType="separate"/>
    </w:r>
    <w:r w:rsidR="00BF32A7">
      <w:rPr>
        <w:noProof/>
        <w:sz w:val="24"/>
      </w:rPr>
      <w:t>1</w:t>
    </w:r>
    <w:r>
      <w:rPr>
        <w:sz w:val="24"/>
      </w:rPr>
      <w:fldChar w:fldCharType="end"/>
    </w:r>
  </w:p>
  <w:p w14:paraId="52FD4E6A" w14:textId="77777777" w:rsidR="00AF0CDC" w:rsidRDefault="00AF0CD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AD4B7" w14:textId="77777777" w:rsidR="00BF32A7" w:rsidRDefault="00BF32A7">
      <w:r>
        <w:separator/>
      </w:r>
    </w:p>
  </w:footnote>
  <w:footnote w:type="continuationSeparator" w:id="0">
    <w:p w14:paraId="7968D828" w14:textId="77777777" w:rsidR="00BF32A7" w:rsidRDefault="00BF32A7">
      <w:r>
        <w:continuationSeparator/>
      </w:r>
    </w:p>
  </w:footnote>
  <w:footnote w:id="1">
    <w:p w14:paraId="55C3D96E" w14:textId="626978EA" w:rsidR="00AF0CDC" w:rsidRDefault="00AF0CDC" w:rsidP="00AF0CDC">
      <w:pPr>
        <w:pStyle w:val="FootnoteText"/>
      </w:pPr>
      <w:r>
        <w:rPr>
          <w:rStyle w:val="FootnoteReference"/>
        </w:rPr>
        <w:footnoteRef/>
      </w:r>
      <w:r>
        <w:t xml:space="preserve"> </w:t>
      </w:r>
      <w:r w:rsidR="005D45C5">
        <w:rPr>
          <w:rFonts w:ascii="Tahoma" w:hAnsi="Tahoma" w:cs="Tahoma"/>
          <w:color w:val="333333"/>
          <w:sz w:val="18"/>
          <w:szCs w:val="18"/>
        </w:rPr>
        <w:t xml:space="preserve">Bureau of Labor Statistics, U.S. Department of Labor, </w:t>
      </w:r>
      <w:r w:rsidR="005D45C5">
        <w:rPr>
          <w:rStyle w:val="HTMLCite"/>
          <w:rFonts w:ascii="Tahoma" w:hAnsi="Tahoma" w:cs="Tahoma"/>
          <w:color w:val="333333"/>
          <w:sz w:val="18"/>
          <w:szCs w:val="18"/>
        </w:rPr>
        <w:t>Occupational Outlook Handbook</w:t>
      </w:r>
      <w:r w:rsidR="005D45C5">
        <w:rPr>
          <w:rFonts w:ascii="Tahoma" w:hAnsi="Tahoma" w:cs="Tahoma"/>
          <w:color w:val="333333"/>
          <w:sz w:val="18"/>
          <w:szCs w:val="18"/>
        </w:rPr>
        <w:t xml:space="preserve">, Social Workers, </w:t>
      </w:r>
      <w:r w:rsidR="005D45C5">
        <w:rPr>
          <w:rFonts w:ascii="Tahoma" w:hAnsi="Tahoma" w:cs="Tahoma"/>
          <w:color w:val="333333"/>
          <w:sz w:val="18"/>
          <w:szCs w:val="18"/>
        </w:rPr>
        <w:br/>
        <w:t xml:space="preserve">on the Internet at </w:t>
      </w:r>
      <w:hyperlink r:id="rId1" w:tgtFrame="_new" w:history="1">
        <w:r w:rsidR="005D45C5">
          <w:rPr>
            <w:rFonts w:ascii="Tahoma" w:hAnsi="Tahoma" w:cs="Tahoma"/>
            <w:color w:val="003399"/>
            <w:sz w:val="18"/>
            <w:szCs w:val="18"/>
            <w:u w:val="single"/>
          </w:rPr>
          <w:t>https://www.bls.gov/ooh/community-and-social-service/social-workers.htm</w:t>
        </w:r>
      </w:hyperlink>
      <w:r w:rsidR="005D45C5">
        <w:rPr>
          <w:rFonts w:ascii="Tahoma" w:hAnsi="Tahoma" w:cs="Tahoma"/>
          <w:color w:val="333333"/>
          <w:sz w:val="18"/>
          <w:szCs w:val="18"/>
        </w:rPr>
        <w:t xml:space="preserve"> (visited </w:t>
      </w:r>
      <w:r w:rsidR="005D45C5">
        <w:rPr>
          <w:rStyle w:val="Emphasis"/>
          <w:rFonts w:ascii="Tahoma" w:hAnsi="Tahoma" w:cs="Tahoma"/>
          <w:color w:val="333333"/>
          <w:sz w:val="18"/>
          <w:szCs w:val="18"/>
        </w:rPr>
        <w:t>May 07, 2020</w:t>
      </w:r>
      <w:r w:rsidR="005D45C5">
        <w:rPr>
          <w:rFonts w:ascii="Tahoma" w:hAnsi="Tahoma" w:cs="Tahoma"/>
          <w:color w:val="333333"/>
          <w:sz w:val="18"/>
          <w:szCs w:val="18"/>
        </w:rPr>
        <w:t>).</w:t>
      </w:r>
      <w:r>
        <w:t xml:space="preserve"> </w:t>
      </w:r>
    </w:p>
  </w:footnote>
  <w:footnote w:id="2">
    <w:p w14:paraId="557929E6" w14:textId="32EBF749" w:rsidR="004931DD" w:rsidRDefault="004931DD" w:rsidP="004931DD">
      <w:pPr>
        <w:pStyle w:val="FootnoteText"/>
      </w:pPr>
      <w:r>
        <w:rPr>
          <w:rStyle w:val="FootnoteReference"/>
        </w:rPr>
        <w:footnoteRef/>
      </w:r>
      <w:r>
        <w:t xml:space="preserve"> </w:t>
      </w:r>
      <w:r w:rsidR="00445CE5" w:rsidRPr="00445CE5">
        <w:t>An ACL contractor provided this estimate, which includes semi-annual trainings for</w:t>
      </w:r>
      <w:r w:rsidR="00445CE5">
        <w:t xml:space="preserve"> grantees on the use of the AD</w:t>
      </w:r>
      <w:r w:rsidR="00445CE5" w:rsidRPr="00445CE5">
        <w:t>P-DRT and data analysis (including quality checks, tabulation and creating reports), based on contractual amounts available for data support.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5EAF"/>
    <w:multiLevelType w:val="hybridMultilevel"/>
    <w:tmpl w:val="58B234E0"/>
    <w:lvl w:ilvl="0" w:tplc="AF38A7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62E92"/>
    <w:multiLevelType w:val="hybridMultilevel"/>
    <w:tmpl w:val="712867F2"/>
    <w:lvl w:ilvl="0" w:tplc="830E16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B6139"/>
    <w:multiLevelType w:val="hybridMultilevel"/>
    <w:tmpl w:val="13F02EDC"/>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56507D7"/>
    <w:multiLevelType w:val="hybridMultilevel"/>
    <w:tmpl w:val="EE46BC9A"/>
    <w:lvl w:ilvl="0" w:tplc="8A82051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54A61"/>
    <w:multiLevelType w:val="hybridMultilevel"/>
    <w:tmpl w:val="69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330B69"/>
    <w:multiLevelType w:val="hybridMultilevel"/>
    <w:tmpl w:val="B71E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44C34"/>
    <w:multiLevelType w:val="multilevel"/>
    <w:tmpl w:val="DEEA68BE"/>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4DB2DCE"/>
    <w:multiLevelType w:val="hybridMultilevel"/>
    <w:tmpl w:val="084228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DF6845"/>
    <w:multiLevelType w:val="multilevel"/>
    <w:tmpl w:val="7EF05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616590"/>
    <w:multiLevelType w:val="multilevel"/>
    <w:tmpl w:val="51A0D76C"/>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127120"/>
    <w:multiLevelType w:val="hybridMultilevel"/>
    <w:tmpl w:val="BB2ADA16"/>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932C87"/>
    <w:multiLevelType w:val="hybridMultilevel"/>
    <w:tmpl w:val="D0FE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F4337"/>
    <w:multiLevelType w:val="hybridMultilevel"/>
    <w:tmpl w:val="7EF05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730986"/>
    <w:multiLevelType w:val="hybridMultilevel"/>
    <w:tmpl w:val="1490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62551B"/>
    <w:multiLevelType w:val="hybridMultilevel"/>
    <w:tmpl w:val="7AF44FA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D00AA2"/>
    <w:multiLevelType w:val="hybridMultilevel"/>
    <w:tmpl w:val="E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A6DFD"/>
    <w:multiLevelType w:val="hybridMultilevel"/>
    <w:tmpl w:val="88AEDC9A"/>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39D4AD6"/>
    <w:multiLevelType w:val="hybridMultilevel"/>
    <w:tmpl w:val="872ACC86"/>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7166D5"/>
    <w:multiLevelType w:val="multilevel"/>
    <w:tmpl w:val="7390C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647427"/>
    <w:multiLevelType w:val="hybridMultilevel"/>
    <w:tmpl w:val="070A585A"/>
    <w:lvl w:ilvl="0" w:tplc="60CCCF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5E520D"/>
    <w:multiLevelType w:val="multilevel"/>
    <w:tmpl w:val="13F02EDC"/>
    <w:lvl w:ilvl="0">
      <w:start w:val="56"/>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78FC3A8B"/>
    <w:multiLevelType w:val="hybridMultilevel"/>
    <w:tmpl w:val="51A0D76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F5B16B9"/>
    <w:multiLevelType w:val="hybridMultilevel"/>
    <w:tmpl w:val="DE4E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9"/>
  </w:num>
  <w:num w:numId="3">
    <w:abstractNumId w:val="14"/>
  </w:num>
  <w:num w:numId="4">
    <w:abstractNumId w:val="12"/>
  </w:num>
  <w:num w:numId="5">
    <w:abstractNumId w:val="16"/>
  </w:num>
  <w:num w:numId="6">
    <w:abstractNumId w:val="24"/>
  </w:num>
  <w:num w:numId="7">
    <w:abstractNumId w:val="4"/>
  </w:num>
  <w:num w:numId="8">
    <w:abstractNumId w:val="1"/>
  </w:num>
  <w:num w:numId="9">
    <w:abstractNumId w:val="11"/>
  </w:num>
  <w:num w:numId="10">
    <w:abstractNumId w:val="6"/>
  </w:num>
  <w:num w:numId="11">
    <w:abstractNumId w:val="17"/>
  </w:num>
  <w:num w:numId="12">
    <w:abstractNumId w:val="2"/>
  </w:num>
  <w:num w:numId="13">
    <w:abstractNumId w:val="21"/>
  </w:num>
  <w:num w:numId="14">
    <w:abstractNumId w:val="0"/>
  </w:num>
  <w:num w:numId="15">
    <w:abstractNumId w:val="13"/>
  </w:num>
  <w:num w:numId="16">
    <w:abstractNumId w:val="8"/>
  </w:num>
  <w:num w:numId="17">
    <w:abstractNumId w:val="18"/>
  </w:num>
  <w:num w:numId="18">
    <w:abstractNumId w:val="15"/>
  </w:num>
  <w:num w:numId="19">
    <w:abstractNumId w:val="22"/>
  </w:num>
  <w:num w:numId="20">
    <w:abstractNumId w:val="10"/>
  </w:num>
  <w:num w:numId="21">
    <w:abstractNumId w:val="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A"/>
    <w:rsid w:val="0000078B"/>
    <w:rsid w:val="000126A8"/>
    <w:rsid w:val="00012D22"/>
    <w:rsid w:val="00014F90"/>
    <w:rsid w:val="0001592B"/>
    <w:rsid w:val="000176BD"/>
    <w:rsid w:val="00017B1E"/>
    <w:rsid w:val="00022B22"/>
    <w:rsid w:val="00024287"/>
    <w:rsid w:val="00024EC7"/>
    <w:rsid w:val="00035BA8"/>
    <w:rsid w:val="00036B11"/>
    <w:rsid w:val="00036C2B"/>
    <w:rsid w:val="00037088"/>
    <w:rsid w:val="000423C5"/>
    <w:rsid w:val="00043724"/>
    <w:rsid w:val="0004394B"/>
    <w:rsid w:val="000446BA"/>
    <w:rsid w:val="00045FDD"/>
    <w:rsid w:val="00047AB0"/>
    <w:rsid w:val="00047F3F"/>
    <w:rsid w:val="000502A6"/>
    <w:rsid w:val="00054F84"/>
    <w:rsid w:val="000605D9"/>
    <w:rsid w:val="00060F55"/>
    <w:rsid w:val="00062400"/>
    <w:rsid w:val="00065CF2"/>
    <w:rsid w:val="00076748"/>
    <w:rsid w:val="0007771D"/>
    <w:rsid w:val="0008073B"/>
    <w:rsid w:val="00083CD2"/>
    <w:rsid w:val="00085228"/>
    <w:rsid w:val="000903A6"/>
    <w:rsid w:val="000910D4"/>
    <w:rsid w:val="00097FE3"/>
    <w:rsid w:val="000A15FD"/>
    <w:rsid w:val="000A186D"/>
    <w:rsid w:val="000A2883"/>
    <w:rsid w:val="000A2BC3"/>
    <w:rsid w:val="000B2C63"/>
    <w:rsid w:val="000B31D3"/>
    <w:rsid w:val="000C0913"/>
    <w:rsid w:val="000C1E80"/>
    <w:rsid w:val="000C1E90"/>
    <w:rsid w:val="000C257B"/>
    <w:rsid w:val="000D027C"/>
    <w:rsid w:val="000D2D86"/>
    <w:rsid w:val="000E2686"/>
    <w:rsid w:val="000E6AEF"/>
    <w:rsid w:val="000F58B6"/>
    <w:rsid w:val="000F6526"/>
    <w:rsid w:val="000F73A2"/>
    <w:rsid w:val="001060C0"/>
    <w:rsid w:val="00106394"/>
    <w:rsid w:val="00110454"/>
    <w:rsid w:val="00110B2D"/>
    <w:rsid w:val="00111E50"/>
    <w:rsid w:val="0011230B"/>
    <w:rsid w:val="00113524"/>
    <w:rsid w:val="0011526C"/>
    <w:rsid w:val="00115379"/>
    <w:rsid w:val="00122AD6"/>
    <w:rsid w:val="001301B7"/>
    <w:rsid w:val="00130E65"/>
    <w:rsid w:val="00131AC3"/>
    <w:rsid w:val="0013290D"/>
    <w:rsid w:val="00133360"/>
    <w:rsid w:val="00135BC5"/>
    <w:rsid w:val="00137B1C"/>
    <w:rsid w:val="00137B8C"/>
    <w:rsid w:val="001401EF"/>
    <w:rsid w:val="0014049B"/>
    <w:rsid w:val="00145A63"/>
    <w:rsid w:val="00146BDF"/>
    <w:rsid w:val="001474F5"/>
    <w:rsid w:val="0015567B"/>
    <w:rsid w:val="00157486"/>
    <w:rsid w:val="00157C4A"/>
    <w:rsid w:val="00160498"/>
    <w:rsid w:val="00162175"/>
    <w:rsid w:val="00165A02"/>
    <w:rsid w:val="00166A63"/>
    <w:rsid w:val="00167D00"/>
    <w:rsid w:val="001747C2"/>
    <w:rsid w:val="001766C7"/>
    <w:rsid w:val="0017693C"/>
    <w:rsid w:val="00177C2D"/>
    <w:rsid w:val="00181B5C"/>
    <w:rsid w:val="001839F9"/>
    <w:rsid w:val="00186CCC"/>
    <w:rsid w:val="00192CD9"/>
    <w:rsid w:val="001965C5"/>
    <w:rsid w:val="001C093C"/>
    <w:rsid w:val="001C3D42"/>
    <w:rsid w:val="001C4353"/>
    <w:rsid w:val="001C781D"/>
    <w:rsid w:val="001D0FFA"/>
    <w:rsid w:val="001D41CE"/>
    <w:rsid w:val="001D4DDE"/>
    <w:rsid w:val="001E21FA"/>
    <w:rsid w:val="001E3ACE"/>
    <w:rsid w:val="001E5DC3"/>
    <w:rsid w:val="001F15FF"/>
    <w:rsid w:val="001F1B22"/>
    <w:rsid w:val="001F5F4B"/>
    <w:rsid w:val="001F612D"/>
    <w:rsid w:val="001F69AA"/>
    <w:rsid w:val="001F6AAE"/>
    <w:rsid w:val="0020000A"/>
    <w:rsid w:val="0020091E"/>
    <w:rsid w:val="002051B7"/>
    <w:rsid w:val="00205F1A"/>
    <w:rsid w:val="00210FDD"/>
    <w:rsid w:val="00214BFF"/>
    <w:rsid w:val="002160B0"/>
    <w:rsid w:val="002172A0"/>
    <w:rsid w:val="00217858"/>
    <w:rsid w:val="00223BB7"/>
    <w:rsid w:val="002263F5"/>
    <w:rsid w:val="00232171"/>
    <w:rsid w:val="00234AE3"/>
    <w:rsid w:val="0024021B"/>
    <w:rsid w:val="00242338"/>
    <w:rsid w:val="002424DF"/>
    <w:rsid w:val="002427F5"/>
    <w:rsid w:val="0024412D"/>
    <w:rsid w:val="00247642"/>
    <w:rsid w:val="002477EC"/>
    <w:rsid w:val="00256C06"/>
    <w:rsid w:val="00257F74"/>
    <w:rsid w:val="00262947"/>
    <w:rsid w:val="0026548C"/>
    <w:rsid w:val="00270D30"/>
    <w:rsid w:val="00271B66"/>
    <w:rsid w:val="00273603"/>
    <w:rsid w:val="00273818"/>
    <w:rsid w:val="002765C9"/>
    <w:rsid w:val="00277012"/>
    <w:rsid w:val="00283D1D"/>
    <w:rsid w:val="00293A80"/>
    <w:rsid w:val="002A1E81"/>
    <w:rsid w:val="002A5E73"/>
    <w:rsid w:val="002A61AE"/>
    <w:rsid w:val="002A783D"/>
    <w:rsid w:val="002B18DB"/>
    <w:rsid w:val="002B2DFB"/>
    <w:rsid w:val="002B7477"/>
    <w:rsid w:val="002C1373"/>
    <w:rsid w:val="002C339E"/>
    <w:rsid w:val="002C7BE4"/>
    <w:rsid w:val="002D0E23"/>
    <w:rsid w:val="002D2F1D"/>
    <w:rsid w:val="002D53BD"/>
    <w:rsid w:val="002E4A75"/>
    <w:rsid w:val="002F3330"/>
    <w:rsid w:val="002F6D45"/>
    <w:rsid w:val="002F7DDC"/>
    <w:rsid w:val="00306CAD"/>
    <w:rsid w:val="00307B26"/>
    <w:rsid w:val="003100F0"/>
    <w:rsid w:val="00310C15"/>
    <w:rsid w:val="00317023"/>
    <w:rsid w:val="00317A7E"/>
    <w:rsid w:val="00320F40"/>
    <w:rsid w:val="00335AD5"/>
    <w:rsid w:val="00343CBF"/>
    <w:rsid w:val="00344D67"/>
    <w:rsid w:val="00345411"/>
    <w:rsid w:val="00346F8A"/>
    <w:rsid w:val="003472D4"/>
    <w:rsid w:val="00364BA5"/>
    <w:rsid w:val="0037111E"/>
    <w:rsid w:val="0038481C"/>
    <w:rsid w:val="00386D7A"/>
    <w:rsid w:val="00390E80"/>
    <w:rsid w:val="00397899"/>
    <w:rsid w:val="003A1D52"/>
    <w:rsid w:val="003A2BC0"/>
    <w:rsid w:val="003A52C8"/>
    <w:rsid w:val="003A630A"/>
    <w:rsid w:val="003A7FF9"/>
    <w:rsid w:val="003B0840"/>
    <w:rsid w:val="003C19A7"/>
    <w:rsid w:val="003C293C"/>
    <w:rsid w:val="003C34B5"/>
    <w:rsid w:val="003C4E42"/>
    <w:rsid w:val="003C5B6C"/>
    <w:rsid w:val="003C5D88"/>
    <w:rsid w:val="003C71F2"/>
    <w:rsid w:val="003C77A0"/>
    <w:rsid w:val="003D019B"/>
    <w:rsid w:val="003D3F97"/>
    <w:rsid w:val="003D44E0"/>
    <w:rsid w:val="003D4D38"/>
    <w:rsid w:val="003D5B76"/>
    <w:rsid w:val="003D6D22"/>
    <w:rsid w:val="003E3193"/>
    <w:rsid w:val="003E4B15"/>
    <w:rsid w:val="003E5041"/>
    <w:rsid w:val="003E64A3"/>
    <w:rsid w:val="003E6ADC"/>
    <w:rsid w:val="003F043A"/>
    <w:rsid w:val="00404AC0"/>
    <w:rsid w:val="0040574B"/>
    <w:rsid w:val="00405E4E"/>
    <w:rsid w:val="0041352C"/>
    <w:rsid w:val="00416924"/>
    <w:rsid w:val="0042148D"/>
    <w:rsid w:val="00421902"/>
    <w:rsid w:val="00424CA0"/>
    <w:rsid w:val="00427018"/>
    <w:rsid w:val="00430891"/>
    <w:rsid w:val="00432B7F"/>
    <w:rsid w:val="0043340E"/>
    <w:rsid w:val="0043458F"/>
    <w:rsid w:val="00434760"/>
    <w:rsid w:val="00434DF2"/>
    <w:rsid w:val="00435428"/>
    <w:rsid w:val="00436254"/>
    <w:rsid w:val="00436690"/>
    <w:rsid w:val="004377DC"/>
    <w:rsid w:val="00437BC0"/>
    <w:rsid w:val="00443804"/>
    <w:rsid w:val="00444CA0"/>
    <w:rsid w:val="00444FB1"/>
    <w:rsid w:val="00445B24"/>
    <w:rsid w:val="00445CE5"/>
    <w:rsid w:val="00447502"/>
    <w:rsid w:val="00455DF5"/>
    <w:rsid w:val="00457605"/>
    <w:rsid w:val="00467E1F"/>
    <w:rsid w:val="00476EC7"/>
    <w:rsid w:val="00480595"/>
    <w:rsid w:val="00484828"/>
    <w:rsid w:val="00484B4A"/>
    <w:rsid w:val="00487A7C"/>
    <w:rsid w:val="00492BA0"/>
    <w:rsid w:val="00493041"/>
    <w:rsid w:val="00493097"/>
    <w:rsid w:val="004931DD"/>
    <w:rsid w:val="00493FD7"/>
    <w:rsid w:val="004A110D"/>
    <w:rsid w:val="004A4F9C"/>
    <w:rsid w:val="004A523B"/>
    <w:rsid w:val="004B2E97"/>
    <w:rsid w:val="004B490E"/>
    <w:rsid w:val="004B51B8"/>
    <w:rsid w:val="004B555E"/>
    <w:rsid w:val="004B6FBE"/>
    <w:rsid w:val="004B79B7"/>
    <w:rsid w:val="004C123C"/>
    <w:rsid w:val="004C18DE"/>
    <w:rsid w:val="004D3C98"/>
    <w:rsid w:val="004D5DA5"/>
    <w:rsid w:val="004D7ECA"/>
    <w:rsid w:val="004E0D26"/>
    <w:rsid w:val="004E2F2D"/>
    <w:rsid w:val="004E7396"/>
    <w:rsid w:val="004F0239"/>
    <w:rsid w:val="004F02E1"/>
    <w:rsid w:val="004F28B4"/>
    <w:rsid w:val="004F7152"/>
    <w:rsid w:val="004F7C99"/>
    <w:rsid w:val="00501D31"/>
    <w:rsid w:val="00506FBB"/>
    <w:rsid w:val="00510087"/>
    <w:rsid w:val="005115CA"/>
    <w:rsid w:val="005146CE"/>
    <w:rsid w:val="00521A67"/>
    <w:rsid w:val="0052217B"/>
    <w:rsid w:val="00522699"/>
    <w:rsid w:val="005232A0"/>
    <w:rsid w:val="00525E9A"/>
    <w:rsid w:val="00532F9B"/>
    <w:rsid w:val="005406A4"/>
    <w:rsid w:val="005413B9"/>
    <w:rsid w:val="00542905"/>
    <w:rsid w:val="005477D1"/>
    <w:rsid w:val="005519A3"/>
    <w:rsid w:val="00551C3C"/>
    <w:rsid w:val="00554658"/>
    <w:rsid w:val="005564A7"/>
    <w:rsid w:val="005618E5"/>
    <w:rsid w:val="00561BD8"/>
    <w:rsid w:val="00564DD3"/>
    <w:rsid w:val="00570344"/>
    <w:rsid w:val="00575426"/>
    <w:rsid w:val="00576C37"/>
    <w:rsid w:val="00581CB3"/>
    <w:rsid w:val="00585C7B"/>
    <w:rsid w:val="005930C3"/>
    <w:rsid w:val="00597240"/>
    <w:rsid w:val="005A0B00"/>
    <w:rsid w:val="005A2F74"/>
    <w:rsid w:val="005A707C"/>
    <w:rsid w:val="005B03D3"/>
    <w:rsid w:val="005B3E66"/>
    <w:rsid w:val="005B5DCB"/>
    <w:rsid w:val="005C12C9"/>
    <w:rsid w:val="005C435B"/>
    <w:rsid w:val="005C4B53"/>
    <w:rsid w:val="005C7622"/>
    <w:rsid w:val="005C7B42"/>
    <w:rsid w:val="005D21CB"/>
    <w:rsid w:val="005D335E"/>
    <w:rsid w:val="005D39C9"/>
    <w:rsid w:val="005D45C5"/>
    <w:rsid w:val="005D6AA1"/>
    <w:rsid w:val="005D6CCD"/>
    <w:rsid w:val="005D7C45"/>
    <w:rsid w:val="005E20D7"/>
    <w:rsid w:val="005E25DF"/>
    <w:rsid w:val="005E3A04"/>
    <w:rsid w:val="005E5049"/>
    <w:rsid w:val="005E64B5"/>
    <w:rsid w:val="005E7EB7"/>
    <w:rsid w:val="005F7B77"/>
    <w:rsid w:val="00604127"/>
    <w:rsid w:val="006077D7"/>
    <w:rsid w:val="0061055D"/>
    <w:rsid w:val="00620ECE"/>
    <w:rsid w:val="00621E69"/>
    <w:rsid w:val="00640FF7"/>
    <w:rsid w:val="006424B4"/>
    <w:rsid w:val="00646529"/>
    <w:rsid w:val="006571E8"/>
    <w:rsid w:val="0065792F"/>
    <w:rsid w:val="0066115D"/>
    <w:rsid w:val="006635BC"/>
    <w:rsid w:val="00665056"/>
    <w:rsid w:val="00665DEA"/>
    <w:rsid w:val="00681C29"/>
    <w:rsid w:val="006858C1"/>
    <w:rsid w:val="00692440"/>
    <w:rsid w:val="00696FC4"/>
    <w:rsid w:val="00697064"/>
    <w:rsid w:val="006A06D8"/>
    <w:rsid w:val="006A271A"/>
    <w:rsid w:val="006A6DE8"/>
    <w:rsid w:val="006A6E3D"/>
    <w:rsid w:val="006B0170"/>
    <w:rsid w:val="006B6226"/>
    <w:rsid w:val="006C01F0"/>
    <w:rsid w:val="006C0D39"/>
    <w:rsid w:val="006C0EB6"/>
    <w:rsid w:val="006C1103"/>
    <w:rsid w:val="006C5577"/>
    <w:rsid w:val="006C68F1"/>
    <w:rsid w:val="006D6C9C"/>
    <w:rsid w:val="006E0C59"/>
    <w:rsid w:val="006E1E57"/>
    <w:rsid w:val="006E47F5"/>
    <w:rsid w:val="006E4880"/>
    <w:rsid w:val="006E563B"/>
    <w:rsid w:val="006F1EE4"/>
    <w:rsid w:val="00703FA6"/>
    <w:rsid w:val="00710341"/>
    <w:rsid w:val="00712EE9"/>
    <w:rsid w:val="0071426F"/>
    <w:rsid w:val="00722FAC"/>
    <w:rsid w:val="00731A82"/>
    <w:rsid w:val="007335CE"/>
    <w:rsid w:val="00737F07"/>
    <w:rsid w:val="00743201"/>
    <w:rsid w:val="00746FA8"/>
    <w:rsid w:val="00747A5E"/>
    <w:rsid w:val="007537E6"/>
    <w:rsid w:val="007564AD"/>
    <w:rsid w:val="0076060F"/>
    <w:rsid w:val="007623BE"/>
    <w:rsid w:val="00762706"/>
    <w:rsid w:val="007663AB"/>
    <w:rsid w:val="00766A9E"/>
    <w:rsid w:val="00771D5E"/>
    <w:rsid w:val="00776EC0"/>
    <w:rsid w:val="00780DD0"/>
    <w:rsid w:val="00781A0A"/>
    <w:rsid w:val="0078602A"/>
    <w:rsid w:val="007868AB"/>
    <w:rsid w:val="007908D9"/>
    <w:rsid w:val="00790B55"/>
    <w:rsid w:val="00792625"/>
    <w:rsid w:val="00794D03"/>
    <w:rsid w:val="00794EDD"/>
    <w:rsid w:val="00795DB3"/>
    <w:rsid w:val="0079631D"/>
    <w:rsid w:val="007A4FAC"/>
    <w:rsid w:val="007A52FA"/>
    <w:rsid w:val="007A7E0A"/>
    <w:rsid w:val="007B2DF2"/>
    <w:rsid w:val="007B4531"/>
    <w:rsid w:val="007B4DB2"/>
    <w:rsid w:val="007C40F1"/>
    <w:rsid w:val="007D028A"/>
    <w:rsid w:val="007D0B70"/>
    <w:rsid w:val="007D4189"/>
    <w:rsid w:val="007D5AC8"/>
    <w:rsid w:val="007D5EF9"/>
    <w:rsid w:val="007E4BB3"/>
    <w:rsid w:val="007E6B09"/>
    <w:rsid w:val="007F081A"/>
    <w:rsid w:val="007F12A7"/>
    <w:rsid w:val="007F203D"/>
    <w:rsid w:val="007F45C9"/>
    <w:rsid w:val="007F55D3"/>
    <w:rsid w:val="00800409"/>
    <w:rsid w:val="0080280A"/>
    <w:rsid w:val="008055D1"/>
    <w:rsid w:val="00806CD7"/>
    <w:rsid w:val="008129D0"/>
    <w:rsid w:val="0082173C"/>
    <w:rsid w:val="008222DD"/>
    <w:rsid w:val="008223DD"/>
    <w:rsid w:val="0082376B"/>
    <w:rsid w:val="0082394A"/>
    <w:rsid w:val="0082450F"/>
    <w:rsid w:val="008254F2"/>
    <w:rsid w:val="00832B22"/>
    <w:rsid w:val="00832D5B"/>
    <w:rsid w:val="00833370"/>
    <w:rsid w:val="00833956"/>
    <w:rsid w:val="00834E4A"/>
    <w:rsid w:val="00840C69"/>
    <w:rsid w:val="00841D88"/>
    <w:rsid w:val="00846FCE"/>
    <w:rsid w:val="00853C28"/>
    <w:rsid w:val="00857076"/>
    <w:rsid w:val="00857FD8"/>
    <w:rsid w:val="008730B9"/>
    <w:rsid w:val="008835DE"/>
    <w:rsid w:val="008837C8"/>
    <w:rsid w:val="00887506"/>
    <w:rsid w:val="00892114"/>
    <w:rsid w:val="008937F3"/>
    <w:rsid w:val="008940D5"/>
    <w:rsid w:val="008954A8"/>
    <w:rsid w:val="0089767F"/>
    <w:rsid w:val="008A239B"/>
    <w:rsid w:val="008A40D8"/>
    <w:rsid w:val="008B0977"/>
    <w:rsid w:val="008B146D"/>
    <w:rsid w:val="008B1E2E"/>
    <w:rsid w:val="008B1FB0"/>
    <w:rsid w:val="008B2BCC"/>
    <w:rsid w:val="008B345F"/>
    <w:rsid w:val="008B7F12"/>
    <w:rsid w:val="008C3457"/>
    <w:rsid w:val="008C3857"/>
    <w:rsid w:val="008C79F5"/>
    <w:rsid w:val="008C7B8F"/>
    <w:rsid w:val="008D0315"/>
    <w:rsid w:val="008D3144"/>
    <w:rsid w:val="008D4349"/>
    <w:rsid w:val="008D55AA"/>
    <w:rsid w:val="008D70F5"/>
    <w:rsid w:val="008F0213"/>
    <w:rsid w:val="008F4C96"/>
    <w:rsid w:val="008F537A"/>
    <w:rsid w:val="008F5A76"/>
    <w:rsid w:val="008F5B4D"/>
    <w:rsid w:val="00907AAB"/>
    <w:rsid w:val="00910368"/>
    <w:rsid w:val="00912F03"/>
    <w:rsid w:val="00915255"/>
    <w:rsid w:val="00915B15"/>
    <w:rsid w:val="009204BA"/>
    <w:rsid w:val="00921588"/>
    <w:rsid w:val="009264CF"/>
    <w:rsid w:val="009270F1"/>
    <w:rsid w:val="0093439C"/>
    <w:rsid w:val="00937E7C"/>
    <w:rsid w:val="00944942"/>
    <w:rsid w:val="00944EA8"/>
    <w:rsid w:val="00945D1C"/>
    <w:rsid w:val="00947F41"/>
    <w:rsid w:val="0095060D"/>
    <w:rsid w:val="00953C27"/>
    <w:rsid w:val="00955BC4"/>
    <w:rsid w:val="009566D9"/>
    <w:rsid w:val="00964058"/>
    <w:rsid w:val="0096775E"/>
    <w:rsid w:val="009866DF"/>
    <w:rsid w:val="00987691"/>
    <w:rsid w:val="00987B92"/>
    <w:rsid w:val="009949CA"/>
    <w:rsid w:val="00994B84"/>
    <w:rsid w:val="00995C7E"/>
    <w:rsid w:val="0099619F"/>
    <w:rsid w:val="009A171C"/>
    <w:rsid w:val="009A3862"/>
    <w:rsid w:val="009A73B5"/>
    <w:rsid w:val="009B3118"/>
    <w:rsid w:val="009B5CFB"/>
    <w:rsid w:val="009B7503"/>
    <w:rsid w:val="009B7524"/>
    <w:rsid w:val="009C12CE"/>
    <w:rsid w:val="009C3600"/>
    <w:rsid w:val="009C4269"/>
    <w:rsid w:val="009C45F7"/>
    <w:rsid w:val="009C55CA"/>
    <w:rsid w:val="009C5B52"/>
    <w:rsid w:val="009C7686"/>
    <w:rsid w:val="009C7717"/>
    <w:rsid w:val="009D379D"/>
    <w:rsid w:val="009D4D4C"/>
    <w:rsid w:val="009D5AE5"/>
    <w:rsid w:val="009D5FEC"/>
    <w:rsid w:val="009E0A86"/>
    <w:rsid w:val="009E2EB2"/>
    <w:rsid w:val="009E6160"/>
    <w:rsid w:val="009E78BB"/>
    <w:rsid w:val="009F16A0"/>
    <w:rsid w:val="009F23DB"/>
    <w:rsid w:val="009F45D2"/>
    <w:rsid w:val="009F758D"/>
    <w:rsid w:val="009F7748"/>
    <w:rsid w:val="00A019DC"/>
    <w:rsid w:val="00A05215"/>
    <w:rsid w:val="00A06035"/>
    <w:rsid w:val="00A1058D"/>
    <w:rsid w:val="00A212B4"/>
    <w:rsid w:val="00A21F18"/>
    <w:rsid w:val="00A22DDB"/>
    <w:rsid w:val="00A2534A"/>
    <w:rsid w:val="00A2588C"/>
    <w:rsid w:val="00A26042"/>
    <w:rsid w:val="00A350F7"/>
    <w:rsid w:val="00A416DA"/>
    <w:rsid w:val="00A4327B"/>
    <w:rsid w:val="00A437FF"/>
    <w:rsid w:val="00A45868"/>
    <w:rsid w:val="00A47904"/>
    <w:rsid w:val="00A53270"/>
    <w:rsid w:val="00A53A9F"/>
    <w:rsid w:val="00A56A13"/>
    <w:rsid w:val="00A570FB"/>
    <w:rsid w:val="00A604BF"/>
    <w:rsid w:val="00A61C16"/>
    <w:rsid w:val="00A61FC9"/>
    <w:rsid w:val="00A703B0"/>
    <w:rsid w:val="00A70FBA"/>
    <w:rsid w:val="00A71CD0"/>
    <w:rsid w:val="00A84FAE"/>
    <w:rsid w:val="00A85857"/>
    <w:rsid w:val="00A876CD"/>
    <w:rsid w:val="00AA0AC3"/>
    <w:rsid w:val="00AA1375"/>
    <w:rsid w:val="00AA4252"/>
    <w:rsid w:val="00AA5ACC"/>
    <w:rsid w:val="00AB038B"/>
    <w:rsid w:val="00AB0E1D"/>
    <w:rsid w:val="00AB5730"/>
    <w:rsid w:val="00AC1A3E"/>
    <w:rsid w:val="00AC22CC"/>
    <w:rsid w:val="00AC6A10"/>
    <w:rsid w:val="00AD46EC"/>
    <w:rsid w:val="00AD4E14"/>
    <w:rsid w:val="00AD5A50"/>
    <w:rsid w:val="00AD5D31"/>
    <w:rsid w:val="00AE1764"/>
    <w:rsid w:val="00AE4A14"/>
    <w:rsid w:val="00AE6B7E"/>
    <w:rsid w:val="00AE6D3C"/>
    <w:rsid w:val="00AF0161"/>
    <w:rsid w:val="00AF0CDC"/>
    <w:rsid w:val="00AF1525"/>
    <w:rsid w:val="00B03443"/>
    <w:rsid w:val="00B05B01"/>
    <w:rsid w:val="00B11432"/>
    <w:rsid w:val="00B13085"/>
    <w:rsid w:val="00B1509C"/>
    <w:rsid w:val="00B23723"/>
    <w:rsid w:val="00B24A9A"/>
    <w:rsid w:val="00B258D9"/>
    <w:rsid w:val="00B25B04"/>
    <w:rsid w:val="00B26492"/>
    <w:rsid w:val="00B30148"/>
    <w:rsid w:val="00B30D1C"/>
    <w:rsid w:val="00B33556"/>
    <w:rsid w:val="00B40625"/>
    <w:rsid w:val="00B431D7"/>
    <w:rsid w:val="00B435F6"/>
    <w:rsid w:val="00B46AD8"/>
    <w:rsid w:val="00B50B55"/>
    <w:rsid w:val="00B57B14"/>
    <w:rsid w:val="00B61CEA"/>
    <w:rsid w:val="00B64463"/>
    <w:rsid w:val="00B658F8"/>
    <w:rsid w:val="00B65F71"/>
    <w:rsid w:val="00B660D8"/>
    <w:rsid w:val="00B663C6"/>
    <w:rsid w:val="00B70E35"/>
    <w:rsid w:val="00B711E7"/>
    <w:rsid w:val="00B7347A"/>
    <w:rsid w:val="00B759F2"/>
    <w:rsid w:val="00B801F3"/>
    <w:rsid w:val="00B81E43"/>
    <w:rsid w:val="00B83635"/>
    <w:rsid w:val="00B839E2"/>
    <w:rsid w:val="00BA253F"/>
    <w:rsid w:val="00BA2CFF"/>
    <w:rsid w:val="00BA718A"/>
    <w:rsid w:val="00BA7B81"/>
    <w:rsid w:val="00BB138A"/>
    <w:rsid w:val="00BB15E6"/>
    <w:rsid w:val="00BB5DC3"/>
    <w:rsid w:val="00BB5E73"/>
    <w:rsid w:val="00BB6C87"/>
    <w:rsid w:val="00BC31F4"/>
    <w:rsid w:val="00BC3343"/>
    <w:rsid w:val="00BC3640"/>
    <w:rsid w:val="00BC730C"/>
    <w:rsid w:val="00BD00A8"/>
    <w:rsid w:val="00BD04E3"/>
    <w:rsid w:val="00BD5CA8"/>
    <w:rsid w:val="00BE4495"/>
    <w:rsid w:val="00BE6DED"/>
    <w:rsid w:val="00BF1A8B"/>
    <w:rsid w:val="00BF32A7"/>
    <w:rsid w:val="00BF70BD"/>
    <w:rsid w:val="00BF7454"/>
    <w:rsid w:val="00BF7F90"/>
    <w:rsid w:val="00C00BB8"/>
    <w:rsid w:val="00C02EC2"/>
    <w:rsid w:val="00C046BB"/>
    <w:rsid w:val="00C0664C"/>
    <w:rsid w:val="00C11D34"/>
    <w:rsid w:val="00C15FA6"/>
    <w:rsid w:val="00C30EE0"/>
    <w:rsid w:val="00C3198E"/>
    <w:rsid w:val="00C31B17"/>
    <w:rsid w:val="00C31D3E"/>
    <w:rsid w:val="00C42567"/>
    <w:rsid w:val="00C44EF6"/>
    <w:rsid w:val="00C46ABA"/>
    <w:rsid w:val="00C51759"/>
    <w:rsid w:val="00C539B9"/>
    <w:rsid w:val="00C60043"/>
    <w:rsid w:val="00C621E0"/>
    <w:rsid w:val="00C62AC9"/>
    <w:rsid w:val="00C649E9"/>
    <w:rsid w:val="00C666C1"/>
    <w:rsid w:val="00C70295"/>
    <w:rsid w:val="00C705F0"/>
    <w:rsid w:val="00C85CE1"/>
    <w:rsid w:val="00C85ECE"/>
    <w:rsid w:val="00C87563"/>
    <w:rsid w:val="00C96AC0"/>
    <w:rsid w:val="00CA5850"/>
    <w:rsid w:val="00CB1AA5"/>
    <w:rsid w:val="00CB3866"/>
    <w:rsid w:val="00CB69FB"/>
    <w:rsid w:val="00CC055F"/>
    <w:rsid w:val="00CC27E1"/>
    <w:rsid w:val="00CC49CE"/>
    <w:rsid w:val="00CD0EDE"/>
    <w:rsid w:val="00CD30A2"/>
    <w:rsid w:val="00CD6E46"/>
    <w:rsid w:val="00CD793D"/>
    <w:rsid w:val="00CE14C5"/>
    <w:rsid w:val="00CE1BCF"/>
    <w:rsid w:val="00CE2ED7"/>
    <w:rsid w:val="00CE2F59"/>
    <w:rsid w:val="00CF3408"/>
    <w:rsid w:val="00CF3941"/>
    <w:rsid w:val="00CF43C5"/>
    <w:rsid w:val="00CF7D30"/>
    <w:rsid w:val="00D02105"/>
    <w:rsid w:val="00D077B8"/>
    <w:rsid w:val="00D1383E"/>
    <w:rsid w:val="00D14832"/>
    <w:rsid w:val="00D165C8"/>
    <w:rsid w:val="00D21BF0"/>
    <w:rsid w:val="00D2320A"/>
    <w:rsid w:val="00D25B8B"/>
    <w:rsid w:val="00D31096"/>
    <w:rsid w:val="00D3173B"/>
    <w:rsid w:val="00D3562D"/>
    <w:rsid w:val="00D35CE9"/>
    <w:rsid w:val="00D37F19"/>
    <w:rsid w:val="00D41534"/>
    <w:rsid w:val="00D46BB4"/>
    <w:rsid w:val="00D47042"/>
    <w:rsid w:val="00D470DF"/>
    <w:rsid w:val="00D5191B"/>
    <w:rsid w:val="00D539F8"/>
    <w:rsid w:val="00D56912"/>
    <w:rsid w:val="00D577F0"/>
    <w:rsid w:val="00D613AD"/>
    <w:rsid w:val="00D62A16"/>
    <w:rsid w:val="00D647DB"/>
    <w:rsid w:val="00D6667E"/>
    <w:rsid w:val="00D72AE7"/>
    <w:rsid w:val="00D8197E"/>
    <w:rsid w:val="00D84A0A"/>
    <w:rsid w:val="00D8647C"/>
    <w:rsid w:val="00D87502"/>
    <w:rsid w:val="00D97638"/>
    <w:rsid w:val="00DA0132"/>
    <w:rsid w:val="00DA0AE4"/>
    <w:rsid w:val="00DA33F8"/>
    <w:rsid w:val="00DA3CD8"/>
    <w:rsid w:val="00DA4211"/>
    <w:rsid w:val="00DA4893"/>
    <w:rsid w:val="00DA48D8"/>
    <w:rsid w:val="00DA4EDA"/>
    <w:rsid w:val="00DB0582"/>
    <w:rsid w:val="00DB37D1"/>
    <w:rsid w:val="00DB3D65"/>
    <w:rsid w:val="00DC0D21"/>
    <w:rsid w:val="00DC754B"/>
    <w:rsid w:val="00DD118C"/>
    <w:rsid w:val="00DD4023"/>
    <w:rsid w:val="00DD47FA"/>
    <w:rsid w:val="00DD5F80"/>
    <w:rsid w:val="00DE0637"/>
    <w:rsid w:val="00DE5701"/>
    <w:rsid w:val="00DE6884"/>
    <w:rsid w:val="00DF0171"/>
    <w:rsid w:val="00DF6359"/>
    <w:rsid w:val="00DF6CBF"/>
    <w:rsid w:val="00DF7E03"/>
    <w:rsid w:val="00E02669"/>
    <w:rsid w:val="00E06A63"/>
    <w:rsid w:val="00E12ADB"/>
    <w:rsid w:val="00E17873"/>
    <w:rsid w:val="00E217CB"/>
    <w:rsid w:val="00E2186A"/>
    <w:rsid w:val="00E25438"/>
    <w:rsid w:val="00E32AAC"/>
    <w:rsid w:val="00E32D42"/>
    <w:rsid w:val="00E331BE"/>
    <w:rsid w:val="00E4334E"/>
    <w:rsid w:val="00E44ED4"/>
    <w:rsid w:val="00E51046"/>
    <w:rsid w:val="00E51BD9"/>
    <w:rsid w:val="00E52EE1"/>
    <w:rsid w:val="00E56622"/>
    <w:rsid w:val="00E6042A"/>
    <w:rsid w:val="00E60F2C"/>
    <w:rsid w:val="00E60FFD"/>
    <w:rsid w:val="00E65BD1"/>
    <w:rsid w:val="00E66688"/>
    <w:rsid w:val="00E67FAD"/>
    <w:rsid w:val="00E75932"/>
    <w:rsid w:val="00E90148"/>
    <w:rsid w:val="00E93DB3"/>
    <w:rsid w:val="00E95945"/>
    <w:rsid w:val="00EB0308"/>
    <w:rsid w:val="00EB0CFE"/>
    <w:rsid w:val="00EB1B6F"/>
    <w:rsid w:val="00EB7AA5"/>
    <w:rsid w:val="00EC1168"/>
    <w:rsid w:val="00EC1B14"/>
    <w:rsid w:val="00EC655E"/>
    <w:rsid w:val="00ED09A1"/>
    <w:rsid w:val="00ED53D1"/>
    <w:rsid w:val="00EE00DD"/>
    <w:rsid w:val="00EF099A"/>
    <w:rsid w:val="00EF6304"/>
    <w:rsid w:val="00EF6A70"/>
    <w:rsid w:val="00F01D76"/>
    <w:rsid w:val="00F02705"/>
    <w:rsid w:val="00F048A1"/>
    <w:rsid w:val="00F050AC"/>
    <w:rsid w:val="00F10D54"/>
    <w:rsid w:val="00F15019"/>
    <w:rsid w:val="00F22CEA"/>
    <w:rsid w:val="00F237ED"/>
    <w:rsid w:val="00F248A6"/>
    <w:rsid w:val="00F24E17"/>
    <w:rsid w:val="00F43407"/>
    <w:rsid w:val="00F43B7A"/>
    <w:rsid w:val="00F43FF2"/>
    <w:rsid w:val="00F44FDB"/>
    <w:rsid w:val="00F45F0F"/>
    <w:rsid w:val="00F5545E"/>
    <w:rsid w:val="00F57E05"/>
    <w:rsid w:val="00F740B5"/>
    <w:rsid w:val="00F91A8F"/>
    <w:rsid w:val="00F91EF6"/>
    <w:rsid w:val="00FA3FE5"/>
    <w:rsid w:val="00FB2486"/>
    <w:rsid w:val="00FB5366"/>
    <w:rsid w:val="00FB55C6"/>
    <w:rsid w:val="00FC0782"/>
    <w:rsid w:val="00FC3168"/>
    <w:rsid w:val="00FC35BD"/>
    <w:rsid w:val="00FC5A53"/>
    <w:rsid w:val="00FC67C1"/>
    <w:rsid w:val="00FD2C80"/>
    <w:rsid w:val="00FD54B7"/>
    <w:rsid w:val="00FD5595"/>
    <w:rsid w:val="00FD5B9C"/>
    <w:rsid w:val="00FD7CDB"/>
    <w:rsid w:val="00FE10FA"/>
    <w:rsid w:val="00FF6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E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88"/>
    <w:pPr>
      <w:widowControl w:val="0"/>
      <w:autoSpaceDE w:val="0"/>
      <w:autoSpaceDN w:val="0"/>
      <w:adjustRightInd w:val="0"/>
    </w:pPr>
    <w:rPr>
      <w:szCs w:val="24"/>
    </w:rPr>
  </w:style>
  <w:style w:type="paragraph" w:styleId="Heading1">
    <w:name w:val="heading 1"/>
    <w:basedOn w:val="Normal"/>
    <w:next w:val="Normal"/>
    <w:qFormat/>
    <w:rsid w:val="003C5D88"/>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5D88"/>
  </w:style>
  <w:style w:type="paragraph" w:styleId="BodyTextIndent">
    <w:name w:val="Body Text Indent"/>
    <w:basedOn w:val="Normal"/>
    <w:link w:val="BodyTextIndentChar"/>
    <w:rsid w:val="003C5D88"/>
    <w:pPr>
      <w:ind w:left="720"/>
    </w:pPr>
    <w:rPr>
      <w:rFonts w:ascii="Baskerville Old Face" w:hAnsi="Baskerville Old Face"/>
      <w:sz w:val="24"/>
    </w:rPr>
  </w:style>
  <w:style w:type="table" w:styleId="TableGrid">
    <w:name w:val="Table Grid"/>
    <w:basedOn w:val="TableNormal"/>
    <w:rsid w:val="003C5D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basedOn w:val="DefaultParagraphFont"/>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basedOn w:val="DefaultParagraphFont"/>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basedOn w:val="CommentTextChar"/>
    <w:link w:val="CommentSubject"/>
    <w:rsid w:val="00AB5730"/>
    <w:rPr>
      <w:b/>
      <w:bCs/>
    </w:rPr>
  </w:style>
  <w:style w:type="character" w:styleId="Hyperlink">
    <w:name w:val="Hyperlink"/>
    <w:basedOn w:val="DefaultParagraphFont"/>
    <w:rsid w:val="007908D9"/>
    <w:rPr>
      <w:color w:val="0000FF"/>
      <w:u w:val="single"/>
    </w:rPr>
  </w:style>
  <w:style w:type="character" w:styleId="FollowedHyperlink">
    <w:name w:val="FollowedHyperlink"/>
    <w:basedOn w:val="DefaultParagraphFont"/>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semiHidden/>
    <w:rsid w:val="008B7F12"/>
    <w:rPr>
      <w:szCs w:val="20"/>
    </w:rPr>
  </w:style>
  <w:style w:type="character" w:customStyle="1" w:styleId="Heading3Char">
    <w:name w:val="Heading 3 Char"/>
    <w:basedOn w:val="DefaultParagraphFont"/>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semiHidden/>
    <w:locked/>
    <w:rsid w:val="006C5577"/>
  </w:style>
  <w:style w:type="character" w:customStyle="1" w:styleId="textblack1">
    <w:name w:val="textblack1"/>
    <w:basedOn w:val="DefaultParagraphFont"/>
    <w:rsid w:val="0043340E"/>
    <w:rPr>
      <w:rFonts w:ascii="Arial" w:hAnsi="Arial" w:cs="Arial" w:hint="default"/>
      <w:b w:val="0"/>
      <w:bCs w:val="0"/>
      <w:i w:val="0"/>
      <w:iCs w:val="0"/>
      <w:color w:val="000000"/>
      <w:sz w:val="17"/>
      <w:szCs w:val="17"/>
    </w:rPr>
  </w:style>
  <w:style w:type="paragraph" w:styleId="Revision">
    <w:name w:val="Revision"/>
    <w:hidden/>
    <w:uiPriority w:val="99"/>
    <w:semiHidden/>
    <w:rsid w:val="009C5B52"/>
    <w:rPr>
      <w:szCs w:val="24"/>
    </w:rPr>
  </w:style>
  <w:style w:type="character" w:customStyle="1" w:styleId="BodyTextIndentChar">
    <w:name w:val="Body Text Indent Char"/>
    <w:basedOn w:val="DefaultParagraphFont"/>
    <w:link w:val="BodyTextIndent"/>
    <w:rsid w:val="008B345F"/>
    <w:rPr>
      <w:rFonts w:ascii="Baskerville Old Face" w:hAnsi="Baskerville Old Face"/>
      <w:sz w:val="24"/>
      <w:szCs w:val="24"/>
    </w:rPr>
  </w:style>
  <w:style w:type="character" w:styleId="HTMLCite">
    <w:name w:val="HTML Cite"/>
    <w:basedOn w:val="DefaultParagraphFont"/>
    <w:uiPriority w:val="99"/>
    <w:unhideWhenUsed/>
    <w:rsid w:val="009C3600"/>
    <w:rPr>
      <w:i/>
      <w:iCs/>
    </w:rPr>
  </w:style>
  <w:style w:type="character" w:styleId="Emphasis">
    <w:name w:val="Emphasis"/>
    <w:basedOn w:val="DefaultParagraphFont"/>
    <w:uiPriority w:val="20"/>
    <w:qFormat/>
    <w:rsid w:val="009C3600"/>
    <w:rPr>
      <w:i/>
      <w:iCs/>
    </w:rPr>
  </w:style>
  <w:style w:type="character" w:styleId="Strong">
    <w:name w:val="Strong"/>
    <w:basedOn w:val="DefaultParagraphFont"/>
    <w:uiPriority w:val="22"/>
    <w:qFormat/>
    <w:rsid w:val="008F4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5587">
      <w:bodyDiv w:val="1"/>
      <w:marLeft w:val="0"/>
      <w:marRight w:val="0"/>
      <w:marTop w:val="0"/>
      <w:marBottom w:val="0"/>
      <w:divBdr>
        <w:top w:val="none" w:sz="0" w:space="0" w:color="auto"/>
        <w:left w:val="none" w:sz="0" w:space="0" w:color="auto"/>
        <w:bottom w:val="none" w:sz="0" w:space="0" w:color="auto"/>
        <w:right w:val="none" w:sz="0" w:space="0" w:color="auto"/>
      </w:divBdr>
    </w:div>
    <w:div w:id="11523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drc.acl.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community-and-social-service/social-work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63CDC-CBC5-49BF-A54B-1F502FE1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Alzheimer’s Disease Supportive Services Program Standardized Data Collection</vt:lpstr>
    </vt:vector>
  </TitlesOfParts>
  <LinksUpToDate>false</LinksUpToDate>
  <CharactersWithSpaces>19213</CharactersWithSpaces>
  <SharedDoc>false</SharedDoc>
  <HLinks>
    <vt:vector size="102" baseType="variant">
      <vt:variant>
        <vt:i4>6750231</vt:i4>
      </vt:variant>
      <vt:variant>
        <vt:i4>39</vt:i4>
      </vt:variant>
      <vt:variant>
        <vt:i4>0</vt:i4>
      </vt:variant>
      <vt:variant>
        <vt:i4>5</vt:i4>
      </vt:variant>
      <vt:variant>
        <vt:lpwstr>mailto:Elizabeth.Gould@alz.org</vt:lpwstr>
      </vt:variant>
      <vt:variant>
        <vt:lpwstr/>
      </vt:variant>
      <vt:variant>
        <vt:i4>7209045</vt:i4>
      </vt:variant>
      <vt:variant>
        <vt:i4>36</vt:i4>
      </vt:variant>
      <vt:variant>
        <vt:i4>0</vt:i4>
      </vt:variant>
      <vt:variant>
        <vt:i4>5</vt:i4>
      </vt:variant>
      <vt:variant>
        <vt:lpwstr>mailto:jwiener@rti.org</vt:lpwstr>
      </vt:variant>
      <vt:variant>
        <vt:lpwstr/>
      </vt:variant>
      <vt:variant>
        <vt:i4>3342360</vt:i4>
      </vt:variant>
      <vt:variant>
        <vt:i4>33</vt:i4>
      </vt:variant>
      <vt:variant>
        <vt:i4>0</vt:i4>
      </vt:variant>
      <vt:variant>
        <vt:i4>5</vt:i4>
      </vt:variant>
      <vt:variant>
        <vt:lpwstr>mailto:shannon.skowronski@aoa.hhs.gov</vt:lpwstr>
      </vt:variant>
      <vt:variant>
        <vt:lpwstr/>
      </vt:variant>
      <vt:variant>
        <vt:i4>48</vt:i4>
      </vt:variant>
      <vt:variant>
        <vt:i4>30</vt:i4>
      </vt:variant>
      <vt:variant>
        <vt:i4>0</vt:i4>
      </vt:variant>
      <vt:variant>
        <vt:i4>5</vt:i4>
      </vt:variant>
      <vt:variant>
        <vt:lpwstr>mailto:jennifer.mead@state.or.us</vt:lpwstr>
      </vt:variant>
      <vt:variant>
        <vt:lpwstr/>
      </vt:variant>
      <vt:variant>
        <vt:i4>3932239</vt:i4>
      </vt:variant>
      <vt:variant>
        <vt:i4>27</vt:i4>
      </vt:variant>
      <vt:variant>
        <vt:i4>0</vt:i4>
      </vt:variant>
      <vt:variant>
        <vt:i4>5</vt:i4>
      </vt:variant>
      <vt:variant>
        <vt:lpwstr>mailto:Donna.K.Walberg@state.mn.us</vt:lpwstr>
      </vt:variant>
      <vt:variant>
        <vt:lpwstr/>
      </vt:variant>
      <vt:variant>
        <vt:i4>6881286</vt:i4>
      </vt:variant>
      <vt:variant>
        <vt:i4>24</vt:i4>
      </vt:variant>
      <vt:variant>
        <vt:i4>0</vt:i4>
      </vt:variant>
      <vt:variant>
        <vt:i4>5</vt:i4>
      </vt:variant>
      <vt:variant>
        <vt:lpwstr>mailto:romaine.turyn@maine.gov</vt:lpwstr>
      </vt:variant>
      <vt:variant>
        <vt:lpwstr/>
      </vt:variant>
      <vt:variant>
        <vt:i4>3211270</vt:i4>
      </vt:variant>
      <vt:variant>
        <vt:i4>21</vt:i4>
      </vt:variant>
      <vt:variant>
        <vt:i4>0</vt:i4>
      </vt:variant>
      <vt:variant>
        <vt:i4>5</vt:i4>
      </vt:variant>
      <vt:variant>
        <vt:lpwstr>mailto:steiners@michigan.gov</vt:lpwstr>
      </vt:variant>
      <vt:variant>
        <vt:lpwstr/>
      </vt:variant>
      <vt:variant>
        <vt:i4>5963892</vt:i4>
      </vt:variant>
      <vt:variant>
        <vt:i4>18</vt:i4>
      </vt:variant>
      <vt:variant>
        <vt:i4>0</vt:i4>
      </vt:variant>
      <vt:variant>
        <vt:i4>5</vt:i4>
      </vt:variant>
      <vt:variant>
        <vt:lpwstr>mailto:dleblanc@age.state.oh.us</vt:lpwstr>
      </vt:variant>
      <vt:variant>
        <vt:lpwstr/>
      </vt:variant>
      <vt:variant>
        <vt:i4>2686976</vt:i4>
      </vt:variant>
      <vt:variant>
        <vt:i4>15</vt:i4>
      </vt:variant>
      <vt:variant>
        <vt:i4>0</vt:i4>
      </vt:variant>
      <vt:variant>
        <vt:i4>5</vt:i4>
      </vt:variant>
      <vt:variant>
        <vt:lpwstr>mailto:gcburt@dhr.state.ga.us</vt:lpwstr>
      </vt:variant>
      <vt:variant>
        <vt:lpwstr/>
      </vt:variant>
      <vt:variant>
        <vt:i4>852068</vt:i4>
      </vt:variant>
      <vt:variant>
        <vt:i4>12</vt:i4>
      </vt:variant>
      <vt:variant>
        <vt:i4>0</vt:i4>
      </vt:variant>
      <vt:variant>
        <vt:i4>5</vt:i4>
      </vt:variant>
      <vt:variant>
        <vt:lpwstr>mailto:galston@canes.gsw.edu</vt:lpwstr>
      </vt:variant>
      <vt:variant>
        <vt:lpwstr/>
      </vt:variant>
      <vt:variant>
        <vt:i4>917580</vt:i4>
      </vt:variant>
      <vt:variant>
        <vt:i4>9</vt:i4>
      </vt:variant>
      <vt:variant>
        <vt:i4>0</vt:i4>
      </vt:variant>
      <vt:variant>
        <vt:i4>5</vt:i4>
      </vt:variant>
      <vt:variant>
        <vt:lpwstr>http://www.aoa.gov/AoARoot/AoA_Programs/HCLTC/Alz_Grants/index.aspx</vt:lpwstr>
      </vt:variant>
      <vt:variant>
        <vt:lpwstr/>
      </vt:variant>
      <vt:variant>
        <vt:i4>2949223</vt:i4>
      </vt:variant>
      <vt:variant>
        <vt:i4>6</vt:i4>
      </vt:variant>
      <vt:variant>
        <vt:i4>0</vt:i4>
      </vt:variant>
      <vt:variant>
        <vt:i4>5</vt:i4>
      </vt:variant>
      <vt:variant>
        <vt:lpwstr>http://www.adrc-tae.org/tiki-index.php?page=AboutADSSP</vt:lpwstr>
      </vt:variant>
      <vt:variant>
        <vt:lpwstr/>
      </vt:variant>
      <vt:variant>
        <vt:i4>2031636</vt:i4>
      </vt:variant>
      <vt:variant>
        <vt:i4>3</vt:i4>
      </vt:variant>
      <vt:variant>
        <vt:i4>0</vt:i4>
      </vt:variant>
      <vt:variant>
        <vt:i4>5</vt:i4>
      </vt:variant>
      <vt:variant>
        <vt:lpwstr>http://www.aoa.gov/AoARoot/AoA_Programs/HCLTC/Alz_Grants/docs/ADSSP.pdf</vt:lpwstr>
      </vt:variant>
      <vt:variant>
        <vt:lpwstr/>
      </vt:variant>
      <vt:variant>
        <vt:i4>7143443</vt:i4>
      </vt:variant>
      <vt:variant>
        <vt:i4>0</vt:i4>
      </vt:variant>
      <vt:variant>
        <vt:i4>0</vt:i4>
      </vt:variant>
      <vt:variant>
        <vt:i4>5</vt:i4>
      </vt:variant>
      <vt:variant>
        <vt:lpwstr>http://www.adrc-tae.org/tiki-index.php?page=OMB_ADDSPData</vt:lpwstr>
      </vt:variant>
      <vt:variant>
        <vt:lpwstr/>
      </vt:variant>
      <vt:variant>
        <vt:i4>3866747</vt:i4>
      </vt:variant>
      <vt:variant>
        <vt:i4>6</vt:i4>
      </vt:variant>
      <vt:variant>
        <vt:i4>0</vt:i4>
      </vt:variant>
      <vt:variant>
        <vt:i4>5</vt:i4>
      </vt:variant>
      <vt:variant>
        <vt:lpwstr>http://www.bls.gov/oco/ocos067.htm</vt:lpwstr>
      </vt:variant>
      <vt:variant>
        <vt:lpwstr>earnings</vt:lpwstr>
      </vt:variant>
      <vt:variant>
        <vt:i4>4784136</vt:i4>
      </vt:variant>
      <vt:variant>
        <vt:i4>3</vt:i4>
      </vt:variant>
      <vt:variant>
        <vt:i4>0</vt:i4>
      </vt:variant>
      <vt:variant>
        <vt:i4>5</vt:i4>
      </vt:variant>
      <vt:variant>
        <vt:lpwstr>http://www.aoa.gov/AoARoot/Grants/Reporting_Requirements/docs/2008_ADSSP_Reporting_Requirements.pdf</vt:lpwstr>
      </vt:variant>
      <vt:variant>
        <vt:lpwstr/>
      </vt:variant>
      <vt:variant>
        <vt:i4>1507395</vt:i4>
      </vt:variant>
      <vt:variant>
        <vt:i4>0</vt:i4>
      </vt:variant>
      <vt:variant>
        <vt:i4>0</vt:i4>
      </vt:variant>
      <vt:variant>
        <vt:i4>5</vt:i4>
      </vt:variant>
      <vt:variant>
        <vt:lpwstr>http://www.asaging.org/networks/lain/lgainlinks.cfm?category=CAREGIVE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Alzheimer’s Disease Supportive Services Program Standardized Data Collection</dc:title>
  <dc:creator/>
  <cp:lastModifiedBy/>
  <cp:revision>1</cp:revision>
  <cp:lastPrinted>2010-08-02T17:41:00Z</cp:lastPrinted>
  <dcterms:created xsi:type="dcterms:W3CDTF">2020-10-09T16:25:00Z</dcterms:created>
  <dcterms:modified xsi:type="dcterms:W3CDTF">2020-10-27T15:58:00Z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