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C4F75" w:rsidR="002C4F75" w:rsidP="00E215D7" w:rsidRDefault="002C4F75" w14:paraId="6322FF3A" w14:textId="77777777">
      <w:pPr>
        <w:jc w:val="center"/>
        <w:rPr>
          <w:rFonts w:ascii="Arial" w:hAnsi="Arial" w:cs="Arial"/>
          <w:b/>
        </w:rPr>
      </w:pPr>
    </w:p>
    <w:p w:rsidRPr="002C4F75" w:rsidR="002C4F75" w:rsidP="00E215D7" w:rsidRDefault="002C4F75" w14:paraId="50A631BB" w14:textId="77777777">
      <w:pPr>
        <w:pStyle w:val="ReportCover-Title"/>
        <w:rPr>
          <w:rFonts w:ascii="Arial" w:hAnsi="Arial" w:cs="Arial"/>
          <w:color w:val="auto"/>
        </w:rPr>
      </w:pPr>
    </w:p>
    <w:p w:rsidRPr="00DF0935" w:rsidR="00FE33BA" w:rsidP="00E215D7" w:rsidRDefault="00C957D1" w14:paraId="2889237E" w14:textId="0076B898">
      <w:pPr>
        <w:jc w:val="center"/>
        <w:rPr>
          <w:rFonts w:ascii="Arial" w:hAnsi="Arial" w:cs="Arial"/>
          <w:b/>
          <w:bCs/>
          <w:iCs/>
          <w:color w:val="201F1E"/>
          <w:sz w:val="32"/>
          <w:szCs w:val="32"/>
          <w:shd w:val="clear" w:color="auto" w:fill="FFFFFF"/>
        </w:rPr>
      </w:pPr>
      <w:r w:rsidRPr="00DF0935">
        <w:rPr>
          <w:rFonts w:ascii="Arial" w:hAnsi="Arial" w:cs="Arial"/>
          <w:b/>
          <w:bCs/>
          <w:iCs/>
          <w:color w:val="201F1E"/>
          <w:sz w:val="32"/>
          <w:szCs w:val="32"/>
          <w:shd w:val="clear" w:color="auto" w:fill="FFFFFF"/>
        </w:rPr>
        <w:t>Office of Early Childhood Development</w:t>
      </w:r>
    </w:p>
    <w:p w:rsidRPr="00DF0935" w:rsidR="00C957D1" w:rsidP="00E215D7" w:rsidRDefault="008334A1" w14:paraId="65943EC3" w14:textId="343F3028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iCs/>
          <w:color w:val="201F1E"/>
          <w:sz w:val="32"/>
          <w:szCs w:val="32"/>
          <w:shd w:val="clear" w:color="auto" w:fill="FFFFFF"/>
        </w:rPr>
        <w:t xml:space="preserve">Radical Family Engagement National </w:t>
      </w:r>
      <w:r w:rsidRPr="00DF0935" w:rsidR="00C957D1">
        <w:rPr>
          <w:rFonts w:ascii="Arial" w:hAnsi="Arial" w:cs="Arial"/>
          <w:b/>
          <w:bCs/>
          <w:iCs/>
          <w:color w:val="201F1E"/>
          <w:sz w:val="32"/>
          <w:szCs w:val="32"/>
          <w:shd w:val="clear" w:color="auto" w:fill="FFFFFF"/>
        </w:rPr>
        <w:t>Stakeholder Meeting</w:t>
      </w:r>
    </w:p>
    <w:p w:rsidRPr="00E215D7" w:rsidR="002C4F75" w:rsidP="00E215D7" w:rsidRDefault="002C4F75" w14:paraId="302370BE" w14:textId="77777777">
      <w:pPr>
        <w:pStyle w:val="ReportCover-Title"/>
        <w:rPr>
          <w:rFonts w:ascii="Arial" w:hAnsi="Arial" w:cs="Arial"/>
          <w:color w:val="auto"/>
        </w:rPr>
      </w:pPr>
    </w:p>
    <w:p w:rsidRPr="00E215D7" w:rsidR="002C4F75" w:rsidP="00E215D7" w:rsidRDefault="002C4F75" w14:paraId="5AA8E5F0" w14:textId="77777777">
      <w:pPr>
        <w:pStyle w:val="ReportCover-Title"/>
        <w:rPr>
          <w:rFonts w:ascii="Arial" w:hAnsi="Arial" w:cs="Arial"/>
          <w:color w:val="auto"/>
        </w:rPr>
      </w:pPr>
    </w:p>
    <w:p w:rsidRPr="00E215D7" w:rsidR="00984BBF" w:rsidP="00E215D7" w:rsidRDefault="00984BBF" w14:paraId="1C8A1BE1" w14:textId="77777777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E215D7">
        <w:rPr>
          <w:rFonts w:ascii="Arial" w:hAnsi="Arial" w:cs="Arial"/>
          <w:color w:val="auto"/>
          <w:sz w:val="32"/>
          <w:szCs w:val="32"/>
        </w:rPr>
        <w:t>Formative Data Collections for Program Support</w:t>
      </w:r>
    </w:p>
    <w:p w:rsidRPr="00E215D7" w:rsidR="006D2637" w:rsidP="00E215D7" w:rsidRDefault="006D2637" w14:paraId="795C4B98" w14:textId="77777777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</w:p>
    <w:p w:rsidRPr="00E215D7" w:rsidR="002C4F75" w:rsidP="00E215D7" w:rsidRDefault="002C4F75" w14:paraId="64CD03A6" w14:textId="4CFF01DB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E215D7">
        <w:rPr>
          <w:rFonts w:ascii="Arial" w:hAnsi="Arial" w:cs="Arial"/>
          <w:color w:val="auto"/>
          <w:sz w:val="32"/>
          <w:szCs w:val="32"/>
        </w:rPr>
        <w:t xml:space="preserve">0970 - </w:t>
      </w:r>
      <w:r w:rsidRPr="00E215D7" w:rsidR="006D2637">
        <w:rPr>
          <w:rFonts w:ascii="Arial" w:hAnsi="Arial" w:cs="Arial"/>
          <w:color w:val="auto"/>
          <w:sz w:val="32"/>
          <w:szCs w:val="32"/>
        </w:rPr>
        <w:t>05</w:t>
      </w:r>
      <w:r w:rsidR="00DF0935">
        <w:rPr>
          <w:rFonts w:ascii="Arial" w:hAnsi="Arial" w:cs="Arial"/>
          <w:color w:val="auto"/>
          <w:sz w:val="32"/>
          <w:szCs w:val="32"/>
        </w:rPr>
        <w:t>3</w:t>
      </w:r>
      <w:r w:rsidRPr="00E215D7" w:rsidR="004B1E14">
        <w:rPr>
          <w:rFonts w:ascii="Arial" w:hAnsi="Arial" w:cs="Arial"/>
          <w:color w:val="auto"/>
          <w:sz w:val="32"/>
          <w:szCs w:val="32"/>
        </w:rPr>
        <w:t>1</w:t>
      </w:r>
    </w:p>
    <w:p w:rsidRPr="00E215D7" w:rsidR="002C4F75" w:rsidP="00E215D7" w:rsidRDefault="002C4F75" w14:paraId="2811D3D8" w14:textId="77777777">
      <w:pPr>
        <w:rPr>
          <w:rFonts w:ascii="Arial" w:hAnsi="Arial" w:cs="Arial"/>
          <w:szCs w:val="22"/>
        </w:rPr>
      </w:pPr>
    </w:p>
    <w:p w:rsidRPr="00E215D7" w:rsidR="002C4F75" w:rsidP="00E215D7" w:rsidRDefault="002C4F75" w14:paraId="4EF8C575" w14:textId="77777777">
      <w:pPr>
        <w:pStyle w:val="ReportCover-Date"/>
        <w:jc w:val="center"/>
        <w:rPr>
          <w:rFonts w:ascii="Arial" w:hAnsi="Arial" w:cs="Arial"/>
          <w:color w:val="auto"/>
        </w:rPr>
      </w:pPr>
    </w:p>
    <w:p w:rsidRPr="00E215D7" w:rsidR="002C4F75" w:rsidP="00E215D7" w:rsidRDefault="002C4F75" w14:paraId="38BBF7FD" w14:textId="77777777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E215D7">
        <w:rPr>
          <w:rFonts w:ascii="Arial" w:hAnsi="Arial" w:cs="Arial"/>
          <w:color w:val="auto"/>
          <w:sz w:val="48"/>
          <w:szCs w:val="48"/>
        </w:rPr>
        <w:t>Supporting Statement</w:t>
      </w:r>
    </w:p>
    <w:p w:rsidRPr="00E215D7" w:rsidR="002C4F75" w:rsidP="00E215D7" w:rsidRDefault="002C4F75" w14:paraId="1E2580A0" w14:textId="77777777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E215D7">
        <w:rPr>
          <w:rFonts w:ascii="Arial" w:hAnsi="Arial" w:cs="Arial"/>
          <w:color w:val="auto"/>
          <w:sz w:val="48"/>
          <w:szCs w:val="48"/>
        </w:rPr>
        <w:t>Part A</w:t>
      </w:r>
    </w:p>
    <w:p w:rsidRPr="00E215D7" w:rsidR="002C4F75" w:rsidP="00E215D7" w:rsidRDefault="008334A1" w14:paraId="1FC43A31" w14:textId="365E5539">
      <w:pPr>
        <w:pStyle w:val="ReportCover-Date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October</w:t>
      </w:r>
      <w:r w:rsidR="00F64EBF">
        <w:rPr>
          <w:rFonts w:ascii="Arial" w:hAnsi="Arial" w:cs="Arial"/>
          <w:color w:val="auto"/>
        </w:rPr>
        <w:t xml:space="preserve"> 2020</w:t>
      </w:r>
    </w:p>
    <w:p w:rsidRPr="00E215D7" w:rsidR="002C4F75" w:rsidP="00E215D7" w:rsidRDefault="002C4F75" w14:paraId="45F928E4" w14:textId="77777777">
      <w:pPr>
        <w:jc w:val="center"/>
        <w:rPr>
          <w:rFonts w:ascii="Arial" w:hAnsi="Arial" w:cs="Arial"/>
        </w:rPr>
      </w:pPr>
    </w:p>
    <w:p w:rsidRPr="00E215D7" w:rsidR="002C4F75" w:rsidP="00E215D7" w:rsidRDefault="002C4F75" w14:paraId="02A28A6C" w14:textId="77777777">
      <w:pPr>
        <w:jc w:val="center"/>
        <w:rPr>
          <w:rFonts w:ascii="Arial" w:hAnsi="Arial" w:cs="Arial"/>
        </w:rPr>
      </w:pPr>
      <w:r w:rsidRPr="00E215D7">
        <w:rPr>
          <w:rFonts w:ascii="Arial" w:hAnsi="Arial" w:cs="Arial"/>
        </w:rPr>
        <w:t>Submitted By:</w:t>
      </w:r>
    </w:p>
    <w:p w:rsidRPr="00E215D7" w:rsidR="002C4F75" w:rsidP="00E215D7" w:rsidRDefault="002C4F75" w14:paraId="30A511AD" w14:textId="438AC039">
      <w:pPr>
        <w:jc w:val="center"/>
        <w:rPr>
          <w:rFonts w:ascii="Arial" w:hAnsi="Arial" w:cs="Arial"/>
        </w:rPr>
      </w:pPr>
      <w:r w:rsidRPr="00E215D7">
        <w:rPr>
          <w:rFonts w:ascii="Arial" w:hAnsi="Arial" w:cs="Arial"/>
        </w:rPr>
        <w:t xml:space="preserve">Office of </w:t>
      </w:r>
      <w:r w:rsidR="00DF0935">
        <w:rPr>
          <w:rFonts w:ascii="Arial" w:hAnsi="Arial" w:cs="Arial"/>
        </w:rPr>
        <w:t>Early Childhood Development</w:t>
      </w:r>
    </w:p>
    <w:p w:rsidRPr="00E215D7" w:rsidR="002C4F75" w:rsidP="00E215D7" w:rsidRDefault="002C4F75" w14:paraId="47A3D56B" w14:textId="77777777">
      <w:pPr>
        <w:jc w:val="center"/>
        <w:rPr>
          <w:rFonts w:ascii="Arial" w:hAnsi="Arial" w:cs="Arial"/>
        </w:rPr>
      </w:pPr>
      <w:r w:rsidRPr="00E215D7">
        <w:rPr>
          <w:rFonts w:ascii="Arial" w:hAnsi="Arial" w:cs="Arial"/>
        </w:rPr>
        <w:t xml:space="preserve">Administration for Children and Families </w:t>
      </w:r>
    </w:p>
    <w:p w:rsidRPr="00E215D7" w:rsidR="002C4F75" w:rsidP="00E215D7" w:rsidRDefault="002C4F75" w14:paraId="733F43DB" w14:textId="77777777">
      <w:pPr>
        <w:jc w:val="center"/>
        <w:rPr>
          <w:rFonts w:ascii="Arial" w:hAnsi="Arial" w:cs="Arial"/>
        </w:rPr>
      </w:pPr>
      <w:r w:rsidRPr="00E215D7">
        <w:rPr>
          <w:rFonts w:ascii="Arial" w:hAnsi="Arial" w:cs="Arial"/>
        </w:rPr>
        <w:t>U.S. Department of Health and Human Services</w:t>
      </w:r>
    </w:p>
    <w:p w:rsidRPr="00E215D7" w:rsidR="002C4F75" w:rsidP="00E215D7" w:rsidRDefault="002C4F75" w14:paraId="5D1B2E87" w14:textId="77777777">
      <w:pPr>
        <w:jc w:val="center"/>
        <w:rPr>
          <w:rFonts w:ascii="Arial" w:hAnsi="Arial" w:cs="Arial"/>
        </w:rPr>
      </w:pPr>
    </w:p>
    <w:p w:rsidRPr="00E215D7" w:rsidR="002C4F75" w:rsidP="00E215D7" w:rsidRDefault="00436F5E" w14:paraId="76D4E88D" w14:textId="77777777">
      <w:pPr>
        <w:jc w:val="center"/>
        <w:rPr>
          <w:rFonts w:ascii="Arial" w:hAnsi="Arial" w:cs="Arial"/>
        </w:rPr>
      </w:pPr>
      <w:r w:rsidRPr="00E215D7">
        <w:rPr>
          <w:rFonts w:ascii="Arial" w:hAnsi="Arial" w:cs="Arial"/>
        </w:rPr>
        <w:t>4</w:t>
      </w:r>
      <w:r w:rsidRPr="00E215D7" w:rsidR="002C4F75">
        <w:rPr>
          <w:rFonts w:ascii="Arial" w:hAnsi="Arial" w:cs="Arial"/>
          <w:vertAlign w:val="superscript"/>
        </w:rPr>
        <w:t>th</w:t>
      </w:r>
      <w:r w:rsidRPr="00E215D7" w:rsidR="002C4F75">
        <w:rPr>
          <w:rFonts w:ascii="Arial" w:hAnsi="Arial" w:cs="Arial"/>
        </w:rPr>
        <w:t xml:space="preserve"> Floor, </w:t>
      </w:r>
      <w:r w:rsidRPr="00E215D7">
        <w:rPr>
          <w:rFonts w:ascii="Arial" w:hAnsi="Arial" w:cs="Arial"/>
        </w:rPr>
        <w:t>Mary E. Switzer Building</w:t>
      </w:r>
    </w:p>
    <w:p w:rsidRPr="00E215D7" w:rsidR="002C4F75" w:rsidP="00E215D7" w:rsidRDefault="002C4F75" w14:paraId="60EA5E8F" w14:textId="77777777">
      <w:pPr>
        <w:jc w:val="center"/>
        <w:rPr>
          <w:rFonts w:ascii="Arial" w:hAnsi="Arial" w:cs="Arial"/>
        </w:rPr>
      </w:pPr>
      <w:r w:rsidRPr="00E215D7">
        <w:rPr>
          <w:rFonts w:ascii="Arial" w:hAnsi="Arial" w:cs="Arial"/>
        </w:rPr>
        <w:t>3</w:t>
      </w:r>
      <w:r w:rsidRPr="00E215D7" w:rsidR="00436F5E">
        <w:rPr>
          <w:rFonts w:ascii="Arial" w:hAnsi="Arial" w:cs="Arial"/>
        </w:rPr>
        <w:t>3</w:t>
      </w:r>
      <w:r w:rsidRPr="00E215D7">
        <w:rPr>
          <w:rFonts w:ascii="Arial" w:hAnsi="Arial" w:cs="Arial"/>
        </w:rPr>
        <w:t xml:space="preserve">0 </w:t>
      </w:r>
      <w:r w:rsidRPr="00E215D7" w:rsidR="00436F5E">
        <w:rPr>
          <w:rFonts w:ascii="Arial" w:hAnsi="Arial" w:cs="Arial"/>
        </w:rPr>
        <w:t xml:space="preserve">C Street, </w:t>
      </w:r>
      <w:r w:rsidRPr="00E215D7">
        <w:rPr>
          <w:rFonts w:ascii="Arial" w:hAnsi="Arial" w:cs="Arial"/>
        </w:rPr>
        <w:t>SW</w:t>
      </w:r>
    </w:p>
    <w:p w:rsidRPr="00E215D7" w:rsidR="002C4F75" w:rsidP="00E215D7" w:rsidRDefault="002C4F75" w14:paraId="1A3A7F2D" w14:textId="77777777">
      <w:pPr>
        <w:jc w:val="center"/>
        <w:rPr>
          <w:rFonts w:ascii="Arial" w:hAnsi="Arial" w:cs="Arial"/>
        </w:rPr>
      </w:pPr>
      <w:r w:rsidRPr="00E215D7">
        <w:rPr>
          <w:rFonts w:ascii="Arial" w:hAnsi="Arial" w:cs="Arial"/>
        </w:rPr>
        <w:t>Washington, D.C. 20</w:t>
      </w:r>
      <w:r w:rsidRPr="00E215D7" w:rsidR="00436F5E">
        <w:rPr>
          <w:rFonts w:ascii="Arial" w:hAnsi="Arial" w:cs="Arial"/>
        </w:rPr>
        <w:t>201</w:t>
      </w:r>
    </w:p>
    <w:p w:rsidRPr="00E215D7" w:rsidR="002C4F75" w:rsidP="00E215D7" w:rsidRDefault="002C4F75" w14:paraId="512D920D" w14:textId="77777777">
      <w:pPr>
        <w:jc w:val="center"/>
        <w:rPr>
          <w:rFonts w:ascii="Arial" w:hAnsi="Arial" w:cs="Arial"/>
        </w:rPr>
      </w:pPr>
    </w:p>
    <w:p w:rsidRPr="00E215D7" w:rsidR="002C4F75" w:rsidP="00E215D7" w:rsidRDefault="002C4F75" w14:paraId="5C48D91C" w14:textId="55561A14">
      <w:pPr>
        <w:jc w:val="center"/>
        <w:rPr>
          <w:rFonts w:ascii="Arial" w:hAnsi="Arial" w:cs="Arial"/>
        </w:rPr>
      </w:pPr>
      <w:r w:rsidRPr="00E215D7">
        <w:rPr>
          <w:rFonts w:ascii="Arial" w:hAnsi="Arial" w:cs="Arial"/>
        </w:rPr>
        <w:t>Project Officer:</w:t>
      </w:r>
    </w:p>
    <w:p w:rsidR="00DF0935" w:rsidP="00E215D7" w:rsidRDefault="007F4C49" w14:paraId="1B9712CC" w14:textId="4ABC6F24">
      <w:pPr>
        <w:jc w:val="center"/>
        <w:rPr>
          <w:rFonts w:ascii="Arial" w:hAnsi="Arial" w:cs="Arial"/>
        </w:rPr>
      </w:pPr>
      <w:r w:rsidRPr="00DF0935">
        <w:rPr>
          <w:rFonts w:ascii="Arial" w:hAnsi="Arial" w:cs="Arial"/>
        </w:rPr>
        <w:t>Melissa Brodowsk</w:t>
      </w:r>
      <w:r w:rsidR="00DF0935">
        <w:rPr>
          <w:rFonts w:ascii="Arial" w:hAnsi="Arial" w:cs="Arial"/>
        </w:rPr>
        <w:t>i</w:t>
      </w:r>
      <w:r w:rsidRPr="00DF0935">
        <w:rPr>
          <w:rFonts w:ascii="Arial" w:hAnsi="Arial" w:cs="Arial"/>
        </w:rPr>
        <w:t xml:space="preserve"> </w:t>
      </w:r>
    </w:p>
    <w:p w:rsidRPr="00E215D7" w:rsidR="00BE7952" w:rsidP="00E215D7" w:rsidRDefault="00BE7952" w14:paraId="140C9362" w14:textId="77777777">
      <w:pPr>
        <w:jc w:val="center"/>
        <w:rPr>
          <w:b/>
        </w:rPr>
      </w:pPr>
    </w:p>
    <w:p w:rsidR="00856909" w:rsidP="00E215D7" w:rsidRDefault="00856909" w14:paraId="05C6C0C5" w14:textId="77777777">
      <w:pPr>
        <w:spacing w:after="120"/>
        <w:rPr>
          <w:b/>
        </w:rPr>
      </w:pPr>
    </w:p>
    <w:p w:rsidR="00856909" w:rsidP="00E215D7" w:rsidRDefault="00856909" w14:paraId="3C90A552" w14:textId="77777777">
      <w:pPr>
        <w:spacing w:after="120"/>
        <w:rPr>
          <w:b/>
        </w:rPr>
      </w:pPr>
    </w:p>
    <w:p w:rsidRPr="00E215D7" w:rsidR="00945CD6" w:rsidP="00E215D7" w:rsidRDefault="00292B70" w14:paraId="7222D1C2" w14:textId="099537F7">
      <w:pPr>
        <w:spacing w:after="120"/>
        <w:rPr>
          <w:b/>
        </w:rPr>
      </w:pPr>
      <w:r w:rsidRPr="00E215D7">
        <w:rPr>
          <w:b/>
        </w:rPr>
        <w:t xml:space="preserve">A1. </w:t>
      </w:r>
      <w:r w:rsidRPr="00E215D7" w:rsidR="00945CD6">
        <w:rPr>
          <w:b/>
        </w:rPr>
        <w:t>Necessity for the Data Collection</w:t>
      </w:r>
    </w:p>
    <w:p w:rsidRPr="00E215D7" w:rsidR="00984CA2" w:rsidP="00E215D7" w:rsidRDefault="00984CA2" w14:paraId="3CD605F9" w14:textId="4BEB60DF">
      <w:pPr>
        <w:pStyle w:val="ColorfulList-Accent11"/>
        <w:spacing w:after="200" w:line="276" w:lineRule="auto"/>
        <w:ind w:left="0"/>
        <w:contextualSpacing/>
      </w:pPr>
      <w:r w:rsidRPr="00E215D7">
        <w:rPr>
          <w:sz w:val="22"/>
          <w:szCs w:val="22"/>
        </w:rPr>
        <w:lastRenderedPageBreak/>
        <w:t>The Administration for Children and Families (ACF) at the U.S. Department of Health and Human Servi</w:t>
      </w:r>
      <w:r w:rsidRPr="00E215D7" w:rsidR="007F4C49">
        <w:rPr>
          <w:sz w:val="22"/>
          <w:szCs w:val="22"/>
        </w:rPr>
        <w:t xml:space="preserve">ces (HHS) seeks approval for data collection </w:t>
      </w:r>
      <w:r w:rsidR="008334A1">
        <w:rPr>
          <w:sz w:val="22"/>
          <w:szCs w:val="22"/>
        </w:rPr>
        <w:t>for a</w:t>
      </w:r>
      <w:r w:rsidR="002F6636">
        <w:rPr>
          <w:sz w:val="22"/>
          <w:szCs w:val="22"/>
        </w:rPr>
        <w:t xml:space="preserve"> Radical Family Engagement</w:t>
      </w:r>
      <w:r w:rsidR="00856909">
        <w:rPr>
          <w:sz w:val="22"/>
          <w:szCs w:val="22"/>
        </w:rPr>
        <w:t xml:space="preserve"> stakeholder meeting that the Office of Early Childhood</w:t>
      </w:r>
      <w:r w:rsidR="00DF0935">
        <w:rPr>
          <w:sz w:val="22"/>
          <w:szCs w:val="22"/>
        </w:rPr>
        <w:t xml:space="preserve"> Development</w:t>
      </w:r>
      <w:r w:rsidR="00856909">
        <w:rPr>
          <w:sz w:val="22"/>
          <w:szCs w:val="22"/>
        </w:rPr>
        <w:t xml:space="preserve"> (ECD) </w:t>
      </w:r>
      <w:r w:rsidR="002F6636">
        <w:rPr>
          <w:sz w:val="22"/>
          <w:szCs w:val="22"/>
        </w:rPr>
        <w:t>is hosting</w:t>
      </w:r>
      <w:r w:rsidR="00856909">
        <w:rPr>
          <w:sz w:val="22"/>
          <w:szCs w:val="22"/>
        </w:rPr>
        <w:t xml:space="preserve"> to inform </w:t>
      </w:r>
      <w:r w:rsidRPr="00E215D7" w:rsidR="007F4C49">
        <w:rPr>
          <w:sz w:val="22"/>
          <w:szCs w:val="22"/>
        </w:rPr>
        <w:t>ACF p</w:t>
      </w:r>
      <w:r w:rsidRPr="00E215D7" w:rsidR="00BA28DD">
        <w:rPr>
          <w:sz w:val="22"/>
          <w:szCs w:val="22"/>
        </w:rPr>
        <w:t>riorities</w:t>
      </w:r>
      <w:r w:rsidRPr="00E215D7" w:rsidR="00C508D5">
        <w:rPr>
          <w:sz w:val="22"/>
          <w:szCs w:val="22"/>
        </w:rPr>
        <w:t xml:space="preserve"> and program planning</w:t>
      </w:r>
      <w:r w:rsidRPr="00E215D7" w:rsidR="00BA28DD">
        <w:rPr>
          <w:sz w:val="22"/>
          <w:szCs w:val="22"/>
        </w:rPr>
        <w:t xml:space="preserve">. Information collected will help </w:t>
      </w:r>
      <w:r w:rsidRPr="00E215D7" w:rsidR="007F4C49">
        <w:rPr>
          <w:sz w:val="22"/>
          <w:szCs w:val="22"/>
        </w:rPr>
        <w:t>inform program implementation and technical assistance for ACF early care</w:t>
      </w:r>
      <w:r w:rsidR="00856909">
        <w:rPr>
          <w:sz w:val="22"/>
          <w:szCs w:val="22"/>
        </w:rPr>
        <w:t xml:space="preserve"> and education</w:t>
      </w:r>
      <w:r w:rsidRPr="00E215D7" w:rsidR="007F4C49">
        <w:rPr>
          <w:sz w:val="22"/>
          <w:szCs w:val="22"/>
        </w:rPr>
        <w:t xml:space="preserve"> programs</w:t>
      </w:r>
      <w:r w:rsidR="00856909">
        <w:rPr>
          <w:sz w:val="22"/>
          <w:szCs w:val="22"/>
        </w:rPr>
        <w:t xml:space="preserve"> and related supports for families</w:t>
      </w:r>
      <w:r w:rsidRPr="00E215D7" w:rsidR="007F4C49">
        <w:rPr>
          <w:sz w:val="22"/>
          <w:szCs w:val="22"/>
        </w:rPr>
        <w:t>. ACF seek</w:t>
      </w:r>
      <w:r w:rsidR="00856909">
        <w:rPr>
          <w:sz w:val="22"/>
          <w:szCs w:val="22"/>
        </w:rPr>
        <w:t>s</w:t>
      </w:r>
      <w:r w:rsidRPr="00E215D7" w:rsidR="007F4C49">
        <w:rPr>
          <w:sz w:val="22"/>
          <w:szCs w:val="22"/>
        </w:rPr>
        <w:t xml:space="preserve"> </w:t>
      </w:r>
      <w:r w:rsidR="00856909">
        <w:rPr>
          <w:sz w:val="22"/>
          <w:szCs w:val="22"/>
        </w:rPr>
        <w:t xml:space="preserve">this </w:t>
      </w:r>
      <w:r w:rsidRPr="00E215D7" w:rsidR="007F4C49">
        <w:rPr>
          <w:sz w:val="22"/>
          <w:szCs w:val="22"/>
        </w:rPr>
        <w:t xml:space="preserve">information through </w:t>
      </w:r>
      <w:r w:rsidR="002F6636">
        <w:rPr>
          <w:sz w:val="22"/>
          <w:szCs w:val="22"/>
        </w:rPr>
        <w:t xml:space="preserve">this </w:t>
      </w:r>
      <w:r w:rsidR="00856909">
        <w:rPr>
          <w:sz w:val="22"/>
          <w:szCs w:val="22"/>
        </w:rPr>
        <w:t>stakeholder event hosted by ECD to</w:t>
      </w:r>
      <w:r w:rsidRPr="00E215D7" w:rsidR="007F4C49">
        <w:rPr>
          <w:sz w:val="22"/>
          <w:szCs w:val="22"/>
        </w:rPr>
        <w:t xml:space="preserve"> help increase our understanding of </w:t>
      </w:r>
      <w:r w:rsidR="00856909">
        <w:rPr>
          <w:sz w:val="22"/>
          <w:szCs w:val="22"/>
        </w:rPr>
        <w:t xml:space="preserve">current needs, programmatic trends, promising strategies, barriers and challenges, and </w:t>
      </w:r>
      <w:r w:rsidRPr="00E215D7" w:rsidR="007F4C49">
        <w:rPr>
          <w:sz w:val="22"/>
          <w:szCs w:val="22"/>
        </w:rPr>
        <w:t>needs and preferences of fam</w:t>
      </w:r>
      <w:r w:rsidR="00856909">
        <w:rPr>
          <w:sz w:val="22"/>
          <w:szCs w:val="22"/>
        </w:rPr>
        <w:t>ilies served through various national, state, and local early care and education, and health and human services programs</w:t>
      </w:r>
      <w:r w:rsidRPr="00E215D7" w:rsidR="007F4C49">
        <w:rPr>
          <w:sz w:val="22"/>
          <w:szCs w:val="22"/>
        </w:rPr>
        <w:t xml:space="preserve">. The data collection will also be used to gather information </w:t>
      </w:r>
      <w:r w:rsidR="00856909">
        <w:rPr>
          <w:sz w:val="22"/>
          <w:szCs w:val="22"/>
        </w:rPr>
        <w:t>from various stakeholders, national, state, and local leaders to</w:t>
      </w:r>
      <w:r w:rsidRPr="00E215D7" w:rsidR="007F4C49">
        <w:rPr>
          <w:sz w:val="22"/>
          <w:szCs w:val="22"/>
        </w:rPr>
        <w:t xml:space="preserve"> identify innovative programmatic solutions to barriers faced by parents, providers, and </w:t>
      </w:r>
      <w:r w:rsidR="00856909">
        <w:rPr>
          <w:sz w:val="22"/>
          <w:szCs w:val="22"/>
        </w:rPr>
        <w:t>states and communities working to improve the health, development and well-being of children and families</w:t>
      </w:r>
      <w:r w:rsidRPr="00E215D7" w:rsidR="007F4C49">
        <w:rPr>
          <w:sz w:val="22"/>
          <w:szCs w:val="22"/>
        </w:rPr>
        <w:t>.</w:t>
      </w:r>
    </w:p>
    <w:p w:rsidRPr="00E215D7" w:rsidR="00984BBF" w:rsidP="00E215D7" w:rsidRDefault="00984BBF" w14:paraId="79AFFD17" w14:textId="77777777">
      <w:pPr>
        <w:pStyle w:val="Heading4"/>
        <w:numPr>
          <w:ilvl w:val="3"/>
          <w:numId w:val="0"/>
        </w:numPr>
        <w:tabs>
          <w:tab w:val="num" w:pos="180"/>
        </w:tabs>
        <w:spacing w:before="60" w:line="264" w:lineRule="auto"/>
        <w:rPr>
          <w:rFonts w:ascii="Times New Roman" w:hAnsi="Times New Roman"/>
          <w:b w:val="0"/>
          <w:sz w:val="22"/>
          <w:szCs w:val="24"/>
        </w:rPr>
      </w:pPr>
      <w:r w:rsidRPr="00E215D7">
        <w:rPr>
          <w:rFonts w:ascii="Times New Roman" w:hAnsi="Times New Roman"/>
          <w:b w:val="0"/>
          <w:sz w:val="22"/>
          <w:szCs w:val="24"/>
        </w:rPr>
        <w:t xml:space="preserve">This proposed information collection meets the following goals of ACF’s generic clearance for formative data collections for program support (0970-0531): </w:t>
      </w:r>
    </w:p>
    <w:p w:rsidRPr="00E215D7" w:rsidR="00984BBF" w:rsidP="00E215D7" w:rsidRDefault="00984BBF" w14:paraId="6F8D612D" w14:textId="77777777">
      <w:pPr>
        <w:pStyle w:val="ColorfulList-Accent11"/>
        <w:numPr>
          <w:ilvl w:val="0"/>
          <w:numId w:val="18"/>
        </w:numPr>
        <w:ind w:left="720"/>
        <w:rPr>
          <w:sz w:val="22"/>
          <w:szCs w:val="22"/>
        </w:rPr>
      </w:pPr>
      <w:r w:rsidRPr="00E215D7">
        <w:rPr>
          <w:sz w:val="22"/>
          <w:szCs w:val="22"/>
        </w:rPr>
        <w:t>Deli</w:t>
      </w:r>
      <w:r w:rsidRPr="00E215D7" w:rsidR="007F4C49">
        <w:rPr>
          <w:sz w:val="22"/>
          <w:szCs w:val="22"/>
        </w:rPr>
        <w:t xml:space="preserve">very of targeted assistance </w:t>
      </w:r>
      <w:r w:rsidRPr="00E215D7">
        <w:rPr>
          <w:sz w:val="22"/>
          <w:szCs w:val="22"/>
        </w:rPr>
        <w:t>related to program implementation or the development or refinement of program and grantee processes</w:t>
      </w:r>
      <w:r w:rsidRPr="00E215D7" w:rsidR="007F4C49">
        <w:rPr>
          <w:sz w:val="22"/>
          <w:szCs w:val="22"/>
        </w:rPr>
        <w:t>;</w:t>
      </w:r>
    </w:p>
    <w:p w:rsidRPr="00E215D7" w:rsidR="00984BBF" w:rsidP="00E215D7" w:rsidRDefault="00984BBF" w14:paraId="1DD5E513" w14:textId="77777777">
      <w:pPr>
        <w:pStyle w:val="ColorfulList-Accent11"/>
        <w:numPr>
          <w:ilvl w:val="0"/>
          <w:numId w:val="18"/>
        </w:numPr>
        <w:ind w:left="720"/>
        <w:rPr>
          <w:sz w:val="22"/>
          <w:szCs w:val="22"/>
        </w:rPr>
      </w:pPr>
      <w:r w:rsidRPr="00E215D7">
        <w:rPr>
          <w:sz w:val="22"/>
          <w:szCs w:val="22"/>
        </w:rPr>
        <w:t>Planning for provision of programmatic or evaluation-related training or technical assistance (T/TA).</w:t>
      </w:r>
    </w:p>
    <w:p w:rsidRPr="00E215D7" w:rsidR="00984BBF" w:rsidP="00E215D7" w:rsidRDefault="00984BBF" w14:paraId="31C1C8C5" w14:textId="77777777">
      <w:pPr>
        <w:pStyle w:val="ColorfulList-Accent11"/>
        <w:numPr>
          <w:ilvl w:val="0"/>
          <w:numId w:val="18"/>
        </w:numPr>
        <w:ind w:left="720"/>
        <w:rPr>
          <w:sz w:val="22"/>
          <w:szCs w:val="22"/>
        </w:rPr>
      </w:pPr>
      <w:r w:rsidRPr="00E215D7">
        <w:rPr>
          <w:sz w:val="22"/>
          <w:szCs w:val="22"/>
        </w:rPr>
        <w:t>Obtaining grantee or other stakeholder input on the development of program performance measures</w:t>
      </w:r>
      <w:r w:rsidRPr="00E215D7" w:rsidR="007F4C49">
        <w:rPr>
          <w:sz w:val="22"/>
          <w:szCs w:val="22"/>
        </w:rPr>
        <w:t xml:space="preserve"> and program outcomes</w:t>
      </w:r>
      <w:r w:rsidRPr="00E215D7">
        <w:rPr>
          <w:sz w:val="22"/>
          <w:szCs w:val="22"/>
        </w:rPr>
        <w:t>.</w:t>
      </w:r>
    </w:p>
    <w:p w:rsidRPr="00E215D7" w:rsidR="00ED1388" w:rsidP="00E215D7" w:rsidRDefault="00ED1388" w14:paraId="78B7A779" w14:textId="3183EAC4"/>
    <w:p w:rsidRPr="00E215D7" w:rsidR="00984CA2" w:rsidP="00E215D7" w:rsidRDefault="00984CA2" w14:paraId="38A0BE66" w14:textId="77777777">
      <w:pPr>
        <w:pStyle w:val="Heading4"/>
        <w:numPr>
          <w:ilvl w:val="3"/>
          <w:numId w:val="0"/>
        </w:numPr>
        <w:tabs>
          <w:tab w:val="num" w:pos="180"/>
        </w:tabs>
        <w:spacing w:before="60" w:line="264" w:lineRule="auto"/>
        <w:rPr>
          <w:rFonts w:ascii="Times New Roman" w:hAnsi="Times New Roman"/>
          <w:i/>
          <w:sz w:val="24"/>
          <w:szCs w:val="24"/>
        </w:rPr>
      </w:pPr>
      <w:r w:rsidRPr="00E215D7">
        <w:rPr>
          <w:rFonts w:ascii="Times New Roman" w:hAnsi="Times New Roman"/>
          <w:i/>
          <w:sz w:val="24"/>
          <w:szCs w:val="24"/>
        </w:rPr>
        <w:t xml:space="preserve">Legal or Administrative Requirements that Necessitate the Collection </w:t>
      </w:r>
    </w:p>
    <w:p w:rsidRPr="00E215D7" w:rsidR="00EA12DE" w:rsidP="00E215D7" w:rsidRDefault="00EA12DE" w14:paraId="09B52932" w14:textId="77777777">
      <w:r w:rsidRPr="00E215D7">
        <w:rPr>
          <w:sz w:val="22"/>
          <w:szCs w:val="22"/>
        </w:rPr>
        <w:t xml:space="preserve">There are no legal or administrative requirements that necessitate the collection. </w:t>
      </w:r>
      <w:r w:rsidRPr="00E215D7">
        <w:rPr>
          <w:sz w:val="22"/>
        </w:rPr>
        <w:t>ACF is undertaking the collection at the discretion of the agency.</w:t>
      </w:r>
    </w:p>
    <w:p w:rsidRPr="00E215D7" w:rsidR="00BE7952" w:rsidP="00E215D7" w:rsidRDefault="00BE7952" w14:paraId="0C9A30E3" w14:textId="0493958F">
      <w:pPr>
        <w:rPr>
          <w:b/>
        </w:rPr>
      </w:pPr>
    </w:p>
    <w:p w:rsidRPr="00E215D7" w:rsidR="00945CD6" w:rsidP="00E215D7" w:rsidRDefault="00292B70" w14:paraId="12523222" w14:textId="77777777">
      <w:pPr>
        <w:spacing w:after="120"/>
        <w:rPr>
          <w:b/>
        </w:rPr>
      </w:pPr>
      <w:r w:rsidRPr="00E215D7">
        <w:rPr>
          <w:b/>
        </w:rPr>
        <w:t xml:space="preserve">A2. </w:t>
      </w:r>
      <w:r w:rsidRPr="00E215D7" w:rsidR="00945CD6">
        <w:rPr>
          <w:b/>
        </w:rPr>
        <w:t>Purpose of Survey and Data Collection Procedures</w:t>
      </w:r>
    </w:p>
    <w:p w:rsidRPr="00F75C73" w:rsidR="00984CA2" w:rsidP="00E215D7" w:rsidRDefault="00984CA2" w14:paraId="765A08A2" w14:textId="77777777">
      <w:pPr>
        <w:spacing w:after="60"/>
        <w:rPr>
          <w:b/>
          <w:i/>
        </w:rPr>
      </w:pPr>
      <w:r w:rsidRPr="00F75C73">
        <w:rPr>
          <w:b/>
          <w:i/>
        </w:rPr>
        <w:t>Overview of Purpose and Approach</w:t>
      </w:r>
    </w:p>
    <w:p w:rsidRPr="00F75C73" w:rsidR="002338AC" w:rsidP="00F032DC" w:rsidRDefault="00856909" w14:paraId="770A1739" w14:textId="509306CE">
      <w:r w:rsidRPr="00F75C73">
        <w:t>ECD</w:t>
      </w:r>
      <w:r w:rsidRPr="00F75C73" w:rsidR="00F75C73">
        <w:t xml:space="preserve">’s primary mission is to act as a catalyst </w:t>
      </w:r>
      <w:r w:rsidRPr="00F75C73" w:rsidR="00F75C73">
        <w:rPr>
          <w:color w:val="19150F"/>
        </w:rPr>
        <w:t>to create collective impact and support early learning and care of our nation's children and their families.</w:t>
      </w:r>
      <w:r w:rsidRPr="00F75C73" w:rsidR="004B7A8F">
        <w:t xml:space="preserve"> </w:t>
      </w:r>
      <w:r w:rsidR="00F75C73">
        <w:t xml:space="preserve">As part of this role, ECD </w:t>
      </w:r>
      <w:r w:rsidRPr="00F75C73" w:rsidR="004B7A8F">
        <w:t xml:space="preserve">will </w:t>
      </w:r>
      <w:r w:rsidR="00B001C1">
        <w:t>convene the</w:t>
      </w:r>
      <w:r w:rsidR="002F6636">
        <w:t xml:space="preserve"> Radical Family Engagement</w:t>
      </w:r>
      <w:r w:rsidRPr="00F75C73" w:rsidR="004B7A8F">
        <w:t xml:space="preserve"> </w:t>
      </w:r>
      <w:r w:rsidRPr="00F75C73">
        <w:t>stakeholder</w:t>
      </w:r>
      <w:r w:rsidR="00B001C1">
        <w:t xml:space="preserve"> </w:t>
      </w:r>
      <w:r w:rsidRPr="00F75C73">
        <w:t xml:space="preserve">event </w:t>
      </w:r>
      <w:r w:rsidR="002F6636">
        <w:t>in October 2020</w:t>
      </w:r>
      <w:r w:rsidRPr="00F75C73">
        <w:t xml:space="preserve"> as part of its mission to bring partners together to improve outcomes for young children and their families</w:t>
      </w:r>
      <w:r w:rsidRPr="00F75C73" w:rsidR="004B7A8F">
        <w:t xml:space="preserve">. The </w:t>
      </w:r>
      <w:r w:rsidRPr="00F75C73">
        <w:t xml:space="preserve">meeting will include </w:t>
      </w:r>
      <w:r w:rsidRPr="00F75C73" w:rsidR="004B7A8F">
        <w:t xml:space="preserve">panel presentations and small and large group discussions which include </w:t>
      </w:r>
      <w:r w:rsidRPr="00F75C73">
        <w:t xml:space="preserve">national, state and local organizations serving young children and their families, </w:t>
      </w:r>
      <w:r w:rsidRPr="00F75C73" w:rsidR="004B7A8F">
        <w:t xml:space="preserve">parents, </w:t>
      </w:r>
      <w:r w:rsidRPr="00F75C73">
        <w:t>federal partners, researchers, philanthropy, business, and other stakeholders</w:t>
      </w:r>
      <w:r w:rsidRPr="00F75C73" w:rsidR="00F75C73">
        <w:t xml:space="preserve">. The meeting will be </w:t>
      </w:r>
      <w:r w:rsidR="002F6636">
        <w:t xml:space="preserve">an </w:t>
      </w:r>
      <w:r w:rsidRPr="00F75C73" w:rsidR="00F75C73">
        <w:t>opportunit</w:t>
      </w:r>
      <w:r w:rsidR="002F6636">
        <w:t>y</w:t>
      </w:r>
      <w:r w:rsidRPr="00F75C73" w:rsidR="00F75C73">
        <w:t xml:space="preserve"> to </w:t>
      </w:r>
      <w:r w:rsidRPr="00F75C73" w:rsidR="004B7A8F">
        <w:t xml:space="preserve">discuss barriers </w:t>
      </w:r>
      <w:r w:rsidRPr="00F75C73" w:rsidR="00F75C73">
        <w:t xml:space="preserve">and challenges, innovative approaches, and </w:t>
      </w:r>
      <w:r w:rsidRPr="00F75C73" w:rsidR="004B7A8F">
        <w:t>practical solutions</w:t>
      </w:r>
      <w:r w:rsidRPr="00F75C73" w:rsidR="00F75C73">
        <w:t xml:space="preserve"> in early care and education and related</w:t>
      </w:r>
      <w:r w:rsidR="002F6636">
        <w:t xml:space="preserve"> to engaging families in</w:t>
      </w:r>
      <w:r w:rsidRPr="00F75C73" w:rsidR="00F75C73">
        <w:t xml:space="preserve"> child and family serving systems</w:t>
      </w:r>
      <w:r w:rsidRPr="00F75C73" w:rsidR="004B7A8F">
        <w:t>. Information collected during these sessions will be used by ACF in the development of future technical assistance, research agendas, and/or strategic planning</w:t>
      </w:r>
      <w:r w:rsidRPr="00F75C73" w:rsidR="00F75C73">
        <w:t xml:space="preserve"> and partnership development</w:t>
      </w:r>
      <w:r w:rsidRPr="00F75C73" w:rsidR="004B7A8F">
        <w:t xml:space="preserve">. </w:t>
      </w:r>
    </w:p>
    <w:p w:rsidR="00F75C73" w:rsidP="00E215D7" w:rsidRDefault="00F75C73" w14:paraId="2F0D9133" w14:textId="77777777">
      <w:pPr>
        <w:spacing w:after="60"/>
        <w:rPr>
          <w:b/>
          <w:i/>
        </w:rPr>
      </w:pPr>
    </w:p>
    <w:p w:rsidRPr="00E215D7" w:rsidR="00A44209" w:rsidP="00E215D7" w:rsidRDefault="00A44209" w14:paraId="378E2B95" w14:textId="63437C89">
      <w:pPr>
        <w:spacing w:after="60"/>
        <w:rPr>
          <w:b/>
          <w:i/>
        </w:rPr>
      </w:pPr>
      <w:r w:rsidRPr="00E215D7">
        <w:rPr>
          <w:b/>
          <w:i/>
        </w:rPr>
        <w:t>Research Questions</w:t>
      </w:r>
    </w:p>
    <w:p w:rsidRPr="00E215D7" w:rsidR="002E0D3C" w:rsidP="00E215D7" w:rsidRDefault="002E0D3C" w14:paraId="642AC027" w14:textId="62CB0741">
      <w:r w:rsidRPr="00E215D7">
        <w:lastRenderedPageBreak/>
        <w:t>Through large and small group discussions</w:t>
      </w:r>
      <w:r w:rsidR="00034668">
        <w:t xml:space="preserve"> at various meetings</w:t>
      </w:r>
      <w:r w:rsidRPr="00E215D7">
        <w:t xml:space="preserve">, we </w:t>
      </w:r>
      <w:r w:rsidR="00034668">
        <w:t>will ask several questions along the following general themes:</w:t>
      </w:r>
    </w:p>
    <w:p w:rsidRPr="00034668" w:rsidR="002E0D3C" w:rsidP="00E215D7" w:rsidRDefault="002E0D3C" w14:paraId="571A8DE1" w14:textId="73EEDA06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34668">
        <w:rPr>
          <w:rFonts w:ascii="Times New Roman" w:hAnsi="Times New Roman"/>
          <w:sz w:val="24"/>
          <w:szCs w:val="24"/>
        </w:rPr>
        <w:t xml:space="preserve">What do </w:t>
      </w:r>
      <w:r w:rsidRPr="00034668" w:rsidR="00F75C73">
        <w:rPr>
          <w:rFonts w:ascii="Times New Roman" w:hAnsi="Times New Roman"/>
          <w:sz w:val="24"/>
          <w:szCs w:val="24"/>
        </w:rPr>
        <w:t xml:space="preserve">parents and </w:t>
      </w:r>
      <w:r w:rsidRPr="00034668">
        <w:rPr>
          <w:rFonts w:ascii="Times New Roman" w:hAnsi="Times New Roman"/>
          <w:sz w:val="24"/>
          <w:szCs w:val="24"/>
        </w:rPr>
        <w:t xml:space="preserve">families </w:t>
      </w:r>
      <w:r w:rsidRPr="00034668" w:rsidR="00F75C73">
        <w:rPr>
          <w:rFonts w:ascii="Times New Roman" w:hAnsi="Times New Roman"/>
          <w:sz w:val="24"/>
          <w:szCs w:val="24"/>
        </w:rPr>
        <w:t>need to support the</w:t>
      </w:r>
      <w:r w:rsidRPr="00034668" w:rsidR="00034668">
        <w:rPr>
          <w:rFonts w:ascii="Times New Roman" w:hAnsi="Times New Roman"/>
          <w:sz w:val="24"/>
          <w:szCs w:val="24"/>
        </w:rPr>
        <w:t xml:space="preserve">ir </w:t>
      </w:r>
      <w:r w:rsidRPr="00034668" w:rsidR="00F75C73">
        <w:rPr>
          <w:rFonts w:ascii="Times New Roman" w:hAnsi="Times New Roman"/>
          <w:sz w:val="24"/>
          <w:szCs w:val="24"/>
        </w:rPr>
        <w:t>healthy d</w:t>
      </w:r>
      <w:r w:rsidRPr="00034668" w:rsidR="00034668">
        <w:rPr>
          <w:rFonts w:ascii="Times New Roman" w:hAnsi="Times New Roman"/>
          <w:sz w:val="24"/>
          <w:szCs w:val="24"/>
        </w:rPr>
        <w:t>evelopment and social and economic well-being</w:t>
      </w:r>
      <w:r w:rsidRPr="00034668">
        <w:rPr>
          <w:rFonts w:ascii="Times New Roman" w:hAnsi="Times New Roman"/>
          <w:sz w:val="24"/>
          <w:szCs w:val="24"/>
        </w:rPr>
        <w:t>?</w:t>
      </w:r>
    </w:p>
    <w:p w:rsidRPr="00034668" w:rsidR="00034668" w:rsidP="00034668" w:rsidRDefault="00034668" w14:paraId="0D409583" w14:textId="0FDA2868">
      <w:pPr>
        <w:pStyle w:val="NoSpacing2"/>
        <w:numPr>
          <w:ilvl w:val="0"/>
          <w:numId w:val="21"/>
        </w:numPr>
        <w:spacing w:after="0" w:line="240" w:lineRule="auto"/>
        <w:rPr>
          <w:sz w:val="24"/>
          <w:szCs w:val="24"/>
        </w:rPr>
      </w:pPr>
      <w:r w:rsidRPr="00034668">
        <w:rPr>
          <w:sz w:val="24"/>
          <w:szCs w:val="24"/>
        </w:rPr>
        <w:t xml:space="preserve">What are some promising and innovative strategies to support and strengthen families with young children? </w:t>
      </w:r>
    </w:p>
    <w:p w:rsidRPr="00034668" w:rsidR="00034668" w:rsidP="00034668" w:rsidRDefault="00034668" w14:paraId="04E69561" w14:textId="57263C0A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34668">
        <w:rPr>
          <w:rFonts w:ascii="Times New Roman" w:hAnsi="Times New Roman"/>
          <w:sz w:val="24"/>
          <w:szCs w:val="24"/>
        </w:rPr>
        <w:t>What are states/localities doing to increase improve early care and education systems and transition to school and other child and family service systems?</w:t>
      </w:r>
    </w:p>
    <w:p w:rsidRPr="00034668" w:rsidR="00034668" w:rsidP="00034668" w:rsidRDefault="00034668" w14:paraId="597438A1" w14:textId="50E18BAC">
      <w:pPr>
        <w:pStyle w:val="NoSpacing2"/>
        <w:numPr>
          <w:ilvl w:val="0"/>
          <w:numId w:val="21"/>
        </w:numPr>
        <w:spacing w:after="0" w:line="240" w:lineRule="auto"/>
        <w:rPr>
          <w:sz w:val="24"/>
          <w:szCs w:val="24"/>
        </w:rPr>
      </w:pPr>
      <w:r w:rsidRPr="00034668">
        <w:rPr>
          <w:sz w:val="24"/>
          <w:szCs w:val="24"/>
        </w:rPr>
        <w:t>What are the factors that make it easier to coordinate across early childhood programs/initiatives?</w:t>
      </w:r>
    </w:p>
    <w:p w:rsidRPr="00034668" w:rsidR="00034668" w:rsidP="00034668" w:rsidRDefault="00034668" w14:paraId="5AAD5DDD" w14:textId="0ED620F2">
      <w:pPr>
        <w:pStyle w:val="NoSpacing2"/>
        <w:numPr>
          <w:ilvl w:val="0"/>
          <w:numId w:val="21"/>
        </w:numPr>
        <w:spacing w:after="0" w:line="240" w:lineRule="auto"/>
        <w:rPr>
          <w:sz w:val="24"/>
          <w:szCs w:val="24"/>
        </w:rPr>
      </w:pPr>
      <w:r w:rsidRPr="00034668">
        <w:rPr>
          <w:sz w:val="24"/>
          <w:szCs w:val="24"/>
        </w:rPr>
        <w:t>What makes it hard or difficult to coordinate across programs and initiatives?</w:t>
      </w:r>
      <w:r>
        <w:rPr>
          <w:sz w:val="24"/>
          <w:szCs w:val="24"/>
        </w:rPr>
        <w:t xml:space="preserve"> What are barriers and challenges to serving families more holistically?</w:t>
      </w:r>
    </w:p>
    <w:p w:rsidRPr="00034668" w:rsidR="00034668" w:rsidP="00034668" w:rsidRDefault="00034668" w14:paraId="47F6DE45" w14:textId="062C260F">
      <w:pPr>
        <w:pStyle w:val="NoSpacing2"/>
        <w:numPr>
          <w:ilvl w:val="0"/>
          <w:numId w:val="21"/>
        </w:numPr>
        <w:spacing w:after="0" w:line="240" w:lineRule="auto"/>
        <w:rPr>
          <w:sz w:val="24"/>
          <w:szCs w:val="24"/>
        </w:rPr>
      </w:pPr>
      <w:r w:rsidRPr="00034668">
        <w:rPr>
          <w:sz w:val="24"/>
          <w:szCs w:val="24"/>
        </w:rPr>
        <w:t>What could the federal government do to make the coordination better?</w:t>
      </w:r>
    </w:p>
    <w:p w:rsidRPr="00034668" w:rsidR="00034668" w:rsidP="00034668" w:rsidRDefault="00034668" w14:paraId="66BCBCB1" w14:textId="7E5640F6">
      <w:pPr>
        <w:pStyle w:val="NoSpacing2"/>
        <w:numPr>
          <w:ilvl w:val="0"/>
          <w:numId w:val="21"/>
        </w:numPr>
        <w:spacing w:after="0" w:line="240" w:lineRule="auto"/>
        <w:rPr>
          <w:sz w:val="24"/>
          <w:szCs w:val="24"/>
        </w:rPr>
      </w:pPr>
      <w:r w:rsidRPr="00034668">
        <w:rPr>
          <w:sz w:val="24"/>
          <w:szCs w:val="24"/>
        </w:rPr>
        <w:t>What type of technical assistance and support is needed?</w:t>
      </w:r>
    </w:p>
    <w:p w:rsidRPr="00034668" w:rsidR="00034668" w:rsidP="00034668" w:rsidRDefault="00034668" w14:paraId="4E07139A" w14:textId="640713A1">
      <w:pPr>
        <w:pStyle w:val="NoSpacing2"/>
        <w:numPr>
          <w:ilvl w:val="0"/>
          <w:numId w:val="21"/>
        </w:numPr>
        <w:spacing w:after="0" w:line="240" w:lineRule="auto"/>
        <w:rPr>
          <w:sz w:val="24"/>
          <w:szCs w:val="24"/>
        </w:rPr>
      </w:pPr>
      <w:r w:rsidRPr="00034668">
        <w:rPr>
          <w:sz w:val="24"/>
          <w:szCs w:val="24"/>
        </w:rPr>
        <w:t>What are some of the data and research needs in early childhood development?</w:t>
      </w:r>
    </w:p>
    <w:p w:rsidRPr="00E215D7" w:rsidR="004B7A8F" w:rsidP="00F032DC" w:rsidRDefault="004B7A8F" w14:paraId="73C32598" w14:textId="77777777"/>
    <w:p w:rsidRPr="00E215D7" w:rsidR="009A01EE" w:rsidP="00F032DC" w:rsidRDefault="00F75C73" w14:paraId="2086320E" w14:textId="160E99D4">
      <w:r>
        <w:t>Sample Questions are</w:t>
      </w:r>
      <w:r w:rsidRPr="00E215D7" w:rsidR="009A01EE">
        <w:t xml:space="preserve"> </w:t>
      </w:r>
      <w:r w:rsidR="007A4694">
        <w:t xml:space="preserve">provided as Attachment A. </w:t>
      </w:r>
    </w:p>
    <w:p w:rsidRPr="00E215D7" w:rsidR="009A01EE" w:rsidP="00E215D7" w:rsidRDefault="009A01EE" w14:paraId="573B040C" w14:textId="77777777">
      <w:pPr>
        <w:ind w:left="180"/>
      </w:pPr>
    </w:p>
    <w:p w:rsidRPr="00E215D7" w:rsidR="00A44209" w:rsidP="00E215D7" w:rsidRDefault="00A44209" w14:paraId="0E172CB6" w14:textId="77777777">
      <w:pPr>
        <w:spacing w:after="60"/>
        <w:rPr>
          <w:b/>
          <w:i/>
        </w:rPr>
      </w:pPr>
      <w:r w:rsidRPr="00E215D7">
        <w:rPr>
          <w:b/>
          <w:i/>
        </w:rPr>
        <w:t>Study Design</w:t>
      </w:r>
    </w:p>
    <w:p w:rsidR="00F64EBF" w:rsidP="00F032DC" w:rsidRDefault="00006B87" w14:paraId="7854038D" w14:textId="05FC2E2E">
      <w:r>
        <w:t xml:space="preserve">The </w:t>
      </w:r>
      <w:r w:rsidRPr="00E215D7" w:rsidR="00200B91">
        <w:t xml:space="preserve">primary goal of </w:t>
      </w:r>
      <w:r>
        <w:t xml:space="preserve">this information collection is to </w:t>
      </w:r>
      <w:r w:rsidRPr="00E215D7" w:rsidR="00200B91">
        <w:t>gather data and informatio</w:t>
      </w:r>
      <w:r w:rsidR="00034668">
        <w:t xml:space="preserve">n from several </w:t>
      </w:r>
      <w:r w:rsidR="00F64EBF">
        <w:t xml:space="preserve">of ECD’s </w:t>
      </w:r>
      <w:r w:rsidR="00034668">
        <w:t>key stakeholders</w:t>
      </w:r>
      <w:r w:rsidRPr="00E215D7" w:rsidR="00200B91">
        <w:t xml:space="preserve">: parents, </w:t>
      </w:r>
      <w:r w:rsidR="00034668">
        <w:t>early childhood programs</w:t>
      </w:r>
      <w:r w:rsidRPr="00E215D7" w:rsidR="00200B91">
        <w:t xml:space="preserve">, </w:t>
      </w:r>
      <w:r w:rsidR="00034668">
        <w:t xml:space="preserve">schools, </w:t>
      </w:r>
      <w:r w:rsidRPr="00E215D7" w:rsidR="00200B91">
        <w:t xml:space="preserve">employers, </w:t>
      </w:r>
      <w:r w:rsidR="00034668">
        <w:t xml:space="preserve">philanthropy, researchers, </w:t>
      </w:r>
      <w:r w:rsidRPr="00E215D7" w:rsidR="00200B91">
        <w:t xml:space="preserve">and state and local </w:t>
      </w:r>
      <w:r w:rsidR="00034668">
        <w:t>government</w:t>
      </w:r>
      <w:r w:rsidRPr="00E215D7" w:rsidR="00200B91">
        <w:t xml:space="preserve"> officials</w:t>
      </w:r>
      <w:r w:rsidR="00034668">
        <w:t>, other child and family serving professionals</w:t>
      </w:r>
      <w:r w:rsidRPr="00E215D7" w:rsidR="00200B91">
        <w:t xml:space="preserve">. </w:t>
      </w:r>
    </w:p>
    <w:p w:rsidR="00F64EBF" w:rsidP="00F032DC" w:rsidRDefault="00F64EBF" w14:paraId="137DE078" w14:textId="77777777"/>
    <w:p w:rsidRPr="00E215D7" w:rsidR="002E0D3C" w:rsidP="004055CA" w:rsidRDefault="00034668" w14:paraId="53C2F8AE" w14:textId="0240E5C5">
      <w:r>
        <w:t xml:space="preserve">ECD </w:t>
      </w:r>
      <w:r w:rsidR="00B001C1">
        <w:t xml:space="preserve">will </w:t>
      </w:r>
      <w:r w:rsidRPr="00E215D7" w:rsidR="00200B91">
        <w:t>identif</w:t>
      </w:r>
      <w:r w:rsidR="00B001C1">
        <w:t>y</w:t>
      </w:r>
      <w:r w:rsidRPr="00E215D7" w:rsidR="00200B91">
        <w:t xml:space="preserve"> potential participants and conduct outreach with stakeholders to ensure that the </w:t>
      </w:r>
      <w:r w:rsidR="00F64EBF">
        <w:t>key stakeholders</w:t>
      </w:r>
      <w:r w:rsidRPr="00E215D7" w:rsidR="00200B91">
        <w:t xml:space="preserve"> will be represented </w:t>
      </w:r>
      <w:r w:rsidR="002F6636">
        <w:t>at the Radical Family Engagement meeting.</w:t>
      </w:r>
      <w:r w:rsidR="00F64EBF">
        <w:t xml:space="preserve"> </w:t>
      </w:r>
      <w:r w:rsidRPr="00E215D7" w:rsidR="00200B91">
        <w:t>Data will be collected</w:t>
      </w:r>
      <w:r w:rsidRPr="00E215D7" w:rsidR="002E0D3C">
        <w:t xml:space="preserve"> using large group discussion and small group breakout sessions within a </w:t>
      </w:r>
      <w:r w:rsidR="002F6636">
        <w:t>90</w:t>
      </w:r>
      <w:r w:rsidR="00B001C1">
        <w:t>-</w:t>
      </w:r>
      <w:r w:rsidR="002F6636">
        <w:t xml:space="preserve">minute </w:t>
      </w:r>
      <w:r>
        <w:t>virtual</w:t>
      </w:r>
      <w:r w:rsidRPr="00E215D7" w:rsidR="00BA28DD">
        <w:t xml:space="preserve"> </w:t>
      </w:r>
      <w:r w:rsidRPr="00E215D7" w:rsidR="002E0D3C">
        <w:t xml:space="preserve">meeting. </w:t>
      </w:r>
      <w:r w:rsidRPr="00E215D7" w:rsidR="00200B91">
        <w:t xml:space="preserve">ACF will have </w:t>
      </w:r>
      <w:r w:rsidRPr="00E215D7" w:rsidR="009A01EE">
        <w:t xml:space="preserve">facilitators lead the discussion using a semi-structured protocol. </w:t>
      </w:r>
      <w:r w:rsidR="00ED514D">
        <w:t>Participants will be informed that the large group discussions will be recorded for note-taking purposes only. Additional n</w:t>
      </w:r>
      <w:r w:rsidRPr="00E215D7" w:rsidR="00200B91">
        <w:t xml:space="preserve">otetakers </w:t>
      </w:r>
      <w:r w:rsidRPr="00E215D7" w:rsidR="009A01EE">
        <w:t xml:space="preserve">will </w:t>
      </w:r>
      <w:r w:rsidRPr="00E215D7" w:rsidR="00200B91">
        <w:t xml:space="preserve">capture the responses during the large and small group breakout sessions. </w:t>
      </w:r>
      <w:r>
        <w:t>ECD staff</w:t>
      </w:r>
      <w:r w:rsidRPr="00E215D7" w:rsidR="00200B91">
        <w:t xml:space="preserve"> will review the notes and prepare a summary report with key themes for ACF.</w:t>
      </w:r>
    </w:p>
    <w:p w:rsidRPr="00E215D7" w:rsidR="004554B1" w:rsidP="00E215D7" w:rsidRDefault="004554B1" w14:paraId="52E26D73" w14:textId="526BE19C"/>
    <w:p w:rsidRPr="00E215D7" w:rsidR="00945CD6" w:rsidP="00E215D7" w:rsidRDefault="00292B70" w14:paraId="538DC88A" w14:textId="77777777">
      <w:pPr>
        <w:spacing w:after="120"/>
        <w:rPr>
          <w:b/>
        </w:rPr>
      </w:pPr>
      <w:r w:rsidRPr="00E215D7">
        <w:rPr>
          <w:b/>
        </w:rPr>
        <w:t xml:space="preserve">A3. </w:t>
      </w:r>
      <w:r w:rsidRPr="00E215D7" w:rsidR="00945CD6">
        <w:rPr>
          <w:b/>
        </w:rPr>
        <w:t>Improved Information Technology to Reduce Burden</w:t>
      </w:r>
    </w:p>
    <w:p w:rsidRPr="00E215D7" w:rsidR="002E0D3C" w:rsidP="00E215D7" w:rsidRDefault="002E0D3C" w14:paraId="730A6B18" w14:textId="472D962E">
      <w:r w:rsidRPr="00E215D7">
        <w:t xml:space="preserve">The data collection will occur </w:t>
      </w:r>
      <w:r w:rsidRPr="00E215D7" w:rsidR="004B7A8F">
        <w:t xml:space="preserve">through </w:t>
      </w:r>
      <w:r w:rsidR="00034668">
        <w:t>virtual</w:t>
      </w:r>
      <w:r w:rsidRPr="00E215D7" w:rsidR="004B7A8F">
        <w:t xml:space="preserve"> group discussion sessions. </w:t>
      </w:r>
      <w:r w:rsidR="00ED514D">
        <w:t xml:space="preserve"> Participants will be informed that the large group sessions will be recorded for note-taking purposes only.</w:t>
      </w:r>
    </w:p>
    <w:p w:rsidR="00034668" w:rsidP="00E215D7" w:rsidRDefault="00034668" w14:paraId="6FBD26CA" w14:textId="77777777">
      <w:pPr>
        <w:spacing w:after="120"/>
        <w:rPr>
          <w:b/>
        </w:rPr>
      </w:pPr>
    </w:p>
    <w:p w:rsidRPr="00E215D7" w:rsidR="00945CD6" w:rsidP="00E215D7" w:rsidRDefault="00292B70" w14:paraId="71BB7AD7" w14:textId="4B434BBB">
      <w:pPr>
        <w:spacing w:after="120"/>
        <w:rPr>
          <w:b/>
        </w:rPr>
      </w:pPr>
      <w:r w:rsidRPr="00E215D7">
        <w:rPr>
          <w:b/>
        </w:rPr>
        <w:t xml:space="preserve">A4. </w:t>
      </w:r>
      <w:r w:rsidRPr="00E215D7" w:rsidR="00945CD6">
        <w:rPr>
          <w:b/>
        </w:rPr>
        <w:t>Efforts to Identify Duplication</w:t>
      </w:r>
    </w:p>
    <w:p w:rsidRPr="00E215D7" w:rsidR="00436F5E" w:rsidP="00E215D7" w:rsidRDefault="00313945" w14:paraId="406490E7" w14:textId="188471EA">
      <w:pPr>
        <w:spacing w:after="120"/>
      </w:pPr>
      <w:r>
        <w:t xml:space="preserve">There are no other offices at ACF hosting </w:t>
      </w:r>
      <w:r w:rsidR="00A00C60">
        <w:t xml:space="preserve">cross-sector early childhood </w:t>
      </w:r>
      <w:r>
        <w:t>stakeholder meetings</w:t>
      </w:r>
      <w:r w:rsidR="002F6636">
        <w:t xml:space="preserve"> about radical family engagement</w:t>
      </w:r>
      <w:r w:rsidRPr="00E215D7" w:rsidR="002E0D3C">
        <w:t>.</w:t>
      </w:r>
      <w:bookmarkStart w:name="_GoBack" w:id="0"/>
      <w:bookmarkEnd w:id="0"/>
      <w:r w:rsidR="00A00C60">
        <w:t xml:space="preserve"> </w:t>
      </w:r>
    </w:p>
    <w:p w:rsidRPr="00E215D7" w:rsidR="004B7A8F" w:rsidP="00E215D7" w:rsidRDefault="004B7A8F" w14:paraId="6D17BF10" w14:textId="77777777">
      <w:pPr>
        <w:spacing w:after="120"/>
      </w:pPr>
    </w:p>
    <w:p w:rsidRPr="00E215D7" w:rsidR="00945CD6" w:rsidP="00E215D7" w:rsidRDefault="00292B70" w14:paraId="4309BE26" w14:textId="77777777">
      <w:pPr>
        <w:spacing w:after="120"/>
        <w:rPr>
          <w:b/>
        </w:rPr>
      </w:pPr>
      <w:r w:rsidRPr="00E215D7">
        <w:rPr>
          <w:b/>
        </w:rPr>
        <w:t xml:space="preserve">A5. </w:t>
      </w:r>
      <w:r w:rsidRPr="00E215D7" w:rsidR="00945CD6">
        <w:rPr>
          <w:b/>
        </w:rPr>
        <w:t>Involvement of Small Organizations</w:t>
      </w:r>
    </w:p>
    <w:p w:rsidRPr="00E215D7" w:rsidR="002E0D3C" w:rsidP="00E215D7" w:rsidRDefault="002E0D3C" w14:paraId="67D0A306" w14:textId="15E70E62">
      <w:r w:rsidRPr="00E215D7">
        <w:t xml:space="preserve">Faith and community-based </w:t>
      </w:r>
      <w:r w:rsidR="00313945">
        <w:t>early childhood providers and stakeholders may be included as target</w:t>
      </w:r>
      <w:r w:rsidRPr="00E215D7">
        <w:t xml:space="preserve"> audience</w:t>
      </w:r>
      <w:r w:rsidRPr="00E215D7" w:rsidR="00F66801">
        <w:t>s</w:t>
      </w:r>
      <w:r w:rsidRPr="00E215D7">
        <w:t xml:space="preserve"> for the meeting and will be invited to attend.</w:t>
      </w:r>
      <w:r w:rsidRPr="00E215D7" w:rsidR="00200B91">
        <w:t xml:space="preserve"> ACF will work with the HHS Faith and Community-Based Office to assist with </w:t>
      </w:r>
      <w:r w:rsidR="00313945">
        <w:t xml:space="preserve">recruitment, </w:t>
      </w:r>
      <w:r w:rsidR="00006B87">
        <w:t xml:space="preserve">as </w:t>
      </w:r>
      <w:r w:rsidR="00313945">
        <w:t>appropriate</w:t>
      </w:r>
      <w:r w:rsidRPr="00E215D7" w:rsidR="00200B91">
        <w:t>.</w:t>
      </w:r>
    </w:p>
    <w:p w:rsidRPr="00E215D7" w:rsidR="004B7A8F" w:rsidP="00E215D7" w:rsidRDefault="004B7A8F" w14:paraId="2708AF0F" w14:textId="53CC1DF1"/>
    <w:p w:rsidRPr="00E215D7" w:rsidR="00945CD6" w:rsidP="00E215D7" w:rsidRDefault="00292B70" w14:paraId="1330AADE" w14:textId="77777777">
      <w:pPr>
        <w:spacing w:after="120"/>
        <w:rPr>
          <w:b/>
        </w:rPr>
      </w:pPr>
      <w:r w:rsidRPr="00E215D7">
        <w:rPr>
          <w:b/>
        </w:rPr>
        <w:t xml:space="preserve">A6. </w:t>
      </w:r>
      <w:r w:rsidRPr="00E215D7" w:rsidR="00945CD6">
        <w:rPr>
          <w:b/>
        </w:rPr>
        <w:t>Consequences of Less Frequent Data Collection</w:t>
      </w:r>
    </w:p>
    <w:p w:rsidRPr="00E215D7" w:rsidR="00F66801" w:rsidP="00E215D7" w:rsidRDefault="004B7A8F" w14:paraId="243A990E" w14:textId="7A871151">
      <w:r w:rsidRPr="00E215D7">
        <w:t>Th</w:t>
      </w:r>
      <w:r w:rsidR="002F6636">
        <w:t>is</w:t>
      </w:r>
      <w:r w:rsidRPr="00E215D7">
        <w:t xml:space="preserve"> </w:t>
      </w:r>
      <w:r w:rsidR="002F6636">
        <w:t>is a</w:t>
      </w:r>
      <w:r w:rsidRPr="00E215D7">
        <w:t xml:space="preserve"> one-time data collection during </w:t>
      </w:r>
      <w:r w:rsidR="002F6636">
        <w:t xml:space="preserve">an </w:t>
      </w:r>
      <w:r w:rsidRPr="00E215D7">
        <w:t xml:space="preserve">existing meeting. </w:t>
      </w:r>
    </w:p>
    <w:p w:rsidRPr="00E215D7" w:rsidR="00F032DC" w:rsidP="00E215D7" w:rsidRDefault="00F032DC" w14:paraId="43FB3760" w14:textId="1BBE8B63"/>
    <w:p w:rsidRPr="00B001C1" w:rsidR="00945CD6" w:rsidP="00E215D7" w:rsidRDefault="00292B70" w14:paraId="00B2C11B" w14:textId="77777777">
      <w:pPr>
        <w:spacing w:after="120"/>
        <w:rPr>
          <w:b/>
        </w:rPr>
      </w:pPr>
      <w:r w:rsidRPr="00E215D7">
        <w:rPr>
          <w:b/>
        </w:rPr>
        <w:t xml:space="preserve">A7. </w:t>
      </w:r>
      <w:r w:rsidRPr="00E215D7" w:rsidR="00945CD6">
        <w:rPr>
          <w:b/>
        </w:rPr>
        <w:t>Special Circumstances</w:t>
      </w:r>
    </w:p>
    <w:p w:rsidRPr="004055CA" w:rsidR="0020382F" w:rsidP="00E215D7" w:rsidRDefault="00D90EF6" w14:paraId="64A6D64A" w14:textId="77777777">
      <w:r w:rsidRPr="004055CA">
        <w:t>There are no special circumstances for the proposed data collection efforts.</w:t>
      </w:r>
    </w:p>
    <w:p w:rsidRPr="00B001C1" w:rsidR="00D90EF6" w:rsidP="00E215D7" w:rsidRDefault="00D90EF6" w14:paraId="5EEF5B66" w14:textId="527E3A5B">
      <w:pPr>
        <w:rPr>
          <w:b/>
        </w:rPr>
      </w:pPr>
    </w:p>
    <w:p w:rsidRPr="00E215D7" w:rsidR="00D90EF6" w:rsidP="00E215D7" w:rsidRDefault="00292B70" w14:paraId="1F924D2B" w14:textId="77777777">
      <w:pPr>
        <w:spacing w:after="120"/>
        <w:rPr>
          <w:b/>
        </w:rPr>
      </w:pPr>
      <w:r w:rsidRPr="00E215D7">
        <w:rPr>
          <w:b/>
        </w:rPr>
        <w:t xml:space="preserve">A8. </w:t>
      </w:r>
      <w:r w:rsidRPr="00E215D7" w:rsidR="00945CD6">
        <w:rPr>
          <w:b/>
        </w:rPr>
        <w:t>Federal Register Notice and Consultation</w:t>
      </w:r>
    </w:p>
    <w:p w:rsidRPr="00E215D7" w:rsidR="00B91D97" w:rsidP="00E215D7" w:rsidRDefault="00B91D97" w14:paraId="4AA740CA" w14:textId="77777777">
      <w:pPr>
        <w:spacing w:after="60"/>
        <w:rPr>
          <w:b/>
          <w:i/>
        </w:rPr>
      </w:pPr>
      <w:r w:rsidRPr="00E215D7">
        <w:rPr>
          <w:b/>
          <w:i/>
        </w:rPr>
        <w:t>Federal Register Notice and Comments</w:t>
      </w:r>
    </w:p>
    <w:p w:rsidR="00D44EA5" w:rsidP="00E215D7" w:rsidRDefault="008F10A2" w14:paraId="0D6D5AE1" w14:textId="7B42C4CF">
      <w:r w:rsidRPr="00E215D7">
        <w:t xml:space="preserve">In accordance with the Paperwork Reduction Act of 1995 (Pub. L. 104-13) and Office of Management and Budget (OMB) regulations at 5 CFR Part 1320 (60 FR 44978, August 29, 1995), ACF published a notice in the Federal Register announcing the agency’s intention to request an OMB review </w:t>
      </w:r>
      <w:r w:rsidRPr="00E215D7" w:rsidR="00D44EA5">
        <w:t xml:space="preserve">of the overarching generic clearance for </w:t>
      </w:r>
      <w:r w:rsidRPr="00E215D7" w:rsidR="00984BBF">
        <w:t xml:space="preserve">formative information collection. This notice was published on October 11, 2017, Volume 82, Number 195, page 47212, and provided a sixty-day period for public comment. A subsequent notice, updated with more specific information, was published on June 18, 2019, Volume 84, Number 117, page 28307, and provided a thirty-day period for public comment. During the notice and comment periods, no substantive comments were received. </w:t>
      </w:r>
    </w:p>
    <w:p w:rsidRPr="00E215D7" w:rsidR="00D90EF6" w:rsidP="00E215D7" w:rsidRDefault="00D90EF6" w14:paraId="746573F3" w14:textId="77777777">
      <w:pPr>
        <w:rPr>
          <w:b/>
        </w:rPr>
      </w:pPr>
    </w:p>
    <w:p w:rsidRPr="00E215D7" w:rsidR="00945CD6" w:rsidP="00E215D7" w:rsidRDefault="00292B70" w14:paraId="731E2FD4" w14:textId="77777777">
      <w:pPr>
        <w:spacing w:after="120"/>
        <w:rPr>
          <w:b/>
        </w:rPr>
      </w:pPr>
      <w:r w:rsidRPr="00E215D7">
        <w:rPr>
          <w:b/>
        </w:rPr>
        <w:t xml:space="preserve">A9. </w:t>
      </w:r>
      <w:r w:rsidRPr="00E215D7" w:rsidR="00B66874">
        <w:rPr>
          <w:b/>
        </w:rPr>
        <w:t>Incentives for</w:t>
      </w:r>
      <w:r w:rsidRPr="00E215D7" w:rsidR="00945CD6">
        <w:rPr>
          <w:b/>
        </w:rPr>
        <w:t xml:space="preserve"> Respondents</w:t>
      </w:r>
    </w:p>
    <w:p w:rsidRPr="00E215D7" w:rsidR="00D90EF6" w:rsidP="00E215D7" w:rsidRDefault="00B66874" w14:paraId="5ACBFBCC" w14:textId="2AB03B5A">
      <w:r w:rsidRPr="00E215D7">
        <w:t>No incentives for</w:t>
      </w:r>
      <w:r w:rsidRPr="00E215D7" w:rsidR="00BE7952">
        <w:t xml:space="preserve"> respondents are proposed for this information collection.</w:t>
      </w:r>
    </w:p>
    <w:p w:rsidRPr="00E215D7" w:rsidR="004222F8" w:rsidP="00F032DC" w:rsidRDefault="004222F8" w14:paraId="16836918" w14:textId="77777777">
      <w:pPr>
        <w:rPr>
          <w:b/>
        </w:rPr>
      </w:pPr>
    </w:p>
    <w:p w:rsidRPr="00E215D7" w:rsidR="004222F8" w:rsidP="00E215D7" w:rsidRDefault="004222F8" w14:paraId="4A637F81" w14:textId="77777777">
      <w:pPr>
        <w:spacing w:after="120"/>
        <w:rPr>
          <w:b/>
        </w:rPr>
      </w:pPr>
      <w:r w:rsidRPr="00E215D7">
        <w:rPr>
          <w:b/>
        </w:rPr>
        <w:t>A10. Privacy of Respondents</w:t>
      </w:r>
    </w:p>
    <w:p w:rsidRPr="00E215D7" w:rsidR="004222F8" w:rsidP="00E215D7" w:rsidRDefault="00436F5E" w14:paraId="661F6422" w14:textId="7CCF1F34">
      <w:pPr>
        <w:widowControl w:val="0"/>
        <w:autoSpaceDE w:val="0"/>
        <w:autoSpaceDN w:val="0"/>
        <w:adjustRightInd w:val="0"/>
      </w:pPr>
      <w:r w:rsidRPr="00E215D7">
        <w:t xml:space="preserve">Information collected will be kept private to the extent permitted by law. Respondents will be informed </w:t>
      </w:r>
      <w:r w:rsidR="00ED514D">
        <w:t>that the large group discussion</w:t>
      </w:r>
      <w:r w:rsidR="00B001C1">
        <w:t xml:space="preserve"> </w:t>
      </w:r>
      <w:r w:rsidR="00ED514D">
        <w:t xml:space="preserve">will be recorded and </w:t>
      </w:r>
      <w:r w:rsidR="00B001C1">
        <w:t xml:space="preserve">the </w:t>
      </w:r>
      <w:r w:rsidR="00ED514D">
        <w:t xml:space="preserve">small group discussion will have notetakers. Respondents will be informed </w:t>
      </w:r>
      <w:r w:rsidRPr="00E215D7">
        <w:t xml:space="preserve">of all planned uses of data, that their participation is voluntary, and that their information will be kept private to the extent permitted by law. </w:t>
      </w:r>
    </w:p>
    <w:p w:rsidRPr="00E215D7" w:rsidR="004222F8" w:rsidP="00E215D7" w:rsidRDefault="004222F8" w14:paraId="5D51583F" w14:textId="77777777">
      <w:pPr>
        <w:widowControl w:val="0"/>
        <w:autoSpaceDE w:val="0"/>
        <w:autoSpaceDN w:val="0"/>
        <w:adjustRightInd w:val="0"/>
        <w:ind w:left="360"/>
      </w:pPr>
    </w:p>
    <w:p w:rsidRPr="00E215D7" w:rsidR="00436F5E" w:rsidP="00E215D7" w:rsidRDefault="00436F5E" w14:paraId="3FB8E8D2" w14:textId="77777777">
      <w:pPr>
        <w:widowControl w:val="0"/>
        <w:autoSpaceDE w:val="0"/>
        <w:autoSpaceDN w:val="0"/>
        <w:adjustRightInd w:val="0"/>
      </w:pPr>
      <w:r w:rsidRPr="00E215D7">
        <w:t>Information will not be maintained in a paper or electronic system from which data are actually or directly retrieved by an individuals’ personal identifier.</w:t>
      </w:r>
    </w:p>
    <w:p w:rsidRPr="00E215D7" w:rsidR="00436F5E" w:rsidP="00E215D7" w:rsidRDefault="00436F5E" w14:paraId="3185D8E5" w14:textId="77777777"/>
    <w:p w:rsidRPr="00E215D7" w:rsidR="00945CD6" w:rsidP="00E215D7" w:rsidRDefault="00292B70" w14:paraId="76DE9684" w14:textId="77777777">
      <w:pPr>
        <w:spacing w:after="120"/>
        <w:rPr>
          <w:b/>
        </w:rPr>
      </w:pPr>
      <w:r w:rsidRPr="00E215D7">
        <w:rPr>
          <w:b/>
        </w:rPr>
        <w:t xml:space="preserve">A11. </w:t>
      </w:r>
      <w:r w:rsidRPr="00E215D7" w:rsidR="00945CD6">
        <w:rPr>
          <w:b/>
        </w:rPr>
        <w:t>Sensitive Questions</w:t>
      </w:r>
    </w:p>
    <w:p w:rsidRPr="00E215D7" w:rsidR="00D90EF6" w:rsidP="00E215D7" w:rsidRDefault="00D90EF6" w14:paraId="5441312D" w14:textId="77777777">
      <w:r w:rsidRPr="00E215D7">
        <w:t>There are no sensitive questions in this data collection.</w:t>
      </w:r>
    </w:p>
    <w:p w:rsidRPr="00E215D7" w:rsidR="005046F0" w:rsidP="00313945" w:rsidRDefault="005046F0" w14:paraId="30B738C4" w14:textId="72753AE7"/>
    <w:p w:rsidR="00B001C1" w:rsidP="00E215D7" w:rsidRDefault="00B001C1" w14:paraId="59C8ABB7" w14:textId="77777777">
      <w:pPr>
        <w:spacing w:after="120"/>
        <w:rPr>
          <w:b/>
        </w:rPr>
      </w:pPr>
    </w:p>
    <w:p w:rsidR="00B001C1" w:rsidP="00E215D7" w:rsidRDefault="00B001C1" w14:paraId="1ED46140" w14:textId="77777777">
      <w:pPr>
        <w:spacing w:after="120"/>
        <w:rPr>
          <w:b/>
        </w:rPr>
      </w:pPr>
    </w:p>
    <w:p w:rsidRPr="00E215D7" w:rsidR="00945CD6" w:rsidP="00E215D7" w:rsidRDefault="00292B70" w14:paraId="00098B80" w14:textId="05E78B37">
      <w:pPr>
        <w:spacing w:after="120"/>
        <w:rPr>
          <w:b/>
        </w:rPr>
      </w:pPr>
      <w:r w:rsidRPr="00E215D7">
        <w:rPr>
          <w:b/>
        </w:rPr>
        <w:t xml:space="preserve">A12. </w:t>
      </w:r>
      <w:r w:rsidRPr="00E215D7" w:rsidR="00945CD6">
        <w:rPr>
          <w:b/>
        </w:rPr>
        <w:t>Estimation of Information Collection Burden</w:t>
      </w:r>
    </w:p>
    <w:p w:rsidRPr="00E215D7" w:rsidR="00A35B0D" w:rsidP="00E215D7" w:rsidRDefault="00A35B0D" w14:paraId="09396E3E" w14:textId="77777777">
      <w:r w:rsidRPr="00E215D7">
        <w:rPr>
          <w:b/>
        </w:rPr>
        <w:t>Total Burden Requested Under this Information Collection</w:t>
      </w:r>
    </w:p>
    <w:p w:rsidRPr="00E215D7" w:rsidR="00436F5E" w:rsidP="00E215D7" w:rsidRDefault="00436F5E" w14:paraId="7B46F199" w14:textId="77777777"/>
    <w:tbl>
      <w:tblPr>
        <w:tblW w:w="926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12"/>
        <w:gridCol w:w="1323"/>
        <w:gridCol w:w="1170"/>
        <w:gridCol w:w="1170"/>
        <w:gridCol w:w="13"/>
        <w:gridCol w:w="1226"/>
        <w:gridCol w:w="21"/>
        <w:gridCol w:w="1170"/>
        <w:gridCol w:w="34"/>
        <w:gridCol w:w="1226"/>
      </w:tblGrid>
      <w:tr w:rsidRPr="00E215D7" w:rsidR="00F032DC" w:rsidTr="00F032DC" w14:paraId="6CAD03F6" w14:textId="77777777">
        <w:trPr>
          <w:jc w:val="center"/>
        </w:trPr>
        <w:tc>
          <w:tcPr>
            <w:tcW w:w="1912" w:type="dxa"/>
            <w:shd w:val="clear" w:color="auto" w:fill="BFBFBF"/>
            <w:vAlign w:val="center"/>
          </w:tcPr>
          <w:p w:rsidRPr="00E215D7" w:rsidR="00F032DC" w:rsidP="00E215D7" w:rsidRDefault="00F032DC" w14:paraId="6BAF8777" w14:textId="77777777">
            <w:pPr>
              <w:jc w:val="center"/>
              <w:rPr>
                <w:sz w:val="20"/>
                <w:szCs w:val="20"/>
              </w:rPr>
            </w:pPr>
            <w:r w:rsidRPr="00E215D7">
              <w:rPr>
                <w:sz w:val="20"/>
                <w:szCs w:val="20"/>
              </w:rPr>
              <w:t>Instrument</w:t>
            </w:r>
          </w:p>
        </w:tc>
        <w:tc>
          <w:tcPr>
            <w:tcW w:w="1323" w:type="dxa"/>
            <w:shd w:val="clear" w:color="auto" w:fill="BFBFBF"/>
            <w:vAlign w:val="center"/>
          </w:tcPr>
          <w:p w:rsidRPr="00E215D7" w:rsidR="00F032DC" w:rsidP="00E215D7" w:rsidRDefault="00F032DC" w14:paraId="47ECC4DC" w14:textId="77777777">
            <w:pPr>
              <w:jc w:val="center"/>
              <w:rPr>
                <w:sz w:val="20"/>
                <w:szCs w:val="20"/>
              </w:rPr>
            </w:pPr>
            <w:r w:rsidRPr="00E215D7">
              <w:rPr>
                <w:sz w:val="20"/>
                <w:szCs w:val="20"/>
              </w:rPr>
              <w:t>Total Number of Respondents</w:t>
            </w:r>
          </w:p>
        </w:tc>
        <w:tc>
          <w:tcPr>
            <w:tcW w:w="1170" w:type="dxa"/>
            <w:shd w:val="clear" w:color="auto" w:fill="BFBFBF"/>
            <w:vAlign w:val="center"/>
          </w:tcPr>
          <w:p w:rsidRPr="00E215D7" w:rsidR="00F032DC" w:rsidP="00E215D7" w:rsidRDefault="00F032DC" w14:paraId="491E5F22" w14:textId="77777777">
            <w:pPr>
              <w:jc w:val="center"/>
              <w:rPr>
                <w:sz w:val="20"/>
                <w:szCs w:val="20"/>
              </w:rPr>
            </w:pPr>
            <w:r w:rsidRPr="00E215D7">
              <w:rPr>
                <w:sz w:val="20"/>
                <w:szCs w:val="20"/>
              </w:rPr>
              <w:t>Number of Responses Per Respondent</w:t>
            </w:r>
          </w:p>
        </w:tc>
        <w:tc>
          <w:tcPr>
            <w:tcW w:w="1183" w:type="dxa"/>
            <w:gridSpan w:val="2"/>
            <w:shd w:val="clear" w:color="auto" w:fill="BFBFBF"/>
            <w:vAlign w:val="center"/>
          </w:tcPr>
          <w:p w:rsidRPr="00E215D7" w:rsidR="00F032DC" w:rsidP="00E215D7" w:rsidRDefault="00F032DC" w14:paraId="2D34750B" w14:textId="77777777">
            <w:pPr>
              <w:jc w:val="center"/>
              <w:rPr>
                <w:sz w:val="20"/>
                <w:szCs w:val="20"/>
              </w:rPr>
            </w:pPr>
            <w:r w:rsidRPr="00E215D7">
              <w:rPr>
                <w:sz w:val="20"/>
                <w:szCs w:val="20"/>
              </w:rPr>
              <w:t>Average Burden Hours Per Response</w:t>
            </w:r>
          </w:p>
        </w:tc>
        <w:tc>
          <w:tcPr>
            <w:tcW w:w="1226" w:type="dxa"/>
            <w:shd w:val="clear" w:color="auto" w:fill="BFBFBF"/>
            <w:vAlign w:val="center"/>
          </w:tcPr>
          <w:p w:rsidRPr="00E215D7" w:rsidR="00F032DC" w:rsidP="00E215D7" w:rsidRDefault="00F032DC" w14:paraId="507AEABB" w14:textId="77777777">
            <w:pPr>
              <w:jc w:val="center"/>
              <w:rPr>
                <w:bCs/>
                <w:sz w:val="20"/>
                <w:szCs w:val="20"/>
              </w:rPr>
            </w:pPr>
            <w:r w:rsidRPr="00E215D7">
              <w:rPr>
                <w:bCs/>
                <w:sz w:val="20"/>
                <w:szCs w:val="20"/>
              </w:rPr>
              <w:t>Annual Burden Hours</w:t>
            </w:r>
          </w:p>
        </w:tc>
        <w:tc>
          <w:tcPr>
            <w:tcW w:w="1225" w:type="dxa"/>
            <w:gridSpan w:val="3"/>
            <w:shd w:val="clear" w:color="auto" w:fill="BFBFBF"/>
            <w:vAlign w:val="center"/>
          </w:tcPr>
          <w:p w:rsidRPr="00E215D7" w:rsidR="00F032DC" w:rsidP="00E215D7" w:rsidRDefault="00F032DC" w14:paraId="168BE991" w14:textId="77777777">
            <w:pPr>
              <w:jc w:val="center"/>
              <w:rPr>
                <w:sz w:val="20"/>
                <w:szCs w:val="20"/>
              </w:rPr>
            </w:pPr>
            <w:r w:rsidRPr="00E215D7">
              <w:rPr>
                <w:bCs/>
                <w:sz w:val="20"/>
                <w:szCs w:val="20"/>
              </w:rPr>
              <w:t>Average Hourly Wage</w:t>
            </w:r>
          </w:p>
        </w:tc>
        <w:tc>
          <w:tcPr>
            <w:tcW w:w="1226" w:type="dxa"/>
            <w:shd w:val="clear" w:color="auto" w:fill="BFBFBF"/>
            <w:vAlign w:val="center"/>
          </w:tcPr>
          <w:p w:rsidRPr="00E215D7" w:rsidR="00F032DC" w:rsidP="00E215D7" w:rsidRDefault="00F032DC" w14:paraId="108C2D28" w14:textId="77777777">
            <w:pPr>
              <w:jc w:val="center"/>
              <w:rPr>
                <w:sz w:val="20"/>
                <w:szCs w:val="20"/>
              </w:rPr>
            </w:pPr>
            <w:r w:rsidRPr="00E215D7">
              <w:rPr>
                <w:bCs/>
                <w:sz w:val="20"/>
                <w:szCs w:val="20"/>
              </w:rPr>
              <w:t>Total Annual Cost</w:t>
            </w:r>
          </w:p>
        </w:tc>
      </w:tr>
      <w:tr w:rsidRPr="00E215D7" w:rsidR="00F032DC" w:rsidTr="00F032DC" w14:paraId="48C23E7C" w14:textId="77777777">
        <w:trPr>
          <w:trHeight w:val="432"/>
          <w:jc w:val="center"/>
        </w:trPr>
        <w:tc>
          <w:tcPr>
            <w:tcW w:w="1912" w:type="dxa"/>
            <w:vAlign w:val="center"/>
          </w:tcPr>
          <w:p w:rsidRPr="00E215D7" w:rsidR="00F032DC" w:rsidP="00313945" w:rsidRDefault="00313945" w14:paraId="447DE98E" w14:textId="51D91B72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Semi-structured discussion questions</w:t>
            </w:r>
          </w:p>
        </w:tc>
        <w:tc>
          <w:tcPr>
            <w:tcW w:w="1323" w:type="dxa"/>
            <w:vAlign w:val="center"/>
          </w:tcPr>
          <w:p w:rsidRPr="00E215D7" w:rsidR="00F032DC" w:rsidP="00E215D7" w:rsidRDefault="00F032DC" w14:paraId="2D75C9B9" w14:textId="10344CA0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 w:rsidRPr="00E215D7">
              <w:rPr>
                <w:sz w:val="20"/>
                <w:szCs w:val="20"/>
              </w:rPr>
              <w:t>1</w:t>
            </w:r>
            <w:r w:rsidR="002F6636">
              <w:rPr>
                <w:sz w:val="20"/>
                <w:szCs w:val="20"/>
              </w:rPr>
              <w:t>10</w:t>
            </w:r>
          </w:p>
        </w:tc>
        <w:tc>
          <w:tcPr>
            <w:tcW w:w="1170" w:type="dxa"/>
            <w:vAlign w:val="center"/>
          </w:tcPr>
          <w:p w:rsidRPr="00E215D7" w:rsidR="00F032DC" w:rsidP="00E215D7" w:rsidRDefault="00F032DC" w14:paraId="75740CA6" w14:textId="7777777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 w:rsidRPr="00E215D7">
              <w:rPr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Pr="00E215D7" w:rsidR="00F032DC" w:rsidP="00E215D7" w:rsidRDefault="002F6636" w14:paraId="00162CED" w14:textId="416C53DE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E215D7" w:rsidR="00F032DC">
              <w:rPr>
                <w:sz w:val="20"/>
                <w:szCs w:val="20"/>
              </w:rPr>
              <w:t>.5</w:t>
            </w:r>
          </w:p>
        </w:tc>
        <w:tc>
          <w:tcPr>
            <w:tcW w:w="1260" w:type="dxa"/>
            <w:gridSpan w:val="3"/>
            <w:vAlign w:val="center"/>
          </w:tcPr>
          <w:p w:rsidRPr="00E215D7" w:rsidR="00F032DC" w:rsidP="00F032DC" w:rsidRDefault="002F6636" w14:paraId="6DC633DF" w14:textId="73DA38E6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170" w:type="dxa"/>
            <w:vAlign w:val="center"/>
          </w:tcPr>
          <w:p w:rsidRPr="00E215D7" w:rsidR="00F032DC" w:rsidP="00E215D7" w:rsidRDefault="00F032DC" w14:paraId="67C0DF8E" w14:textId="7777777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 w:rsidRPr="00E215D7">
              <w:rPr>
                <w:sz w:val="20"/>
                <w:szCs w:val="20"/>
              </w:rPr>
              <w:t>$35.56</w:t>
            </w:r>
          </w:p>
        </w:tc>
        <w:tc>
          <w:tcPr>
            <w:tcW w:w="1260" w:type="dxa"/>
            <w:gridSpan w:val="2"/>
            <w:vAlign w:val="center"/>
          </w:tcPr>
          <w:p w:rsidRPr="00E215D7" w:rsidR="00F032DC" w:rsidP="00E215D7" w:rsidRDefault="00F032DC" w14:paraId="6D4D47A4" w14:textId="15C5B3D0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 w:rsidRPr="00E215D7">
              <w:rPr>
                <w:sz w:val="20"/>
                <w:szCs w:val="20"/>
              </w:rPr>
              <w:t>$</w:t>
            </w:r>
            <w:r w:rsidR="00B001C1">
              <w:rPr>
                <w:sz w:val="20"/>
                <w:szCs w:val="20"/>
              </w:rPr>
              <w:t>1,956</w:t>
            </w:r>
          </w:p>
        </w:tc>
      </w:tr>
      <w:tr w:rsidRPr="00E215D7" w:rsidR="00C1674B" w:rsidTr="00F032DC" w14:paraId="66E89AE0" w14:textId="77777777">
        <w:trPr>
          <w:jc w:val="center"/>
        </w:trPr>
        <w:tc>
          <w:tcPr>
            <w:tcW w:w="5575" w:type="dxa"/>
            <w:gridSpan w:val="4"/>
            <w:vAlign w:val="center"/>
          </w:tcPr>
          <w:p w:rsidRPr="00E215D7" w:rsidR="00C1674B" w:rsidP="00E215D7" w:rsidRDefault="00C1674B" w14:paraId="645601EC" w14:textId="77777777">
            <w:pPr>
              <w:tabs>
                <w:tab w:val="center" w:pos="4320"/>
                <w:tab w:val="right" w:pos="8640"/>
              </w:tabs>
              <w:jc w:val="right"/>
              <w:rPr>
                <w:b/>
                <w:sz w:val="20"/>
                <w:szCs w:val="20"/>
              </w:rPr>
            </w:pPr>
            <w:r w:rsidRPr="00E215D7">
              <w:rPr>
                <w:b/>
                <w:sz w:val="20"/>
                <w:szCs w:val="20"/>
              </w:rPr>
              <w:t xml:space="preserve">Estimated Annual Burden Total </w:t>
            </w:r>
          </w:p>
        </w:tc>
        <w:tc>
          <w:tcPr>
            <w:tcW w:w="1260" w:type="dxa"/>
            <w:gridSpan w:val="3"/>
          </w:tcPr>
          <w:p w:rsidRPr="00E215D7" w:rsidR="00C1674B" w:rsidP="00E215D7" w:rsidRDefault="002F6636" w14:paraId="529494B9" w14:textId="5C8FE789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1170" w:type="dxa"/>
          </w:tcPr>
          <w:p w:rsidRPr="00E215D7" w:rsidR="00C1674B" w:rsidP="00E215D7" w:rsidRDefault="00C1674B" w14:paraId="291A5CD1" w14:textId="77777777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Pr="00E215D7" w:rsidR="00C1674B" w:rsidP="00E215D7" w:rsidRDefault="009A01EE" w14:paraId="73678F12" w14:textId="17B25CB9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0"/>
                <w:szCs w:val="20"/>
              </w:rPr>
            </w:pPr>
            <w:r w:rsidRPr="00E215D7">
              <w:rPr>
                <w:b/>
                <w:sz w:val="20"/>
                <w:szCs w:val="20"/>
              </w:rPr>
              <w:t>$</w:t>
            </w:r>
            <w:r w:rsidR="00347E30">
              <w:rPr>
                <w:b/>
                <w:sz w:val="20"/>
                <w:szCs w:val="20"/>
              </w:rPr>
              <w:t>1,956</w:t>
            </w:r>
          </w:p>
        </w:tc>
      </w:tr>
    </w:tbl>
    <w:p w:rsidRPr="00E215D7" w:rsidR="00436F5E" w:rsidP="00E215D7" w:rsidRDefault="00436F5E" w14:paraId="048A6E9A" w14:textId="77777777"/>
    <w:p w:rsidRPr="00E215D7" w:rsidR="002338AC" w:rsidP="00E215D7" w:rsidRDefault="002338AC" w14:paraId="4DC1BAA6" w14:textId="77777777">
      <w:pPr>
        <w:spacing w:after="60"/>
        <w:rPr>
          <w:b/>
          <w:i/>
        </w:rPr>
      </w:pPr>
      <w:r w:rsidRPr="00E215D7">
        <w:rPr>
          <w:b/>
          <w:i/>
        </w:rPr>
        <w:t>Total Annual Cost</w:t>
      </w:r>
    </w:p>
    <w:p w:rsidR="002338AC" w:rsidP="00313945" w:rsidRDefault="00135795" w14:paraId="6B31B4B7" w14:textId="6D1E42B5">
      <w:pPr>
        <w:tabs>
          <w:tab w:val="left" w:pos="540"/>
        </w:tabs>
      </w:pPr>
      <w:r w:rsidRPr="00E215D7">
        <w:t>To calculate the annualized cost to respondents for the hour burden, we assume that the typical respondent</w:t>
      </w:r>
      <w:r w:rsidRPr="00E215D7" w:rsidR="00405522">
        <w:t xml:space="preserve"> distribution</w:t>
      </w:r>
      <w:r w:rsidRPr="00E215D7">
        <w:t xml:space="preserve"> </w:t>
      </w:r>
      <w:r w:rsidR="00313945">
        <w:t xml:space="preserve">for each </w:t>
      </w:r>
      <w:r w:rsidRPr="00E215D7" w:rsidR="00405522">
        <w:t xml:space="preserve">meeting </w:t>
      </w:r>
      <w:r w:rsidRPr="00E215D7">
        <w:t xml:space="preserve">will be </w:t>
      </w:r>
      <w:r w:rsidRPr="00E215D7" w:rsidR="00405522">
        <w:t xml:space="preserve">about one-fifth </w:t>
      </w:r>
      <w:r w:rsidRPr="00E215D7">
        <w:t>state or local government officials</w:t>
      </w:r>
      <w:r w:rsidR="00313945">
        <w:t>; one-fifth local programs</w:t>
      </w:r>
      <w:r w:rsidRPr="00E215D7" w:rsidR="00405522">
        <w:t>; one-fifth community or social services managers; and one-fifth parents</w:t>
      </w:r>
      <w:r w:rsidRPr="00E215D7">
        <w:t xml:space="preserve">. Based on data on our expected respondents from the Bureau of Labor Statistics, we use a mean hourly wage </w:t>
      </w:r>
      <w:r w:rsidR="00313945">
        <w:t xml:space="preserve">for program </w:t>
      </w:r>
      <w:r w:rsidRPr="00E215D7" w:rsidR="00405522">
        <w:t>directors ($23.05); state government officials ($52.24), local social and community services manager ($31.41) for an average wage for respondent of $35.56</w:t>
      </w:r>
      <w:r w:rsidRPr="00E215D7">
        <w:rPr>
          <w:rStyle w:val="FootnoteReference"/>
        </w:rPr>
        <w:footnoteReference w:id="1"/>
      </w:r>
      <w:r w:rsidRPr="00E215D7">
        <w:t>.</w:t>
      </w:r>
    </w:p>
    <w:p w:rsidRPr="00B001C1" w:rsidR="00F032DC" w:rsidP="00E215D7" w:rsidRDefault="00F032DC" w14:paraId="6787D373" w14:textId="77777777">
      <w:pPr>
        <w:ind w:left="360"/>
      </w:pPr>
    </w:p>
    <w:p w:rsidRPr="004055CA" w:rsidR="00945CD6" w:rsidP="00E215D7" w:rsidRDefault="00292B70" w14:paraId="6CEEB734" w14:textId="77777777">
      <w:pPr>
        <w:rPr>
          <w:b/>
        </w:rPr>
      </w:pPr>
      <w:r w:rsidRPr="004055CA">
        <w:rPr>
          <w:b/>
        </w:rPr>
        <w:t xml:space="preserve">A13. </w:t>
      </w:r>
      <w:r w:rsidRPr="004055CA" w:rsidR="00945CD6">
        <w:rPr>
          <w:b/>
        </w:rPr>
        <w:t>Cost Burden to Respondents or Record Keepers</w:t>
      </w:r>
    </w:p>
    <w:p w:rsidRPr="00B001C1" w:rsidR="00D90EF6" w:rsidP="00E215D7" w:rsidRDefault="00B91D97" w14:paraId="1CF7474B" w14:textId="77777777">
      <w:r w:rsidRPr="004055CA">
        <w:t>There are no additional costs to respondents.</w:t>
      </w:r>
    </w:p>
    <w:p w:rsidRPr="004055CA" w:rsidR="00F032DC" w:rsidP="00E215D7" w:rsidRDefault="00F032DC" w14:paraId="11BDA572" w14:textId="17F235D0"/>
    <w:p w:rsidRPr="004055CA" w:rsidR="00945CD6" w:rsidP="00E215D7" w:rsidRDefault="00292B70" w14:paraId="3FC1F666" w14:textId="77777777">
      <w:pPr>
        <w:spacing w:after="60"/>
        <w:rPr>
          <w:b/>
        </w:rPr>
      </w:pPr>
      <w:r w:rsidRPr="004055CA">
        <w:rPr>
          <w:b/>
        </w:rPr>
        <w:t xml:space="preserve">A14. </w:t>
      </w:r>
      <w:r w:rsidRPr="004055CA" w:rsidR="00945CD6">
        <w:rPr>
          <w:b/>
        </w:rPr>
        <w:t>Estimate of Cost to the Federal Government</w:t>
      </w:r>
    </w:p>
    <w:p w:rsidRPr="004055CA" w:rsidR="002338AC" w:rsidP="00E215D7" w:rsidRDefault="00ED514D" w14:paraId="0F167F19" w14:textId="6EF8B043">
      <w:r w:rsidRPr="004055CA">
        <w:t>The</w:t>
      </w:r>
      <w:r w:rsidRPr="004055CA" w:rsidR="00313945">
        <w:t>re is no additional cost to the government</w:t>
      </w:r>
      <w:r w:rsidRPr="004055CA">
        <w:t>.</w:t>
      </w:r>
      <w:r w:rsidRPr="004055CA" w:rsidR="00313945">
        <w:t xml:space="preserve"> Data collection, analysis</w:t>
      </w:r>
      <w:r w:rsidRPr="004055CA" w:rsidR="00B001C1">
        <w:t>,</w:t>
      </w:r>
      <w:r w:rsidRPr="004055CA" w:rsidR="00313945">
        <w:t xml:space="preserve"> and reporting will be conducted using existing staff at ECD.</w:t>
      </w:r>
      <w:r w:rsidRPr="004055CA" w:rsidR="005F27BC">
        <w:t xml:space="preserve"> </w:t>
      </w:r>
    </w:p>
    <w:p w:rsidRPr="004055CA" w:rsidR="00F032DC" w:rsidP="00E215D7" w:rsidRDefault="00F032DC" w14:paraId="3E85F810" w14:textId="5978FA18"/>
    <w:p w:rsidRPr="004055CA" w:rsidR="00945CD6" w:rsidP="00E215D7" w:rsidRDefault="00292B70" w14:paraId="18E9E44D" w14:textId="77777777">
      <w:pPr>
        <w:spacing w:after="120"/>
        <w:rPr>
          <w:b/>
        </w:rPr>
      </w:pPr>
      <w:r w:rsidRPr="004055CA">
        <w:rPr>
          <w:b/>
        </w:rPr>
        <w:t xml:space="preserve">A15. </w:t>
      </w:r>
      <w:r w:rsidRPr="004055CA" w:rsidR="00945CD6">
        <w:rPr>
          <w:b/>
        </w:rPr>
        <w:t>Change in Burden</w:t>
      </w:r>
    </w:p>
    <w:p w:rsidRPr="004055CA" w:rsidR="00CB2ED6" w:rsidP="00E215D7" w:rsidRDefault="00CB2ED6" w14:paraId="5FE82348" w14:textId="77777777">
      <w:r w:rsidRPr="004055CA">
        <w:t xml:space="preserve">This is for an individual information collection under the umbrella </w:t>
      </w:r>
      <w:r w:rsidRPr="004055CA" w:rsidR="001140AB">
        <w:t>formative generic clearance for program support (0970-0531)</w:t>
      </w:r>
      <w:r w:rsidRPr="004055CA" w:rsidR="00E215D7">
        <w:t>.</w:t>
      </w:r>
      <w:r w:rsidRPr="004055CA" w:rsidR="00ED1388">
        <w:t xml:space="preserve"> </w:t>
      </w:r>
    </w:p>
    <w:p w:rsidRPr="00B001C1" w:rsidR="00E215D7" w:rsidP="00313945" w:rsidRDefault="00E215D7" w14:paraId="412F9925" w14:textId="3D25213E"/>
    <w:p w:rsidRPr="004055CA" w:rsidR="00945CD6" w:rsidP="00E215D7" w:rsidRDefault="00292B70" w14:paraId="5A12FB1A" w14:textId="5C40FD1E">
      <w:pPr>
        <w:spacing w:after="60"/>
        <w:rPr>
          <w:b/>
        </w:rPr>
      </w:pPr>
      <w:r w:rsidRPr="004055CA">
        <w:rPr>
          <w:b/>
        </w:rPr>
        <w:t xml:space="preserve">A16. </w:t>
      </w:r>
      <w:r w:rsidRPr="004055CA" w:rsidR="00945CD6">
        <w:rPr>
          <w:b/>
        </w:rPr>
        <w:t>Plan and Time Schedule for Information Collection, Tabulation and Publication</w:t>
      </w:r>
    </w:p>
    <w:p w:rsidRPr="00B001C1" w:rsidR="002338AC" w:rsidP="00E215D7" w:rsidRDefault="00B001C1" w14:paraId="25380C68" w14:textId="57751D76">
      <w:r>
        <w:t xml:space="preserve">The </w:t>
      </w:r>
      <w:r w:rsidRPr="00B001C1" w:rsidR="00313945">
        <w:t xml:space="preserve">ECD </w:t>
      </w:r>
      <w:r>
        <w:t xml:space="preserve">Radical Family Engagement </w:t>
      </w:r>
      <w:r w:rsidRPr="00B001C1" w:rsidR="00313945">
        <w:t>stakeholder m</w:t>
      </w:r>
      <w:r w:rsidRPr="00B001C1" w:rsidR="00405522">
        <w:t xml:space="preserve">eeting </w:t>
      </w:r>
      <w:r>
        <w:t>is currently scheduled</w:t>
      </w:r>
      <w:r w:rsidRPr="00B001C1" w:rsidR="00313945">
        <w:t xml:space="preserve"> </w:t>
      </w:r>
      <w:r>
        <w:t>for mid-</w:t>
      </w:r>
      <w:r w:rsidRPr="00B001C1" w:rsidR="00313945">
        <w:t>October 2020</w:t>
      </w:r>
      <w:r>
        <w:t>.</w:t>
      </w:r>
    </w:p>
    <w:p w:rsidRPr="00E215D7" w:rsidR="00E215D7" w:rsidP="00E215D7" w:rsidRDefault="00E215D7" w14:paraId="39B3D13D" w14:textId="77777777">
      <w:pPr>
        <w:rPr>
          <w:b/>
        </w:rPr>
      </w:pPr>
    </w:p>
    <w:p w:rsidRPr="00E215D7" w:rsidR="00945CD6" w:rsidP="00E215D7" w:rsidRDefault="00292B70" w14:paraId="426EDC9D" w14:textId="3B987E9D">
      <w:pPr>
        <w:spacing w:after="120"/>
        <w:rPr>
          <w:b/>
        </w:rPr>
      </w:pPr>
      <w:r w:rsidRPr="00E215D7">
        <w:rPr>
          <w:b/>
        </w:rPr>
        <w:t xml:space="preserve">A17. </w:t>
      </w:r>
      <w:r w:rsidRPr="00E215D7" w:rsidR="00945CD6">
        <w:rPr>
          <w:b/>
        </w:rPr>
        <w:t>Reasons Not to Display OMB Expiration Date</w:t>
      </w:r>
    </w:p>
    <w:p w:rsidRPr="00E215D7" w:rsidR="00D90EF6" w:rsidP="00E215D7" w:rsidRDefault="00D90EF6" w14:paraId="32124981" w14:textId="77777777">
      <w:r w:rsidRPr="00E215D7">
        <w:t>All instruments will display the expiration date for OMB approval.</w:t>
      </w:r>
    </w:p>
    <w:p w:rsidRPr="00E215D7" w:rsidR="002338AC" w:rsidP="00313945" w:rsidRDefault="002338AC" w14:paraId="01B3ABAC" w14:textId="6AC971EC"/>
    <w:p w:rsidRPr="00E215D7" w:rsidR="00945CD6" w:rsidP="00E215D7" w:rsidRDefault="00292B70" w14:paraId="64CDA2DA" w14:textId="77777777">
      <w:pPr>
        <w:spacing w:after="120"/>
        <w:rPr>
          <w:b/>
        </w:rPr>
      </w:pPr>
      <w:r w:rsidRPr="00E215D7">
        <w:rPr>
          <w:b/>
        </w:rPr>
        <w:t>A18.</w:t>
      </w:r>
      <w:r w:rsidRPr="00E215D7" w:rsidR="000B5EA8">
        <w:rPr>
          <w:b/>
        </w:rPr>
        <w:t xml:space="preserve"> Exceptions to Certification for Paperwork Reduction Act Submissions</w:t>
      </w:r>
    </w:p>
    <w:p w:rsidR="00D90EF6" w:rsidP="00E215D7" w:rsidRDefault="00D90EF6" w14:paraId="3FED6CF7" w14:textId="77777777">
      <w:r w:rsidRPr="00E215D7">
        <w:rPr>
          <w:szCs w:val="22"/>
        </w:rPr>
        <w:t>No exceptions are necessary for this information collection.</w:t>
      </w:r>
      <w:r w:rsidR="000B5EA8">
        <w:tab/>
      </w:r>
    </w:p>
    <w:p w:rsidR="00D06D5F" w:rsidP="00E215D7" w:rsidRDefault="00D06D5F" w14:paraId="310A6BA0" w14:textId="77777777">
      <w:pPr>
        <w:tabs>
          <w:tab w:val="left" w:pos="360"/>
        </w:tabs>
      </w:pPr>
    </w:p>
    <w:p w:rsidRPr="0072204D" w:rsidR="0072204D" w:rsidP="00E215D7" w:rsidRDefault="0072204D" w14:paraId="77CFA22D" w14:textId="77777777"/>
    <w:sectPr w:rsidRPr="0072204D" w:rsidR="0072204D" w:rsidSect="00327B2E">
      <w:headerReference w:type="default" r:id="rId11"/>
      <w:footerReference w:type="default" r:id="rId12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46794" w14:textId="77777777" w:rsidR="00A13DE8" w:rsidRDefault="00A13DE8">
      <w:r>
        <w:separator/>
      </w:r>
    </w:p>
  </w:endnote>
  <w:endnote w:type="continuationSeparator" w:id="0">
    <w:p w14:paraId="21637C66" w14:textId="77777777" w:rsidR="00A13DE8" w:rsidRDefault="00A13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35EFA" w14:textId="6994E20B" w:rsidR="00A44209" w:rsidRDefault="00A4420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055CA">
      <w:rPr>
        <w:noProof/>
      </w:rPr>
      <w:t>2</w:t>
    </w:r>
    <w:r>
      <w:fldChar w:fldCharType="end"/>
    </w:r>
  </w:p>
  <w:p w14:paraId="655F8917" w14:textId="77777777" w:rsidR="00A44209" w:rsidRDefault="00A44209" w:rsidP="00292B7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970F6" w14:textId="77777777" w:rsidR="00A13DE8" w:rsidRDefault="00A13DE8">
      <w:r>
        <w:separator/>
      </w:r>
    </w:p>
  </w:footnote>
  <w:footnote w:type="continuationSeparator" w:id="0">
    <w:p w14:paraId="26EDEC94" w14:textId="77777777" w:rsidR="00A13DE8" w:rsidRDefault="00A13DE8">
      <w:r>
        <w:continuationSeparator/>
      </w:r>
    </w:p>
  </w:footnote>
  <w:footnote w:id="1">
    <w:p w14:paraId="2C312272" w14:textId="77777777" w:rsidR="00135795" w:rsidRDefault="00135795" w:rsidP="00135795">
      <w:pPr>
        <w:pStyle w:val="CommentText"/>
      </w:pPr>
      <w:r>
        <w:rPr>
          <w:rStyle w:val="FootnoteReference"/>
        </w:rPr>
        <w:footnoteRef/>
      </w:r>
      <w:r>
        <w:t xml:space="preserve"> This is an average of the mean hourly wages for child care directors ($23.05); state government officials ($52.24), local social and community services manager ($31.41). See: </w:t>
      </w:r>
      <w:hyperlink r:id="rId1" w:history="1">
        <w:r w:rsidRPr="005A33D1">
          <w:rPr>
            <w:rStyle w:val="Hyperlink"/>
          </w:rPr>
          <w:t>https://www.bls.gov/oes/current/oes111011.htm</w:t>
        </w:r>
      </w:hyperlink>
      <w:r>
        <w:t xml:space="preserve">  </w:t>
      </w:r>
    </w:p>
    <w:p w14:paraId="74033671" w14:textId="77777777" w:rsidR="00135795" w:rsidRDefault="00135795" w:rsidP="00135795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24F09" w14:textId="77777777" w:rsidR="00A35B0D" w:rsidRDefault="00A35B0D" w:rsidP="00BE795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95080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745D9"/>
    <w:multiLevelType w:val="hybridMultilevel"/>
    <w:tmpl w:val="BBC2B8F6"/>
    <w:lvl w:ilvl="0" w:tplc="26248E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03283"/>
    <w:multiLevelType w:val="hybridMultilevel"/>
    <w:tmpl w:val="EAB2520C"/>
    <w:lvl w:ilvl="0" w:tplc="2E864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84C05"/>
    <w:multiLevelType w:val="hybridMultilevel"/>
    <w:tmpl w:val="10C8301C"/>
    <w:lvl w:ilvl="0" w:tplc="79423C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502E5"/>
    <w:multiLevelType w:val="hybridMultilevel"/>
    <w:tmpl w:val="741A6838"/>
    <w:lvl w:ilvl="0" w:tplc="26248E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358DF"/>
    <w:multiLevelType w:val="hybridMultilevel"/>
    <w:tmpl w:val="404889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F7774"/>
    <w:multiLevelType w:val="hybridMultilevel"/>
    <w:tmpl w:val="B874E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05A31"/>
    <w:multiLevelType w:val="hybridMultilevel"/>
    <w:tmpl w:val="A88C9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B59D5"/>
    <w:multiLevelType w:val="multilevel"/>
    <w:tmpl w:val="DF206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F2D24"/>
    <w:multiLevelType w:val="hybridMultilevel"/>
    <w:tmpl w:val="F22AD1F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52B62"/>
    <w:multiLevelType w:val="hybridMultilevel"/>
    <w:tmpl w:val="AC48E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82BDE"/>
    <w:multiLevelType w:val="hybridMultilevel"/>
    <w:tmpl w:val="1D583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B72DF"/>
    <w:multiLevelType w:val="hybridMultilevel"/>
    <w:tmpl w:val="54F24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92ED5"/>
    <w:multiLevelType w:val="hybridMultilevel"/>
    <w:tmpl w:val="DF1230B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C127280"/>
    <w:multiLevelType w:val="hybridMultilevel"/>
    <w:tmpl w:val="1924DC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3E4071"/>
    <w:multiLevelType w:val="hybridMultilevel"/>
    <w:tmpl w:val="0DF272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445D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284632"/>
    <w:multiLevelType w:val="hybridMultilevel"/>
    <w:tmpl w:val="50FC3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6C09CF"/>
    <w:multiLevelType w:val="hybridMultilevel"/>
    <w:tmpl w:val="E77C0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8C7765"/>
    <w:multiLevelType w:val="hybridMultilevel"/>
    <w:tmpl w:val="6E984A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840F1C"/>
    <w:multiLevelType w:val="hybridMultilevel"/>
    <w:tmpl w:val="D25E1E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371E1B"/>
    <w:multiLevelType w:val="hybridMultilevel"/>
    <w:tmpl w:val="44224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49269E"/>
    <w:multiLevelType w:val="hybridMultilevel"/>
    <w:tmpl w:val="B6CE704A"/>
    <w:lvl w:ilvl="0" w:tplc="DCB4A5A2">
      <w:start w:val="1"/>
      <w:numFmt w:val="decimal"/>
      <w:lvlText w:val="(%1)"/>
      <w:lvlJc w:val="left"/>
      <w:pPr>
        <w:ind w:left="720" w:hanging="360"/>
      </w:pPr>
      <w:rPr>
        <w:rFonts w:ascii="TimesNewRoman" w:hAnsi="TimesNewRoman" w:cs="TimesNew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3"/>
  </w:num>
  <w:num w:numId="4">
    <w:abstractNumId w:val="8"/>
  </w:num>
  <w:num w:numId="5">
    <w:abstractNumId w:val="9"/>
  </w:num>
  <w:num w:numId="6">
    <w:abstractNumId w:val="15"/>
  </w:num>
  <w:num w:numId="7">
    <w:abstractNumId w:val="14"/>
  </w:num>
  <w:num w:numId="8">
    <w:abstractNumId w:val="10"/>
  </w:num>
  <w:num w:numId="9">
    <w:abstractNumId w:val="12"/>
  </w:num>
  <w:num w:numId="10">
    <w:abstractNumId w:val="3"/>
  </w:num>
  <w:num w:numId="11">
    <w:abstractNumId w:val="1"/>
  </w:num>
  <w:num w:numId="12">
    <w:abstractNumId w:val="4"/>
  </w:num>
  <w:num w:numId="13">
    <w:abstractNumId w:val="16"/>
  </w:num>
  <w:num w:numId="14">
    <w:abstractNumId w:val="6"/>
  </w:num>
  <w:num w:numId="15">
    <w:abstractNumId w:val="7"/>
  </w:num>
  <w:num w:numId="16">
    <w:abstractNumId w:val="20"/>
  </w:num>
  <w:num w:numId="17">
    <w:abstractNumId w:val="21"/>
  </w:num>
  <w:num w:numId="18">
    <w:abstractNumId w:val="18"/>
  </w:num>
  <w:num w:numId="19">
    <w:abstractNumId w:val="0"/>
  </w:num>
  <w:num w:numId="20">
    <w:abstractNumId w:val="17"/>
  </w:num>
  <w:num w:numId="21">
    <w:abstractNumId w:val="1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F2C"/>
    <w:rsid w:val="00006B87"/>
    <w:rsid w:val="00034668"/>
    <w:rsid w:val="000431B8"/>
    <w:rsid w:val="0008643E"/>
    <w:rsid w:val="00091C59"/>
    <w:rsid w:val="000964A6"/>
    <w:rsid w:val="000B5EA8"/>
    <w:rsid w:val="000D53DF"/>
    <w:rsid w:val="001140AB"/>
    <w:rsid w:val="00124EBF"/>
    <w:rsid w:val="00130457"/>
    <w:rsid w:val="00135795"/>
    <w:rsid w:val="00144656"/>
    <w:rsid w:val="0016012E"/>
    <w:rsid w:val="00183C0F"/>
    <w:rsid w:val="001A5AF9"/>
    <w:rsid w:val="001C4D60"/>
    <w:rsid w:val="00200B91"/>
    <w:rsid w:val="0020382F"/>
    <w:rsid w:val="002231FA"/>
    <w:rsid w:val="00231B5C"/>
    <w:rsid w:val="002338AC"/>
    <w:rsid w:val="00234E8D"/>
    <w:rsid w:val="00235A6D"/>
    <w:rsid w:val="002408DE"/>
    <w:rsid w:val="0025173C"/>
    <w:rsid w:val="00253148"/>
    <w:rsid w:val="00292B70"/>
    <w:rsid w:val="002A1F68"/>
    <w:rsid w:val="002B4DBE"/>
    <w:rsid w:val="002C4F75"/>
    <w:rsid w:val="002D4B0A"/>
    <w:rsid w:val="002E0D3C"/>
    <w:rsid w:val="002F6636"/>
    <w:rsid w:val="00313945"/>
    <w:rsid w:val="003237EE"/>
    <w:rsid w:val="00327B2E"/>
    <w:rsid w:val="00347E30"/>
    <w:rsid w:val="00374DAB"/>
    <w:rsid w:val="0038291A"/>
    <w:rsid w:val="003D5231"/>
    <w:rsid w:val="00405522"/>
    <w:rsid w:val="004055CA"/>
    <w:rsid w:val="004222F8"/>
    <w:rsid w:val="00422C1B"/>
    <w:rsid w:val="00436F5E"/>
    <w:rsid w:val="004522FF"/>
    <w:rsid w:val="004554B1"/>
    <w:rsid w:val="00456E2F"/>
    <w:rsid w:val="0047331D"/>
    <w:rsid w:val="00482DDE"/>
    <w:rsid w:val="004A44DD"/>
    <w:rsid w:val="004B1E14"/>
    <w:rsid w:val="004B587E"/>
    <w:rsid w:val="004B7A8F"/>
    <w:rsid w:val="004C2ADD"/>
    <w:rsid w:val="004D6CA9"/>
    <w:rsid w:val="004F4E1D"/>
    <w:rsid w:val="005046F0"/>
    <w:rsid w:val="00520737"/>
    <w:rsid w:val="005353B7"/>
    <w:rsid w:val="00541024"/>
    <w:rsid w:val="00541A27"/>
    <w:rsid w:val="005A64C5"/>
    <w:rsid w:val="005F2061"/>
    <w:rsid w:val="005F27BC"/>
    <w:rsid w:val="006010CA"/>
    <w:rsid w:val="00607351"/>
    <w:rsid w:val="006228E1"/>
    <w:rsid w:val="00651DBA"/>
    <w:rsid w:val="00657424"/>
    <w:rsid w:val="006A7EFA"/>
    <w:rsid w:val="006B6845"/>
    <w:rsid w:val="006C0DE9"/>
    <w:rsid w:val="006C3614"/>
    <w:rsid w:val="006D2637"/>
    <w:rsid w:val="00701045"/>
    <w:rsid w:val="00711BC5"/>
    <w:rsid w:val="0072204D"/>
    <w:rsid w:val="007250A3"/>
    <w:rsid w:val="00736F1D"/>
    <w:rsid w:val="007525B0"/>
    <w:rsid w:val="007526C6"/>
    <w:rsid w:val="00764784"/>
    <w:rsid w:val="00772457"/>
    <w:rsid w:val="00784137"/>
    <w:rsid w:val="007A4694"/>
    <w:rsid w:val="007D295D"/>
    <w:rsid w:val="007F4C49"/>
    <w:rsid w:val="00806712"/>
    <w:rsid w:val="008334A1"/>
    <w:rsid w:val="00856909"/>
    <w:rsid w:val="0087234E"/>
    <w:rsid w:val="008B7F2C"/>
    <w:rsid w:val="008C6A6B"/>
    <w:rsid w:val="008C78B4"/>
    <w:rsid w:val="008F10A2"/>
    <w:rsid w:val="008F604E"/>
    <w:rsid w:val="00932D71"/>
    <w:rsid w:val="00945CD6"/>
    <w:rsid w:val="00957AE3"/>
    <w:rsid w:val="009648CE"/>
    <w:rsid w:val="00984BBF"/>
    <w:rsid w:val="00984CA2"/>
    <w:rsid w:val="009A01EE"/>
    <w:rsid w:val="009B1638"/>
    <w:rsid w:val="009D47D2"/>
    <w:rsid w:val="009E28C8"/>
    <w:rsid w:val="00A00C60"/>
    <w:rsid w:val="00A13DE8"/>
    <w:rsid w:val="00A35B0D"/>
    <w:rsid w:val="00A35E23"/>
    <w:rsid w:val="00A412C5"/>
    <w:rsid w:val="00A44209"/>
    <w:rsid w:val="00AA29C0"/>
    <w:rsid w:val="00B001C1"/>
    <w:rsid w:val="00B14396"/>
    <w:rsid w:val="00B30F10"/>
    <w:rsid w:val="00B5734D"/>
    <w:rsid w:val="00B66874"/>
    <w:rsid w:val="00B73ACF"/>
    <w:rsid w:val="00B84547"/>
    <w:rsid w:val="00B91D97"/>
    <w:rsid w:val="00BA28DD"/>
    <w:rsid w:val="00BB13A6"/>
    <w:rsid w:val="00BD4CFB"/>
    <w:rsid w:val="00BD5605"/>
    <w:rsid w:val="00BE7952"/>
    <w:rsid w:val="00C12B95"/>
    <w:rsid w:val="00C1674B"/>
    <w:rsid w:val="00C508D5"/>
    <w:rsid w:val="00C56EA9"/>
    <w:rsid w:val="00C957D1"/>
    <w:rsid w:val="00CB2ED6"/>
    <w:rsid w:val="00CC2CD1"/>
    <w:rsid w:val="00CE6EFF"/>
    <w:rsid w:val="00D012A6"/>
    <w:rsid w:val="00D06D5F"/>
    <w:rsid w:val="00D12D08"/>
    <w:rsid w:val="00D15D24"/>
    <w:rsid w:val="00D44EA5"/>
    <w:rsid w:val="00D519D9"/>
    <w:rsid w:val="00D82732"/>
    <w:rsid w:val="00D90EF6"/>
    <w:rsid w:val="00DF0935"/>
    <w:rsid w:val="00E00860"/>
    <w:rsid w:val="00E05A0A"/>
    <w:rsid w:val="00E11322"/>
    <w:rsid w:val="00E215D7"/>
    <w:rsid w:val="00E41D46"/>
    <w:rsid w:val="00E72E9A"/>
    <w:rsid w:val="00E86DB9"/>
    <w:rsid w:val="00EA12DE"/>
    <w:rsid w:val="00EB5B54"/>
    <w:rsid w:val="00EC329F"/>
    <w:rsid w:val="00ED1388"/>
    <w:rsid w:val="00ED514D"/>
    <w:rsid w:val="00F032DC"/>
    <w:rsid w:val="00F64EBF"/>
    <w:rsid w:val="00F66801"/>
    <w:rsid w:val="00F73374"/>
    <w:rsid w:val="00F75C73"/>
    <w:rsid w:val="00FA05FE"/>
    <w:rsid w:val="00FC04C5"/>
    <w:rsid w:val="00FD1B70"/>
    <w:rsid w:val="00FD7600"/>
    <w:rsid w:val="00FE33BA"/>
    <w:rsid w:val="00FF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BAED8"/>
  <w15:chartTrackingRefBased/>
  <w15:docId w15:val="{AF39C8BE-CD24-4D88-AE1C-CDA4CB7A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C4F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984CA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92B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92B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2B70"/>
  </w:style>
  <w:style w:type="paragraph" w:styleId="BalloonText">
    <w:name w:val="Balloon Text"/>
    <w:basedOn w:val="Normal"/>
    <w:link w:val="BalloonTextChar"/>
    <w:rsid w:val="004D6C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D6C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1B70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styleId="Hyperlink">
    <w:name w:val="Hyperlink"/>
    <w:rsid w:val="00EC329F"/>
    <w:rPr>
      <w:color w:val="0000FF"/>
      <w:u w:val="single"/>
    </w:rPr>
  </w:style>
  <w:style w:type="character" w:styleId="CommentReference">
    <w:name w:val="annotation reference"/>
    <w:rsid w:val="005A64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64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A64C5"/>
  </w:style>
  <w:style w:type="paragraph" w:styleId="CommentSubject">
    <w:name w:val="annotation subject"/>
    <w:basedOn w:val="CommentText"/>
    <w:next w:val="CommentText"/>
    <w:link w:val="CommentSubjectChar"/>
    <w:rsid w:val="005A64C5"/>
    <w:rPr>
      <w:b/>
      <w:bCs/>
    </w:rPr>
  </w:style>
  <w:style w:type="character" w:customStyle="1" w:styleId="CommentSubjectChar">
    <w:name w:val="Comment Subject Char"/>
    <w:link w:val="CommentSubject"/>
    <w:rsid w:val="005A64C5"/>
    <w:rPr>
      <w:b/>
      <w:bCs/>
    </w:rPr>
  </w:style>
  <w:style w:type="paragraph" w:customStyle="1" w:styleId="ReportCover-Title">
    <w:name w:val="ReportCover-Title"/>
    <w:basedOn w:val="Normal"/>
    <w:rsid w:val="002C4F75"/>
    <w:pPr>
      <w:spacing w:line="420" w:lineRule="exact"/>
    </w:pPr>
    <w:rPr>
      <w:rFonts w:ascii="Franklin Gothic Medium" w:hAnsi="Franklin Gothic Medium"/>
      <w:b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2C4F75"/>
    <w:pPr>
      <w:spacing w:after="840" w:line="260" w:lineRule="exact"/>
    </w:pPr>
    <w:rPr>
      <w:rFonts w:ascii="Franklin Gothic Medium" w:hAnsi="Franklin Gothic Medium"/>
      <w:b/>
      <w:color w:val="003C79"/>
      <w:szCs w:val="20"/>
    </w:rPr>
  </w:style>
  <w:style w:type="paragraph" w:customStyle="1" w:styleId="ReportCover-Prepared">
    <w:name w:val="ReportCover-Prepared"/>
    <w:basedOn w:val="Normal"/>
    <w:rsid w:val="002C4F75"/>
    <w:pPr>
      <w:spacing w:line="260" w:lineRule="exact"/>
    </w:pPr>
    <w:rPr>
      <w:rFonts w:ascii="Franklin Gothic Medium" w:hAnsi="Franklin Gothic Medium"/>
      <w:color w:val="003C79"/>
      <w:sz w:val="20"/>
      <w:szCs w:val="20"/>
    </w:rPr>
  </w:style>
  <w:style w:type="character" w:customStyle="1" w:styleId="FooterChar">
    <w:name w:val="Footer Char"/>
    <w:link w:val="Footer"/>
    <w:uiPriority w:val="99"/>
    <w:rsid w:val="002C4F75"/>
    <w:rPr>
      <w:sz w:val="24"/>
      <w:szCs w:val="24"/>
    </w:rPr>
  </w:style>
  <w:style w:type="character" w:customStyle="1" w:styleId="Heading1Char">
    <w:name w:val="Heading 1 Char"/>
    <w:link w:val="Heading1"/>
    <w:rsid w:val="002C4F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8F10A2"/>
    <w:rPr>
      <w:rFonts w:cs="Times New Roman"/>
      <w:i/>
      <w:iCs/>
    </w:rPr>
  </w:style>
  <w:style w:type="paragraph" w:customStyle="1" w:styleId="NormalSS12">
    <w:name w:val="NormalSS 12"/>
    <w:basedOn w:val="Normal"/>
    <w:rsid w:val="008F10A2"/>
    <w:pPr>
      <w:tabs>
        <w:tab w:val="left" w:pos="432"/>
      </w:tabs>
      <w:spacing w:after="240"/>
      <w:ind w:firstLine="432"/>
      <w:jc w:val="both"/>
    </w:pPr>
    <w:rPr>
      <w:rFonts w:ascii="Garamond" w:eastAsia="Calibri" w:hAnsi="Garamond"/>
    </w:rPr>
  </w:style>
  <w:style w:type="character" w:customStyle="1" w:styleId="Heading4Char">
    <w:name w:val="Heading 4 Char"/>
    <w:link w:val="Heading4"/>
    <w:rsid w:val="00984C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erChar">
    <w:name w:val="Header Char"/>
    <w:link w:val="Header"/>
    <w:uiPriority w:val="99"/>
    <w:rsid w:val="00A35B0D"/>
    <w:rPr>
      <w:sz w:val="24"/>
      <w:szCs w:val="24"/>
    </w:rPr>
  </w:style>
  <w:style w:type="paragraph" w:customStyle="1" w:styleId="MediumGrid21">
    <w:name w:val="Medium Grid 21"/>
    <w:uiPriority w:val="1"/>
    <w:qFormat/>
    <w:rsid w:val="00A35B0D"/>
    <w:pPr>
      <w:widowControl w:val="0"/>
    </w:pPr>
    <w:rPr>
      <w:rFonts w:ascii="Courier New" w:hAnsi="Courier New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436F5E"/>
    <w:pPr>
      <w:spacing w:before="100" w:beforeAutospacing="1" w:after="100" w:afterAutospacing="1"/>
    </w:pPr>
  </w:style>
  <w:style w:type="paragraph" w:customStyle="1" w:styleId="NormalSS">
    <w:name w:val="NormalSS"/>
    <w:basedOn w:val="Normal"/>
    <w:link w:val="NormalSSChar"/>
    <w:qFormat/>
    <w:rsid w:val="00D44EA5"/>
    <w:pPr>
      <w:spacing w:after="240"/>
    </w:pPr>
    <w:rPr>
      <w:szCs w:val="20"/>
    </w:rPr>
  </w:style>
  <w:style w:type="character" w:customStyle="1" w:styleId="NormalSSChar">
    <w:name w:val="NormalSS Char"/>
    <w:link w:val="NormalSS"/>
    <w:rsid w:val="00D44EA5"/>
    <w:rPr>
      <w:sz w:val="24"/>
    </w:rPr>
  </w:style>
  <w:style w:type="paragraph" w:styleId="FootnoteText">
    <w:name w:val="footnote text"/>
    <w:basedOn w:val="Normal"/>
    <w:link w:val="FootnoteTextChar"/>
    <w:rsid w:val="00CB2ED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2ED6"/>
  </w:style>
  <w:style w:type="character" w:styleId="FootnoteReference">
    <w:name w:val="footnote reference"/>
    <w:rsid w:val="00CB2ED6"/>
    <w:rPr>
      <w:vertAlign w:val="superscript"/>
    </w:rPr>
  </w:style>
  <w:style w:type="character" w:customStyle="1" w:styleId="ColorfulList-Accent1Char">
    <w:name w:val="Colorful List - Accent 1 Char"/>
    <w:link w:val="ColorfulList-Accent11"/>
    <w:uiPriority w:val="34"/>
    <w:locked/>
    <w:rsid w:val="00984BBF"/>
  </w:style>
  <w:style w:type="paragraph" w:customStyle="1" w:styleId="ColorfulList-Accent11">
    <w:name w:val="Colorful List - Accent 11"/>
    <w:basedOn w:val="Normal"/>
    <w:link w:val="ColorfulList-Accent1Char"/>
    <w:uiPriority w:val="34"/>
    <w:qFormat/>
    <w:rsid w:val="00984BBF"/>
    <w:pPr>
      <w:ind w:left="72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2E0D3C"/>
    <w:pPr>
      <w:spacing w:after="160" w:line="259" w:lineRule="auto"/>
      <w:ind w:left="720"/>
      <w:contextualSpacing/>
    </w:pPr>
    <w:rPr>
      <w:rFonts w:ascii="Arial" w:eastAsia="Arial" w:hAnsi="Arial"/>
      <w:sz w:val="22"/>
      <w:szCs w:val="22"/>
    </w:rPr>
  </w:style>
  <w:style w:type="character" w:customStyle="1" w:styleId="nospacingChar">
    <w:name w:val="no spacing Char"/>
    <w:basedOn w:val="DefaultParagraphFont"/>
    <w:link w:val="NoSpacing2"/>
    <w:locked/>
    <w:rsid w:val="00034668"/>
  </w:style>
  <w:style w:type="paragraph" w:customStyle="1" w:styleId="NoSpacing2">
    <w:name w:val="No Spacing2"/>
    <w:basedOn w:val="Normal"/>
    <w:link w:val="nospacingChar"/>
    <w:qFormat/>
    <w:rsid w:val="00034668"/>
    <w:pPr>
      <w:spacing w:after="120" w:line="240" w:lineRule="exac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6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ls.gov/oes/current/oes11101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76E92-0393-4EAA-8284-553B8C4EC71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FB5E93C-94E2-4BB4-BDB4-549D9A88CF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FB3FE5-CB5D-4F54-ABEF-3D690BD945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185526-639B-48BF-AFBE-09FD2D8C4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1421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OPRE OMB Clearance Manual</vt:lpstr>
    </vt:vector>
  </TitlesOfParts>
  <Company>DHHS</Company>
  <LinksUpToDate>false</LinksUpToDate>
  <CharactersWithSpaces>9839</CharactersWithSpaces>
  <SharedDoc>false</SharedDoc>
  <HLinks>
    <vt:vector size="6" baseType="variant">
      <vt:variant>
        <vt:i4>4718616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https://www.bls.gov/oes/current/oes111011.htm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OPRE OMB Clearance Manual</dc:title>
  <dc:subject/>
  <dc:creator>DHHS</dc:creator>
  <cp:keywords/>
  <cp:lastModifiedBy>Wilson, Camille (ACF) (CTR)</cp:lastModifiedBy>
  <cp:revision>3</cp:revision>
  <cp:lastPrinted>2009-01-26T16:35:00Z</cp:lastPrinted>
  <dcterms:created xsi:type="dcterms:W3CDTF">2020-10-07T21:16:00Z</dcterms:created>
  <dcterms:modified xsi:type="dcterms:W3CDTF">2020-10-07T21:16:00Z</dcterms:modified>
</cp:coreProperties>
</file>