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17143CD" w14:textId="77777777">
      <w:pPr>
        <w:jc w:val="center"/>
        <w:rPr>
          <w:rFonts w:ascii="Arial" w:hAnsi="Arial" w:cs="Arial"/>
          <w:b/>
        </w:rPr>
      </w:pPr>
    </w:p>
    <w:p w:rsidRPr="002C4F75" w:rsidR="002C4F75" w:rsidP="002C4F75" w:rsidRDefault="002C4F75" w14:paraId="4142CF16" w14:textId="77777777">
      <w:pPr>
        <w:pStyle w:val="ReportCover-Title"/>
        <w:rPr>
          <w:rFonts w:ascii="Arial" w:hAnsi="Arial" w:cs="Arial"/>
          <w:color w:val="auto"/>
        </w:rPr>
      </w:pPr>
    </w:p>
    <w:p w:rsidRPr="00BF6117" w:rsidR="002C4F75" w:rsidP="00AD470D" w:rsidRDefault="008C32B7" w14:paraId="3B0F6100" w14:textId="7B56C06F">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bookmarkEnd w:id="2"/>
      <w:bookmarkEnd w:id="3"/>
      <w:r w:rsidR="00276ED6">
        <w:rPr>
          <w:rFonts w:ascii="Arial" w:hAnsi="Arial" w:cs="Arial"/>
          <w:i w:val="0"/>
          <w:sz w:val="40"/>
          <w:szCs w:val="40"/>
        </w:rPr>
        <w:t xml:space="preserve">ACF </w:t>
      </w:r>
      <w:r w:rsidR="00622EE4">
        <w:rPr>
          <w:rFonts w:ascii="Arial" w:hAnsi="Arial" w:cs="Arial"/>
          <w:i w:val="0"/>
          <w:sz w:val="40"/>
          <w:szCs w:val="40"/>
        </w:rPr>
        <w:t>Program Support</w:t>
      </w:r>
    </w:p>
    <w:p w:rsidRPr="00BF6117" w:rsidR="002C4F75" w:rsidP="002C4F75" w:rsidRDefault="002C4F75" w14:paraId="580906F4" w14:textId="77777777">
      <w:pPr>
        <w:pStyle w:val="ReportCover-Title"/>
        <w:rPr>
          <w:rFonts w:ascii="Arial" w:hAnsi="Arial" w:cs="Arial"/>
          <w:color w:val="auto"/>
        </w:rPr>
      </w:pPr>
    </w:p>
    <w:p w:rsidRPr="00BF6117" w:rsidR="002C4F75" w:rsidP="002C4F75" w:rsidRDefault="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15ED85DD"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D12FAF">
        <w:rPr>
          <w:rFonts w:ascii="Arial" w:hAnsi="Arial" w:cs="Arial"/>
          <w:color w:val="auto"/>
          <w:sz w:val="32"/>
          <w:szCs w:val="32"/>
        </w:rPr>
        <w:t>NEW</w:t>
      </w:r>
    </w:p>
    <w:p w:rsidRPr="00BF6117" w:rsidR="002C4F75" w:rsidP="002C4F75" w:rsidRDefault="002C4F75" w14:paraId="54353AE3" w14:textId="77777777">
      <w:pPr>
        <w:rPr>
          <w:rFonts w:ascii="Arial" w:hAnsi="Arial" w:cs="Arial"/>
          <w:szCs w:val="22"/>
        </w:rPr>
      </w:pPr>
    </w:p>
    <w:p w:rsidRPr="00BF6117" w:rsidR="002C4F75" w:rsidP="002C4F75" w:rsidRDefault="002C4F75" w14:paraId="1920FADF" w14:textId="77777777">
      <w:pPr>
        <w:pStyle w:val="ReportCover-Date"/>
        <w:jc w:val="center"/>
        <w:rPr>
          <w:rFonts w:ascii="Arial" w:hAnsi="Arial" w:cs="Arial"/>
          <w:color w:val="auto"/>
        </w:rPr>
      </w:pPr>
    </w:p>
    <w:p w:rsidRPr="00BF6117" w:rsidR="002C4F75" w:rsidP="002C4F75" w:rsidRDefault="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6F1522B2"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Pr="00BF6117" w:rsidR="00E54FC8" w:rsidP="00B45C1A" w:rsidRDefault="009B300A" w14:paraId="18E109B7" w14:textId="19A6F0E2">
      <w:pPr>
        <w:pStyle w:val="ReportCover-Date"/>
        <w:spacing w:after="0"/>
        <w:jc w:val="center"/>
        <w:rPr>
          <w:rFonts w:ascii="Arial" w:hAnsi="Arial" w:cs="Arial"/>
          <w:color w:val="auto"/>
        </w:rPr>
      </w:pPr>
      <w:r>
        <w:rPr>
          <w:rFonts w:ascii="Arial" w:hAnsi="Arial"/>
          <w:color w:val="auto"/>
        </w:rPr>
        <w:t>June 2019</w:t>
      </w:r>
    </w:p>
    <w:p w:rsidRPr="00BF6117" w:rsidR="004A4D06" w:rsidP="004A4D06" w:rsidRDefault="004A4D06" w14:paraId="7CAE2A05" w14:textId="77777777">
      <w:pPr>
        <w:pStyle w:val="ReportCover-Date"/>
        <w:spacing w:after="0"/>
        <w:jc w:val="center"/>
        <w:rPr>
          <w:rFonts w:ascii="Arial" w:hAnsi="Arial" w:cs="Arial"/>
          <w:color w:val="auto"/>
        </w:rPr>
      </w:pPr>
      <w:r>
        <w:rPr>
          <w:rFonts w:ascii="Arial" w:hAnsi="Arial" w:cs="Arial"/>
          <w:color w:val="auto"/>
        </w:rPr>
        <w:t>Updated October 2020</w:t>
      </w:r>
    </w:p>
    <w:p w:rsidRPr="00BF6117" w:rsidR="00B45C1A" w:rsidP="00B45C1A" w:rsidRDefault="00B45C1A" w14:paraId="0C3E7F7C" w14:textId="77777777">
      <w:pPr>
        <w:pStyle w:val="ReportCover-Date"/>
        <w:spacing w:after="0"/>
        <w:jc w:val="center"/>
        <w:rPr>
          <w:rFonts w:ascii="Arial" w:hAnsi="Arial" w:cs="Arial"/>
          <w:color w:val="auto"/>
        </w:rPr>
      </w:pPr>
    </w:p>
    <w:p w:rsidRPr="00BF6117" w:rsidR="00B45C1A" w:rsidP="00B45C1A" w:rsidRDefault="00B45C1A" w14:paraId="54AD6EE5" w14:textId="77777777">
      <w:pPr>
        <w:pStyle w:val="ReportCover-Date"/>
        <w:spacing w:after="0"/>
        <w:jc w:val="center"/>
        <w:rPr>
          <w:rFonts w:ascii="Arial" w:hAnsi="Arial" w:cs="Arial"/>
          <w:color w:val="auto"/>
        </w:rPr>
      </w:pPr>
    </w:p>
    <w:p w:rsidRPr="00BF6117" w:rsidR="00B45C1A" w:rsidP="00B45C1A" w:rsidRDefault="00B45C1A" w14:paraId="1C841F89" w14:textId="77777777">
      <w:pPr>
        <w:pStyle w:val="ReportCover-Date"/>
        <w:spacing w:after="0"/>
        <w:jc w:val="center"/>
        <w:rPr>
          <w:rFonts w:ascii="Arial" w:hAnsi="Arial" w:cs="Arial"/>
          <w:color w:val="auto"/>
        </w:rPr>
      </w:pPr>
    </w:p>
    <w:p w:rsidRPr="00BF6117" w:rsidR="00B45C1A" w:rsidP="00B45C1A" w:rsidRDefault="00B45C1A" w14:paraId="13BA842B" w14:textId="77777777">
      <w:pPr>
        <w:pStyle w:val="ReportCover-Date"/>
        <w:spacing w:after="0"/>
        <w:jc w:val="center"/>
        <w:rPr>
          <w:rFonts w:ascii="Arial" w:hAnsi="Arial" w:cs="Arial"/>
          <w:color w:val="auto"/>
        </w:rPr>
      </w:pPr>
    </w:p>
    <w:p w:rsidRPr="00BF6117" w:rsidR="00B45C1A" w:rsidP="00B45C1A" w:rsidRDefault="00B45C1A" w14:paraId="756D1E57" w14:textId="77777777">
      <w:pPr>
        <w:pStyle w:val="ReportCover-Date"/>
        <w:spacing w:after="0"/>
        <w:jc w:val="center"/>
        <w:rPr>
          <w:rFonts w:ascii="Arial" w:hAnsi="Arial" w:cs="Arial"/>
          <w:color w:val="auto"/>
        </w:rPr>
      </w:pPr>
    </w:p>
    <w:p w:rsidRPr="00BF6117" w:rsidR="00B45C1A" w:rsidP="00B45C1A" w:rsidRDefault="00B45C1A" w14:paraId="7631DCB3" w14:textId="77777777">
      <w:pPr>
        <w:pStyle w:val="ReportCover-Date"/>
        <w:spacing w:after="0"/>
        <w:jc w:val="center"/>
        <w:rPr>
          <w:rFonts w:ascii="Arial" w:hAnsi="Arial" w:cs="Arial"/>
          <w:color w:val="auto"/>
        </w:rPr>
      </w:pPr>
    </w:p>
    <w:p w:rsidRPr="00BF6117" w:rsidR="00B45C1A" w:rsidP="00B45C1A" w:rsidRDefault="00B45C1A" w14:paraId="71ECAAD9" w14:textId="77777777">
      <w:pPr>
        <w:pStyle w:val="ReportCover-Date"/>
        <w:spacing w:after="0"/>
        <w:jc w:val="center"/>
        <w:rPr>
          <w:rFonts w:ascii="Arial" w:hAnsi="Arial" w:cs="Arial"/>
          <w:color w:val="auto"/>
        </w:rPr>
      </w:pPr>
    </w:p>
    <w:p w:rsidRPr="00BF6117" w:rsidR="00B45C1A" w:rsidP="00B45C1A" w:rsidRDefault="00B45C1A" w14:paraId="1F632F5C" w14:textId="77777777">
      <w:pPr>
        <w:pStyle w:val="ReportCover-Date"/>
        <w:spacing w:after="0"/>
        <w:jc w:val="center"/>
        <w:rPr>
          <w:rFonts w:ascii="Arial" w:hAnsi="Arial" w:cs="Arial"/>
          <w:color w:val="auto"/>
        </w:rPr>
      </w:pPr>
    </w:p>
    <w:p w:rsidRPr="00BF6117" w:rsidR="00B45C1A" w:rsidP="00B45C1A" w:rsidRDefault="00B45C1A" w14:paraId="3B1C9EE2" w14:textId="77777777">
      <w:pPr>
        <w:pStyle w:val="ReportCover-Date"/>
        <w:spacing w:after="0"/>
        <w:jc w:val="center"/>
        <w:rPr>
          <w:rFonts w:ascii="Arial" w:hAnsi="Arial" w:cs="Arial"/>
          <w:color w:val="auto"/>
        </w:rPr>
      </w:pPr>
    </w:p>
    <w:p w:rsidRPr="00BF6117" w:rsidR="002C4F75" w:rsidP="002C4F75" w:rsidRDefault="002C4F75" w14:paraId="5408225C" w14:textId="77777777">
      <w:pPr>
        <w:jc w:val="center"/>
        <w:rPr>
          <w:rFonts w:ascii="Arial" w:hAnsi="Arial" w:cs="Arial"/>
        </w:rPr>
      </w:pPr>
      <w:r w:rsidRPr="00BF6117">
        <w:rPr>
          <w:rFonts w:ascii="Arial" w:hAnsi="Arial" w:cs="Arial"/>
        </w:rPr>
        <w:t>Submitted By:</w:t>
      </w:r>
    </w:p>
    <w:p w:rsidRPr="00BF6117" w:rsidR="002C4F75" w:rsidP="002C4F75" w:rsidRDefault="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445863A5"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DF39546"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593C1499" w14:textId="77777777">
      <w:pPr>
        <w:jc w:val="center"/>
        <w:rPr>
          <w:rFonts w:ascii="Arial" w:hAnsi="Arial" w:cs="Arial"/>
        </w:rPr>
      </w:pPr>
      <w:r w:rsidRPr="00BF6117">
        <w:rPr>
          <w:rFonts w:ascii="Arial" w:hAnsi="Arial" w:cs="Arial"/>
        </w:rPr>
        <w:t>Washington, DC 20201</w:t>
      </w:r>
    </w:p>
    <w:p w:rsidRPr="00BF6117" w:rsidR="00A56DC8" w:rsidP="002C4F75" w:rsidRDefault="00374DAB" w14:paraId="70EF0DE4" w14:textId="77777777">
      <w:pPr>
        <w:rPr>
          <w:b/>
        </w:rPr>
      </w:pPr>
      <w:r w:rsidRPr="00BF6117">
        <w:rPr>
          <w:b/>
        </w:rPr>
        <w:br w:type="page"/>
      </w:r>
    </w:p>
    <w:p w:rsidRPr="00371059" w:rsidR="004A4D06" w:rsidP="004A4D06" w:rsidRDefault="004A4D06" w14:paraId="0F39835F" w14:textId="6C437F8C">
      <w:r w:rsidRPr="004A4D06">
        <w:rPr>
          <w:b/>
        </w:rPr>
        <w:lastRenderedPageBreak/>
        <w:t>Overview of change request:</w:t>
      </w:r>
      <w:r>
        <w:t xml:space="preserve"> </w:t>
      </w:r>
      <w:r w:rsidRPr="00371059">
        <w:t xml:space="preserve">The Formative Data Collections for ACF Program Support generic was created to allow </w:t>
      </w:r>
      <w:r>
        <w:t>Administration for Children and Families (</w:t>
      </w:r>
      <w:r w:rsidRPr="00371059">
        <w:t>ACF</w:t>
      </w:r>
      <w:r>
        <w:t>)</w:t>
      </w:r>
      <w:r w:rsidRPr="00371059">
        <w:t xml:space="preserve"> program offices to learn more about funded program services, including program or grantee processes and needs in an effort to improve ACF decision-making and program support. The generic was approved as a new overarching generic in July 2019. Since this was a new request, burden estimates were a best guess at the time. Since approval, ACF program offices have found the generic to be very useful and there has been a higher than estimated demand to submit generic information collection requests. Some of this high demand is 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 </w:t>
      </w:r>
    </w:p>
    <w:p w:rsidRPr="00371059" w:rsidR="004A4D06" w:rsidP="004A4D06" w:rsidRDefault="004A4D06" w14:paraId="2C71960D" w14:textId="77777777"/>
    <w:p w:rsidRPr="00371059" w:rsidR="004A4D06" w:rsidP="004A4D06" w:rsidRDefault="004A4D06" w14:paraId="1C962F97" w14:textId="19F9C9A3">
      <w:r w:rsidRPr="00371059">
        <w:t xml:space="preserve">Due to the success of this generic mechanism, </w:t>
      </w:r>
      <w:r w:rsidR="00C81D01">
        <w:t>ACF has</w:t>
      </w:r>
      <w:r w:rsidRPr="00371059">
        <w:t xml:space="preserve"> begun the process to revise the package to request an increase the estimated number of respondents through the current expiration date (7/31/2022). The 60-day comment period related to this revision request </w:t>
      </w:r>
      <w:r>
        <w:t>began</w:t>
      </w:r>
      <w:r w:rsidRPr="00371059">
        <w:t xml:space="preserve"> on October 13, 2020 (85 FR 64480) and we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t xml:space="preserve">we </w:t>
      </w:r>
      <w:r w:rsidRPr="00371059">
        <w:t>intend to</w:t>
      </w:r>
      <w:r>
        <w:t xml:space="preserve"> </w:t>
      </w:r>
      <w:r w:rsidRPr="00371059">
        <w:t xml:space="preserve">submit within the next couple months. For that reason, we are currently requesting a </w:t>
      </w:r>
      <w:proofErr w:type="spellStart"/>
      <w:r w:rsidRPr="00371059">
        <w:t>nonsubstantive</w:t>
      </w:r>
      <w:proofErr w:type="spellEnd"/>
      <w:r w:rsidRPr="00371059">
        <w:t xml:space="preserve"> change for a minor burden increase.</w:t>
      </w:r>
    </w:p>
    <w:p w:rsidRPr="00371059" w:rsidR="004A4D06" w:rsidP="004A4D06" w:rsidRDefault="004A4D06" w14:paraId="48AC768B" w14:textId="77777777"/>
    <w:p w:rsidRPr="00F97C94" w:rsidR="00945CD6" w:rsidP="00E06440" w:rsidRDefault="00292B70" w14:paraId="1DF4DBA4" w14:textId="614B14A0">
      <w:pPr>
        <w:spacing w:after="120"/>
        <w:rPr>
          <w:b/>
        </w:rPr>
      </w:pPr>
      <w:r w:rsidRPr="00F97C94">
        <w:rPr>
          <w:b/>
        </w:rPr>
        <w:t xml:space="preserve">A1. </w:t>
      </w:r>
      <w:r w:rsidRPr="00F97C94" w:rsidR="00945CD6">
        <w:rPr>
          <w:b/>
        </w:rPr>
        <w:t>Necessity for the Data Collection</w:t>
      </w:r>
    </w:p>
    <w:p w:rsidRPr="001238AE" w:rsidR="001C4644" w:rsidP="00266F3C" w:rsidRDefault="008C32B7" w14:paraId="559AE723" w14:textId="77777777">
      <w:r w:rsidRPr="00F97C94">
        <w:t xml:space="preserve">The Administration for Children and Families (ACF), U.S. Department of Health and Human Services (HHS), </w:t>
      </w:r>
      <w:r w:rsidR="00622EE4">
        <w:t xml:space="preserve">requests </w:t>
      </w:r>
      <w:r w:rsidRPr="001238AE" w:rsidR="00622EE4">
        <w:t xml:space="preserve">approval </w:t>
      </w:r>
      <w:r w:rsidRPr="001238AE" w:rsidR="008820E1">
        <w:t xml:space="preserve">of </w:t>
      </w:r>
      <w:r w:rsidRPr="001238AE">
        <w:t xml:space="preserve">this </w:t>
      </w:r>
      <w:r w:rsidRPr="001238AE" w:rsidR="00622EE4">
        <w:t xml:space="preserve">overarching </w:t>
      </w:r>
      <w:r w:rsidRPr="001238AE">
        <w:t xml:space="preserve">generic clearance to allow </w:t>
      </w:r>
      <w:r w:rsidRPr="001238AE" w:rsidR="004F1C27">
        <w:t xml:space="preserve">ACF </w:t>
      </w:r>
      <w:r w:rsidRPr="001238AE">
        <w:t xml:space="preserve">to conduct a variety of formative data collections. </w:t>
      </w:r>
    </w:p>
    <w:p w:rsidRPr="001238AE" w:rsidR="001C4644" w:rsidP="008C32B7" w:rsidRDefault="001C4644" w14:paraId="32A20B46" w14:textId="77777777"/>
    <w:p w:rsidRPr="001238AE" w:rsidR="001C4644" w:rsidP="008C32B7" w:rsidRDefault="001C4644" w14:paraId="0D9742F1" w14:textId="222ACD1B">
      <w:r w:rsidRPr="001238AE">
        <w:t>ACF programs p</w:t>
      </w:r>
      <w:r w:rsidRPr="001238AE">
        <w:rPr>
          <w:color w:val="19150F"/>
          <w:shd w:val="clear" w:color="auto" w:fill="FFFFFF"/>
        </w:rPr>
        <w:t xml:space="preserve">romote the economic and social well-being of families, children, individuals and communities. </w:t>
      </w:r>
      <w:r w:rsidRPr="001238AE" w:rsidR="00E46F1D">
        <w:t>M</w:t>
      </w:r>
      <w:r w:rsidRPr="001238AE">
        <w:t xml:space="preserve">any </w:t>
      </w:r>
      <w:r w:rsidRPr="001238AE" w:rsidR="00E46F1D">
        <w:t xml:space="preserve">ACF program offices </w:t>
      </w:r>
      <w:r w:rsidRPr="001238AE">
        <w:t xml:space="preserve">need </w:t>
      </w:r>
      <w:r w:rsidRPr="001238AE" w:rsidR="00394A88">
        <w:t>to learn more about</w:t>
      </w:r>
      <w:r w:rsidRPr="001238AE" w:rsidR="00E46F1D">
        <w:t xml:space="preserve"> funded </w:t>
      </w:r>
      <w:r w:rsidRPr="001238AE" w:rsidR="00394A88">
        <w:t xml:space="preserve">program </w:t>
      </w:r>
      <w:r w:rsidRPr="001238AE" w:rsidR="00E46F1D">
        <w:t xml:space="preserve">services </w:t>
      </w:r>
      <w:r w:rsidR="005511A7">
        <w:t xml:space="preserve">so that an </w:t>
      </w:r>
      <w:r w:rsidRPr="001238AE" w:rsidR="00FB397A">
        <w:t xml:space="preserve">understanding of </w:t>
      </w:r>
      <w:r w:rsidRPr="001238AE" w:rsidR="00933645">
        <w:t xml:space="preserve">program or grantee </w:t>
      </w:r>
      <w:r w:rsidRPr="001238AE" w:rsidR="00FB397A">
        <w:t xml:space="preserve">processes and potential for </w:t>
      </w:r>
      <w:r w:rsidRPr="001238AE" w:rsidR="00BE5DD2">
        <w:t>improvements can</w:t>
      </w:r>
      <w:r w:rsidR="005511A7">
        <w:t xml:space="preserve"> inform ACF decision-making</w:t>
      </w:r>
      <w:r w:rsidRPr="001238AE" w:rsidR="00394A88">
        <w:t xml:space="preserve"> and </w:t>
      </w:r>
      <w:r w:rsidRPr="001238AE" w:rsidR="0010736A">
        <w:t xml:space="preserve">program </w:t>
      </w:r>
      <w:r w:rsidRPr="001238AE" w:rsidR="00924B85">
        <w:t>support</w:t>
      </w:r>
      <w:r w:rsidRPr="001238AE" w:rsidR="00E46F1D">
        <w:t>.</w:t>
      </w:r>
    </w:p>
    <w:p w:rsidRPr="00B00CD7" w:rsidR="001C4644" w:rsidP="008C32B7" w:rsidRDefault="001C4644" w14:paraId="7EEFC81A" w14:textId="77777777">
      <w:pPr>
        <w:rPr>
          <w:rFonts w:ascii="TimesNewRoman" w:hAnsi="TimesNewRoman" w:cs="TimesNewRoman"/>
        </w:rPr>
      </w:pPr>
    </w:p>
    <w:p w:rsidRPr="003C7898" w:rsidR="002F0095" w:rsidP="003C7898" w:rsidRDefault="002F0095" w14:paraId="4FDC8242" w14:textId="77777777">
      <w:pPr>
        <w:spacing w:after="120"/>
      </w:pPr>
      <w:r w:rsidRPr="00B00CD7">
        <w:t xml:space="preserve">Under this generic clearance, ACF would engage in a variety of formative data collections with </w:t>
      </w:r>
      <w:r w:rsidRPr="00B00CD7" w:rsidR="008820E1">
        <w:t xml:space="preserve">respondents such as: </w:t>
      </w:r>
      <w:r w:rsidRPr="00B00CD7" w:rsidR="003C7898">
        <w:t>current or prospective service providers, training or technical assistance (T/TA</w:t>
      </w:r>
      <w:r w:rsidRPr="001238AE" w:rsidR="003C7898">
        <w:t>) providers, grantees, contractors, current and potential participants in ACF programs or similar comparison groups</w:t>
      </w:r>
      <w:r w:rsidRPr="001238AE" w:rsidR="008820E1">
        <w:t>,</w:t>
      </w:r>
      <w:r w:rsidRPr="001238AE" w:rsidR="003C7898">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Pr="001238AE">
        <w:t>. The goals of the generic information collections (</w:t>
      </w:r>
      <w:proofErr w:type="spellStart"/>
      <w:r w:rsidRPr="001238AE">
        <w:t>GenICs</w:t>
      </w:r>
      <w:proofErr w:type="spellEnd"/>
      <w:r w:rsidRPr="001238AE">
        <w:t>) under this approval are to: obtain information about program and grantee processes or needs, and to inform the following example activities, among other activities</w:t>
      </w:r>
      <w:r>
        <w:t xml:space="preserve">: </w:t>
      </w:r>
    </w:p>
    <w:p w:rsidRPr="00892630" w:rsidR="008B247E" w:rsidP="008B247E" w:rsidRDefault="0034036F" w14:paraId="597DFEB5" w14:textId="4A9EE667">
      <w:pPr>
        <w:pStyle w:val="ListParagraph"/>
        <w:numPr>
          <w:ilvl w:val="0"/>
          <w:numId w:val="19"/>
        </w:numPr>
      </w:pPr>
      <w:r>
        <w:lastRenderedPageBreak/>
        <w:t xml:space="preserve">Delivery of targeted assistance </w:t>
      </w:r>
      <w:r w:rsidR="00892630">
        <w:t xml:space="preserve">and workflows </w:t>
      </w:r>
      <w:r>
        <w:t xml:space="preserve">related to program implementation or the </w:t>
      </w:r>
      <w:r w:rsidRPr="00892630" w:rsidR="002F0095">
        <w:t>development or refinement o</w:t>
      </w:r>
      <w:r w:rsidRPr="00892630" w:rsidR="008B247E">
        <w:t>f program and grantee processes</w:t>
      </w:r>
      <w:r w:rsidRPr="00892630" w:rsidR="00892630">
        <w:t xml:space="preserve">, </w:t>
      </w:r>
      <w:r w:rsidRPr="00892630" w:rsidR="00892630">
        <w:rPr>
          <w:color w:val="000000"/>
        </w:rPr>
        <w:t>and the development and refinement of recordkeeping and communication systems</w:t>
      </w:r>
      <w:r w:rsidRPr="00892630" w:rsidR="00BE5DD2">
        <w:t>.</w:t>
      </w:r>
    </w:p>
    <w:p w:rsidRPr="00892630" w:rsidR="00775CFB" w:rsidP="00BE5DD2" w:rsidRDefault="00BE5DD2" w14:paraId="1C167878" w14:textId="3A791BA9">
      <w:pPr>
        <w:pStyle w:val="ListParagraph"/>
        <w:numPr>
          <w:ilvl w:val="1"/>
          <w:numId w:val="19"/>
        </w:numPr>
      </w:pPr>
      <w:r w:rsidRPr="00892630">
        <w:t>E</w:t>
      </w:r>
      <w:r w:rsidRPr="00892630" w:rsidR="00775CFB">
        <w:t xml:space="preserve">xample requests could include information collections from grantee </w:t>
      </w:r>
      <w:r w:rsidRPr="00892630" w:rsidR="008315A1">
        <w:t xml:space="preserve">staff </w:t>
      </w:r>
      <w:r w:rsidRPr="00892630" w:rsidR="00775CFB">
        <w:t xml:space="preserve">or program participants regarding current (or planned) </w:t>
      </w:r>
      <w:r w:rsidRPr="00892630" w:rsidR="008315A1">
        <w:t xml:space="preserve">grantee </w:t>
      </w:r>
      <w:r w:rsidRPr="00892630" w:rsidR="00775CFB">
        <w:t>processes</w:t>
      </w:r>
      <w:r w:rsidRPr="00892630" w:rsidR="008315A1">
        <w:t>,</w:t>
      </w:r>
      <w:r w:rsidRPr="00892630" w:rsidR="00775CFB">
        <w:t xml:space="preserve"> with the goal of improving processes </w:t>
      </w:r>
      <w:r w:rsidRPr="00892630" w:rsidR="00892630">
        <w:rPr>
          <w:color w:val="000000"/>
        </w:rPr>
        <w:t xml:space="preserve">or providing assistance </w:t>
      </w:r>
      <w:r w:rsidRPr="00892630" w:rsidR="00775CFB">
        <w:t>based on feedback from respondents</w:t>
      </w:r>
      <w:r w:rsidRPr="00892630">
        <w:t>.</w:t>
      </w:r>
    </w:p>
    <w:p w:rsidR="002F0095" w:rsidP="002F0095" w:rsidRDefault="0034036F" w14:paraId="34EE7AEA" w14:textId="13EAC8C8">
      <w:pPr>
        <w:pStyle w:val="ListParagraph"/>
        <w:numPr>
          <w:ilvl w:val="0"/>
          <w:numId w:val="19"/>
        </w:numPr>
      </w:pPr>
      <w:r w:rsidRPr="00892630">
        <w:t xml:space="preserve">Planning for provision of </w:t>
      </w:r>
      <w:r w:rsidRPr="00892630" w:rsidR="006907A0">
        <w:t>programmatic</w:t>
      </w:r>
      <w:r w:rsidR="006907A0">
        <w:t xml:space="preserve"> or evaluation-related </w:t>
      </w:r>
      <w:r w:rsidR="002F0095">
        <w:t>training or technical assistance (T/TA)</w:t>
      </w:r>
      <w:r w:rsidR="00BE5DD2">
        <w:t>.</w:t>
      </w:r>
    </w:p>
    <w:p w:rsidR="008B247E" w:rsidP="00082889" w:rsidRDefault="00BE5DD2" w14:paraId="3BEE2D56" w14:textId="3C74F9F4">
      <w:pPr>
        <w:pStyle w:val="ListParagraph"/>
        <w:numPr>
          <w:ilvl w:val="1"/>
          <w:numId w:val="19"/>
        </w:numPr>
      </w:pPr>
      <w:r>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requests to share information about promising strategies or approaches</w:t>
      </w:r>
      <w:r w:rsidR="006907A0">
        <w:t xml:space="preserve">; requests for information from grantees about </w:t>
      </w:r>
      <w:r w:rsidR="008315A1">
        <w:t xml:space="preserve">local </w:t>
      </w:r>
      <w:r w:rsidR="006907A0">
        <w:t>evaluation plans for purposes of providing evaluation technical assistance</w:t>
      </w:r>
      <w:r>
        <w:t>.</w:t>
      </w:r>
      <w:r w:rsidR="007251C9">
        <w:t xml:space="preserve"> </w:t>
      </w:r>
    </w:p>
    <w:p w:rsidR="002F0095" w:rsidP="002F0095" w:rsidRDefault="009D75EA" w14:paraId="498419DE" w14:textId="3E6320F9">
      <w:pPr>
        <w:pStyle w:val="ListParagraph"/>
        <w:numPr>
          <w:ilvl w:val="0"/>
          <w:numId w:val="19"/>
        </w:numPr>
      </w:pPr>
      <w:r>
        <w:t xml:space="preserve">Obtaining </w:t>
      </w:r>
      <w:r w:rsidR="008315A1">
        <w:t xml:space="preserve">grantee or other </w:t>
      </w:r>
      <w:r>
        <w:t>s</w:t>
      </w:r>
      <w:r w:rsidR="007251C9">
        <w:t>takeholder input on the development of program</w:t>
      </w:r>
      <w:r w:rsidR="002F0095">
        <w:t xml:space="preserve"> performance measure</w:t>
      </w:r>
      <w:r w:rsidR="007251C9">
        <w:t>s</w:t>
      </w:r>
      <w:r w:rsidR="00BE5DD2">
        <w:t>.</w:t>
      </w:r>
    </w:p>
    <w:p w:rsidR="00BB2441" w:rsidP="001949AF" w:rsidRDefault="00BE5DD2" w14:paraId="6BE12579" w14:textId="399421A1">
      <w:pPr>
        <w:pStyle w:val="ListParagraph"/>
        <w:numPr>
          <w:ilvl w:val="1"/>
          <w:numId w:val="19"/>
        </w:numPr>
      </w:pPr>
      <w:r>
        <w:t>E</w:t>
      </w:r>
      <w:r w:rsidR="00BB2441">
        <w:t xml:space="preserve">xample requests could include </w:t>
      </w:r>
      <w:r w:rsidR="007251C9">
        <w:t>focus groups or surveys designed to obtain stakeholder input on perceived usefulness of measures, or cognitive testing of measures</w:t>
      </w:r>
      <w:r>
        <w:t>.</w:t>
      </w:r>
    </w:p>
    <w:p w:rsidR="002F0095" w:rsidP="002F0095" w:rsidRDefault="007251C9" w14:paraId="37678C44" w14:textId="266A7088">
      <w:pPr>
        <w:pStyle w:val="ListParagraph"/>
        <w:numPr>
          <w:ilvl w:val="0"/>
          <w:numId w:val="19"/>
        </w:numPr>
      </w:pPr>
      <w:r>
        <w:t>Use of rapid-cycle testing activities to strengthen programs in preparation</w:t>
      </w:r>
      <w:r w:rsidR="00713CF5">
        <w:t xml:space="preserve"> for </w:t>
      </w:r>
      <w:r w:rsidR="005511A7">
        <w:t xml:space="preserve">summative </w:t>
      </w:r>
      <w:r w:rsidR="00713CF5">
        <w:t>evaluation</w:t>
      </w:r>
      <w:r w:rsidR="00BE5DD2">
        <w:t>.</w:t>
      </w:r>
    </w:p>
    <w:p w:rsidR="00BB2441" w:rsidP="001949AF" w:rsidRDefault="00BE5DD2" w14:paraId="1A7CE98B" w14:textId="0847A9E5">
      <w:pPr>
        <w:pStyle w:val="ListParagraph"/>
        <w:numPr>
          <w:ilvl w:val="1"/>
          <w:numId w:val="19"/>
        </w:numPr>
      </w:pPr>
      <w:r>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2"/>
      </w:r>
      <w:r w:rsidR="00D47674">
        <w:t xml:space="preserve">, </w:t>
      </w:r>
      <w:r w:rsidR="009D75EA">
        <w:t>or review of existing program data</w:t>
      </w:r>
      <w:r>
        <w:t>.</w:t>
      </w:r>
      <w:r w:rsidR="00B00CD7">
        <w:rPr>
          <w:rStyle w:val="FootnoteReference"/>
        </w:rPr>
        <w:footnoteReference w:id="3"/>
      </w:r>
    </w:p>
    <w:p w:rsidR="001949AF" w:rsidP="002F0095" w:rsidRDefault="009D75EA" w14:paraId="45182EFF" w14:textId="68D57E77">
      <w:pPr>
        <w:pStyle w:val="ListParagraph"/>
        <w:numPr>
          <w:ilvl w:val="0"/>
          <w:numId w:val="19"/>
        </w:numPr>
      </w:pPr>
      <w:r>
        <w:t>D</w:t>
      </w:r>
      <w:r w:rsidR="002F0095">
        <w:t>evelopment of learning a</w:t>
      </w:r>
      <w:r w:rsidR="00E56359">
        <w:t>gendas and research priorities</w:t>
      </w:r>
      <w:r w:rsidR="00BE5DD2">
        <w:t>.</w:t>
      </w:r>
    </w:p>
    <w:p w:rsidR="002F0095" w:rsidP="001949AF" w:rsidRDefault="00BE5DD2" w14:paraId="4BCFBAA3" w14:textId="6FECEE5A">
      <w:pPr>
        <w:pStyle w:val="ListParagraph"/>
        <w:numPr>
          <w:ilvl w:val="1"/>
          <w:numId w:val="19"/>
        </w:numPr>
      </w:pPr>
      <w:r>
        <w:t>E</w:t>
      </w:r>
      <w:r w:rsidR="001949AF">
        <w:t>xample requests could include</w:t>
      </w:r>
      <w:r w:rsidR="0034036F">
        <w:t xml:space="preserve"> </w:t>
      </w:r>
      <w:r w:rsidR="007251C9">
        <w:t>focus groups or surveys designed to obtain stakeholder input on priorities for future research, evaluation, and improvement activities aimed at informing learning agendas</w:t>
      </w:r>
      <w:r>
        <w:t>.</w:t>
      </w:r>
    </w:p>
    <w:p w:rsidR="00E56359" w:rsidP="00E56359" w:rsidRDefault="00E56359" w14:paraId="7B37DC6C" w14:textId="77777777">
      <w:pPr>
        <w:pStyle w:val="ListParagraph"/>
        <w:ind w:left="1440"/>
      </w:pPr>
    </w:p>
    <w:p w:rsidR="002F0095" w:rsidP="002F0095" w:rsidRDefault="002F0095" w14:paraId="291019F1" w14:textId="02DAFAA1">
      <w:r w:rsidRPr="001238AE">
        <w:t xml:space="preserve">ACF envisions using a variety of techniques </w:t>
      </w:r>
      <w:r w:rsidRPr="001238AE" w:rsidR="00EF2ACC">
        <w:t>such as</w:t>
      </w:r>
      <w:r w:rsidRPr="001238AE">
        <w:t xml:space="preserve"> semi-structured discussions, focus groups, surveys, </w:t>
      </w:r>
      <w:r w:rsidRPr="001238AE" w:rsidR="00933645">
        <w:t xml:space="preserve">templates, open-ended requests, </w:t>
      </w:r>
      <w:r w:rsidRPr="001238AE">
        <w:t>and telephone or in-person interviews, in order to reach these goals.</w:t>
      </w:r>
    </w:p>
    <w:p w:rsidRPr="00F97C94" w:rsidR="001C4644" w:rsidP="005944D0" w:rsidRDefault="001C4644" w14:paraId="69BFEC05" w14:textId="77777777">
      <w:pPr>
        <w:autoSpaceDE w:val="0"/>
        <w:autoSpaceDN w:val="0"/>
        <w:adjustRightInd w:val="0"/>
        <w:rPr>
          <w:rFonts w:ascii="TimesNewRoman" w:hAnsi="TimesNewRoman" w:cs="TimesNewRoman"/>
        </w:rPr>
      </w:pPr>
    </w:p>
    <w:p w:rsidRPr="00F97C94" w:rsidR="005944D0" w:rsidP="005944D0" w:rsidRDefault="005944D0" w14:paraId="02CE61DF" w14:textId="5C1FF504">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Pr>
          <w:rFonts w:ascii="TimesNewRoman" w:hAnsi="TimesNewRoman" w:cs="TimesNewRoman"/>
        </w:rPr>
        <w:t xml:space="preserve">seeks 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Pr="00F97C94">
        <w:rPr>
          <w:rFonts w:ascii="TimesNewRoman" w:hAnsi="TimesNewRoman" w:cs="TimesNewRoman"/>
        </w:rPr>
        <w:t xml:space="preserve">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F61929" w:rsidP="00F61929" w:rsidRDefault="00921B4D" w14:paraId="428D6AA0" w14:textId="77777777">
      <w:pPr>
        <w:autoSpaceDE w:val="0"/>
        <w:autoSpaceDN w:val="0"/>
        <w:adjustRightInd w:val="0"/>
        <w:rPr>
          <w:rFonts w:ascii="TimesNewRoman" w:hAnsi="TimesNewRoman" w:cs="TimesNewRoman"/>
        </w:rPr>
      </w:pPr>
      <w:r w:rsidRPr="00F97C94">
        <w:rPr>
          <w:rFonts w:ascii="TimesNewRoman" w:hAnsi="TimesNewRoman" w:cs="TimesNewRoman"/>
        </w:rPr>
        <w:t xml:space="preserve">  </w:t>
      </w:r>
    </w:p>
    <w:p w:rsidRPr="00F97C94" w:rsidR="00984CA2" w:rsidP="00F61929" w:rsidRDefault="00984CA2" w14:paraId="464041F6" w14:textId="77777777">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lastRenderedPageBreak/>
        <w:t xml:space="preserve">Legal or Administrative Requirements that Necessitate the Collection </w:t>
      </w:r>
    </w:p>
    <w:p w:rsidRPr="00F97C94" w:rsidR="0020382F" w:rsidP="00866229" w:rsidRDefault="00866229" w14:paraId="2A2F4FF0" w14:textId="77777777">
      <w:r w:rsidRPr="00F97C94">
        <w:t xml:space="preserve">ACF </w:t>
      </w:r>
      <w:r w:rsidRPr="00F97C94" w:rsidR="00803899">
        <w:t>proposes</w:t>
      </w:r>
      <w:r w:rsidRPr="00F97C94">
        <w:t xml:space="preserve"> these information collections at the discretion of the agency. </w:t>
      </w:r>
    </w:p>
    <w:p w:rsidRPr="00F97C94" w:rsidR="00D90EF6" w:rsidP="00E431ED" w:rsidRDefault="00D90EF6" w14:paraId="741A6E4B" w14:textId="77777777"/>
    <w:p w:rsidRPr="00F97C94" w:rsidR="00945CD6" w:rsidP="00292B70" w:rsidRDefault="00292B70" w14:paraId="350637B8" w14:textId="77777777">
      <w:pPr>
        <w:rPr>
          <w:b/>
        </w:rPr>
      </w:pPr>
      <w:r w:rsidRPr="00F97C94">
        <w:rPr>
          <w:b/>
        </w:rPr>
        <w:t xml:space="preserve">A2. </w:t>
      </w:r>
      <w:r w:rsidRPr="00F97C94" w:rsidR="00945CD6">
        <w:rPr>
          <w:b/>
        </w:rPr>
        <w:t>Purpose of Survey and Data Collection Procedures</w:t>
      </w:r>
    </w:p>
    <w:p w:rsidRPr="00F97C94" w:rsidR="00F61929" w:rsidP="00F61929" w:rsidRDefault="00F61929" w14:paraId="4A946D14" w14:textId="77777777">
      <w:pPr>
        <w:rPr>
          <w:b/>
          <w:i/>
        </w:rPr>
      </w:pPr>
    </w:p>
    <w:p w:rsidRPr="00F97C94" w:rsidR="00984CA2" w:rsidP="00E06440" w:rsidRDefault="00984CA2" w14:paraId="3B296CEF" w14:textId="77777777">
      <w:pPr>
        <w:spacing w:after="60"/>
        <w:rPr>
          <w:b/>
          <w:i/>
        </w:rPr>
      </w:pPr>
      <w:r w:rsidRPr="00F97C94">
        <w:rPr>
          <w:b/>
          <w:i/>
        </w:rPr>
        <w:t>Overview of Purpose and Approach</w:t>
      </w:r>
    </w:p>
    <w:p w:rsidRPr="001238AE" w:rsidR="00124131" w:rsidP="008954AA" w:rsidRDefault="00F61929" w14:paraId="3F44F067" w14:textId="5107902A">
      <w:pPr>
        <w:rPr>
          <w:rFonts w:ascii="TimesNewRoman" w:hAnsi="TimesNewRoman" w:cs="TimesNewRoman"/>
        </w:rPr>
      </w:pPr>
      <w:r w:rsidRPr="001238AE">
        <w:rPr>
          <w:rFonts w:ascii="TimesNewRoman" w:hAnsi="TimesNewRoman" w:cs="TimesNewRoman"/>
        </w:rPr>
        <w:t xml:space="preserve">All of the methods and the data </w:t>
      </w:r>
      <w:r w:rsidRPr="001238AE" w:rsidR="009C20E2">
        <w:rPr>
          <w:rFonts w:ascii="TimesNewRoman" w:hAnsi="TimesNewRoman" w:cs="TimesNewRoman"/>
        </w:rPr>
        <w:t xml:space="preserve">collections </w:t>
      </w:r>
      <w:r w:rsidRPr="001238AE">
        <w:rPr>
          <w:rFonts w:ascii="TimesNewRoman" w:hAnsi="TimesNewRoman" w:cs="TimesNewRoman"/>
        </w:rPr>
        <w:t>approved under this clearance will be used for the purposes of informing ACF’s decision-making</w:t>
      </w:r>
      <w:r w:rsidRPr="001238AE" w:rsidR="00710ABC">
        <w:rPr>
          <w:rFonts w:ascii="TimesNewRoman" w:hAnsi="TimesNewRoman" w:cs="TimesNewRoman"/>
        </w:rPr>
        <w:t xml:space="preserve"> around program support</w:t>
      </w:r>
      <w:r w:rsidRPr="001238AE">
        <w:rPr>
          <w:rFonts w:ascii="TimesNewRoman" w:hAnsi="TimesNewRoman" w:cs="TimesNewRoman"/>
        </w:rPr>
        <w:t>.</w:t>
      </w:r>
      <w:r w:rsidRPr="001238AE" w:rsidR="00921B4D">
        <w:rPr>
          <w:rFonts w:ascii="TimesNewRoman" w:hAnsi="TimesNewRoman" w:cs="TimesNewRoman"/>
        </w:rPr>
        <w:t xml:space="preserve"> </w:t>
      </w:r>
      <w:r w:rsidRPr="001238AE" w:rsidR="00124131">
        <w:rPr>
          <w:rFonts w:ascii="TimesNewRoman" w:hAnsi="TimesNewRoman" w:cs="TimesNewRoman"/>
        </w:rPr>
        <w:t>These formative information collections help ensure ACF provide</w:t>
      </w:r>
      <w:r w:rsidRPr="001238AE" w:rsidR="00F86B04">
        <w:rPr>
          <w:rFonts w:ascii="TimesNewRoman" w:hAnsi="TimesNewRoman" w:cs="TimesNewRoman"/>
        </w:rPr>
        <w:t>s</w:t>
      </w:r>
      <w:r w:rsidRPr="001238AE" w:rsidR="00124131">
        <w:rPr>
          <w:rFonts w:ascii="TimesNewRoman" w:hAnsi="TimesNewRoman" w:cs="TimesNewRoman"/>
        </w:rPr>
        <w:t xml:space="preserve"> program support effective</w:t>
      </w:r>
      <w:r w:rsidRPr="001238AE" w:rsidR="00F86B04">
        <w:rPr>
          <w:rFonts w:ascii="TimesNewRoman" w:hAnsi="TimesNewRoman" w:cs="TimesNewRoman"/>
        </w:rPr>
        <w:t>ly and efficiently</w:t>
      </w:r>
      <w:r w:rsidRPr="001238AE" w:rsidR="00124131">
        <w:rPr>
          <w:rFonts w:ascii="TimesNewRoman" w:hAnsi="TimesNewRoman" w:cs="TimesNewRoman"/>
        </w:rPr>
        <w:t xml:space="preserve">. </w:t>
      </w:r>
    </w:p>
    <w:p w:rsidRPr="001238AE" w:rsidR="00124131" w:rsidP="008954AA" w:rsidRDefault="00124131" w14:paraId="52C7889E" w14:textId="77777777">
      <w:pPr>
        <w:rPr>
          <w:rFonts w:ascii="TimesNewRoman" w:hAnsi="TimesNewRoman" w:cs="TimesNewRoman"/>
        </w:rPr>
      </w:pPr>
    </w:p>
    <w:p w:rsidRPr="001238AE" w:rsidR="00F61929" w:rsidP="008725D7" w:rsidRDefault="00B7071C" w14:paraId="4BD0F023" w14:textId="2A3282CF">
      <w:pPr>
        <w:rPr>
          <w:sz w:val="22"/>
          <w:szCs w:val="22"/>
        </w:rPr>
      </w:pPr>
      <w:r w:rsidRPr="001238AE">
        <w:rPr>
          <w:szCs w:val="22"/>
        </w:rPr>
        <w:t>Under th</w:t>
      </w:r>
      <w:r w:rsidRPr="001238AE" w:rsidR="00E90AF0">
        <w:rPr>
          <w:szCs w:val="22"/>
        </w:rPr>
        <w:t xml:space="preserve">is umbrella </w:t>
      </w:r>
      <w:r w:rsidRPr="001238AE">
        <w:rPr>
          <w:szCs w:val="22"/>
        </w:rPr>
        <w:t xml:space="preserve">generic </w:t>
      </w:r>
      <w:r w:rsidRPr="001238AE" w:rsidR="00E90AF0">
        <w:rPr>
          <w:szCs w:val="22"/>
        </w:rPr>
        <w:t>information collection request</w:t>
      </w:r>
      <w:r w:rsidRPr="001238AE">
        <w:rPr>
          <w:szCs w:val="22"/>
        </w:rPr>
        <w:t xml:space="preserve">, findings are meant to inform ACF activities and may be incorporated into documents or presentations that are made public. </w:t>
      </w:r>
      <w:r w:rsidRPr="001238AE" w:rsidR="00EF2ACC">
        <w:rPr>
          <w:rFonts w:ascii="TimesNewRoman" w:hAnsi="TimesNewRoman" w:cs="TimesNewRoman"/>
        </w:rPr>
        <w:t xml:space="preserve">As appropriate, information may be published </w:t>
      </w:r>
      <w:r w:rsidRPr="001238AE" w:rsidR="00907B58">
        <w:rPr>
          <w:rFonts w:ascii="TimesNewRoman" w:hAnsi="TimesNewRoman" w:cs="TimesNewRoman"/>
        </w:rPr>
        <w:t xml:space="preserve">for purposes of transparency and </w:t>
      </w:r>
      <w:r w:rsidRPr="001238AE" w:rsidR="00EF2ACC">
        <w:rPr>
          <w:rFonts w:ascii="TimesNewRoman" w:hAnsi="TimesNewRoman" w:cs="TimesNewRoman"/>
        </w:rPr>
        <w:t>in an effort to provide information to stakeholders</w:t>
      </w:r>
      <w:r w:rsidRPr="001238AE" w:rsidR="00907B58">
        <w:rPr>
          <w:rFonts w:ascii="TimesNewRoman" w:hAnsi="TimesNewRoman" w:cs="TimesNewRoman"/>
        </w:rPr>
        <w:t xml:space="preserve">. </w:t>
      </w:r>
      <w:r w:rsidRPr="001238AE" w:rsidR="00710414">
        <w:rPr>
          <w:szCs w:val="22"/>
        </w:rPr>
        <w:t>See section A16 for additional information</w:t>
      </w:r>
      <w:r w:rsidRPr="001238AE" w:rsidR="00D42063">
        <w:rPr>
          <w:szCs w:val="22"/>
        </w:rPr>
        <w:t xml:space="preserve">. </w:t>
      </w:r>
    </w:p>
    <w:p w:rsidRPr="001238AE" w:rsidR="00F61929" w:rsidP="002338AC" w:rsidRDefault="00F61929" w14:paraId="29994748" w14:textId="77777777">
      <w:pPr>
        <w:ind w:left="180"/>
        <w:rPr>
          <w:rFonts w:ascii="TimesNewRoman" w:hAnsi="TimesNewRoman" w:cs="TimesNewRoman"/>
        </w:rPr>
      </w:pPr>
    </w:p>
    <w:p w:rsidRPr="00F97C94" w:rsidR="008725D7" w:rsidP="003C7898" w:rsidRDefault="008725D7" w14:paraId="78506374" w14:textId="77777777">
      <w:pPr>
        <w:autoSpaceDE w:val="0"/>
        <w:autoSpaceDN w:val="0"/>
        <w:adjustRightInd w:val="0"/>
        <w:spacing w:after="120"/>
        <w:rPr>
          <w:rFonts w:ascii="TimesNewRoman" w:hAnsi="TimesNewRoman" w:cs="TimesNewRoman"/>
        </w:rPr>
      </w:pPr>
      <w:r w:rsidRPr="001238AE">
        <w:rPr>
          <w:rFonts w:ascii="TimesNewRoman" w:hAnsi="TimesNewRoman" w:cs="TimesNewRoman"/>
        </w:rPr>
        <w:t>T</w:t>
      </w:r>
      <w:r w:rsidRPr="001238AE" w:rsidR="00F61929">
        <w:rPr>
          <w:rFonts w:ascii="TimesNewRoman" w:hAnsi="TimesNewRoman" w:cs="TimesNewRoman"/>
        </w:rPr>
        <w:t xml:space="preserve">he </w:t>
      </w:r>
      <w:r w:rsidRPr="001238AE">
        <w:rPr>
          <w:rFonts w:ascii="TimesNewRoman" w:hAnsi="TimesNewRoman" w:cs="TimesNewRoman"/>
        </w:rPr>
        <w:t xml:space="preserve">specific </w:t>
      </w:r>
      <w:r w:rsidRPr="001238AE" w:rsidR="00F61929">
        <w:rPr>
          <w:rFonts w:ascii="TimesNewRoman" w:hAnsi="TimesNewRoman" w:cs="TimesNewRoman"/>
        </w:rPr>
        <w:t>types of information gathering methods included under the umbrella of th</w:t>
      </w:r>
      <w:r w:rsidRPr="001238AE" w:rsidR="00391724">
        <w:rPr>
          <w:rFonts w:ascii="TimesNewRoman" w:hAnsi="TimesNewRoman" w:cs="TimesNewRoman"/>
        </w:rPr>
        <w:t>is</w:t>
      </w:r>
      <w:r w:rsidRPr="001238AE" w:rsidR="00F61929">
        <w:rPr>
          <w:rFonts w:ascii="TimesNewRoman" w:hAnsi="TimesNewRoman" w:cs="TimesNewRoman"/>
        </w:rPr>
        <w:t xml:space="preserve"> clearance are varied</w:t>
      </w:r>
      <w:r w:rsidRPr="001238AE" w:rsidR="00E90AF0">
        <w:rPr>
          <w:rFonts w:ascii="TimesNewRoman" w:hAnsi="TimesNewRoman" w:cs="TimesNewRoman"/>
        </w:rPr>
        <w:t>.</w:t>
      </w:r>
      <w:r w:rsidRPr="001238AE" w:rsidR="00F61929">
        <w:rPr>
          <w:rFonts w:ascii="TimesNewRoman" w:hAnsi="TimesNewRoman" w:cs="TimesNewRoman"/>
        </w:rPr>
        <w:t xml:space="preserve"> </w:t>
      </w:r>
      <w:r w:rsidRPr="001238AE" w:rsidR="009C20E2">
        <w:rPr>
          <w:rFonts w:ascii="TimesNewRoman" w:hAnsi="TimesNewRoman" w:cs="TimesNewRoman"/>
        </w:rPr>
        <w:t xml:space="preserve">ACF will submit individual </w:t>
      </w:r>
      <w:proofErr w:type="spellStart"/>
      <w:proofErr w:type="gramStart"/>
      <w:r w:rsidRPr="001238AE">
        <w:rPr>
          <w:rFonts w:ascii="TimesNewRoman" w:hAnsi="TimesNewRoman" w:cs="TimesNewRoman"/>
        </w:rPr>
        <w:t>GenIC</w:t>
      </w:r>
      <w:proofErr w:type="spellEnd"/>
      <w:proofErr w:type="gramEnd"/>
      <w:r w:rsidRPr="001238AE" w:rsidR="00F61929">
        <w:rPr>
          <w:rFonts w:ascii="TimesNewRoman" w:hAnsi="TimesNewRoman" w:cs="TimesNewRoman"/>
        </w:rPr>
        <w:t xml:space="preserve"> request</w:t>
      </w:r>
      <w:r w:rsidRPr="001238AE" w:rsidR="009C20E2">
        <w:rPr>
          <w:rFonts w:ascii="TimesNewRoman" w:hAnsi="TimesNewRoman" w:cs="TimesNewRoman"/>
        </w:rPr>
        <w:t>s</w:t>
      </w:r>
      <w:r w:rsidRPr="001238AE" w:rsidR="00F61929">
        <w:rPr>
          <w:rFonts w:ascii="TimesNewRoman" w:hAnsi="TimesNewRoman" w:cs="TimesNewRoman"/>
        </w:rPr>
        <w:t xml:space="preserve"> under this clearance, </w:t>
      </w:r>
      <w:r w:rsidRPr="001238AE" w:rsidR="009C20E2">
        <w:rPr>
          <w:rFonts w:ascii="TimesNewRoman" w:hAnsi="TimesNewRoman" w:cs="TimesNewRoman"/>
        </w:rPr>
        <w:t xml:space="preserve">which </w:t>
      </w:r>
      <w:r w:rsidRPr="001238AE" w:rsidR="00F61929">
        <w:rPr>
          <w:rFonts w:ascii="TimesNewRoman" w:hAnsi="TimesNewRoman" w:cs="TimesNewRoman"/>
        </w:rPr>
        <w:t xml:space="preserve">will </w:t>
      </w:r>
      <w:r w:rsidRPr="001238AE" w:rsidR="009C20E2">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rsidRPr="00F97C94" w:rsidR="00BD212D" w:rsidP="00E56359" w:rsidRDefault="008725D7" w14:paraId="3F04523A" w14:textId="78F4342A">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w:t>
      </w:r>
      <w:r w:rsidR="00BD5E9F">
        <w:rPr>
          <w:rFonts w:ascii="TimesNewRoman" w:hAnsi="TimesNewRoman" w:cs="TimesNewRoman"/>
        </w:rPr>
        <w:t>, if appropriate, a</w:t>
      </w:r>
      <w:r w:rsidRPr="00F97C94" w:rsidR="00BD212D">
        <w:rPr>
          <w:rFonts w:ascii="TimesNewRoman" w:hAnsi="TimesNewRoman" w:cs="TimesNewRoman"/>
        </w:rPr>
        <w:t xml:space="preserve"> Supporting Statement B</w:t>
      </w:r>
      <w:r w:rsidR="00BD5E9F">
        <w:rPr>
          <w:rStyle w:val="FootnoteReference"/>
          <w:rFonts w:ascii="TimesNewRoman" w:hAnsi="TimesNewRoman" w:cs="TimesNewRoman"/>
        </w:rPr>
        <w:footnoteReference w:id="4"/>
      </w:r>
      <w:r w:rsidRPr="00F97C94" w:rsidR="00BD212D">
        <w:rPr>
          <w:rFonts w:ascii="TimesNewRoman" w:hAnsi="TimesNewRoman" w:cs="TimesNewRoman"/>
        </w:rPr>
        <w:t>,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E56359" w:rsidRDefault="004F1A44" w14:paraId="23D342EE"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r w:rsidR="00710ABC">
        <w:rPr>
          <w:rFonts w:ascii="TimesNewRoman" w:hAnsi="TimesNewRoman" w:cs="TimesNewRoman"/>
        </w:rPr>
        <w:t>.</w:t>
      </w:r>
    </w:p>
    <w:p w:rsidRPr="00F97C94" w:rsidR="00845B84" w:rsidP="00E56359" w:rsidRDefault="00845B84" w14:paraId="7ABB5F5A"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710ABC">
        <w:rPr>
          <w:rFonts w:ascii="TimesNewRoman" w:hAnsi="TimesNewRoman" w:cs="TimesNewRoman"/>
        </w:rPr>
        <w:t>.</w:t>
      </w:r>
    </w:p>
    <w:p w:rsidRPr="00F97C94" w:rsidR="00BD212D" w:rsidP="00E56359" w:rsidRDefault="004F1A44" w14:paraId="0145F70F"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710ABC">
        <w:rPr>
          <w:rFonts w:ascii="TimesNewRoman" w:hAnsi="TimesNewRoman" w:cs="TimesNewRoman"/>
        </w:rPr>
        <w:t>.</w:t>
      </w:r>
    </w:p>
    <w:p w:rsidRPr="00F97C94" w:rsidR="00BD212D" w:rsidP="00E56359" w:rsidRDefault="004F1A44" w14:paraId="7423BB8F" w14:textId="6ED11A16">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Pr="00F97C94" w:rsidR="00BD212D">
        <w:rPr>
          <w:rFonts w:ascii="TimesNewRoman" w:hAnsi="TimesNewRoman" w:cs="TimesNewRoman"/>
        </w:rPr>
        <w:t>, including any potential barriers or facilitators.</w:t>
      </w:r>
    </w:p>
    <w:p w:rsidRPr="00F97C94" w:rsidR="00BD212D" w:rsidP="00E56359" w:rsidRDefault="00BD5E9F" w14:paraId="19DF573C" w14:textId="1FCD6232">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t>If appropriate for the type of request, a d</w:t>
      </w:r>
      <w:r w:rsidRPr="00F97C94" w:rsidR="00BD212D">
        <w:t>escription of the analytic method</w:t>
      </w:r>
      <w:r w:rsidRPr="00F97C94" w:rsidR="006B5F8C">
        <w:t>(</w:t>
      </w:r>
      <w:r w:rsidRPr="00F97C94" w:rsidR="00BD212D">
        <w:t>s</w:t>
      </w:r>
      <w:r w:rsidRPr="00F97C94" w:rsidR="006B5F8C">
        <w:t>)</w:t>
      </w:r>
      <w:r w:rsidRPr="00F97C94" w:rsidR="00BD212D">
        <w:t xml:space="preserve"> used</w:t>
      </w:r>
      <w:r w:rsidRPr="00F97C94" w:rsidR="006B5F8C">
        <w:t xml:space="preserve"> including the strengths and limitations of the method(s) for the purpose of the study.</w:t>
      </w:r>
    </w:p>
    <w:p w:rsidRPr="00F97C94" w:rsidR="00BD212D" w:rsidP="00E56359" w:rsidRDefault="00BD212D" w14:paraId="28226899" w14:textId="253CEBA3">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rsidRPr="00F97C94" w:rsidR="00BD212D" w:rsidP="003C7898" w:rsidRDefault="00275D0B" w14:paraId="4B137A37" w14:textId="2D288D07">
      <w:pPr>
        <w:numPr>
          <w:ilvl w:val="1"/>
          <w:numId w:val="17"/>
        </w:numPr>
        <w:autoSpaceDE w:val="0"/>
        <w:autoSpaceDN w:val="0"/>
        <w:adjustRightInd w:val="0"/>
        <w:spacing w:after="12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 xml:space="preserve">not meant to </w:t>
      </w:r>
      <w:r w:rsidR="00ED2E47">
        <w:t xml:space="preserve">support </w:t>
      </w:r>
      <w:r w:rsidRPr="00F97C94" w:rsidR="005E6B09">
        <w:t>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45447881"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6ECFD59C" w14:textId="77777777">
      <w:pPr>
        <w:autoSpaceDE w:val="0"/>
        <w:autoSpaceDN w:val="0"/>
        <w:adjustRightInd w:val="0"/>
        <w:rPr>
          <w:rFonts w:ascii="TimesNewRoman" w:hAnsi="TimesNewRoman" w:cs="TimesNewRoman"/>
        </w:rPr>
      </w:pPr>
    </w:p>
    <w:p w:rsidRPr="00F97C94" w:rsidR="00EB2299" w:rsidP="00F61929" w:rsidRDefault="00F61929" w14:paraId="3642BF54"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Pr="00F97C94" w:rsidR="00EB2299" w:rsidP="00F61929" w:rsidRDefault="00EB2299" w14:paraId="39B2C485" w14:textId="77777777">
      <w:pPr>
        <w:autoSpaceDE w:val="0"/>
        <w:autoSpaceDN w:val="0"/>
        <w:adjustRightInd w:val="0"/>
        <w:rPr>
          <w:rFonts w:ascii="TimesNewRoman" w:hAnsi="TimesNewRoman" w:cs="TimesNewRoman"/>
        </w:rPr>
      </w:pPr>
    </w:p>
    <w:p w:rsidRPr="00F97C94" w:rsidR="00EB2299" w:rsidP="00F61929" w:rsidRDefault="00F61929" w14:paraId="1A29F557" w14:textId="77777777">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Pr="00F97C94" w:rsidR="00EB2299" w:rsidP="00F61929" w:rsidRDefault="00EB2299" w14:paraId="56B5C7F8" w14:textId="77777777">
      <w:pPr>
        <w:autoSpaceDE w:val="0"/>
        <w:autoSpaceDN w:val="0"/>
        <w:adjustRightInd w:val="0"/>
        <w:rPr>
          <w:rFonts w:ascii="TimesNewRoman" w:hAnsi="TimesNewRoman" w:cs="TimesNewRoman"/>
        </w:rPr>
      </w:pPr>
    </w:p>
    <w:p w:rsidRPr="00F97C94" w:rsidR="00F61929" w:rsidP="00F61929" w:rsidRDefault="00F61929" w14:paraId="16C56C3C"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Pr="00F97C94" w:rsidR="00F659C1">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Pr>
          <w:rFonts w:ascii="TimesNewRoman" w:hAnsi="TimesNewRoman" w:cs="TimesNewRoman"/>
        </w:rPr>
        <w:t xml:space="preserve"> </w:t>
      </w:r>
      <w:r w:rsidRPr="00F97C94" w:rsidR="00E827A2">
        <w:rPr>
          <w:rFonts w:ascii="TimesNewRoman" w:hAnsi="TimesNewRoman" w:cs="TimesNewRoman"/>
        </w:rPr>
        <w:t xml:space="preserve">overarching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Pr>
          <w:rFonts w:ascii="TimesNewRoman" w:hAnsi="TimesNewRoman" w:cs="TimesNewRoman"/>
        </w:rPr>
        <w:t xml:space="preserve">. </w:t>
      </w:r>
    </w:p>
    <w:p w:rsidRPr="00F97C94" w:rsidR="002338AC" w:rsidP="002338AC" w:rsidRDefault="002338AC" w14:paraId="2ED5E5EE" w14:textId="77777777">
      <w:pPr>
        <w:ind w:left="180"/>
        <w:rPr>
          <w:b/>
          <w:i/>
        </w:rPr>
      </w:pPr>
    </w:p>
    <w:p w:rsidRPr="001238AE" w:rsidR="00F61929" w:rsidP="009D5EB6" w:rsidRDefault="00A44209" w14:paraId="3A3DFD8D" w14:textId="6CC6B0C1">
      <w:pPr>
        <w:spacing w:after="6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9D5EB6" w:rsidRDefault="00F61929" w14:paraId="7734DA18" w14:textId="77777777">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 xml:space="preserve">ACF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proofErr w:type="spellStart"/>
      <w:r w:rsidRPr="00F97C94" w:rsidR="002F4D9D">
        <w:rPr>
          <w:rFonts w:ascii="TimesNewRoman" w:hAnsi="TimesNewRoman" w:cs="TimesNewRoman"/>
        </w:rPr>
        <w:t>GenIC</w:t>
      </w:r>
      <w:proofErr w:type="spellEnd"/>
      <w:r w:rsidRPr="00F97C94" w:rsidR="002F4D9D">
        <w:rPr>
          <w:rFonts w:ascii="TimesNewRoman" w:hAnsi="TimesNewRoman" w:cs="TimesNewRoman"/>
        </w:rPr>
        <w:t xml:space="preserve"> will </w:t>
      </w:r>
      <w:r w:rsidRPr="00F97C94" w:rsidR="00EB2299">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particular samples will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Pr="00F97C94" w:rsidR="00F61929" w:rsidP="00F61929" w:rsidRDefault="00F61929" w14:paraId="419FBCAF"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Pr="00F97C94" w:rsidR="00921B4D">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28166A0E" w14:textId="77777777">
      <w:pPr>
        <w:autoSpaceDE w:val="0"/>
        <w:autoSpaceDN w:val="0"/>
        <w:adjustRightInd w:val="0"/>
        <w:rPr>
          <w:rFonts w:ascii="TimesNewRoman" w:hAnsi="TimesNewRoman" w:cs="TimesNewRoman"/>
        </w:rPr>
      </w:pPr>
    </w:p>
    <w:p w:rsidRPr="00F97C94" w:rsidR="00F61929" w:rsidP="00F61929" w:rsidRDefault="00F61929" w14:paraId="7EEF64D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40FB7593" w14:textId="77777777">
      <w:pPr>
        <w:autoSpaceDE w:val="0"/>
        <w:autoSpaceDN w:val="0"/>
        <w:adjustRightInd w:val="0"/>
        <w:rPr>
          <w:rFonts w:ascii="TimesNewRoman" w:hAnsi="TimesNewRoman" w:cs="TimesNewRoman"/>
          <w:u w:val="single"/>
        </w:rPr>
      </w:pPr>
    </w:p>
    <w:p w:rsidRPr="00F97C94" w:rsidR="00F61929" w:rsidP="00F61929" w:rsidRDefault="00F61929" w14:paraId="09DA658B"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1238AE" w:rsidR="00BD5E9F" w:rsidP="00E06440" w:rsidRDefault="00BD5E9F" w14:paraId="7276A8DA" w14:textId="7DEC4715">
      <w:pPr>
        <w:rPr>
          <w:rFonts w:ascii="TimesNewRoman" w:hAnsi="TimesNewRoman" w:cs="TimesNewRoman"/>
          <w:b/>
          <w:u w:val="single"/>
        </w:rPr>
      </w:pPr>
    </w:p>
    <w:p w:rsidRPr="00F97C94" w:rsidR="00513406" w:rsidP="00513406" w:rsidRDefault="00124131" w14:paraId="432FA8BE" w14:textId="6090B8B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16695FBC" w14:textId="77777777">
      <w:pPr>
        <w:autoSpaceDE w:val="0"/>
        <w:autoSpaceDN w:val="0"/>
        <w:adjustRightInd w:val="0"/>
        <w:rPr>
          <w:rFonts w:ascii="TimesNewRoman" w:hAnsi="TimesNewRoman" w:cs="TimesNewRoman"/>
          <w:b/>
          <w:u w:val="single"/>
        </w:rPr>
      </w:pPr>
    </w:p>
    <w:p w:rsidRPr="00EF2ACC" w:rsidR="00AE2AA7" w:rsidP="00AE2AA7" w:rsidRDefault="00AE2AA7" w14:paraId="78890B75" w14:textId="054B726B">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lastRenderedPageBreak/>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Pr="00877A0E" w:rsidR="00D47674">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rsidR="00AE2AA7" w:rsidP="00EF2ACC" w:rsidRDefault="00AE2AA7" w14:paraId="464E434D" w14:textId="77777777">
      <w:pPr>
        <w:pStyle w:val="ListParagraph"/>
        <w:rPr>
          <w:rFonts w:ascii="TimesNewRoman" w:hAnsi="TimesNewRoman" w:cs="TimesNewRoman"/>
          <w:b/>
          <w:u w:val="single"/>
        </w:rPr>
      </w:pPr>
    </w:p>
    <w:p w:rsidRPr="00877A0E" w:rsidR="00AE2AA7" w:rsidP="00AE2AA7" w:rsidRDefault="00AE2AA7" w14:paraId="120F0CF6" w14:textId="71B1D77F">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Pr="00877A0E" w:rsidR="00EF2ACC">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Pr="00877A0E" w:rsidR="00EF2ACC">
        <w:rPr>
          <w:rFonts w:ascii="TimesNewRoman" w:hAnsi="TimesNewRoman" w:cs="TimesNewRoman"/>
        </w:rPr>
        <w:t>items requested</w:t>
      </w:r>
      <w:r w:rsidRPr="00877A0E">
        <w:rPr>
          <w:rFonts w:ascii="TimesNewRoman" w:hAnsi="TimesNewRoman" w:cs="TimesNewRoman"/>
        </w:rPr>
        <w:t xml:space="preserve">, but no specific format specified. </w:t>
      </w:r>
    </w:p>
    <w:p w:rsidR="00AE2AA7" w:rsidP="00EF2ACC" w:rsidRDefault="00AE2AA7" w14:paraId="351B8906" w14:textId="08898AF0">
      <w:pPr>
        <w:autoSpaceDE w:val="0"/>
        <w:autoSpaceDN w:val="0"/>
        <w:adjustRightInd w:val="0"/>
        <w:rPr>
          <w:rFonts w:ascii="TimesNewRoman" w:hAnsi="TimesNewRoman" w:cs="TimesNewRoman"/>
          <w:b/>
          <w:u w:val="single"/>
        </w:rPr>
      </w:pPr>
    </w:p>
    <w:p w:rsidRPr="00F97C94" w:rsidR="00513406" w:rsidP="00513406" w:rsidRDefault="00513406" w14:paraId="638A798D" w14:textId="2351841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5"/>
      </w:r>
      <w:r w:rsidRPr="00F97C94">
        <w:t xml:space="preserve">. </w:t>
      </w:r>
    </w:p>
    <w:p w:rsidRPr="00F97C94" w:rsidR="00513406" w:rsidP="00842E4D" w:rsidRDefault="00513406" w14:paraId="5265F049" w14:textId="77777777">
      <w:pPr>
        <w:pStyle w:val="ListParagraph"/>
        <w:ind w:left="360"/>
      </w:pPr>
    </w:p>
    <w:p w:rsidRPr="00F97C94" w:rsidR="00F61929" w:rsidP="00AD470D" w:rsidRDefault="00513406" w14:paraId="2BC00719"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w:t>
      </w:r>
      <w:proofErr w:type="spellStart"/>
      <w:r w:rsidRPr="00F97C94" w:rsidR="00D7654B">
        <w:t>GenIC</w:t>
      </w:r>
      <w:proofErr w:type="spellEnd"/>
      <w:r w:rsidRPr="00F97C94" w:rsidR="00D7654B">
        <w:t xml:space="preserve">.  </w:t>
      </w:r>
    </w:p>
    <w:p w:rsidRPr="00F97C94" w:rsidR="00721E52" w:rsidP="00F61929" w:rsidRDefault="00721E52" w14:paraId="00DD171D" w14:textId="77777777">
      <w:pPr>
        <w:autoSpaceDE w:val="0"/>
        <w:autoSpaceDN w:val="0"/>
        <w:adjustRightInd w:val="0"/>
        <w:rPr>
          <w:rFonts w:ascii="TimesNewRoman" w:hAnsi="TimesNewRoman" w:cs="TimesNewRoman"/>
        </w:rPr>
      </w:pPr>
    </w:p>
    <w:p w:rsidRPr="00F97C94" w:rsidR="00710ABC" w:rsidP="002E651A" w:rsidRDefault="00C3395B" w14:paraId="3CCC5C85" w14:textId="77777777">
      <w:pPr>
        <w:autoSpaceDE w:val="0"/>
        <w:autoSpaceDN w:val="0"/>
        <w:adjustRightInd w:val="0"/>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 xml:space="preserve">include </w:t>
      </w:r>
      <w:r w:rsidRPr="00B90F6F" w:rsidR="008820E1">
        <w:t xml:space="preserve">current or prospective service providers, </w:t>
      </w:r>
      <w:r w:rsidR="008820E1">
        <w:t>training or technical assistance (</w:t>
      </w:r>
      <w:r w:rsidRPr="00B90F6F" w:rsidR="008820E1">
        <w:t>T/TA</w:t>
      </w:r>
      <w:r w:rsidR="008820E1">
        <w:t>)</w:t>
      </w:r>
      <w:r w:rsidRPr="00B90F6F" w:rsidR="008820E1">
        <w:t xml:space="preserve"> providers, grantees, contractors, current and potential participants in ACF programs or similar comparison groups</w:t>
      </w:r>
      <w:r w:rsidR="008820E1">
        <w:t>,</w:t>
      </w:r>
      <w:r w:rsidRPr="00B90F6F" w:rsidR="008820E1">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003C7898">
        <w:t>.</w:t>
      </w:r>
    </w:p>
    <w:p w:rsidRPr="00F97C94" w:rsidR="00F61929" w:rsidP="00F61929" w:rsidRDefault="00F61929" w14:paraId="070641DF" w14:textId="77777777">
      <w:pPr>
        <w:autoSpaceDE w:val="0"/>
        <w:autoSpaceDN w:val="0"/>
        <w:adjustRightInd w:val="0"/>
        <w:rPr>
          <w:rFonts w:ascii="TimesNewRoman" w:hAnsi="TimesNewRoman" w:cs="TimesNewRoman"/>
        </w:rPr>
      </w:pPr>
    </w:p>
    <w:p w:rsidRPr="00F97C94" w:rsidR="00AD470D" w:rsidP="00292B70" w:rsidRDefault="00AD470D" w14:paraId="1619C801" w14:textId="77777777">
      <w:pPr>
        <w:rPr>
          <w:b/>
        </w:rPr>
      </w:pPr>
    </w:p>
    <w:p w:rsidRPr="00F97C94" w:rsidR="00945CD6" w:rsidP="00E06440" w:rsidRDefault="00292B70" w14:paraId="761A867B" w14:textId="77777777">
      <w:pPr>
        <w:spacing w:after="120"/>
        <w:rPr>
          <w:b/>
        </w:rPr>
      </w:pPr>
      <w:r w:rsidRPr="00F97C94">
        <w:rPr>
          <w:b/>
        </w:rPr>
        <w:t xml:space="preserve">A3. </w:t>
      </w:r>
      <w:r w:rsidRPr="00F97C94" w:rsidR="00945CD6">
        <w:rPr>
          <w:b/>
        </w:rPr>
        <w:t>Improved Information Technology to Reduce Burden</w:t>
      </w:r>
    </w:p>
    <w:p w:rsidRPr="00F97C94" w:rsidR="00D90EF6" w:rsidP="00F61929" w:rsidRDefault="00F659C1" w14:paraId="72A61EC2"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69F6DEE7" w14:textId="77777777">
      <w:pPr>
        <w:rPr>
          <w:b/>
        </w:rPr>
      </w:pPr>
    </w:p>
    <w:p w:rsidRPr="00F97C94" w:rsidR="00D77219" w:rsidP="00292B70" w:rsidRDefault="00D77219" w14:paraId="3ED22972" w14:textId="77777777">
      <w:pPr>
        <w:rPr>
          <w:b/>
        </w:rPr>
      </w:pPr>
    </w:p>
    <w:p w:rsidR="001418A3" w:rsidP="00E06440" w:rsidRDefault="001418A3" w14:paraId="0AB34602" w14:textId="77777777">
      <w:pPr>
        <w:spacing w:after="120"/>
        <w:rPr>
          <w:b/>
        </w:rPr>
      </w:pPr>
    </w:p>
    <w:p w:rsidR="001418A3" w:rsidP="00E06440" w:rsidRDefault="001418A3" w14:paraId="2A9E8B52" w14:textId="77777777">
      <w:pPr>
        <w:spacing w:after="120"/>
        <w:rPr>
          <w:b/>
        </w:rPr>
      </w:pPr>
    </w:p>
    <w:p w:rsidRPr="00F97C94" w:rsidR="00945CD6" w:rsidP="00E06440" w:rsidRDefault="00292B70" w14:paraId="1F8CD8FA" w14:textId="0F00BEA5">
      <w:pPr>
        <w:spacing w:after="120"/>
        <w:rPr>
          <w:b/>
        </w:rPr>
      </w:pPr>
      <w:r w:rsidRPr="00F97C94">
        <w:rPr>
          <w:b/>
        </w:rPr>
        <w:lastRenderedPageBreak/>
        <w:t xml:space="preserve">A4. </w:t>
      </w:r>
      <w:r w:rsidRPr="00F97C94" w:rsidR="00945CD6">
        <w:rPr>
          <w:b/>
        </w:rPr>
        <w:t>Efforts to Identify Duplication</w:t>
      </w:r>
    </w:p>
    <w:p w:rsidRPr="00F97C94" w:rsidR="00B8058E" w:rsidP="00B8058E" w:rsidRDefault="00B8058E" w14:paraId="796CAB22" w14:textId="07B723F5">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Pr="00F97C94" w:rsidR="00D031A2">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Pr="00F97C94" w:rsidR="005046F0" w:rsidP="00E56359" w:rsidRDefault="005046F0" w14:paraId="58EE4005" w14:textId="77777777"/>
    <w:p w:rsidR="001B624C" w:rsidP="00292B70" w:rsidRDefault="001B624C" w14:paraId="471AE5A5" w14:textId="77777777">
      <w:pPr>
        <w:rPr>
          <w:b/>
        </w:rPr>
      </w:pPr>
    </w:p>
    <w:p w:rsidRPr="00F97C94" w:rsidR="00945CD6" w:rsidP="00E06440" w:rsidRDefault="00292B70" w14:paraId="6DE8BF02" w14:textId="77777777">
      <w:pPr>
        <w:spacing w:after="120"/>
        <w:rPr>
          <w:b/>
        </w:rPr>
      </w:pPr>
      <w:r w:rsidRPr="00F97C94">
        <w:rPr>
          <w:b/>
        </w:rPr>
        <w:t xml:space="preserve">A5. </w:t>
      </w:r>
      <w:r w:rsidRPr="00F97C94" w:rsidR="00945CD6">
        <w:rPr>
          <w:b/>
        </w:rPr>
        <w:t>Involvement of Small Organizations</w:t>
      </w:r>
    </w:p>
    <w:p w:rsidRPr="00F97C94" w:rsidR="00B8058E" w:rsidP="00B8058E" w:rsidRDefault="00B8058E" w14:paraId="14F4A84A"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08E8DC67" w14:textId="77777777">
      <w:pPr>
        <w:rPr>
          <w:b/>
        </w:rPr>
      </w:pPr>
    </w:p>
    <w:p w:rsidRPr="00F97C94" w:rsidR="00B8058E" w:rsidP="00292B70" w:rsidRDefault="00B8058E" w14:paraId="685C13C3" w14:textId="77777777">
      <w:pPr>
        <w:rPr>
          <w:b/>
        </w:rPr>
      </w:pPr>
    </w:p>
    <w:p w:rsidRPr="00F97C94" w:rsidR="00945CD6" w:rsidP="00E06440" w:rsidRDefault="00292B70" w14:paraId="2F6F1075" w14:textId="77777777">
      <w:pPr>
        <w:spacing w:after="120"/>
        <w:rPr>
          <w:b/>
        </w:rPr>
      </w:pPr>
      <w:r w:rsidRPr="00F97C94">
        <w:rPr>
          <w:b/>
        </w:rPr>
        <w:t xml:space="preserve">A6. </w:t>
      </w:r>
      <w:r w:rsidRPr="00F97C94" w:rsidR="00945CD6">
        <w:rPr>
          <w:b/>
        </w:rPr>
        <w:t>Consequences of Less Frequent Data Collection</w:t>
      </w:r>
    </w:p>
    <w:p w:rsidRPr="00F97C94" w:rsidR="00B8058E" w:rsidP="002E651A" w:rsidRDefault="002E6082" w14:paraId="52D73291" w14:textId="7010824F">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w:t>
      </w:r>
      <w:r w:rsidRPr="001238AE" w:rsidR="00B8058E">
        <w:rPr>
          <w:rFonts w:ascii="TimesNewRoman" w:hAnsi="TimesNewRoman" w:cs="TimesNewRoman"/>
        </w:rPr>
        <w:t>anticipate</w:t>
      </w:r>
      <w:r w:rsidRPr="001238AE">
        <w:rPr>
          <w:rFonts w:ascii="TimesNewRoman" w:hAnsi="TimesNewRoman" w:cs="TimesNewRoman"/>
        </w:rPr>
        <w:t>s</w:t>
      </w:r>
      <w:r w:rsidRPr="001238AE" w:rsidR="00B8058E">
        <w:rPr>
          <w:rFonts w:ascii="TimesNewRoman" w:hAnsi="TimesNewRoman" w:cs="TimesNewRoman"/>
        </w:rPr>
        <w:t xml:space="preserve"> that the </w:t>
      </w:r>
      <w:r w:rsidRPr="001238AE" w:rsidR="00541A03">
        <w:rPr>
          <w:rFonts w:ascii="TimesNewRoman" w:hAnsi="TimesNewRoman" w:cs="TimesNewRoman"/>
        </w:rPr>
        <w:t xml:space="preserve">majority of </w:t>
      </w:r>
      <w:r w:rsidRPr="001238AE" w:rsidR="00B8058E">
        <w:rPr>
          <w:rFonts w:ascii="TimesNewRoman" w:hAnsi="TimesNewRoman" w:cs="TimesNewRoman"/>
        </w:rPr>
        <w:t>information collect</w:t>
      </w:r>
      <w:r w:rsidRPr="001238AE" w:rsidR="00541A03">
        <w:rPr>
          <w:rFonts w:ascii="TimesNewRoman" w:hAnsi="TimesNewRoman" w:cs="TimesNewRoman"/>
        </w:rPr>
        <w:t>ions</w:t>
      </w:r>
      <w:r w:rsidR="00ED2E47">
        <w:rPr>
          <w:rFonts w:ascii="TimesNewRoman" w:hAnsi="TimesNewRoman" w:cs="TimesNewRoman"/>
        </w:rPr>
        <w:t xml:space="preserve"> </w:t>
      </w:r>
      <w:r w:rsidRPr="001238AE" w:rsidR="00B8058E">
        <w:rPr>
          <w:rFonts w:ascii="TimesNewRoman" w:hAnsi="TimesNewRoman" w:cs="TimesNewRoman"/>
        </w:rPr>
        <w:t>under this generic clearance w</w:t>
      </w:r>
      <w:r w:rsidRPr="001238AE">
        <w:rPr>
          <w:rFonts w:ascii="TimesNewRoman" w:hAnsi="TimesNewRoman" w:cs="TimesNewRoman"/>
        </w:rPr>
        <w:t>il</w:t>
      </w:r>
      <w:r w:rsidRPr="001238AE" w:rsidR="00B8058E">
        <w:rPr>
          <w:rFonts w:ascii="TimesNewRoman" w:hAnsi="TimesNewRoman" w:cs="TimesNewRoman"/>
        </w:rPr>
        <w:t xml:space="preserve">l involve a one-time data collection. </w:t>
      </w:r>
      <w:r w:rsidRPr="001238AE" w:rsidR="00541A03">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Pr="00B00CD7" w:rsidR="00541A03">
        <w:rPr>
          <w:rFonts w:ascii="TimesNewRoman" w:hAnsi="TimesNewRoman" w:cs="TimesNewRoman"/>
        </w:rPr>
        <w:t xml:space="preserve"> </w:t>
      </w:r>
      <w:r w:rsidR="00ED2E47">
        <w:rPr>
          <w:rFonts w:ascii="TimesNewRoman" w:hAnsi="TimesNewRoman" w:cs="TimesNewRoman"/>
        </w:rPr>
        <w:t>Less frequent data collection would mean that p</w:t>
      </w:r>
      <w:r w:rsidRPr="001238AE" w:rsidR="00F13144">
        <w:rPr>
          <w:rFonts w:ascii="TimesNewRoman" w:hAnsi="TimesNewRoman" w:cs="TimesNewRoman"/>
        </w:rPr>
        <w:t xml:space="preserve">rogram support would </w:t>
      </w:r>
      <w:r w:rsidR="00ED2E47">
        <w:rPr>
          <w:rFonts w:ascii="TimesNewRoman" w:hAnsi="TimesNewRoman" w:cs="TimesNewRoman"/>
        </w:rPr>
        <w:t xml:space="preserve">be less </w:t>
      </w:r>
      <w:r w:rsidRPr="001238AE" w:rsidR="00F13144">
        <w:rPr>
          <w:rFonts w:ascii="TimesNewRoman" w:hAnsi="TimesNewRoman" w:cs="TimesNewRoman"/>
        </w:rPr>
        <w:t>responsive to the needs of ACF programs</w:t>
      </w:r>
      <w:r w:rsidRPr="001238AE" w:rsidR="0004053B">
        <w:rPr>
          <w:rFonts w:ascii="TimesNewRoman" w:hAnsi="TimesNewRoman" w:cs="TimesNewRoman"/>
        </w:rPr>
        <w:t xml:space="preserve"> and clients</w:t>
      </w:r>
      <w:r w:rsidRPr="001238AE" w:rsidR="00F13144">
        <w:rPr>
          <w:rFonts w:ascii="TimesNewRoman" w:hAnsi="TimesNewRoman" w:cs="TimesNewRoman"/>
        </w:rPr>
        <w:t xml:space="preserve">. </w:t>
      </w:r>
      <w:r w:rsidRPr="001238AE" w:rsidR="002E651A">
        <w:rPr>
          <w:rFonts w:ascii="TimesNewRoman" w:hAnsi="TimesNewRoman" w:cs="TimesNewRoman"/>
        </w:rPr>
        <w:t xml:space="preserve">Information about the frequency of data collection will be described in each individual </w:t>
      </w:r>
      <w:proofErr w:type="spellStart"/>
      <w:r w:rsidRPr="001238AE" w:rsidR="002E651A">
        <w:rPr>
          <w:rFonts w:ascii="TimesNewRoman" w:hAnsi="TimesNewRoman" w:cs="TimesNewRoman"/>
        </w:rPr>
        <w:t>GenIC</w:t>
      </w:r>
      <w:proofErr w:type="spellEnd"/>
      <w:r w:rsidRPr="001238AE" w:rsidR="002E651A">
        <w:rPr>
          <w:rFonts w:ascii="TimesNewRoman" w:hAnsi="TimesNewRoman" w:cs="TimesNewRoman"/>
        </w:rPr>
        <w:t>.</w:t>
      </w:r>
    </w:p>
    <w:p w:rsidRPr="00F97C94" w:rsidR="005046F0" w:rsidP="002E651A" w:rsidRDefault="005046F0" w14:paraId="24BBCB41" w14:textId="77777777"/>
    <w:p w:rsidRPr="00F97C94" w:rsidR="002338AC" w:rsidP="005046F0" w:rsidRDefault="002338AC" w14:paraId="537149A4" w14:textId="77777777">
      <w:pPr>
        <w:ind w:left="360"/>
      </w:pPr>
    </w:p>
    <w:p w:rsidRPr="00F97C94" w:rsidR="00945CD6" w:rsidP="00E06440" w:rsidRDefault="00292B70" w14:paraId="3C22E7EE" w14:textId="77777777">
      <w:pPr>
        <w:spacing w:after="120"/>
        <w:rPr>
          <w:b/>
        </w:rPr>
      </w:pPr>
      <w:r w:rsidRPr="00F97C94">
        <w:rPr>
          <w:b/>
        </w:rPr>
        <w:t xml:space="preserve">A7. </w:t>
      </w:r>
      <w:r w:rsidRPr="00F97C94" w:rsidR="00945CD6">
        <w:rPr>
          <w:b/>
        </w:rPr>
        <w:t>Special Circumstances</w:t>
      </w:r>
    </w:p>
    <w:p w:rsidR="0020382F" w:rsidP="00B8058E" w:rsidRDefault="00D90EF6" w14:paraId="222856A7" w14:textId="6E427545">
      <w:pPr>
        <w:rPr>
          <w:sz w:val="22"/>
          <w:szCs w:val="22"/>
        </w:rPr>
      </w:pPr>
      <w:r w:rsidRPr="00F97C94">
        <w:rPr>
          <w:sz w:val="22"/>
          <w:szCs w:val="22"/>
        </w:rPr>
        <w:t>There are no special circumstances for the proposed data collection efforts.</w:t>
      </w:r>
    </w:p>
    <w:p w:rsidR="00541A03" w:rsidP="00B8058E" w:rsidRDefault="00541A03" w14:paraId="0699D7BF" w14:textId="6D59CDD5">
      <w:pPr>
        <w:rPr>
          <w:sz w:val="22"/>
          <w:szCs w:val="22"/>
        </w:rPr>
      </w:pPr>
    </w:p>
    <w:p w:rsidRPr="00F97C94" w:rsidR="00541A03" w:rsidP="00B8058E" w:rsidRDefault="00541A03" w14:paraId="293A43D7" w14:textId="77777777">
      <w:pPr>
        <w:rPr>
          <w:sz w:val="22"/>
          <w:szCs w:val="22"/>
        </w:rPr>
      </w:pPr>
    </w:p>
    <w:p w:rsidRPr="00F97C94" w:rsidR="00D90EF6" w:rsidP="00D90EF6" w:rsidRDefault="00292B70" w14:paraId="0090F932" w14:textId="77777777">
      <w:pPr>
        <w:rPr>
          <w:b/>
        </w:rPr>
      </w:pPr>
      <w:r w:rsidRPr="00F97C94">
        <w:rPr>
          <w:b/>
        </w:rPr>
        <w:t xml:space="preserve">A8. </w:t>
      </w:r>
      <w:r w:rsidRPr="00F97C94" w:rsidR="00945CD6">
        <w:rPr>
          <w:b/>
        </w:rPr>
        <w:t>Federal Register Notice and Consultation</w:t>
      </w:r>
    </w:p>
    <w:p w:rsidRPr="00F97C94" w:rsidR="00B8058E" w:rsidP="00B8058E" w:rsidRDefault="00B8058E" w14:paraId="54B4B34D" w14:textId="77777777">
      <w:pPr>
        <w:rPr>
          <w:b/>
          <w:i/>
        </w:rPr>
      </w:pPr>
    </w:p>
    <w:p w:rsidRPr="00F97C94" w:rsidR="00B91D97" w:rsidP="00E56359" w:rsidRDefault="00B91D97" w14:paraId="334F7D65" w14:textId="77777777">
      <w:pPr>
        <w:spacing w:after="120"/>
        <w:rPr>
          <w:b/>
          <w:i/>
        </w:rPr>
      </w:pPr>
      <w:r w:rsidRPr="00F97C94">
        <w:rPr>
          <w:b/>
          <w:i/>
        </w:rPr>
        <w:t>Federal Register Notice and Comments</w:t>
      </w:r>
    </w:p>
    <w:p w:rsidR="008F10A2" w:rsidP="00B8058E" w:rsidRDefault="008F10A2" w14:paraId="0B8A6AA1" w14:textId="57784342">
      <w:r w:rsidRPr="00F97C94">
        <w:t xml:space="preserve">In accordance with the Paperwork Reduction Act of 1995 (Pub. L. 104-13) and Office of Management and Budget (OMB) regulations at 5 CFR Part 1320 (60 FR 44978, August 29, 1995), ACF published </w:t>
      </w:r>
      <w:r w:rsidR="000F5DE6">
        <w:t>two</w:t>
      </w:r>
      <w:r w:rsidRPr="00F97C94">
        <w:t xml:space="preserve"> notice</w:t>
      </w:r>
      <w:r w:rsidR="000F5DE6">
        <w:t>s</w:t>
      </w:r>
      <w:r w:rsidRPr="00F97C94">
        <w:t xml:space="preserve"> in the Federal Register announcing the agency’s intention to request an OMB review of this information collection activity.</w:t>
      </w:r>
      <w:r w:rsidRPr="00F97C94" w:rsidR="00921B4D">
        <w:t xml:space="preserve"> </w:t>
      </w:r>
      <w:r w:rsidRPr="00F97C94">
        <w:t>Th</w:t>
      </w:r>
      <w:r w:rsidR="000F5DE6">
        <w:t xml:space="preserve">e first </w:t>
      </w:r>
      <w:r w:rsidRPr="00F97C94">
        <w:t xml:space="preserve">notice was published on </w:t>
      </w:r>
      <w:r w:rsidR="000F5DE6">
        <w:t>October 11, 2017</w:t>
      </w:r>
      <w:r w:rsidRPr="00F97C94">
        <w:t xml:space="preserve">, Volume </w:t>
      </w:r>
      <w:r w:rsidR="000F5DE6">
        <w:t>82</w:t>
      </w:r>
      <w:r w:rsidRPr="00F97C94" w:rsidR="00CF5004">
        <w:t>,</w:t>
      </w:r>
      <w:r w:rsidRPr="00F97C94">
        <w:t xml:space="preserve"> Number </w:t>
      </w:r>
      <w:r w:rsidR="000F5DE6">
        <w:t>195</w:t>
      </w:r>
      <w:r w:rsidRPr="00F97C94" w:rsidR="00CF5004">
        <w:t>,</w:t>
      </w:r>
      <w:r w:rsidRPr="00F97C94">
        <w:t xml:space="preserve"> page </w:t>
      </w:r>
      <w:r w:rsidR="000F5DE6">
        <w:t>47212</w:t>
      </w:r>
      <w:r w:rsidRPr="00F97C94">
        <w:t>, and provided a sixty-day period for public comment.</w:t>
      </w:r>
      <w:r w:rsidRPr="00F97C94" w:rsidR="00921B4D">
        <w:t xml:space="preserve"> </w:t>
      </w:r>
      <w:r w:rsidR="000F5DE6">
        <w:t xml:space="preserve">ACF did not receive any substantive comments on the first notice. The second notice was published in the Federal Register on June 18, 2019 and comments </w:t>
      </w:r>
      <w:r w:rsidR="00FE487C">
        <w:t>a</w:t>
      </w:r>
      <w:r w:rsidR="000F5DE6">
        <w:t xml:space="preserve">re directed to OMB. </w:t>
      </w:r>
    </w:p>
    <w:p w:rsidR="00C81D01" w:rsidP="00B8058E" w:rsidRDefault="00C81D01" w14:paraId="3BB92740" w14:textId="4432F3AF"/>
    <w:p w:rsidRPr="00F97C94" w:rsidR="00C81D01" w:rsidP="00B8058E" w:rsidRDefault="00C81D01" w14:paraId="71BB4DAC" w14:textId="7060A19C">
      <w:r>
        <w:lastRenderedPageBreak/>
        <w:t>ACF has</w:t>
      </w:r>
      <w:r w:rsidRPr="00371059">
        <w:t xml:space="preserve"> begun the process to revise the package to request an increase the estimated number of respondents through the current expiration date (7/31/2022). The 60-day comment period related to this revision request </w:t>
      </w:r>
      <w:r>
        <w:t>began</w:t>
      </w:r>
      <w:r w:rsidRPr="00371059">
        <w:t xml:space="preserve"> on October 13, 2020 (85 FR 64480) and we intend to submit the request for the revision as soon as possible once the initial comment period is complete and any comments have been addressed, as needed.</w:t>
      </w:r>
    </w:p>
    <w:p w:rsidRPr="00E56359" w:rsidR="00E90AF0" w:rsidP="00E56359" w:rsidRDefault="00B91D97" w14:paraId="58295B48" w14:textId="77777777">
      <w:pPr>
        <w:pStyle w:val="Heading4"/>
        <w:spacing w:after="120"/>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459FCD38" w14:textId="77777777">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 xml:space="preserve">We may consult with stakeholders and experts, as appropriate. </w:t>
      </w:r>
      <w:r w:rsidRPr="00F97C94" w:rsidR="00183748">
        <w:rPr>
          <w:rFonts w:ascii="TimesNewRoman" w:hAnsi="TimesNewRoman" w:cs="TimesNewRoman"/>
        </w:rPr>
        <w:t xml:space="preserve">Relevant information about consultations will be included with each </w:t>
      </w:r>
      <w:proofErr w:type="spellStart"/>
      <w:proofErr w:type="gramStart"/>
      <w:r w:rsidRPr="00F97C94" w:rsidR="00183748">
        <w:rPr>
          <w:rFonts w:ascii="TimesNewRoman" w:hAnsi="TimesNewRoman" w:cs="TimesNewRoman"/>
        </w:rPr>
        <w:t>GenIC</w:t>
      </w:r>
      <w:proofErr w:type="spellEnd"/>
      <w:proofErr w:type="gramEnd"/>
      <w:r w:rsidRPr="00F97C94" w:rsidR="00183748">
        <w:rPr>
          <w:rFonts w:ascii="TimesNewRoman" w:hAnsi="TimesNewRoman" w:cs="TimesNewRoman"/>
        </w:rPr>
        <w:t xml:space="preserve"> request.</w:t>
      </w:r>
    </w:p>
    <w:p w:rsidRPr="00F97C94" w:rsidR="00D77219" w:rsidP="00292B70" w:rsidRDefault="00D77219" w14:paraId="1E90C50C" w14:textId="77777777">
      <w:pPr>
        <w:rPr>
          <w:b/>
        </w:rPr>
      </w:pPr>
    </w:p>
    <w:p w:rsidRPr="00F97C94" w:rsidR="00D77219" w:rsidP="00292B70" w:rsidRDefault="00D77219" w14:paraId="32E41FD2" w14:textId="77777777">
      <w:pPr>
        <w:rPr>
          <w:b/>
        </w:rPr>
      </w:pPr>
    </w:p>
    <w:p w:rsidRPr="00F97C94" w:rsidR="00945CD6" w:rsidP="00E06440" w:rsidRDefault="00292B70" w14:paraId="74A5998C" w14:textId="77777777">
      <w:pPr>
        <w:spacing w:after="120"/>
        <w:rPr>
          <w:b/>
        </w:rPr>
      </w:pPr>
      <w:r w:rsidRPr="00F97C94">
        <w:rPr>
          <w:b/>
        </w:rPr>
        <w:t xml:space="preserve">A9. </w:t>
      </w:r>
      <w:r w:rsidRPr="00F97C94" w:rsidR="00B66874">
        <w:rPr>
          <w:b/>
        </w:rPr>
        <w:t>Incentives for</w:t>
      </w:r>
      <w:r w:rsidRPr="00F97C94" w:rsidR="00945CD6">
        <w:rPr>
          <w:b/>
        </w:rPr>
        <w:t xml:space="preserve"> Respondents</w:t>
      </w:r>
    </w:p>
    <w:p w:rsidRPr="00F97C94" w:rsidR="00183748" w:rsidP="00B45C1A" w:rsidRDefault="00BE186C" w14:paraId="10007D0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2E651A" w:rsidR="00967D74">
        <w:t>uestionnaires</w:t>
      </w:r>
      <w:r w:rsidRPr="00F97C94" w:rsidR="00967D74">
        <w:t>/surveys.</w:t>
      </w:r>
    </w:p>
    <w:p w:rsidRPr="00F97C94" w:rsidR="00183748" w:rsidP="00B45C1A" w:rsidRDefault="00183748"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32B7491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6"/>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6476FC3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43B788F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730DB57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FF81C67" w14:textId="77777777">
      <w:pPr>
        <w:numPr>
          <w:ilvl w:val="0"/>
          <w:numId w:val="18"/>
        </w:numPr>
        <w:spacing w:after="60"/>
        <w:rPr>
          <w:b/>
        </w:rPr>
      </w:pPr>
      <w:r w:rsidRPr="00F97C94">
        <w:t>Focus groups</w:t>
      </w:r>
      <w:r w:rsidRPr="00F97C94" w:rsidR="00A93AB2">
        <w:t xml:space="preserve"> where participa</w:t>
      </w:r>
      <w:r w:rsidR="0010736A">
        <w:t>n</w:t>
      </w:r>
      <w:r w:rsidRPr="00F97C94" w:rsidR="00A93AB2">
        <w:t>ts are expected to travel to a central site</w:t>
      </w:r>
      <w:r w:rsidRPr="00F97C94">
        <w:t>: Up to $75</w:t>
      </w:r>
    </w:p>
    <w:p w:rsidRPr="00F97C94" w:rsidR="00F65942" w:rsidP="00842E4D" w:rsidRDefault="00A93AB2" w14:paraId="1C668AD7" w14:textId="77777777">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are expected to travel to a central site</w:t>
      </w:r>
      <w:r w:rsidRPr="00F97C94" w:rsidR="00F65942">
        <w:t>: Up to $40</w:t>
      </w:r>
    </w:p>
    <w:p w:rsidRPr="005C63E5" w:rsidR="005C63E5" w:rsidP="00842E4D" w:rsidRDefault="005C63E5" w14:paraId="24E9117B" w14:textId="77777777">
      <w:pPr>
        <w:numPr>
          <w:ilvl w:val="0"/>
          <w:numId w:val="18"/>
        </w:numPr>
        <w:rPr>
          <w:b/>
        </w:rPr>
      </w:pPr>
      <w:r w:rsidRPr="005C63E5">
        <w:t>Questionnaires/Surveys: TBD, under special circumstances</w:t>
      </w:r>
    </w:p>
    <w:p w:rsidRPr="00F97C94" w:rsidR="00F65942" w:rsidP="00842E4D" w:rsidRDefault="00F65942" w14:paraId="1C505814" w14:textId="77777777"/>
    <w:p w:rsidRPr="00F97C94" w:rsidR="00F65942" w:rsidP="00363B83" w:rsidRDefault="00F65942" w14:paraId="514FBA2D" w14:textId="446412B3">
      <w:pPr>
        <w:spacing w:after="120"/>
      </w:pPr>
      <w:r w:rsidRPr="00F97C94">
        <w:t>For any collection over 90 minutes, participants may be offered an incentive to account for incidental expenses (transportation, child care, etc.).</w:t>
      </w:r>
    </w:p>
    <w:p w:rsidRPr="00F97C94" w:rsidR="00F65942" w:rsidP="00DE169E" w:rsidRDefault="00F65942" w14:paraId="7AA6320D" w14:textId="77777777">
      <w:pPr>
        <w:spacing w:after="120"/>
        <w:rPr>
          <w:b/>
        </w:rPr>
      </w:pPr>
    </w:p>
    <w:p w:rsidRPr="00F97C94" w:rsidR="004222F8" w:rsidP="004222F8" w:rsidRDefault="004222F8" w14:paraId="54DB1787" w14:textId="77777777">
      <w:pPr>
        <w:spacing w:after="120"/>
        <w:rPr>
          <w:b/>
        </w:rPr>
      </w:pPr>
      <w:r w:rsidRPr="00F97C94">
        <w:rPr>
          <w:b/>
        </w:rPr>
        <w:t>A10. Privacy of Respondents</w:t>
      </w:r>
    </w:p>
    <w:p w:rsidRPr="00F97C94" w:rsidR="004222F8" w:rsidP="004222F8" w:rsidRDefault="004222F8" w14:paraId="74228B27"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6C4153B2" w14:textId="77777777">
      <w:pPr>
        <w:widowControl w:val="0"/>
        <w:autoSpaceDE w:val="0"/>
        <w:autoSpaceDN w:val="0"/>
        <w:adjustRightInd w:val="0"/>
        <w:rPr>
          <w:rFonts w:cs="Arial"/>
          <w:szCs w:val="26"/>
        </w:rPr>
      </w:pPr>
    </w:p>
    <w:p w:rsidRPr="00F97C94" w:rsidR="004222F8" w:rsidP="004222F8" w:rsidRDefault="00E9452C" w14:paraId="2134CFAC" w14:textId="77777777">
      <w:pPr>
        <w:widowControl w:val="0"/>
        <w:autoSpaceDE w:val="0"/>
        <w:autoSpaceDN w:val="0"/>
        <w:adjustRightInd w:val="0"/>
        <w:rPr>
          <w:rFonts w:cs="Arial"/>
          <w:szCs w:val="26"/>
        </w:rPr>
      </w:pPr>
      <w:r w:rsidRPr="00F97C94">
        <w:t xml:space="preserve">Individual statements will be included with each </w:t>
      </w:r>
      <w:proofErr w:type="spellStart"/>
      <w:r w:rsidR="00E56359">
        <w:t>GenIC</w:t>
      </w:r>
      <w:proofErr w:type="spellEnd"/>
      <w:r w:rsidRPr="00F97C94">
        <w:t xml:space="preserve">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proofErr w:type="gramStart"/>
      <w:r w:rsidRPr="00F97C94" w:rsidR="00363B83">
        <w:rPr>
          <w:rFonts w:cs="Arial"/>
          <w:szCs w:val="26"/>
        </w:rPr>
        <w:t>GenIC</w:t>
      </w:r>
      <w:proofErr w:type="spellEnd"/>
      <w:proofErr w:type="gram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020FC4A4" w14:textId="77777777">
      <w:pPr>
        <w:widowControl w:val="0"/>
        <w:autoSpaceDE w:val="0"/>
        <w:autoSpaceDN w:val="0"/>
        <w:adjustRightInd w:val="0"/>
        <w:rPr>
          <w:rFonts w:cs="Arial"/>
          <w:szCs w:val="26"/>
        </w:rPr>
      </w:pPr>
    </w:p>
    <w:p w:rsidRPr="00F97C94" w:rsidR="005046F0" w:rsidP="00D77219" w:rsidRDefault="00E9452C" w14:paraId="31F7822C"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F49AD78" w14:textId="77777777">
      <w:pPr>
        <w:rPr>
          <w:bdr w:val="none" w:color="auto" w:sz="0" w:space="0" w:frame="1"/>
        </w:rPr>
      </w:pPr>
    </w:p>
    <w:p w:rsidRPr="00F97C94" w:rsidR="00CA0C8E" w:rsidP="00CA0C8E" w:rsidRDefault="00CA0C8E" w14:paraId="4890E37B" w14:textId="77777777">
      <w:r w:rsidRPr="00F97C94">
        <w:rPr>
          <w:bdr w:val="none" w:color="auto" w:sz="0" w:space="0" w:frame="1"/>
        </w:rPr>
        <w:t>Information will not be maintained in a paper or electronic system from which they are actually or directly retrieved by an individuals’ personal identifier.</w:t>
      </w:r>
    </w:p>
    <w:p w:rsidR="00D77219" w:rsidP="00D77219" w:rsidRDefault="00D77219" w14:paraId="6AC62F7C" w14:textId="0CB558D4">
      <w:pPr>
        <w:widowControl w:val="0"/>
        <w:autoSpaceDE w:val="0"/>
        <w:autoSpaceDN w:val="0"/>
        <w:adjustRightInd w:val="0"/>
        <w:rPr>
          <w:rFonts w:cs="Tahoma"/>
          <w:szCs w:val="32"/>
        </w:rPr>
      </w:pPr>
    </w:p>
    <w:p w:rsidRPr="00F97C94" w:rsidR="00FA73FA" w:rsidP="00D77219" w:rsidRDefault="00FA73FA" w14:paraId="5018955E" w14:textId="77777777">
      <w:pPr>
        <w:widowControl w:val="0"/>
        <w:autoSpaceDE w:val="0"/>
        <w:autoSpaceDN w:val="0"/>
        <w:adjustRightInd w:val="0"/>
        <w:rPr>
          <w:rFonts w:cs="Tahoma"/>
          <w:szCs w:val="32"/>
        </w:rPr>
      </w:pPr>
    </w:p>
    <w:p w:rsidRPr="00F97C94" w:rsidR="00945CD6" w:rsidP="00E06440" w:rsidRDefault="00292B70" w14:paraId="5A271196" w14:textId="77777777">
      <w:pPr>
        <w:spacing w:after="120"/>
        <w:rPr>
          <w:b/>
        </w:rPr>
      </w:pPr>
      <w:r w:rsidRPr="00F97C94">
        <w:rPr>
          <w:b/>
        </w:rPr>
        <w:t xml:space="preserve">A11. </w:t>
      </w:r>
      <w:r w:rsidRPr="00F97C94" w:rsidR="00945CD6">
        <w:rPr>
          <w:b/>
        </w:rPr>
        <w:t>Sensitive Questions</w:t>
      </w:r>
    </w:p>
    <w:p w:rsidRPr="00F97C94" w:rsidR="00A11FCA" w:rsidP="00A11FCA" w:rsidRDefault="00A11FCA" w14:paraId="27DA8A8D" w14:textId="77777777">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proofErr w:type="gramStart"/>
      <w:r w:rsidRPr="00F97C94" w:rsidR="00CA0C8E">
        <w:rPr>
          <w:rFonts w:ascii="TimesNewRoman" w:hAnsi="TimesNewRoman" w:cs="TimesNewRoman"/>
        </w:rPr>
        <w:t>GenIC</w:t>
      </w:r>
      <w:proofErr w:type="spellEnd"/>
      <w:proofErr w:type="gramEnd"/>
      <w:r w:rsidRPr="00F97C94" w:rsidR="007F2FB5">
        <w:rPr>
          <w:rFonts w:ascii="TimesNewRoman" w:hAnsi="TimesNewRoman" w:cs="TimesNewRoman"/>
        </w:rPr>
        <w:t xml:space="preserve"> request</w:t>
      </w:r>
      <w:r w:rsidRPr="00F97C94">
        <w:rPr>
          <w:rFonts w:ascii="TimesNewRoman" w:hAnsi="TimesNewRoman" w:cs="TimesNewRoman"/>
        </w:rPr>
        <w:t>.</w:t>
      </w:r>
    </w:p>
    <w:p w:rsidRPr="001238AE" w:rsidR="005F738F" w:rsidP="00E06440" w:rsidRDefault="00292B70" w14:paraId="1028927B" w14:textId="2E8C5E8F">
      <w:pPr>
        <w:spacing w:after="120"/>
        <w:rPr>
          <w:b/>
        </w:rPr>
      </w:pPr>
      <w:r w:rsidRPr="00F97C94">
        <w:rPr>
          <w:b/>
        </w:rPr>
        <w:lastRenderedPageBreak/>
        <w:t xml:space="preserve">A12. </w:t>
      </w:r>
      <w:r w:rsidRPr="00F97C94" w:rsidR="00945CD6">
        <w:rPr>
          <w:b/>
        </w:rPr>
        <w:t>Estimation of Information Collection Burden</w:t>
      </w:r>
    </w:p>
    <w:p w:rsidRPr="00F97C94" w:rsidR="00A11FCA" w:rsidP="00A11FCA" w:rsidRDefault="00F975E8" w14:paraId="7F884256" w14:textId="5BEB4BC8">
      <w:pPr>
        <w:autoSpaceDE w:val="0"/>
        <w:autoSpaceDN w:val="0"/>
        <w:adjustRightInd w:val="0"/>
        <w:rPr>
          <w:rFonts w:ascii="TimesNewRoman" w:hAnsi="TimesNewRoman" w:cs="TimesNewRoman"/>
        </w:rPr>
      </w:pPr>
      <w:r w:rsidRPr="00F97C94">
        <w:rPr>
          <w:rFonts w:ascii="TimesNewRoman" w:hAnsi="TimesNewRoman" w:cs="TimesNewRoman"/>
        </w:rPr>
        <w:t xml:space="preserve">The </w:t>
      </w:r>
      <w:r w:rsidRPr="00F97C94" w:rsidR="00A11FCA">
        <w:rPr>
          <w:rFonts w:ascii="TimesNewRoman" w:hAnsi="TimesNewRoman" w:cs="TimesNewRoman"/>
        </w:rPr>
        <w:t>estimate</w:t>
      </w:r>
      <w:r w:rsidRPr="00F97C94">
        <w:rPr>
          <w:rFonts w:ascii="TimesNewRoman" w:hAnsi="TimesNewRoman" w:cs="TimesNewRoman"/>
        </w:rPr>
        <w:t xml:space="preserve">d burden for this </w:t>
      </w:r>
      <w:r w:rsidR="002E651A">
        <w:rPr>
          <w:rFonts w:ascii="TimesNewRoman" w:hAnsi="TimesNewRoman" w:cs="TimesNewRoman"/>
        </w:rPr>
        <w:t xml:space="preserve">overarching generic request is based </w:t>
      </w:r>
      <w:r w:rsidR="004A4D06">
        <w:rPr>
          <w:rFonts w:ascii="TimesNewRoman" w:hAnsi="TimesNewRoman" w:cs="TimesNewRoman"/>
        </w:rPr>
        <w:t xml:space="preserve">use since initial approval in July 2019. </w:t>
      </w:r>
      <w:r w:rsidRPr="00371059" w:rsidR="004A4D06">
        <w:t>Due to the success of this generic mechanism,</w:t>
      </w:r>
      <w:r w:rsidR="004A4D06">
        <w:t xml:space="preserve"> we are requesting an increase to the estimated burden. </w:t>
      </w:r>
      <w:r w:rsidR="004A4D06">
        <w:rPr>
          <w:rFonts w:ascii="TimesNewRoman" w:hAnsi="TimesNewRoman" w:cs="TimesNewRoman"/>
        </w:rPr>
        <w:t xml:space="preserve">This generic was originally approved for </w:t>
      </w:r>
      <w:r w:rsidR="001238AE">
        <w:rPr>
          <w:rFonts w:ascii="TimesNewRoman" w:hAnsi="TimesNewRoman" w:cs="TimesNewRoman"/>
        </w:rPr>
        <w:t>8,250</w:t>
      </w:r>
      <w:r w:rsidR="002E651A">
        <w:rPr>
          <w:rFonts w:ascii="TimesNewRoman" w:hAnsi="TimesNewRoman" w:cs="TimesNewRoman"/>
        </w:rPr>
        <w:t xml:space="preserve"> burden hours over the three year clearance period. </w:t>
      </w:r>
    </w:p>
    <w:p w:rsidRPr="00F97C94" w:rsidR="00F92574" w:rsidP="00A11FCA" w:rsidRDefault="00F92574" w14:paraId="2965CC4A" w14:textId="77777777">
      <w:pPr>
        <w:autoSpaceDE w:val="0"/>
        <w:autoSpaceDN w:val="0"/>
        <w:adjustRightInd w:val="0"/>
        <w:rPr>
          <w:rFonts w:ascii="TimesNewRoman" w:hAnsi="TimesNewRoman" w:cs="TimesNewRoman"/>
        </w:rPr>
      </w:pPr>
    </w:p>
    <w:p w:rsidR="00AF3E5B" w:rsidP="00842E4D" w:rsidRDefault="00AF3E5B" w14:paraId="415AEDDA" w14:textId="29F2F7E9">
      <w:r w:rsidRPr="002E651A">
        <w:t xml:space="preserve">The </w:t>
      </w:r>
      <w:r w:rsidRPr="00AF3E5B">
        <w:t>burden table</w:t>
      </w:r>
      <w:r w:rsidR="004A4D06">
        <w:t>s</w:t>
      </w:r>
      <w:r w:rsidRPr="00AF3E5B">
        <w:t xml:space="preserve"> below </w:t>
      </w:r>
      <w:r w:rsidR="004A4D06">
        <w:t>are</w:t>
      </w:r>
      <w:r w:rsidRPr="002E651A" w:rsidR="004A4D06">
        <w:t xml:space="preserve"> </w:t>
      </w:r>
      <w:r w:rsidRPr="002E651A">
        <w:t>illustrative</w:t>
      </w:r>
      <w:r>
        <w:t>.</w:t>
      </w:r>
      <w:r w:rsidRPr="002E651A">
        <w:t xml:space="preserve"> </w:t>
      </w:r>
      <w:r>
        <w:t>W</w:t>
      </w:r>
      <w:r w:rsidR="006F34DA">
        <w:t>hil</w:t>
      </w:r>
      <w:r>
        <w:t>e</w:t>
      </w:r>
      <w:r w:rsidR="006F34DA">
        <w:t xml:space="preserve"> we</w:t>
      </w:r>
      <w:r>
        <w:t xml:space="preserve"> will not exceed the total burden cap for this generic, </w:t>
      </w:r>
      <w:r w:rsidR="006F34DA">
        <w:t xml:space="preserve">we may use more or less burden within each instrument type. </w:t>
      </w:r>
      <w:r>
        <w:t xml:space="preserve"> </w:t>
      </w:r>
    </w:p>
    <w:p w:rsidRPr="00AF3E5B" w:rsidR="002E651A" w:rsidP="00842E4D" w:rsidRDefault="002E651A" w14:paraId="58639C29" w14:textId="77777777">
      <w:pPr>
        <w:rPr>
          <w:rFonts w:ascii="TimesNewRoman" w:hAnsi="TimesNewRoman"/>
        </w:rPr>
      </w:pPr>
    </w:p>
    <w:p w:rsidRPr="001418A3" w:rsidR="00A35B0D" w:rsidP="001418A3" w:rsidRDefault="004A4D06" w14:paraId="188EEFAD" w14:textId="55369EA4">
      <w:pPr>
        <w:spacing w:after="120"/>
        <w:rPr>
          <w:i/>
        </w:rPr>
      </w:pPr>
      <w:r w:rsidRPr="00E47C96">
        <w:rPr>
          <w:i/>
        </w:rPr>
        <w:t>Previously Approved Burden</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17"/>
        <w:gridCol w:w="1360"/>
        <w:gridCol w:w="1378"/>
        <w:gridCol w:w="983"/>
        <w:gridCol w:w="1123"/>
        <w:gridCol w:w="894"/>
        <w:gridCol w:w="1495"/>
      </w:tblGrid>
      <w:tr w:rsidRPr="00F97C94" w:rsidR="00E06440" w:rsidTr="00C32128" w14:paraId="48E61CA6" w14:textId="77777777">
        <w:trPr>
          <w:jc w:val="center"/>
        </w:trPr>
        <w:tc>
          <w:tcPr>
            <w:tcW w:w="2029" w:type="dxa"/>
            <w:shd w:val="clear" w:color="auto" w:fill="BFBFBF"/>
            <w:vAlign w:val="center"/>
          </w:tcPr>
          <w:p w:rsidRPr="001238AE" w:rsidR="00C53238" w:rsidP="00124EBF" w:rsidRDefault="00C53238" w14:paraId="3E8D84B5" w14:textId="77777777">
            <w:pPr>
              <w:jc w:val="center"/>
              <w:rPr>
                <w:sz w:val="20"/>
                <w:szCs w:val="20"/>
              </w:rPr>
            </w:pPr>
            <w:r w:rsidRPr="001238AE">
              <w:rPr>
                <w:sz w:val="20"/>
                <w:szCs w:val="20"/>
              </w:rPr>
              <w:t>Instrument</w:t>
            </w:r>
            <w:r w:rsidRPr="001238AE" w:rsidR="00DE169E">
              <w:rPr>
                <w:sz w:val="20"/>
                <w:szCs w:val="20"/>
              </w:rPr>
              <w:t xml:space="preserve"> Type</w:t>
            </w:r>
          </w:p>
        </w:tc>
        <w:tc>
          <w:tcPr>
            <w:tcW w:w="1386" w:type="dxa"/>
            <w:shd w:val="clear" w:color="auto" w:fill="BFBFBF"/>
            <w:vAlign w:val="center"/>
          </w:tcPr>
          <w:p w:rsidRPr="001238AE" w:rsidR="00C53238" w:rsidP="00124EBF" w:rsidRDefault="00DE169E" w14:paraId="5628F652" w14:textId="77777777">
            <w:pPr>
              <w:jc w:val="center"/>
              <w:rPr>
                <w:sz w:val="20"/>
                <w:szCs w:val="20"/>
              </w:rPr>
            </w:pPr>
            <w:r w:rsidRPr="001238AE">
              <w:rPr>
                <w:sz w:val="20"/>
                <w:szCs w:val="20"/>
              </w:rPr>
              <w:t xml:space="preserve">Estimated </w:t>
            </w:r>
            <w:r w:rsidRPr="001238AE" w:rsidR="00C53238">
              <w:rPr>
                <w:sz w:val="20"/>
                <w:szCs w:val="20"/>
              </w:rPr>
              <w:t>Total Number of Respondents</w:t>
            </w:r>
          </w:p>
        </w:tc>
        <w:tc>
          <w:tcPr>
            <w:tcW w:w="1424" w:type="dxa"/>
            <w:shd w:val="clear" w:color="auto" w:fill="BFBFBF"/>
            <w:vAlign w:val="center"/>
          </w:tcPr>
          <w:p w:rsidRPr="001238AE" w:rsidR="00C53238" w:rsidP="00447482" w:rsidRDefault="00447482" w14:paraId="7C7E92C9" w14:textId="77777777">
            <w:pPr>
              <w:jc w:val="center"/>
              <w:rPr>
                <w:sz w:val="20"/>
                <w:szCs w:val="20"/>
              </w:rPr>
            </w:pPr>
            <w:r w:rsidRPr="001238AE">
              <w:rPr>
                <w:sz w:val="20"/>
                <w:szCs w:val="20"/>
              </w:rPr>
              <w:t xml:space="preserve">Estimated </w:t>
            </w:r>
            <w:r w:rsidRPr="001238AE" w:rsidR="00C53238">
              <w:rPr>
                <w:sz w:val="20"/>
                <w:szCs w:val="20"/>
              </w:rPr>
              <w:t>Number of Responses Per Respondent</w:t>
            </w:r>
          </w:p>
        </w:tc>
        <w:tc>
          <w:tcPr>
            <w:tcW w:w="948" w:type="dxa"/>
            <w:shd w:val="clear" w:color="auto" w:fill="BFBFBF"/>
            <w:vAlign w:val="center"/>
          </w:tcPr>
          <w:p w:rsidRPr="001238AE" w:rsidR="00C53238" w:rsidP="00124EBF" w:rsidRDefault="00C53238" w14:paraId="1ED2118C" w14:textId="77777777">
            <w:pPr>
              <w:jc w:val="center"/>
              <w:rPr>
                <w:sz w:val="20"/>
                <w:szCs w:val="20"/>
              </w:rPr>
            </w:pPr>
            <w:r w:rsidRPr="001238AE">
              <w:rPr>
                <w:sz w:val="20"/>
                <w:szCs w:val="20"/>
              </w:rPr>
              <w:t>Average Burden Hours Per Response</w:t>
            </w:r>
          </w:p>
        </w:tc>
        <w:tc>
          <w:tcPr>
            <w:tcW w:w="1146" w:type="dxa"/>
            <w:shd w:val="clear" w:color="auto" w:fill="BFBFBF"/>
            <w:vAlign w:val="center"/>
          </w:tcPr>
          <w:p w:rsidRPr="001238AE" w:rsidR="00C53238" w:rsidP="00124EBF" w:rsidRDefault="00447482" w14:paraId="7BF7EA51" w14:textId="77777777">
            <w:pPr>
              <w:jc w:val="center"/>
              <w:rPr>
                <w:bCs/>
                <w:sz w:val="20"/>
                <w:szCs w:val="20"/>
              </w:rPr>
            </w:pPr>
            <w:r w:rsidRPr="001238AE">
              <w:rPr>
                <w:bCs/>
                <w:sz w:val="20"/>
                <w:szCs w:val="20"/>
              </w:rPr>
              <w:t xml:space="preserve">Estimated </w:t>
            </w:r>
            <w:r w:rsidRPr="001238AE" w:rsidR="00C53238">
              <w:rPr>
                <w:bCs/>
                <w:sz w:val="20"/>
                <w:szCs w:val="20"/>
              </w:rPr>
              <w:t>Total Burden Hours</w:t>
            </w:r>
          </w:p>
        </w:tc>
        <w:tc>
          <w:tcPr>
            <w:tcW w:w="863" w:type="dxa"/>
            <w:shd w:val="clear" w:color="auto" w:fill="BFBFBF"/>
            <w:vAlign w:val="center"/>
          </w:tcPr>
          <w:p w:rsidRPr="001238AE" w:rsidR="00C53238" w:rsidP="00124EBF" w:rsidRDefault="00C53238" w14:paraId="70E52A0C" w14:textId="77777777">
            <w:pPr>
              <w:jc w:val="center"/>
              <w:rPr>
                <w:sz w:val="20"/>
                <w:szCs w:val="20"/>
              </w:rPr>
            </w:pPr>
            <w:r w:rsidRPr="001238AE">
              <w:rPr>
                <w:bCs/>
                <w:sz w:val="20"/>
                <w:szCs w:val="20"/>
              </w:rPr>
              <w:t>Average Hourly Wage</w:t>
            </w:r>
          </w:p>
        </w:tc>
        <w:tc>
          <w:tcPr>
            <w:tcW w:w="1554" w:type="dxa"/>
            <w:shd w:val="clear" w:color="auto" w:fill="BFBFBF"/>
            <w:vAlign w:val="center"/>
          </w:tcPr>
          <w:p w:rsidRPr="001238AE" w:rsidR="00C53238" w:rsidP="00363B83" w:rsidRDefault="00C53238" w14:paraId="228AFBAF" w14:textId="77777777">
            <w:pPr>
              <w:jc w:val="center"/>
              <w:rPr>
                <w:bCs/>
                <w:sz w:val="20"/>
                <w:szCs w:val="20"/>
              </w:rPr>
            </w:pPr>
            <w:r w:rsidRPr="001238AE">
              <w:rPr>
                <w:bCs/>
                <w:sz w:val="20"/>
                <w:szCs w:val="20"/>
              </w:rPr>
              <w:t>Cost per respondent</w:t>
            </w:r>
          </w:p>
        </w:tc>
      </w:tr>
      <w:tr w:rsidRPr="00F97C94" w:rsidR="00E06440" w:rsidTr="00C32128" w14:paraId="04DC6EDB" w14:textId="77777777">
        <w:trPr>
          <w:trHeight w:val="432"/>
          <w:jc w:val="center"/>
        </w:trPr>
        <w:tc>
          <w:tcPr>
            <w:tcW w:w="2029" w:type="dxa"/>
            <w:vAlign w:val="center"/>
          </w:tcPr>
          <w:p w:rsidRPr="001238AE" w:rsidR="00C53238" w:rsidP="00363B83" w:rsidRDefault="00C53238" w14:paraId="3EE5EF5C" w14:textId="77777777">
            <w:pPr>
              <w:tabs>
                <w:tab w:val="center" w:pos="4320"/>
                <w:tab w:val="right" w:pos="8640"/>
              </w:tabs>
              <w:rPr>
                <w:sz w:val="20"/>
                <w:szCs w:val="20"/>
              </w:rPr>
            </w:pPr>
            <w:r w:rsidRPr="001238AE">
              <w:rPr>
                <w:sz w:val="20"/>
                <w:szCs w:val="20"/>
              </w:rPr>
              <w:t>Semi-Structured Discussion</w:t>
            </w:r>
            <w:r w:rsidRPr="001238AE" w:rsidR="00363B83">
              <w:rPr>
                <w:sz w:val="20"/>
                <w:szCs w:val="20"/>
              </w:rPr>
              <w:t>s and Focus Groups</w:t>
            </w:r>
          </w:p>
        </w:tc>
        <w:tc>
          <w:tcPr>
            <w:tcW w:w="1386" w:type="dxa"/>
            <w:vAlign w:val="center"/>
          </w:tcPr>
          <w:p w:rsidRPr="001238AE" w:rsidR="00C53238" w:rsidP="00BE2E8E" w:rsidRDefault="00541A03" w14:paraId="161C7B36" w14:textId="5928F6DE">
            <w:pPr>
              <w:tabs>
                <w:tab w:val="center" w:pos="4320"/>
                <w:tab w:val="right" w:pos="8640"/>
              </w:tabs>
              <w:jc w:val="center"/>
              <w:rPr>
                <w:sz w:val="20"/>
                <w:szCs w:val="20"/>
              </w:rPr>
            </w:pPr>
            <w:r w:rsidRPr="001238AE">
              <w:rPr>
                <w:sz w:val="20"/>
                <w:szCs w:val="20"/>
              </w:rPr>
              <w:t>2000</w:t>
            </w:r>
          </w:p>
        </w:tc>
        <w:tc>
          <w:tcPr>
            <w:tcW w:w="1424" w:type="dxa"/>
            <w:vAlign w:val="center"/>
          </w:tcPr>
          <w:p w:rsidRPr="001238AE" w:rsidR="00C53238" w:rsidP="00BE2E8E" w:rsidRDefault="00C53238" w14:paraId="5DAF717A" w14:textId="77777777">
            <w:pPr>
              <w:tabs>
                <w:tab w:val="center" w:pos="4320"/>
                <w:tab w:val="right" w:pos="8640"/>
              </w:tabs>
              <w:jc w:val="center"/>
              <w:rPr>
                <w:sz w:val="20"/>
                <w:szCs w:val="20"/>
              </w:rPr>
            </w:pPr>
            <w:r w:rsidRPr="001238AE">
              <w:rPr>
                <w:sz w:val="20"/>
                <w:szCs w:val="20"/>
              </w:rPr>
              <w:t>1</w:t>
            </w:r>
          </w:p>
        </w:tc>
        <w:tc>
          <w:tcPr>
            <w:tcW w:w="948" w:type="dxa"/>
            <w:vAlign w:val="center"/>
          </w:tcPr>
          <w:p w:rsidRPr="001238AE" w:rsidR="00C53238" w:rsidP="00BE2E8E" w:rsidRDefault="00DE169E" w14:paraId="2EA12B44" w14:textId="77777777">
            <w:pPr>
              <w:tabs>
                <w:tab w:val="center" w:pos="4320"/>
                <w:tab w:val="right" w:pos="8640"/>
              </w:tabs>
              <w:jc w:val="center"/>
              <w:rPr>
                <w:sz w:val="20"/>
                <w:szCs w:val="20"/>
              </w:rPr>
            </w:pPr>
            <w:r w:rsidRPr="001238AE">
              <w:rPr>
                <w:sz w:val="20"/>
                <w:szCs w:val="20"/>
              </w:rPr>
              <w:t>2</w:t>
            </w:r>
          </w:p>
        </w:tc>
        <w:tc>
          <w:tcPr>
            <w:tcW w:w="1146" w:type="dxa"/>
            <w:vAlign w:val="center"/>
          </w:tcPr>
          <w:p w:rsidRPr="001238AE" w:rsidR="00C53238" w:rsidP="00E108A6" w:rsidRDefault="00541A03" w14:paraId="7805904A" w14:textId="13938D59">
            <w:pPr>
              <w:tabs>
                <w:tab w:val="center" w:pos="4320"/>
                <w:tab w:val="right" w:pos="8640"/>
              </w:tabs>
              <w:jc w:val="center"/>
              <w:rPr>
                <w:sz w:val="20"/>
                <w:szCs w:val="20"/>
              </w:rPr>
            </w:pPr>
            <w:r w:rsidRPr="001238AE">
              <w:rPr>
                <w:sz w:val="20"/>
                <w:szCs w:val="20"/>
              </w:rPr>
              <w:t>4000</w:t>
            </w:r>
          </w:p>
        </w:tc>
        <w:tc>
          <w:tcPr>
            <w:tcW w:w="863" w:type="dxa"/>
            <w:vAlign w:val="center"/>
          </w:tcPr>
          <w:p w:rsidRPr="001238AE" w:rsidR="00C53238" w:rsidP="00732CDF" w:rsidRDefault="00A33A77" w14:paraId="087D56C1" w14:textId="77777777">
            <w:pPr>
              <w:tabs>
                <w:tab w:val="center" w:pos="4320"/>
                <w:tab w:val="right" w:pos="8640"/>
              </w:tabs>
              <w:jc w:val="center"/>
              <w:rPr>
                <w:sz w:val="20"/>
                <w:szCs w:val="20"/>
              </w:rPr>
            </w:pPr>
            <w:r w:rsidRPr="001238AE">
              <w:rPr>
                <w:sz w:val="20"/>
                <w:szCs w:val="20"/>
              </w:rPr>
              <w:t>$</w:t>
            </w:r>
            <w:r w:rsidRPr="001238AE" w:rsidR="00732CDF">
              <w:rPr>
                <w:sz w:val="20"/>
                <w:szCs w:val="20"/>
              </w:rPr>
              <w:t>20.23</w:t>
            </w:r>
          </w:p>
        </w:tc>
        <w:tc>
          <w:tcPr>
            <w:tcW w:w="1554" w:type="dxa"/>
            <w:vAlign w:val="center"/>
          </w:tcPr>
          <w:p w:rsidRPr="001238AE" w:rsidR="00BE2E8E" w:rsidP="001238AE" w:rsidRDefault="004557B6" w14:paraId="4B75E4EE" w14:textId="1EA25BFC">
            <w:pPr>
              <w:tabs>
                <w:tab w:val="center" w:pos="4320"/>
                <w:tab w:val="right" w:pos="8640"/>
              </w:tabs>
              <w:jc w:val="center"/>
              <w:rPr>
                <w:sz w:val="20"/>
                <w:szCs w:val="20"/>
              </w:rPr>
            </w:pPr>
            <w:r w:rsidRPr="001238AE">
              <w:rPr>
                <w:sz w:val="20"/>
                <w:szCs w:val="20"/>
              </w:rPr>
              <w:t>$</w:t>
            </w:r>
            <w:r w:rsidRPr="001238AE" w:rsidR="001238AE">
              <w:rPr>
                <w:sz w:val="20"/>
                <w:szCs w:val="20"/>
              </w:rPr>
              <w:t>80,920.00</w:t>
            </w:r>
          </w:p>
        </w:tc>
      </w:tr>
      <w:tr w:rsidRPr="00F97C94" w:rsidR="00E06440" w:rsidTr="00C32128" w14:paraId="0064DFE4" w14:textId="77777777">
        <w:trPr>
          <w:trHeight w:val="432"/>
          <w:jc w:val="center"/>
        </w:trPr>
        <w:tc>
          <w:tcPr>
            <w:tcW w:w="2029" w:type="dxa"/>
            <w:vAlign w:val="center"/>
          </w:tcPr>
          <w:p w:rsidRPr="001238AE" w:rsidR="00363B83" w:rsidP="00FD7600" w:rsidRDefault="00363B83" w14:paraId="17958CB8" w14:textId="77777777">
            <w:pPr>
              <w:tabs>
                <w:tab w:val="center" w:pos="4320"/>
                <w:tab w:val="right" w:pos="8640"/>
              </w:tabs>
              <w:rPr>
                <w:sz w:val="20"/>
                <w:szCs w:val="20"/>
              </w:rPr>
            </w:pPr>
            <w:r w:rsidRPr="001238AE">
              <w:rPr>
                <w:sz w:val="20"/>
                <w:szCs w:val="20"/>
              </w:rPr>
              <w:t>Interviews</w:t>
            </w:r>
          </w:p>
        </w:tc>
        <w:tc>
          <w:tcPr>
            <w:tcW w:w="1386" w:type="dxa"/>
            <w:vAlign w:val="center"/>
          </w:tcPr>
          <w:p w:rsidRPr="001238AE" w:rsidR="00363B83" w:rsidP="00BE2E8E" w:rsidRDefault="00541A03" w14:paraId="5F443B6B" w14:textId="55AFA56B">
            <w:pPr>
              <w:tabs>
                <w:tab w:val="center" w:pos="4320"/>
                <w:tab w:val="right" w:pos="8640"/>
              </w:tabs>
              <w:jc w:val="center"/>
              <w:rPr>
                <w:sz w:val="20"/>
                <w:szCs w:val="20"/>
              </w:rPr>
            </w:pPr>
            <w:r w:rsidRPr="001238AE">
              <w:rPr>
                <w:sz w:val="20"/>
                <w:szCs w:val="20"/>
              </w:rPr>
              <w:t>1000</w:t>
            </w:r>
          </w:p>
        </w:tc>
        <w:tc>
          <w:tcPr>
            <w:tcW w:w="1424" w:type="dxa"/>
            <w:vAlign w:val="center"/>
          </w:tcPr>
          <w:p w:rsidRPr="001238AE" w:rsidR="00363B83" w:rsidP="00BE2E8E" w:rsidRDefault="00DE169E" w14:paraId="57A86A23" w14:textId="77777777">
            <w:pPr>
              <w:tabs>
                <w:tab w:val="center" w:pos="4320"/>
                <w:tab w:val="right" w:pos="8640"/>
              </w:tabs>
              <w:jc w:val="center"/>
              <w:rPr>
                <w:sz w:val="20"/>
                <w:szCs w:val="20"/>
              </w:rPr>
            </w:pPr>
            <w:r w:rsidRPr="001238AE">
              <w:rPr>
                <w:sz w:val="20"/>
                <w:szCs w:val="20"/>
              </w:rPr>
              <w:t>1</w:t>
            </w:r>
          </w:p>
        </w:tc>
        <w:tc>
          <w:tcPr>
            <w:tcW w:w="948" w:type="dxa"/>
            <w:vAlign w:val="center"/>
          </w:tcPr>
          <w:p w:rsidRPr="001238AE" w:rsidR="00363B83" w:rsidP="00BE2E8E" w:rsidRDefault="00DE169E" w14:paraId="72FC9AA0" w14:textId="77777777">
            <w:pPr>
              <w:tabs>
                <w:tab w:val="center" w:pos="4320"/>
                <w:tab w:val="right" w:pos="8640"/>
              </w:tabs>
              <w:jc w:val="center"/>
              <w:rPr>
                <w:sz w:val="20"/>
                <w:szCs w:val="20"/>
              </w:rPr>
            </w:pPr>
            <w:r w:rsidRPr="001238AE">
              <w:rPr>
                <w:sz w:val="20"/>
                <w:szCs w:val="20"/>
              </w:rPr>
              <w:t>1</w:t>
            </w:r>
          </w:p>
        </w:tc>
        <w:tc>
          <w:tcPr>
            <w:tcW w:w="1146" w:type="dxa"/>
            <w:vAlign w:val="center"/>
          </w:tcPr>
          <w:p w:rsidRPr="001238AE" w:rsidR="00363B83" w:rsidDel="00C53238" w:rsidP="00E108A6" w:rsidRDefault="00541A03" w14:paraId="5FC4EB20" w14:textId="4E69CFAA">
            <w:pPr>
              <w:tabs>
                <w:tab w:val="center" w:pos="4320"/>
                <w:tab w:val="right" w:pos="8640"/>
              </w:tabs>
              <w:jc w:val="center"/>
              <w:rPr>
                <w:sz w:val="20"/>
                <w:szCs w:val="20"/>
              </w:rPr>
            </w:pPr>
            <w:r w:rsidRPr="001238AE">
              <w:rPr>
                <w:sz w:val="20"/>
                <w:szCs w:val="20"/>
              </w:rPr>
              <w:t>1000</w:t>
            </w:r>
          </w:p>
        </w:tc>
        <w:tc>
          <w:tcPr>
            <w:tcW w:w="863" w:type="dxa"/>
            <w:vAlign w:val="center"/>
          </w:tcPr>
          <w:p w:rsidRPr="001238AE" w:rsidR="00363B83" w:rsidP="00AC4DC6" w:rsidRDefault="00732CDF" w14:paraId="207D2655" w14:textId="77777777">
            <w:pPr>
              <w:tabs>
                <w:tab w:val="center" w:pos="4320"/>
                <w:tab w:val="right" w:pos="8640"/>
              </w:tabs>
              <w:jc w:val="center"/>
              <w:rPr>
                <w:sz w:val="20"/>
                <w:szCs w:val="20"/>
              </w:rPr>
            </w:pPr>
            <w:r w:rsidRPr="001238AE">
              <w:rPr>
                <w:sz w:val="20"/>
                <w:szCs w:val="20"/>
              </w:rPr>
              <w:t>$20.23</w:t>
            </w:r>
          </w:p>
        </w:tc>
        <w:tc>
          <w:tcPr>
            <w:tcW w:w="1554" w:type="dxa"/>
            <w:vAlign w:val="center"/>
          </w:tcPr>
          <w:p w:rsidRPr="001238AE" w:rsidR="00363B83" w:rsidP="001238AE" w:rsidRDefault="004557B6" w14:paraId="7C346072" w14:textId="34BAF25C">
            <w:pPr>
              <w:tabs>
                <w:tab w:val="center" w:pos="4320"/>
                <w:tab w:val="right" w:pos="8640"/>
              </w:tabs>
              <w:jc w:val="center"/>
              <w:rPr>
                <w:sz w:val="20"/>
                <w:szCs w:val="20"/>
              </w:rPr>
            </w:pPr>
            <w:r w:rsidRPr="001238AE">
              <w:rPr>
                <w:sz w:val="20"/>
                <w:szCs w:val="20"/>
              </w:rPr>
              <w:t>$</w:t>
            </w:r>
            <w:r w:rsidRPr="001238AE" w:rsidR="001238AE">
              <w:rPr>
                <w:sz w:val="20"/>
                <w:szCs w:val="20"/>
              </w:rPr>
              <w:t>20,230.00</w:t>
            </w:r>
          </w:p>
        </w:tc>
      </w:tr>
      <w:tr w:rsidRPr="00F97C94" w:rsidR="00E06440" w:rsidTr="00C32128" w14:paraId="613A1661" w14:textId="77777777">
        <w:trPr>
          <w:trHeight w:val="432"/>
          <w:jc w:val="center"/>
        </w:trPr>
        <w:tc>
          <w:tcPr>
            <w:tcW w:w="2029" w:type="dxa"/>
            <w:vAlign w:val="center"/>
          </w:tcPr>
          <w:p w:rsidRPr="001238AE" w:rsidR="00C53238" w:rsidP="00FD7600" w:rsidRDefault="00C53238" w14:paraId="38EDE5A7" w14:textId="77777777">
            <w:pPr>
              <w:tabs>
                <w:tab w:val="center" w:pos="4320"/>
                <w:tab w:val="right" w:pos="8640"/>
              </w:tabs>
              <w:rPr>
                <w:sz w:val="20"/>
                <w:szCs w:val="20"/>
              </w:rPr>
            </w:pPr>
            <w:r w:rsidRPr="001238AE">
              <w:rPr>
                <w:sz w:val="20"/>
                <w:szCs w:val="20"/>
              </w:rPr>
              <w:t>Questionnaires</w:t>
            </w:r>
            <w:r w:rsidRPr="001238AE" w:rsidR="00DE169E">
              <w:rPr>
                <w:sz w:val="20"/>
                <w:szCs w:val="20"/>
              </w:rPr>
              <w:t>/Surveys</w:t>
            </w:r>
          </w:p>
        </w:tc>
        <w:tc>
          <w:tcPr>
            <w:tcW w:w="1386" w:type="dxa"/>
            <w:vAlign w:val="center"/>
          </w:tcPr>
          <w:p w:rsidRPr="001238AE" w:rsidR="00C53238" w:rsidP="00541A03" w:rsidRDefault="00541A03" w14:paraId="198FF783" w14:textId="02F07F8E">
            <w:pPr>
              <w:tabs>
                <w:tab w:val="center" w:pos="4320"/>
                <w:tab w:val="right" w:pos="8640"/>
              </w:tabs>
              <w:jc w:val="center"/>
              <w:rPr>
                <w:sz w:val="20"/>
                <w:szCs w:val="20"/>
              </w:rPr>
            </w:pPr>
            <w:r w:rsidRPr="001238AE">
              <w:rPr>
                <w:sz w:val="20"/>
                <w:szCs w:val="20"/>
              </w:rPr>
              <w:t>10</w:t>
            </w:r>
            <w:r w:rsidRPr="001238AE" w:rsidR="00FA73FA">
              <w:rPr>
                <w:sz w:val="20"/>
                <w:szCs w:val="20"/>
              </w:rPr>
              <w:t>00</w:t>
            </w:r>
          </w:p>
        </w:tc>
        <w:tc>
          <w:tcPr>
            <w:tcW w:w="1424" w:type="dxa"/>
            <w:vAlign w:val="center"/>
          </w:tcPr>
          <w:p w:rsidRPr="001238AE" w:rsidR="00C53238" w:rsidP="00BE2E8E" w:rsidRDefault="00C53238" w14:paraId="43171529" w14:textId="30BB99ED">
            <w:pPr>
              <w:tabs>
                <w:tab w:val="center" w:pos="4320"/>
                <w:tab w:val="right" w:pos="8640"/>
              </w:tabs>
              <w:jc w:val="center"/>
              <w:rPr>
                <w:sz w:val="20"/>
                <w:szCs w:val="20"/>
              </w:rPr>
            </w:pPr>
            <w:r w:rsidRPr="001238AE">
              <w:rPr>
                <w:sz w:val="20"/>
                <w:szCs w:val="20"/>
              </w:rPr>
              <w:t>1</w:t>
            </w:r>
            <w:r w:rsidRPr="001238AE" w:rsidR="001238AE">
              <w:rPr>
                <w:sz w:val="20"/>
                <w:szCs w:val="20"/>
              </w:rPr>
              <w:t>.5</w:t>
            </w:r>
            <w:r w:rsidRPr="001238AE" w:rsidR="001238AE">
              <w:rPr>
                <w:rStyle w:val="FootnoteReference"/>
                <w:sz w:val="20"/>
                <w:szCs w:val="20"/>
              </w:rPr>
              <w:footnoteReference w:id="7"/>
            </w:r>
          </w:p>
        </w:tc>
        <w:tc>
          <w:tcPr>
            <w:tcW w:w="948" w:type="dxa"/>
            <w:vAlign w:val="center"/>
          </w:tcPr>
          <w:p w:rsidRPr="001238AE" w:rsidR="00C53238" w:rsidP="00BE2E8E" w:rsidRDefault="00C53238" w14:paraId="6793A50D" w14:textId="77777777">
            <w:pPr>
              <w:tabs>
                <w:tab w:val="center" w:pos="4320"/>
                <w:tab w:val="right" w:pos="8640"/>
              </w:tabs>
              <w:jc w:val="center"/>
              <w:rPr>
                <w:sz w:val="20"/>
                <w:szCs w:val="20"/>
              </w:rPr>
            </w:pPr>
            <w:r w:rsidRPr="001238AE">
              <w:rPr>
                <w:sz w:val="20"/>
                <w:szCs w:val="20"/>
              </w:rPr>
              <w:t>.5</w:t>
            </w:r>
          </w:p>
        </w:tc>
        <w:tc>
          <w:tcPr>
            <w:tcW w:w="1146" w:type="dxa"/>
            <w:vAlign w:val="center"/>
          </w:tcPr>
          <w:p w:rsidRPr="001238AE" w:rsidR="00C53238" w:rsidP="001238AE" w:rsidRDefault="001238AE" w14:paraId="262FD7CA" w14:textId="5F5A0CAD">
            <w:pPr>
              <w:tabs>
                <w:tab w:val="center" w:pos="4320"/>
                <w:tab w:val="right" w:pos="8640"/>
              </w:tabs>
              <w:jc w:val="center"/>
              <w:rPr>
                <w:sz w:val="20"/>
                <w:szCs w:val="20"/>
              </w:rPr>
            </w:pPr>
            <w:r w:rsidRPr="001238AE">
              <w:rPr>
                <w:sz w:val="20"/>
                <w:szCs w:val="20"/>
              </w:rPr>
              <w:t>7</w:t>
            </w:r>
            <w:r w:rsidRPr="001238AE" w:rsidR="00541A03">
              <w:rPr>
                <w:sz w:val="20"/>
                <w:szCs w:val="20"/>
              </w:rPr>
              <w:t>50</w:t>
            </w:r>
          </w:p>
        </w:tc>
        <w:tc>
          <w:tcPr>
            <w:tcW w:w="863" w:type="dxa"/>
            <w:vAlign w:val="center"/>
          </w:tcPr>
          <w:p w:rsidRPr="001238AE" w:rsidR="00C53238" w:rsidP="00AC4DC6" w:rsidRDefault="00732CDF" w14:paraId="147621B9" w14:textId="77777777">
            <w:pPr>
              <w:tabs>
                <w:tab w:val="center" w:pos="4320"/>
                <w:tab w:val="right" w:pos="8640"/>
              </w:tabs>
              <w:jc w:val="center"/>
              <w:rPr>
                <w:sz w:val="20"/>
                <w:szCs w:val="20"/>
              </w:rPr>
            </w:pPr>
            <w:r w:rsidRPr="001238AE">
              <w:rPr>
                <w:sz w:val="20"/>
                <w:szCs w:val="20"/>
              </w:rPr>
              <w:t>$20.23</w:t>
            </w:r>
          </w:p>
        </w:tc>
        <w:tc>
          <w:tcPr>
            <w:tcW w:w="1554" w:type="dxa"/>
            <w:vAlign w:val="center"/>
          </w:tcPr>
          <w:p w:rsidRPr="001238AE" w:rsidR="00C53238" w:rsidP="001238AE" w:rsidRDefault="004557B6" w14:paraId="12F878AC" w14:textId="27E61B2B">
            <w:pPr>
              <w:tabs>
                <w:tab w:val="center" w:pos="4320"/>
                <w:tab w:val="right" w:pos="8640"/>
              </w:tabs>
              <w:jc w:val="center"/>
              <w:rPr>
                <w:sz w:val="20"/>
                <w:szCs w:val="20"/>
              </w:rPr>
            </w:pPr>
            <w:r w:rsidRPr="001238AE">
              <w:rPr>
                <w:sz w:val="20"/>
                <w:szCs w:val="20"/>
              </w:rPr>
              <w:t>$</w:t>
            </w:r>
            <w:r w:rsidRPr="001238AE" w:rsidR="001238AE">
              <w:rPr>
                <w:sz w:val="20"/>
                <w:szCs w:val="20"/>
              </w:rPr>
              <w:t>15,172.50</w:t>
            </w:r>
          </w:p>
        </w:tc>
      </w:tr>
      <w:tr w:rsidRPr="00F97C94" w:rsidR="00541A03" w:rsidTr="00C32128" w14:paraId="06B3B8FB" w14:textId="77777777">
        <w:trPr>
          <w:trHeight w:val="432"/>
          <w:jc w:val="center"/>
        </w:trPr>
        <w:tc>
          <w:tcPr>
            <w:tcW w:w="2029" w:type="dxa"/>
            <w:vAlign w:val="center"/>
          </w:tcPr>
          <w:p w:rsidRPr="001238AE" w:rsidR="00541A03" w:rsidP="00FD7600" w:rsidRDefault="00541A03" w14:paraId="475604B7" w14:textId="52BF7F73">
            <w:pPr>
              <w:tabs>
                <w:tab w:val="center" w:pos="4320"/>
                <w:tab w:val="right" w:pos="8640"/>
              </w:tabs>
              <w:rPr>
                <w:sz w:val="20"/>
                <w:szCs w:val="20"/>
              </w:rPr>
            </w:pPr>
            <w:r w:rsidRPr="001238AE">
              <w:rPr>
                <w:sz w:val="20"/>
                <w:szCs w:val="20"/>
              </w:rPr>
              <w:t>Templates and Open-ended requests</w:t>
            </w:r>
          </w:p>
        </w:tc>
        <w:tc>
          <w:tcPr>
            <w:tcW w:w="1386" w:type="dxa"/>
            <w:vAlign w:val="center"/>
          </w:tcPr>
          <w:p w:rsidRPr="001238AE" w:rsidR="00541A03" w:rsidP="00BE2E8E" w:rsidRDefault="00541A03" w14:paraId="49FFC15D" w14:textId="2BD41253">
            <w:pPr>
              <w:tabs>
                <w:tab w:val="center" w:pos="4320"/>
                <w:tab w:val="right" w:pos="8640"/>
              </w:tabs>
              <w:jc w:val="center"/>
              <w:rPr>
                <w:sz w:val="20"/>
                <w:szCs w:val="20"/>
              </w:rPr>
            </w:pPr>
            <w:r w:rsidRPr="001238AE">
              <w:rPr>
                <w:sz w:val="20"/>
                <w:szCs w:val="20"/>
              </w:rPr>
              <w:t>250</w:t>
            </w:r>
          </w:p>
        </w:tc>
        <w:tc>
          <w:tcPr>
            <w:tcW w:w="1424" w:type="dxa"/>
            <w:vAlign w:val="center"/>
          </w:tcPr>
          <w:p w:rsidRPr="001238AE" w:rsidR="00541A03" w:rsidP="00BE2E8E" w:rsidRDefault="00541A03" w14:paraId="73A9E14D" w14:textId="4482B04E">
            <w:pPr>
              <w:tabs>
                <w:tab w:val="center" w:pos="4320"/>
                <w:tab w:val="right" w:pos="8640"/>
              </w:tabs>
              <w:jc w:val="center"/>
              <w:rPr>
                <w:sz w:val="20"/>
                <w:szCs w:val="20"/>
              </w:rPr>
            </w:pPr>
            <w:r w:rsidRPr="001238AE">
              <w:rPr>
                <w:sz w:val="20"/>
                <w:szCs w:val="20"/>
              </w:rPr>
              <w:t>1</w:t>
            </w:r>
          </w:p>
        </w:tc>
        <w:tc>
          <w:tcPr>
            <w:tcW w:w="948" w:type="dxa"/>
            <w:vAlign w:val="center"/>
          </w:tcPr>
          <w:p w:rsidRPr="001238AE" w:rsidR="00541A03" w:rsidP="00BE2E8E" w:rsidRDefault="00541A03" w14:paraId="573542FA" w14:textId="1E84A189">
            <w:pPr>
              <w:tabs>
                <w:tab w:val="center" w:pos="4320"/>
                <w:tab w:val="right" w:pos="8640"/>
              </w:tabs>
              <w:jc w:val="center"/>
              <w:rPr>
                <w:sz w:val="20"/>
                <w:szCs w:val="20"/>
              </w:rPr>
            </w:pPr>
            <w:r w:rsidRPr="001238AE">
              <w:rPr>
                <w:sz w:val="20"/>
                <w:szCs w:val="20"/>
              </w:rPr>
              <w:t>10</w:t>
            </w:r>
          </w:p>
        </w:tc>
        <w:tc>
          <w:tcPr>
            <w:tcW w:w="1146" w:type="dxa"/>
            <w:vAlign w:val="center"/>
          </w:tcPr>
          <w:p w:rsidRPr="001238AE" w:rsidR="00541A03" w:rsidP="00E108A6" w:rsidRDefault="00541A03" w14:paraId="31576257" w14:textId="6709976C">
            <w:pPr>
              <w:tabs>
                <w:tab w:val="center" w:pos="4320"/>
                <w:tab w:val="right" w:pos="8640"/>
              </w:tabs>
              <w:jc w:val="center"/>
              <w:rPr>
                <w:sz w:val="20"/>
                <w:szCs w:val="20"/>
              </w:rPr>
            </w:pPr>
            <w:r w:rsidRPr="001238AE">
              <w:rPr>
                <w:sz w:val="20"/>
                <w:szCs w:val="20"/>
              </w:rPr>
              <w:t>2500</w:t>
            </w:r>
          </w:p>
        </w:tc>
        <w:tc>
          <w:tcPr>
            <w:tcW w:w="863" w:type="dxa"/>
            <w:vAlign w:val="center"/>
          </w:tcPr>
          <w:p w:rsidRPr="001238AE" w:rsidR="00541A03" w:rsidP="00AC4DC6" w:rsidRDefault="001238AE" w14:paraId="00645E34" w14:textId="3A25EDA6">
            <w:pPr>
              <w:tabs>
                <w:tab w:val="center" w:pos="4320"/>
                <w:tab w:val="right" w:pos="8640"/>
              </w:tabs>
              <w:jc w:val="center"/>
              <w:rPr>
                <w:sz w:val="20"/>
                <w:szCs w:val="20"/>
              </w:rPr>
            </w:pPr>
            <w:r w:rsidRPr="001238AE">
              <w:rPr>
                <w:sz w:val="20"/>
                <w:szCs w:val="20"/>
              </w:rPr>
              <w:t>$20.23</w:t>
            </w:r>
          </w:p>
        </w:tc>
        <w:tc>
          <w:tcPr>
            <w:tcW w:w="1554" w:type="dxa"/>
            <w:vAlign w:val="center"/>
          </w:tcPr>
          <w:p w:rsidRPr="001238AE" w:rsidR="00541A03" w:rsidP="00AC4DC6" w:rsidRDefault="001238AE" w14:paraId="257EA604" w14:textId="682B74F8">
            <w:pPr>
              <w:tabs>
                <w:tab w:val="center" w:pos="4320"/>
                <w:tab w:val="right" w:pos="8640"/>
              </w:tabs>
              <w:jc w:val="center"/>
              <w:rPr>
                <w:sz w:val="20"/>
                <w:szCs w:val="20"/>
              </w:rPr>
            </w:pPr>
            <w:r w:rsidRPr="001238AE">
              <w:rPr>
                <w:sz w:val="20"/>
                <w:szCs w:val="20"/>
              </w:rPr>
              <w:t>$50,575</w:t>
            </w:r>
          </w:p>
        </w:tc>
      </w:tr>
      <w:tr w:rsidRPr="00F97C94" w:rsidR="00C53238" w:rsidTr="00E06440" w14:paraId="6014A93A" w14:textId="77777777">
        <w:trPr>
          <w:trHeight w:val="432"/>
          <w:jc w:val="center"/>
        </w:trPr>
        <w:tc>
          <w:tcPr>
            <w:tcW w:w="5787" w:type="dxa"/>
            <w:gridSpan w:val="4"/>
            <w:vAlign w:val="center"/>
          </w:tcPr>
          <w:p w:rsidRPr="00F97C94" w:rsidR="00C53238" w:rsidP="00BE2E8E" w:rsidRDefault="00C53238" w14:paraId="0C79746A" w14:textId="77777777">
            <w:pPr>
              <w:tabs>
                <w:tab w:val="center" w:pos="4320"/>
                <w:tab w:val="right" w:pos="8640"/>
              </w:tabs>
              <w:jc w:val="right"/>
              <w:rPr>
                <w:sz w:val="20"/>
                <w:szCs w:val="20"/>
              </w:rPr>
            </w:pPr>
            <w:r w:rsidRPr="00F97C94">
              <w:rPr>
                <w:sz w:val="20"/>
                <w:szCs w:val="20"/>
              </w:rPr>
              <w:t>Total</w:t>
            </w:r>
          </w:p>
        </w:tc>
        <w:tc>
          <w:tcPr>
            <w:tcW w:w="1146" w:type="dxa"/>
            <w:vAlign w:val="center"/>
          </w:tcPr>
          <w:p w:rsidRPr="00F97C94" w:rsidR="00C53238" w:rsidP="00BE2E8E" w:rsidRDefault="001238AE" w14:paraId="2A73AC93" w14:textId="41AD1896">
            <w:pPr>
              <w:tabs>
                <w:tab w:val="center" w:pos="4320"/>
                <w:tab w:val="right" w:pos="8640"/>
              </w:tabs>
              <w:jc w:val="center"/>
              <w:rPr>
                <w:sz w:val="20"/>
                <w:szCs w:val="20"/>
              </w:rPr>
            </w:pPr>
            <w:r>
              <w:rPr>
                <w:sz w:val="20"/>
                <w:szCs w:val="20"/>
              </w:rPr>
              <w:t>8,250</w:t>
            </w:r>
          </w:p>
        </w:tc>
        <w:tc>
          <w:tcPr>
            <w:tcW w:w="863" w:type="dxa"/>
            <w:vAlign w:val="center"/>
          </w:tcPr>
          <w:p w:rsidRPr="00F97C94" w:rsidR="00C53238" w:rsidP="00BE2E8E" w:rsidRDefault="00C53238" w14:paraId="32B0415F" w14:textId="77777777">
            <w:pPr>
              <w:tabs>
                <w:tab w:val="center" w:pos="4320"/>
                <w:tab w:val="right" w:pos="8640"/>
              </w:tabs>
              <w:jc w:val="center"/>
              <w:rPr>
                <w:sz w:val="20"/>
                <w:szCs w:val="20"/>
              </w:rPr>
            </w:pPr>
          </w:p>
        </w:tc>
        <w:tc>
          <w:tcPr>
            <w:tcW w:w="1554" w:type="dxa"/>
            <w:vAlign w:val="center"/>
          </w:tcPr>
          <w:p w:rsidRPr="00F97C94" w:rsidR="00C53238" w:rsidP="001238AE" w:rsidRDefault="004557B6" w14:paraId="2EC8954E" w14:textId="289515C6">
            <w:pPr>
              <w:tabs>
                <w:tab w:val="center" w:pos="4320"/>
                <w:tab w:val="right" w:pos="8640"/>
              </w:tabs>
              <w:jc w:val="center"/>
              <w:rPr>
                <w:sz w:val="20"/>
                <w:szCs w:val="20"/>
              </w:rPr>
            </w:pPr>
            <w:r>
              <w:rPr>
                <w:sz w:val="20"/>
                <w:szCs w:val="20"/>
              </w:rPr>
              <w:t>$</w:t>
            </w:r>
            <w:r w:rsidR="001238AE">
              <w:rPr>
                <w:sz w:val="20"/>
                <w:szCs w:val="20"/>
              </w:rPr>
              <w:t>166,897.50</w:t>
            </w:r>
          </w:p>
        </w:tc>
      </w:tr>
    </w:tbl>
    <w:p w:rsidR="00B00CD7" w:rsidP="00AB66D6" w:rsidRDefault="00B00CD7" w14:paraId="1470F1DC" w14:textId="77777777">
      <w:pPr>
        <w:rPr>
          <w:b/>
          <w:i/>
        </w:rPr>
      </w:pPr>
    </w:p>
    <w:p w:rsidRPr="001418A3" w:rsidR="006F349B" w:rsidP="001418A3" w:rsidRDefault="006F349B" w14:paraId="19409C86" w14:textId="665BFC83">
      <w:pPr>
        <w:spacing w:after="120"/>
        <w:rPr>
          <w:b/>
          <w:i/>
        </w:rPr>
      </w:pPr>
      <w:r w:rsidRPr="00F97C94">
        <w:rPr>
          <w:b/>
          <w:i/>
        </w:rPr>
        <w:t xml:space="preserve">Total New Burden Requested Under this </w:t>
      </w:r>
      <w:proofErr w:type="spellStart"/>
      <w:r>
        <w:rPr>
          <w:b/>
          <w:i/>
        </w:rPr>
        <w:t>NonSubstantive</w:t>
      </w:r>
      <w:proofErr w:type="spellEnd"/>
      <w:r>
        <w:rPr>
          <w:b/>
          <w:i/>
        </w:rPr>
        <w:t xml:space="preserve"> Change Request</w:t>
      </w:r>
    </w:p>
    <w:p w:rsidRPr="001418A3" w:rsidR="00C81D01" w:rsidP="001418A3" w:rsidRDefault="00C81D01" w14:paraId="65B9A67E" w14:textId="03464838">
      <w:pPr>
        <w:autoSpaceDE w:val="0"/>
        <w:autoSpaceDN w:val="0"/>
        <w:adjustRightInd w:val="0"/>
        <w:spacing w:after="120"/>
        <w:rPr>
          <w:rFonts w:ascii="TimesNewRoman" w:hAnsi="TimesNewRoman" w:cs="TimesNewRoman"/>
        </w:rPr>
      </w:pPr>
      <w:r>
        <w:rPr>
          <w:rFonts w:ascii="TimesNewRoman" w:hAnsi="TimesNewRoman" w:cs="TimesNewRoman"/>
        </w:rPr>
        <w:t xml:space="preserve">This </w:t>
      </w:r>
      <w:proofErr w:type="spellStart"/>
      <w:r>
        <w:rPr>
          <w:rFonts w:ascii="TimesNewRoman" w:hAnsi="TimesNewRoman" w:cs="TimesNewRoman"/>
        </w:rPr>
        <w:t>nonsubstantive</w:t>
      </w:r>
      <w:proofErr w:type="spellEnd"/>
      <w:r>
        <w:rPr>
          <w:rFonts w:ascii="TimesNewRoman" w:hAnsi="TimesNewRoman" w:cs="TimesNewRoman"/>
        </w:rPr>
        <w:t xml:space="preserve"> change request is to provide a minimal increase to the burden under this umbrella generic until a full revision request can be finalized. The full revision request is current in process (see 85 FR </w:t>
      </w:r>
      <w:r w:rsidRPr="00371059">
        <w:t>64480</w:t>
      </w:r>
      <w:r>
        <w:rPr>
          <w:rFonts w:ascii="TimesNewRoman" w:hAnsi="TimesNewRoman" w:cs="TimesNewRoman"/>
        </w:rPr>
        <w:t xml:space="preserve"> for the related Federal Register Notice). </w:t>
      </w:r>
      <w:r w:rsidR="006F349B">
        <w:rPr>
          <w:rFonts w:ascii="TimesNewRoman" w:hAnsi="TimesNewRoman" w:cs="TimesNewRoman"/>
        </w:rPr>
        <w:t>For</w:t>
      </w:r>
      <w:r w:rsidRPr="00F97C94" w:rsidR="006F349B">
        <w:rPr>
          <w:rFonts w:ascii="TimesNewRoman" w:hAnsi="TimesNewRoman" w:cs="TimesNewRoman"/>
        </w:rPr>
        <w:t xml:space="preserve"> this </w:t>
      </w:r>
      <w:proofErr w:type="spellStart"/>
      <w:r w:rsidR="006F349B">
        <w:rPr>
          <w:rFonts w:ascii="TimesNewRoman" w:hAnsi="TimesNewRoman" w:cs="TimesNewRoman"/>
        </w:rPr>
        <w:t>nonsubstantive</w:t>
      </w:r>
      <w:proofErr w:type="spellEnd"/>
      <w:r w:rsidR="006F349B">
        <w:rPr>
          <w:rFonts w:ascii="TimesNewRoman" w:hAnsi="TimesNewRoman" w:cs="TimesNewRoman"/>
        </w:rPr>
        <w:t xml:space="preserve"> change, w</w:t>
      </w:r>
      <w:r w:rsidR="006F349B">
        <w:t>e are requesting an i</w:t>
      </w:r>
      <w:r w:rsidR="006F349B">
        <w:t>nterim increase in burden of 1,2</w:t>
      </w:r>
      <w:r w:rsidR="006F349B">
        <w:t>00 hours. This amount is based on ACF’s plans for submissions under this generic clearance through January 2021.</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56"/>
        <w:gridCol w:w="1305"/>
        <w:gridCol w:w="1281"/>
        <w:gridCol w:w="983"/>
        <w:gridCol w:w="1241"/>
        <w:gridCol w:w="968"/>
        <w:gridCol w:w="1116"/>
      </w:tblGrid>
      <w:tr w:rsidRPr="00F97C94" w:rsidR="004A4D06" w:rsidTr="004465ED" w14:paraId="78440946" w14:textId="24175B1F">
        <w:trPr>
          <w:jc w:val="center"/>
        </w:trPr>
        <w:tc>
          <w:tcPr>
            <w:tcW w:w="2465" w:type="dxa"/>
            <w:shd w:val="clear" w:color="auto" w:fill="BFBFBF"/>
            <w:vAlign w:val="center"/>
          </w:tcPr>
          <w:p w:rsidRPr="001238AE" w:rsidR="004A4D06" w:rsidP="004A4D06" w:rsidRDefault="004A4D06" w14:paraId="2069281E" w14:textId="77777777">
            <w:pPr>
              <w:jc w:val="center"/>
              <w:rPr>
                <w:sz w:val="20"/>
                <w:szCs w:val="20"/>
              </w:rPr>
            </w:pPr>
            <w:r w:rsidRPr="001238AE">
              <w:rPr>
                <w:sz w:val="20"/>
                <w:szCs w:val="20"/>
              </w:rPr>
              <w:t>Instrument Type</w:t>
            </w:r>
          </w:p>
        </w:tc>
        <w:tc>
          <w:tcPr>
            <w:tcW w:w="1307" w:type="dxa"/>
            <w:shd w:val="clear" w:color="auto" w:fill="BFBFBF"/>
            <w:vAlign w:val="center"/>
          </w:tcPr>
          <w:p w:rsidRPr="001238AE" w:rsidR="004A4D06" w:rsidP="004A4D06" w:rsidRDefault="004A4D06" w14:paraId="7D34D8F1" w14:textId="77777777">
            <w:pPr>
              <w:jc w:val="center"/>
              <w:rPr>
                <w:sz w:val="20"/>
                <w:szCs w:val="20"/>
              </w:rPr>
            </w:pPr>
            <w:r w:rsidRPr="001238AE">
              <w:rPr>
                <w:sz w:val="20"/>
                <w:szCs w:val="20"/>
              </w:rPr>
              <w:t>Estimated Total Number of Respondents</w:t>
            </w:r>
          </w:p>
        </w:tc>
        <w:tc>
          <w:tcPr>
            <w:tcW w:w="1284" w:type="dxa"/>
            <w:shd w:val="clear" w:color="auto" w:fill="BFBFBF"/>
            <w:vAlign w:val="center"/>
          </w:tcPr>
          <w:p w:rsidRPr="001238AE" w:rsidR="004A4D06" w:rsidP="004A4D06" w:rsidRDefault="004A4D06" w14:paraId="6F7391C8" w14:textId="77777777">
            <w:pPr>
              <w:jc w:val="center"/>
              <w:rPr>
                <w:sz w:val="20"/>
                <w:szCs w:val="20"/>
              </w:rPr>
            </w:pPr>
            <w:r w:rsidRPr="001238AE">
              <w:rPr>
                <w:sz w:val="20"/>
                <w:szCs w:val="20"/>
              </w:rPr>
              <w:t>Estimated Number of Responses Per Respondent</w:t>
            </w:r>
          </w:p>
        </w:tc>
        <w:tc>
          <w:tcPr>
            <w:tcW w:w="983" w:type="dxa"/>
            <w:shd w:val="clear" w:color="auto" w:fill="BFBFBF"/>
            <w:vAlign w:val="center"/>
          </w:tcPr>
          <w:p w:rsidRPr="001238AE" w:rsidR="004A4D06" w:rsidP="004A4D06" w:rsidRDefault="004A4D06" w14:paraId="3FAC85CA" w14:textId="77777777">
            <w:pPr>
              <w:jc w:val="center"/>
              <w:rPr>
                <w:sz w:val="20"/>
                <w:szCs w:val="20"/>
              </w:rPr>
            </w:pPr>
            <w:r w:rsidRPr="001238AE">
              <w:rPr>
                <w:sz w:val="20"/>
                <w:szCs w:val="20"/>
              </w:rPr>
              <w:t>Average Burden Hours Per Response</w:t>
            </w:r>
          </w:p>
        </w:tc>
        <w:tc>
          <w:tcPr>
            <w:tcW w:w="1247" w:type="dxa"/>
            <w:shd w:val="clear" w:color="auto" w:fill="BFBFBF"/>
            <w:vAlign w:val="center"/>
          </w:tcPr>
          <w:p w:rsidRPr="001238AE" w:rsidR="004A4D06" w:rsidP="004A4D06" w:rsidRDefault="004A4D06" w14:paraId="58957205" w14:textId="77777777">
            <w:pPr>
              <w:jc w:val="center"/>
              <w:rPr>
                <w:bCs/>
                <w:sz w:val="20"/>
                <w:szCs w:val="20"/>
              </w:rPr>
            </w:pPr>
            <w:r w:rsidRPr="001238AE">
              <w:rPr>
                <w:bCs/>
                <w:sz w:val="20"/>
                <w:szCs w:val="20"/>
              </w:rPr>
              <w:t>Estimated Total Burden Hours</w:t>
            </w:r>
          </w:p>
        </w:tc>
        <w:tc>
          <w:tcPr>
            <w:tcW w:w="970" w:type="dxa"/>
            <w:shd w:val="clear" w:color="auto" w:fill="BFBFBF"/>
            <w:vAlign w:val="center"/>
          </w:tcPr>
          <w:p w:rsidRPr="001238AE" w:rsidR="004A4D06" w:rsidP="004A4D06" w:rsidRDefault="004A4D06" w14:paraId="452EAC2B" w14:textId="0FF4D8E3">
            <w:pPr>
              <w:jc w:val="center"/>
              <w:rPr>
                <w:bCs/>
                <w:sz w:val="20"/>
                <w:szCs w:val="20"/>
              </w:rPr>
            </w:pPr>
            <w:r w:rsidRPr="001238AE">
              <w:rPr>
                <w:bCs/>
                <w:sz w:val="20"/>
                <w:szCs w:val="20"/>
              </w:rPr>
              <w:t>Average Hourly Wage</w:t>
            </w:r>
          </w:p>
        </w:tc>
        <w:tc>
          <w:tcPr>
            <w:tcW w:w="1094" w:type="dxa"/>
            <w:shd w:val="clear" w:color="auto" w:fill="BFBFBF"/>
            <w:vAlign w:val="center"/>
          </w:tcPr>
          <w:p w:rsidRPr="001238AE" w:rsidR="004A4D06" w:rsidP="004A4D06" w:rsidRDefault="004A4D06" w14:paraId="2F0F6903" w14:textId="3F31278D">
            <w:pPr>
              <w:jc w:val="center"/>
              <w:rPr>
                <w:bCs/>
                <w:sz w:val="20"/>
                <w:szCs w:val="20"/>
              </w:rPr>
            </w:pPr>
            <w:r w:rsidRPr="001238AE">
              <w:rPr>
                <w:bCs/>
                <w:sz w:val="20"/>
                <w:szCs w:val="20"/>
              </w:rPr>
              <w:t>Cost per respondent</w:t>
            </w:r>
          </w:p>
        </w:tc>
      </w:tr>
      <w:tr w:rsidRPr="00F97C94" w:rsidR="004A4D06" w:rsidTr="004465ED" w14:paraId="096D069C" w14:textId="7D3C6D21">
        <w:trPr>
          <w:trHeight w:val="432"/>
          <w:jc w:val="center"/>
        </w:trPr>
        <w:tc>
          <w:tcPr>
            <w:tcW w:w="2465" w:type="dxa"/>
            <w:vAlign w:val="center"/>
          </w:tcPr>
          <w:p w:rsidRPr="001238AE" w:rsidR="004A4D06" w:rsidP="004A4D06" w:rsidRDefault="004A4D06" w14:paraId="6524AC00" w14:textId="77777777">
            <w:pPr>
              <w:tabs>
                <w:tab w:val="center" w:pos="4320"/>
                <w:tab w:val="right" w:pos="8640"/>
              </w:tabs>
              <w:rPr>
                <w:sz w:val="20"/>
                <w:szCs w:val="20"/>
              </w:rPr>
            </w:pPr>
            <w:r w:rsidRPr="001238AE">
              <w:rPr>
                <w:sz w:val="20"/>
                <w:szCs w:val="20"/>
              </w:rPr>
              <w:t>Semi-Structured Discussions and Focus Groups</w:t>
            </w:r>
          </w:p>
        </w:tc>
        <w:tc>
          <w:tcPr>
            <w:tcW w:w="1307" w:type="dxa"/>
            <w:vAlign w:val="center"/>
          </w:tcPr>
          <w:p w:rsidRPr="001238AE" w:rsidR="004A4D06" w:rsidP="004A4D06" w:rsidRDefault="000A20A2" w14:paraId="4AE779A8" w14:textId="470E4F42">
            <w:pPr>
              <w:tabs>
                <w:tab w:val="center" w:pos="4320"/>
                <w:tab w:val="right" w:pos="8640"/>
              </w:tabs>
              <w:jc w:val="center"/>
              <w:rPr>
                <w:sz w:val="20"/>
                <w:szCs w:val="20"/>
              </w:rPr>
            </w:pPr>
            <w:r>
              <w:rPr>
                <w:sz w:val="20"/>
                <w:szCs w:val="20"/>
              </w:rPr>
              <w:t>220</w:t>
            </w:r>
          </w:p>
        </w:tc>
        <w:tc>
          <w:tcPr>
            <w:tcW w:w="1284" w:type="dxa"/>
            <w:vAlign w:val="center"/>
          </w:tcPr>
          <w:p w:rsidRPr="001238AE" w:rsidR="004A4D06" w:rsidP="004A4D06" w:rsidRDefault="004A4D06" w14:paraId="2D32ECF6" w14:textId="77777777">
            <w:pPr>
              <w:tabs>
                <w:tab w:val="center" w:pos="4320"/>
                <w:tab w:val="right" w:pos="8640"/>
              </w:tabs>
              <w:jc w:val="center"/>
              <w:rPr>
                <w:sz w:val="20"/>
                <w:szCs w:val="20"/>
              </w:rPr>
            </w:pPr>
            <w:r w:rsidRPr="001238AE">
              <w:rPr>
                <w:sz w:val="20"/>
                <w:szCs w:val="20"/>
              </w:rPr>
              <w:t>1</w:t>
            </w:r>
          </w:p>
        </w:tc>
        <w:tc>
          <w:tcPr>
            <w:tcW w:w="983" w:type="dxa"/>
            <w:vAlign w:val="center"/>
          </w:tcPr>
          <w:p w:rsidRPr="001238AE" w:rsidR="004A4D06" w:rsidP="004A4D06" w:rsidRDefault="000A20A2" w14:paraId="15B9656C" w14:textId="25EEFDD5">
            <w:pPr>
              <w:tabs>
                <w:tab w:val="center" w:pos="4320"/>
                <w:tab w:val="right" w:pos="8640"/>
              </w:tabs>
              <w:jc w:val="center"/>
              <w:rPr>
                <w:sz w:val="20"/>
                <w:szCs w:val="20"/>
              </w:rPr>
            </w:pPr>
            <w:r>
              <w:rPr>
                <w:sz w:val="20"/>
                <w:szCs w:val="20"/>
              </w:rPr>
              <w:t>3.5</w:t>
            </w:r>
          </w:p>
        </w:tc>
        <w:tc>
          <w:tcPr>
            <w:tcW w:w="1247" w:type="dxa"/>
            <w:vAlign w:val="center"/>
          </w:tcPr>
          <w:p w:rsidRPr="001238AE" w:rsidR="004A4D06" w:rsidP="006F349B" w:rsidRDefault="006F349B" w14:paraId="0474A1BA" w14:textId="3D99CE01">
            <w:pPr>
              <w:tabs>
                <w:tab w:val="center" w:pos="4320"/>
                <w:tab w:val="right" w:pos="8640"/>
              </w:tabs>
              <w:jc w:val="center"/>
              <w:rPr>
                <w:sz w:val="20"/>
                <w:szCs w:val="20"/>
              </w:rPr>
            </w:pPr>
            <w:r>
              <w:rPr>
                <w:sz w:val="20"/>
                <w:szCs w:val="20"/>
              </w:rPr>
              <w:t>770</w:t>
            </w:r>
          </w:p>
        </w:tc>
        <w:tc>
          <w:tcPr>
            <w:tcW w:w="970" w:type="dxa"/>
            <w:vAlign w:val="center"/>
          </w:tcPr>
          <w:p w:rsidRPr="001238AE" w:rsidR="004A4D06" w:rsidP="004A4D06" w:rsidRDefault="004A4D06" w14:paraId="66CA43B9" w14:textId="37A1D1C9">
            <w:pPr>
              <w:tabs>
                <w:tab w:val="center" w:pos="4320"/>
                <w:tab w:val="right" w:pos="8640"/>
              </w:tabs>
              <w:jc w:val="center"/>
              <w:rPr>
                <w:sz w:val="20"/>
                <w:szCs w:val="20"/>
              </w:rPr>
            </w:pPr>
            <w:r w:rsidRPr="001238AE">
              <w:rPr>
                <w:sz w:val="20"/>
                <w:szCs w:val="20"/>
              </w:rPr>
              <w:t>$20.23</w:t>
            </w:r>
          </w:p>
        </w:tc>
        <w:tc>
          <w:tcPr>
            <w:tcW w:w="1094" w:type="dxa"/>
            <w:vAlign w:val="center"/>
          </w:tcPr>
          <w:p w:rsidRPr="001238AE" w:rsidR="004A4D06" w:rsidP="000A20A2" w:rsidRDefault="000A20A2" w14:paraId="1233916A" w14:textId="096F7560">
            <w:pPr>
              <w:tabs>
                <w:tab w:val="center" w:pos="4320"/>
                <w:tab w:val="right" w:pos="8640"/>
              </w:tabs>
              <w:jc w:val="center"/>
              <w:rPr>
                <w:sz w:val="20"/>
                <w:szCs w:val="20"/>
              </w:rPr>
            </w:pPr>
            <w:r>
              <w:rPr>
                <w:sz w:val="20"/>
                <w:szCs w:val="20"/>
              </w:rPr>
              <w:t>$15,577.10</w:t>
            </w:r>
          </w:p>
        </w:tc>
      </w:tr>
      <w:tr w:rsidRPr="00F97C94" w:rsidR="004A4D06" w:rsidTr="004465ED" w14:paraId="1FBDA430" w14:textId="699B102A">
        <w:trPr>
          <w:trHeight w:val="432"/>
          <w:jc w:val="center"/>
        </w:trPr>
        <w:tc>
          <w:tcPr>
            <w:tcW w:w="2465" w:type="dxa"/>
            <w:vAlign w:val="center"/>
          </w:tcPr>
          <w:p w:rsidRPr="001238AE" w:rsidR="004A4D06" w:rsidP="004A4D06" w:rsidRDefault="004A4D06" w14:paraId="481F1615" w14:textId="77777777">
            <w:pPr>
              <w:tabs>
                <w:tab w:val="center" w:pos="4320"/>
                <w:tab w:val="right" w:pos="8640"/>
              </w:tabs>
              <w:rPr>
                <w:sz w:val="20"/>
                <w:szCs w:val="20"/>
              </w:rPr>
            </w:pPr>
            <w:r w:rsidRPr="001238AE">
              <w:rPr>
                <w:sz w:val="20"/>
                <w:szCs w:val="20"/>
              </w:rPr>
              <w:t>Questionnaires/Surveys</w:t>
            </w:r>
          </w:p>
        </w:tc>
        <w:tc>
          <w:tcPr>
            <w:tcW w:w="1307" w:type="dxa"/>
            <w:vAlign w:val="center"/>
          </w:tcPr>
          <w:p w:rsidRPr="001238AE" w:rsidR="004A4D06" w:rsidP="004A4D06" w:rsidRDefault="006F349B" w14:paraId="6B9EECF0" w14:textId="3810F753">
            <w:pPr>
              <w:tabs>
                <w:tab w:val="center" w:pos="4320"/>
                <w:tab w:val="right" w:pos="8640"/>
              </w:tabs>
              <w:jc w:val="center"/>
              <w:rPr>
                <w:sz w:val="20"/>
                <w:szCs w:val="20"/>
              </w:rPr>
            </w:pPr>
            <w:r>
              <w:rPr>
                <w:sz w:val="20"/>
                <w:szCs w:val="20"/>
              </w:rPr>
              <w:t>310</w:t>
            </w:r>
          </w:p>
        </w:tc>
        <w:tc>
          <w:tcPr>
            <w:tcW w:w="1284" w:type="dxa"/>
            <w:vAlign w:val="center"/>
          </w:tcPr>
          <w:p w:rsidRPr="001238AE" w:rsidR="004A4D06" w:rsidP="004A4D06" w:rsidRDefault="000A20A2" w14:paraId="4AF4B4D0" w14:textId="52949E01">
            <w:pPr>
              <w:tabs>
                <w:tab w:val="center" w:pos="4320"/>
                <w:tab w:val="right" w:pos="8640"/>
              </w:tabs>
              <w:jc w:val="center"/>
              <w:rPr>
                <w:sz w:val="20"/>
                <w:szCs w:val="20"/>
              </w:rPr>
            </w:pPr>
            <w:r>
              <w:rPr>
                <w:sz w:val="20"/>
                <w:szCs w:val="20"/>
              </w:rPr>
              <w:t>1</w:t>
            </w:r>
          </w:p>
        </w:tc>
        <w:tc>
          <w:tcPr>
            <w:tcW w:w="983" w:type="dxa"/>
            <w:vAlign w:val="center"/>
          </w:tcPr>
          <w:p w:rsidRPr="001238AE" w:rsidR="004A4D06" w:rsidP="004A4D06" w:rsidRDefault="000A20A2" w14:paraId="28C972B2" w14:textId="7F8218FD">
            <w:pPr>
              <w:tabs>
                <w:tab w:val="center" w:pos="4320"/>
                <w:tab w:val="right" w:pos="8640"/>
              </w:tabs>
              <w:jc w:val="center"/>
              <w:rPr>
                <w:sz w:val="20"/>
                <w:szCs w:val="20"/>
              </w:rPr>
            </w:pPr>
            <w:r>
              <w:rPr>
                <w:sz w:val="20"/>
                <w:szCs w:val="20"/>
              </w:rPr>
              <w:t>1.4</w:t>
            </w:r>
          </w:p>
        </w:tc>
        <w:tc>
          <w:tcPr>
            <w:tcW w:w="1247" w:type="dxa"/>
            <w:vAlign w:val="center"/>
          </w:tcPr>
          <w:p w:rsidRPr="001238AE" w:rsidR="004A4D06" w:rsidP="006F349B" w:rsidRDefault="006F349B" w14:paraId="5341D60D" w14:textId="253A6D93">
            <w:pPr>
              <w:tabs>
                <w:tab w:val="center" w:pos="4320"/>
                <w:tab w:val="right" w:pos="8640"/>
              </w:tabs>
              <w:jc w:val="center"/>
              <w:rPr>
                <w:sz w:val="20"/>
                <w:szCs w:val="20"/>
              </w:rPr>
            </w:pPr>
            <w:r>
              <w:rPr>
                <w:sz w:val="20"/>
                <w:szCs w:val="20"/>
              </w:rPr>
              <w:t>430</w:t>
            </w:r>
          </w:p>
        </w:tc>
        <w:tc>
          <w:tcPr>
            <w:tcW w:w="970" w:type="dxa"/>
            <w:vAlign w:val="center"/>
          </w:tcPr>
          <w:p w:rsidRPr="001238AE" w:rsidR="004A4D06" w:rsidP="004A4D06" w:rsidRDefault="004A4D06" w14:paraId="0076459E" w14:textId="6DB7C8D1">
            <w:pPr>
              <w:tabs>
                <w:tab w:val="center" w:pos="4320"/>
                <w:tab w:val="right" w:pos="8640"/>
              </w:tabs>
              <w:jc w:val="center"/>
              <w:rPr>
                <w:sz w:val="20"/>
                <w:szCs w:val="20"/>
              </w:rPr>
            </w:pPr>
            <w:r w:rsidRPr="001238AE">
              <w:rPr>
                <w:sz w:val="20"/>
                <w:szCs w:val="20"/>
              </w:rPr>
              <w:t>$20.23</w:t>
            </w:r>
          </w:p>
        </w:tc>
        <w:tc>
          <w:tcPr>
            <w:tcW w:w="1094" w:type="dxa"/>
            <w:vAlign w:val="center"/>
          </w:tcPr>
          <w:p w:rsidRPr="001238AE" w:rsidR="004A4D06" w:rsidP="000A20A2" w:rsidRDefault="000A20A2" w14:paraId="7CC81CBB" w14:textId="6C9BEE97">
            <w:pPr>
              <w:tabs>
                <w:tab w:val="center" w:pos="4320"/>
                <w:tab w:val="right" w:pos="8640"/>
              </w:tabs>
              <w:jc w:val="center"/>
              <w:rPr>
                <w:sz w:val="20"/>
                <w:szCs w:val="20"/>
              </w:rPr>
            </w:pPr>
            <w:r>
              <w:rPr>
                <w:sz w:val="20"/>
                <w:szCs w:val="20"/>
              </w:rPr>
              <w:t>$8,698.90</w:t>
            </w:r>
          </w:p>
        </w:tc>
      </w:tr>
      <w:tr w:rsidRPr="00F97C94" w:rsidR="004A4D06" w:rsidTr="004465ED" w14:paraId="0FC96753" w14:textId="7DE02838">
        <w:trPr>
          <w:trHeight w:val="432"/>
          <w:jc w:val="center"/>
        </w:trPr>
        <w:tc>
          <w:tcPr>
            <w:tcW w:w="6039" w:type="dxa"/>
            <w:gridSpan w:val="4"/>
            <w:vAlign w:val="center"/>
          </w:tcPr>
          <w:p w:rsidRPr="00F97C94" w:rsidR="004A4D06" w:rsidP="004A4D06" w:rsidRDefault="004A4D06" w14:paraId="112FFEEC" w14:textId="77777777">
            <w:pPr>
              <w:tabs>
                <w:tab w:val="center" w:pos="4320"/>
                <w:tab w:val="right" w:pos="8640"/>
              </w:tabs>
              <w:jc w:val="right"/>
              <w:rPr>
                <w:sz w:val="20"/>
                <w:szCs w:val="20"/>
              </w:rPr>
            </w:pPr>
            <w:r w:rsidRPr="00F97C94">
              <w:rPr>
                <w:sz w:val="20"/>
                <w:szCs w:val="20"/>
              </w:rPr>
              <w:t>Total</w:t>
            </w:r>
          </w:p>
        </w:tc>
        <w:tc>
          <w:tcPr>
            <w:tcW w:w="1247" w:type="dxa"/>
            <w:vAlign w:val="center"/>
          </w:tcPr>
          <w:p w:rsidRPr="00F97C94" w:rsidR="004A4D06" w:rsidP="004A4D06" w:rsidRDefault="006F349B" w14:paraId="795367FE" w14:textId="34A8B546">
            <w:pPr>
              <w:tabs>
                <w:tab w:val="center" w:pos="4320"/>
                <w:tab w:val="right" w:pos="8640"/>
              </w:tabs>
              <w:jc w:val="center"/>
              <w:rPr>
                <w:sz w:val="20"/>
                <w:szCs w:val="20"/>
              </w:rPr>
            </w:pPr>
            <w:r>
              <w:rPr>
                <w:sz w:val="20"/>
                <w:szCs w:val="20"/>
              </w:rPr>
              <w:t>1200</w:t>
            </w:r>
          </w:p>
        </w:tc>
        <w:tc>
          <w:tcPr>
            <w:tcW w:w="970" w:type="dxa"/>
          </w:tcPr>
          <w:p w:rsidRPr="00F97C94" w:rsidR="004A4D06" w:rsidP="004A4D06" w:rsidRDefault="004A4D06" w14:paraId="5DE27B82" w14:textId="77777777">
            <w:pPr>
              <w:tabs>
                <w:tab w:val="center" w:pos="4320"/>
                <w:tab w:val="right" w:pos="8640"/>
              </w:tabs>
              <w:jc w:val="center"/>
              <w:rPr>
                <w:sz w:val="20"/>
                <w:szCs w:val="20"/>
              </w:rPr>
            </w:pPr>
          </w:p>
        </w:tc>
        <w:tc>
          <w:tcPr>
            <w:tcW w:w="1094" w:type="dxa"/>
            <w:vAlign w:val="center"/>
          </w:tcPr>
          <w:p w:rsidRPr="00F97C94" w:rsidR="004A4D06" w:rsidP="000A20A2" w:rsidRDefault="000A20A2" w14:paraId="1B73EB33" w14:textId="23A51159">
            <w:pPr>
              <w:tabs>
                <w:tab w:val="center" w:pos="4320"/>
                <w:tab w:val="right" w:pos="8640"/>
              </w:tabs>
              <w:jc w:val="center"/>
              <w:rPr>
                <w:sz w:val="20"/>
                <w:szCs w:val="20"/>
              </w:rPr>
            </w:pPr>
            <w:r>
              <w:rPr>
                <w:sz w:val="20"/>
                <w:szCs w:val="20"/>
              </w:rPr>
              <w:t>$24,276</w:t>
            </w:r>
          </w:p>
        </w:tc>
      </w:tr>
    </w:tbl>
    <w:p w:rsidRPr="00F97C94" w:rsidR="000A20A2" w:rsidP="000A20A2" w:rsidRDefault="000A20A2" w14:paraId="66392DF8" w14:textId="77777777">
      <w:pPr>
        <w:rPr>
          <w:i/>
        </w:rPr>
      </w:pPr>
      <w:r w:rsidRPr="00F97C94">
        <w:rPr>
          <w:b/>
          <w:i/>
        </w:rPr>
        <w:lastRenderedPageBreak/>
        <w:t>Total Burden Requested Under this Information Collection</w:t>
      </w:r>
    </w:p>
    <w:p w:rsidRPr="00F97C94" w:rsidR="000A20A2" w:rsidP="000A20A2" w:rsidRDefault="000A20A2" w14:paraId="3AA56660" w14:textId="02ADEB13">
      <w:r w:rsidRPr="00F97C94">
        <w:t>The total new (</w:t>
      </w:r>
      <w:r>
        <w:t>540 respondents; 1,200 hours</w:t>
      </w:r>
      <w:r w:rsidRPr="00F97C94">
        <w:t xml:space="preserve">) and </w:t>
      </w:r>
      <w:r>
        <w:t>previously approved</w:t>
      </w:r>
      <w:r w:rsidRPr="00F97C94">
        <w:t xml:space="preserve"> (</w:t>
      </w:r>
      <w:r>
        <w:t xml:space="preserve">4,250 </w:t>
      </w:r>
      <w:r w:rsidRPr="00F97C94">
        <w:t xml:space="preserve">respondents; </w:t>
      </w:r>
      <w:r>
        <w:t xml:space="preserve">8,250 </w:t>
      </w:r>
      <w:r w:rsidRPr="00F97C94">
        <w:t>hours</w:t>
      </w:r>
      <w:r w:rsidRPr="00F97C94">
        <w:rPr>
          <w:color w:val="000000"/>
          <w:sz w:val="22"/>
        </w:rPr>
        <w:t>)</w:t>
      </w:r>
      <w:r w:rsidRPr="00F97C94">
        <w:t xml:space="preserve"> burden hours requested under this umbrella generic information collection is </w:t>
      </w:r>
      <w:r>
        <w:t>9,450</w:t>
      </w:r>
      <w:r w:rsidRPr="00F97C94">
        <w:t xml:space="preserve"> hours. </w:t>
      </w:r>
    </w:p>
    <w:p w:rsidRPr="00E06440" w:rsidR="000A20A2" w:rsidP="00AB66D6" w:rsidRDefault="000A20A2" w14:paraId="5CE05979" w14:textId="77777777">
      <w:pPr>
        <w:rPr>
          <w:b/>
          <w:i/>
        </w:rPr>
      </w:pPr>
    </w:p>
    <w:p w:rsidRPr="00F97C94" w:rsidR="002338AC" w:rsidP="00E06440" w:rsidRDefault="002338AC" w14:paraId="6CDB6B0C" w14:textId="3CA39911">
      <w:pPr>
        <w:spacing w:after="60"/>
        <w:rPr>
          <w:b/>
          <w:i/>
        </w:rPr>
      </w:pPr>
      <w:r w:rsidRPr="00F97C94">
        <w:rPr>
          <w:b/>
          <w:i/>
        </w:rPr>
        <w:t>Total Annual Cost</w:t>
      </w:r>
    </w:p>
    <w:p w:rsidRPr="00732CDF" w:rsidR="00AB66D6" w:rsidP="00AB66D6" w:rsidRDefault="00AB66D6" w14:paraId="38A69635" w14:textId="77777777">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Pr="00732CDF" w:rsidR="00FA73FA">
        <w:rPr>
          <w:szCs w:val="22"/>
        </w:rPr>
        <w:t>,</w:t>
      </w:r>
      <w:r w:rsidRPr="00732CDF">
        <w:rPr>
          <w:szCs w:val="22"/>
        </w:rPr>
        <w:t xml:space="preserve"> service providers</w:t>
      </w:r>
      <w:r w:rsidRPr="00732CDF" w:rsidR="00FA73FA">
        <w:rPr>
          <w:szCs w:val="22"/>
        </w:rPr>
        <w:t>, grantees, contractors, or ACF program participants</w:t>
      </w:r>
      <w:r w:rsidRPr="00732CDF">
        <w:rPr>
          <w:szCs w:val="22"/>
        </w:rPr>
        <w:t>.</w:t>
      </w:r>
      <w:r w:rsidRPr="00732CDF" w:rsidR="00921B4D">
        <w:rPr>
          <w:szCs w:val="22"/>
        </w:rPr>
        <w:t xml:space="preserve"> </w:t>
      </w:r>
      <w:r w:rsidRPr="00732CDF">
        <w:rPr>
          <w:szCs w:val="22"/>
        </w:rPr>
        <w:t>Based on data on our expected respondents from the Bureau of Labor Statistics</w:t>
      </w:r>
      <w:r w:rsidRPr="00732CDF" w:rsidR="00732CDF">
        <w:rPr>
          <w:szCs w:val="22"/>
        </w:rPr>
        <w:t xml:space="preserve"> and the federal minimum wage</w:t>
      </w:r>
      <w:r w:rsidRPr="00732CDF">
        <w:rPr>
          <w:szCs w:val="22"/>
        </w:rPr>
        <w:t>, we use a mean hourly wage of $</w:t>
      </w:r>
      <w:r w:rsidRPr="00732CDF" w:rsidR="00732CDF">
        <w:rPr>
          <w:szCs w:val="22"/>
        </w:rPr>
        <w:t>20.23</w:t>
      </w:r>
      <w:r w:rsidRPr="00732CDF">
        <w:rPr>
          <w:rStyle w:val="FootnoteReference"/>
          <w:szCs w:val="22"/>
        </w:rPr>
        <w:footnoteReference w:id="8"/>
      </w:r>
      <w:r w:rsidRPr="00732CDF">
        <w:rPr>
          <w:szCs w:val="22"/>
        </w:rPr>
        <w:t>.</w:t>
      </w:r>
    </w:p>
    <w:p w:rsidR="002338AC" w:rsidP="00E06440" w:rsidRDefault="002338AC" w14:paraId="69DD49FD" w14:textId="4862C1B3"/>
    <w:p w:rsidR="00B00CD7" w:rsidP="00B00CD7" w:rsidRDefault="00B00CD7" w14:paraId="0FADBF61" w14:textId="77777777"/>
    <w:p w:rsidRPr="00F97C94" w:rsidR="00945CD6" w:rsidP="00E06440" w:rsidRDefault="00292B70" w14:paraId="696C6DD6" w14:textId="77777777">
      <w:pPr>
        <w:spacing w:after="120"/>
        <w:rPr>
          <w:b/>
        </w:rPr>
      </w:pPr>
      <w:r w:rsidRPr="00F97C94">
        <w:rPr>
          <w:b/>
        </w:rPr>
        <w:t xml:space="preserve">A13. </w:t>
      </w:r>
      <w:r w:rsidRPr="00F97C94" w:rsidR="00945CD6">
        <w:rPr>
          <w:b/>
        </w:rPr>
        <w:t>Cost Burden to Respondents or Record Keepers</w:t>
      </w:r>
    </w:p>
    <w:p w:rsidRPr="00F97C94" w:rsidR="00D90EF6" w:rsidP="00D550E6" w:rsidRDefault="00B91D97" w14:paraId="7FBE9F67" w14:textId="77777777">
      <w:r w:rsidRPr="00F97C94">
        <w:rPr>
          <w:sz w:val="22"/>
          <w:szCs w:val="22"/>
        </w:rPr>
        <w:t>There are no additional costs to respondents.</w:t>
      </w:r>
    </w:p>
    <w:p w:rsidRPr="00F97C94" w:rsidR="005046F0" w:rsidP="00D550E6" w:rsidRDefault="005046F0" w14:paraId="4EF62B80" w14:textId="77777777"/>
    <w:p w:rsidRPr="00F97C94" w:rsidR="002338AC" w:rsidP="005046F0" w:rsidRDefault="002338AC" w14:paraId="54EFBBB8" w14:textId="77777777">
      <w:pPr>
        <w:ind w:left="360"/>
      </w:pPr>
    </w:p>
    <w:p w:rsidRPr="00F97C94" w:rsidR="00945CD6" w:rsidP="00E06440" w:rsidRDefault="00292B70" w14:paraId="0C01631B" w14:textId="77777777">
      <w:pPr>
        <w:spacing w:after="120"/>
        <w:rPr>
          <w:b/>
        </w:rPr>
      </w:pPr>
      <w:r w:rsidRPr="00F97C94">
        <w:rPr>
          <w:b/>
        </w:rPr>
        <w:t xml:space="preserve">A14. </w:t>
      </w:r>
      <w:r w:rsidRPr="00F97C94" w:rsidR="00945CD6">
        <w:rPr>
          <w:b/>
        </w:rPr>
        <w:t>Estimate of Cost to the Federal Government</w:t>
      </w:r>
    </w:p>
    <w:p w:rsidRPr="00F97C94" w:rsidR="00B91D97" w:rsidP="00FC6E73" w:rsidRDefault="00E431ED" w14:paraId="2C43AD72" w14:textId="77777777">
      <w:r>
        <w:rPr>
          <w:rFonts w:ascii="TimesNewRoman" w:hAnsi="TimesNewRoman" w:cs="TimesNewRoman"/>
        </w:rPr>
        <w:t>W</w:t>
      </w:r>
      <w:r w:rsidRPr="00F97C94" w:rsidR="00FC6E73">
        <w:rPr>
          <w:rFonts w:ascii="TimesNewRoman" w:hAnsi="TimesNewRoman" w:cs="TimesNewRoman"/>
        </w:rPr>
        <w:t xml:space="preserve">e estimate </w:t>
      </w:r>
      <w:r w:rsidRPr="00F97C94" w:rsidR="006014BA">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100,000</w:t>
      </w:r>
      <w:r w:rsidRPr="00F97C94" w:rsidR="00CF4DE5">
        <w:rPr>
          <w:rFonts w:ascii="TimesNewRoman" w:hAnsi="TimesNewRoman" w:cs="TimesNewRoman"/>
        </w:rPr>
        <w:t xml:space="preserve"> per </w:t>
      </w:r>
      <w:proofErr w:type="spellStart"/>
      <w:r w:rsidRPr="00F97C94" w:rsidR="00CF4DE5">
        <w:rPr>
          <w:rFonts w:ascii="TimesNewRoman" w:hAnsi="TimesNewRoman" w:cs="TimesNewRoman"/>
        </w:rPr>
        <w:t>GenIC</w:t>
      </w:r>
      <w:proofErr w:type="spellEnd"/>
      <w:r w:rsidRPr="00F97C94" w:rsidR="006014BA">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sidR="006014BA">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proofErr w:type="spellStart"/>
      <w:proofErr w:type="gramStart"/>
      <w:r w:rsidRPr="00F97C94" w:rsidR="00AB763E">
        <w:rPr>
          <w:rFonts w:ascii="TimesNewRoman" w:hAnsi="TimesNewRoman" w:cs="TimesNewRoman"/>
        </w:rPr>
        <w:t>GenIC</w:t>
      </w:r>
      <w:proofErr w:type="spellEnd"/>
      <w:proofErr w:type="gramEnd"/>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F97C94" w:rsidR="00520737" w:rsidP="005046F0" w:rsidRDefault="00520737" w14:paraId="3B61AF74" w14:textId="77777777">
      <w:pPr>
        <w:ind w:left="360"/>
      </w:pPr>
    </w:p>
    <w:p w:rsidRPr="00F97C94" w:rsidR="002338AC" w:rsidP="005046F0" w:rsidRDefault="002338AC" w14:paraId="2D94C218" w14:textId="77777777">
      <w:pPr>
        <w:ind w:left="360"/>
      </w:pPr>
    </w:p>
    <w:p w:rsidRPr="00F97C94" w:rsidR="00945CD6" w:rsidP="00E06440" w:rsidRDefault="00292B70" w14:paraId="3EE6DB1A" w14:textId="77777777">
      <w:pPr>
        <w:spacing w:after="120"/>
        <w:rPr>
          <w:b/>
        </w:rPr>
      </w:pPr>
      <w:r w:rsidRPr="00F97C94">
        <w:rPr>
          <w:b/>
        </w:rPr>
        <w:t xml:space="preserve">A15. </w:t>
      </w:r>
      <w:r w:rsidRPr="00F97C94" w:rsidR="00945CD6">
        <w:rPr>
          <w:b/>
        </w:rPr>
        <w:t>Change in Burden</w:t>
      </w:r>
    </w:p>
    <w:p w:rsidR="00D725C6" w:rsidP="00D725C6" w:rsidRDefault="00D725C6" w14:paraId="27CD7942" w14:textId="148C8B98">
      <w:r>
        <w:t xml:space="preserve">ACF has reached the previously approved burden estimates for this overarching generic faster than anticipated. This is due to the usefulness of this tool in general, and </w:t>
      </w:r>
      <w:r w:rsidRPr="00371059">
        <w:t>the unforeseen and unprecedented situation created by the COVID-19 pandemic</w:t>
      </w:r>
      <w:r>
        <w:t xml:space="preserve">. </w:t>
      </w:r>
      <w:r w:rsidRPr="00371059" w:rsidR="00323E0A">
        <w:t xml:space="preserve">The Formative Data Collections for ACF Program Support generic has proved very useful for program offices to collect formative information about what programs and grantees are doing in response to the pandemic and to identify needs. </w:t>
      </w:r>
    </w:p>
    <w:p w:rsidR="00323E0A" w:rsidP="00323E0A" w:rsidRDefault="00323E0A" w14:paraId="7EAA4E36" w14:textId="77777777"/>
    <w:p w:rsidRPr="00371059" w:rsidR="00D725C6" w:rsidP="00323E0A" w:rsidRDefault="00D725C6" w14:paraId="0A14E566" w14:textId="0C9941CC">
      <w:r>
        <w:t xml:space="preserve">We are currently in the process of submitting a request to revise and extend data collection under this generic clearance. </w:t>
      </w:r>
      <w:r w:rsidRPr="00371059">
        <w:t xml:space="preserve">The 60-day comment period related to this revision request </w:t>
      </w:r>
      <w:r>
        <w:t>began</w:t>
      </w:r>
      <w:r w:rsidRPr="00371059">
        <w:t xml:space="preserve"> on </w:t>
      </w:r>
      <w:r w:rsidR="00323E0A">
        <w:t>October 13, 2020</w:t>
      </w:r>
      <w:r w:rsidRPr="00371059">
        <w:t xml:space="preserve"> (</w:t>
      </w:r>
      <w:r w:rsidR="00323E0A">
        <w:rPr>
          <w:rFonts w:ascii="TimesNewRoman" w:hAnsi="TimesNewRoman" w:cs="TimesNewRoman"/>
        </w:rPr>
        <w:t xml:space="preserve">85 FR </w:t>
      </w:r>
      <w:r w:rsidRPr="00371059" w:rsidR="00323E0A">
        <w:t>64480</w:t>
      </w:r>
      <w:r w:rsidRPr="00371059">
        <w:t xml:space="preserve">) and we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t xml:space="preserve">we </w:t>
      </w:r>
      <w:r w:rsidRPr="00371059">
        <w:t>intend to</w:t>
      </w:r>
      <w:r>
        <w:t xml:space="preserve"> </w:t>
      </w:r>
      <w:r w:rsidRPr="00371059">
        <w:t xml:space="preserve">submit within the next couple months. For that reason, we are currently requesting a </w:t>
      </w:r>
      <w:proofErr w:type="spellStart"/>
      <w:r w:rsidRPr="00371059">
        <w:t>nonsubstantive</w:t>
      </w:r>
      <w:proofErr w:type="spellEnd"/>
      <w:r w:rsidRPr="00371059">
        <w:t xml:space="preserve"> change for a minor burden increase.</w:t>
      </w:r>
    </w:p>
    <w:p w:rsidRPr="00F97C94" w:rsidR="00520737" w:rsidP="005046F0" w:rsidRDefault="00520737" w14:paraId="21647BA1" w14:textId="77777777">
      <w:pPr>
        <w:ind w:left="360"/>
      </w:pPr>
    </w:p>
    <w:p w:rsidRPr="00F97C94" w:rsidR="00945CD6" w:rsidP="00E06440" w:rsidRDefault="00292B70" w14:paraId="1D04F378" w14:textId="77777777">
      <w:pPr>
        <w:spacing w:after="120"/>
        <w:rPr>
          <w:b/>
        </w:rPr>
      </w:pPr>
      <w:r w:rsidRPr="00F97C94">
        <w:rPr>
          <w:b/>
        </w:rPr>
        <w:lastRenderedPageBreak/>
        <w:t xml:space="preserve">A16. </w:t>
      </w:r>
      <w:r w:rsidRPr="00F97C94" w:rsidR="00945CD6">
        <w:rPr>
          <w:b/>
        </w:rPr>
        <w:t>Plan and Time Schedule for Informati</w:t>
      </w:r>
      <w:bookmarkStart w:name="_GoBack" w:id="4"/>
      <w:bookmarkEnd w:id="4"/>
      <w:r w:rsidRPr="00F97C94" w:rsidR="00945CD6">
        <w:rPr>
          <w:b/>
        </w:rPr>
        <w:t>on Collection, Tabulation and Publication</w:t>
      </w:r>
    </w:p>
    <w:p w:rsidRPr="001238AE" w:rsidR="00D550E6" w:rsidP="00D550E6" w:rsidRDefault="00D550E6" w14:paraId="61FD1430"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Pr="001238AE" w:rsidR="00921B4D">
        <w:rPr>
          <w:rFonts w:ascii="TimesNewRoman" w:hAnsi="TimesNewRoman" w:cs="TimesNewRoman"/>
        </w:rPr>
        <w:t xml:space="preserve"> </w:t>
      </w:r>
      <w:r w:rsidRPr="001238AE">
        <w:rPr>
          <w:rFonts w:ascii="TimesNewRoman" w:hAnsi="TimesNewRoman" w:cs="TimesNewRoman"/>
        </w:rPr>
        <w:t xml:space="preserve">For each </w:t>
      </w:r>
      <w:r w:rsidRPr="001238AE" w:rsidR="00BC577E">
        <w:rPr>
          <w:rFonts w:ascii="TimesNewRoman" w:hAnsi="TimesNewRoman" w:cs="TimesNewRoman"/>
        </w:rPr>
        <w:t xml:space="preserve">individual </w:t>
      </w:r>
      <w:proofErr w:type="spellStart"/>
      <w:proofErr w:type="gramStart"/>
      <w:r w:rsidRPr="001238AE" w:rsidR="00C53238">
        <w:rPr>
          <w:rFonts w:ascii="TimesNewRoman" w:hAnsi="TimesNewRoman" w:cs="TimesNewRoman"/>
        </w:rPr>
        <w:t>GenIC</w:t>
      </w:r>
      <w:proofErr w:type="spellEnd"/>
      <w:proofErr w:type="gramEnd"/>
      <w:r w:rsidRPr="001238AE" w:rsidR="00BC577E">
        <w:rPr>
          <w:rFonts w:ascii="TimesNewRoman" w:hAnsi="TimesNewRoman" w:cs="TimesNewRoman"/>
        </w:rPr>
        <w:t xml:space="preserve"> request</w:t>
      </w:r>
      <w:r w:rsidRPr="001238AE">
        <w:rPr>
          <w:rFonts w:ascii="TimesNewRoman" w:hAnsi="TimesNewRoman" w:cs="TimesNewRoman"/>
        </w:rPr>
        <w:t>, we will provide OMB with an overall project schedule.</w:t>
      </w:r>
      <w:r w:rsidRPr="001238AE" w:rsidR="00FC6E73">
        <w:rPr>
          <w:rFonts w:ascii="TimesNewRoman" w:hAnsi="TimesNewRoman" w:cs="TimesNewRoman"/>
        </w:rPr>
        <w:t xml:space="preserve"> The </w:t>
      </w:r>
      <w:r w:rsidRPr="001238AE" w:rsidR="00C53238">
        <w:rPr>
          <w:rFonts w:ascii="TimesNewRoman" w:hAnsi="TimesNewRoman" w:cs="TimesNewRoman"/>
        </w:rPr>
        <w:t>A</w:t>
      </w:r>
      <w:r w:rsidRPr="001238AE" w:rsidR="00FC6E73">
        <w:rPr>
          <w:rFonts w:ascii="TimesNewRoman" w:hAnsi="TimesNewRoman" w:cs="TimesNewRoman"/>
        </w:rPr>
        <w:t xml:space="preserve">gency will develop individual timelines for projects involving generic clearances based on an understanding that OMB/OIRA will </w:t>
      </w:r>
      <w:r w:rsidRPr="001238AE" w:rsidR="00FC6E73">
        <w:rPr>
          <w:rFonts w:ascii="TimesNewRoman" w:hAnsi="TimesNewRoman" w:cs="TimesNewRoman"/>
          <w:b/>
          <w:i/>
        </w:rPr>
        <w:t xml:space="preserve">review within 10 </w:t>
      </w:r>
      <w:r w:rsidRPr="001238AE" w:rsidR="00D91A8B">
        <w:rPr>
          <w:rFonts w:ascii="TimesNewRoman" w:hAnsi="TimesNewRoman" w:cs="TimesNewRoman"/>
          <w:b/>
          <w:i/>
        </w:rPr>
        <w:t xml:space="preserve">working </w:t>
      </w:r>
      <w:r w:rsidRPr="001238AE" w:rsidR="00FC6E73">
        <w:rPr>
          <w:rFonts w:ascii="TimesNewRoman" w:hAnsi="TimesNewRoman" w:cs="TimesNewRoman"/>
          <w:b/>
          <w:i/>
        </w:rPr>
        <w:t>days</w:t>
      </w:r>
      <w:r w:rsidRPr="001238AE" w:rsidR="00FC6E73">
        <w:rPr>
          <w:rFonts w:ascii="TimesNewRoman" w:hAnsi="TimesNewRoman" w:cs="TimesNewRoman"/>
        </w:rPr>
        <w:t xml:space="preserve"> of receiving the information collection request. </w:t>
      </w:r>
    </w:p>
    <w:p w:rsidRPr="001238AE" w:rsidR="00D90EF6" w:rsidP="00D550E6" w:rsidRDefault="00D90EF6" w14:paraId="44FC6E39" w14:textId="77777777"/>
    <w:p w:rsidRPr="001238AE" w:rsidR="00B7071C" w:rsidP="00B7071C" w:rsidRDefault="00B7071C" w14:paraId="231D530E" w14:textId="7A711A41">
      <w:pPr>
        <w:rPr>
          <w:sz w:val="22"/>
          <w:szCs w:val="22"/>
        </w:rPr>
      </w:pPr>
      <w:r w:rsidRPr="001238AE">
        <w:rPr>
          <w:szCs w:val="22"/>
        </w:rPr>
        <w:t xml:space="preserve">Under this </w:t>
      </w:r>
      <w:r w:rsidRPr="001238AE" w:rsidR="00732CDF">
        <w:rPr>
          <w:szCs w:val="22"/>
        </w:rPr>
        <w:t xml:space="preserve">umbrella </w:t>
      </w:r>
      <w:r w:rsidRPr="001238AE">
        <w:rPr>
          <w:szCs w:val="22"/>
        </w:rPr>
        <w:t xml:space="preserve">generic IC, information </w:t>
      </w:r>
      <w:r w:rsidRPr="001238AE" w:rsidR="00C32128">
        <w:rPr>
          <w:szCs w:val="22"/>
        </w:rPr>
        <w:t>is</w:t>
      </w:r>
      <w:r w:rsidRPr="001238AE">
        <w:rPr>
          <w:szCs w:val="22"/>
        </w:rPr>
        <w:t xml:space="preserve"> meant to inform ACF activities and may be incorporated into documents or presentations that are made public</w:t>
      </w:r>
      <w:r w:rsidRPr="001238AE" w:rsidR="00C32128">
        <w:rPr>
          <w:szCs w:val="22"/>
        </w:rPr>
        <w:t xml:space="preserve"> such as through </w:t>
      </w:r>
      <w:r w:rsidR="00ED2E47">
        <w:rPr>
          <w:szCs w:val="22"/>
        </w:rPr>
        <w:t xml:space="preserve">conference </w:t>
      </w:r>
      <w:r w:rsidRPr="001238AE" w:rsidR="00C32128">
        <w:rPr>
          <w:szCs w:val="22"/>
        </w:rPr>
        <w:t>presentations, websites, or social media</w:t>
      </w:r>
      <w:r w:rsidRPr="001238AE">
        <w:rPr>
          <w:szCs w:val="22"/>
        </w:rPr>
        <w:t xml:space="preserve">. </w:t>
      </w:r>
    </w:p>
    <w:p w:rsidRPr="001238AE" w:rsidR="002338AC" w:rsidP="00D550E6" w:rsidRDefault="002338AC" w14:paraId="37080B77" w14:textId="77777777">
      <w:pPr>
        <w:rPr>
          <w:b/>
        </w:rPr>
      </w:pPr>
    </w:p>
    <w:p w:rsidR="002338AC" w:rsidP="00292B70" w:rsidRDefault="00D42063" w14:paraId="4AACA3BB" w14:textId="58575AE2">
      <w:pPr>
        <w:rPr>
          <w:rFonts w:ascii="TimesNewRoman" w:hAnsi="TimesNewRoman" w:cs="TimesNewRoman"/>
        </w:rPr>
      </w:pPr>
      <w:r w:rsidRPr="001238AE">
        <w:rPr>
          <w:szCs w:val="22"/>
        </w:rPr>
        <w:t xml:space="preserve">The following are some examples of ways in which we may share information resulting from these data collections: </w:t>
      </w:r>
      <w:r w:rsidRPr="001238AE" w:rsidR="00732CDF">
        <w:rPr>
          <w:szCs w:val="22"/>
        </w:rPr>
        <w:t>technical assistance plans,</w:t>
      </w:r>
      <w:r w:rsidRPr="001238AE">
        <w:rPr>
          <w:szCs w:val="22"/>
        </w:rPr>
        <w:t xml:space="preserve"> </w:t>
      </w:r>
      <w:r w:rsidRPr="001238AE" w:rsidR="00D12FAF">
        <w:rPr>
          <w:szCs w:val="22"/>
        </w:rPr>
        <w:t>presentation</w:t>
      </w:r>
      <w:r w:rsidRPr="001238AE" w:rsidR="00D10385">
        <w:rPr>
          <w:szCs w:val="22"/>
        </w:rPr>
        <w:t>s</w:t>
      </w:r>
      <w:r w:rsidRPr="001238AE" w:rsidR="00D12FAF">
        <w:rPr>
          <w:szCs w:val="22"/>
        </w:rPr>
        <w:t>,</w:t>
      </w:r>
      <w:r w:rsidRPr="001238AE" w:rsidR="00C32128">
        <w:rPr>
          <w:szCs w:val="22"/>
        </w:rPr>
        <w:t xml:space="preserve"> infographics, project specific reports,</w:t>
      </w:r>
      <w:r w:rsidRPr="001238AE" w:rsidR="00D12FAF">
        <w:rPr>
          <w:szCs w:val="22"/>
        </w:rPr>
        <w:t xml:space="preserve"> </w:t>
      </w:r>
      <w:r w:rsidRPr="001238AE" w:rsidR="00920308">
        <w:rPr>
          <w:szCs w:val="22"/>
        </w:rPr>
        <w:t>or</w:t>
      </w:r>
      <w:r w:rsidRPr="001238AE" w:rsidR="00C32128">
        <w:rPr>
          <w:szCs w:val="22"/>
        </w:rPr>
        <w:t xml:space="preserve"> other</w:t>
      </w:r>
      <w:r w:rsidRPr="001238AE" w:rsidR="00920308">
        <w:rPr>
          <w:szCs w:val="22"/>
        </w:rPr>
        <w:t xml:space="preserve"> </w:t>
      </w:r>
      <w:r w:rsidRPr="001238AE" w:rsidR="0014243C">
        <w:rPr>
          <w:szCs w:val="22"/>
        </w:rPr>
        <w:t xml:space="preserve">documents </w:t>
      </w:r>
      <w:r w:rsidRPr="001238AE" w:rsidR="004E05C8">
        <w:rPr>
          <w:szCs w:val="22"/>
        </w:rPr>
        <w:t xml:space="preserve">relevant </w:t>
      </w:r>
      <w:r w:rsidRPr="001238AE">
        <w:rPr>
          <w:szCs w:val="22"/>
        </w:rPr>
        <w:t xml:space="preserve">to stakeholders such as </w:t>
      </w:r>
      <w:r w:rsidRPr="001238AE" w:rsidR="00D10385">
        <w:rPr>
          <w:szCs w:val="22"/>
        </w:rPr>
        <w:t>federal</w:t>
      </w:r>
      <w:r w:rsidR="00D10385">
        <w:rPr>
          <w:szCs w:val="22"/>
        </w:rPr>
        <w:t xml:space="preserve"> leadership and staff, </w:t>
      </w:r>
      <w:r w:rsidRPr="00F97C94">
        <w:rPr>
          <w:szCs w:val="22"/>
        </w:rPr>
        <w:t xml:space="preserve">grantees, local implementing agencies, and/or </w:t>
      </w:r>
      <w:r w:rsidR="0014243C">
        <w:rPr>
          <w:szCs w:val="22"/>
        </w:rPr>
        <w:t>T/TA</w:t>
      </w:r>
      <w:r w:rsidRPr="00F97C94">
        <w:rPr>
          <w:szCs w:val="22"/>
        </w:rPr>
        <w:t xml:space="preserve"> providers. In </w:t>
      </w:r>
      <w:r>
        <w:rPr>
          <w:szCs w:val="22"/>
        </w:rPr>
        <w:t>sharing</w:t>
      </w:r>
      <w:r w:rsidRPr="00F97C94">
        <w:rPr>
          <w:szCs w:val="22"/>
        </w:rPr>
        <w:t xml:space="preserve"> findings, we will describe the study methods and limitations with regard to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 xml:space="preserve">in each individual </w:t>
      </w:r>
      <w:proofErr w:type="spellStart"/>
      <w:r w:rsidRPr="00F97C94">
        <w:rPr>
          <w:rFonts w:ascii="TimesNewRoman" w:hAnsi="TimesNewRoman" w:cs="TimesNewRoman"/>
        </w:rPr>
        <w:t>GenIC</w:t>
      </w:r>
      <w:proofErr w:type="spellEnd"/>
      <w:r w:rsidRPr="00F97C94">
        <w:rPr>
          <w:rFonts w:ascii="TimesNewRoman" w:hAnsi="TimesNewRoman" w:cs="TimesNewRoman"/>
        </w:rPr>
        <w:t>.</w:t>
      </w:r>
    </w:p>
    <w:p w:rsidR="00D42063" w:rsidP="00292B70" w:rsidRDefault="00D42063" w14:paraId="5C120C0E" w14:textId="4774D89A">
      <w:pPr>
        <w:rPr>
          <w:b/>
        </w:rPr>
      </w:pPr>
    </w:p>
    <w:p w:rsidRPr="00F97C94" w:rsidR="00FA73FA" w:rsidP="00292B70" w:rsidRDefault="00FA73FA" w14:paraId="3B656E19" w14:textId="77777777">
      <w:pPr>
        <w:rPr>
          <w:b/>
        </w:rPr>
      </w:pPr>
    </w:p>
    <w:p w:rsidRPr="00F97C94" w:rsidR="00945CD6" w:rsidP="00E06440" w:rsidRDefault="00292B70" w14:paraId="3D3D75F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79E39078" w14:textId="77777777">
      <w:r w:rsidRPr="00F97C94">
        <w:t>All instruments will display the expiration date for OMB approval.</w:t>
      </w:r>
    </w:p>
    <w:p w:rsidRPr="00F97C94" w:rsidR="005046F0" w:rsidP="005046F0" w:rsidRDefault="005046F0" w14:paraId="2A2A4295" w14:textId="77777777">
      <w:pPr>
        <w:ind w:left="360"/>
      </w:pPr>
    </w:p>
    <w:p w:rsidRPr="00F97C94" w:rsidR="002338AC" w:rsidP="005046F0" w:rsidRDefault="002338AC" w14:paraId="324912B1" w14:textId="77777777">
      <w:pPr>
        <w:ind w:left="360"/>
      </w:pPr>
    </w:p>
    <w:p w:rsidRPr="00F97C94" w:rsidR="00945CD6" w:rsidP="00E06440" w:rsidRDefault="00292B70" w14:paraId="385ECB7F" w14:textId="77777777">
      <w:pPr>
        <w:spacing w:after="120"/>
        <w:rPr>
          <w:b/>
        </w:rPr>
      </w:pPr>
      <w:r w:rsidRPr="00F97C94">
        <w:rPr>
          <w:b/>
        </w:rPr>
        <w:t>A18.</w:t>
      </w:r>
      <w:r w:rsidRPr="00F97C94" w:rsidR="000B5EA8">
        <w:rPr>
          <w:b/>
        </w:rPr>
        <w:t xml:space="preserve"> Exceptions to Certification for Paperwork Reduction Act Submissions</w:t>
      </w:r>
    </w:p>
    <w:p w:rsidRPr="0072204D" w:rsidR="0072204D" w:rsidRDefault="00D90EF6" w14:paraId="27B18DA5" w14:textId="77777777">
      <w:r w:rsidRPr="00F97C94">
        <w:rPr>
          <w:szCs w:val="22"/>
        </w:rPr>
        <w:t>No exceptions are necessary for this information collection.</w:t>
      </w:r>
      <w:r w:rsidR="000B5EA8">
        <w:tab/>
      </w:r>
    </w:p>
    <w:sectPr w:rsidRPr="0072204D" w:rsidR="0072204D" w:rsidSect="00327B2E">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4E6B" w14:textId="77777777" w:rsidR="00E06440" w:rsidRDefault="00E06440">
      <w:r>
        <w:separator/>
      </w:r>
    </w:p>
  </w:endnote>
  <w:endnote w:type="continuationSeparator" w:id="0">
    <w:p w14:paraId="687518D3" w14:textId="77777777" w:rsidR="00E06440" w:rsidRDefault="00E06440">
      <w:r>
        <w:continuationSeparator/>
      </w:r>
    </w:p>
  </w:endnote>
  <w:endnote w:type="continuationNotice" w:id="1">
    <w:p w14:paraId="74AAAD54" w14:textId="77777777" w:rsidR="00E06440" w:rsidRDefault="00E06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BDAE" w14:textId="4F2BBD36" w:rsidR="00CB5798" w:rsidRDefault="00CB5798">
    <w:pPr>
      <w:pStyle w:val="Footer"/>
      <w:jc w:val="center"/>
    </w:pPr>
    <w:r>
      <w:fldChar w:fldCharType="begin"/>
    </w:r>
    <w:r>
      <w:instrText xml:space="preserve"> PAGE   \* MERGEFORMAT </w:instrText>
    </w:r>
    <w:r>
      <w:fldChar w:fldCharType="separate"/>
    </w:r>
    <w:r w:rsidR="001418A3">
      <w:rPr>
        <w:noProof/>
      </w:rPr>
      <w:t>12</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98A53" w14:textId="77777777" w:rsidR="00E06440" w:rsidRDefault="00E06440">
      <w:r>
        <w:separator/>
      </w:r>
    </w:p>
  </w:footnote>
  <w:footnote w:type="continuationSeparator" w:id="0">
    <w:p w14:paraId="337DFD11" w14:textId="77777777" w:rsidR="00E06440" w:rsidRDefault="00E06440">
      <w:r>
        <w:continuationSeparator/>
      </w:r>
    </w:p>
  </w:footnote>
  <w:footnote w:type="continuationNotice" w:id="1">
    <w:p w14:paraId="6C252DA4" w14:textId="77777777" w:rsidR="00E06440" w:rsidRDefault="00E06440"/>
  </w:footnote>
  <w:footnote w:id="2">
    <w:p w14:paraId="356305C5" w14:textId="5B8C32F7" w:rsidR="00B00CD7" w:rsidRDefault="00B00CD7" w:rsidP="00B00CD7">
      <w:pPr>
        <w:pStyle w:val="FootnoteText"/>
      </w:pPr>
      <w:r>
        <w:rPr>
          <w:rStyle w:val="FootnoteReference"/>
        </w:rPr>
        <w:footnoteRef/>
      </w:r>
      <w:r>
        <w:t xml:space="preserve"> </w:t>
      </w:r>
      <w:r w:rsidRPr="00F97C94">
        <w:t xml:space="preserve">Unless observation includes direct involvement from the observed individuals, these activities will be described in the justification package but will not be included in the estimated burden for a </w:t>
      </w:r>
      <w:proofErr w:type="spellStart"/>
      <w:r w:rsidRPr="00F97C94">
        <w:t>GenIC</w:t>
      </w:r>
      <w:proofErr w:type="spellEnd"/>
      <w:r>
        <w:t>.</w:t>
      </w:r>
    </w:p>
  </w:footnote>
  <w:footnote w:id="3">
    <w:p w14:paraId="29C3906F" w14:textId="7ACA762D" w:rsidR="00B00CD7" w:rsidRDefault="00B00CD7">
      <w:pPr>
        <w:pStyle w:val="FootnoteText"/>
      </w:pPr>
      <w:r>
        <w:rPr>
          <w:rStyle w:val="FootnoteReference"/>
        </w:rPr>
        <w:footnoteRef/>
      </w:r>
      <w:r>
        <w:t xml:space="preserve"> </w:t>
      </w:r>
      <w:r w:rsidRPr="00F97C94">
        <w:t xml:space="preserve">If documents or records are requested in a format in which they already exist, these activities will be described in the justification package, but will not be included in the estimated burden for a </w:t>
      </w:r>
      <w:proofErr w:type="spellStart"/>
      <w:r w:rsidRPr="00F97C94">
        <w:t>GenIC</w:t>
      </w:r>
      <w:proofErr w:type="spellEnd"/>
      <w:r>
        <w:t>.</w:t>
      </w:r>
    </w:p>
  </w:footnote>
  <w:footnote w:id="4">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5">
    <w:p w14:paraId="1E37F230" w14:textId="77777777" w:rsidR="00CB5798" w:rsidRDefault="00CB5798">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proofErr w:type="spellStart"/>
      <w:r w:rsidRPr="00363B83">
        <w:t>nonstandardized</w:t>
      </w:r>
      <w:proofErr w:type="spellEnd"/>
      <w:r w:rsidRPr="00363B83">
        <w:t xml:space="preserve"> oral communication in connection with such dir</w:t>
      </w:r>
      <w:r w:rsidRPr="00DE169E">
        <w:t>ect observations</w:t>
      </w:r>
      <w:r>
        <w:t>. . . .” (</w:t>
      </w:r>
      <w:proofErr w:type="gramStart"/>
      <w:r>
        <w:t>emphasis</w:t>
      </w:r>
      <w:proofErr w:type="gramEnd"/>
      <w:r>
        <w:t xml:space="preserve"> added).</w:t>
      </w:r>
    </w:p>
  </w:footnote>
  <w:footnote w:id="6">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7">
    <w:p w14:paraId="280CE753" w14:textId="51D241A2" w:rsidR="001238AE" w:rsidRDefault="001238AE">
      <w:pPr>
        <w:pStyle w:val="FootnoteText"/>
      </w:pPr>
      <w:r>
        <w:rPr>
          <w:rStyle w:val="FootnoteReference"/>
        </w:rPr>
        <w:footnoteRef/>
      </w:r>
      <w:r>
        <w:t xml:space="preserve"> We have estimated 1.5 responses to account for rapid cycle testing, which will require multiple responses. </w:t>
      </w:r>
    </w:p>
  </w:footnote>
  <w:footnote w:id="8">
    <w:p w14:paraId="7D795A6A" w14:textId="77777777" w:rsidR="00CB5798" w:rsidRDefault="00CB5798" w:rsidP="00AB66D6">
      <w:pPr>
        <w:pStyle w:val="CommentText"/>
      </w:pPr>
      <w:r>
        <w:rPr>
          <w:rStyle w:val="FootnoteReference"/>
        </w:rPr>
        <w:footnoteRef/>
      </w:r>
      <w:r>
        <w:t xml:space="preserve"> </w:t>
      </w:r>
      <w:r w:rsidRPr="00A33A77">
        <w:t>This is an average of the mean hourly wages for social scientists ($39.13), state government officials ($28.02), local</w:t>
      </w:r>
      <w:r>
        <w:t xml:space="preserve"> government officials ($26.75), </w:t>
      </w:r>
      <w:r w:rsidRPr="00A33A77">
        <w:t>social service occupation ($22.69)</w:t>
      </w:r>
      <w:r>
        <w:t>; and program participants ($7.25)</w:t>
      </w:r>
      <w:r w:rsidRPr="00A33A77">
        <w:t>.</w:t>
      </w:r>
      <w:r>
        <w:t xml:space="preserve"> </w:t>
      </w:r>
    </w:p>
    <w:p w14:paraId="338E8F04" w14:textId="77777777" w:rsidR="00CB5798" w:rsidRDefault="00CB5798" w:rsidP="00AB6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7139"/>
    <w:rsid w:val="00020FFC"/>
    <w:rsid w:val="0004053B"/>
    <w:rsid w:val="000431B8"/>
    <w:rsid w:val="00053458"/>
    <w:rsid w:val="000753DD"/>
    <w:rsid w:val="00082889"/>
    <w:rsid w:val="00091C59"/>
    <w:rsid w:val="000A20A2"/>
    <w:rsid w:val="000B060E"/>
    <w:rsid w:val="000B1ABA"/>
    <w:rsid w:val="000B1F7D"/>
    <w:rsid w:val="000B5EA8"/>
    <w:rsid w:val="000C6FCF"/>
    <w:rsid w:val="000C78C9"/>
    <w:rsid w:val="000D53DF"/>
    <w:rsid w:val="000D63E9"/>
    <w:rsid w:val="000F5C56"/>
    <w:rsid w:val="000F5DE6"/>
    <w:rsid w:val="00101775"/>
    <w:rsid w:val="0010736A"/>
    <w:rsid w:val="00112A7F"/>
    <w:rsid w:val="00116944"/>
    <w:rsid w:val="001238AE"/>
    <w:rsid w:val="00124131"/>
    <w:rsid w:val="00124EBF"/>
    <w:rsid w:val="001418A3"/>
    <w:rsid w:val="0014243C"/>
    <w:rsid w:val="0016012E"/>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14CA8"/>
    <w:rsid w:val="0022030E"/>
    <w:rsid w:val="002231FA"/>
    <w:rsid w:val="00225EBE"/>
    <w:rsid w:val="002338AC"/>
    <w:rsid w:val="00234E8D"/>
    <w:rsid w:val="00235A6D"/>
    <w:rsid w:val="002408DE"/>
    <w:rsid w:val="0024439E"/>
    <w:rsid w:val="00250686"/>
    <w:rsid w:val="0025173C"/>
    <w:rsid w:val="00253148"/>
    <w:rsid w:val="002558A2"/>
    <w:rsid w:val="0026531A"/>
    <w:rsid w:val="00266F3C"/>
    <w:rsid w:val="002707D7"/>
    <w:rsid w:val="00275323"/>
    <w:rsid w:val="00275D0B"/>
    <w:rsid w:val="00276ED6"/>
    <w:rsid w:val="00277C2B"/>
    <w:rsid w:val="002808A4"/>
    <w:rsid w:val="00292B70"/>
    <w:rsid w:val="002A1F68"/>
    <w:rsid w:val="002B4DBE"/>
    <w:rsid w:val="002C0C33"/>
    <w:rsid w:val="002C3AEF"/>
    <w:rsid w:val="002C4F75"/>
    <w:rsid w:val="002C74E1"/>
    <w:rsid w:val="002E0626"/>
    <w:rsid w:val="002E6082"/>
    <w:rsid w:val="002E651A"/>
    <w:rsid w:val="002F0095"/>
    <w:rsid w:val="002F4D9D"/>
    <w:rsid w:val="002F7144"/>
    <w:rsid w:val="003021C8"/>
    <w:rsid w:val="00323393"/>
    <w:rsid w:val="00323E0A"/>
    <w:rsid w:val="00327B2E"/>
    <w:rsid w:val="0034036F"/>
    <w:rsid w:val="00343569"/>
    <w:rsid w:val="0034681E"/>
    <w:rsid w:val="0035598A"/>
    <w:rsid w:val="00362F8A"/>
    <w:rsid w:val="00363B83"/>
    <w:rsid w:val="00367F90"/>
    <w:rsid w:val="003722F9"/>
    <w:rsid w:val="00374DAB"/>
    <w:rsid w:val="00376701"/>
    <w:rsid w:val="00381ADD"/>
    <w:rsid w:val="0038291A"/>
    <w:rsid w:val="00391724"/>
    <w:rsid w:val="00394A88"/>
    <w:rsid w:val="003B3C1B"/>
    <w:rsid w:val="003B4EF6"/>
    <w:rsid w:val="003C206B"/>
    <w:rsid w:val="003C7898"/>
    <w:rsid w:val="003D4F64"/>
    <w:rsid w:val="003D5231"/>
    <w:rsid w:val="003F17F1"/>
    <w:rsid w:val="003F4CE2"/>
    <w:rsid w:val="00405BDF"/>
    <w:rsid w:val="004222F8"/>
    <w:rsid w:val="00422C1B"/>
    <w:rsid w:val="00435CD1"/>
    <w:rsid w:val="00443B71"/>
    <w:rsid w:val="004465ED"/>
    <w:rsid w:val="00447482"/>
    <w:rsid w:val="004522FF"/>
    <w:rsid w:val="004554B1"/>
    <w:rsid w:val="004557B6"/>
    <w:rsid w:val="00456E2F"/>
    <w:rsid w:val="00461790"/>
    <w:rsid w:val="00482DDE"/>
    <w:rsid w:val="00491BDA"/>
    <w:rsid w:val="004A44DD"/>
    <w:rsid w:val="004A4D06"/>
    <w:rsid w:val="004B0AF7"/>
    <w:rsid w:val="004B587E"/>
    <w:rsid w:val="004C2ADD"/>
    <w:rsid w:val="004C3495"/>
    <w:rsid w:val="004D0BDC"/>
    <w:rsid w:val="004D0C3D"/>
    <w:rsid w:val="004D1186"/>
    <w:rsid w:val="004D6CA9"/>
    <w:rsid w:val="004D7AF7"/>
    <w:rsid w:val="004E05C8"/>
    <w:rsid w:val="004E2521"/>
    <w:rsid w:val="004E5712"/>
    <w:rsid w:val="004F1A44"/>
    <w:rsid w:val="004F1C27"/>
    <w:rsid w:val="004F4E1D"/>
    <w:rsid w:val="005046F0"/>
    <w:rsid w:val="00513406"/>
    <w:rsid w:val="00514A89"/>
    <w:rsid w:val="00520737"/>
    <w:rsid w:val="00532B3E"/>
    <w:rsid w:val="00532E52"/>
    <w:rsid w:val="00533614"/>
    <w:rsid w:val="005353B7"/>
    <w:rsid w:val="00541024"/>
    <w:rsid w:val="00541A03"/>
    <w:rsid w:val="005511A7"/>
    <w:rsid w:val="00553092"/>
    <w:rsid w:val="00563092"/>
    <w:rsid w:val="0057751A"/>
    <w:rsid w:val="00585262"/>
    <w:rsid w:val="00592CE6"/>
    <w:rsid w:val="005944D0"/>
    <w:rsid w:val="005A64C5"/>
    <w:rsid w:val="005B4FF2"/>
    <w:rsid w:val="005B75EB"/>
    <w:rsid w:val="005C0061"/>
    <w:rsid w:val="005C63E5"/>
    <w:rsid w:val="005D1F18"/>
    <w:rsid w:val="005E0526"/>
    <w:rsid w:val="005E2A2A"/>
    <w:rsid w:val="005E6B09"/>
    <w:rsid w:val="005F2061"/>
    <w:rsid w:val="005F3BBD"/>
    <w:rsid w:val="005F738F"/>
    <w:rsid w:val="006014BA"/>
    <w:rsid w:val="006047E8"/>
    <w:rsid w:val="00607351"/>
    <w:rsid w:val="00621CB6"/>
    <w:rsid w:val="00622EE4"/>
    <w:rsid w:val="0062352A"/>
    <w:rsid w:val="00641338"/>
    <w:rsid w:val="00641EB1"/>
    <w:rsid w:val="00651DBA"/>
    <w:rsid w:val="00657424"/>
    <w:rsid w:val="006876FA"/>
    <w:rsid w:val="006907A0"/>
    <w:rsid w:val="00696E75"/>
    <w:rsid w:val="006B5F8C"/>
    <w:rsid w:val="006B6845"/>
    <w:rsid w:val="006C0DE9"/>
    <w:rsid w:val="006C665D"/>
    <w:rsid w:val="006F349B"/>
    <w:rsid w:val="006F34DA"/>
    <w:rsid w:val="006F65D4"/>
    <w:rsid w:val="006F6C10"/>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72457"/>
    <w:rsid w:val="00775CFB"/>
    <w:rsid w:val="00784137"/>
    <w:rsid w:val="007A36A4"/>
    <w:rsid w:val="007A6DE0"/>
    <w:rsid w:val="007A6FAE"/>
    <w:rsid w:val="007C5250"/>
    <w:rsid w:val="007D295D"/>
    <w:rsid w:val="007F28E1"/>
    <w:rsid w:val="007F2FB5"/>
    <w:rsid w:val="007F48B7"/>
    <w:rsid w:val="00803899"/>
    <w:rsid w:val="00810DC7"/>
    <w:rsid w:val="008315A1"/>
    <w:rsid w:val="00837B6A"/>
    <w:rsid w:val="00842397"/>
    <w:rsid w:val="00842E4D"/>
    <w:rsid w:val="00844184"/>
    <w:rsid w:val="00845B84"/>
    <w:rsid w:val="00846A87"/>
    <w:rsid w:val="00850928"/>
    <w:rsid w:val="00856869"/>
    <w:rsid w:val="00862142"/>
    <w:rsid w:val="00866229"/>
    <w:rsid w:val="0087234E"/>
    <w:rsid w:val="008725D7"/>
    <w:rsid w:val="0087482E"/>
    <w:rsid w:val="00877A0E"/>
    <w:rsid w:val="008820E1"/>
    <w:rsid w:val="00892630"/>
    <w:rsid w:val="008954AA"/>
    <w:rsid w:val="008A0D28"/>
    <w:rsid w:val="008A1E31"/>
    <w:rsid w:val="008B138E"/>
    <w:rsid w:val="008B247E"/>
    <w:rsid w:val="008B7F2C"/>
    <w:rsid w:val="008C32B7"/>
    <w:rsid w:val="008C5F2D"/>
    <w:rsid w:val="008C6156"/>
    <w:rsid w:val="008D3AAD"/>
    <w:rsid w:val="008F10A2"/>
    <w:rsid w:val="008F21EF"/>
    <w:rsid w:val="008F3843"/>
    <w:rsid w:val="00901ACF"/>
    <w:rsid w:val="00907B58"/>
    <w:rsid w:val="0091359F"/>
    <w:rsid w:val="00914EAB"/>
    <w:rsid w:val="00920308"/>
    <w:rsid w:val="00921B4D"/>
    <w:rsid w:val="00924718"/>
    <w:rsid w:val="00924B85"/>
    <w:rsid w:val="009315E6"/>
    <w:rsid w:val="00932D71"/>
    <w:rsid w:val="00933645"/>
    <w:rsid w:val="00940054"/>
    <w:rsid w:val="00944D63"/>
    <w:rsid w:val="00945CD6"/>
    <w:rsid w:val="00957AE3"/>
    <w:rsid w:val="00963FD4"/>
    <w:rsid w:val="009648CE"/>
    <w:rsid w:val="00965A47"/>
    <w:rsid w:val="00967D74"/>
    <w:rsid w:val="009842BB"/>
    <w:rsid w:val="00984CA2"/>
    <w:rsid w:val="00993993"/>
    <w:rsid w:val="009A2A8B"/>
    <w:rsid w:val="009A71F2"/>
    <w:rsid w:val="009B1638"/>
    <w:rsid w:val="009B300A"/>
    <w:rsid w:val="009C20E2"/>
    <w:rsid w:val="009C5943"/>
    <w:rsid w:val="009D47D2"/>
    <w:rsid w:val="009D5EB6"/>
    <w:rsid w:val="009D75EA"/>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038"/>
    <w:rsid w:val="00AF3D6C"/>
    <w:rsid w:val="00AF3E5B"/>
    <w:rsid w:val="00B00CD7"/>
    <w:rsid w:val="00B04942"/>
    <w:rsid w:val="00B04E66"/>
    <w:rsid w:val="00B05473"/>
    <w:rsid w:val="00B14396"/>
    <w:rsid w:val="00B27FAD"/>
    <w:rsid w:val="00B45C1A"/>
    <w:rsid w:val="00B5221D"/>
    <w:rsid w:val="00B63B5F"/>
    <w:rsid w:val="00B66874"/>
    <w:rsid w:val="00B7071C"/>
    <w:rsid w:val="00B73ACF"/>
    <w:rsid w:val="00B8058E"/>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F2E"/>
    <w:rsid w:val="00BF6117"/>
    <w:rsid w:val="00C12B95"/>
    <w:rsid w:val="00C1674B"/>
    <w:rsid w:val="00C32128"/>
    <w:rsid w:val="00C3395B"/>
    <w:rsid w:val="00C364F9"/>
    <w:rsid w:val="00C43638"/>
    <w:rsid w:val="00C53238"/>
    <w:rsid w:val="00C56EA9"/>
    <w:rsid w:val="00C57F8D"/>
    <w:rsid w:val="00C67D2B"/>
    <w:rsid w:val="00C777EE"/>
    <w:rsid w:val="00C81D01"/>
    <w:rsid w:val="00C82EA4"/>
    <w:rsid w:val="00C906DD"/>
    <w:rsid w:val="00C94CF0"/>
    <w:rsid w:val="00CA0C8E"/>
    <w:rsid w:val="00CA7D6F"/>
    <w:rsid w:val="00CB5798"/>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9B"/>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06440"/>
    <w:rsid w:val="00E108A6"/>
    <w:rsid w:val="00E201D9"/>
    <w:rsid w:val="00E34628"/>
    <w:rsid w:val="00E41D46"/>
    <w:rsid w:val="00E431ED"/>
    <w:rsid w:val="00E432FE"/>
    <w:rsid w:val="00E46F1D"/>
    <w:rsid w:val="00E54FC8"/>
    <w:rsid w:val="00E56359"/>
    <w:rsid w:val="00E7214D"/>
    <w:rsid w:val="00E72E9A"/>
    <w:rsid w:val="00E800CD"/>
    <w:rsid w:val="00E827A2"/>
    <w:rsid w:val="00E83D9C"/>
    <w:rsid w:val="00E86DB9"/>
    <w:rsid w:val="00E90AF0"/>
    <w:rsid w:val="00E9452C"/>
    <w:rsid w:val="00EA0D86"/>
    <w:rsid w:val="00EA5642"/>
    <w:rsid w:val="00EB2299"/>
    <w:rsid w:val="00EB5B54"/>
    <w:rsid w:val="00EC329F"/>
    <w:rsid w:val="00ED0816"/>
    <w:rsid w:val="00ED2E47"/>
    <w:rsid w:val="00ED5A8D"/>
    <w:rsid w:val="00EF2ACC"/>
    <w:rsid w:val="00F0658D"/>
    <w:rsid w:val="00F13144"/>
    <w:rsid w:val="00F359E0"/>
    <w:rsid w:val="00F55527"/>
    <w:rsid w:val="00F57314"/>
    <w:rsid w:val="00F61929"/>
    <w:rsid w:val="00F638C7"/>
    <w:rsid w:val="00F65942"/>
    <w:rsid w:val="00F659C1"/>
    <w:rsid w:val="00F661B8"/>
    <w:rsid w:val="00F73374"/>
    <w:rsid w:val="00F73644"/>
    <w:rsid w:val="00F86B04"/>
    <w:rsid w:val="00F91765"/>
    <w:rsid w:val="00F92574"/>
    <w:rsid w:val="00F975E8"/>
    <w:rsid w:val="00F97C94"/>
    <w:rsid w:val="00F97F45"/>
    <w:rsid w:val="00FA05FE"/>
    <w:rsid w:val="00FA5E69"/>
    <w:rsid w:val="00FA73FA"/>
    <w:rsid w:val="00FB397A"/>
    <w:rsid w:val="00FC04C5"/>
    <w:rsid w:val="00FC5EF5"/>
    <w:rsid w:val="00FC6E73"/>
    <w:rsid w:val="00FC7EC9"/>
    <w:rsid w:val="00FD1B70"/>
    <w:rsid w:val="00FD2CD2"/>
    <w:rsid w:val="00FD7600"/>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68ED-EEC5-4D35-90FF-04837E44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3919</Words>
  <Characters>23104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Jones, Molly (ACF)</cp:lastModifiedBy>
  <cp:revision>4</cp:revision>
  <dcterms:created xsi:type="dcterms:W3CDTF">2020-10-30T15:59:00Z</dcterms:created>
  <dcterms:modified xsi:type="dcterms:W3CDTF">2020-10-30T17:47:00Z</dcterms:modified>
</cp:coreProperties>
</file>